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E0D39" w:rsidRPr="00E07116">
        <w:tblPrEx>
          <w:tblCellMar>
            <w:top w:w="0" w:type="dxa"/>
            <w:bottom w:w="0" w:type="dxa"/>
          </w:tblCellMar>
        </w:tblPrEx>
        <w:tc>
          <w:tcPr>
            <w:tcW w:w="9160" w:type="dxa"/>
            <w:shd w:val="clear" w:color="auto" w:fill="E1E0D4"/>
          </w:tcPr>
          <w:p w:rsidR="009E0D39" w:rsidRPr="00E07116" w:rsidRDefault="009E0D39" w:rsidP="009E0D39">
            <w:pPr>
              <w:pStyle w:val="En-tte"/>
              <w:tabs>
                <w:tab w:val="clear" w:pos="4320"/>
                <w:tab w:val="clear" w:pos="8640"/>
              </w:tabs>
              <w:rPr>
                <w:rFonts w:ascii="Times New Roman" w:hAnsi="Times New Roman"/>
                <w:sz w:val="28"/>
                <w:lang w:val="en-CA" w:bidi="ar-SA"/>
              </w:rPr>
            </w:pPr>
          </w:p>
          <w:p w:rsidR="009E0D39" w:rsidRPr="00E07116" w:rsidRDefault="009E0D39">
            <w:pPr>
              <w:ind w:firstLine="0"/>
              <w:jc w:val="center"/>
              <w:rPr>
                <w:b/>
                <w:lang w:bidi="ar-SA"/>
              </w:rPr>
            </w:pPr>
          </w:p>
          <w:p w:rsidR="009E0D39" w:rsidRPr="00E07116" w:rsidRDefault="009E0D39">
            <w:pPr>
              <w:ind w:firstLine="0"/>
              <w:jc w:val="center"/>
              <w:rPr>
                <w:b/>
                <w:lang w:bidi="ar-SA"/>
              </w:rPr>
            </w:pPr>
          </w:p>
          <w:p w:rsidR="009E0D39" w:rsidRDefault="009E0D39" w:rsidP="009E0D39">
            <w:pPr>
              <w:ind w:firstLine="0"/>
              <w:jc w:val="center"/>
              <w:rPr>
                <w:b/>
                <w:sz w:val="20"/>
                <w:lang w:bidi="ar-SA"/>
              </w:rPr>
            </w:pPr>
          </w:p>
          <w:p w:rsidR="009E0D39" w:rsidRDefault="009E0D39" w:rsidP="009E0D39">
            <w:pPr>
              <w:ind w:firstLine="0"/>
              <w:jc w:val="center"/>
              <w:rPr>
                <w:b/>
                <w:sz w:val="20"/>
                <w:lang w:bidi="ar-SA"/>
              </w:rPr>
            </w:pPr>
          </w:p>
          <w:p w:rsidR="009E0D39" w:rsidRDefault="009E0D39" w:rsidP="009E0D39">
            <w:pPr>
              <w:ind w:firstLine="0"/>
              <w:jc w:val="center"/>
              <w:rPr>
                <w:b/>
                <w:sz w:val="36"/>
              </w:rPr>
            </w:pPr>
            <w:r>
              <w:rPr>
                <w:sz w:val="36"/>
              </w:rPr>
              <w:t>Estelle CARDE</w:t>
            </w:r>
          </w:p>
          <w:p w:rsidR="009E0D39" w:rsidRDefault="009E0D39" w:rsidP="009E0D39">
            <w:pPr>
              <w:ind w:firstLine="0"/>
              <w:jc w:val="center"/>
              <w:rPr>
                <w:sz w:val="20"/>
                <w:lang w:bidi="ar-SA"/>
              </w:rPr>
            </w:pPr>
            <w:r>
              <w:rPr>
                <w:sz w:val="20"/>
                <w:lang w:bidi="ar-SA"/>
              </w:rPr>
              <w:t>Doctorat en médecine, spécialité “santé publique”</w:t>
            </w:r>
          </w:p>
          <w:p w:rsidR="009E0D39" w:rsidRDefault="009E0D39" w:rsidP="009E0D39">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9E0D39" w:rsidRPr="00F3780C" w:rsidRDefault="009E0D39" w:rsidP="009E0D39">
            <w:pPr>
              <w:ind w:firstLine="0"/>
              <w:jc w:val="center"/>
              <w:rPr>
                <w:sz w:val="20"/>
                <w:lang w:bidi="ar-SA"/>
              </w:rPr>
            </w:pPr>
            <w:bookmarkStart w:id="0" w:name="_GoBack"/>
            <w:bookmarkEnd w:id="0"/>
          </w:p>
          <w:p w:rsidR="009E0D39" w:rsidRPr="00AA0F60" w:rsidRDefault="009E0D39" w:rsidP="009E0D39">
            <w:pPr>
              <w:pStyle w:val="Corpsdetexte"/>
              <w:widowControl w:val="0"/>
              <w:spacing w:before="0" w:after="0"/>
              <w:rPr>
                <w:sz w:val="44"/>
                <w:lang w:bidi="ar-SA"/>
              </w:rPr>
            </w:pPr>
            <w:r w:rsidRPr="00AA0F60">
              <w:rPr>
                <w:sz w:val="44"/>
                <w:lang w:bidi="ar-SA"/>
              </w:rPr>
              <w:t>(</w:t>
            </w:r>
            <w:r>
              <w:rPr>
                <w:sz w:val="44"/>
                <w:lang w:bidi="ar-SA"/>
              </w:rPr>
              <w:t>2012</w:t>
            </w:r>
            <w:r w:rsidRPr="00AA0F60">
              <w:rPr>
                <w:sz w:val="44"/>
                <w:lang w:bidi="ar-SA"/>
              </w:rPr>
              <w:t>)</w:t>
            </w:r>
          </w:p>
          <w:p w:rsidR="009E0D39" w:rsidRDefault="009E0D39" w:rsidP="009E0D39">
            <w:pPr>
              <w:pStyle w:val="Corpsdetexte"/>
              <w:widowControl w:val="0"/>
              <w:spacing w:before="0" w:after="0"/>
              <w:rPr>
                <w:color w:val="FF0000"/>
                <w:sz w:val="24"/>
                <w:lang w:bidi="ar-SA"/>
              </w:rPr>
            </w:pPr>
          </w:p>
          <w:p w:rsidR="009E0D39" w:rsidRDefault="009E0D39" w:rsidP="009E0D39">
            <w:pPr>
              <w:pStyle w:val="Corpsdetexte"/>
              <w:widowControl w:val="0"/>
              <w:spacing w:before="0" w:after="0"/>
              <w:rPr>
                <w:color w:val="FF0000"/>
                <w:sz w:val="24"/>
                <w:lang w:bidi="ar-SA"/>
              </w:rPr>
            </w:pPr>
          </w:p>
          <w:p w:rsidR="009E0D39" w:rsidRPr="001C4101" w:rsidRDefault="009E0D39" w:rsidP="009E0D39">
            <w:pPr>
              <w:pStyle w:val="Titlest"/>
            </w:pPr>
            <w:r>
              <w:t>“De l'étranger au minoritaire,</w:t>
            </w:r>
            <w:r>
              <w:br/>
            </w:r>
            <w:r w:rsidRPr="001C4101">
              <w:t>de la "Métropole" à la Guyane</w:t>
            </w:r>
            <w:r>
              <w:t> </w:t>
            </w:r>
            <w:r w:rsidRPr="001C4101">
              <w:t>:</w:t>
            </w:r>
            <w:r>
              <w:br/>
            </w:r>
            <w:r w:rsidRPr="001C4101">
              <w:t>les discr</w:t>
            </w:r>
            <w:r w:rsidRPr="001C4101">
              <w:t>i</w:t>
            </w:r>
            <w:r>
              <w:t>minations</w:t>
            </w:r>
            <w:r>
              <w:br/>
            </w:r>
            <w:r w:rsidRPr="001C4101">
              <w:t>dans l'accès aux soins.”</w:t>
            </w:r>
          </w:p>
          <w:p w:rsidR="009E0D39" w:rsidRPr="00F3780C" w:rsidRDefault="009E0D39" w:rsidP="009E0D39">
            <w:pPr>
              <w:pStyle w:val="Titlest20"/>
            </w:pPr>
          </w:p>
          <w:p w:rsidR="009E0D39" w:rsidRDefault="009E0D39" w:rsidP="009E0D39">
            <w:pPr>
              <w:widowControl w:val="0"/>
              <w:ind w:firstLine="0"/>
              <w:jc w:val="center"/>
              <w:rPr>
                <w:lang w:bidi="ar-SA"/>
              </w:rPr>
            </w:pPr>
          </w:p>
          <w:p w:rsidR="009E0D39" w:rsidRDefault="009E0D39" w:rsidP="009E0D39">
            <w:pPr>
              <w:widowControl w:val="0"/>
              <w:ind w:firstLine="0"/>
              <w:jc w:val="center"/>
              <w:rPr>
                <w:lang w:bidi="ar-SA"/>
              </w:rPr>
            </w:pPr>
          </w:p>
          <w:p w:rsidR="009E0D39" w:rsidRPr="00B07F81" w:rsidRDefault="009E0D39" w:rsidP="009E0D39">
            <w:pPr>
              <w:widowControl w:val="0"/>
              <w:ind w:firstLine="0"/>
              <w:jc w:val="center"/>
              <w:rPr>
                <w:sz w:val="24"/>
                <w:lang w:bidi="ar-SA"/>
              </w:rPr>
            </w:pPr>
            <w:r w:rsidRPr="00B07F81">
              <w:rPr>
                <w:sz w:val="24"/>
                <w:lang w:bidi="ar-SA"/>
              </w:rPr>
              <w:t>Collection “Anthropologie médicale“</w:t>
            </w:r>
          </w:p>
          <w:p w:rsidR="009E0D39" w:rsidRDefault="009E0D39" w:rsidP="009E0D39">
            <w:pPr>
              <w:widowControl w:val="0"/>
              <w:ind w:firstLine="0"/>
              <w:jc w:val="center"/>
              <w:rPr>
                <w:sz w:val="20"/>
                <w:lang w:bidi="ar-SA"/>
              </w:rPr>
            </w:pPr>
          </w:p>
          <w:p w:rsidR="009E0D39" w:rsidRPr="00384B20" w:rsidRDefault="009E0D39">
            <w:pPr>
              <w:widowControl w:val="0"/>
              <w:ind w:firstLine="0"/>
              <w:jc w:val="center"/>
              <w:rPr>
                <w:sz w:val="20"/>
                <w:lang w:bidi="ar-SA"/>
              </w:rPr>
            </w:pPr>
          </w:p>
          <w:p w:rsidR="009E0D39" w:rsidRPr="00384B20" w:rsidRDefault="009E0D3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E0D39" w:rsidRPr="00E07116" w:rsidRDefault="009E0D39">
            <w:pPr>
              <w:widowControl w:val="0"/>
              <w:ind w:firstLine="0"/>
              <w:jc w:val="both"/>
              <w:rPr>
                <w:lang w:bidi="ar-SA"/>
              </w:rPr>
            </w:pPr>
          </w:p>
          <w:p w:rsidR="009E0D39" w:rsidRPr="00E07116" w:rsidRDefault="009E0D39">
            <w:pPr>
              <w:widowControl w:val="0"/>
              <w:ind w:firstLine="0"/>
              <w:jc w:val="both"/>
              <w:rPr>
                <w:lang w:bidi="ar-SA"/>
              </w:rPr>
            </w:pPr>
          </w:p>
          <w:p w:rsidR="009E0D39" w:rsidRDefault="009E0D39">
            <w:pPr>
              <w:widowControl w:val="0"/>
              <w:ind w:firstLine="0"/>
              <w:jc w:val="both"/>
              <w:rPr>
                <w:lang w:bidi="ar-SA"/>
              </w:rPr>
            </w:pPr>
          </w:p>
          <w:p w:rsidR="009E0D39" w:rsidRDefault="009E0D39">
            <w:pPr>
              <w:widowControl w:val="0"/>
              <w:ind w:firstLine="0"/>
              <w:jc w:val="both"/>
              <w:rPr>
                <w:lang w:bidi="ar-SA"/>
              </w:rPr>
            </w:pPr>
          </w:p>
          <w:p w:rsidR="009E0D39" w:rsidRPr="00E07116" w:rsidRDefault="009E0D39">
            <w:pPr>
              <w:widowControl w:val="0"/>
              <w:ind w:firstLine="0"/>
              <w:jc w:val="both"/>
              <w:rPr>
                <w:lang w:bidi="ar-SA"/>
              </w:rPr>
            </w:pPr>
          </w:p>
          <w:p w:rsidR="009E0D39" w:rsidRDefault="009E0D39">
            <w:pPr>
              <w:widowControl w:val="0"/>
              <w:ind w:firstLine="0"/>
              <w:jc w:val="both"/>
              <w:rPr>
                <w:lang w:bidi="ar-SA"/>
              </w:rPr>
            </w:pPr>
          </w:p>
          <w:p w:rsidR="009E0D39" w:rsidRPr="00E07116" w:rsidRDefault="009E0D39">
            <w:pPr>
              <w:widowControl w:val="0"/>
              <w:ind w:firstLine="0"/>
              <w:jc w:val="both"/>
              <w:rPr>
                <w:lang w:bidi="ar-SA"/>
              </w:rPr>
            </w:pPr>
          </w:p>
          <w:p w:rsidR="009E0D39" w:rsidRPr="00E07116" w:rsidRDefault="009E0D39">
            <w:pPr>
              <w:ind w:firstLine="0"/>
              <w:jc w:val="both"/>
              <w:rPr>
                <w:lang w:bidi="ar-SA"/>
              </w:rPr>
            </w:pPr>
          </w:p>
        </w:tc>
      </w:tr>
    </w:tbl>
    <w:p w:rsidR="009E0D39" w:rsidRDefault="009E0D39" w:rsidP="009E0D39">
      <w:pPr>
        <w:ind w:firstLine="0"/>
        <w:jc w:val="both"/>
      </w:pPr>
      <w:r w:rsidRPr="00E07116">
        <w:br w:type="page"/>
      </w:r>
    </w:p>
    <w:p w:rsidR="009E0D39" w:rsidRDefault="009E0D39" w:rsidP="009E0D39">
      <w:pPr>
        <w:ind w:firstLine="0"/>
        <w:jc w:val="both"/>
      </w:pPr>
    </w:p>
    <w:p w:rsidR="009E0D39" w:rsidRDefault="009E0D39" w:rsidP="009E0D39">
      <w:pPr>
        <w:ind w:firstLine="0"/>
        <w:jc w:val="both"/>
      </w:pPr>
    </w:p>
    <w:p w:rsidR="009E0D39" w:rsidRDefault="009E0D39" w:rsidP="009E0D39">
      <w:pPr>
        <w:ind w:firstLine="0"/>
        <w:jc w:val="both"/>
      </w:pPr>
    </w:p>
    <w:p w:rsidR="009E0D39" w:rsidRDefault="003D4CFB" w:rsidP="009E0D39">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E0D39" w:rsidRDefault="009E0D39" w:rsidP="009E0D39">
      <w:pPr>
        <w:ind w:firstLine="0"/>
        <w:jc w:val="right"/>
      </w:pPr>
      <w:hyperlink r:id="rId9" w:history="1">
        <w:r w:rsidRPr="00302466">
          <w:rPr>
            <w:rStyle w:val="Lienhypertexte"/>
          </w:rPr>
          <w:t>http://classiques.uqac.ca/</w:t>
        </w:r>
      </w:hyperlink>
      <w:r>
        <w:t xml:space="preserve"> </w:t>
      </w:r>
    </w:p>
    <w:p w:rsidR="009E0D39" w:rsidRDefault="009E0D39" w:rsidP="009E0D39">
      <w:pPr>
        <w:ind w:firstLine="0"/>
        <w:jc w:val="both"/>
      </w:pPr>
    </w:p>
    <w:p w:rsidR="009E0D39" w:rsidRDefault="009E0D39" w:rsidP="009E0D3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E0D39" w:rsidRDefault="009E0D39" w:rsidP="009E0D39">
      <w:pPr>
        <w:ind w:firstLine="0"/>
        <w:jc w:val="both"/>
      </w:pPr>
    </w:p>
    <w:p w:rsidR="009E0D39" w:rsidRDefault="009E0D39" w:rsidP="009E0D39">
      <w:pPr>
        <w:ind w:firstLine="0"/>
        <w:jc w:val="both"/>
      </w:pPr>
    </w:p>
    <w:p w:rsidR="009E0D39" w:rsidRDefault="003D4CFB" w:rsidP="009E0D39">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E0D39" w:rsidRDefault="009E0D39" w:rsidP="009E0D39">
      <w:pPr>
        <w:ind w:firstLine="0"/>
        <w:jc w:val="both"/>
      </w:pPr>
      <w:hyperlink r:id="rId11" w:history="1">
        <w:r w:rsidRPr="00302466">
          <w:rPr>
            <w:rStyle w:val="Lienhypertexte"/>
          </w:rPr>
          <w:t>http://bibliotheque.uqac.ca/</w:t>
        </w:r>
      </w:hyperlink>
      <w:r>
        <w:t xml:space="preserve"> </w:t>
      </w:r>
    </w:p>
    <w:p w:rsidR="009E0D39" w:rsidRDefault="009E0D39" w:rsidP="009E0D39">
      <w:pPr>
        <w:ind w:firstLine="0"/>
        <w:jc w:val="both"/>
      </w:pPr>
    </w:p>
    <w:p w:rsidR="009E0D39" w:rsidRDefault="009E0D39" w:rsidP="009E0D39">
      <w:pPr>
        <w:ind w:firstLine="0"/>
        <w:jc w:val="both"/>
      </w:pPr>
    </w:p>
    <w:p w:rsidR="009E0D39" w:rsidRDefault="009E0D39" w:rsidP="009E0D3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E0D39" w:rsidRPr="00E07116" w:rsidRDefault="009E0D39" w:rsidP="009E0D39">
      <w:pPr>
        <w:widowControl w:val="0"/>
        <w:autoSpaceDE w:val="0"/>
        <w:autoSpaceDN w:val="0"/>
        <w:adjustRightInd w:val="0"/>
        <w:rPr>
          <w:szCs w:val="32"/>
        </w:rPr>
      </w:pPr>
      <w:r w:rsidRPr="00E07116">
        <w:br w:type="page"/>
      </w:r>
    </w:p>
    <w:p w:rsidR="009E0D39" w:rsidRPr="005B6592" w:rsidRDefault="009E0D39">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9E0D39" w:rsidRPr="00E07116" w:rsidRDefault="009E0D39">
      <w:pPr>
        <w:widowControl w:val="0"/>
        <w:autoSpaceDE w:val="0"/>
        <w:autoSpaceDN w:val="0"/>
        <w:adjustRightInd w:val="0"/>
        <w:rPr>
          <w:szCs w:val="32"/>
        </w:rPr>
      </w:pPr>
    </w:p>
    <w:p w:rsidR="009E0D39" w:rsidRPr="00E07116" w:rsidRDefault="009E0D39">
      <w:pPr>
        <w:widowControl w:val="0"/>
        <w:autoSpaceDE w:val="0"/>
        <w:autoSpaceDN w:val="0"/>
        <w:adjustRightInd w:val="0"/>
        <w:jc w:val="both"/>
        <w:rPr>
          <w:color w:val="1C1C1C"/>
          <w:szCs w:val="26"/>
        </w:rPr>
      </w:pPr>
    </w:p>
    <w:p w:rsidR="009E0D39" w:rsidRPr="00E07116" w:rsidRDefault="009E0D39">
      <w:pPr>
        <w:widowControl w:val="0"/>
        <w:autoSpaceDE w:val="0"/>
        <w:autoSpaceDN w:val="0"/>
        <w:adjustRightInd w:val="0"/>
        <w:jc w:val="both"/>
        <w:rPr>
          <w:color w:val="1C1C1C"/>
          <w:szCs w:val="26"/>
        </w:rPr>
      </w:pPr>
    </w:p>
    <w:p w:rsidR="009E0D39" w:rsidRPr="00E07116" w:rsidRDefault="009E0D3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9E0D39" w:rsidRPr="00E07116" w:rsidRDefault="009E0D39">
      <w:pPr>
        <w:widowControl w:val="0"/>
        <w:autoSpaceDE w:val="0"/>
        <w:autoSpaceDN w:val="0"/>
        <w:adjustRightInd w:val="0"/>
        <w:jc w:val="both"/>
        <w:rPr>
          <w:color w:val="1C1C1C"/>
          <w:szCs w:val="26"/>
        </w:rPr>
      </w:pPr>
    </w:p>
    <w:p w:rsidR="009E0D39" w:rsidRPr="00E07116" w:rsidRDefault="009E0D39" w:rsidP="009E0D3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9E0D39" w:rsidRPr="00E07116" w:rsidRDefault="009E0D39" w:rsidP="009E0D39">
      <w:pPr>
        <w:widowControl w:val="0"/>
        <w:autoSpaceDE w:val="0"/>
        <w:autoSpaceDN w:val="0"/>
        <w:adjustRightInd w:val="0"/>
        <w:jc w:val="both"/>
        <w:rPr>
          <w:color w:val="1C1C1C"/>
          <w:szCs w:val="26"/>
        </w:rPr>
      </w:pPr>
    </w:p>
    <w:p w:rsidR="009E0D39" w:rsidRPr="00E07116" w:rsidRDefault="009E0D39" w:rsidP="009E0D3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9E0D39" w:rsidRPr="00E07116" w:rsidRDefault="009E0D39" w:rsidP="009E0D3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9E0D39" w:rsidRPr="00E07116" w:rsidRDefault="009E0D39" w:rsidP="009E0D39">
      <w:pPr>
        <w:widowControl w:val="0"/>
        <w:autoSpaceDE w:val="0"/>
        <w:autoSpaceDN w:val="0"/>
        <w:adjustRightInd w:val="0"/>
        <w:jc w:val="both"/>
        <w:rPr>
          <w:color w:val="1C1C1C"/>
          <w:szCs w:val="26"/>
        </w:rPr>
      </w:pPr>
    </w:p>
    <w:p w:rsidR="009E0D39" w:rsidRPr="00E07116" w:rsidRDefault="009E0D3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9E0D39" w:rsidRPr="00E07116" w:rsidRDefault="009E0D39">
      <w:pPr>
        <w:widowControl w:val="0"/>
        <w:autoSpaceDE w:val="0"/>
        <w:autoSpaceDN w:val="0"/>
        <w:adjustRightInd w:val="0"/>
        <w:jc w:val="both"/>
        <w:rPr>
          <w:color w:val="1C1C1C"/>
          <w:szCs w:val="26"/>
        </w:rPr>
      </w:pPr>
    </w:p>
    <w:p w:rsidR="009E0D39" w:rsidRPr="00E07116" w:rsidRDefault="009E0D3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9E0D39" w:rsidRPr="00E07116" w:rsidRDefault="009E0D39">
      <w:pPr>
        <w:rPr>
          <w:b/>
          <w:color w:val="1C1C1C"/>
          <w:szCs w:val="26"/>
        </w:rPr>
      </w:pPr>
    </w:p>
    <w:p w:rsidR="009E0D39" w:rsidRPr="00E07116" w:rsidRDefault="009E0D3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9E0D39" w:rsidRPr="00E07116" w:rsidRDefault="009E0D39">
      <w:pPr>
        <w:rPr>
          <w:b/>
          <w:color w:val="1C1C1C"/>
          <w:szCs w:val="26"/>
        </w:rPr>
      </w:pPr>
    </w:p>
    <w:p w:rsidR="009E0D39" w:rsidRPr="00E07116" w:rsidRDefault="009E0D39">
      <w:pPr>
        <w:rPr>
          <w:color w:val="1C1C1C"/>
          <w:szCs w:val="26"/>
        </w:rPr>
      </w:pPr>
      <w:r w:rsidRPr="00E07116">
        <w:rPr>
          <w:color w:val="1C1C1C"/>
          <w:szCs w:val="26"/>
        </w:rPr>
        <w:t>Jean-Marie Tremblay, sociologue</w:t>
      </w:r>
    </w:p>
    <w:p w:rsidR="009E0D39" w:rsidRPr="00E07116" w:rsidRDefault="009E0D39">
      <w:pPr>
        <w:rPr>
          <w:color w:val="1C1C1C"/>
          <w:szCs w:val="26"/>
        </w:rPr>
      </w:pPr>
      <w:r w:rsidRPr="00E07116">
        <w:rPr>
          <w:color w:val="1C1C1C"/>
          <w:szCs w:val="26"/>
        </w:rPr>
        <w:t>Fondateur et Président-directeur général,</w:t>
      </w:r>
    </w:p>
    <w:p w:rsidR="009E0D39" w:rsidRPr="00E07116" w:rsidRDefault="009E0D39">
      <w:pPr>
        <w:rPr>
          <w:color w:val="000080"/>
        </w:rPr>
      </w:pPr>
      <w:r w:rsidRPr="00E07116">
        <w:rPr>
          <w:color w:val="000080"/>
          <w:szCs w:val="26"/>
        </w:rPr>
        <w:t>LES CLASSIQUES DES SCIENCES SOCIALES.</w:t>
      </w:r>
    </w:p>
    <w:p w:rsidR="009E0D39" w:rsidRPr="00CF4C8E" w:rsidRDefault="009E0D39" w:rsidP="009E0D3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9E0D39" w:rsidRPr="00CF4C8E" w:rsidRDefault="009E0D39" w:rsidP="009E0D39">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9E0D39" w:rsidRPr="00CF4C8E" w:rsidRDefault="009E0D39" w:rsidP="009E0D39">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9E0D39" w:rsidRPr="00CF4C8E" w:rsidRDefault="009E0D39" w:rsidP="009E0D39">
      <w:pPr>
        <w:ind w:left="20" w:hanging="20"/>
        <w:jc w:val="both"/>
        <w:rPr>
          <w:sz w:val="24"/>
        </w:rPr>
      </w:pPr>
      <w:r w:rsidRPr="00CF4C8E">
        <w:rPr>
          <w:sz w:val="24"/>
        </w:rPr>
        <w:t>à partir du texte de :</w:t>
      </w:r>
    </w:p>
    <w:p w:rsidR="009E0D39" w:rsidRDefault="009E0D39" w:rsidP="009E0D39">
      <w:pPr>
        <w:ind w:firstLine="0"/>
        <w:jc w:val="both"/>
        <w:rPr>
          <w:sz w:val="24"/>
        </w:rPr>
      </w:pPr>
    </w:p>
    <w:p w:rsidR="009E0D39" w:rsidRPr="00384B20" w:rsidRDefault="009E0D39" w:rsidP="009E0D39">
      <w:pPr>
        <w:ind w:firstLine="0"/>
        <w:jc w:val="both"/>
        <w:rPr>
          <w:sz w:val="24"/>
        </w:rPr>
      </w:pPr>
    </w:p>
    <w:p w:rsidR="009E0D39" w:rsidRPr="00E07116" w:rsidRDefault="009E0D39" w:rsidP="009E0D39">
      <w:pPr>
        <w:ind w:left="20" w:firstLine="340"/>
        <w:jc w:val="both"/>
      </w:pPr>
      <w:r>
        <w:t>Estelle Carde</w:t>
      </w:r>
    </w:p>
    <w:p w:rsidR="009E0D39" w:rsidRPr="00E07116" w:rsidRDefault="009E0D39" w:rsidP="009E0D39">
      <w:pPr>
        <w:ind w:left="20" w:firstLine="340"/>
        <w:jc w:val="both"/>
      </w:pPr>
    </w:p>
    <w:p w:rsidR="009E0D39" w:rsidRPr="00B07F81" w:rsidRDefault="009E0D39" w:rsidP="009E0D39">
      <w:pPr>
        <w:jc w:val="both"/>
        <w:rPr>
          <w:b/>
          <w:color w:val="000080"/>
        </w:rPr>
      </w:pPr>
      <w:r w:rsidRPr="001C4101">
        <w:rPr>
          <w:b/>
          <w:color w:val="000080"/>
        </w:rPr>
        <w:t>“De l'étranger au minoritaire, de la "Métropole" à la Guyane</w:t>
      </w:r>
      <w:r>
        <w:rPr>
          <w:b/>
          <w:color w:val="000080"/>
        </w:rPr>
        <w:t> </w:t>
      </w:r>
      <w:r w:rsidRPr="001C4101">
        <w:rPr>
          <w:b/>
          <w:color w:val="000080"/>
        </w:rPr>
        <w:t>: les discriminations dans l'accès aux soins.”</w:t>
      </w:r>
    </w:p>
    <w:p w:rsidR="009E0D39" w:rsidRPr="00E07116" w:rsidRDefault="009E0D39" w:rsidP="009E0D39">
      <w:pPr>
        <w:jc w:val="both"/>
      </w:pPr>
    </w:p>
    <w:p w:rsidR="009E0D39" w:rsidRPr="00E07116" w:rsidRDefault="009E0D39" w:rsidP="009E0D39">
      <w:pPr>
        <w:jc w:val="both"/>
      </w:pPr>
    </w:p>
    <w:p w:rsidR="009E0D39" w:rsidRPr="00384B20" w:rsidRDefault="009E0D39" w:rsidP="009E0D39">
      <w:pPr>
        <w:jc w:val="both"/>
        <w:rPr>
          <w:sz w:val="24"/>
        </w:rPr>
      </w:pPr>
      <w:r w:rsidRPr="00B07F81">
        <w:t xml:space="preserve">Un article publié dans la revue </w:t>
      </w:r>
      <w:r w:rsidRPr="0035310E">
        <w:rPr>
          <w:b/>
          <w:i/>
          <w:color w:val="0000FF"/>
        </w:rPr>
        <w:t>Migrations Société</w:t>
      </w:r>
      <w:r>
        <w:t>, vol. 24, no 140, 2012, pp. 35-50.</w:t>
      </w:r>
      <w:r w:rsidRPr="00B07F81">
        <w:t>441-453.</w:t>
      </w:r>
    </w:p>
    <w:p w:rsidR="009E0D39" w:rsidRPr="00384B20" w:rsidRDefault="009E0D39" w:rsidP="009E0D39">
      <w:pPr>
        <w:jc w:val="both"/>
        <w:rPr>
          <w:sz w:val="24"/>
        </w:rPr>
      </w:pPr>
    </w:p>
    <w:p w:rsidR="009E0D39" w:rsidRPr="00384B20" w:rsidRDefault="009E0D39" w:rsidP="009E0D39">
      <w:pPr>
        <w:ind w:left="20"/>
        <w:jc w:val="both"/>
        <w:rPr>
          <w:sz w:val="24"/>
        </w:rPr>
      </w:pPr>
      <w:r w:rsidRPr="00384B20">
        <w:rPr>
          <w:sz w:val="24"/>
        </w:rPr>
        <w:t>L’auteur</w:t>
      </w:r>
      <w:r>
        <w:rPr>
          <w:sz w:val="24"/>
        </w:rPr>
        <w:t>e nous a accordé</w:t>
      </w:r>
      <w:r w:rsidRPr="00384B20">
        <w:rPr>
          <w:sz w:val="24"/>
        </w:rPr>
        <w:t xml:space="preserve">, le </w:t>
      </w:r>
      <w:r>
        <w:rPr>
          <w:sz w:val="24"/>
        </w:rPr>
        <w:t>19 février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cet article</w:t>
      </w:r>
      <w:r w:rsidRPr="00384B20">
        <w:rPr>
          <w:sz w:val="24"/>
        </w:rPr>
        <w:t xml:space="preserve"> dans Les Classiques des sciences soci</w:t>
      </w:r>
      <w:r w:rsidRPr="00384B20">
        <w:rPr>
          <w:sz w:val="24"/>
        </w:rPr>
        <w:t>a</w:t>
      </w:r>
      <w:r w:rsidRPr="00384B20">
        <w:rPr>
          <w:sz w:val="24"/>
        </w:rPr>
        <w:t>les.</w:t>
      </w:r>
    </w:p>
    <w:p w:rsidR="009E0D39" w:rsidRPr="00384B20" w:rsidRDefault="009E0D39" w:rsidP="009E0D39">
      <w:pPr>
        <w:jc w:val="both"/>
        <w:rPr>
          <w:sz w:val="24"/>
        </w:rPr>
      </w:pPr>
    </w:p>
    <w:p w:rsidR="009E0D39" w:rsidRDefault="003D4CFB" w:rsidP="009E0D39">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E0D39">
        <w:rPr>
          <w:sz w:val="24"/>
        </w:rPr>
        <w:t xml:space="preserve"> Courriel</w:t>
      </w:r>
      <w:r w:rsidR="009E0D39" w:rsidRPr="00384B20">
        <w:rPr>
          <w:sz w:val="24"/>
        </w:rPr>
        <w:t xml:space="preserve"> : </w:t>
      </w:r>
      <w:r w:rsidR="009E0D39" w:rsidRPr="00B07F81">
        <w:rPr>
          <w:sz w:val="24"/>
        </w:rPr>
        <w:t>Estelle Ca</w:t>
      </w:r>
      <w:r w:rsidR="009E0D39">
        <w:rPr>
          <w:sz w:val="24"/>
        </w:rPr>
        <w:t xml:space="preserve">rde : </w:t>
      </w:r>
      <w:hyperlink r:id="rId15" w:history="1">
        <w:r w:rsidR="009E0D39" w:rsidRPr="00D74EAC">
          <w:rPr>
            <w:rStyle w:val="Lienhypertexte"/>
            <w:sz w:val="24"/>
          </w:rPr>
          <w:t>estelle.carde@umontreal.ca</w:t>
        </w:r>
      </w:hyperlink>
      <w:r w:rsidR="009E0D39">
        <w:rPr>
          <w:sz w:val="24"/>
        </w:rPr>
        <w:t xml:space="preserve"> </w:t>
      </w:r>
    </w:p>
    <w:p w:rsidR="009E0D39" w:rsidRPr="00384B20" w:rsidRDefault="009E0D39" w:rsidP="009E0D39">
      <w:pPr>
        <w:ind w:left="20"/>
        <w:jc w:val="both"/>
        <w:rPr>
          <w:sz w:val="24"/>
        </w:rPr>
      </w:pPr>
    </w:p>
    <w:p w:rsidR="009E0D39" w:rsidRPr="00384B20" w:rsidRDefault="009E0D3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9E0D39" w:rsidRPr="00384B20" w:rsidRDefault="009E0D39">
      <w:pPr>
        <w:ind w:right="1800" w:firstLine="0"/>
        <w:jc w:val="both"/>
        <w:rPr>
          <w:sz w:val="24"/>
        </w:rPr>
      </w:pPr>
    </w:p>
    <w:p w:rsidR="009E0D39" w:rsidRPr="00384B20" w:rsidRDefault="009E0D39" w:rsidP="009E0D39">
      <w:pPr>
        <w:ind w:left="360" w:right="360" w:firstLine="0"/>
        <w:jc w:val="both"/>
        <w:rPr>
          <w:sz w:val="24"/>
        </w:rPr>
      </w:pPr>
      <w:r w:rsidRPr="00384B20">
        <w:rPr>
          <w:sz w:val="24"/>
        </w:rPr>
        <w:t>Pour le texte: Times New Roman, 14 points.</w:t>
      </w:r>
    </w:p>
    <w:p w:rsidR="009E0D39" w:rsidRPr="00384B20" w:rsidRDefault="009E0D39" w:rsidP="009E0D39">
      <w:pPr>
        <w:ind w:left="360" w:right="360" w:firstLine="0"/>
        <w:jc w:val="both"/>
        <w:rPr>
          <w:sz w:val="24"/>
        </w:rPr>
      </w:pPr>
      <w:r w:rsidRPr="00384B20">
        <w:rPr>
          <w:sz w:val="24"/>
        </w:rPr>
        <w:t>Pour les notes de bas de page : Times New Roman, 12 points.</w:t>
      </w:r>
    </w:p>
    <w:p w:rsidR="009E0D39" w:rsidRPr="00384B20" w:rsidRDefault="009E0D39">
      <w:pPr>
        <w:ind w:left="360" w:right="1800" w:firstLine="0"/>
        <w:jc w:val="both"/>
        <w:rPr>
          <w:sz w:val="24"/>
        </w:rPr>
      </w:pPr>
    </w:p>
    <w:p w:rsidR="009E0D39" w:rsidRPr="00384B20" w:rsidRDefault="009E0D39">
      <w:pPr>
        <w:ind w:right="360" w:firstLine="0"/>
        <w:jc w:val="both"/>
        <w:rPr>
          <w:sz w:val="24"/>
        </w:rPr>
      </w:pPr>
      <w:r w:rsidRPr="00384B20">
        <w:rPr>
          <w:sz w:val="24"/>
        </w:rPr>
        <w:t>Édition électronique réalisée avec le traitement de textes Microsoft Word 2008 pour Macintosh.</w:t>
      </w:r>
    </w:p>
    <w:p w:rsidR="009E0D39" w:rsidRPr="00384B20" w:rsidRDefault="009E0D39">
      <w:pPr>
        <w:ind w:right="1800" w:firstLine="0"/>
        <w:jc w:val="both"/>
        <w:rPr>
          <w:sz w:val="24"/>
        </w:rPr>
      </w:pPr>
    </w:p>
    <w:p w:rsidR="009E0D39" w:rsidRPr="00384B20" w:rsidRDefault="009E0D39" w:rsidP="009E0D39">
      <w:pPr>
        <w:ind w:right="540" w:firstLine="0"/>
        <w:jc w:val="both"/>
        <w:rPr>
          <w:sz w:val="24"/>
        </w:rPr>
      </w:pPr>
      <w:r w:rsidRPr="00384B20">
        <w:rPr>
          <w:sz w:val="24"/>
        </w:rPr>
        <w:t>Mise en page sur papier format : LETTRE US, 8.5’’ x 11’’.</w:t>
      </w:r>
    </w:p>
    <w:p w:rsidR="009E0D39" w:rsidRPr="00384B20" w:rsidRDefault="009E0D39">
      <w:pPr>
        <w:ind w:right="1800" w:firstLine="0"/>
        <w:jc w:val="both"/>
        <w:rPr>
          <w:sz w:val="24"/>
        </w:rPr>
      </w:pPr>
    </w:p>
    <w:p w:rsidR="009E0D39" w:rsidRPr="00384B20" w:rsidRDefault="009E0D39" w:rsidP="009E0D39">
      <w:pPr>
        <w:ind w:firstLine="0"/>
        <w:jc w:val="both"/>
        <w:rPr>
          <w:sz w:val="24"/>
        </w:rPr>
      </w:pPr>
      <w:r w:rsidRPr="00384B20">
        <w:rPr>
          <w:sz w:val="24"/>
        </w:rPr>
        <w:t xml:space="preserve">Édition numérique réalisée le </w:t>
      </w:r>
      <w:r>
        <w:rPr>
          <w:sz w:val="24"/>
        </w:rPr>
        <w:t>26 décembre 2020 à Chicoutimi</w:t>
      </w:r>
      <w:r w:rsidRPr="00384B20">
        <w:rPr>
          <w:sz w:val="24"/>
        </w:rPr>
        <w:t>, Qu</w:t>
      </w:r>
      <w:r w:rsidRPr="00384B20">
        <w:rPr>
          <w:sz w:val="24"/>
        </w:rPr>
        <w:t>é</w:t>
      </w:r>
      <w:r w:rsidRPr="00384B20">
        <w:rPr>
          <w:sz w:val="24"/>
        </w:rPr>
        <w:t>bec.</w:t>
      </w:r>
    </w:p>
    <w:p w:rsidR="009E0D39" w:rsidRPr="00384B20" w:rsidRDefault="009E0D39">
      <w:pPr>
        <w:ind w:right="1800" w:firstLine="0"/>
        <w:jc w:val="both"/>
        <w:rPr>
          <w:sz w:val="24"/>
        </w:rPr>
      </w:pPr>
    </w:p>
    <w:p w:rsidR="009E0D39" w:rsidRPr="00E07116" w:rsidRDefault="003D4CFB">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E0D39" w:rsidRDefault="009E0D39" w:rsidP="009E0D39">
      <w:pPr>
        <w:ind w:left="20"/>
        <w:jc w:val="both"/>
      </w:pPr>
      <w:r w:rsidRPr="00E07116">
        <w:br w:type="page"/>
      </w:r>
    </w:p>
    <w:p w:rsidR="009E0D39" w:rsidRPr="00E07116" w:rsidRDefault="009E0D39" w:rsidP="009E0D39">
      <w:pPr>
        <w:ind w:left="20"/>
        <w:jc w:val="both"/>
      </w:pPr>
    </w:p>
    <w:p w:rsidR="009E0D39" w:rsidRDefault="009E0D39" w:rsidP="009E0D39">
      <w:pPr>
        <w:ind w:firstLine="0"/>
        <w:jc w:val="center"/>
        <w:rPr>
          <w:b/>
          <w:sz w:val="36"/>
        </w:rPr>
      </w:pPr>
      <w:r>
        <w:rPr>
          <w:sz w:val="36"/>
        </w:rPr>
        <w:t>Estelle CARDE</w:t>
      </w:r>
    </w:p>
    <w:p w:rsidR="009E0D39" w:rsidRDefault="009E0D39" w:rsidP="009E0D39">
      <w:pPr>
        <w:ind w:firstLine="0"/>
        <w:jc w:val="center"/>
        <w:rPr>
          <w:sz w:val="20"/>
          <w:lang w:bidi="ar-SA"/>
        </w:rPr>
      </w:pPr>
      <w:r>
        <w:rPr>
          <w:sz w:val="20"/>
          <w:lang w:bidi="ar-SA"/>
        </w:rPr>
        <w:t>Doctorat en médecine, spécialité “santé publique”</w:t>
      </w:r>
    </w:p>
    <w:p w:rsidR="009E0D39" w:rsidRDefault="009E0D39" w:rsidP="009E0D39">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9E0D39" w:rsidRPr="00E07116" w:rsidRDefault="009E0D39" w:rsidP="009E0D39">
      <w:pPr>
        <w:ind w:firstLine="0"/>
        <w:jc w:val="center"/>
      </w:pPr>
    </w:p>
    <w:p w:rsidR="009E0D39" w:rsidRPr="00F3780C" w:rsidRDefault="009E0D39" w:rsidP="009E0D39">
      <w:pPr>
        <w:ind w:firstLine="0"/>
        <w:jc w:val="center"/>
        <w:rPr>
          <w:color w:val="000080"/>
          <w:sz w:val="36"/>
        </w:rPr>
      </w:pPr>
      <w:r>
        <w:rPr>
          <w:b/>
          <w:color w:val="000080"/>
        </w:rPr>
        <w:t>“De l'étranger au minoritaire,</w:t>
      </w:r>
      <w:r>
        <w:rPr>
          <w:b/>
          <w:color w:val="000080"/>
        </w:rPr>
        <w:br/>
      </w:r>
      <w:r w:rsidRPr="001C4101">
        <w:rPr>
          <w:b/>
          <w:color w:val="000080"/>
        </w:rPr>
        <w:t>de la "Métropole" à la Guyane</w:t>
      </w:r>
      <w:r>
        <w:rPr>
          <w:b/>
          <w:color w:val="000080"/>
        </w:rPr>
        <w:t> </w:t>
      </w:r>
      <w:r w:rsidRPr="001C4101">
        <w:rPr>
          <w:b/>
          <w:color w:val="000080"/>
        </w:rPr>
        <w:t>:</w:t>
      </w:r>
      <w:r>
        <w:rPr>
          <w:b/>
          <w:color w:val="000080"/>
        </w:rPr>
        <w:br/>
      </w:r>
      <w:r w:rsidRPr="001C4101">
        <w:rPr>
          <w:b/>
          <w:color w:val="000080"/>
        </w:rPr>
        <w:t>les discriminations dans l'accès aux soins.”</w:t>
      </w:r>
    </w:p>
    <w:p w:rsidR="009E0D39" w:rsidRPr="00E07116" w:rsidRDefault="009E0D39" w:rsidP="009E0D39">
      <w:pPr>
        <w:ind w:firstLine="0"/>
        <w:jc w:val="center"/>
      </w:pPr>
    </w:p>
    <w:p w:rsidR="009E0D39" w:rsidRPr="00E07116" w:rsidRDefault="003D4CFB" w:rsidP="009E0D39">
      <w:pPr>
        <w:ind w:firstLine="0"/>
        <w:jc w:val="center"/>
      </w:pPr>
      <w:r>
        <w:rPr>
          <w:noProof/>
        </w:rPr>
        <w:drawing>
          <wp:inline distT="0" distB="0" distL="0" distR="0">
            <wp:extent cx="2590800" cy="3835400"/>
            <wp:effectExtent l="25400" t="25400" r="12700" b="12700"/>
            <wp:docPr id="5" name="Image 5" descr="Migration_societes_140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igration_societes_140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835400"/>
                    </a:xfrm>
                    <a:prstGeom prst="rect">
                      <a:avLst/>
                    </a:prstGeom>
                    <a:noFill/>
                    <a:ln w="19050" cmpd="sng">
                      <a:solidFill>
                        <a:srgbClr val="000000"/>
                      </a:solidFill>
                      <a:miter lim="800000"/>
                      <a:headEnd/>
                      <a:tailEnd/>
                    </a:ln>
                    <a:effectLst/>
                  </pic:spPr>
                </pic:pic>
              </a:graphicData>
            </a:graphic>
          </wp:inline>
        </w:drawing>
      </w:r>
    </w:p>
    <w:p w:rsidR="009E0D39" w:rsidRPr="00E07116" w:rsidRDefault="009E0D39" w:rsidP="009E0D39">
      <w:pPr>
        <w:jc w:val="both"/>
      </w:pPr>
    </w:p>
    <w:p w:rsidR="009E0D39" w:rsidRPr="00384B20" w:rsidRDefault="009E0D39" w:rsidP="009E0D39">
      <w:pPr>
        <w:jc w:val="both"/>
        <w:rPr>
          <w:sz w:val="24"/>
        </w:rPr>
      </w:pPr>
      <w:r w:rsidRPr="00B07F81">
        <w:t xml:space="preserve">Un article publié dans la revue </w:t>
      </w:r>
      <w:r w:rsidRPr="0035310E">
        <w:rPr>
          <w:b/>
          <w:i/>
          <w:color w:val="0000FF"/>
        </w:rPr>
        <w:t>Migrations Société</w:t>
      </w:r>
      <w:r>
        <w:t>, vol. 24, no 140, 2012, pp. 35-50.</w:t>
      </w:r>
      <w:r w:rsidRPr="00B07F81">
        <w:t>441-453.</w:t>
      </w:r>
    </w:p>
    <w:p w:rsidR="009E0D39" w:rsidRPr="00E07116" w:rsidRDefault="009E0D39">
      <w:pPr>
        <w:jc w:val="both"/>
      </w:pPr>
      <w:r w:rsidRPr="00E07116">
        <w:br w:type="page"/>
      </w:r>
    </w:p>
    <w:p w:rsidR="009E0D39" w:rsidRPr="00E07116" w:rsidRDefault="009E0D39">
      <w:pPr>
        <w:jc w:val="both"/>
      </w:pPr>
    </w:p>
    <w:p w:rsidR="009E0D39" w:rsidRPr="00E07116" w:rsidRDefault="009E0D39" w:rsidP="009E0D3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E0D39" w:rsidRPr="00E07116" w:rsidRDefault="009E0D39" w:rsidP="009E0D39">
      <w:pPr>
        <w:pStyle w:val="NormalWeb"/>
        <w:spacing w:before="2" w:after="2"/>
        <w:jc w:val="both"/>
        <w:rPr>
          <w:rFonts w:ascii="Times New Roman" w:hAnsi="Times New Roman"/>
          <w:sz w:val="28"/>
        </w:rPr>
      </w:pPr>
    </w:p>
    <w:p w:rsidR="009E0D39" w:rsidRPr="00E07116" w:rsidRDefault="009E0D39" w:rsidP="009E0D3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E0D39" w:rsidRPr="00E07116" w:rsidRDefault="009E0D39" w:rsidP="009E0D39">
      <w:pPr>
        <w:jc w:val="both"/>
        <w:rPr>
          <w:szCs w:val="19"/>
        </w:rPr>
      </w:pPr>
    </w:p>
    <w:p w:rsidR="009E0D39" w:rsidRPr="00E07116" w:rsidRDefault="009E0D39">
      <w:pPr>
        <w:jc w:val="both"/>
        <w:rPr>
          <w:szCs w:val="19"/>
        </w:rPr>
      </w:pPr>
    </w:p>
    <w:p w:rsidR="009E0D39" w:rsidRPr="00E07116" w:rsidRDefault="009E0D39">
      <w:pPr>
        <w:jc w:val="both"/>
      </w:pPr>
      <w:r w:rsidRPr="00E07116">
        <w:br w:type="page"/>
      </w:r>
    </w:p>
    <w:p w:rsidR="009E0D39" w:rsidRPr="00E07116" w:rsidRDefault="009E0D39">
      <w:pPr>
        <w:jc w:val="both"/>
      </w:pPr>
    </w:p>
    <w:p w:rsidR="009E0D39" w:rsidRPr="00384B20" w:rsidRDefault="009E0D39" w:rsidP="009E0D39">
      <w:pPr>
        <w:pStyle w:val="planchest"/>
      </w:pPr>
      <w:bookmarkStart w:id="1" w:name="tdm"/>
      <w:r w:rsidRPr="00384B20">
        <w:t>Table des matières</w:t>
      </w:r>
      <w:bookmarkEnd w:id="1"/>
    </w:p>
    <w:p w:rsidR="009E0D39" w:rsidRPr="00E07116" w:rsidRDefault="009E0D39">
      <w:pPr>
        <w:ind w:firstLine="0"/>
      </w:pPr>
    </w:p>
    <w:p w:rsidR="009E0D39" w:rsidRDefault="009E0D39">
      <w:pPr>
        <w:ind w:firstLine="0"/>
      </w:pPr>
    </w:p>
    <w:p w:rsidR="009E0D39" w:rsidRDefault="009E0D39">
      <w:pPr>
        <w:ind w:firstLine="0"/>
      </w:pPr>
    </w:p>
    <w:p w:rsidR="009E0D39" w:rsidRDefault="009E0D39">
      <w:pPr>
        <w:ind w:firstLine="0"/>
      </w:pPr>
      <w:hyperlink w:anchor="De_etranger_intro" w:history="1">
        <w:r w:rsidRPr="00245238">
          <w:rPr>
            <w:rStyle w:val="Lienhypertexte"/>
          </w:rPr>
          <w:t>Introduction</w:t>
        </w:r>
      </w:hyperlink>
      <w:r>
        <w:t xml:space="preserve"> [35]</w:t>
      </w:r>
    </w:p>
    <w:p w:rsidR="009E0D39" w:rsidRDefault="009E0D39">
      <w:pPr>
        <w:ind w:firstLine="0"/>
      </w:pPr>
    </w:p>
    <w:p w:rsidR="009E0D39" w:rsidRDefault="009E0D39" w:rsidP="009E0D39">
      <w:pPr>
        <w:spacing w:after="120"/>
        <w:ind w:firstLine="0"/>
      </w:pPr>
      <w:hyperlink w:anchor="De_etranger_1" w:history="1">
        <w:r w:rsidRPr="00245238">
          <w:rPr>
            <w:rStyle w:val="Lienhypertexte"/>
            <w:bCs/>
            <w:szCs w:val="28"/>
          </w:rPr>
          <w:t>Les discriminations dans le domaine de l'accès aux soins</w:t>
        </w:r>
      </w:hyperlink>
      <w:r>
        <w:rPr>
          <w:bCs/>
          <w:szCs w:val="28"/>
        </w:rPr>
        <w:t xml:space="preserve"> [36]</w:t>
      </w:r>
    </w:p>
    <w:p w:rsidR="009E0D39" w:rsidRDefault="009E0D39" w:rsidP="009E0D39">
      <w:pPr>
        <w:spacing w:after="120"/>
        <w:ind w:firstLine="0"/>
      </w:pPr>
      <w:hyperlink w:anchor="De_etranger_2" w:history="1">
        <w:r w:rsidRPr="00245238">
          <w:rPr>
            <w:rStyle w:val="Lienhypertexte"/>
            <w:bCs/>
            <w:szCs w:val="28"/>
          </w:rPr>
          <w:t>Les discriminations à rencontre des étrangers : l'illégitimité du sans-papier</w:t>
        </w:r>
      </w:hyperlink>
      <w:r>
        <w:rPr>
          <w:bCs/>
          <w:szCs w:val="28"/>
        </w:rPr>
        <w:t xml:space="preserve"> [41]</w:t>
      </w:r>
    </w:p>
    <w:p w:rsidR="009E0D39" w:rsidRDefault="009E0D39" w:rsidP="009E0D39">
      <w:pPr>
        <w:spacing w:after="120"/>
        <w:ind w:firstLine="0"/>
      </w:pPr>
      <w:hyperlink w:anchor="De_etranger_3" w:history="1">
        <w:r w:rsidRPr="00245238">
          <w:rPr>
            <w:rStyle w:val="Lienhypertexte"/>
            <w:bCs/>
            <w:szCs w:val="28"/>
          </w:rPr>
          <w:t>Les discriminations "ethnoraciales" : "l'Autre", pourtant français</w:t>
        </w:r>
      </w:hyperlink>
      <w:r>
        <w:rPr>
          <w:bCs/>
          <w:szCs w:val="28"/>
        </w:rPr>
        <w:t xml:space="preserve"> [45]</w:t>
      </w:r>
    </w:p>
    <w:p w:rsidR="009E0D39" w:rsidRDefault="009E0D39" w:rsidP="009E0D39">
      <w:pPr>
        <w:spacing w:after="120"/>
        <w:ind w:firstLine="0"/>
      </w:pPr>
      <w:hyperlink w:anchor="De_etranger_4" w:history="1">
        <w:r w:rsidRPr="00245238">
          <w:rPr>
            <w:rStyle w:val="Lienhypertexte"/>
            <w:bCs/>
            <w:szCs w:val="28"/>
          </w:rPr>
          <w:t>De la porosité des processus</w:t>
        </w:r>
      </w:hyperlink>
      <w:r>
        <w:rPr>
          <w:bCs/>
          <w:szCs w:val="28"/>
        </w:rPr>
        <w:t xml:space="preserve"> [47]</w:t>
      </w:r>
    </w:p>
    <w:p w:rsidR="009E0D39" w:rsidRDefault="009E0D39">
      <w:pPr>
        <w:ind w:firstLine="0"/>
      </w:pPr>
      <w:hyperlink w:anchor="De_etranger_5" w:history="1">
        <w:r w:rsidRPr="00245238">
          <w:rPr>
            <w:rStyle w:val="Lienhypertexte"/>
            <w:bCs/>
            <w:szCs w:val="28"/>
          </w:rPr>
          <w:t>Nationalité étrangère et identité ethnoraciale, marqueurs sociaux pris dans des rapports inégalitaires plus larges</w:t>
        </w:r>
      </w:hyperlink>
      <w:r>
        <w:rPr>
          <w:bCs/>
          <w:szCs w:val="28"/>
        </w:rPr>
        <w:t xml:space="preserve"> [49]</w:t>
      </w:r>
    </w:p>
    <w:p w:rsidR="009E0D39" w:rsidRPr="00E07116" w:rsidRDefault="009E0D39" w:rsidP="009E0D39">
      <w:pPr>
        <w:ind w:left="540" w:hanging="540"/>
      </w:pPr>
    </w:p>
    <w:p w:rsidR="009E0D39" w:rsidRDefault="009E0D39" w:rsidP="009E0D39">
      <w:pPr>
        <w:pStyle w:val="p"/>
      </w:pPr>
      <w:r w:rsidRPr="00E07116">
        <w:br w:type="page"/>
      </w:r>
      <w:r w:rsidRPr="00E07116">
        <w:lastRenderedPageBreak/>
        <w:t>[</w:t>
      </w:r>
      <w:r>
        <w:t>35</w:t>
      </w:r>
      <w:r w:rsidRPr="00E07116">
        <w:t>]</w:t>
      </w:r>
    </w:p>
    <w:p w:rsidR="009E0D39" w:rsidRPr="00E07116" w:rsidRDefault="009E0D39" w:rsidP="009E0D39">
      <w:pPr>
        <w:pStyle w:val="p"/>
      </w:pPr>
    </w:p>
    <w:p w:rsidR="009E0D39" w:rsidRDefault="009E0D39" w:rsidP="009E0D39">
      <w:pPr>
        <w:ind w:firstLine="0"/>
        <w:jc w:val="center"/>
        <w:rPr>
          <w:b/>
          <w:sz w:val="36"/>
        </w:rPr>
      </w:pPr>
      <w:r>
        <w:rPr>
          <w:sz w:val="36"/>
        </w:rPr>
        <w:t>Estelle CARDE</w:t>
      </w:r>
    </w:p>
    <w:p w:rsidR="009E0D39" w:rsidRDefault="009E0D39" w:rsidP="009E0D39">
      <w:pPr>
        <w:ind w:firstLine="0"/>
        <w:jc w:val="center"/>
        <w:rPr>
          <w:sz w:val="20"/>
          <w:lang w:bidi="ar-SA"/>
        </w:rPr>
      </w:pPr>
      <w:r>
        <w:rPr>
          <w:sz w:val="20"/>
          <w:lang w:bidi="ar-SA"/>
        </w:rPr>
        <w:t>Doctorat en médecine, spécialité “santé publique”</w:t>
      </w:r>
    </w:p>
    <w:p w:rsidR="009E0D39" w:rsidRDefault="009E0D39" w:rsidP="009E0D39">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9E0D39" w:rsidRPr="00E07116" w:rsidRDefault="009E0D39" w:rsidP="009E0D39">
      <w:pPr>
        <w:ind w:firstLine="0"/>
        <w:jc w:val="center"/>
      </w:pPr>
    </w:p>
    <w:p w:rsidR="009E0D39" w:rsidRPr="00F3780C" w:rsidRDefault="009E0D39" w:rsidP="009E0D39">
      <w:pPr>
        <w:ind w:firstLine="0"/>
        <w:jc w:val="center"/>
        <w:rPr>
          <w:color w:val="000080"/>
          <w:sz w:val="36"/>
        </w:rPr>
      </w:pPr>
      <w:r>
        <w:rPr>
          <w:b/>
          <w:color w:val="000080"/>
        </w:rPr>
        <w:t>“De l'étranger au minoritaire,</w:t>
      </w:r>
      <w:r>
        <w:rPr>
          <w:b/>
          <w:color w:val="000080"/>
        </w:rPr>
        <w:br/>
      </w:r>
      <w:r w:rsidRPr="001C4101">
        <w:rPr>
          <w:b/>
          <w:color w:val="000080"/>
        </w:rPr>
        <w:t>de la "Métropole" à la Guyane</w:t>
      </w:r>
      <w:r>
        <w:rPr>
          <w:b/>
          <w:color w:val="000080"/>
        </w:rPr>
        <w:t> </w:t>
      </w:r>
      <w:r w:rsidRPr="001C4101">
        <w:rPr>
          <w:b/>
          <w:color w:val="000080"/>
        </w:rPr>
        <w:t>:</w:t>
      </w:r>
      <w:r>
        <w:rPr>
          <w:b/>
          <w:color w:val="000080"/>
        </w:rPr>
        <w:br/>
      </w:r>
      <w:r w:rsidRPr="001C4101">
        <w:rPr>
          <w:b/>
          <w:color w:val="000080"/>
        </w:rPr>
        <w:t>les discriminations dans l'accès aux soins.”</w:t>
      </w:r>
    </w:p>
    <w:p w:rsidR="009E0D39" w:rsidRPr="00E07116" w:rsidRDefault="009E0D39" w:rsidP="009E0D39">
      <w:pPr>
        <w:jc w:val="both"/>
      </w:pPr>
    </w:p>
    <w:p w:rsidR="009E0D39" w:rsidRPr="00384B20" w:rsidRDefault="009E0D39" w:rsidP="009E0D39">
      <w:pPr>
        <w:jc w:val="both"/>
        <w:rPr>
          <w:sz w:val="24"/>
        </w:rPr>
      </w:pPr>
      <w:r w:rsidRPr="00B07F81">
        <w:t xml:space="preserve">Un article publié dans la revue </w:t>
      </w:r>
      <w:r w:rsidRPr="0035310E">
        <w:rPr>
          <w:b/>
          <w:i/>
          <w:color w:val="0000FF"/>
        </w:rPr>
        <w:t>Migrations Société</w:t>
      </w:r>
      <w:r>
        <w:t>, vol. 24, no 140, 2012, pp. 35-50.</w:t>
      </w:r>
      <w:r w:rsidRPr="00B07F81">
        <w:t>441-453.</w:t>
      </w:r>
    </w:p>
    <w:p w:rsidR="009E0D39" w:rsidRPr="00E07116" w:rsidRDefault="009E0D39" w:rsidP="009E0D39">
      <w:pPr>
        <w:jc w:val="both"/>
      </w:pPr>
    </w:p>
    <w:p w:rsidR="009E0D39" w:rsidRPr="00E07116" w:rsidRDefault="009E0D39">
      <w:pPr>
        <w:jc w:val="both"/>
      </w:pPr>
    </w:p>
    <w:p w:rsidR="009E0D39" w:rsidRPr="00E07116" w:rsidRDefault="009E0D39" w:rsidP="009E0D39">
      <w:pPr>
        <w:pStyle w:val="a"/>
      </w:pPr>
      <w:bookmarkStart w:id="2" w:name="De_etranger_intro"/>
      <w:r>
        <w:t>Introduction</w:t>
      </w:r>
    </w:p>
    <w:bookmarkEnd w:id="2"/>
    <w:p w:rsidR="009E0D39" w:rsidRPr="00E07116" w:rsidRDefault="009E0D39">
      <w:pPr>
        <w:jc w:val="both"/>
      </w:pPr>
    </w:p>
    <w:p w:rsidR="009E0D39" w:rsidRPr="00E07116" w:rsidRDefault="009E0D39">
      <w:pPr>
        <w:jc w:val="both"/>
      </w:pPr>
    </w:p>
    <w:p w:rsidR="009E0D39" w:rsidRPr="00384B20" w:rsidRDefault="009E0D39">
      <w:pPr>
        <w:ind w:right="90" w:firstLine="0"/>
        <w:jc w:val="both"/>
        <w:rPr>
          <w:sz w:val="20"/>
        </w:rPr>
      </w:pPr>
      <w:hyperlink w:anchor="tdm" w:history="1">
        <w:r w:rsidRPr="00384B20">
          <w:rPr>
            <w:rStyle w:val="Lienhypertexte"/>
            <w:sz w:val="20"/>
          </w:rPr>
          <w:t>Retour à la table des matières</w:t>
        </w:r>
      </w:hyperlink>
    </w:p>
    <w:p w:rsidR="009E0D39" w:rsidRPr="000D4BC6" w:rsidRDefault="009E0D39" w:rsidP="009E0D39">
      <w:pPr>
        <w:spacing w:before="120" w:after="120"/>
        <w:jc w:val="both"/>
      </w:pPr>
      <w:r w:rsidRPr="000D4BC6">
        <w:t>Monsieur</w:t>
      </w:r>
      <w:r>
        <w:t> </w:t>
      </w:r>
      <w:r w:rsidRPr="000D4BC6">
        <w:t>T., étranger sans-papier, reçoit par la poste un cou</w:t>
      </w:r>
      <w:r w:rsidRPr="000D4BC6">
        <w:t>r</w:t>
      </w:r>
      <w:r w:rsidRPr="000D4BC6">
        <w:t>rier l'informant de ce que sa demande d'aide médicale d'</w:t>
      </w:r>
      <w:r>
        <w:t>État</w:t>
      </w:r>
      <w:r w:rsidRPr="000D4BC6">
        <w:t xml:space="preserve"> (AME)</w:t>
      </w:r>
      <w:r>
        <w:t> </w:t>
      </w:r>
      <w:r>
        <w:rPr>
          <w:rStyle w:val="Appelnotedebasdep"/>
        </w:rPr>
        <w:footnoteReference w:id="1"/>
      </w:r>
      <w:r w:rsidRPr="000D4BC6">
        <w:t xml:space="preserve"> a été refusée. Motif du refus : défaut de preuve de son besoin de soins. L'obtention de </w:t>
      </w:r>
      <w:r>
        <w:t>l</w:t>
      </w:r>
      <w:r w:rsidRPr="000D4BC6">
        <w:rPr>
          <w:smallCaps/>
        </w:rPr>
        <w:t xml:space="preserve">'ame </w:t>
      </w:r>
      <w:r w:rsidRPr="000D4BC6">
        <w:t>n'est pourtant plus cond</w:t>
      </w:r>
      <w:r w:rsidRPr="000D4BC6">
        <w:t>i</w:t>
      </w:r>
      <w:r w:rsidRPr="000D4BC6">
        <w:t>tionnée par le besoin de soins depuis 1992. Les agents qui ont examiné le dossier de Mo</w:t>
      </w:r>
      <w:r w:rsidRPr="000D4BC6">
        <w:t>n</w:t>
      </w:r>
      <w:r w:rsidRPr="000D4BC6">
        <w:t>sieur</w:t>
      </w:r>
      <w:r>
        <w:t> </w:t>
      </w:r>
      <w:r w:rsidRPr="000D4BC6">
        <w:t>T. à la caisse d'Assurance mal</w:t>
      </w:r>
      <w:r w:rsidRPr="000D4BC6">
        <w:t>a</w:t>
      </w:r>
      <w:r w:rsidRPr="000D4BC6">
        <w:t>die le savent bien. S'ils exigent cette condition, m'expliquent-ils, c'est parce que nombre d'étrangers sans papiers tenteraient d'o</w:t>
      </w:r>
      <w:r w:rsidRPr="000D4BC6">
        <w:t>b</w:t>
      </w:r>
      <w:r w:rsidRPr="000D4BC6">
        <w:t>tenir une couverture maladie non pour se faire soigner, mais pour appuyer leur demande de titre de séjour ; r</w:t>
      </w:r>
      <w:r w:rsidRPr="000D4BC6">
        <w:t>e</w:t>
      </w:r>
      <w:r w:rsidRPr="000D4BC6">
        <w:t>fusant que la couve</w:t>
      </w:r>
      <w:r w:rsidRPr="000D4BC6">
        <w:t>r</w:t>
      </w:r>
      <w:r w:rsidRPr="000D4BC6">
        <w:t>ture maladie soit utilisée par ces étrangers pour les aider à s'in</w:t>
      </w:r>
      <w:r w:rsidRPr="000D4BC6">
        <w:t>s</w:t>
      </w:r>
      <w:r w:rsidRPr="000D4BC6">
        <w:t>taller en France, les agents ont décidé de ne l'accorder qu'à ceux qui ont besoin de soins.</w:t>
      </w:r>
    </w:p>
    <w:p w:rsidR="009E0D39" w:rsidRPr="000D4BC6" w:rsidRDefault="009E0D39" w:rsidP="009E0D39">
      <w:pPr>
        <w:spacing w:before="120" w:after="120"/>
        <w:jc w:val="both"/>
      </w:pPr>
      <w:r w:rsidRPr="000D4BC6">
        <w:t xml:space="preserve">Madame G. se présente au guichet de l'assurance maladie. L'agent qui la reçoit examine ses documents, constate que son dossier est </w:t>
      </w:r>
      <w:r w:rsidRPr="000D4BC6">
        <w:lastRenderedPageBreak/>
        <w:t>complet et lui remet une attestation d'ouverture de ses droits à une couverture maladie. Sans un mot d'explication. Comme je lui dema</w:t>
      </w:r>
      <w:r w:rsidRPr="000D4BC6">
        <w:t>n</w:t>
      </w:r>
      <w:r w:rsidRPr="000D4BC6">
        <w:t>de pourquoi, il me répond que le contenu des droits est précisé sur l'a</w:t>
      </w:r>
      <w:r w:rsidRPr="000D4BC6">
        <w:t>t</w:t>
      </w:r>
      <w:r w:rsidRPr="000D4BC6">
        <w:t>testation. Il reconnaît, néanmoins, que Madame G. parle peu le fra</w:t>
      </w:r>
      <w:r w:rsidRPr="000D4BC6">
        <w:t>n</w:t>
      </w:r>
      <w:r w:rsidRPr="000D4BC6">
        <w:t>çais et le lit encore moins. Il considère cependant que si l'</w:t>
      </w:r>
      <w:r>
        <w:t>État</w:t>
      </w:r>
      <w:r w:rsidRPr="000D4BC6">
        <w:t xml:space="preserve"> souhaite accorder des droits aux Noirs Marrons, alors ce même </w:t>
      </w:r>
      <w:r>
        <w:t>État</w:t>
      </w:r>
      <w:r w:rsidRPr="000D4BC6">
        <w:t xml:space="preserve"> n'a qu'à leur apprendre à lire et à écrire.</w:t>
      </w:r>
    </w:p>
    <w:p w:rsidR="009E0D39" w:rsidRPr="000D4BC6" w:rsidRDefault="009E0D39" w:rsidP="009E0D39">
      <w:pPr>
        <w:spacing w:before="120" w:after="120"/>
        <w:jc w:val="both"/>
      </w:pPr>
      <w:r w:rsidRPr="000D4BC6">
        <w:t>Ces deux scènes relèvent manifestement de discriminations à ra</w:t>
      </w:r>
      <w:r w:rsidRPr="000D4BC6">
        <w:t>i</w:t>
      </w:r>
      <w:r w:rsidRPr="000D4BC6">
        <w:t>son de l'origine : il s'agit d'obstacles illégitimement opposés à l'accès de certaines personnes à une couverture maladie, au nom de leur or</w:t>
      </w:r>
      <w:r w:rsidRPr="000D4BC6">
        <w:t>i</w:t>
      </w:r>
      <w:r w:rsidRPr="000D4BC6">
        <w:t>gine. Mais quelle est cette origine ? Il s'agit d'une n</w:t>
      </w:r>
      <w:r w:rsidRPr="000D4BC6">
        <w:t>a</w:t>
      </w:r>
      <w:r w:rsidRPr="000D4BC6">
        <w:t>tionalité étrangère figurant</w:t>
      </w:r>
      <w:r>
        <w:t xml:space="preserve"> [36] </w:t>
      </w:r>
      <w:r w:rsidRPr="000D4BC6">
        <w:t>sur un dossier dans le premier cas, d'une identité noire ma</w:t>
      </w:r>
      <w:r w:rsidRPr="000D4BC6">
        <w:t>r</w:t>
      </w:r>
      <w:r w:rsidRPr="000D4BC6">
        <w:t>ronne attribuée à une femme dans le second. Le présent article propose une analyse comparée de ces discriminations, selon qu'elles se fondent sur une nationalité ou une identité ethnoraci</w:t>
      </w:r>
      <w:r w:rsidRPr="000D4BC6">
        <w:t>a</w:t>
      </w:r>
      <w:r w:rsidRPr="000D4BC6">
        <w:t>le. Il s'appuie pour ce faire sur les résultats d'une recherche qual</w:t>
      </w:r>
      <w:r w:rsidRPr="000D4BC6">
        <w:t>i</w:t>
      </w:r>
      <w:r w:rsidRPr="000D4BC6">
        <w:t>tative menée sur deux terrains : la France "métropolitaine" et la Guyane française au début des années 2000, dans le domaine de l'accès aux soins.</w:t>
      </w:r>
    </w:p>
    <w:p w:rsidR="009E0D39" w:rsidRDefault="009E0D39" w:rsidP="009E0D39">
      <w:pPr>
        <w:spacing w:before="120" w:after="120"/>
        <w:jc w:val="both"/>
        <w:rPr>
          <w:bCs/>
          <w:szCs w:val="28"/>
        </w:rPr>
      </w:pPr>
    </w:p>
    <w:p w:rsidR="009E0D39" w:rsidRPr="000D4BC6" w:rsidRDefault="009E0D39" w:rsidP="009E0D39">
      <w:pPr>
        <w:pStyle w:val="a"/>
      </w:pPr>
      <w:bookmarkStart w:id="3" w:name="De_etranger_1"/>
      <w:r>
        <w:t>Les discriminations</w:t>
      </w:r>
      <w:r>
        <w:br/>
      </w:r>
      <w:r w:rsidRPr="000D4BC6">
        <w:t>dans le domaine de l'accès aux soins</w:t>
      </w:r>
    </w:p>
    <w:bookmarkEnd w:id="3"/>
    <w:p w:rsidR="009E0D39" w:rsidRDefault="009E0D39" w:rsidP="009E0D39">
      <w:pPr>
        <w:spacing w:before="120" w:after="120"/>
        <w:jc w:val="both"/>
      </w:pPr>
    </w:p>
    <w:p w:rsidR="009E0D39" w:rsidRPr="00384B20" w:rsidRDefault="009E0D39" w:rsidP="009E0D39">
      <w:pPr>
        <w:ind w:right="90" w:firstLine="0"/>
        <w:jc w:val="both"/>
        <w:rPr>
          <w:sz w:val="20"/>
        </w:rPr>
      </w:pPr>
      <w:hyperlink w:anchor="tdm" w:history="1">
        <w:r w:rsidRPr="00384B20">
          <w:rPr>
            <w:rStyle w:val="Lienhypertexte"/>
            <w:sz w:val="20"/>
          </w:rPr>
          <w:t>Retour à la table des matières</w:t>
        </w:r>
      </w:hyperlink>
    </w:p>
    <w:p w:rsidR="009E0D39" w:rsidRPr="000D4BC6" w:rsidRDefault="009E0D39" w:rsidP="009E0D39">
      <w:pPr>
        <w:spacing w:before="120" w:after="120"/>
        <w:jc w:val="both"/>
      </w:pPr>
      <w:r w:rsidRPr="000D4BC6">
        <w:t>Peu d'études ont porté, en France, sur les discriminations s</w:t>
      </w:r>
      <w:r w:rsidRPr="000D4BC6">
        <w:t>e</w:t>
      </w:r>
      <w:r w:rsidRPr="000D4BC6">
        <w:t>lon l'origine dans l'accès aux soins. Certes, des inégalités en la matière sont objectivées entre étrangers et Français ou entre i</w:t>
      </w:r>
      <w:r w:rsidRPr="000D4BC6">
        <w:t>m</w:t>
      </w:r>
      <w:r w:rsidRPr="000D4BC6">
        <w:t>migrés et non-immigrés. Ainsi notamment, des inégalités de consommation médic</w:t>
      </w:r>
      <w:r w:rsidRPr="000D4BC6">
        <w:t>a</w:t>
      </w:r>
      <w:r w:rsidRPr="000D4BC6">
        <w:t>le selon la nationalité et le pays de nai</w:t>
      </w:r>
      <w:r w:rsidRPr="000D4BC6">
        <w:t>s</w:t>
      </w:r>
      <w:r w:rsidRPr="000D4BC6">
        <w:t>sance ont été constatées, celle des immigrés et des étrangers étant inférieure à celle des non-immigrés et des Français</w:t>
      </w:r>
      <w:r>
        <w:t> </w:t>
      </w:r>
      <w:r>
        <w:rPr>
          <w:rStyle w:val="Appelnotedebasdep"/>
        </w:rPr>
        <w:footnoteReference w:id="2"/>
      </w:r>
      <w:r w:rsidRPr="000D4BC6">
        <w:t>. De plus, le moindre taux de couverture maladie des immigrés et des étra</w:t>
      </w:r>
      <w:r w:rsidRPr="000D4BC6">
        <w:t>n</w:t>
      </w:r>
      <w:r w:rsidRPr="000D4BC6">
        <w:t>gers (base et complémentaire)</w:t>
      </w:r>
      <w:r>
        <w:t> </w:t>
      </w:r>
      <w:r>
        <w:rPr>
          <w:rStyle w:val="Appelnotedebasdep"/>
        </w:rPr>
        <w:footnoteReference w:id="3"/>
      </w:r>
      <w:r w:rsidRPr="000D4BC6">
        <w:t xml:space="preserve"> et leur surreprésentation dans les lieux gratuits d'accès aux soins, qu'ils soient associatifs ou hosp</w:t>
      </w:r>
      <w:r w:rsidRPr="000D4BC6">
        <w:t>i</w:t>
      </w:r>
      <w:r w:rsidRPr="000D4BC6">
        <w:t>taliers (permanence d'accès aux soins de santé, PASS)</w:t>
      </w:r>
      <w:r>
        <w:t> </w:t>
      </w:r>
      <w:r>
        <w:rPr>
          <w:rStyle w:val="Appelnotedebasdep"/>
        </w:rPr>
        <w:footnoteReference w:id="4"/>
      </w:r>
      <w:r w:rsidRPr="000D4BC6">
        <w:t>, suggèrent qu'ils affrontent des difficultés accrues pour acc</w:t>
      </w:r>
      <w:r w:rsidRPr="000D4BC6">
        <w:t>é</w:t>
      </w:r>
      <w:r w:rsidRPr="000D4BC6">
        <w:t>der aux soins.</w:t>
      </w:r>
    </w:p>
    <w:p w:rsidR="009E0D39" w:rsidRPr="000D4BC6" w:rsidRDefault="009E0D39" w:rsidP="009E0D39">
      <w:pPr>
        <w:spacing w:before="120" w:after="120"/>
        <w:jc w:val="both"/>
      </w:pPr>
      <w:r w:rsidRPr="000D4BC6">
        <w:t>Comme pour les inégalités selon l'origine dans l'accès à d'a</w:t>
      </w:r>
      <w:r w:rsidRPr="000D4BC6">
        <w:t>u</w:t>
      </w:r>
      <w:r w:rsidRPr="000D4BC6">
        <w:t>tres types de ressources, celles qui touchent l'accès aux soins sont hab</w:t>
      </w:r>
      <w:r w:rsidRPr="000D4BC6">
        <w:t>i</w:t>
      </w:r>
      <w:r w:rsidRPr="000D4BC6">
        <w:t>tuellement expliquées par la surreprésentation des étrangers et des immigrés dans les couches de la population défavorisées sur le plan socioéconomique, au regard notamment de la qualification, du dipl</w:t>
      </w:r>
      <w:r w:rsidRPr="000D4BC6">
        <w:t>ô</w:t>
      </w:r>
      <w:r w:rsidRPr="000D4BC6">
        <w:t>me ou du revenu. Par exemple, la faiblesse de leur taux de couverture complémentaire (une couverture payante) est attribuée à celle de leurs revenus. Quand il s'avère qu'une part des inégalités persiste après aju</w:t>
      </w:r>
      <w:r w:rsidRPr="000D4BC6">
        <w:t>s</w:t>
      </w:r>
      <w:r w:rsidRPr="000D4BC6">
        <w:t>tement sur les variables socioéconomiques, des explications culture</w:t>
      </w:r>
      <w:r w:rsidRPr="000D4BC6">
        <w:t>l</w:t>
      </w:r>
      <w:r w:rsidRPr="000D4BC6">
        <w:t>les peuvent être</w:t>
      </w:r>
      <w:r>
        <w:t xml:space="preserve"> [37] </w:t>
      </w:r>
      <w:r w:rsidRPr="000D4BC6">
        <w:t>avancées. Ainsi par exemple, le retard de l'accès aux soins de ce</w:t>
      </w:r>
      <w:r w:rsidRPr="000D4BC6">
        <w:t>r</w:t>
      </w:r>
      <w:r w:rsidRPr="000D4BC6">
        <w:t>tains étrangers et/ou immigrés peut être attribué à leur interprétation différente de leurs symptômes (non perçus comme p</w:t>
      </w:r>
      <w:r w:rsidRPr="000D4BC6">
        <w:t>a</w:t>
      </w:r>
      <w:r w:rsidRPr="000D4BC6">
        <w:t>thologiques) ou à leur recours à des thérapies non biomédicales.</w:t>
      </w:r>
    </w:p>
    <w:p w:rsidR="009E0D39" w:rsidRPr="000D4BC6" w:rsidRDefault="009E0D39" w:rsidP="009E0D39">
      <w:pPr>
        <w:spacing w:before="120" w:after="120"/>
        <w:jc w:val="both"/>
      </w:pPr>
      <w:r w:rsidRPr="000D4BC6">
        <w:t>Le propos du présent article n'est pas de discuter des limites de ces deux explic</w:t>
      </w:r>
      <w:r>
        <w:t>ations (universaliste versus cul</w:t>
      </w:r>
      <w:r w:rsidRPr="000D4BC6">
        <w:t>turaliste), mais d'en intr</w:t>
      </w:r>
      <w:r w:rsidRPr="000D4BC6">
        <w:t>o</w:t>
      </w:r>
      <w:r w:rsidRPr="000D4BC6">
        <w:t>duire une troisième. Plutôt que d'interroger l'impact sur l'accès aux soins des caractéristiques socioéconomiques et culturelles des étra</w:t>
      </w:r>
      <w:r w:rsidRPr="000D4BC6">
        <w:t>n</w:t>
      </w:r>
      <w:r w:rsidRPr="000D4BC6">
        <w:t>gers et des immigrés, il s'agira en effet d'envisager celui des discrim</w:t>
      </w:r>
      <w:r w:rsidRPr="000D4BC6">
        <w:t>i</w:t>
      </w:r>
      <w:r w:rsidRPr="000D4BC6">
        <w:t>nations dont ils sont victimes.</w:t>
      </w:r>
    </w:p>
    <w:p w:rsidR="009E0D39" w:rsidRPr="000D4BC6" w:rsidRDefault="009E0D39" w:rsidP="009E0D39">
      <w:pPr>
        <w:spacing w:before="120" w:after="120"/>
        <w:jc w:val="both"/>
      </w:pPr>
      <w:r w:rsidRPr="000D4BC6">
        <w:t>Notre questionnement sur les discriminations sera élargi de façon à inclure également celles dont sont victimes des personnes caractér</w:t>
      </w:r>
      <w:r w:rsidRPr="000D4BC6">
        <w:t>i</w:t>
      </w:r>
      <w:r w:rsidRPr="000D4BC6">
        <w:t>sées par leur identité ethnoraciale, qu'elles soient ou non étrangères. C'est en effet de façon contemporaine à l'irruption de la notion de m</w:t>
      </w:r>
      <w:r w:rsidRPr="000D4BC6">
        <w:t>i</w:t>
      </w:r>
      <w:r w:rsidRPr="000D4BC6">
        <w:t>norité ethnoraciale dans la rhétorique républicaine qu'a émergé la di</w:t>
      </w:r>
      <w:r w:rsidRPr="000D4BC6">
        <w:t>s</w:t>
      </w:r>
      <w:r w:rsidRPr="000D4BC6">
        <w:t xml:space="preserve">crimination comme "problème social" en </w:t>
      </w:r>
      <w:r>
        <w:t>France </w:t>
      </w:r>
      <w:r>
        <w:rPr>
          <w:rStyle w:val="Appelnotedebasdep"/>
        </w:rPr>
        <w:footnoteReference w:id="5"/>
      </w:r>
      <w:r w:rsidRPr="000D4BC6">
        <w:t>. Cette irruption marquait</w:t>
      </w:r>
      <w:r>
        <w:t xml:space="preserve"> </w:t>
      </w:r>
      <w:r w:rsidRPr="000D4BC6">
        <w:t>une rupture d'avec le modèle d'intégration "à la française'</w:t>
      </w:r>
      <w:r>
        <w:t> </w:t>
      </w:r>
      <w:r>
        <w:rPr>
          <w:rStyle w:val="Appelnotedebasdep"/>
        </w:rPr>
        <w:footnoteReference w:id="6"/>
      </w:r>
      <w:r w:rsidRPr="000D4BC6">
        <w:t xml:space="preserve"> qui, à l'instar de ce qui a été présenté précédemment de l'accès aux soins, attribuait la responsabilité des inégalités selon l'origine (dans l'accès à l'emploi, aux revenus, à l'éducation, par exemple) au fait que les étrangers et les immigrés sont en général des ind</w:t>
      </w:r>
      <w:r w:rsidRPr="000D4BC6">
        <w:t>i</w:t>
      </w:r>
      <w:r w:rsidRPr="000D4BC6">
        <w:t>vidus socialement défavorisés et/ou culturellement différents. Ces inégalités étaient ce</w:t>
      </w:r>
      <w:r w:rsidRPr="000D4BC6">
        <w:t>n</w:t>
      </w:r>
      <w:r w:rsidRPr="000D4BC6">
        <w:t>sées se réduire progressivement à mes</w:t>
      </w:r>
      <w:r w:rsidRPr="000D4BC6">
        <w:t>u</w:t>
      </w:r>
      <w:r w:rsidRPr="000D4BC6">
        <w:t>re que s'allongeait la durée de résidence en France, les compo</w:t>
      </w:r>
      <w:r w:rsidRPr="000D4BC6">
        <w:t>r</w:t>
      </w:r>
      <w:r w:rsidRPr="000D4BC6">
        <w:t>tements des individus se rapprochant progressivement de celui des Français non immigrés.</w:t>
      </w:r>
    </w:p>
    <w:p w:rsidR="009E0D39" w:rsidRPr="000D4BC6" w:rsidRDefault="009E0D39" w:rsidP="009E0D39">
      <w:pPr>
        <w:spacing w:before="120" w:after="120"/>
        <w:jc w:val="both"/>
      </w:pPr>
      <w:r w:rsidRPr="000D4BC6">
        <w:t>Mais à partir de la fin des années 1990, le paradigme des discrim</w:t>
      </w:r>
      <w:r w:rsidRPr="000D4BC6">
        <w:t>i</w:t>
      </w:r>
      <w:r w:rsidRPr="000D4BC6">
        <w:t>nations a remis en cause ce modèle en pointant la respons</w:t>
      </w:r>
      <w:r w:rsidRPr="000D4BC6">
        <w:t>a</w:t>
      </w:r>
      <w:r w:rsidRPr="000D4BC6">
        <w:t>bilité de la société elle-même par ses traitements discriminatoires à l'encontre des étrangers et des immigrés. Or c'est aussi et surtout aux enfants de ce</w:t>
      </w:r>
      <w:r w:rsidRPr="000D4BC6">
        <w:t>r</w:t>
      </w:r>
      <w:r w:rsidRPr="000D4BC6">
        <w:t>tains de ces étrangers, ainsi qu'aux Fra</w:t>
      </w:r>
      <w:r w:rsidRPr="000D4BC6">
        <w:t>n</w:t>
      </w:r>
      <w:r w:rsidRPr="000D4BC6">
        <w:t>çais des départements ultra-marins, qu'a été appliqué ce paradi</w:t>
      </w:r>
      <w:r w:rsidRPr="000D4BC6">
        <w:t>g</w:t>
      </w:r>
      <w:r w:rsidRPr="000D4BC6">
        <w:t>me</w:t>
      </w:r>
      <w:r>
        <w:t> </w:t>
      </w:r>
      <w:r>
        <w:rPr>
          <w:rStyle w:val="Appelnotedebasdep"/>
        </w:rPr>
        <w:footnoteReference w:id="7"/>
      </w:r>
      <w:r w:rsidRPr="000D4BC6">
        <w:t>. Le voile était ainsi levé sur des inégalités qualifiées déso</w:t>
      </w:r>
      <w:r w:rsidRPr="000D4BC6">
        <w:t>r</w:t>
      </w:r>
      <w:r w:rsidRPr="000D4BC6">
        <w:t>mais d'"ethno-raciales", jusqu'alors</w:t>
      </w:r>
      <w:r>
        <w:t xml:space="preserve"> </w:t>
      </w:r>
      <w:r>
        <w:rPr>
          <w:bCs/>
          <w:szCs w:val="24"/>
        </w:rPr>
        <w:t xml:space="preserve">[38] </w:t>
      </w:r>
      <w:r w:rsidRPr="000D4BC6">
        <w:t>largement occultées puisque la statistique française ne disti</w:t>
      </w:r>
      <w:r w:rsidRPr="000D4BC6">
        <w:t>n</w:t>
      </w:r>
      <w:r w:rsidRPr="000D4BC6">
        <w:t>gue les individus que selon leur nationalité et leur pays de nai</w:t>
      </w:r>
      <w:r w:rsidRPr="000D4BC6">
        <w:t>s</w:t>
      </w:r>
      <w:r w:rsidRPr="000D4BC6">
        <w:t>sance.</w:t>
      </w:r>
    </w:p>
    <w:p w:rsidR="009E0D39" w:rsidRPr="000D4BC6" w:rsidRDefault="009E0D39" w:rsidP="009E0D39">
      <w:pPr>
        <w:spacing w:before="120" w:after="120"/>
        <w:jc w:val="both"/>
      </w:pPr>
      <w:r w:rsidRPr="000D4BC6">
        <w:t>La catégorisation "ethnoraciale" procède d'une catégorisation s</w:t>
      </w:r>
      <w:r w:rsidRPr="000D4BC6">
        <w:t>o</w:t>
      </w:r>
      <w:r w:rsidRPr="000D4BC6">
        <w:t>ciale, c'est-à-dire que les indices sur lesquels elle se fonde (tels que la couleur de la peau, le faciès ou le patronyme) sont sign</w:t>
      </w:r>
      <w:r w:rsidRPr="000D4BC6">
        <w:t>i</w:t>
      </w:r>
      <w:r w:rsidRPr="000D4BC6">
        <w:t>fiants dans une société donnée, à une époque donnée. Elle est produite dans le cadre d'un rapport de pouvoir, entre une "major</w:t>
      </w:r>
      <w:r w:rsidRPr="000D4BC6">
        <w:t>i</w:t>
      </w:r>
      <w:r w:rsidRPr="000D4BC6">
        <w:t>té" qui catégorise et des "minorités" qui sont catégorisées. Les individus ainsi catégorisés peuvent se reconnaître dans ces appellations (comme les Noirs Ma</w:t>
      </w:r>
      <w:r w:rsidRPr="000D4BC6">
        <w:t>r</w:t>
      </w:r>
      <w:r w:rsidRPr="000D4BC6">
        <w:t>rons en Guyane, qui — au-delà de la complexité des clans et des f</w:t>
      </w:r>
      <w:r w:rsidRPr="000D4BC6">
        <w:t>a</w:t>
      </w:r>
      <w:r w:rsidRPr="000D4BC6">
        <w:t>milles — se reconnaissent une histoire commune) ou, au contraire, n'avoir pour seul point co</w:t>
      </w:r>
      <w:r w:rsidRPr="000D4BC6">
        <w:t>m</w:t>
      </w:r>
      <w:r w:rsidRPr="000D4BC6">
        <w:t>mun que d'être ainsi catégorisés et, le cas échéant, discriminés en tant que tels (comme les Noirs en France "m</w:t>
      </w:r>
      <w:r w:rsidRPr="000D4BC6">
        <w:t>é</w:t>
      </w:r>
      <w:r>
        <w:t>tropolitaine' </w:t>
      </w:r>
      <w:r>
        <w:rPr>
          <w:rStyle w:val="Appelnotedebasdep"/>
        </w:rPr>
        <w:footnoteReference w:id="8"/>
      </w:r>
      <w:r w:rsidRPr="000D4BC6">
        <w:t>). Cette catégorisation charrie un ensemble de connot</w:t>
      </w:r>
      <w:r w:rsidRPr="000D4BC6">
        <w:t>a</w:t>
      </w:r>
      <w:r w:rsidRPr="000D4BC6">
        <w:t>tions biologiques et/ou culturelles. Certains auteurs la qualifient de</w:t>
      </w:r>
      <w:r>
        <w:t xml:space="preserve"> "raciale" et d'autres d'"ethni</w:t>
      </w:r>
      <w:r w:rsidRPr="000D4BC6">
        <w:t>que"</w:t>
      </w:r>
      <w:r>
        <w:t> </w:t>
      </w:r>
      <w:r>
        <w:rPr>
          <w:rStyle w:val="Appelnotedebasdep"/>
        </w:rPr>
        <w:footnoteReference w:id="9"/>
      </w:r>
      <w:r w:rsidRPr="000D4BC6">
        <w:t xml:space="preserve"> plutôt que d'"ethnoraciale". Le pr</w:t>
      </w:r>
      <w:r w:rsidRPr="000D4BC6">
        <w:t>o</w:t>
      </w:r>
      <w:r w:rsidRPr="000D4BC6">
        <w:t>pos est ici moins de prendre parti pour l'une ou l'autre de ces appell</w:t>
      </w:r>
      <w:r w:rsidRPr="000D4BC6">
        <w:t>a</w:t>
      </w:r>
      <w:r w:rsidRPr="000D4BC6">
        <w:t>tions que d'étudier, dans des contextes sociaux précis, les conséque</w:t>
      </w:r>
      <w:r w:rsidRPr="000D4BC6">
        <w:t>n</w:t>
      </w:r>
      <w:r w:rsidRPr="000D4BC6">
        <w:t>ces concrètes de cette catégorisation sur l'accès aux soins des perso</w:t>
      </w:r>
      <w:r w:rsidRPr="000D4BC6">
        <w:t>n</w:t>
      </w:r>
      <w:r w:rsidRPr="000D4BC6">
        <w:t>nes auxquelles elle s'applique.</w:t>
      </w:r>
    </w:p>
    <w:p w:rsidR="009E0D39" w:rsidRPr="000D4BC6" w:rsidRDefault="009E0D39" w:rsidP="009E0D39">
      <w:pPr>
        <w:spacing w:before="120" w:after="120"/>
        <w:jc w:val="both"/>
      </w:pPr>
      <w:r w:rsidRPr="000D4BC6">
        <w:t>Revenons donc aux discriminations dans l'accès aux soins, dont il a été dit précédemment qu'elles sont rarement étudiées. La légitimité attachée aux soins — qui a justifié la mise en place, au cours des de</w:t>
      </w:r>
      <w:r w:rsidRPr="000D4BC6">
        <w:t>r</w:t>
      </w:r>
      <w:r w:rsidRPr="000D4BC6">
        <w:t>nières décennies, d'une succession de politiques de lutte contre l'e</w:t>
      </w:r>
      <w:r w:rsidRPr="000D4BC6">
        <w:t>x</w:t>
      </w:r>
      <w:r w:rsidRPr="000D4BC6">
        <w:t>clusion des soins — rend en effet difficilement conceptualisable l'h</w:t>
      </w:r>
      <w:r w:rsidRPr="000D4BC6">
        <w:t>y</w:t>
      </w:r>
      <w:r w:rsidRPr="000D4BC6">
        <w:t>pothèse d'une différenciation des soins selon des critères autres que médicaux. Quelques études ont tout de même envisagé cette question. Certaines d'entre elles, parce qu'elles sont quantitatives et qu'elles d</w:t>
      </w:r>
      <w:r w:rsidRPr="000D4BC6">
        <w:t>é</w:t>
      </w:r>
      <w:r w:rsidRPr="000D4BC6">
        <w:t>finissent par conséquent leurs populations d'étude selon les catégories de la statistique française, n'ont pu identifier les victimes que selon leur national</w:t>
      </w:r>
      <w:r w:rsidRPr="000D4BC6">
        <w:t>i</w:t>
      </w:r>
      <w:r w:rsidRPr="000D4BC6">
        <w:t>té et leur pays de naissance</w:t>
      </w:r>
      <w:r>
        <w:t> </w:t>
      </w:r>
      <w:r>
        <w:rPr>
          <w:rStyle w:val="Appelnotedebasdep"/>
        </w:rPr>
        <w:footnoteReference w:id="10"/>
      </w:r>
      <w:r w:rsidRPr="000D4BC6">
        <w:t>. D'</w:t>
      </w:r>
      <w:r>
        <w:t>autres, qualitatives, ont appré</w:t>
      </w:r>
      <w:r w:rsidRPr="000D4BC6">
        <w:t>hendé</w:t>
      </w:r>
      <w:r>
        <w:rPr>
          <w:szCs w:val="16"/>
        </w:rPr>
        <w:t xml:space="preserve"> </w:t>
      </w:r>
      <w:r>
        <w:rPr>
          <w:bCs/>
          <w:szCs w:val="24"/>
        </w:rPr>
        <w:t>[39]</w:t>
      </w:r>
      <w:r w:rsidRPr="000D4BC6">
        <w:t xml:space="preserve"> des discriminations, les qualifiant alors de « raciales »</w:t>
      </w:r>
      <w:r>
        <w:t> </w:t>
      </w:r>
      <w:r>
        <w:rPr>
          <w:rStyle w:val="Appelnotedebasdep"/>
        </w:rPr>
        <w:footnoteReference w:id="11"/>
      </w:r>
      <w:r w:rsidRPr="000D4BC6">
        <w:t>, y compris quand elles sont pourtant, comme les préc</w:t>
      </w:r>
      <w:r w:rsidRPr="000D4BC6">
        <w:t>é</w:t>
      </w:r>
      <w:r w:rsidRPr="000D4BC6">
        <w:t>dentes, fondées sur une nationalité étrangère (par exemple dans le tra</w:t>
      </w:r>
      <w:r w:rsidRPr="000D4BC6">
        <w:t>i</w:t>
      </w:r>
      <w:r w:rsidRPr="000D4BC6">
        <w:t>tement discrim</w:t>
      </w:r>
      <w:r w:rsidRPr="000D4BC6">
        <w:t>i</w:t>
      </w:r>
      <w:r w:rsidRPr="000D4BC6">
        <w:t>natoire de dossiers d'assurés).</w:t>
      </w:r>
    </w:p>
    <w:p w:rsidR="009E0D39" w:rsidRPr="000D4BC6" w:rsidRDefault="009E0D39" w:rsidP="009E0D39">
      <w:pPr>
        <w:spacing w:before="120" w:after="120"/>
        <w:jc w:val="both"/>
      </w:pPr>
      <w:r w:rsidRPr="000D4BC6">
        <w:t>L'hypothèse qui fonde le présent article est que la compréhe</w:t>
      </w:r>
      <w:r w:rsidRPr="000D4BC6">
        <w:t>n</w:t>
      </w:r>
      <w:r w:rsidRPr="000D4BC6">
        <w:t>sion des discriminations selon l'origine, c'est-à-dire l'identification des pr</w:t>
      </w:r>
      <w:r w:rsidRPr="000D4BC6">
        <w:t>o</w:t>
      </w:r>
      <w:r w:rsidRPr="000D4BC6">
        <w:t>cessus qui les sécrètent et des contextes qui leur permettent de s'ép</w:t>
      </w:r>
      <w:r w:rsidRPr="000D4BC6">
        <w:t>a</w:t>
      </w:r>
      <w:r w:rsidRPr="000D4BC6">
        <w:t>nouir, requiert une analyse précisément différenciée de ces deux d</w:t>
      </w:r>
      <w:r w:rsidRPr="000D4BC6">
        <w:t>i</w:t>
      </w:r>
      <w:r w:rsidRPr="000D4BC6">
        <w:t xml:space="preserve">mensions de l'origine. Ainsi, aux </w:t>
      </w:r>
      <w:r>
        <w:t>État</w:t>
      </w:r>
      <w:r w:rsidRPr="000D4BC6">
        <w:t>s-Unis, où la statistique identifie plus volontiers les identités ethnoraci</w:t>
      </w:r>
      <w:r w:rsidRPr="000D4BC6">
        <w:t>a</w:t>
      </w:r>
      <w:r w:rsidRPr="000D4BC6">
        <w:t>les que les nationalités et les pays de naissance, la compréhe</w:t>
      </w:r>
      <w:r w:rsidRPr="000D4BC6">
        <w:t>n</w:t>
      </w:r>
      <w:r w:rsidRPr="000D4BC6">
        <w:t>sion des discriminations à l'œuvre derrière les inégalités dans l'accès aux soins mesurées entre les gro</w:t>
      </w:r>
      <w:r w:rsidRPr="000D4BC6">
        <w:t>u</w:t>
      </w:r>
      <w:r w:rsidRPr="000D4BC6">
        <w:t>pes ethno-raciaux pâtit de l'absence de données sur les étrangers et les immi</w:t>
      </w:r>
      <w:r>
        <w:t>grés </w:t>
      </w:r>
      <w:r>
        <w:rPr>
          <w:rStyle w:val="Appelnotedebasdep"/>
        </w:rPr>
        <w:footnoteReference w:id="12"/>
      </w:r>
      <w:r w:rsidRPr="000D4BC6">
        <w:t>. On peut en effet supposer que les discriminations ne pr</w:t>
      </w:r>
      <w:r w:rsidRPr="000D4BC6">
        <w:t>o</w:t>
      </w:r>
      <w:r w:rsidRPr="000D4BC6">
        <w:t>cèdent pas des mêmes justifications et ne prennent pas appui, pour se mat</w:t>
      </w:r>
      <w:r w:rsidRPr="000D4BC6">
        <w:t>é</w:t>
      </w:r>
      <w:r w:rsidRPr="000D4BC6">
        <w:t>rialiser, sur les mêmes dispositifs concrets, selon que la victime est étrangère ou issue d'une minorité ethnoraciale, même si elles pe</w:t>
      </w:r>
      <w:r w:rsidRPr="000D4BC6">
        <w:t>u</w:t>
      </w:r>
      <w:r w:rsidRPr="000D4BC6">
        <w:t>vent aussi se recouper pour se renforcer mutuellement.</w:t>
      </w:r>
    </w:p>
    <w:p w:rsidR="009E0D39" w:rsidRPr="000D4BC6" w:rsidRDefault="009E0D39" w:rsidP="009E0D39">
      <w:pPr>
        <w:spacing w:before="120" w:after="120"/>
        <w:jc w:val="both"/>
      </w:pPr>
      <w:r w:rsidRPr="000D4BC6">
        <w:t>La discussion de cette hypothèse s'appuiera sur les résultats d'une enquête menée en France "métropolitaine" et en Guyane, département français situé en Amérique du Sud. Si les processus discriminatoires qui s'y déroulent procèdent bien de logiques similaires, leur déclina</w:t>
      </w:r>
      <w:r w:rsidRPr="000D4BC6">
        <w:t>i</w:t>
      </w:r>
      <w:r w:rsidRPr="000D4BC6">
        <w:t>son guyanaise s'avère la plus visible, facil</w:t>
      </w:r>
      <w:r w:rsidRPr="000D4BC6">
        <w:t>i</w:t>
      </w:r>
      <w:r w:rsidRPr="000D4BC6">
        <w:t>tant en retour la lecture de la "métropolitaine". Cette étude de terrain a procédé par entretiens semi-directifs menés entre 2001 et 2003 auprès de 175 professionnels de l'accès aux soins (soignants, travailleurs sociaux, agents de la Séc</w:t>
      </w:r>
      <w:r w:rsidRPr="000D4BC6">
        <w:t>u</w:t>
      </w:r>
      <w:r w:rsidRPr="000D4BC6">
        <w:t>rité sociale), dont 97 en Guya</w:t>
      </w:r>
      <w:r>
        <w:t>ne et 78 en "métropole" </w:t>
      </w:r>
      <w:r>
        <w:rPr>
          <w:rStyle w:val="Appelnotedebasdep"/>
        </w:rPr>
        <w:footnoteReference w:id="13"/>
      </w:r>
      <w:r w:rsidRPr="000D4BC6">
        <w:t>, et par des o</w:t>
      </w:r>
      <w:r w:rsidRPr="000D4BC6">
        <w:t>b</w:t>
      </w:r>
      <w:r w:rsidRPr="000D4BC6">
        <w:t>servations sur leurs lieux d'exercice.</w:t>
      </w:r>
    </w:p>
    <w:p w:rsidR="009E0D39" w:rsidRPr="000D4BC6" w:rsidRDefault="009E0D39" w:rsidP="009E0D39">
      <w:pPr>
        <w:spacing w:before="120" w:after="120"/>
        <w:jc w:val="both"/>
      </w:pPr>
      <w:r w:rsidRPr="000D4BC6">
        <w:t>La discrimination était définie comme suit : c'est un traitement di</w:t>
      </w:r>
      <w:r w:rsidRPr="000D4BC6">
        <w:t>f</w:t>
      </w:r>
      <w:r w:rsidRPr="000D4BC6">
        <w:t>férentiel — entendu le plus souvent au sens de défavora</w:t>
      </w:r>
      <w:r>
        <w:t>ble — et ill</w:t>
      </w:r>
      <w:r>
        <w:t>é</w:t>
      </w:r>
      <w:r w:rsidRPr="000D4BC6">
        <w:t>gitime</w:t>
      </w:r>
      <w:r>
        <w:t> </w:t>
      </w:r>
      <w:r>
        <w:rPr>
          <w:rStyle w:val="Appelnotedebasdep"/>
        </w:rPr>
        <w:footnoteReference w:id="14"/>
      </w:r>
      <w:r w:rsidRPr="000D4BC6">
        <w:t>.</w:t>
      </w:r>
      <w:r>
        <w:rPr>
          <w:szCs w:val="16"/>
        </w:rPr>
        <w:t xml:space="preserve"> </w:t>
      </w:r>
      <w:r>
        <w:rPr>
          <w:bCs/>
          <w:szCs w:val="24"/>
        </w:rPr>
        <w:t>[40]</w:t>
      </w:r>
      <w:r w:rsidRPr="000D4BC6">
        <w:t xml:space="preserve"> S'agissant de discriminations opérées par des profe</w:t>
      </w:r>
      <w:r w:rsidRPr="000D4BC6">
        <w:t>s</w:t>
      </w:r>
      <w:r w:rsidRPr="000D4BC6">
        <w:t>sionnels de l'accès aux soins, cette illégitimité a été évaluée au r</w:t>
      </w:r>
      <w:r w:rsidRPr="000D4BC6">
        <w:t>e</w:t>
      </w:r>
      <w:r w:rsidRPr="000D4BC6">
        <w:t>gard des « bonnes pratiques professionnelles », telles que déf</w:t>
      </w:r>
      <w:r w:rsidRPr="000D4BC6">
        <w:t>i</w:t>
      </w:r>
      <w:r w:rsidRPr="000D4BC6">
        <w:t>nies par la loi, mais aussi par la déontologie ou des connaissances actualisées. Ont donc été considérées discriminatoires des prat</w:t>
      </w:r>
      <w:r w:rsidRPr="000D4BC6">
        <w:t>i</w:t>
      </w:r>
      <w:r w:rsidRPr="000D4BC6">
        <w:t>ques différenciées selon l'origine (étrangère ou ethnoraciale) de façon inopportune du point de vue des bonnes pratiques profe</w:t>
      </w:r>
      <w:r w:rsidRPr="000D4BC6">
        <w:t>s</w:t>
      </w:r>
      <w:r w:rsidRPr="000D4BC6">
        <w:t>sionnelles.</w:t>
      </w:r>
    </w:p>
    <w:p w:rsidR="009E0D39" w:rsidRPr="000D4BC6" w:rsidRDefault="009E0D39" w:rsidP="009E0D39">
      <w:pPr>
        <w:spacing w:before="120" w:after="120"/>
        <w:jc w:val="both"/>
      </w:pPr>
      <w:r w:rsidRPr="000D4BC6">
        <w:t>Les professionnels ont été interrogés sur leurs représentations de l'origine et sur les traitements différentiels qu'ils réservent éventue</w:t>
      </w:r>
      <w:r w:rsidRPr="000D4BC6">
        <w:t>l</w:t>
      </w:r>
      <w:r w:rsidRPr="000D4BC6">
        <w:t>lement à certains de leurs usagers au nom de ces repr</w:t>
      </w:r>
      <w:r w:rsidRPr="000D4BC6">
        <w:t>é</w:t>
      </w:r>
      <w:r w:rsidRPr="000D4BC6">
        <w:t>sentations. Ce matériau a été soumis à une analyse qualitative.</w:t>
      </w:r>
    </w:p>
    <w:p w:rsidR="009E0D39" w:rsidRPr="000D4BC6" w:rsidRDefault="009E0D39" w:rsidP="009E0D39">
      <w:pPr>
        <w:spacing w:before="120" w:after="120"/>
        <w:jc w:val="both"/>
      </w:pPr>
      <w:r w:rsidRPr="000D4BC6">
        <w:t>Quant à la définition de l'accès aux soins, elle incluait l'accès à une couverture maladie. Ce dernier réside même au cœur de l'analyse, car la couverture maladie est un déterminant majeur d'un accès à des soins continus et de bonne qualité. Selon une étude quantitative récente, elle contribuerait même plus que toute une série de variables (telles que le sexe, l'âge et le statut socio</w:t>
      </w:r>
      <w:r w:rsidRPr="000D4BC6">
        <w:t>é</w:t>
      </w:r>
      <w:r w:rsidRPr="000D4BC6">
        <w:t>conomique) aux inégalités d'accès aux soins entre étrangers et Français</w:t>
      </w:r>
      <w:r>
        <w:t> </w:t>
      </w:r>
      <w:r>
        <w:rPr>
          <w:rStyle w:val="Appelnotedebasdep"/>
        </w:rPr>
        <w:footnoteReference w:id="15"/>
      </w:r>
      <w:r w:rsidRPr="000D4BC6">
        <w:t>.</w:t>
      </w:r>
    </w:p>
    <w:p w:rsidR="009E0D39" w:rsidRPr="000D4BC6" w:rsidRDefault="009E0D39" w:rsidP="009E0D39">
      <w:pPr>
        <w:spacing w:before="120" w:after="120"/>
        <w:jc w:val="both"/>
      </w:pPr>
      <w:r w:rsidRPr="000D4BC6">
        <w:t>Le matériau de l'enquête a donc été recueilli auprès des a</w:t>
      </w:r>
      <w:r w:rsidRPr="000D4BC6">
        <w:t>u</w:t>
      </w:r>
      <w:r w:rsidRPr="000D4BC6">
        <w:t>teurs ou des témoins des traitements discriminatoires, et non des victimes. Ont été analysés la façon dont l'auteur justifie la discrimination — sa pe</w:t>
      </w:r>
      <w:r w:rsidRPr="000D4BC6">
        <w:t>r</w:t>
      </w:r>
      <w:r w:rsidRPr="000D4BC6">
        <w:t>ception de la différence d'origine et les r</w:t>
      </w:r>
      <w:r w:rsidRPr="000D4BC6">
        <w:t>e</w:t>
      </w:r>
      <w:r w:rsidRPr="000D4BC6">
        <w:t>présentations qu'il lui associe — puis les dispositifs concrets qui permettent à ces représentations de se matérialiser dans des prat</w:t>
      </w:r>
      <w:r w:rsidRPr="000D4BC6">
        <w:t>i</w:t>
      </w:r>
      <w:r w:rsidRPr="000D4BC6">
        <w:t>ques discriminatoires. En revanche, la perception qu'en a la vi</w:t>
      </w:r>
      <w:r w:rsidRPr="000D4BC6">
        <w:t>c</w:t>
      </w:r>
      <w:r w:rsidRPr="000D4BC6">
        <w:t>time (en particulier son sentiment d'avoir été discriminée ou pas) ne faisait pas partie du cadre d'analyse. La déma</w:t>
      </w:r>
      <w:r w:rsidRPr="000D4BC6">
        <w:t>r</w:t>
      </w:r>
      <w:r w:rsidRPr="000D4BC6">
        <w:t>che de cette enquête se situait ainsi à l'opposé de celles d'autres enqu</w:t>
      </w:r>
      <w:r w:rsidRPr="000D4BC6">
        <w:t>ê</w:t>
      </w:r>
      <w:r w:rsidRPr="000D4BC6">
        <w:t>tes qui, en se fondant sur le témoignage de personnes s'estimant di</w:t>
      </w:r>
      <w:r w:rsidRPr="000D4BC6">
        <w:t>s</w:t>
      </w:r>
      <w:r w:rsidRPr="000D4BC6">
        <w:t>crim</w:t>
      </w:r>
      <w:r w:rsidRPr="000D4BC6">
        <w:t>i</w:t>
      </w:r>
      <w:r w:rsidRPr="000D4BC6">
        <w:t>nées, analysent le "pourquoi" de la discrimination à partir non pas des représentations de leurs auteurs, mais des caractéristiques s</w:t>
      </w:r>
      <w:r w:rsidRPr="000D4BC6">
        <w:t>o</w:t>
      </w:r>
      <w:r w:rsidRPr="000D4BC6">
        <w:t>ciales de leurs victimes</w:t>
      </w:r>
      <w:r>
        <w:t> </w:t>
      </w:r>
      <w:r>
        <w:rPr>
          <w:rStyle w:val="Appelnotedebasdep"/>
        </w:rPr>
        <w:footnoteReference w:id="16"/>
      </w:r>
      <w:r w:rsidRPr="000D4BC6">
        <w:t>.</w:t>
      </w:r>
    </w:p>
    <w:p w:rsidR="009E0D39" w:rsidRPr="000D4BC6" w:rsidRDefault="009E0D39" w:rsidP="009E0D39">
      <w:pPr>
        <w:spacing w:before="120" w:after="120"/>
        <w:jc w:val="both"/>
      </w:pPr>
      <w:r>
        <w:t>[41]</w:t>
      </w:r>
    </w:p>
    <w:p w:rsidR="009E0D39" w:rsidRPr="000D4BC6" w:rsidRDefault="009E0D39" w:rsidP="009E0D39">
      <w:pPr>
        <w:spacing w:before="120" w:after="120"/>
        <w:jc w:val="both"/>
      </w:pPr>
      <w:r w:rsidRPr="000D4BC6">
        <w:t>Une des limites de notre enquête est donc qu'elle ne pouvait pas mettre au jour ce qui n'était pas rapporté ni par les auteurs ni par les témoins (et qui en revanche auraient pu l'être par les vi</w:t>
      </w:r>
      <w:r w:rsidRPr="000D4BC6">
        <w:t>c</w:t>
      </w:r>
      <w:r w:rsidRPr="000D4BC6">
        <w:t>times). De plus, que l'enquête recueille exclusivement le point de vue des auteurs ou bien celui des victimes, elle ne permet pas d'analyser la dimension dynamique, interactive, de la production des discriminations : co</w:t>
      </w:r>
      <w:r w:rsidRPr="000D4BC6">
        <w:t>m</w:t>
      </w:r>
      <w:r w:rsidRPr="000D4BC6">
        <w:t>ment celles-ci suscitent des réactions chez les victimes (telles que l'i</w:t>
      </w:r>
      <w:r w:rsidRPr="000D4BC6">
        <w:t>n</w:t>
      </w:r>
      <w:r w:rsidRPr="000D4BC6">
        <w:t>tériorisation du rejet ou la revendication de la différence, ou de l'a</w:t>
      </w:r>
      <w:r w:rsidRPr="000D4BC6">
        <w:t>b</w:t>
      </w:r>
      <w:r w:rsidRPr="000D4BC6">
        <w:t>sence de différence), susceptibles d'interférer à leur tour sur la produ</w:t>
      </w:r>
      <w:r w:rsidRPr="000D4BC6">
        <w:t>c</w:t>
      </w:r>
      <w:r w:rsidRPr="000D4BC6">
        <w:t>tion de discriminations.</w:t>
      </w:r>
    </w:p>
    <w:p w:rsidR="009E0D39" w:rsidRDefault="009E0D39" w:rsidP="009E0D39">
      <w:pPr>
        <w:spacing w:before="120" w:after="120"/>
        <w:jc w:val="both"/>
        <w:rPr>
          <w:bCs/>
          <w:szCs w:val="28"/>
        </w:rPr>
      </w:pPr>
    </w:p>
    <w:p w:rsidR="009E0D39" w:rsidRPr="000D4BC6" w:rsidRDefault="009E0D39" w:rsidP="009E0D39">
      <w:pPr>
        <w:pStyle w:val="a"/>
      </w:pPr>
      <w:bookmarkStart w:id="4" w:name="De_etranger_2"/>
      <w:r w:rsidRPr="000D4BC6">
        <w:t>Les discriminati</w:t>
      </w:r>
      <w:r>
        <w:t>ons à rencontre des étrangers :</w:t>
      </w:r>
      <w:r>
        <w:br/>
      </w:r>
      <w:r w:rsidRPr="000D4BC6">
        <w:t>l'illégitimité du sans-papier</w:t>
      </w:r>
    </w:p>
    <w:bookmarkEnd w:id="4"/>
    <w:p w:rsidR="009E0D39" w:rsidRDefault="009E0D39" w:rsidP="009E0D39">
      <w:pPr>
        <w:spacing w:before="120" w:after="120"/>
        <w:jc w:val="both"/>
      </w:pPr>
    </w:p>
    <w:p w:rsidR="009E0D39" w:rsidRPr="00384B20" w:rsidRDefault="009E0D39" w:rsidP="009E0D39">
      <w:pPr>
        <w:ind w:right="90" w:firstLine="0"/>
        <w:jc w:val="both"/>
        <w:rPr>
          <w:sz w:val="20"/>
        </w:rPr>
      </w:pPr>
      <w:hyperlink w:anchor="tdm" w:history="1">
        <w:r w:rsidRPr="00384B20">
          <w:rPr>
            <w:rStyle w:val="Lienhypertexte"/>
            <w:sz w:val="20"/>
          </w:rPr>
          <w:t>Retour à la table des matières</w:t>
        </w:r>
      </w:hyperlink>
    </w:p>
    <w:p w:rsidR="009E0D39" w:rsidRPr="000D4BC6" w:rsidRDefault="009E0D39" w:rsidP="009E0D39">
      <w:pPr>
        <w:spacing w:before="120" w:after="120"/>
        <w:jc w:val="both"/>
      </w:pPr>
      <w:r w:rsidRPr="000D4BC6">
        <w:t>Lorsqu'elles consistent en une restriction de la réglementation, les discriminations dans l'accès aux soins peuvent être repérées assez simplement</w:t>
      </w:r>
      <w:r>
        <w:t> </w:t>
      </w:r>
      <w:r>
        <w:rPr>
          <w:rStyle w:val="Appelnotedebasdep"/>
        </w:rPr>
        <w:footnoteReference w:id="17"/>
      </w:r>
      <w:r w:rsidRPr="000D4BC6">
        <w:t>. Ce peut être, par exemple, l'exigence, par des agents des Caisses primaires d'assurance maladie (CPAM), de justificatifs non prévus par les textes. De telles pratiques peuvent ensuite être qu</w:t>
      </w:r>
      <w:r w:rsidRPr="000D4BC6">
        <w:t>a</w:t>
      </w:r>
      <w:r w:rsidRPr="000D4BC6">
        <w:t>lifiées de discriminatoires à l'encontre des étrangers s'il s'avère qu'e</w:t>
      </w:r>
      <w:r w:rsidRPr="000D4BC6">
        <w:t>l</w:t>
      </w:r>
      <w:r w:rsidRPr="000D4BC6">
        <w:t>les leur sont réservées. Les associations qui viennent en aide aux étrangers ayant besoin de soins constituent à cet égard, par leur expe</w:t>
      </w:r>
      <w:r w:rsidRPr="000D4BC6">
        <w:t>r</w:t>
      </w:r>
      <w:r w:rsidRPr="000D4BC6">
        <w:t>tise et leur présence sur le terrain, de précieuses sources d'inform</w:t>
      </w:r>
      <w:r w:rsidRPr="000D4BC6">
        <w:t>a</w:t>
      </w:r>
      <w:r w:rsidRPr="000D4BC6">
        <w:t>tion</w:t>
      </w:r>
      <w:r>
        <w:t> </w:t>
      </w:r>
      <w:r>
        <w:rPr>
          <w:rStyle w:val="Appelnotedebasdep"/>
        </w:rPr>
        <w:footnoteReference w:id="18"/>
      </w:r>
      <w:r w:rsidRPr="000D4BC6">
        <w:t>.</w:t>
      </w:r>
    </w:p>
    <w:p w:rsidR="009E0D39" w:rsidRPr="000D4BC6" w:rsidRDefault="009E0D39" w:rsidP="009E0D39">
      <w:pPr>
        <w:spacing w:before="120" w:after="120"/>
        <w:jc w:val="both"/>
      </w:pPr>
      <w:r w:rsidRPr="000D4BC6">
        <w:t>La compréhension de ces pratiques discriminatoires à l'e</w:t>
      </w:r>
      <w:r w:rsidRPr="000D4BC6">
        <w:t>n</w:t>
      </w:r>
      <w:r w:rsidRPr="000D4BC6">
        <w:t>contre des étrangers peut être éclairée par une contextualisation politique. Les gouvernements conduisent depuis une trentaine d'années des pol</w:t>
      </w:r>
      <w:r w:rsidRPr="000D4BC6">
        <w:t>i</w:t>
      </w:r>
      <w:r w:rsidRPr="000D4BC6">
        <w:t>tiques dites de « maîtrise des flux migratoires » qu'ils justifient au nom du ralentissement de la croissance économique et de la progre</w:t>
      </w:r>
      <w:r w:rsidRPr="000D4BC6">
        <w:t>s</w:t>
      </w:r>
      <w:r w:rsidRPr="000D4BC6">
        <w:t>sion du chômage. L'un des leviers de cette maîtrise serait, selon eux, la restriction des droits sociaux des étrangers sans papiers, censée r</w:t>
      </w:r>
      <w:r w:rsidRPr="000D4BC6">
        <w:t>é</w:t>
      </w:r>
      <w:r>
        <w:t>duire l’</w:t>
      </w:r>
      <w:r w:rsidRPr="000D4BC6">
        <w:t>attractivité de la France aux yeux des candidats à l'émigration. Cette restriction serait de surcroît une mesure d'économie, toujours bienvenue pour un budget social déficitaire. Au cours des 15 dernières a</w:t>
      </w:r>
      <w:r w:rsidRPr="000D4BC6">
        <w:t>n</w:t>
      </w:r>
      <w:r w:rsidRPr="000D4BC6">
        <w:t>nées, les droits</w:t>
      </w:r>
      <w:r>
        <w:t xml:space="preserve"> [42] </w:t>
      </w:r>
      <w:r w:rsidRPr="000D4BC6">
        <w:t>de sans-papiers à une couverture maladie ont ainsi été progress</w:t>
      </w:r>
      <w:r w:rsidRPr="000D4BC6">
        <w:t>i</w:t>
      </w:r>
      <w:r w:rsidRPr="000D4BC6">
        <w:t>vement restreints au nom de l'intérêt général</w:t>
      </w:r>
      <w:r>
        <w:t> </w:t>
      </w:r>
      <w:r>
        <w:rPr>
          <w:rStyle w:val="Appelnotedebasdep"/>
        </w:rPr>
        <w:footnoteReference w:id="19"/>
      </w:r>
      <w:r w:rsidRPr="000D4BC6">
        <w:t>.</w:t>
      </w:r>
    </w:p>
    <w:p w:rsidR="009E0D39" w:rsidRPr="000D4BC6" w:rsidRDefault="009E0D39" w:rsidP="009E0D39">
      <w:pPr>
        <w:spacing w:before="120" w:after="120"/>
        <w:jc w:val="both"/>
      </w:pPr>
      <w:r w:rsidRPr="000D4BC6">
        <w:t>Or cette politique s'inscrit à contre-courant d'une autre polit</w:t>
      </w:r>
      <w:r w:rsidRPr="000D4BC6">
        <w:t>i</w:t>
      </w:r>
      <w:r w:rsidRPr="000D4BC6">
        <w:t>que, conduite en France depuis plusieurs dizaines d'années, qui vise à pe</w:t>
      </w:r>
      <w:r w:rsidRPr="000D4BC6">
        <w:t>r</w:t>
      </w:r>
      <w:r w:rsidRPr="000D4BC6">
        <w:t>mettre au plus grand nombre de bénéficier d'une co</w:t>
      </w:r>
      <w:r w:rsidRPr="000D4BC6">
        <w:t>u</w:t>
      </w:r>
      <w:r w:rsidRPr="000D4BC6">
        <w:t>verture maladie, et dont le vote en</w:t>
      </w:r>
      <w:r>
        <w:t xml:space="preserve"> 1</w:t>
      </w:r>
      <w:r w:rsidRPr="000D4BC6">
        <w:t>999 de la loi Couverture m</w:t>
      </w:r>
      <w:r w:rsidRPr="000D4BC6">
        <w:t>a</w:t>
      </w:r>
      <w:r w:rsidRPr="000D4BC6">
        <w:t>ladie universelle (</w:t>
      </w:r>
      <w:r>
        <w:t>CMU) représente une étape phare </w:t>
      </w:r>
      <w:r>
        <w:rPr>
          <w:rStyle w:val="Appelnotedebasdep"/>
        </w:rPr>
        <w:footnoteReference w:id="20"/>
      </w:r>
      <w:r w:rsidRPr="000D4BC6">
        <w:t>. Ainsi, alors que les politiques sociales s'efforcent d'intégrer les plus précaires au système de prote</w:t>
      </w:r>
      <w:r w:rsidRPr="000D4BC6">
        <w:t>c</w:t>
      </w:r>
      <w:r w:rsidRPr="000D4BC6">
        <w:t>tion sociale, les politiques migratoires te</w:t>
      </w:r>
      <w:r w:rsidRPr="000D4BC6">
        <w:t>n</w:t>
      </w:r>
      <w:r w:rsidRPr="000D4BC6">
        <w:t>dent à exclure de celle-ci les sans-papiers, c'est-à-dire les plus précaires d'entre les précaires</w:t>
      </w:r>
      <w:r>
        <w:t> </w:t>
      </w:r>
      <w:r>
        <w:rPr>
          <w:rStyle w:val="Appelnotedebasdep"/>
        </w:rPr>
        <w:footnoteReference w:id="21"/>
      </w:r>
      <w:r w:rsidRPr="000D4BC6">
        <w:t>.</w:t>
      </w:r>
    </w:p>
    <w:p w:rsidR="009E0D39" w:rsidRPr="000D4BC6" w:rsidRDefault="009E0D39" w:rsidP="009E0D39">
      <w:pPr>
        <w:spacing w:before="120" w:after="120"/>
        <w:jc w:val="both"/>
      </w:pPr>
      <w:r w:rsidRPr="000D4BC6">
        <w:t>Les professionnels chargés d'accorder ces droits aux sans-papiers sont informés non seulement de cette évolution restrictive de la loi, mais aussi des arguments que mettent en avant les décideurs polit</w:t>
      </w:r>
      <w:r w:rsidRPr="000D4BC6">
        <w:t>i</w:t>
      </w:r>
      <w:r w:rsidRPr="000D4BC6">
        <w:t>ques pour la justifier. Ces derniers chargent d'ailleurs volontiers "la barque" des sans-papiers, accusés de faire une consommation de soins irresponsable, voire frauduleuse. Le contraste avec les politiques de lutte contre l'exclusion des soins suggère alors avec d'autant plus de force aux professionnels l'i</w:t>
      </w:r>
      <w:r w:rsidRPr="000D4BC6">
        <w:t>l</w:t>
      </w:r>
      <w:r w:rsidRPr="000D4BC6">
        <w:t>légitimité de ces étrangers auxquels est refusé ce que l'on tente de faire obtenir aux "autres précaires".</w:t>
      </w:r>
    </w:p>
    <w:p w:rsidR="009E0D39" w:rsidRPr="000D4BC6" w:rsidRDefault="009E0D39" w:rsidP="009E0D39">
      <w:pPr>
        <w:spacing w:before="120" w:after="120"/>
        <w:jc w:val="both"/>
      </w:pPr>
      <w:r w:rsidRPr="000D4BC6">
        <w:t>Ainsi, les professionnels qui appliquent la loi de façon plus restri</w:t>
      </w:r>
      <w:r w:rsidRPr="000D4BC6">
        <w:t>c</w:t>
      </w:r>
      <w:r w:rsidRPr="000D4BC6">
        <w:t>tive encore que ne le prévoient les textes s'en justifient en reprenant ces mêmes arguments, tels que la consommation e</w:t>
      </w:r>
      <w:r w:rsidRPr="000D4BC6">
        <w:t>x</w:t>
      </w:r>
      <w:r w:rsidRPr="000D4BC6">
        <w:t>cessive de soins par des étrangers venus en France exclusivement pour s'y faire so</w:t>
      </w:r>
      <w:r w:rsidRPr="000D4BC6">
        <w:t>i</w:t>
      </w:r>
      <w:r w:rsidRPr="000D4BC6">
        <w:t>gner. Bien qu'illégales, leurs pratiques sont donc néanmoins confo</w:t>
      </w:r>
      <w:r w:rsidRPr="000D4BC6">
        <w:t>r</w:t>
      </w:r>
      <w:r w:rsidRPr="000D4BC6">
        <w:t>mes à l'esprit des politiques. Elles n'ont même souvent qu'un 'temps d'avance" sur une loi qui finira par les entériner à l'occasion d'une r</w:t>
      </w:r>
      <w:r w:rsidRPr="000D4BC6">
        <w:t>é</w:t>
      </w:r>
      <w:r w:rsidRPr="000D4BC6">
        <w:t>forme ultérieure et plus</w:t>
      </w:r>
      <w:r>
        <w:t xml:space="preserve"> </w:t>
      </w:r>
      <w:r>
        <w:rPr>
          <w:bCs/>
          <w:szCs w:val="28"/>
        </w:rPr>
        <w:t xml:space="preserve">[43] </w:t>
      </w:r>
      <w:r w:rsidRPr="000D4BC6">
        <w:t>restric</w:t>
      </w:r>
      <w:r>
        <w:t>tive encore que les précédentes </w:t>
      </w:r>
      <w:r>
        <w:rPr>
          <w:rStyle w:val="Appelnotedebasdep"/>
        </w:rPr>
        <w:footnoteReference w:id="22"/>
      </w:r>
      <w:r w:rsidRPr="000D4BC6">
        <w:t>. Mais si les politiques m</w:t>
      </w:r>
      <w:r w:rsidRPr="000D4BC6">
        <w:t>i</w:t>
      </w:r>
      <w:r w:rsidRPr="000D4BC6">
        <w:t>gratoires nationales préparent ainsi un terrain propice aux discrimin</w:t>
      </w:r>
      <w:r w:rsidRPr="000D4BC6">
        <w:t>a</w:t>
      </w:r>
      <w:r w:rsidRPr="000D4BC6">
        <w:t>tions, le contexte local a lui aussi son impo</w:t>
      </w:r>
      <w:r w:rsidRPr="000D4BC6">
        <w:t>r</w:t>
      </w:r>
      <w:r w:rsidRPr="000D4BC6">
        <w:t>tance en fav</w:t>
      </w:r>
      <w:r w:rsidRPr="000D4BC6">
        <w:t>o</w:t>
      </w:r>
      <w:r w:rsidRPr="000D4BC6">
        <w:t>risant plus ou moins leur épanouissement.</w:t>
      </w:r>
    </w:p>
    <w:p w:rsidR="009E0D39" w:rsidRPr="000D4BC6" w:rsidRDefault="009E0D39" w:rsidP="009E0D39">
      <w:pPr>
        <w:spacing w:before="120" w:after="120"/>
        <w:jc w:val="both"/>
      </w:pPr>
      <w:r w:rsidRPr="000D4BC6">
        <w:t>Un premier élément significatif de ce contexte local est l'a</w:t>
      </w:r>
      <w:r w:rsidRPr="000D4BC6">
        <w:t>f</w:t>
      </w:r>
      <w:r w:rsidRPr="000D4BC6">
        <w:t>fluence des usagers étrangers dans les établissements d'ouverture de droits à une couverture maladie : son importance favorise la suspicion d'abus dans leur prétention à bénéficier de ces droits. Ainsi la comparaison de plusieurs villes de "métropole" a-t-elle fait apparaître que dans ce</w:t>
      </w:r>
      <w:r w:rsidRPr="000D4BC6">
        <w:t>l</w:t>
      </w:r>
      <w:r w:rsidRPr="000D4BC6">
        <w:t>les où les étrangers étaient les plus nombreux, les agents des CPAM avaient les commentaires les plus péjoratifs et regrettaient amèrement que la loi ne leur donne pas les moyens de s'opposer aux fraudes su</w:t>
      </w:r>
      <w:r w:rsidRPr="000D4BC6">
        <w:t>p</w:t>
      </w:r>
      <w:r w:rsidRPr="000D4BC6">
        <w:t>posées des étrangers. À l'inverse, dans celles où les usagers étrangers étaient moins nombreux, les professionnels n'évoquaient pas ce type de crainte et mettaient même en place des dispositifs pour aller à la reche</w:t>
      </w:r>
      <w:r w:rsidRPr="000D4BC6">
        <w:t>r</w:t>
      </w:r>
      <w:r w:rsidRPr="000D4BC6">
        <w:t>che des étrangers potentiellement bénéficiaires mais dont ils avaient perdu la trace suite à un changement d'adresse.</w:t>
      </w:r>
    </w:p>
    <w:p w:rsidR="009E0D39" w:rsidRPr="000D4BC6" w:rsidRDefault="009E0D39" w:rsidP="009E0D39">
      <w:pPr>
        <w:spacing w:before="120" w:after="120"/>
        <w:jc w:val="both"/>
      </w:pPr>
      <w:r w:rsidRPr="000D4BC6">
        <w:t>La Guyane présente de ce point de vue une figure extrême. L'i</w:t>
      </w:r>
      <w:r w:rsidRPr="000D4BC6">
        <w:t>m</w:t>
      </w:r>
      <w:r w:rsidRPr="000D4BC6">
        <w:t>migration très importante qu'elle connaît depuis les années 1960 (la</w:t>
      </w:r>
      <w:r>
        <w:t xml:space="preserve"> </w:t>
      </w:r>
      <w:r w:rsidRPr="000D4BC6">
        <w:t xml:space="preserve">population a été multipliée par neuf en un demi-siècle </w:t>
      </w:r>
      <w:r>
        <w:rPr>
          <w:rStyle w:val="Appelnotedebasdep"/>
        </w:rPr>
        <w:footnoteReference w:id="23"/>
      </w:r>
      <w:r w:rsidRPr="000D4BC6">
        <w:t>, un hab</w:t>
      </w:r>
      <w:r w:rsidRPr="000D4BC6">
        <w:t>i</w:t>
      </w:r>
      <w:r w:rsidRPr="000D4BC6">
        <w:t>tant sur trois est né à l'étranger</w:t>
      </w:r>
      <w:r>
        <w:t> </w:t>
      </w:r>
      <w:r>
        <w:rPr>
          <w:rStyle w:val="Appelnotedebasdep"/>
        </w:rPr>
        <w:footnoteReference w:id="24"/>
      </w:r>
      <w:r w:rsidRPr="000D4BC6">
        <w:t>) fait l'objet de politiques plus sévères que</w:t>
      </w:r>
      <w:r>
        <w:t xml:space="preserve"> </w:t>
      </w:r>
      <w:r w:rsidRPr="000D4BC6">
        <w:t>nulle part ailleurs sur le terri</w:t>
      </w:r>
      <w:r>
        <w:t>toire français, excepté Mayotte </w:t>
      </w:r>
      <w:r>
        <w:rPr>
          <w:rStyle w:val="Appelnotedebasdep"/>
        </w:rPr>
        <w:footnoteReference w:id="25"/>
      </w:r>
      <w:r w:rsidRPr="000D4BC6">
        <w:t>. Ces pol</w:t>
      </w:r>
      <w:r w:rsidRPr="000D4BC6">
        <w:t>i</w:t>
      </w:r>
      <w:r w:rsidRPr="000D4BC6">
        <w:t>tiques, permises par un régime dérogatoire au droit commun dans le domaine du droit des étrangers, accroissent l'illégitimité de l'immigr</w:t>
      </w:r>
      <w:r w:rsidRPr="000D4BC6">
        <w:t>a</w:t>
      </w:r>
      <w:r w:rsidRPr="000D4BC6">
        <w:t>tion aux yeux de la population guyanaise. En outre, si la Guyane est pauvre au regard des standards fra</w:t>
      </w:r>
      <w:r w:rsidRPr="000D4BC6">
        <w:t>n</w:t>
      </w:r>
      <w:r w:rsidRPr="000D4BC6">
        <w:t>çais, les pays voisins (Surinam, Haïti, Brésil, Guyana), dont sont issus les étrangers qui émigrent en Guyane, sont bien plus pa</w:t>
      </w:r>
      <w:r w:rsidRPr="000D4BC6">
        <w:t>u</w:t>
      </w:r>
      <w:r w:rsidRPr="000D4BC6">
        <w:t>vres encore</w:t>
      </w:r>
      <w:r>
        <w:t> </w:t>
      </w:r>
      <w:r>
        <w:rPr>
          <w:rStyle w:val="Appelnotedebasdep"/>
        </w:rPr>
        <w:footnoteReference w:id="26"/>
      </w:r>
      <w:r w:rsidRPr="000D4BC6">
        <w:t> ; ces étrangers connaissent par</w:t>
      </w:r>
      <w:r>
        <w:t xml:space="preserve"> [44] </w:t>
      </w:r>
      <w:r w:rsidRPr="000D4BC6">
        <w:t xml:space="preserve">conséquent des conditions de vie particulièrement précaires. </w:t>
      </w:r>
      <w:r>
        <w:t>Ainsi, par exemple, on compte 3</w:t>
      </w:r>
      <w:r w:rsidRPr="000D4BC6">
        <w:t>% d'allocataires du revenu minimum d'inse</w:t>
      </w:r>
      <w:r w:rsidRPr="000D4BC6">
        <w:t>r</w:t>
      </w:r>
      <w:r w:rsidRPr="000D4BC6">
        <w:t xml:space="preserve">tion </w:t>
      </w:r>
      <w:r w:rsidRPr="000D4BC6">
        <w:rPr>
          <w:smallCaps/>
        </w:rPr>
        <w:t xml:space="preserve">(rmi) </w:t>
      </w:r>
      <w:r>
        <w:t>en France contre 13% en Guyane </w:t>
      </w:r>
      <w:r>
        <w:rPr>
          <w:rStyle w:val="Appelnotedebasdep"/>
        </w:rPr>
        <w:footnoteReference w:id="27"/>
      </w:r>
      <w:r>
        <w:t>, mais 48</w:t>
      </w:r>
      <w:r w:rsidRPr="000D4BC6">
        <w:t xml:space="preserve">% des allocataires de </w:t>
      </w:r>
      <w:r>
        <w:t>Guyane sont étrangers contre 14</w:t>
      </w:r>
      <w:r w:rsidRPr="000D4BC6">
        <w:t xml:space="preserve">% de ceux de </w:t>
      </w:r>
      <w:r>
        <w:t>Fra</w:t>
      </w:r>
      <w:r>
        <w:t>n</w:t>
      </w:r>
      <w:r>
        <w:t>ce </w:t>
      </w:r>
      <w:r>
        <w:rPr>
          <w:rStyle w:val="Appelnotedebasdep"/>
        </w:rPr>
        <w:footnoteReference w:id="28"/>
      </w:r>
      <w:r w:rsidRPr="000D4BC6">
        <w:t>. Les étrangers sont par la suite accusés d'impo</w:t>
      </w:r>
      <w:r w:rsidRPr="000D4BC6">
        <w:t>r</w:t>
      </w:r>
      <w:r w:rsidRPr="000D4BC6">
        <w:t>ter la pauvreté et avec elle la criminalité, et donc d'aggraver les difficultés économiques auxquelles est déjà confronté le dépa</w:t>
      </w:r>
      <w:r w:rsidRPr="000D4BC6">
        <w:t>r</w:t>
      </w:r>
      <w:r w:rsidRPr="000D4BC6">
        <w:t>tement.</w:t>
      </w:r>
    </w:p>
    <w:p w:rsidR="009E0D39" w:rsidRPr="000D4BC6" w:rsidRDefault="009E0D39" w:rsidP="009E0D39">
      <w:pPr>
        <w:spacing w:before="120" w:after="120"/>
        <w:jc w:val="both"/>
      </w:pPr>
      <w:r w:rsidRPr="000D4BC6">
        <w:t>Nombre d'agents de la Caisse de l'assurance maladie de la Guyane déplorent que les étrangers, par leur affluence très i</w:t>
      </w:r>
      <w:r w:rsidRPr="000D4BC6">
        <w:t>m</w:t>
      </w:r>
      <w:r w:rsidRPr="000D4BC6">
        <w:t>portante, saturent les services ; et en tant que citoyens guyanais, ils s'irritent de ce que ces mêmes usagers, par leur précarité s</w:t>
      </w:r>
      <w:r w:rsidRPr="000D4BC6">
        <w:t>o</w:t>
      </w:r>
      <w:r w:rsidRPr="000D4BC6">
        <w:t>cioéconomique qui en fait des prétendants à l'aide sociale, donc des "non-cotisants", déstabilisent l'ensemble du système social. Ainsi les discriminations relevant de restrictions dans l'accès aux droits des sans-papiers sont-elles plus o</w:t>
      </w:r>
      <w:r w:rsidRPr="000D4BC6">
        <w:t>u</w:t>
      </w:r>
      <w:r w:rsidRPr="000D4BC6">
        <w:t>vertement assumées en Guyane qu'en "métropole" par des professio</w:t>
      </w:r>
      <w:r w:rsidRPr="000D4BC6">
        <w:t>n</w:t>
      </w:r>
      <w:r w:rsidRPr="000D4BC6">
        <w:t>nels qui considèrent que la différence que présente la Guyane d'avec le territoire "métropolitain" (en termes de situation migratoire et éc</w:t>
      </w:r>
      <w:r w:rsidRPr="000D4BC6">
        <w:t>o</w:t>
      </w:r>
      <w:r w:rsidRPr="000D4BC6">
        <w:t>nomique) justifie que la protection sociale y soit moins généreuse à l'égard des étrangers sans papiers. Toute entrave à l'accès de ces de</w:t>
      </w:r>
      <w:r w:rsidRPr="000D4BC6">
        <w:t>r</w:t>
      </w:r>
      <w:r w:rsidRPr="000D4BC6">
        <w:t>niers au système socio-sanitaire peut alors être perçue comme un frein bienvenu à leur accès au territoire</w:t>
      </w:r>
      <w:r>
        <w:t> </w:t>
      </w:r>
      <w:r>
        <w:rPr>
          <w:rStyle w:val="Appelnotedebasdep"/>
        </w:rPr>
        <w:footnoteReference w:id="29"/>
      </w:r>
      <w:r w:rsidRPr="000D4BC6">
        <w:t>.</w:t>
      </w:r>
    </w:p>
    <w:p w:rsidR="009E0D39" w:rsidRPr="000D4BC6" w:rsidRDefault="009E0D39" w:rsidP="009E0D39">
      <w:pPr>
        <w:spacing w:before="120" w:after="120"/>
        <w:jc w:val="both"/>
      </w:pPr>
      <w:r w:rsidRPr="000D4BC6">
        <w:t>Un deuxième élément significatif du contexte local est la config</w:t>
      </w:r>
      <w:r w:rsidRPr="000D4BC6">
        <w:t>u</w:t>
      </w:r>
      <w:r w:rsidRPr="000D4BC6">
        <w:t>ration du système sociosanitaire, laquelle facilite plus ou moins la di</w:t>
      </w:r>
      <w:r w:rsidRPr="000D4BC6">
        <w:t>f</w:t>
      </w:r>
      <w:r w:rsidRPr="000D4BC6">
        <w:t>fusion des pratiques discriminatoires. Ainsi, en Guyane, la faiblesse des effectifs des professionnels sociosanitaires qualifiés (due aux di</w:t>
      </w:r>
      <w:r w:rsidRPr="000D4BC6">
        <w:t>f</w:t>
      </w:r>
      <w:r w:rsidRPr="000D4BC6">
        <w:t>ficultés à les recruter) donne un large espace d'influence à tout profe</w:t>
      </w:r>
      <w:r w:rsidRPr="000D4BC6">
        <w:t>s</w:t>
      </w:r>
      <w:r w:rsidRPr="000D4BC6">
        <w:t>sionnel doté de quelques respo</w:t>
      </w:r>
      <w:r w:rsidRPr="000D4BC6">
        <w:t>n</w:t>
      </w:r>
      <w:r w:rsidRPr="000D4BC6">
        <w:t>sabilités en matière d'accès aux droits des étrangers. Les éventuelles pratiques restrictives de ce professio</w:t>
      </w:r>
      <w:r w:rsidRPr="000D4BC6">
        <w:t>n</w:t>
      </w:r>
      <w:r w:rsidRPr="000D4BC6">
        <w:t>nel ne susciteront guère de critiques auprès de ses partenaires, trop mal informés des spécificités des droits des étrangers pour les relever, et qui pourront même les reproduire en pensant bien faire.</w:t>
      </w:r>
    </w:p>
    <w:p w:rsidR="009E0D39" w:rsidRPr="000D4BC6" w:rsidRDefault="009E0D39" w:rsidP="009E0D39">
      <w:pPr>
        <w:spacing w:before="120" w:after="120"/>
        <w:jc w:val="both"/>
      </w:pPr>
      <w:r>
        <w:rPr>
          <w:bCs/>
        </w:rPr>
        <w:t>[45]</w:t>
      </w:r>
    </w:p>
    <w:p w:rsidR="009E0D39" w:rsidRPr="000D4BC6" w:rsidRDefault="009E0D39" w:rsidP="009E0D39">
      <w:pPr>
        <w:spacing w:before="120" w:after="120"/>
        <w:jc w:val="both"/>
      </w:pPr>
      <w:r w:rsidRPr="000D4BC6">
        <w:t>Ajoutons enfin que les individus victimes de discriminations n'ont guère de possibilités de recours (peu d'associations œuvrant dans le champ de la santé et impossibilité d'aller dans un dépa</w:t>
      </w:r>
      <w:r w:rsidRPr="000D4BC6">
        <w:t>r</w:t>
      </w:r>
      <w:r w:rsidRPr="000D4BC6">
        <w:t>tement voisin pour y trouver mieux), ce qui accroît l'impact effectif des discrimin</w:t>
      </w:r>
      <w:r w:rsidRPr="000D4BC6">
        <w:t>a</w:t>
      </w:r>
      <w:r w:rsidRPr="000D4BC6">
        <w:t>tions.</w:t>
      </w:r>
    </w:p>
    <w:p w:rsidR="009E0D39" w:rsidRDefault="009E0D39" w:rsidP="009E0D39">
      <w:pPr>
        <w:spacing w:before="120" w:after="120"/>
        <w:jc w:val="both"/>
        <w:rPr>
          <w:bCs/>
          <w:szCs w:val="28"/>
        </w:rPr>
      </w:pPr>
    </w:p>
    <w:p w:rsidR="009E0D39" w:rsidRPr="000D4BC6" w:rsidRDefault="009E0D39" w:rsidP="009E0D39">
      <w:pPr>
        <w:pStyle w:val="a"/>
      </w:pPr>
      <w:bookmarkStart w:id="5" w:name="De_etranger_3"/>
      <w:r w:rsidRPr="000D4BC6">
        <w:t>Les di</w:t>
      </w:r>
      <w:r>
        <w:t>scriminations "ethnoraciales" :</w:t>
      </w:r>
      <w:r>
        <w:br/>
      </w:r>
      <w:r w:rsidRPr="000D4BC6">
        <w:t>"l'Autre", pourtant fra</w:t>
      </w:r>
      <w:r w:rsidRPr="000D4BC6">
        <w:t>n</w:t>
      </w:r>
      <w:r w:rsidRPr="000D4BC6">
        <w:t>çais</w:t>
      </w:r>
    </w:p>
    <w:bookmarkEnd w:id="5"/>
    <w:p w:rsidR="009E0D39" w:rsidRDefault="009E0D39" w:rsidP="009E0D39">
      <w:pPr>
        <w:spacing w:before="120" w:after="120"/>
        <w:jc w:val="both"/>
      </w:pPr>
    </w:p>
    <w:p w:rsidR="009E0D39" w:rsidRPr="00384B20" w:rsidRDefault="009E0D39" w:rsidP="009E0D39">
      <w:pPr>
        <w:ind w:right="90" w:firstLine="0"/>
        <w:jc w:val="both"/>
        <w:rPr>
          <w:sz w:val="20"/>
        </w:rPr>
      </w:pPr>
      <w:hyperlink w:anchor="tdm" w:history="1">
        <w:r w:rsidRPr="00384B20">
          <w:rPr>
            <w:rStyle w:val="Lienhypertexte"/>
            <w:sz w:val="20"/>
          </w:rPr>
          <w:t>Retour à la table des matières</w:t>
        </w:r>
      </w:hyperlink>
    </w:p>
    <w:p w:rsidR="009E0D39" w:rsidRPr="000D4BC6" w:rsidRDefault="009E0D39" w:rsidP="009E0D39">
      <w:pPr>
        <w:spacing w:before="120" w:after="120"/>
        <w:jc w:val="both"/>
      </w:pPr>
      <w:r w:rsidRPr="000D4BC6">
        <w:t>Les discriminations dont il était question ci-dessus étaient opérées à l'encontre des étrangers : c'est au nom de représent</w:t>
      </w:r>
      <w:r w:rsidRPr="000D4BC6">
        <w:t>a</w:t>
      </w:r>
      <w:r w:rsidRPr="000D4BC6">
        <w:t>tions péjoratives à l'encontre des usagers étrangers que les auteurs justifiaient les di</w:t>
      </w:r>
      <w:r w:rsidRPr="000D4BC6">
        <w:t>s</w:t>
      </w:r>
      <w:r w:rsidRPr="000D4BC6">
        <w:t>criminations, et c'est parce qu'ils avaient la possibilité, concrètement, d'identifier leurs usagers par leur nationalité (mentionnée sur les do</w:t>
      </w:r>
      <w:r w:rsidRPr="000D4BC6">
        <w:t>s</w:t>
      </w:r>
      <w:r w:rsidRPr="000D4BC6">
        <w:t>siers), qu'ils avaient celle de mettre en pratique ces représentations. Etudier les discrimin</w:t>
      </w:r>
      <w:r w:rsidRPr="000D4BC6">
        <w:t>a</w:t>
      </w:r>
      <w:r w:rsidRPr="000D4BC6">
        <w:t>tions fondées sur l'identité ethnoraciale et non plus sur la nationalité étrangère est moins aisé, en raison non seul</w:t>
      </w:r>
      <w:r w:rsidRPr="000D4BC6">
        <w:t>e</w:t>
      </w:r>
      <w:r w:rsidRPr="000D4BC6">
        <w:t>ment de l'abse</w:t>
      </w:r>
      <w:r w:rsidRPr="000D4BC6">
        <w:t>n</w:t>
      </w:r>
      <w:r w:rsidRPr="000D4BC6">
        <w:t>ce de catégories ethnoraciales dans la statistique et la législation françaises, mais aussi de la censure relative dont font l'o</w:t>
      </w:r>
      <w:r w:rsidRPr="000D4BC6">
        <w:t>b</w:t>
      </w:r>
      <w:r w:rsidRPr="000D4BC6">
        <w:t>jet ces catégories jusque dans les discours recueillis par la recherche qualitative.</w:t>
      </w:r>
    </w:p>
    <w:p w:rsidR="009E0D39" w:rsidRPr="000D4BC6" w:rsidRDefault="009E0D39" w:rsidP="009E0D39">
      <w:pPr>
        <w:spacing w:before="120" w:after="120"/>
        <w:jc w:val="both"/>
      </w:pPr>
      <w:r w:rsidRPr="000D4BC6">
        <w:t>La situation diffère en Guyane car les individus y sont, de f</w:t>
      </w:r>
      <w:r w:rsidRPr="000D4BC6">
        <w:t>a</w:t>
      </w:r>
      <w:r w:rsidRPr="000D4BC6">
        <w:t>çon banale, désignés selon des catégories ethnoraciales, oral</w:t>
      </w:r>
      <w:r w:rsidRPr="000D4BC6">
        <w:t>e</w:t>
      </w:r>
      <w:r w:rsidRPr="000D4BC6">
        <w:t>ment mais aussi lors des recensements publics</w:t>
      </w:r>
      <w:r>
        <w:t> </w:t>
      </w:r>
      <w:r>
        <w:rPr>
          <w:rStyle w:val="Appelnotedebasdep"/>
        </w:rPr>
        <w:footnoteReference w:id="30"/>
      </w:r>
      <w:r w:rsidRPr="000D4BC6">
        <w:t>. Le terrain guy</w:t>
      </w:r>
      <w:r w:rsidRPr="000D4BC6">
        <w:t>a</w:t>
      </w:r>
      <w:r w:rsidRPr="000D4BC6">
        <w:t>nais ne donne ainsi pas simplement à voir de façon particulièr</w:t>
      </w:r>
      <w:r w:rsidRPr="000D4BC6">
        <w:t>e</w:t>
      </w:r>
      <w:r w:rsidRPr="000D4BC6">
        <w:t>ment flagrante ce qui est également observé en "métropole" — à l'instar de ce qu'on a dit précédemment des discriminations dans l'accès à une couverture m</w:t>
      </w:r>
      <w:r w:rsidRPr="000D4BC6">
        <w:t>a</w:t>
      </w:r>
      <w:r w:rsidRPr="000D4BC6">
        <w:t>ladie des étrangers sans papiers — il permet aussi de déchiffrer les conséquences dans l'accès aux soins du processus de minorisation ethnoraciale dont on "suppose bien" qu'elles existent également en "métropole", mais sans qu'on puisse pour autant aisément les y mettre au jour.</w:t>
      </w:r>
    </w:p>
    <w:p w:rsidR="009E0D39" w:rsidRPr="000D4BC6" w:rsidRDefault="009E0D39" w:rsidP="009E0D39">
      <w:pPr>
        <w:spacing w:before="120" w:after="120"/>
        <w:jc w:val="both"/>
      </w:pPr>
      <w:r>
        <w:t>Cependant, contrairement à l’</w:t>
      </w:r>
      <w:r w:rsidRPr="000D4BC6">
        <w:t>illégitimation des sans-papiers, dont la logique est la même en Guyane ou en "métropole", la le</w:t>
      </w:r>
      <w:r w:rsidRPr="000D4BC6">
        <w:t>c</w:t>
      </w:r>
      <w:r w:rsidRPr="000D4BC6">
        <w:t>ture de la "version guyanaise" du processus de minorisation r</w:t>
      </w:r>
      <w:r w:rsidRPr="000D4BC6">
        <w:t>e</w:t>
      </w:r>
      <w:r w:rsidRPr="000D4BC6">
        <w:t>quiert d'en connaître les codes et la syntaxe locale. Les catégories ethnoraciales sont en effet identifiées par des critères qui font sens dans la société qui les a sécrétées et dans elle seule. Pour comprendre ce processus de minorisation en Guyane, il est donc indispensable d'identifier les di</w:t>
      </w:r>
      <w:r w:rsidRPr="000D4BC6">
        <w:t>f</w:t>
      </w:r>
      <w:r w:rsidRPr="000D4BC6">
        <w:t>férentes</w:t>
      </w:r>
      <w:r>
        <w:t xml:space="preserve"> </w:t>
      </w:r>
      <w:r>
        <w:rPr>
          <w:bCs/>
          <w:szCs w:val="24"/>
        </w:rPr>
        <w:t xml:space="preserve">[46] </w:t>
      </w:r>
      <w:r w:rsidRPr="000D4BC6">
        <w:t>communautés, et plus précisément de repérer les conn</w:t>
      </w:r>
      <w:r w:rsidRPr="000D4BC6">
        <w:t>o</w:t>
      </w:r>
      <w:r w:rsidRPr="000D4BC6">
        <w:t>tations comportementales, les attributs culturels, les fragments d'hi</w:t>
      </w:r>
      <w:r w:rsidRPr="000D4BC6">
        <w:t>s</w:t>
      </w:r>
      <w:r w:rsidRPr="000D4BC6">
        <w:t>toire, etc. qui sont associés à chaque catégorie ethnoraciale, que tout un chacun connaît (quelque soit son avis sur la pertinence de tels liens) et sur lesquels se fonderont d'éventuelles pratiques discrimin</w:t>
      </w:r>
      <w:r w:rsidRPr="000D4BC6">
        <w:t>a</w:t>
      </w:r>
      <w:r w:rsidRPr="000D4BC6">
        <w:t>toires. Nous nous limiterons dans cet article aux relations tissées entre deux de ces communautés, les Créoles et les Noirs Marrons ; le dév</w:t>
      </w:r>
      <w:r w:rsidRPr="000D4BC6">
        <w:t>e</w:t>
      </w:r>
      <w:r w:rsidRPr="000D4BC6">
        <w:t>loppement qui suit ne prétend donc nullement dresser le tableau gén</w:t>
      </w:r>
      <w:r w:rsidRPr="000D4BC6">
        <w:t>é</w:t>
      </w:r>
      <w:r w:rsidRPr="000D4BC6">
        <w:t>ral des di</w:t>
      </w:r>
      <w:r w:rsidRPr="000D4BC6">
        <w:t>s</w:t>
      </w:r>
      <w:r>
        <w:t>criminations ethno</w:t>
      </w:r>
      <w:r w:rsidRPr="000D4BC6">
        <w:t>raciales dans l'accès aux soins en Guy</w:t>
      </w:r>
      <w:r w:rsidRPr="000D4BC6">
        <w:t>a</w:t>
      </w:r>
      <w:r w:rsidRPr="000D4BC6">
        <w:t>ne.</w:t>
      </w:r>
    </w:p>
    <w:p w:rsidR="009E0D39" w:rsidRPr="000D4BC6" w:rsidRDefault="009E0D39" w:rsidP="009E0D39">
      <w:pPr>
        <w:spacing w:before="120" w:after="120"/>
        <w:jc w:val="both"/>
      </w:pPr>
      <w:r w:rsidRPr="000D4BC6">
        <w:t>Créoles et Noirs Marrons ont pour ancêtres communs des e</w:t>
      </w:r>
      <w:r w:rsidRPr="000D4BC6">
        <w:t>s</w:t>
      </w:r>
      <w:r w:rsidRPr="000D4BC6">
        <w:t>claves amenés d'Afrique aux XVII</w:t>
      </w:r>
      <w:r w:rsidRPr="000D4BC6">
        <w:rPr>
          <w:vertAlign w:val="superscript"/>
        </w:rPr>
        <w:t>e</w:t>
      </w:r>
      <w:r w:rsidRPr="000D4BC6">
        <w:t xml:space="preserve"> et XVIII</w:t>
      </w:r>
      <w:r w:rsidRPr="000D4BC6">
        <w:rPr>
          <w:vertAlign w:val="superscript"/>
        </w:rPr>
        <w:t>e</w:t>
      </w:r>
      <w:r w:rsidRPr="000D4BC6">
        <w:t xml:space="preserve"> siècles. Les pr</w:t>
      </w:r>
      <w:r w:rsidRPr="000D4BC6">
        <w:t>e</w:t>
      </w:r>
      <w:r w:rsidRPr="000D4BC6">
        <w:t>miers ont été affranchis lors de l'abolition de l'esclavage en 1848 ; les seconds se sont échappés des plantations avant 1848 pour se réfugier dans la forêt qui recouvre l'intérieur du départ</w:t>
      </w:r>
      <w:r w:rsidRPr="000D4BC6">
        <w:t>e</w:t>
      </w:r>
      <w:r w:rsidRPr="000D4BC6">
        <w:t>ment. Alors que les premiers étaient progressivement assimilés à la société française et vivaient en major</w:t>
      </w:r>
      <w:r w:rsidRPr="000D4BC6">
        <w:t>i</w:t>
      </w:r>
      <w:r w:rsidRPr="000D4BC6">
        <w:t>té sur le littoral guyanais, les seconds sont restés dans l'intér</w:t>
      </w:r>
      <w:r>
        <w:t>ieur, un territoire immense (90</w:t>
      </w:r>
      <w:r w:rsidRPr="000D4BC6">
        <w:t>% d'un département grand comme le Portugal), couvert de forêts, à l'écart de la société de plantation puis de la société créole. Alors que les Créoles ont progressivement pris les rênes du pouvoir politique local (notamment à la suite de la départementalis</w:t>
      </w:r>
      <w:r w:rsidRPr="000D4BC6">
        <w:t>a</w:t>
      </w:r>
      <w:r>
        <w:t>tion de 1</w:t>
      </w:r>
      <w:r w:rsidRPr="000D4BC6">
        <w:t>946 puis de la décentralisation de 1982), ce</w:t>
      </w:r>
      <w:r>
        <w:t xml:space="preserve"> n'est qu'à partir des années 1</w:t>
      </w:r>
      <w:r w:rsidRPr="000D4BC6">
        <w:t>960 que les Noirs Marrons ont été "francisés", avec n</w:t>
      </w:r>
      <w:r w:rsidRPr="000D4BC6">
        <w:t>o</w:t>
      </w:r>
      <w:r w:rsidRPr="000D4BC6">
        <w:t>tamment l'introduction sur leur territoire des registres de l'état civil, du système de soins et d'éducation.</w:t>
      </w:r>
    </w:p>
    <w:p w:rsidR="009E0D39" w:rsidRPr="000D4BC6" w:rsidRDefault="009E0D39" w:rsidP="009E0D39">
      <w:pPr>
        <w:spacing w:before="120" w:after="120"/>
        <w:jc w:val="both"/>
      </w:pPr>
      <w:r w:rsidRPr="000D4BC6">
        <w:t>Ainsi, bien que leur installation sur le territoire guyanais soit aussi</w:t>
      </w:r>
      <w:r>
        <w:t xml:space="preserve"> ancienne que celle des Créoles </w:t>
      </w:r>
      <w:r>
        <w:rPr>
          <w:rStyle w:val="Appelnotedebasdep"/>
        </w:rPr>
        <w:footnoteReference w:id="31"/>
      </w:r>
      <w:r w:rsidRPr="000D4BC6">
        <w:t>, les Noirs Marrons sont en quelque sorte des nouveaux venus sur la scène de la citoyenneté département</w:t>
      </w:r>
      <w:r w:rsidRPr="000D4BC6">
        <w:t>a</w:t>
      </w:r>
      <w:r w:rsidRPr="000D4BC6">
        <w:t>le. Leur intégration au sein du système sociosanita</w:t>
      </w:r>
      <w:r w:rsidRPr="000D4BC6">
        <w:t>i</w:t>
      </w:r>
      <w:r w:rsidRPr="000D4BC6">
        <w:t>re peut alors être perçue comme récente et non méritée par des Créoles qui ont, eux, suivi un long processus d'assimilation (au sens d'"occidentalisation")</w:t>
      </w:r>
      <w:r>
        <w:t> </w:t>
      </w:r>
      <w:r>
        <w:rPr>
          <w:rStyle w:val="Appelnotedebasdep"/>
        </w:rPr>
        <w:footnoteReference w:id="32"/>
      </w:r>
      <w:r w:rsidRPr="000D4BC6">
        <w:t>.</w:t>
      </w:r>
    </w:p>
    <w:p w:rsidR="009E0D39" w:rsidRPr="000D4BC6" w:rsidRDefault="009E0D39" w:rsidP="009E0D39">
      <w:pPr>
        <w:spacing w:before="120" w:after="120"/>
        <w:jc w:val="both"/>
      </w:pPr>
      <w:r w:rsidRPr="000D4BC6">
        <w:t>Dans le champ de l'accès aux soins, une part importante des pr</w:t>
      </w:r>
      <w:r w:rsidRPr="000D4BC6">
        <w:t>o</w:t>
      </w:r>
      <w:r w:rsidRPr="000D4BC6">
        <w:t>fessionnels (infirmiers, travailleurs sociaux, agents de l'assurance m</w:t>
      </w:r>
      <w:r w:rsidRPr="000D4BC6">
        <w:t>a</w:t>
      </w:r>
      <w:r w:rsidRPr="000D4BC6">
        <w:t>ladie) auxquels ont affaire les Noirs Marrons est créole. Ces profe</w:t>
      </w:r>
      <w:r w:rsidRPr="000D4BC6">
        <w:t>s</w:t>
      </w:r>
      <w:r w:rsidRPr="000D4BC6">
        <w:t>sionnels</w:t>
      </w:r>
      <w:r>
        <w:t xml:space="preserve"> [47] </w:t>
      </w:r>
      <w:r w:rsidRPr="000D4BC6">
        <w:t>affirment observer et déplorer chez leurs usagers noirs marrons le caractère récent de leur "occidentalisation" qui se manife</w:t>
      </w:r>
      <w:r w:rsidRPr="000D4BC6">
        <w:t>s</w:t>
      </w:r>
      <w:r w:rsidRPr="000D4BC6">
        <w:t>terait par un usage inadéquat de l'offre sociosanitaire : maladresse dans les démarches administratives, recours à des soins dits "trad</w:t>
      </w:r>
      <w:r w:rsidRPr="000D4BC6">
        <w:t>i</w:t>
      </w:r>
      <w:r w:rsidRPr="000D4BC6">
        <w:t>tionnels", faible observance des soins biomédicaux, etc. Ces représe</w:t>
      </w:r>
      <w:r w:rsidRPr="000D4BC6">
        <w:t>n</w:t>
      </w:r>
      <w:r w:rsidRPr="000D4BC6">
        <w:t>tations sur l'immaturité supposée des Noirs Marrons motivent, à l'o</w:t>
      </w:r>
      <w:r w:rsidRPr="000D4BC6">
        <w:t>c</w:t>
      </w:r>
      <w:r w:rsidRPr="000D4BC6">
        <w:t>casion, des pr</w:t>
      </w:r>
      <w:r w:rsidRPr="000D4BC6">
        <w:t>a</w:t>
      </w:r>
      <w:r w:rsidRPr="000D4BC6">
        <w:t>tiques censées les contraindre à s'adapter au système sociosanitaire. Un exemple parmi d'autres est celui d'un agent de l'a</w:t>
      </w:r>
      <w:r w:rsidRPr="000D4BC6">
        <w:t>s</w:t>
      </w:r>
      <w:r w:rsidRPr="000D4BC6">
        <w:t>surance maladie qui refuse de lire à ses usagers noirs marrons ana</w:t>
      </w:r>
      <w:r w:rsidRPr="000D4BC6">
        <w:t>l</w:t>
      </w:r>
      <w:r w:rsidRPr="000D4BC6">
        <w:t>phabètes le descri</w:t>
      </w:r>
      <w:r w:rsidRPr="000D4BC6">
        <w:t>p</w:t>
      </w:r>
      <w:r w:rsidRPr="000D4BC6">
        <w:t>tif de leurs droits, écrit sur l'attestation de droits qu'il leur remet, au motif qu'il ne veut pas les assister, qu'ils n'ont qu'à apprendre à lire et à écrire le français. Cette pratique est fondée sur l'origine ethnoraciale : ne sont pas visés des étrangers qui "ne mérit</w:t>
      </w:r>
      <w:r w:rsidRPr="000D4BC6">
        <w:t>e</w:t>
      </w:r>
      <w:r w:rsidRPr="000D4BC6">
        <w:t>raient pas" l'a</w:t>
      </w:r>
      <w:r w:rsidRPr="000D4BC6">
        <w:t>c</w:t>
      </w:r>
      <w:r w:rsidRPr="000D4BC6">
        <w:t>cès au territoire, mais une communauté d'"ici" qui "ne mériterait pas" l'accès à la citoyenneté. Elle est discriminatoire car elle est de plus illégitime (non conforme aux bonnes pratiques professio</w:t>
      </w:r>
      <w:r w:rsidRPr="000D4BC6">
        <w:t>n</w:t>
      </w:r>
      <w:r w:rsidRPr="000D4BC6">
        <w:t>nelles), m</w:t>
      </w:r>
      <w:r w:rsidRPr="000D4BC6">
        <w:t>ê</w:t>
      </w:r>
      <w:r w:rsidRPr="000D4BC6">
        <w:t>me si elle respecte les conditions stipulées dans les textes de loi prévoyant l'a</w:t>
      </w:r>
      <w:r w:rsidRPr="000D4BC6">
        <w:t>c</w:t>
      </w:r>
      <w:r w:rsidRPr="000D4BC6">
        <w:t>cès à une couverture maladie.</w:t>
      </w:r>
    </w:p>
    <w:p w:rsidR="009E0D39" w:rsidRDefault="009E0D39" w:rsidP="009E0D39">
      <w:pPr>
        <w:spacing w:before="120" w:after="120"/>
        <w:jc w:val="both"/>
        <w:rPr>
          <w:bCs/>
          <w:szCs w:val="28"/>
        </w:rPr>
      </w:pPr>
      <w:r>
        <w:rPr>
          <w:bCs/>
          <w:szCs w:val="28"/>
        </w:rPr>
        <w:br w:type="page"/>
      </w:r>
    </w:p>
    <w:p w:rsidR="009E0D39" w:rsidRPr="000D4BC6" w:rsidRDefault="009E0D39" w:rsidP="009E0D39">
      <w:pPr>
        <w:pStyle w:val="a"/>
      </w:pPr>
      <w:bookmarkStart w:id="6" w:name="De_etranger_4"/>
      <w:r w:rsidRPr="000D4BC6">
        <w:t>De la porosité des processus</w:t>
      </w:r>
    </w:p>
    <w:bookmarkEnd w:id="6"/>
    <w:p w:rsidR="009E0D39" w:rsidRDefault="009E0D39" w:rsidP="009E0D39">
      <w:pPr>
        <w:spacing w:before="120" w:after="120"/>
        <w:jc w:val="both"/>
      </w:pPr>
    </w:p>
    <w:p w:rsidR="009E0D39" w:rsidRPr="00384B20" w:rsidRDefault="009E0D39" w:rsidP="009E0D39">
      <w:pPr>
        <w:ind w:right="90" w:firstLine="0"/>
        <w:jc w:val="both"/>
        <w:rPr>
          <w:sz w:val="20"/>
        </w:rPr>
      </w:pPr>
      <w:hyperlink w:anchor="tdm" w:history="1">
        <w:r w:rsidRPr="00384B20">
          <w:rPr>
            <w:rStyle w:val="Lienhypertexte"/>
            <w:sz w:val="20"/>
          </w:rPr>
          <w:t>Retour à la table des matières</w:t>
        </w:r>
      </w:hyperlink>
    </w:p>
    <w:p w:rsidR="009E0D39" w:rsidRPr="000D4BC6" w:rsidRDefault="009E0D39" w:rsidP="009E0D39">
      <w:pPr>
        <w:spacing w:before="120" w:after="120"/>
        <w:jc w:val="both"/>
      </w:pPr>
      <w:r w:rsidRPr="000D4BC6">
        <w:t>Ont été distinguées jusqu'à présent les discriminations selon qu'e</w:t>
      </w:r>
      <w:r w:rsidRPr="000D4BC6">
        <w:t>l</w:t>
      </w:r>
      <w:r w:rsidRPr="000D4BC6">
        <w:t>les ont pour cible une nationalité étrangère ou une identité ethnoraci</w:t>
      </w:r>
      <w:r w:rsidRPr="000D4BC6">
        <w:t>a</w:t>
      </w:r>
      <w:r w:rsidRPr="000D4BC6">
        <w:t>le. Leurs auteurs justifient les premières par la défense d'un espace territorial et les secondes par la défense d'un espace citoyen, justific</w:t>
      </w:r>
      <w:r w:rsidRPr="000D4BC6">
        <w:t>a</w:t>
      </w:r>
      <w:r w:rsidRPr="000D4BC6">
        <w:t>tions qui s'inscrivent dans des rapports sociaux historiquement situés, entre nationaux et étrangers dans un cas, entre majorité et minorité ethnoraciales dans l'autre. Mais ces deux types de discriminations se distinguent également par les circonstances qui leur permettent de s'exercer concrètement. Les discriminations fondées sur la nationalité étrangère — altérité juridiquement définie — peuvent être exercées "sur dossier", dès lors que la nationalité de l'usager y est mentionnée. Les secondes requièrent une interaction sociale, puisque c'est lors de celle-ci qu'est d</w:t>
      </w:r>
      <w:r>
        <w:t>ésignée l’altérité ethnoraciale </w:t>
      </w:r>
      <w:r>
        <w:rPr>
          <w:rStyle w:val="Appelnotedebasdep"/>
        </w:rPr>
        <w:footnoteReference w:id="33"/>
      </w:r>
      <w:r w:rsidRPr="000D4BC6">
        <w:t>.</w:t>
      </w:r>
    </w:p>
    <w:p w:rsidR="009E0D39" w:rsidRPr="000D4BC6" w:rsidRDefault="009E0D39" w:rsidP="009E0D39">
      <w:pPr>
        <w:spacing w:before="120" w:after="120"/>
        <w:jc w:val="both"/>
      </w:pPr>
      <w:r>
        <w:t>[48]</w:t>
      </w:r>
    </w:p>
    <w:p w:rsidR="009E0D39" w:rsidRPr="000D4BC6" w:rsidRDefault="009E0D39" w:rsidP="009E0D39">
      <w:pPr>
        <w:spacing w:before="120" w:after="120"/>
        <w:jc w:val="both"/>
      </w:pPr>
      <w:r w:rsidRPr="000D4BC6">
        <w:t>Si les processus sont distincts, ils peuvent cependant se cro</w:t>
      </w:r>
      <w:r w:rsidRPr="000D4BC6">
        <w:t>i</w:t>
      </w:r>
      <w:r w:rsidRPr="000D4BC6">
        <w:t>ser. C'est l'expérience qu'en font par exemple les étrangers qui sont à la fois sans-papiers et issus des minorités ethnoraciales les plus stigmat</w:t>
      </w:r>
      <w:r w:rsidRPr="000D4BC6">
        <w:t>i</w:t>
      </w:r>
      <w:r w:rsidRPr="000D4BC6">
        <w:t>sées. On peut illustrer ce cas de figure avec les pratiques d'une bén</w:t>
      </w:r>
      <w:r w:rsidRPr="000D4BC6">
        <w:t>é</w:t>
      </w:r>
      <w:r w:rsidRPr="000D4BC6">
        <w:t>vole exerçant dans une association d'aide à l'a</w:t>
      </w:r>
      <w:r w:rsidRPr="000D4BC6">
        <w:t>c</w:t>
      </w:r>
      <w:r w:rsidRPr="000D4BC6">
        <w:t>cès aux droits à une couverture maladie en France "métropolitaine". Reprenant les arg</w:t>
      </w:r>
      <w:r w:rsidRPr="000D4BC6">
        <w:t>u</w:t>
      </w:r>
      <w:r w:rsidRPr="000D4BC6">
        <w:t>ments décrits ci-dessus à propos des risques de fraudes par des étra</w:t>
      </w:r>
      <w:r w:rsidRPr="000D4BC6">
        <w:t>n</w:t>
      </w:r>
      <w:r w:rsidRPr="000D4BC6">
        <w:t>gers venant se faire soigner en France alors qu'ils n'y résident pas rée</w:t>
      </w:r>
      <w:r w:rsidRPr="000D4BC6">
        <w:t>l</w:t>
      </w:r>
      <w:r w:rsidRPr="000D4BC6">
        <w:t>lement, elle n'accepte d'acco</w:t>
      </w:r>
      <w:r w:rsidRPr="000D4BC6">
        <w:t>m</w:t>
      </w:r>
      <w:r w:rsidRPr="000D4BC6">
        <w:t>pagner, dans leurs démarches d'accès à une AME, que les étra</w:t>
      </w:r>
      <w:r w:rsidRPr="000D4BC6">
        <w:t>n</w:t>
      </w:r>
      <w:r w:rsidRPr="000D4BC6">
        <w:t>gers sans papiers qui lui fournissent la preuve d'une ancienneté de résidence de trois mois. La scène se passe en 2001, c'est-à-dire alors que cette exigence n'est pas encore légale. Sa pratique est donc discriminatoire à l'encontre de l'ensemble des sans-papiers. Mais elle est aussi différenciée ethno</w:t>
      </w:r>
      <w:r>
        <w:t>-</w:t>
      </w:r>
      <w:r w:rsidRPr="000D4BC6">
        <w:t>racialement. La bénév</w:t>
      </w:r>
      <w:r w:rsidRPr="000D4BC6">
        <w:t>o</w:t>
      </w:r>
      <w:r w:rsidRPr="000D4BC6">
        <w:t>le demande en effet aux Roms, et à eux seuls, de produire, outre la preuve de l'ancienneté de résidence de trois mois, une attestation écr</w:t>
      </w:r>
      <w:r w:rsidRPr="000D4BC6">
        <w:t>i</w:t>
      </w:r>
      <w:r w:rsidRPr="000D4BC6">
        <w:t>te de ce qu'ils s'engagent à rester un an au moins sur le territoire fra</w:t>
      </w:r>
      <w:r w:rsidRPr="000D4BC6">
        <w:t>n</w:t>
      </w:r>
      <w:r w:rsidRPr="000D4BC6">
        <w:t>çais. Elle justifie ce surplus d'exigence en expliquant que les Roms vont et viennent entre la France et leurs pays d'or</w:t>
      </w:r>
      <w:r w:rsidRPr="000D4BC6">
        <w:t>i</w:t>
      </w:r>
      <w:r w:rsidRPr="000D4BC6">
        <w:t>gine (Roumanie, Bulgarie) pour revendre dans ces derniers les médicaments obtenus avec l'aide médicale en France.</w:t>
      </w:r>
    </w:p>
    <w:p w:rsidR="009E0D39" w:rsidRPr="000D4BC6" w:rsidRDefault="009E0D39" w:rsidP="009E0D39">
      <w:pPr>
        <w:spacing w:before="120" w:after="120"/>
        <w:jc w:val="both"/>
      </w:pPr>
      <w:r w:rsidRPr="000D4BC6">
        <w:t>Cette réticence à accorder des droits aux Roms, observée égal</w:t>
      </w:r>
      <w:r w:rsidRPr="000D4BC6">
        <w:t>e</w:t>
      </w:r>
      <w:r w:rsidRPr="000D4BC6">
        <w:t>ment chez d'autres professionnels, s'est muée en résistance institutio</w:t>
      </w:r>
      <w:r w:rsidRPr="000D4BC6">
        <w:t>n</w:t>
      </w:r>
      <w:r w:rsidRPr="000D4BC6">
        <w:t xml:space="preserve">nelle à l'application de la loi lorsque, suite à l'adhésion de la Bulgarie et de la </w:t>
      </w:r>
      <w:r>
        <w:t>Roumanie à l'Union européenne (</w:t>
      </w:r>
      <w:r w:rsidRPr="000D4BC6">
        <w:t>1</w:t>
      </w:r>
      <w:r w:rsidRPr="000D4BC6">
        <w:rPr>
          <w:vertAlign w:val="superscript"/>
        </w:rPr>
        <w:t>er</w:t>
      </w:r>
      <w:r w:rsidRPr="000D4BC6">
        <w:t xml:space="preserve"> janvier 2007), certaines CPAM ont tout simplement refusé d'accorder la CMU à laquelle les ressortissants de ces deux pays pouvaient désormais prétendre. Une circulaire a alors été publiée</w:t>
      </w:r>
      <w:r>
        <w:t> </w:t>
      </w:r>
      <w:r>
        <w:rPr>
          <w:rStyle w:val="Appelnotedebasdep"/>
        </w:rPr>
        <w:footnoteReference w:id="34"/>
      </w:r>
      <w:r w:rsidRPr="000D4BC6">
        <w:t>, prévoyant que les ressortissants co</w:t>
      </w:r>
      <w:r w:rsidRPr="000D4BC6">
        <w:t>m</w:t>
      </w:r>
      <w:r w:rsidRPr="000D4BC6">
        <w:t>munautaires inactifs qui s'insta</w:t>
      </w:r>
      <w:r w:rsidRPr="000D4BC6">
        <w:t>l</w:t>
      </w:r>
      <w:r w:rsidRPr="000D4BC6">
        <w:t>lent sur le territoire français alors qu'ils sont dépourvus de re</w:t>
      </w:r>
      <w:r w:rsidRPr="000D4BC6">
        <w:t>s</w:t>
      </w:r>
      <w:r w:rsidRPr="000D4BC6">
        <w:t>sources suffisantes et/ou de couverture maladie n'auraient plus droit à la CMU. En jouant à la fois sur le registre du droit (pour entériner des pratiques de refus de droit qui étaient rése</w:t>
      </w:r>
      <w:r w:rsidRPr="000D4BC6">
        <w:t>r</w:t>
      </w:r>
      <w:r w:rsidRPr="000D4BC6">
        <w:t>vées à certains étrangers) et celui de l'identitaire (en ciblant ces</w:t>
      </w:r>
      <w:r>
        <w:t xml:space="preserve"> </w:t>
      </w:r>
      <w:r w:rsidRPr="000D4BC6">
        <w:t>étra</w:t>
      </w:r>
      <w:r w:rsidRPr="000D4BC6">
        <w:t>n</w:t>
      </w:r>
      <w:r w:rsidRPr="000D4BC6">
        <w:t>gers identifiés pa</w:t>
      </w:r>
      <w:r>
        <w:t>r des catégories ethnoraciales </w:t>
      </w:r>
      <w:r>
        <w:rPr>
          <w:rStyle w:val="Appelnotedebasdep"/>
        </w:rPr>
        <w:footnoteReference w:id="35"/>
      </w:r>
      <w:r w:rsidRPr="000D4BC6">
        <w:t>), l'</w:t>
      </w:r>
      <w:r>
        <w:t>État</w:t>
      </w:r>
      <w:r w:rsidRPr="000D4BC6">
        <w:t xml:space="preserve"> a ainsi conforté la convergence des deux types de pratiques discr</w:t>
      </w:r>
      <w:r w:rsidRPr="000D4BC6">
        <w:t>i</w:t>
      </w:r>
      <w:r w:rsidRPr="000D4BC6">
        <w:t>minatoires.</w:t>
      </w:r>
    </w:p>
    <w:p w:rsidR="009E0D39" w:rsidRPr="000D4BC6" w:rsidRDefault="009E0D39" w:rsidP="009E0D39">
      <w:pPr>
        <w:spacing w:before="120" w:after="120"/>
        <w:jc w:val="both"/>
      </w:pPr>
      <w:r w:rsidRPr="000D4BC6">
        <w:t>Le terrain de l'Ouest guyanais offre une illustration particulièr</w:t>
      </w:r>
      <w:r w:rsidRPr="000D4BC6">
        <w:t>e</w:t>
      </w:r>
      <w:r w:rsidRPr="000D4BC6">
        <w:t>ment nette de ce recoupement des discriminations. Les profe</w:t>
      </w:r>
      <w:r w:rsidRPr="000D4BC6">
        <w:t>s</w:t>
      </w:r>
      <w:r w:rsidRPr="000D4BC6">
        <w:t>sionnels guyanais</w:t>
      </w:r>
      <w:r>
        <w:t xml:space="preserve"> </w:t>
      </w:r>
      <w:r w:rsidRPr="00F82459">
        <w:t>[49]</w:t>
      </w:r>
      <w:r>
        <w:t xml:space="preserve"> </w:t>
      </w:r>
      <w:r w:rsidRPr="000D4BC6">
        <w:t>dont on a dit qu'ils utilisent l'accès aux soins aux fins des politiques migratoires sont en effet le plus souvent des Créoles (pl</w:t>
      </w:r>
      <w:r w:rsidRPr="000D4BC6">
        <w:t>u</w:t>
      </w:r>
      <w:r w:rsidRPr="000D4BC6">
        <w:t>tôt que des métropolitains venus en Guyane pour y exercer). On peut ainsi les qualifier au regard tout à la fois de leur nationalité (fra</w:t>
      </w:r>
      <w:r w:rsidRPr="000D4BC6">
        <w:t>n</w:t>
      </w:r>
      <w:r w:rsidRPr="000D4BC6">
        <w:t>çaise) et de leur identité ethnoraciale (majoritaire). Quant aux indiv</w:t>
      </w:r>
      <w:r w:rsidRPr="000D4BC6">
        <w:t>i</w:t>
      </w:r>
      <w:r w:rsidRPr="000D4BC6">
        <w:t>dus discriminés, certains sont à la fois minoritaires et</w:t>
      </w:r>
      <w:r w:rsidRPr="000D4BC6">
        <w:t>h</w:t>
      </w:r>
      <w:r w:rsidRPr="000D4BC6">
        <w:t>no</w:t>
      </w:r>
      <w:r>
        <w:t>-</w:t>
      </w:r>
      <w:r w:rsidRPr="000D4BC6">
        <w:t>raciaux (Noirs Marrons) et étrangers (Surinamais). Les discours des profe</w:t>
      </w:r>
      <w:r w:rsidRPr="000D4BC6">
        <w:t>s</w:t>
      </w:r>
      <w:r w:rsidRPr="000D4BC6">
        <w:t>sionnels créoles mêlent ainsi inquiétudes à l'égard de l'intégrité du te</w:t>
      </w:r>
      <w:r w:rsidRPr="000D4BC6">
        <w:t>r</w:t>
      </w:r>
      <w:r w:rsidRPr="000D4BC6">
        <w:t>ritoire guyanais "menacé" par la "déferlante migratoire" et amertume suscitée par l'a</w:t>
      </w:r>
      <w:r w:rsidRPr="000D4BC6">
        <w:t>c</w:t>
      </w:r>
      <w:r w:rsidRPr="000D4BC6">
        <w:t>cès aux droits de Noirs Marrons qui n'auraient jamais eu à faire la preuve de leur volonté de s'intégrer.</w:t>
      </w:r>
    </w:p>
    <w:p w:rsidR="009E0D39" w:rsidRDefault="009E0D39" w:rsidP="009E0D39">
      <w:pPr>
        <w:spacing w:before="120" w:after="120"/>
        <w:jc w:val="both"/>
        <w:rPr>
          <w:bCs/>
          <w:szCs w:val="28"/>
        </w:rPr>
      </w:pPr>
    </w:p>
    <w:p w:rsidR="009E0D39" w:rsidRPr="000D4BC6" w:rsidRDefault="009E0D39" w:rsidP="009E0D39">
      <w:pPr>
        <w:pStyle w:val="a"/>
      </w:pPr>
      <w:bookmarkStart w:id="7" w:name="De_etranger_5"/>
      <w:r w:rsidRPr="000D4BC6">
        <w:t>Nationalité étra</w:t>
      </w:r>
      <w:r>
        <w:t>ngère et identité ethnoraciale,</w:t>
      </w:r>
      <w:r>
        <w:br/>
      </w:r>
      <w:r w:rsidRPr="000D4BC6">
        <w:t>marqueurs s</w:t>
      </w:r>
      <w:r w:rsidRPr="000D4BC6">
        <w:t>o</w:t>
      </w:r>
      <w:r w:rsidRPr="000D4BC6">
        <w:t xml:space="preserve">ciaux pris </w:t>
      </w:r>
      <w:r>
        <w:br/>
      </w:r>
      <w:r w:rsidRPr="000D4BC6">
        <w:t>dans des rapports inégalitaires plus larges</w:t>
      </w:r>
    </w:p>
    <w:bookmarkEnd w:id="7"/>
    <w:p w:rsidR="009E0D39" w:rsidRDefault="009E0D39" w:rsidP="009E0D39">
      <w:pPr>
        <w:spacing w:before="120" w:after="120"/>
        <w:jc w:val="both"/>
      </w:pPr>
    </w:p>
    <w:p w:rsidR="009E0D39" w:rsidRPr="00384B20" w:rsidRDefault="009E0D39" w:rsidP="009E0D39">
      <w:pPr>
        <w:ind w:right="90" w:firstLine="0"/>
        <w:jc w:val="both"/>
        <w:rPr>
          <w:sz w:val="20"/>
        </w:rPr>
      </w:pPr>
      <w:hyperlink w:anchor="tdm" w:history="1">
        <w:r w:rsidRPr="00384B20">
          <w:rPr>
            <w:rStyle w:val="Lienhypertexte"/>
            <w:sz w:val="20"/>
          </w:rPr>
          <w:t>Retour à la table des matières</w:t>
        </w:r>
      </w:hyperlink>
    </w:p>
    <w:p w:rsidR="009E0D39" w:rsidRPr="000D4BC6" w:rsidRDefault="009E0D39" w:rsidP="009E0D39">
      <w:pPr>
        <w:spacing w:before="120" w:after="120"/>
        <w:jc w:val="both"/>
      </w:pPr>
      <w:r w:rsidRPr="000D4BC6">
        <w:t>Pour comprendre comment ces deux acceptions de l'origine sont des critères de discriminations, nous les avons envisagées en tant que marqueurs de rapports de pouvoir inégalitaires : qu'il s'agisse de l'étranger soumis à un droit restreint par rapport à celui octroyé au c</w:t>
      </w:r>
      <w:r w:rsidRPr="000D4BC6">
        <w:t>i</w:t>
      </w:r>
      <w:r w:rsidRPr="000D4BC6">
        <w:t>toyen national ou du minoritaire stigmatisé du seul fait de sa couleur de peau, les discriminations dont ils sont victimes sont bien sécrétées par des rapports inégalitaires. Or ces discriminations entretiennent des liens étroits avec les autres ra</w:t>
      </w:r>
      <w:r w:rsidRPr="000D4BC6">
        <w:t>p</w:t>
      </w:r>
      <w:r w:rsidRPr="000D4BC6">
        <w:t>ports inégalitaires qui traversent une société.</w:t>
      </w:r>
    </w:p>
    <w:p w:rsidR="009E0D39" w:rsidRPr="000D4BC6" w:rsidRDefault="009E0D39" w:rsidP="009E0D39">
      <w:pPr>
        <w:spacing w:before="120" w:after="120"/>
        <w:jc w:val="both"/>
      </w:pPr>
      <w:r w:rsidRPr="000D4BC6">
        <w:t>Et là encore, le terrain guyanais se montre particulièrement écla</w:t>
      </w:r>
      <w:r w:rsidRPr="000D4BC6">
        <w:t>i</w:t>
      </w:r>
      <w:r w:rsidRPr="000D4BC6">
        <w:t>rant, du fait de l'importance des rapports inégalitaires fondés sur d'a</w:t>
      </w:r>
      <w:r w:rsidRPr="000D4BC6">
        <w:t>u</w:t>
      </w:r>
      <w:r w:rsidRPr="000D4BC6">
        <w:t>tres statuts sociaux. Ainsi, les inégalités socioéconomiques sont part</w:t>
      </w:r>
      <w:r w:rsidRPr="000D4BC6">
        <w:t>i</w:t>
      </w:r>
      <w:r w:rsidRPr="000D4BC6">
        <w:t>culièrement fortes en Guyane, en raison nota</w:t>
      </w:r>
      <w:r w:rsidRPr="000D4BC6">
        <w:t>m</w:t>
      </w:r>
      <w:r w:rsidRPr="000D4BC6">
        <w:t>ment de la moindre taxation des revenus et de la prime de vie chère octroyée aux fon</w:t>
      </w:r>
      <w:r w:rsidRPr="000D4BC6">
        <w:t>c</w:t>
      </w:r>
      <w:r w:rsidRPr="000D4BC6">
        <w:t>tionnaires et aux salariés de certains se</w:t>
      </w:r>
      <w:r w:rsidRPr="000D4BC6">
        <w:t>c</w:t>
      </w:r>
      <w:r w:rsidRPr="000D4BC6">
        <w:t>teurs comme la banque, tandis qu'à l'autre pôle de la hiérarchie socioéconomique, les étrangers en situation irrégulière vivent dans le dénuement le plus total. Or les dy</w:t>
      </w:r>
      <w:r w:rsidRPr="000D4BC6">
        <w:t>s</w:t>
      </w:r>
      <w:r w:rsidRPr="000D4BC6">
        <w:t>fonctionnements dans l'accès aux droits à une couverture maladie (pertes de dossiers, retards à l'instruction), récurrents en Guyane, a</w:t>
      </w:r>
      <w:r w:rsidRPr="000D4BC6">
        <w:t>f</w:t>
      </w:r>
      <w:r w:rsidRPr="000D4BC6">
        <w:t>fectent tout part</w:t>
      </w:r>
      <w:r w:rsidRPr="000D4BC6">
        <w:t>i</w:t>
      </w:r>
      <w:r w:rsidRPr="000D4BC6">
        <w:t>culièrement les individus les plus précaires (souvent analphab</w:t>
      </w:r>
      <w:r w:rsidRPr="000D4BC6">
        <w:t>è</w:t>
      </w:r>
      <w:r w:rsidRPr="000D4BC6">
        <w:t>tes, peu rodés aux démarches administratives, n'ayant pas les moyens de se déplacer jusqu'à un guichet de l'assurance maladie, et finalement dans l'impossibilité de suivre l'évolution de leurs do</w:t>
      </w:r>
      <w:r w:rsidRPr="000D4BC6">
        <w:t>s</w:t>
      </w:r>
      <w:r w:rsidRPr="000D4BC6">
        <w:t>siers). À ces inégalités socioéconomiques s'ajoutent des inégalités te</w:t>
      </w:r>
      <w:r w:rsidRPr="000D4BC6">
        <w:t>r</w:t>
      </w:r>
      <w:r w:rsidRPr="000D4BC6">
        <w:t>ritoriales. La mince bande littorale, plus densément peuplée et relat</w:t>
      </w:r>
      <w:r w:rsidRPr="000D4BC6">
        <w:t>i</w:t>
      </w:r>
      <w:r w:rsidRPr="000D4BC6">
        <w:t>vement développée économiquement, s'oppose en effet à un intérieur immense,</w:t>
      </w:r>
      <w:r>
        <w:t xml:space="preserve"> [50] </w:t>
      </w:r>
      <w:r w:rsidRPr="000D4BC6">
        <w:t>couvert de forêts et quasi-désert humain, où l'offre de soins est pa</w:t>
      </w:r>
      <w:r w:rsidRPr="000D4BC6">
        <w:t>r</w:t>
      </w:r>
      <w:r w:rsidRPr="000D4BC6">
        <w:t>ticulièrement insuffisante car très dispersée.</w:t>
      </w:r>
    </w:p>
    <w:p w:rsidR="009E0D39" w:rsidRPr="000D4BC6" w:rsidRDefault="009E0D39" w:rsidP="009E0D39">
      <w:pPr>
        <w:spacing w:before="120" w:after="120"/>
        <w:jc w:val="both"/>
      </w:pPr>
      <w:r w:rsidRPr="000D4BC6">
        <w:t>En outre, ces inégalités se renforcent car les lignes de force qu'elles dessinent au sein de la population guyanaise se superp</w:t>
      </w:r>
      <w:r w:rsidRPr="000D4BC6">
        <w:t>o</w:t>
      </w:r>
      <w:r w:rsidRPr="000D4BC6">
        <w:t>sent. Ainsi, notamment, les Noirs Marrons font face, pour acc</w:t>
      </w:r>
      <w:r w:rsidRPr="000D4BC6">
        <w:t>é</w:t>
      </w:r>
      <w:r w:rsidRPr="000D4BC6">
        <w:t>der aux soins, non seulement à des discriminations selon l'origine (étrangère et ethno-raciale), mais aussi à des difficultés liées à leur zone d'habitation (r</w:t>
      </w:r>
      <w:r w:rsidRPr="000D4BC6">
        <w:t>e</w:t>
      </w:r>
      <w:r w:rsidRPr="000D4BC6">
        <w:t>présentant une part importante des habitants de l'intérieur du départ</w:t>
      </w:r>
      <w:r w:rsidRPr="000D4BC6">
        <w:t>e</w:t>
      </w:r>
      <w:r w:rsidRPr="000D4BC6">
        <w:t>ment) et à leur situation socioéconomique (du fait du caractère récen</w:t>
      </w:r>
      <w:r w:rsidRPr="000D4BC6">
        <w:t>t</w:t>
      </w:r>
      <w:r>
        <w:t xml:space="preserve"> </w:t>
      </w:r>
      <w:r w:rsidRPr="000D4BC6">
        <w:t xml:space="preserve">de leur </w:t>
      </w:r>
      <w:r>
        <w:t>insertion sociale) </w:t>
      </w:r>
      <w:r>
        <w:rPr>
          <w:rStyle w:val="Appelnotedebasdep"/>
        </w:rPr>
        <w:footnoteReference w:id="36"/>
      </w:r>
      <w:r w:rsidRPr="000D4BC6">
        <w:t>. Or cette accumulation des situations d</w:t>
      </w:r>
      <w:r w:rsidRPr="000D4BC6">
        <w:t>é</w:t>
      </w:r>
      <w:r w:rsidRPr="000D4BC6">
        <w:t>favorables ne doit rien au hasard. Les mêmes éléments historiques e</w:t>
      </w:r>
      <w:r w:rsidRPr="000D4BC6">
        <w:t>x</w:t>
      </w:r>
      <w:r w:rsidRPr="000D4BC6">
        <w:t>pliquent en effet à la fois les rapports ethnoraciaux, la répartition des communautés sur le territoire guyanais et la stratification socioéc</w:t>
      </w:r>
      <w:r w:rsidRPr="000D4BC6">
        <w:t>o</w:t>
      </w:r>
      <w:r w:rsidRPr="000D4BC6">
        <w:t>nomique. Le terrain guyanais nous rappelle ainsi que la discrimination selon l'origine n'est qu'une manifest</w:t>
      </w:r>
      <w:r w:rsidRPr="000D4BC6">
        <w:t>a</w:t>
      </w:r>
      <w:r w:rsidRPr="000D4BC6">
        <w:t>tion, parmi d'autres, d'un ordre social inégalitaire.</w:t>
      </w:r>
    </w:p>
    <w:p w:rsidR="009E0D39" w:rsidRPr="000D4BC6" w:rsidRDefault="003D4CFB" w:rsidP="009E0D39">
      <w:pPr>
        <w:spacing w:before="120" w:after="120"/>
        <w:jc w:val="both"/>
      </w:pPr>
      <w:r w:rsidRPr="000D4BC6">
        <w:rPr>
          <w:rFonts w:cs="Calibri Light"/>
          <w:noProof/>
          <w:szCs w:val="24"/>
        </w:rPr>
        <w:drawing>
          <wp:inline distT="0" distB="0" distL="0" distR="0">
            <wp:extent cx="152400" cy="1651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p>
    <w:p w:rsidR="009E0D39" w:rsidRPr="00E07116" w:rsidRDefault="009E0D39">
      <w:pPr>
        <w:jc w:val="both"/>
      </w:pPr>
    </w:p>
    <w:sectPr w:rsidR="009E0D39" w:rsidRPr="00E07116" w:rsidSect="009E0D39">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FA3" w:rsidRDefault="00D15FA3">
      <w:r>
        <w:separator/>
      </w:r>
    </w:p>
  </w:endnote>
  <w:endnote w:type="continuationSeparator" w:id="0">
    <w:p w:rsidR="00D15FA3" w:rsidRDefault="00D1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FA3" w:rsidRDefault="00D15FA3">
      <w:pPr>
        <w:ind w:firstLine="0"/>
      </w:pPr>
      <w:r>
        <w:separator/>
      </w:r>
    </w:p>
  </w:footnote>
  <w:footnote w:type="continuationSeparator" w:id="0">
    <w:p w:rsidR="00D15FA3" w:rsidRDefault="00D15FA3">
      <w:pPr>
        <w:ind w:firstLine="0"/>
      </w:pPr>
      <w:r>
        <w:separator/>
      </w:r>
    </w:p>
  </w:footnote>
  <w:footnote w:id="1">
    <w:p w:rsidR="009E0D39" w:rsidRDefault="009E0D39" w:rsidP="009E0D39">
      <w:pPr>
        <w:pStyle w:val="Notedebasdepage"/>
      </w:pPr>
      <w:r>
        <w:rPr>
          <w:rStyle w:val="Appelnotedebasdep"/>
        </w:rPr>
        <w:footnoteRef/>
      </w:r>
      <w:r>
        <w:t xml:space="preserve"> </w:t>
      </w:r>
      <w:r>
        <w:tab/>
      </w:r>
      <w:r w:rsidRPr="000D4BC6">
        <w:rPr>
          <w:szCs w:val="16"/>
        </w:rPr>
        <w:t>L'AME est la couverture maladie à laquelle peuvent pr</w:t>
      </w:r>
      <w:r w:rsidRPr="000D4BC6">
        <w:rPr>
          <w:szCs w:val="16"/>
        </w:rPr>
        <w:t>é</w:t>
      </w:r>
      <w:r w:rsidRPr="000D4BC6">
        <w:rPr>
          <w:szCs w:val="16"/>
        </w:rPr>
        <w:t>tendre les étrangers en situation irrégulière au regard du droit au séjour en France. Elle est dél</w:t>
      </w:r>
      <w:r w:rsidRPr="000D4BC6">
        <w:rPr>
          <w:szCs w:val="16"/>
        </w:rPr>
        <w:t>i</w:t>
      </w:r>
      <w:r w:rsidRPr="000D4BC6">
        <w:rPr>
          <w:szCs w:val="16"/>
        </w:rPr>
        <w:t>vrée sous condition de résidence en France (ini</w:t>
      </w:r>
      <w:r w:rsidRPr="000D4BC6">
        <w:rPr>
          <w:szCs w:val="16"/>
        </w:rPr>
        <w:t>n</w:t>
      </w:r>
      <w:r w:rsidRPr="000D4BC6">
        <w:rPr>
          <w:szCs w:val="16"/>
        </w:rPr>
        <w:t>terrompue depuis plus de trois mois) et de ressources (inférieures à un plafond variable selon la co</w:t>
      </w:r>
      <w:r w:rsidRPr="000D4BC6">
        <w:rPr>
          <w:szCs w:val="16"/>
        </w:rPr>
        <w:t>m</w:t>
      </w:r>
      <w:r w:rsidRPr="000D4BC6">
        <w:rPr>
          <w:szCs w:val="16"/>
        </w:rPr>
        <w:t>position du foyer).</w:t>
      </w:r>
    </w:p>
  </w:footnote>
  <w:footnote w:id="2">
    <w:p w:rsidR="009E0D39" w:rsidRDefault="009E0D39" w:rsidP="009E0D39">
      <w:pPr>
        <w:pStyle w:val="Notedebasdepage"/>
        <w:rPr>
          <w:szCs w:val="16"/>
        </w:rPr>
      </w:pPr>
      <w:r>
        <w:rPr>
          <w:rStyle w:val="Appelnotedebasdep"/>
        </w:rPr>
        <w:footnoteRef/>
      </w:r>
      <w:r>
        <w:t xml:space="preserve"> </w:t>
      </w:r>
      <w:r>
        <w:tab/>
      </w:r>
      <w:r>
        <w:rPr>
          <w:szCs w:val="16"/>
        </w:rPr>
        <w:t>Cf</w:t>
      </w:r>
      <w:r w:rsidRPr="000D4BC6">
        <w:rPr>
          <w:szCs w:val="16"/>
        </w:rPr>
        <w:t>. DOURGNON, Paul ; JUSOT, Florence ; SERMET, Cath</w:t>
      </w:r>
      <w:r w:rsidRPr="000D4BC6">
        <w:rPr>
          <w:szCs w:val="16"/>
        </w:rPr>
        <w:t>e</w:t>
      </w:r>
      <w:r w:rsidRPr="000D4BC6">
        <w:rPr>
          <w:szCs w:val="16"/>
        </w:rPr>
        <w:t xml:space="preserve">rine ; SILVA, Jérôme, </w:t>
      </w:r>
      <w:r w:rsidRPr="00F82459">
        <w:rPr>
          <w:i/>
          <w:szCs w:val="16"/>
        </w:rPr>
        <w:t>Recours aux soins des populations immigrées en France</w:t>
      </w:r>
      <w:r w:rsidRPr="000D4BC6">
        <w:rPr>
          <w:szCs w:val="16"/>
        </w:rPr>
        <w:t>, rapport f</w:t>
      </w:r>
      <w:r w:rsidRPr="000D4BC6">
        <w:rPr>
          <w:szCs w:val="16"/>
        </w:rPr>
        <w:t>i</w:t>
      </w:r>
      <w:r w:rsidRPr="000D4BC6">
        <w:rPr>
          <w:szCs w:val="16"/>
        </w:rPr>
        <w:t>nal, volume 2, Paris : IRDES, 2009, 65 p. ; INST</w:t>
      </w:r>
      <w:r w:rsidRPr="000D4BC6">
        <w:rPr>
          <w:szCs w:val="16"/>
        </w:rPr>
        <w:t>I</w:t>
      </w:r>
      <w:r w:rsidRPr="000D4BC6">
        <w:rPr>
          <w:szCs w:val="16"/>
        </w:rPr>
        <w:t>TUT NATIONAL DE LA STATISTIQUE ET DES ÉTUDES ÉC</w:t>
      </w:r>
      <w:r w:rsidRPr="000D4BC6">
        <w:rPr>
          <w:szCs w:val="16"/>
        </w:rPr>
        <w:t>O</w:t>
      </w:r>
      <w:r w:rsidRPr="000D4BC6">
        <w:rPr>
          <w:szCs w:val="16"/>
        </w:rPr>
        <w:t xml:space="preserve">NOMIQUES, </w:t>
      </w:r>
      <w:r w:rsidRPr="00F82459">
        <w:rPr>
          <w:i/>
          <w:szCs w:val="16"/>
        </w:rPr>
        <w:t>Les immigrés en France</w:t>
      </w:r>
      <w:r w:rsidRPr="000D4BC6">
        <w:rPr>
          <w:szCs w:val="16"/>
        </w:rPr>
        <w:t>, Paris : INSEE, 2005,</w:t>
      </w:r>
    </w:p>
    <w:p w:rsidR="009E0D39" w:rsidRDefault="009E0D39" w:rsidP="009E0D39">
      <w:pPr>
        <w:pStyle w:val="Notedebasdepage"/>
        <w:ind w:firstLine="0"/>
      </w:pPr>
      <w:hyperlink r:id="rId1" w:history="1">
        <w:r>
          <w:rPr>
            <w:szCs w:val="16"/>
          </w:rPr>
          <w:t>http</w:t>
        </w:r>
        <w:r w:rsidRPr="000D4BC6">
          <w:rPr>
            <w:szCs w:val="16"/>
          </w:rPr>
          <w:t>://www.insee.fr/fr/ppp/sommaire/IMMFRA05.PDF</w:t>
        </w:r>
      </w:hyperlink>
    </w:p>
  </w:footnote>
  <w:footnote w:id="3">
    <w:p w:rsidR="009E0D39" w:rsidRDefault="009E0D39" w:rsidP="009E0D39">
      <w:pPr>
        <w:pStyle w:val="Notedebasdepage"/>
      </w:pPr>
      <w:r>
        <w:rPr>
          <w:rStyle w:val="Appelnotedebasdep"/>
        </w:rPr>
        <w:footnoteRef/>
      </w:r>
      <w:r>
        <w:t xml:space="preserve"> </w:t>
      </w:r>
      <w:r>
        <w:tab/>
      </w:r>
      <w:r w:rsidRPr="000D4BC6">
        <w:rPr>
          <w:szCs w:val="16"/>
        </w:rPr>
        <w:t>Cf. MARICAL, François ; SAINT POL, Thibaut de, "La compl</w:t>
      </w:r>
      <w:r w:rsidRPr="000D4BC6">
        <w:rPr>
          <w:szCs w:val="16"/>
        </w:rPr>
        <w:t>é</w:t>
      </w:r>
      <w:r w:rsidRPr="000D4BC6">
        <w:rPr>
          <w:szCs w:val="16"/>
        </w:rPr>
        <w:t xml:space="preserve">mentaire santé : une généralisation qui n'efface pas les inégalités", </w:t>
      </w:r>
      <w:r w:rsidRPr="00F82459">
        <w:rPr>
          <w:i/>
          <w:szCs w:val="16"/>
        </w:rPr>
        <w:t>I</w:t>
      </w:r>
      <w:r w:rsidRPr="00F82459">
        <w:rPr>
          <w:i/>
          <w:szCs w:val="16"/>
        </w:rPr>
        <w:t>n</w:t>
      </w:r>
      <w:r w:rsidRPr="00F82459">
        <w:rPr>
          <w:i/>
          <w:szCs w:val="16"/>
        </w:rPr>
        <w:t>see Première</w:t>
      </w:r>
      <w:r w:rsidRPr="000D4BC6">
        <w:rPr>
          <w:szCs w:val="16"/>
        </w:rPr>
        <w:t>, n°</w:t>
      </w:r>
      <w:r>
        <w:rPr>
          <w:szCs w:val="16"/>
        </w:rPr>
        <w:t> </w:t>
      </w:r>
      <w:r w:rsidRPr="000D4BC6">
        <w:rPr>
          <w:szCs w:val="16"/>
        </w:rPr>
        <w:t>1142, juin 2007, 4</w:t>
      </w:r>
      <w:r>
        <w:rPr>
          <w:szCs w:val="16"/>
        </w:rPr>
        <w:t> </w:t>
      </w:r>
      <w:r w:rsidRPr="000D4BC6">
        <w:rPr>
          <w:szCs w:val="16"/>
        </w:rPr>
        <w:t xml:space="preserve">p., </w:t>
      </w:r>
      <w:hyperlink r:id="rId2" w:history="1">
        <w:r>
          <w:rPr>
            <w:szCs w:val="16"/>
          </w:rPr>
          <w:t>http</w:t>
        </w:r>
        <w:r w:rsidRPr="000D4BC6">
          <w:rPr>
            <w:szCs w:val="16"/>
          </w:rPr>
          <w:t xml:space="preserve">://www.insee.fr/ </w:t>
        </w:r>
      </w:hyperlink>
      <w:r w:rsidRPr="000D4BC6">
        <w:rPr>
          <w:szCs w:val="16"/>
        </w:rPr>
        <w:t>fr/ffc/ipweb/ip1142/ip1142.pdf ; MIZR</w:t>
      </w:r>
      <w:r w:rsidRPr="000D4BC6">
        <w:rPr>
          <w:szCs w:val="16"/>
        </w:rPr>
        <w:t>A</w:t>
      </w:r>
      <w:r w:rsidRPr="000D4BC6">
        <w:rPr>
          <w:szCs w:val="16"/>
        </w:rPr>
        <w:t>HI, Andrée ; MIZRAHI, Arié, "Morbidité et soins médicaux aux pe</w:t>
      </w:r>
      <w:r w:rsidRPr="000D4BC6">
        <w:rPr>
          <w:szCs w:val="16"/>
        </w:rPr>
        <w:t>r</w:t>
      </w:r>
      <w:r w:rsidRPr="000D4BC6">
        <w:rPr>
          <w:szCs w:val="16"/>
        </w:rPr>
        <w:t xml:space="preserve">sonnes nées à l'étranger", </w:t>
      </w:r>
      <w:r>
        <w:rPr>
          <w:i/>
          <w:szCs w:val="16"/>
        </w:rPr>
        <w:t>Journal d'É</w:t>
      </w:r>
      <w:r w:rsidRPr="00F82459">
        <w:rPr>
          <w:i/>
          <w:szCs w:val="16"/>
        </w:rPr>
        <w:t>conomie Médicale</w:t>
      </w:r>
      <w:r w:rsidRPr="000D4BC6">
        <w:rPr>
          <w:szCs w:val="16"/>
        </w:rPr>
        <w:t>, n°</w:t>
      </w:r>
      <w:r>
        <w:rPr>
          <w:szCs w:val="16"/>
        </w:rPr>
        <w:t> </w:t>
      </w:r>
      <w:r w:rsidRPr="000D4BC6">
        <w:rPr>
          <w:szCs w:val="16"/>
        </w:rPr>
        <w:t>3, 2008, pp. 159-176.</w:t>
      </w:r>
    </w:p>
  </w:footnote>
  <w:footnote w:id="4">
    <w:p w:rsidR="009E0D39" w:rsidRDefault="009E0D39" w:rsidP="009E0D39">
      <w:pPr>
        <w:pStyle w:val="Notedebasdepage"/>
      </w:pPr>
      <w:r>
        <w:rPr>
          <w:rStyle w:val="Appelnotedebasdep"/>
        </w:rPr>
        <w:footnoteRef/>
      </w:r>
      <w:r>
        <w:t xml:space="preserve"> </w:t>
      </w:r>
      <w:r>
        <w:tab/>
      </w:r>
      <w:r w:rsidRPr="000D4BC6">
        <w:rPr>
          <w:szCs w:val="16"/>
        </w:rPr>
        <w:t xml:space="preserve">Voir, par exemple, pour les </w:t>
      </w:r>
      <w:r w:rsidRPr="000D4BC6">
        <w:rPr>
          <w:smallCaps/>
          <w:szCs w:val="16"/>
        </w:rPr>
        <w:t xml:space="preserve">pass, </w:t>
      </w:r>
      <w:r w:rsidRPr="000D4BC6">
        <w:rPr>
          <w:szCs w:val="16"/>
        </w:rPr>
        <w:t>FABRE, Catherine ; BA</w:t>
      </w:r>
      <w:r w:rsidRPr="000D4BC6">
        <w:rPr>
          <w:szCs w:val="16"/>
        </w:rPr>
        <w:t>U</w:t>
      </w:r>
      <w:r w:rsidRPr="000D4BC6">
        <w:rPr>
          <w:szCs w:val="16"/>
        </w:rPr>
        <w:t xml:space="preserve">DOT, Vincent ; TOULEMONDE, Sibylle, </w:t>
      </w:r>
      <w:r w:rsidRPr="00F82459">
        <w:rPr>
          <w:i/>
          <w:szCs w:val="16"/>
        </w:rPr>
        <w:t>Évaluation des pe</w:t>
      </w:r>
      <w:r w:rsidRPr="00F82459">
        <w:rPr>
          <w:i/>
          <w:szCs w:val="16"/>
        </w:rPr>
        <w:t>r</w:t>
      </w:r>
      <w:r w:rsidRPr="00F82459">
        <w:rPr>
          <w:i/>
          <w:szCs w:val="16"/>
        </w:rPr>
        <w:t>manences d'accès aux soins de santé</w:t>
      </w:r>
      <w:r w:rsidRPr="000D4BC6">
        <w:rPr>
          <w:szCs w:val="16"/>
        </w:rPr>
        <w:t>. Rapport final, Toulouse : Grès Médiation Santé, octobre 2003, 60 p., et pour les lieux a</w:t>
      </w:r>
      <w:r w:rsidRPr="000D4BC6">
        <w:rPr>
          <w:szCs w:val="16"/>
        </w:rPr>
        <w:t>s</w:t>
      </w:r>
      <w:r w:rsidRPr="000D4BC6">
        <w:rPr>
          <w:szCs w:val="16"/>
        </w:rPr>
        <w:t xml:space="preserve">sociatifs, MÉDECINS DU MONDE, </w:t>
      </w:r>
      <w:r w:rsidRPr="00F82459">
        <w:rPr>
          <w:i/>
          <w:szCs w:val="16"/>
        </w:rPr>
        <w:t>Rapport 2008 de l'Observ</w:t>
      </w:r>
      <w:r w:rsidRPr="00F82459">
        <w:rPr>
          <w:i/>
          <w:szCs w:val="16"/>
        </w:rPr>
        <w:t>a</w:t>
      </w:r>
      <w:r w:rsidRPr="00F82459">
        <w:rPr>
          <w:i/>
          <w:szCs w:val="16"/>
        </w:rPr>
        <w:t>toire de l'accès aux soins de la Mission France</w:t>
      </w:r>
      <w:r w:rsidRPr="000D4BC6">
        <w:rPr>
          <w:szCs w:val="16"/>
        </w:rPr>
        <w:t>, Paris : Médecins du monde, 2009, 224 p.</w:t>
      </w:r>
    </w:p>
  </w:footnote>
  <w:footnote w:id="5">
    <w:p w:rsidR="009E0D39" w:rsidRDefault="009E0D39" w:rsidP="009E0D39">
      <w:pPr>
        <w:pStyle w:val="Notedebasdepage"/>
      </w:pPr>
      <w:r>
        <w:rPr>
          <w:rStyle w:val="Appelnotedebasdep"/>
        </w:rPr>
        <w:footnoteRef/>
      </w:r>
      <w:r>
        <w:t xml:space="preserve"> </w:t>
      </w:r>
      <w:r>
        <w:tab/>
      </w:r>
      <w:r w:rsidRPr="000D4BC6">
        <w:rPr>
          <w:szCs w:val="16"/>
        </w:rPr>
        <w:t>Cf. FASSIN, Didier, "L'invention française de la discrimin</w:t>
      </w:r>
      <w:r w:rsidRPr="000D4BC6">
        <w:rPr>
          <w:szCs w:val="16"/>
        </w:rPr>
        <w:t>a</w:t>
      </w:r>
      <w:r w:rsidRPr="000D4BC6">
        <w:rPr>
          <w:szCs w:val="16"/>
        </w:rPr>
        <w:t xml:space="preserve">tion", </w:t>
      </w:r>
      <w:r w:rsidRPr="00F82459">
        <w:rPr>
          <w:i/>
          <w:szCs w:val="16"/>
        </w:rPr>
        <w:t>Revue Française de Science Politique</w:t>
      </w:r>
      <w:r w:rsidRPr="000D4BC6">
        <w:rPr>
          <w:szCs w:val="16"/>
        </w:rPr>
        <w:t>, vol.</w:t>
      </w:r>
      <w:r>
        <w:rPr>
          <w:szCs w:val="16"/>
        </w:rPr>
        <w:t> </w:t>
      </w:r>
      <w:r w:rsidRPr="000D4BC6">
        <w:rPr>
          <w:szCs w:val="16"/>
        </w:rPr>
        <w:t>52, n°</w:t>
      </w:r>
      <w:r>
        <w:rPr>
          <w:szCs w:val="16"/>
        </w:rPr>
        <w:t> </w:t>
      </w:r>
      <w:r w:rsidRPr="000D4BC6">
        <w:rPr>
          <w:szCs w:val="16"/>
        </w:rPr>
        <w:t>4, 2002, pp. 403-423.</w:t>
      </w:r>
    </w:p>
  </w:footnote>
  <w:footnote w:id="6">
    <w:p w:rsidR="009E0D39" w:rsidRDefault="009E0D39" w:rsidP="009E0D39">
      <w:pPr>
        <w:pStyle w:val="Notedebasdepage"/>
      </w:pPr>
      <w:r>
        <w:rPr>
          <w:rStyle w:val="Appelnotedebasdep"/>
        </w:rPr>
        <w:footnoteRef/>
      </w:r>
      <w:r>
        <w:t xml:space="preserve"> </w:t>
      </w:r>
      <w:r>
        <w:tab/>
      </w:r>
      <w:r w:rsidRPr="000D4BC6">
        <w:rPr>
          <w:szCs w:val="16"/>
        </w:rPr>
        <w:t xml:space="preserve">Tel qu'il avait été construit dans les années 1980 et défini par le Haut Conseil à l'intégration dans son rapport de 1991. Voir HAUT CONSEIL À L'INTÉGRATION, </w:t>
      </w:r>
      <w:r w:rsidRPr="00F82459">
        <w:rPr>
          <w:i/>
          <w:szCs w:val="16"/>
        </w:rPr>
        <w:t>Pour un modèle français d'intégr</w:t>
      </w:r>
      <w:r w:rsidRPr="00F82459">
        <w:rPr>
          <w:i/>
          <w:szCs w:val="16"/>
        </w:rPr>
        <w:t>a</w:t>
      </w:r>
      <w:r w:rsidRPr="00F82459">
        <w:rPr>
          <w:i/>
          <w:szCs w:val="16"/>
        </w:rPr>
        <w:t>tion : premier rapport annuel</w:t>
      </w:r>
      <w:r w:rsidRPr="000D4BC6">
        <w:rPr>
          <w:szCs w:val="16"/>
        </w:rPr>
        <w:t>, Paris : La Documentation française, 1991, 185 p.</w:t>
      </w:r>
    </w:p>
  </w:footnote>
  <w:footnote w:id="7">
    <w:p w:rsidR="009E0D39" w:rsidRDefault="009E0D39" w:rsidP="009E0D39">
      <w:pPr>
        <w:pStyle w:val="Notedebasdepage"/>
      </w:pPr>
      <w:r>
        <w:rPr>
          <w:rStyle w:val="Appelnotedebasdep"/>
        </w:rPr>
        <w:footnoteRef/>
      </w:r>
      <w:r>
        <w:t xml:space="preserve"> </w:t>
      </w:r>
      <w:r>
        <w:tab/>
      </w:r>
      <w:r w:rsidRPr="000D4BC6">
        <w:rPr>
          <w:szCs w:val="16"/>
        </w:rPr>
        <w:t>Les immigrés de nationalité française et les jeunes nés en France de parents immigrés (souvent à la fois français et socialisés en Fra</w:t>
      </w:r>
      <w:r w:rsidRPr="000D4BC6">
        <w:rPr>
          <w:szCs w:val="16"/>
        </w:rPr>
        <w:t>n</w:t>
      </w:r>
      <w:r w:rsidRPr="000D4BC6">
        <w:rPr>
          <w:szCs w:val="16"/>
        </w:rPr>
        <w:t xml:space="preserve">ce), se déclarent plus sensibles que les étrangers aux discriminations dont ils sont victimes. Voir SIMON, Patrick, </w:t>
      </w:r>
      <w:r w:rsidRPr="00F82459">
        <w:rPr>
          <w:i/>
          <w:szCs w:val="16"/>
        </w:rPr>
        <w:t>Les discriminations ethniques dans la société fra</w:t>
      </w:r>
      <w:r w:rsidRPr="00F82459">
        <w:rPr>
          <w:i/>
          <w:szCs w:val="16"/>
        </w:rPr>
        <w:t>n</w:t>
      </w:r>
      <w:r w:rsidRPr="00F82459">
        <w:rPr>
          <w:i/>
          <w:szCs w:val="16"/>
        </w:rPr>
        <w:t>çaise : une synth</w:t>
      </w:r>
      <w:r w:rsidRPr="00F82459">
        <w:rPr>
          <w:i/>
          <w:szCs w:val="16"/>
        </w:rPr>
        <w:t>è</w:t>
      </w:r>
      <w:r w:rsidRPr="00F82459">
        <w:rPr>
          <w:i/>
          <w:szCs w:val="16"/>
        </w:rPr>
        <w:t>se</w:t>
      </w:r>
      <w:r w:rsidRPr="000D4BC6">
        <w:rPr>
          <w:szCs w:val="16"/>
        </w:rPr>
        <w:t>, Paris : IHESI - INED, 2000, 34 p.</w:t>
      </w:r>
    </w:p>
  </w:footnote>
  <w:footnote w:id="8">
    <w:p w:rsidR="009E0D39" w:rsidRDefault="009E0D39" w:rsidP="009E0D39">
      <w:pPr>
        <w:pStyle w:val="Notedebasdepage"/>
      </w:pPr>
      <w:r>
        <w:rPr>
          <w:rStyle w:val="Appelnotedebasdep"/>
        </w:rPr>
        <w:footnoteRef/>
      </w:r>
      <w:r>
        <w:t xml:space="preserve"> </w:t>
      </w:r>
      <w:r>
        <w:tab/>
      </w:r>
      <w:r>
        <w:rPr>
          <w:szCs w:val="16"/>
        </w:rPr>
        <w:t>Cf</w:t>
      </w:r>
      <w:r w:rsidRPr="000D4BC6">
        <w:rPr>
          <w:szCs w:val="16"/>
        </w:rPr>
        <w:t xml:space="preserve">. N'DIAYE, Pap, </w:t>
      </w:r>
      <w:r w:rsidRPr="00F82459">
        <w:rPr>
          <w:i/>
          <w:szCs w:val="16"/>
        </w:rPr>
        <w:t>La condition noire</w:t>
      </w:r>
      <w:r w:rsidRPr="000D4BC6">
        <w:rPr>
          <w:szCs w:val="16"/>
        </w:rPr>
        <w:t>, Paris : Éd. Calmann-Lévy, 2008, 440 p.</w:t>
      </w:r>
    </w:p>
  </w:footnote>
  <w:footnote w:id="9">
    <w:p w:rsidR="009E0D39" w:rsidRDefault="009E0D39" w:rsidP="009E0D39">
      <w:pPr>
        <w:pStyle w:val="Notedebasdepage"/>
      </w:pPr>
      <w:r>
        <w:rPr>
          <w:rStyle w:val="Appelnotedebasdep"/>
        </w:rPr>
        <w:footnoteRef/>
      </w:r>
      <w:r>
        <w:t xml:space="preserve"> </w:t>
      </w:r>
      <w:r>
        <w:tab/>
      </w:r>
      <w:r w:rsidRPr="000D4BC6">
        <w:rPr>
          <w:szCs w:val="16"/>
        </w:rPr>
        <w:t>On peut retrouver une illustration de ce débat dans un récent numéro de M</w:t>
      </w:r>
      <w:r w:rsidRPr="000D4BC6">
        <w:rPr>
          <w:szCs w:val="16"/>
        </w:rPr>
        <w:t>i</w:t>
      </w:r>
      <w:r w:rsidRPr="000D4BC6">
        <w:rPr>
          <w:szCs w:val="16"/>
        </w:rPr>
        <w:t>grations Société, où Christian Poiret qualifie de "raciale" une catégorie dès lors qu'elle s'applique à des individus nationaux et soci</w:t>
      </w:r>
      <w:r w:rsidRPr="000D4BC6">
        <w:rPr>
          <w:szCs w:val="16"/>
        </w:rPr>
        <w:t>a</w:t>
      </w:r>
      <w:r w:rsidRPr="000D4BC6">
        <w:rPr>
          <w:szCs w:val="16"/>
        </w:rPr>
        <w:t>lisés en France (ne laissant donc aucune place à une possible assimilation, au contraire de la c</w:t>
      </w:r>
      <w:r w:rsidRPr="000D4BC6">
        <w:rPr>
          <w:szCs w:val="16"/>
        </w:rPr>
        <w:t>a</w:t>
      </w:r>
      <w:r w:rsidRPr="000D4BC6">
        <w:rPr>
          <w:szCs w:val="16"/>
        </w:rPr>
        <w:t>tégorie ethnique), tandis que Françoise Lorcerie lui préfère le terme "ethn</w:t>
      </w:r>
      <w:r w:rsidRPr="000D4BC6">
        <w:rPr>
          <w:szCs w:val="16"/>
        </w:rPr>
        <w:t>i</w:t>
      </w:r>
      <w:r w:rsidRPr="000D4BC6">
        <w:rPr>
          <w:szCs w:val="16"/>
        </w:rPr>
        <w:t>que", en considérant que le paradigme de l'ethnicité inclut les théories de la race. Voir POIRET, Christian, "Le retour de la catégorie 'Noirs' dans l'esp</w:t>
      </w:r>
      <w:r w:rsidRPr="000D4BC6">
        <w:rPr>
          <w:szCs w:val="16"/>
        </w:rPr>
        <w:t>a</w:t>
      </w:r>
      <w:r w:rsidRPr="000D4BC6">
        <w:rPr>
          <w:szCs w:val="16"/>
        </w:rPr>
        <w:t xml:space="preserve">ce public français", </w:t>
      </w:r>
      <w:r w:rsidRPr="00F82459">
        <w:rPr>
          <w:i/>
          <w:szCs w:val="16"/>
        </w:rPr>
        <w:t>M</w:t>
      </w:r>
      <w:r w:rsidRPr="00F82459">
        <w:rPr>
          <w:i/>
          <w:szCs w:val="16"/>
        </w:rPr>
        <w:t>i</w:t>
      </w:r>
      <w:r w:rsidRPr="00F82459">
        <w:rPr>
          <w:i/>
          <w:szCs w:val="16"/>
        </w:rPr>
        <w:t>grations Société</w:t>
      </w:r>
      <w:r w:rsidRPr="000D4BC6">
        <w:rPr>
          <w:szCs w:val="16"/>
        </w:rPr>
        <w:t>, vol.</w:t>
      </w:r>
      <w:r>
        <w:rPr>
          <w:szCs w:val="16"/>
        </w:rPr>
        <w:t> </w:t>
      </w:r>
      <w:r w:rsidRPr="000D4BC6">
        <w:rPr>
          <w:szCs w:val="16"/>
        </w:rPr>
        <w:t>22, n°</w:t>
      </w:r>
      <w:r>
        <w:rPr>
          <w:szCs w:val="16"/>
        </w:rPr>
        <w:t> </w:t>
      </w:r>
      <w:r w:rsidRPr="000D4BC6">
        <w:rPr>
          <w:szCs w:val="16"/>
        </w:rPr>
        <w:t>131, septembre-octobre 2010, pp. 69-85 ; LORCERIE, Françoise, "Action publique et discrimin</w:t>
      </w:r>
      <w:r w:rsidRPr="000D4BC6">
        <w:rPr>
          <w:szCs w:val="16"/>
        </w:rPr>
        <w:t>a</w:t>
      </w:r>
      <w:r w:rsidRPr="000D4BC6">
        <w:rPr>
          <w:szCs w:val="16"/>
        </w:rPr>
        <w:t xml:space="preserve">tion ethnique : introduction", </w:t>
      </w:r>
      <w:r w:rsidRPr="00F82459">
        <w:rPr>
          <w:i/>
          <w:szCs w:val="16"/>
        </w:rPr>
        <w:t>Migrations Société</w:t>
      </w:r>
      <w:r w:rsidRPr="000D4BC6">
        <w:rPr>
          <w:szCs w:val="16"/>
        </w:rPr>
        <w:t>, vol.</w:t>
      </w:r>
      <w:r>
        <w:rPr>
          <w:szCs w:val="16"/>
        </w:rPr>
        <w:t> </w:t>
      </w:r>
      <w:r w:rsidRPr="000D4BC6">
        <w:rPr>
          <w:szCs w:val="16"/>
        </w:rPr>
        <w:t>22, n°</w:t>
      </w:r>
      <w:r>
        <w:rPr>
          <w:szCs w:val="16"/>
        </w:rPr>
        <w:t> </w:t>
      </w:r>
      <w:r w:rsidRPr="000D4BC6">
        <w:rPr>
          <w:szCs w:val="16"/>
        </w:rPr>
        <w:t>131, septe</w:t>
      </w:r>
      <w:r w:rsidRPr="000D4BC6">
        <w:rPr>
          <w:szCs w:val="16"/>
        </w:rPr>
        <w:t>m</w:t>
      </w:r>
      <w:r w:rsidRPr="000D4BC6">
        <w:rPr>
          <w:szCs w:val="16"/>
        </w:rPr>
        <w:t>bre-octobre 2010, pp. 31-50.</w:t>
      </w:r>
    </w:p>
  </w:footnote>
  <w:footnote w:id="10">
    <w:p w:rsidR="009E0D39" w:rsidRDefault="009E0D39" w:rsidP="009E0D39">
      <w:pPr>
        <w:pStyle w:val="Notedebasdepage"/>
      </w:pPr>
      <w:r>
        <w:rPr>
          <w:rStyle w:val="Appelnotedebasdep"/>
        </w:rPr>
        <w:footnoteRef/>
      </w:r>
      <w:r>
        <w:t xml:space="preserve"> </w:t>
      </w:r>
      <w:r>
        <w:tab/>
      </w:r>
      <w:r>
        <w:rPr>
          <w:szCs w:val="16"/>
        </w:rPr>
        <w:t>Cf</w:t>
      </w:r>
      <w:r w:rsidRPr="000D4BC6">
        <w:rPr>
          <w:szCs w:val="16"/>
        </w:rPr>
        <w:t>. MESSIAH, Antoine ; REY, Dominique ; OBADIA, Yola</w:t>
      </w:r>
      <w:r w:rsidRPr="000D4BC6">
        <w:rPr>
          <w:szCs w:val="16"/>
        </w:rPr>
        <w:t>n</w:t>
      </w:r>
      <w:r w:rsidRPr="000D4BC6">
        <w:rPr>
          <w:szCs w:val="16"/>
        </w:rPr>
        <w:t>de ; ROTILY, Michel ; MOATTI, Jean-Paul, "HIV testing, kn</w:t>
      </w:r>
      <w:r w:rsidRPr="000D4BC6">
        <w:rPr>
          <w:szCs w:val="16"/>
        </w:rPr>
        <w:t>o</w:t>
      </w:r>
      <w:r w:rsidRPr="000D4BC6">
        <w:rPr>
          <w:szCs w:val="16"/>
        </w:rPr>
        <w:t>wledge, attitudes, beliefs and practices among minorities : pr</w:t>
      </w:r>
      <w:r w:rsidRPr="000D4BC6">
        <w:rPr>
          <w:szCs w:val="16"/>
        </w:rPr>
        <w:t>e</w:t>
      </w:r>
      <w:r w:rsidRPr="000D4BC6">
        <w:rPr>
          <w:szCs w:val="16"/>
        </w:rPr>
        <w:t>gnant women of North-African origin in Southeastern Fran</w:t>
      </w:r>
      <w:r>
        <w:rPr>
          <w:szCs w:val="16"/>
        </w:rPr>
        <w:t xml:space="preserve">ce",  </w:t>
      </w:r>
      <w:r w:rsidRPr="00F82459">
        <w:rPr>
          <w:i/>
          <w:szCs w:val="16"/>
        </w:rPr>
        <w:t>Journal of the Nati</w:t>
      </w:r>
      <w:r w:rsidRPr="00F82459">
        <w:rPr>
          <w:i/>
          <w:szCs w:val="16"/>
        </w:rPr>
        <w:t>o</w:t>
      </w:r>
      <w:r w:rsidRPr="00F82459">
        <w:rPr>
          <w:i/>
          <w:szCs w:val="16"/>
        </w:rPr>
        <w:t>nal Medical</w:t>
      </w:r>
      <w:r>
        <w:rPr>
          <w:i/>
          <w:szCs w:val="16"/>
        </w:rPr>
        <w:t xml:space="preserve"> </w:t>
      </w:r>
      <w:r w:rsidRPr="00F82459">
        <w:rPr>
          <w:i/>
          <w:szCs w:val="16"/>
        </w:rPr>
        <w:t>Association</w:t>
      </w:r>
      <w:r w:rsidRPr="000D4BC6">
        <w:rPr>
          <w:szCs w:val="16"/>
        </w:rPr>
        <w:t>, vol.</w:t>
      </w:r>
      <w:r>
        <w:rPr>
          <w:szCs w:val="16"/>
        </w:rPr>
        <w:t> </w:t>
      </w:r>
      <w:r w:rsidRPr="000D4BC6">
        <w:rPr>
          <w:szCs w:val="16"/>
        </w:rPr>
        <w:t>90, n°</w:t>
      </w:r>
      <w:r>
        <w:rPr>
          <w:szCs w:val="16"/>
        </w:rPr>
        <w:t> </w:t>
      </w:r>
      <w:r w:rsidRPr="000D4BC6">
        <w:rPr>
          <w:szCs w:val="16"/>
        </w:rPr>
        <w:t xml:space="preserve">, 1998, pp. 87-92, </w:t>
      </w:r>
      <w:hyperlink r:id="rId3" w:history="1">
        <w:r>
          <w:rPr>
            <w:szCs w:val="16"/>
          </w:rPr>
          <w:t>http</w:t>
        </w:r>
        <w:r w:rsidRPr="000D4BC6">
          <w:rPr>
            <w:szCs w:val="16"/>
          </w:rPr>
          <w:t>://www.slideshare.net/mrotily/hiv-testinge-kabp-minorities-and-wom</w:t>
        </w:r>
        <w:r w:rsidRPr="000D4BC6">
          <w:rPr>
            <w:szCs w:val="16"/>
          </w:rPr>
          <w:t>e</w:t>
        </w:r>
        <w:r w:rsidRPr="000D4BC6">
          <w:rPr>
            <w:szCs w:val="16"/>
          </w:rPr>
          <w:t>n-jnca-1999</w:t>
        </w:r>
      </w:hyperlink>
      <w:r>
        <w:rPr>
          <w:szCs w:val="16"/>
        </w:rPr>
        <w:t>.</w:t>
      </w:r>
    </w:p>
  </w:footnote>
  <w:footnote w:id="11">
    <w:p w:rsidR="009E0D39" w:rsidRDefault="009E0D39" w:rsidP="009E0D39">
      <w:pPr>
        <w:pStyle w:val="Notedebasdepage"/>
      </w:pPr>
      <w:r>
        <w:rPr>
          <w:rStyle w:val="Appelnotedebasdep"/>
        </w:rPr>
        <w:footnoteRef/>
      </w:r>
      <w:r>
        <w:t xml:space="preserve"> </w:t>
      </w:r>
      <w:r>
        <w:tab/>
      </w:r>
      <w:r w:rsidRPr="000D4BC6">
        <w:rPr>
          <w:szCs w:val="16"/>
        </w:rPr>
        <w:t xml:space="preserve">COGNET, Marguerite ; GABARRO, Céline ; ADAM-VÉZINA, Emilie, "Entre droit aux soins et qualité des soins", </w:t>
      </w:r>
      <w:r w:rsidRPr="00F82459">
        <w:rPr>
          <w:i/>
          <w:szCs w:val="16"/>
        </w:rPr>
        <w:t>Hommes &amp; Migr</w:t>
      </w:r>
      <w:r w:rsidRPr="00F82459">
        <w:rPr>
          <w:i/>
          <w:szCs w:val="16"/>
        </w:rPr>
        <w:t>a</w:t>
      </w:r>
      <w:r w:rsidRPr="00F82459">
        <w:rPr>
          <w:i/>
          <w:szCs w:val="16"/>
        </w:rPr>
        <w:t>tions</w:t>
      </w:r>
      <w:r w:rsidRPr="000D4BC6">
        <w:rPr>
          <w:szCs w:val="16"/>
        </w:rPr>
        <w:t>, n°</w:t>
      </w:r>
      <w:r>
        <w:rPr>
          <w:szCs w:val="16"/>
        </w:rPr>
        <w:t> </w:t>
      </w:r>
      <w:r w:rsidRPr="000D4BC6">
        <w:rPr>
          <w:szCs w:val="16"/>
        </w:rPr>
        <w:t>1282, novembre-décembre 2009, pp. 54-65.</w:t>
      </w:r>
    </w:p>
  </w:footnote>
  <w:footnote w:id="12">
    <w:p w:rsidR="009E0D39" w:rsidRDefault="009E0D39" w:rsidP="009E0D39">
      <w:pPr>
        <w:pStyle w:val="Notedebasdepage"/>
      </w:pPr>
      <w:r>
        <w:rPr>
          <w:rStyle w:val="Appelnotedebasdep"/>
        </w:rPr>
        <w:footnoteRef/>
      </w:r>
      <w:r>
        <w:t xml:space="preserve"> </w:t>
      </w:r>
      <w:r>
        <w:tab/>
      </w:r>
      <w:r>
        <w:rPr>
          <w:szCs w:val="16"/>
        </w:rPr>
        <w:t>Cf</w:t>
      </w:r>
      <w:r w:rsidRPr="000D4BC6">
        <w:rPr>
          <w:szCs w:val="16"/>
        </w:rPr>
        <w:t>. LAUDERDALE, Diane S. ; WEN, Ming ; JACOBS, Eliz</w:t>
      </w:r>
      <w:r w:rsidRPr="000D4BC6">
        <w:rPr>
          <w:szCs w:val="16"/>
        </w:rPr>
        <w:t>a</w:t>
      </w:r>
      <w:r w:rsidRPr="000D4BC6">
        <w:rPr>
          <w:szCs w:val="16"/>
        </w:rPr>
        <w:t>beth A. ; KANDULA Namratha R., "Immigrant perceptions of discrimin</w:t>
      </w:r>
      <w:r w:rsidRPr="000D4BC6">
        <w:rPr>
          <w:szCs w:val="16"/>
        </w:rPr>
        <w:t>a</w:t>
      </w:r>
      <w:r w:rsidRPr="000D4BC6">
        <w:rPr>
          <w:szCs w:val="16"/>
        </w:rPr>
        <w:t xml:space="preserve">tion in health care : the California health interview survey 2003", </w:t>
      </w:r>
      <w:r w:rsidRPr="00F82459">
        <w:rPr>
          <w:i/>
          <w:szCs w:val="16"/>
        </w:rPr>
        <w:t>M</w:t>
      </w:r>
      <w:r>
        <w:rPr>
          <w:i/>
          <w:szCs w:val="16"/>
        </w:rPr>
        <w:t>e</w:t>
      </w:r>
      <w:r w:rsidRPr="00F82459">
        <w:rPr>
          <w:i/>
          <w:szCs w:val="16"/>
        </w:rPr>
        <w:t>dical Care</w:t>
      </w:r>
      <w:r w:rsidRPr="000D4BC6">
        <w:rPr>
          <w:szCs w:val="16"/>
        </w:rPr>
        <w:t>, vol.</w:t>
      </w:r>
      <w:r>
        <w:rPr>
          <w:szCs w:val="16"/>
        </w:rPr>
        <w:t> </w:t>
      </w:r>
      <w:r w:rsidRPr="000D4BC6">
        <w:rPr>
          <w:szCs w:val="16"/>
        </w:rPr>
        <w:t>44, n°</w:t>
      </w:r>
      <w:r>
        <w:rPr>
          <w:szCs w:val="16"/>
        </w:rPr>
        <w:t> </w:t>
      </w:r>
      <w:r w:rsidRPr="000D4BC6">
        <w:rPr>
          <w:szCs w:val="16"/>
        </w:rPr>
        <w:t>10, 2006, pp. 914-920.</w:t>
      </w:r>
    </w:p>
  </w:footnote>
  <w:footnote w:id="13">
    <w:p w:rsidR="009E0D39" w:rsidRDefault="009E0D39" w:rsidP="009E0D39">
      <w:pPr>
        <w:pStyle w:val="Notedebasdepage"/>
      </w:pPr>
      <w:r>
        <w:rPr>
          <w:rStyle w:val="Appelnotedebasdep"/>
        </w:rPr>
        <w:footnoteRef/>
      </w:r>
      <w:r>
        <w:t xml:space="preserve"> </w:t>
      </w:r>
      <w:r>
        <w:tab/>
      </w:r>
      <w:r w:rsidRPr="000D4BC6">
        <w:rPr>
          <w:szCs w:val="16"/>
        </w:rPr>
        <w:t>Dans trois régions de France "métropolitaine" (Aquitaine, Ile-de-France et Nord-Pas-de-Calais) et dans principalement deux villes guyanaises (Saint-Laurent du Maroni et Cayenne).</w:t>
      </w:r>
    </w:p>
  </w:footnote>
  <w:footnote w:id="14">
    <w:p w:rsidR="009E0D39" w:rsidRDefault="009E0D39" w:rsidP="009E0D39">
      <w:pPr>
        <w:pStyle w:val="Notedebasdepage"/>
      </w:pPr>
      <w:r>
        <w:rPr>
          <w:rStyle w:val="Appelnotedebasdep"/>
        </w:rPr>
        <w:footnoteRef/>
      </w:r>
      <w:r>
        <w:t xml:space="preserve"> </w:t>
      </w:r>
      <w:r>
        <w:tab/>
      </w:r>
      <w:r w:rsidRPr="000D4BC6">
        <w:rPr>
          <w:szCs w:val="16"/>
        </w:rPr>
        <w:t>Cf. LOCHAK, Danièle, "Réflexions sur la notion de discrimin</w:t>
      </w:r>
      <w:r w:rsidRPr="000D4BC6">
        <w:rPr>
          <w:szCs w:val="16"/>
        </w:rPr>
        <w:t>a</w:t>
      </w:r>
      <w:r w:rsidRPr="000D4BC6">
        <w:rPr>
          <w:szCs w:val="16"/>
        </w:rPr>
        <w:t xml:space="preserve">tion", </w:t>
      </w:r>
      <w:r w:rsidRPr="00F82459">
        <w:rPr>
          <w:i/>
          <w:szCs w:val="16"/>
        </w:rPr>
        <w:t>Droit Social</w:t>
      </w:r>
      <w:r w:rsidRPr="000D4BC6">
        <w:rPr>
          <w:szCs w:val="16"/>
        </w:rPr>
        <w:t>, n°</w:t>
      </w:r>
      <w:r>
        <w:rPr>
          <w:szCs w:val="16"/>
        </w:rPr>
        <w:t> </w:t>
      </w:r>
      <w:r w:rsidRPr="000D4BC6">
        <w:rPr>
          <w:szCs w:val="16"/>
        </w:rPr>
        <w:t>11, novembre 1987, pp. 778-790.</w:t>
      </w:r>
    </w:p>
  </w:footnote>
  <w:footnote w:id="15">
    <w:p w:rsidR="009E0D39" w:rsidRDefault="009E0D39" w:rsidP="009E0D39">
      <w:pPr>
        <w:pStyle w:val="Notedebasdepage"/>
      </w:pPr>
      <w:r>
        <w:rPr>
          <w:rStyle w:val="Appelnotedebasdep"/>
        </w:rPr>
        <w:footnoteRef/>
      </w:r>
      <w:r>
        <w:t xml:space="preserve"> </w:t>
      </w:r>
      <w:r>
        <w:tab/>
      </w:r>
      <w:r>
        <w:rPr>
          <w:szCs w:val="16"/>
        </w:rPr>
        <w:t>Cf</w:t>
      </w:r>
      <w:r w:rsidRPr="000D4BC6">
        <w:rPr>
          <w:szCs w:val="16"/>
        </w:rPr>
        <w:t>. DOURGNON, Paul ; JUSOT, Florence ; SERMET, Cather</w:t>
      </w:r>
      <w:r w:rsidRPr="000D4BC6">
        <w:rPr>
          <w:szCs w:val="16"/>
        </w:rPr>
        <w:t>i</w:t>
      </w:r>
      <w:r w:rsidRPr="000D4BC6">
        <w:rPr>
          <w:szCs w:val="16"/>
        </w:rPr>
        <w:t xml:space="preserve">ne ; SILVA, </w:t>
      </w:r>
      <w:r w:rsidRPr="00F82459">
        <w:rPr>
          <w:i/>
          <w:szCs w:val="16"/>
        </w:rPr>
        <w:t>Jérôme, Recours aux soins des populations imm</w:t>
      </w:r>
      <w:r w:rsidRPr="00F82459">
        <w:rPr>
          <w:i/>
          <w:szCs w:val="16"/>
        </w:rPr>
        <w:t>i</w:t>
      </w:r>
      <w:r w:rsidRPr="00F82459">
        <w:rPr>
          <w:i/>
          <w:szCs w:val="16"/>
        </w:rPr>
        <w:t>grées en France, op. cit</w:t>
      </w:r>
      <w:r w:rsidRPr="000D4BC6">
        <w:rPr>
          <w:szCs w:val="16"/>
        </w:rPr>
        <w:t>.</w:t>
      </w:r>
    </w:p>
  </w:footnote>
  <w:footnote w:id="16">
    <w:p w:rsidR="009E0D39" w:rsidRDefault="009E0D39" w:rsidP="009E0D39">
      <w:pPr>
        <w:pStyle w:val="Notedebasdepage"/>
      </w:pPr>
      <w:r>
        <w:rPr>
          <w:rStyle w:val="Appelnotedebasdep"/>
        </w:rPr>
        <w:footnoteRef/>
      </w:r>
      <w:r>
        <w:t xml:space="preserve"> </w:t>
      </w:r>
      <w:r>
        <w:tab/>
      </w:r>
      <w:r w:rsidRPr="000D4BC6">
        <w:rPr>
          <w:szCs w:val="16"/>
        </w:rPr>
        <w:t xml:space="preserve">Par exemple, dans l'enquête Trajectoires et Origines (TeO) menée en 2008 par </w:t>
      </w:r>
      <w:r>
        <w:rPr>
          <w:szCs w:val="16"/>
        </w:rPr>
        <w:t>l</w:t>
      </w:r>
      <w:r w:rsidRPr="000D4BC6">
        <w:rPr>
          <w:smallCaps/>
          <w:szCs w:val="16"/>
        </w:rPr>
        <w:t xml:space="preserve">'ined </w:t>
      </w:r>
      <w:r w:rsidRPr="000D4BC6">
        <w:rPr>
          <w:szCs w:val="16"/>
        </w:rPr>
        <w:t xml:space="preserve">et </w:t>
      </w:r>
      <w:r>
        <w:rPr>
          <w:szCs w:val="16"/>
        </w:rPr>
        <w:t>l</w:t>
      </w:r>
      <w:r w:rsidRPr="000D4BC6">
        <w:rPr>
          <w:smallCaps/>
          <w:szCs w:val="16"/>
        </w:rPr>
        <w:t xml:space="preserve">'insee, </w:t>
      </w:r>
      <w:r w:rsidRPr="000D4BC6">
        <w:rPr>
          <w:szCs w:val="16"/>
        </w:rPr>
        <w:t>est évaluée l'influence, sur la probabilité de se sentir discriminé, de divers facteurs tels que l'origine géograph</w:t>
      </w:r>
      <w:r w:rsidRPr="000D4BC6">
        <w:rPr>
          <w:szCs w:val="16"/>
        </w:rPr>
        <w:t>i</w:t>
      </w:r>
      <w:r w:rsidRPr="000D4BC6">
        <w:rPr>
          <w:szCs w:val="16"/>
        </w:rPr>
        <w:t>que, la catégorie socioprofessionnelle ou e</w:t>
      </w:r>
      <w:r w:rsidRPr="000D4BC6">
        <w:rPr>
          <w:szCs w:val="16"/>
        </w:rPr>
        <w:t>n</w:t>
      </w:r>
      <w:r w:rsidRPr="000D4BC6">
        <w:rPr>
          <w:szCs w:val="16"/>
        </w:rPr>
        <w:t>core la religion. Voir BEAUCHEMIN, Cris ; HAMEL, Christelle ; LESNE, Maud ; SIMON, Patrick et l'équipe de l'e</w:t>
      </w:r>
      <w:r w:rsidRPr="000D4BC6">
        <w:rPr>
          <w:szCs w:val="16"/>
        </w:rPr>
        <w:t>n</w:t>
      </w:r>
      <w:r w:rsidRPr="000D4BC6">
        <w:rPr>
          <w:szCs w:val="16"/>
        </w:rPr>
        <w:t xml:space="preserve">quête TeO, "Les discriminations : une question de minorités visibles", </w:t>
      </w:r>
      <w:r w:rsidRPr="00F82459">
        <w:rPr>
          <w:i/>
          <w:szCs w:val="16"/>
        </w:rPr>
        <w:t>Pop</w:t>
      </w:r>
      <w:r w:rsidRPr="00F82459">
        <w:rPr>
          <w:i/>
          <w:szCs w:val="16"/>
        </w:rPr>
        <w:t>u</w:t>
      </w:r>
      <w:r w:rsidRPr="00F82459">
        <w:rPr>
          <w:i/>
          <w:szCs w:val="16"/>
        </w:rPr>
        <w:t>lation et Sociétés</w:t>
      </w:r>
      <w:r w:rsidRPr="000D4BC6">
        <w:rPr>
          <w:szCs w:val="16"/>
        </w:rPr>
        <w:t>, n°</w:t>
      </w:r>
      <w:r>
        <w:rPr>
          <w:szCs w:val="16"/>
        </w:rPr>
        <w:t> </w:t>
      </w:r>
      <w:r w:rsidRPr="000D4BC6">
        <w:rPr>
          <w:szCs w:val="16"/>
        </w:rPr>
        <w:t>466, avril 2010,</w:t>
      </w:r>
      <w:r>
        <w:rPr>
          <w:szCs w:val="16"/>
        </w:rPr>
        <w:t xml:space="preserve"> </w:t>
      </w:r>
      <w:r w:rsidRPr="000D4BC6">
        <w:rPr>
          <w:szCs w:val="16"/>
        </w:rPr>
        <w:t>4 p.</w:t>
      </w:r>
    </w:p>
  </w:footnote>
  <w:footnote w:id="17">
    <w:p w:rsidR="009E0D39" w:rsidRDefault="009E0D39" w:rsidP="009E0D39">
      <w:pPr>
        <w:pStyle w:val="Notedebasdepage"/>
      </w:pPr>
      <w:r>
        <w:rPr>
          <w:rStyle w:val="Appelnotedebasdep"/>
        </w:rPr>
        <w:footnoteRef/>
      </w:r>
      <w:r>
        <w:t xml:space="preserve"> </w:t>
      </w:r>
      <w:r>
        <w:tab/>
      </w:r>
      <w:r w:rsidRPr="000D4BC6">
        <w:rPr>
          <w:szCs w:val="16"/>
        </w:rPr>
        <w:t>L'identification de discriminations dans la délivrance de soins est plus dél</w:t>
      </w:r>
      <w:r w:rsidRPr="000D4BC6">
        <w:rPr>
          <w:szCs w:val="16"/>
        </w:rPr>
        <w:t>i</w:t>
      </w:r>
      <w:r w:rsidRPr="000D4BC6">
        <w:rPr>
          <w:szCs w:val="16"/>
        </w:rPr>
        <w:t>cate : elle requiert de bien connaître l'état de santé des malades et leurs pr</w:t>
      </w:r>
      <w:r w:rsidRPr="000D4BC6">
        <w:rPr>
          <w:szCs w:val="16"/>
        </w:rPr>
        <w:t>é</w:t>
      </w:r>
      <w:r w:rsidRPr="000D4BC6">
        <w:rPr>
          <w:szCs w:val="16"/>
        </w:rPr>
        <w:t>férences en matière de soins, ainsi que les moyens à disposition des so</w:t>
      </w:r>
      <w:r w:rsidRPr="000D4BC6">
        <w:rPr>
          <w:szCs w:val="16"/>
        </w:rPr>
        <w:t>i</w:t>
      </w:r>
      <w:r w:rsidRPr="000D4BC6">
        <w:rPr>
          <w:szCs w:val="16"/>
        </w:rPr>
        <w:t>gnants et leurs habitudes de pre</w:t>
      </w:r>
      <w:r w:rsidRPr="000D4BC6">
        <w:rPr>
          <w:szCs w:val="16"/>
        </w:rPr>
        <w:t>s</w:t>
      </w:r>
      <w:r w:rsidRPr="000D4BC6">
        <w:rPr>
          <w:szCs w:val="16"/>
        </w:rPr>
        <w:t>cription.</w:t>
      </w:r>
    </w:p>
  </w:footnote>
  <w:footnote w:id="18">
    <w:p w:rsidR="009E0D39" w:rsidRDefault="009E0D39" w:rsidP="009E0D39">
      <w:pPr>
        <w:pStyle w:val="Notedebasdepage"/>
      </w:pPr>
      <w:r>
        <w:rPr>
          <w:rStyle w:val="Appelnotedebasdep"/>
        </w:rPr>
        <w:footnoteRef/>
      </w:r>
      <w:r>
        <w:t xml:space="preserve"> </w:t>
      </w:r>
      <w:r>
        <w:tab/>
      </w:r>
      <w:r w:rsidRPr="000D4BC6">
        <w:rPr>
          <w:szCs w:val="16"/>
        </w:rPr>
        <w:t xml:space="preserve">Par exemple, Médecins du monde, le Comité médical pour les exilés </w:t>
      </w:r>
      <w:r w:rsidRPr="000D4BC6">
        <w:rPr>
          <w:smallCaps/>
          <w:szCs w:val="16"/>
        </w:rPr>
        <w:t>(c</w:t>
      </w:r>
      <w:r w:rsidRPr="000D4BC6">
        <w:rPr>
          <w:smallCaps/>
          <w:szCs w:val="16"/>
        </w:rPr>
        <w:t>o</w:t>
      </w:r>
      <w:r w:rsidRPr="000D4BC6">
        <w:rPr>
          <w:smallCaps/>
          <w:szCs w:val="16"/>
        </w:rPr>
        <w:t xml:space="preserve">mede) </w:t>
      </w:r>
      <w:r w:rsidRPr="000D4BC6">
        <w:rPr>
          <w:szCs w:val="16"/>
        </w:rPr>
        <w:t xml:space="preserve">et l'Observatoire du droit à la santé des étrangers </w:t>
      </w:r>
      <w:r w:rsidRPr="000D4BC6">
        <w:rPr>
          <w:smallCaps/>
          <w:szCs w:val="16"/>
        </w:rPr>
        <w:t>(odse).</w:t>
      </w:r>
    </w:p>
  </w:footnote>
  <w:footnote w:id="19">
    <w:p w:rsidR="009E0D39" w:rsidRDefault="009E0D39" w:rsidP="009E0D39">
      <w:pPr>
        <w:pStyle w:val="Notedebasdepage"/>
      </w:pPr>
      <w:r>
        <w:rPr>
          <w:rStyle w:val="Appelnotedebasdep"/>
        </w:rPr>
        <w:footnoteRef/>
      </w:r>
      <w:r>
        <w:t xml:space="preserve"> </w:t>
      </w:r>
      <w:r>
        <w:tab/>
      </w:r>
      <w:r w:rsidRPr="000D4BC6">
        <w:rPr>
          <w:szCs w:val="16"/>
        </w:rPr>
        <w:t>Cf. CARDE, Estelle, "Les restrictions apportées au droit aux soins des étrangers sont-elles discriminatoires ? La loi et l'illég</w:t>
      </w:r>
      <w:r w:rsidRPr="000D4BC6">
        <w:rPr>
          <w:szCs w:val="16"/>
        </w:rPr>
        <w:t>i</w:t>
      </w:r>
      <w:r w:rsidRPr="000D4BC6">
        <w:rPr>
          <w:szCs w:val="16"/>
        </w:rPr>
        <w:t xml:space="preserve">time", </w:t>
      </w:r>
      <w:r w:rsidRPr="0093432B">
        <w:rPr>
          <w:i/>
          <w:szCs w:val="16"/>
        </w:rPr>
        <w:t>Santé Publique</w:t>
      </w:r>
      <w:r w:rsidRPr="000D4BC6">
        <w:rPr>
          <w:szCs w:val="16"/>
        </w:rPr>
        <w:t>, vol.</w:t>
      </w:r>
      <w:r>
        <w:rPr>
          <w:szCs w:val="16"/>
        </w:rPr>
        <w:t> </w:t>
      </w:r>
      <w:r w:rsidRPr="000D4BC6">
        <w:rPr>
          <w:szCs w:val="16"/>
        </w:rPr>
        <w:t>21, n°</w:t>
      </w:r>
      <w:r>
        <w:rPr>
          <w:szCs w:val="16"/>
        </w:rPr>
        <w:t> </w:t>
      </w:r>
      <w:r w:rsidRPr="000D4BC6">
        <w:rPr>
          <w:szCs w:val="16"/>
        </w:rPr>
        <w:t>3, 2009, pp. 331-337.</w:t>
      </w:r>
    </w:p>
  </w:footnote>
  <w:footnote w:id="20">
    <w:p w:rsidR="009E0D39" w:rsidRDefault="009E0D39" w:rsidP="009E0D39">
      <w:pPr>
        <w:pStyle w:val="Notedebasdepage"/>
      </w:pPr>
      <w:r>
        <w:rPr>
          <w:rStyle w:val="Appelnotedebasdep"/>
        </w:rPr>
        <w:footnoteRef/>
      </w:r>
      <w:r>
        <w:t xml:space="preserve"> </w:t>
      </w:r>
      <w:r>
        <w:tab/>
      </w:r>
      <w:r w:rsidRPr="000D4BC6">
        <w:rPr>
          <w:szCs w:val="16"/>
        </w:rPr>
        <w:t>Les réformes du droit à une couverture maladie se sont succ</w:t>
      </w:r>
      <w:r w:rsidRPr="000D4BC6">
        <w:rPr>
          <w:szCs w:val="16"/>
        </w:rPr>
        <w:t>é</w:t>
      </w:r>
      <w:r w:rsidRPr="000D4BC6">
        <w:rPr>
          <w:szCs w:val="16"/>
        </w:rPr>
        <w:t>dé</w:t>
      </w:r>
      <w:r>
        <w:rPr>
          <w:szCs w:val="16"/>
        </w:rPr>
        <w:t>es</w:t>
      </w:r>
      <w:r w:rsidRPr="000D4BC6">
        <w:rPr>
          <w:szCs w:val="16"/>
        </w:rPr>
        <w:t xml:space="preserve"> depuis la création de la Sécurité sociale en 1945, afin que le plus grand nombre y soit éligible. De 1945 à 1974 ont été rattachées à la Sécurité sociale des catég</w:t>
      </w:r>
      <w:r w:rsidRPr="000D4BC6">
        <w:rPr>
          <w:szCs w:val="16"/>
        </w:rPr>
        <w:t>o</w:t>
      </w:r>
      <w:r w:rsidRPr="000D4BC6">
        <w:rPr>
          <w:szCs w:val="16"/>
        </w:rPr>
        <w:t>ries qui en étaient au départ exclues car ne satisfaisant pas à la condition de l'activité professionnelle (étudiants, chômeu</w:t>
      </w:r>
      <w:r>
        <w:rPr>
          <w:szCs w:val="16"/>
        </w:rPr>
        <w:t>rs, retraités, prêtres, etc.). À</w:t>
      </w:r>
      <w:r w:rsidRPr="000D4BC6">
        <w:rPr>
          <w:szCs w:val="16"/>
        </w:rPr>
        <w:t xml:space="preserve"> pa</w:t>
      </w:r>
      <w:r w:rsidRPr="000D4BC6">
        <w:rPr>
          <w:szCs w:val="16"/>
        </w:rPr>
        <w:t>r</w:t>
      </w:r>
      <w:r w:rsidRPr="000D4BC6">
        <w:rPr>
          <w:szCs w:val="16"/>
        </w:rPr>
        <w:t>tir de 1975, les réformes de l'Aide sociale et l'imbrication de certains de ses dispositifs à ceux de la Sécurité sociale ont visé à faciliter l'accès à une co</w:t>
      </w:r>
      <w:r w:rsidRPr="000D4BC6">
        <w:rPr>
          <w:szCs w:val="16"/>
        </w:rPr>
        <w:t>u</w:t>
      </w:r>
      <w:r w:rsidRPr="000D4BC6">
        <w:rPr>
          <w:szCs w:val="16"/>
        </w:rPr>
        <w:t>verture maladie pour les plus précaires des rés</w:t>
      </w:r>
      <w:r w:rsidRPr="000D4BC6">
        <w:rPr>
          <w:szCs w:val="16"/>
        </w:rPr>
        <w:t>i</w:t>
      </w:r>
      <w:r w:rsidRPr="000D4BC6">
        <w:rPr>
          <w:szCs w:val="16"/>
        </w:rPr>
        <w:t>dents : assurance personnelle en 1978 (simplifiée en 1994), r</w:t>
      </w:r>
      <w:r w:rsidRPr="000D4BC6">
        <w:rPr>
          <w:szCs w:val="16"/>
        </w:rPr>
        <w:t>é</w:t>
      </w:r>
      <w:r w:rsidRPr="000D4BC6">
        <w:rPr>
          <w:szCs w:val="16"/>
        </w:rPr>
        <w:t xml:space="preserve">formes de l'aide médicale en 1988 et 1992, création de la </w:t>
      </w:r>
      <w:r w:rsidRPr="000D4BC6">
        <w:rPr>
          <w:smallCaps/>
          <w:szCs w:val="16"/>
        </w:rPr>
        <w:t xml:space="preserve">cmu </w:t>
      </w:r>
      <w:r w:rsidRPr="000D4BC6">
        <w:rPr>
          <w:szCs w:val="16"/>
        </w:rPr>
        <w:t>en 1999, puis divers dispositifs destinés à améliorer l'a</w:t>
      </w:r>
      <w:r w:rsidRPr="000D4BC6">
        <w:rPr>
          <w:szCs w:val="16"/>
        </w:rPr>
        <w:t>c</w:t>
      </w:r>
      <w:r w:rsidRPr="000D4BC6">
        <w:rPr>
          <w:szCs w:val="16"/>
        </w:rPr>
        <w:t>cès à une complémentaire santé pour les foyers dont les revenus sont fa</w:t>
      </w:r>
      <w:r w:rsidRPr="000D4BC6">
        <w:rPr>
          <w:szCs w:val="16"/>
        </w:rPr>
        <w:t>i</w:t>
      </w:r>
      <w:r w:rsidRPr="000D4BC6">
        <w:rPr>
          <w:szCs w:val="16"/>
        </w:rPr>
        <w:t xml:space="preserve">bles mais supérieurs au plafond ouvrant droit à la </w:t>
      </w:r>
      <w:r w:rsidRPr="000D4BC6">
        <w:rPr>
          <w:smallCaps/>
          <w:szCs w:val="16"/>
        </w:rPr>
        <w:t xml:space="preserve">cmu </w:t>
      </w:r>
      <w:r w:rsidRPr="000D4BC6">
        <w:rPr>
          <w:szCs w:val="16"/>
        </w:rPr>
        <w:t>compl</w:t>
      </w:r>
      <w:r w:rsidRPr="000D4BC6">
        <w:rPr>
          <w:szCs w:val="16"/>
        </w:rPr>
        <w:t>é</w:t>
      </w:r>
      <w:r w:rsidRPr="000D4BC6">
        <w:rPr>
          <w:szCs w:val="16"/>
        </w:rPr>
        <w:t>mentaire.</w:t>
      </w:r>
    </w:p>
  </w:footnote>
  <w:footnote w:id="21">
    <w:p w:rsidR="009E0D39" w:rsidRDefault="009E0D39" w:rsidP="009E0D39">
      <w:pPr>
        <w:pStyle w:val="Notedebasdepage"/>
      </w:pPr>
      <w:r>
        <w:rPr>
          <w:rStyle w:val="Appelnotedebasdep"/>
        </w:rPr>
        <w:footnoteRef/>
      </w:r>
      <w:r>
        <w:t xml:space="preserve"> </w:t>
      </w:r>
      <w:r>
        <w:tab/>
      </w:r>
      <w:r w:rsidRPr="000D4BC6">
        <w:rPr>
          <w:szCs w:val="16"/>
        </w:rPr>
        <w:t>Cf. CARDE, Estelle, "Quinze ans de réforme de l'accès à une co</w:t>
      </w:r>
      <w:r w:rsidRPr="000D4BC6">
        <w:rPr>
          <w:szCs w:val="16"/>
        </w:rPr>
        <w:t>u</w:t>
      </w:r>
      <w:r w:rsidRPr="000D4BC6">
        <w:rPr>
          <w:szCs w:val="16"/>
        </w:rPr>
        <w:t>verture maladie des sans-papiers : de l'Aide sociale aux pol</w:t>
      </w:r>
      <w:r w:rsidRPr="000D4BC6">
        <w:rPr>
          <w:szCs w:val="16"/>
        </w:rPr>
        <w:t>i</w:t>
      </w:r>
      <w:r w:rsidRPr="000D4BC6">
        <w:rPr>
          <w:szCs w:val="16"/>
        </w:rPr>
        <w:t xml:space="preserve">tiques d'immigration", </w:t>
      </w:r>
      <w:r w:rsidRPr="00F82459">
        <w:rPr>
          <w:i/>
          <w:szCs w:val="16"/>
        </w:rPr>
        <w:t>Mouvements</w:t>
      </w:r>
      <w:r w:rsidRPr="000D4BC6">
        <w:rPr>
          <w:szCs w:val="16"/>
        </w:rPr>
        <w:t>, n°</w:t>
      </w:r>
      <w:r>
        <w:rPr>
          <w:szCs w:val="16"/>
        </w:rPr>
        <w:t> </w:t>
      </w:r>
      <w:r w:rsidRPr="000D4BC6">
        <w:rPr>
          <w:szCs w:val="16"/>
        </w:rPr>
        <w:t>59, 2009, pp. 144-156.</w:t>
      </w:r>
    </w:p>
  </w:footnote>
  <w:footnote w:id="22">
    <w:p w:rsidR="009E0D39" w:rsidRDefault="009E0D39" w:rsidP="009E0D39">
      <w:pPr>
        <w:pStyle w:val="Notedebasdepage"/>
      </w:pPr>
      <w:r>
        <w:rPr>
          <w:rStyle w:val="Appelnotedebasdep"/>
        </w:rPr>
        <w:footnoteRef/>
      </w:r>
      <w:r>
        <w:t xml:space="preserve"> </w:t>
      </w:r>
      <w:r>
        <w:tab/>
      </w:r>
      <w:r w:rsidRPr="000D4BC6">
        <w:rPr>
          <w:szCs w:val="16"/>
        </w:rPr>
        <w:t>Cf. CARDE, Estelle, "Les discriminations selon l'origine dans l'a</w:t>
      </w:r>
      <w:r w:rsidRPr="000D4BC6">
        <w:rPr>
          <w:szCs w:val="16"/>
        </w:rPr>
        <w:t>c</w:t>
      </w:r>
      <w:r w:rsidRPr="000D4BC6">
        <w:rPr>
          <w:szCs w:val="16"/>
        </w:rPr>
        <w:t xml:space="preserve">cès aux soins", </w:t>
      </w:r>
      <w:r w:rsidRPr="00CF5BAB">
        <w:rPr>
          <w:i/>
          <w:szCs w:val="16"/>
        </w:rPr>
        <w:t>Santé Publique</w:t>
      </w:r>
      <w:r w:rsidRPr="000D4BC6">
        <w:rPr>
          <w:szCs w:val="16"/>
        </w:rPr>
        <w:t>, vol.</w:t>
      </w:r>
      <w:r>
        <w:rPr>
          <w:szCs w:val="16"/>
        </w:rPr>
        <w:t> </w:t>
      </w:r>
      <w:r w:rsidRPr="000D4BC6">
        <w:rPr>
          <w:szCs w:val="16"/>
        </w:rPr>
        <w:t>19, n°</w:t>
      </w:r>
      <w:r>
        <w:rPr>
          <w:szCs w:val="16"/>
        </w:rPr>
        <w:t> </w:t>
      </w:r>
      <w:r w:rsidRPr="000D4BC6">
        <w:rPr>
          <w:szCs w:val="16"/>
        </w:rPr>
        <w:t>2, 2007, pp. 99-110 ; CARDE, Estelle, "'On ne laisse mourir personne'. Les di</w:t>
      </w:r>
      <w:r w:rsidRPr="000D4BC6">
        <w:rPr>
          <w:szCs w:val="16"/>
        </w:rPr>
        <w:t>s</w:t>
      </w:r>
      <w:r w:rsidRPr="000D4BC6">
        <w:rPr>
          <w:szCs w:val="16"/>
        </w:rPr>
        <w:t xml:space="preserve">criminations dans l'accès aux soins", </w:t>
      </w:r>
      <w:r w:rsidRPr="00CF5BAB">
        <w:rPr>
          <w:i/>
          <w:szCs w:val="16"/>
        </w:rPr>
        <w:t>Travailler</w:t>
      </w:r>
      <w:r w:rsidRPr="000D4BC6">
        <w:rPr>
          <w:szCs w:val="16"/>
        </w:rPr>
        <w:t>, vol.</w:t>
      </w:r>
      <w:r>
        <w:rPr>
          <w:szCs w:val="16"/>
        </w:rPr>
        <w:t> </w:t>
      </w:r>
      <w:r w:rsidRPr="000D4BC6">
        <w:rPr>
          <w:szCs w:val="16"/>
        </w:rPr>
        <w:t>16, n°</w:t>
      </w:r>
      <w:r>
        <w:rPr>
          <w:szCs w:val="16"/>
        </w:rPr>
        <w:t> </w:t>
      </w:r>
      <w:r w:rsidRPr="000D4BC6">
        <w:rPr>
          <w:szCs w:val="16"/>
        </w:rPr>
        <w:t>2, jui</w:t>
      </w:r>
      <w:r w:rsidRPr="000D4BC6">
        <w:rPr>
          <w:szCs w:val="16"/>
        </w:rPr>
        <w:t>l</w:t>
      </w:r>
      <w:r w:rsidRPr="000D4BC6">
        <w:rPr>
          <w:szCs w:val="16"/>
        </w:rPr>
        <w:t>let 2006, pp. 57-80.</w:t>
      </w:r>
    </w:p>
  </w:footnote>
  <w:footnote w:id="23">
    <w:p w:rsidR="009E0D39" w:rsidRDefault="009E0D39" w:rsidP="009E0D39">
      <w:pPr>
        <w:pStyle w:val="Notedebasdepage"/>
      </w:pPr>
      <w:r>
        <w:rPr>
          <w:rStyle w:val="Appelnotedebasdep"/>
        </w:rPr>
        <w:footnoteRef/>
      </w:r>
      <w:r>
        <w:t xml:space="preserve"> </w:t>
      </w:r>
      <w:r>
        <w:tab/>
      </w:r>
      <w:r w:rsidRPr="000D4BC6">
        <w:rPr>
          <w:szCs w:val="16"/>
        </w:rPr>
        <w:t>On comptait 25</w:t>
      </w:r>
      <w:r>
        <w:rPr>
          <w:szCs w:val="16"/>
        </w:rPr>
        <w:t> </w:t>
      </w:r>
      <w:r w:rsidRPr="000D4BC6">
        <w:rPr>
          <w:szCs w:val="16"/>
        </w:rPr>
        <w:t>000 habitants en 1946, 222</w:t>
      </w:r>
      <w:r>
        <w:rPr>
          <w:szCs w:val="16"/>
        </w:rPr>
        <w:t> </w:t>
      </w:r>
      <w:r w:rsidRPr="000D4BC6">
        <w:rPr>
          <w:szCs w:val="16"/>
        </w:rPr>
        <w:t>000 en 2008. Voir Institut nati</w:t>
      </w:r>
      <w:r w:rsidRPr="000D4BC6">
        <w:rPr>
          <w:szCs w:val="16"/>
        </w:rPr>
        <w:t>o</w:t>
      </w:r>
      <w:r w:rsidRPr="000D4BC6">
        <w:rPr>
          <w:szCs w:val="16"/>
        </w:rPr>
        <w:t xml:space="preserve">nal de la statistique et des études économiques </w:t>
      </w:r>
      <w:r w:rsidRPr="000D4BC6">
        <w:rPr>
          <w:smallCaps/>
          <w:szCs w:val="16"/>
        </w:rPr>
        <w:t>(i</w:t>
      </w:r>
      <w:r w:rsidRPr="000D4BC6">
        <w:rPr>
          <w:smallCaps/>
          <w:szCs w:val="16"/>
        </w:rPr>
        <w:t>n</w:t>
      </w:r>
      <w:r w:rsidRPr="000D4BC6">
        <w:rPr>
          <w:smallCaps/>
          <w:szCs w:val="16"/>
        </w:rPr>
        <w:t xml:space="preserve">see), </w:t>
      </w:r>
      <w:hyperlink r:id="rId4" w:history="1">
        <w:r w:rsidRPr="000D4BC6">
          <w:rPr>
            <w:szCs w:val="16"/>
          </w:rPr>
          <w:t>http://ww</w:t>
        </w:r>
        <w:r>
          <w:rPr>
            <w:szCs w:val="16"/>
          </w:rPr>
          <w:t>w.insee.fr/fr/themes/detail.asp</w:t>
        </w:r>
        <w:r w:rsidRPr="000D4BC6">
          <w:rPr>
            <w:szCs w:val="16"/>
          </w:rPr>
          <w:t>?reg_id=99&amp;ref_</w:t>
        </w:r>
      </w:hyperlink>
      <w:r w:rsidRPr="000D4BC6">
        <w:rPr>
          <w:szCs w:val="16"/>
        </w:rPr>
        <w:t>d=estim-pop</w:t>
      </w:r>
      <w:r>
        <w:rPr>
          <w:szCs w:val="16"/>
        </w:rPr>
        <w:t>.</w:t>
      </w:r>
    </w:p>
  </w:footnote>
  <w:footnote w:id="24">
    <w:p w:rsidR="009E0D39" w:rsidRDefault="009E0D39" w:rsidP="009E0D39">
      <w:pPr>
        <w:pStyle w:val="Notedebasdepage"/>
      </w:pPr>
      <w:r>
        <w:rPr>
          <w:rStyle w:val="Appelnotedebasdep"/>
        </w:rPr>
        <w:footnoteRef/>
      </w:r>
      <w:r>
        <w:t xml:space="preserve"> </w:t>
      </w:r>
      <w:r>
        <w:tab/>
      </w:r>
      <w:r>
        <w:rPr>
          <w:szCs w:val="16"/>
        </w:rPr>
        <w:t>Cf</w:t>
      </w:r>
      <w:r w:rsidRPr="000D4BC6">
        <w:rPr>
          <w:szCs w:val="16"/>
        </w:rPr>
        <w:t>. BRETON, Didier ; CONDON, Stéphanie ; MARIE, Cla</w:t>
      </w:r>
      <w:r w:rsidRPr="000D4BC6">
        <w:rPr>
          <w:szCs w:val="16"/>
        </w:rPr>
        <w:t>u</w:t>
      </w:r>
      <w:r w:rsidRPr="000D4BC6">
        <w:rPr>
          <w:szCs w:val="16"/>
        </w:rPr>
        <w:t xml:space="preserve">de-Valentin ; TEMPORAL, Franck, "Les départements d'Outre-Mer face aux défis du vieillissement démographique et des migrations", </w:t>
      </w:r>
      <w:r w:rsidRPr="00CF5BAB">
        <w:rPr>
          <w:i/>
          <w:szCs w:val="16"/>
        </w:rPr>
        <w:t>Pop</w:t>
      </w:r>
      <w:r w:rsidRPr="00CF5BAB">
        <w:rPr>
          <w:i/>
          <w:szCs w:val="16"/>
        </w:rPr>
        <w:t>u</w:t>
      </w:r>
      <w:r w:rsidRPr="00CF5BAB">
        <w:rPr>
          <w:i/>
          <w:szCs w:val="16"/>
        </w:rPr>
        <w:t>lation et Sociétés</w:t>
      </w:r>
      <w:r w:rsidRPr="000D4BC6">
        <w:rPr>
          <w:szCs w:val="16"/>
        </w:rPr>
        <w:t>, n°</w:t>
      </w:r>
      <w:r>
        <w:rPr>
          <w:szCs w:val="16"/>
        </w:rPr>
        <w:t> </w:t>
      </w:r>
      <w:r w:rsidRPr="000D4BC6">
        <w:rPr>
          <w:szCs w:val="16"/>
        </w:rPr>
        <w:t>460, octobre 2009, 4 p.</w:t>
      </w:r>
    </w:p>
  </w:footnote>
  <w:footnote w:id="25">
    <w:p w:rsidR="009E0D39" w:rsidRDefault="009E0D39" w:rsidP="009E0D39">
      <w:pPr>
        <w:pStyle w:val="Notedebasdepage"/>
      </w:pPr>
      <w:r>
        <w:rPr>
          <w:rStyle w:val="Appelnotedebasdep"/>
        </w:rPr>
        <w:footnoteRef/>
      </w:r>
      <w:r>
        <w:t xml:space="preserve"> </w:t>
      </w:r>
      <w:r>
        <w:tab/>
      </w:r>
      <w:r w:rsidRPr="000D4BC6">
        <w:rPr>
          <w:szCs w:val="16"/>
        </w:rPr>
        <w:t>Cf. BENOIT, Catherine, "Un domaine de dérogations ; les o</w:t>
      </w:r>
      <w:r w:rsidRPr="000D4BC6">
        <w:rPr>
          <w:szCs w:val="16"/>
        </w:rPr>
        <w:t>u</w:t>
      </w:r>
      <w:r w:rsidRPr="000D4BC6">
        <w:rPr>
          <w:szCs w:val="16"/>
        </w:rPr>
        <w:t xml:space="preserve">tre-mers", in : </w:t>
      </w:r>
      <w:r w:rsidRPr="00CF5BAB">
        <w:rPr>
          <w:i/>
          <w:szCs w:val="16"/>
        </w:rPr>
        <w:t>Cette France-là</w:t>
      </w:r>
      <w:r w:rsidRPr="000D4BC6">
        <w:rPr>
          <w:szCs w:val="16"/>
        </w:rPr>
        <w:t>, vol.</w:t>
      </w:r>
      <w:r>
        <w:rPr>
          <w:szCs w:val="16"/>
        </w:rPr>
        <w:t> </w:t>
      </w:r>
      <w:r w:rsidRPr="000D4BC6">
        <w:rPr>
          <w:szCs w:val="16"/>
        </w:rPr>
        <w:t xml:space="preserve">2, Paris : Éd. La </w:t>
      </w:r>
      <w:r>
        <w:rPr>
          <w:szCs w:val="16"/>
        </w:rPr>
        <w:t xml:space="preserve">Découverte, </w:t>
      </w:r>
      <w:r w:rsidRPr="000D4BC6">
        <w:rPr>
          <w:szCs w:val="16"/>
        </w:rPr>
        <w:t xml:space="preserve">2010,   </w:t>
      </w:r>
      <w:hyperlink r:id="rId5" w:history="1">
        <w:r>
          <w:rPr>
            <w:szCs w:val="16"/>
          </w:rPr>
          <w:t>http</w:t>
        </w:r>
        <w:r w:rsidRPr="000D4BC6">
          <w:rPr>
            <w:szCs w:val="16"/>
          </w:rPr>
          <w:t>://www.cettefrancela.net/volume-1/descriptions/article/un-domaine-de</w:t>
        </w:r>
      </w:hyperlink>
      <w:r w:rsidRPr="000D4BC6">
        <w:rPr>
          <w:szCs w:val="16"/>
        </w:rPr>
        <w:t>-derogations ; GROUPE D'INFORMATION ET DE SOUTIEN DES IMM</w:t>
      </w:r>
      <w:r w:rsidRPr="000D4BC6">
        <w:rPr>
          <w:szCs w:val="16"/>
        </w:rPr>
        <w:t>I</w:t>
      </w:r>
      <w:r w:rsidRPr="000D4BC6">
        <w:rPr>
          <w:szCs w:val="16"/>
        </w:rPr>
        <w:t xml:space="preserve">GRÉS, </w:t>
      </w:r>
      <w:r w:rsidRPr="00CF5BAB">
        <w:rPr>
          <w:i/>
          <w:szCs w:val="16"/>
        </w:rPr>
        <w:t>Étrangers en Guyane, Guyane étrangère à son e</w:t>
      </w:r>
      <w:r w:rsidRPr="00CF5BAB">
        <w:rPr>
          <w:i/>
          <w:szCs w:val="16"/>
        </w:rPr>
        <w:t>n</w:t>
      </w:r>
      <w:r w:rsidRPr="00CF5BAB">
        <w:rPr>
          <w:i/>
          <w:szCs w:val="16"/>
        </w:rPr>
        <w:t>tourage</w:t>
      </w:r>
      <w:r w:rsidRPr="000D4BC6">
        <w:rPr>
          <w:szCs w:val="16"/>
        </w:rPr>
        <w:t>. Rapport de mission, Paris : GISTI, 2006,</w:t>
      </w:r>
      <w:r>
        <w:rPr>
          <w:szCs w:val="16"/>
        </w:rPr>
        <w:t xml:space="preserve"> </w:t>
      </w:r>
      <w:r w:rsidRPr="000D4BC6">
        <w:rPr>
          <w:szCs w:val="16"/>
        </w:rPr>
        <w:t>20 p.</w:t>
      </w:r>
    </w:p>
  </w:footnote>
  <w:footnote w:id="26">
    <w:p w:rsidR="009E0D39" w:rsidRDefault="009E0D39" w:rsidP="009E0D39">
      <w:pPr>
        <w:pStyle w:val="Notedebasdepage"/>
      </w:pPr>
      <w:r>
        <w:rPr>
          <w:rStyle w:val="Appelnotedebasdep"/>
        </w:rPr>
        <w:footnoteRef/>
      </w:r>
      <w:r>
        <w:t xml:space="preserve"> </w:t>
      </w:r>
      <w:r>
        <w:tab/>
      </w:r>
      <w:r>
        <w:rPr>
          <w:szCs w:val="16"/>
        </w:rPr>
        <w:t>Cf</w:t>
      </w:r>
      <w:r w:rsidRPr="000D4BC6">
        <w:rPr>
          <w:szCs w:val="16"/>
        </w:rPr>
        <w:t>. MORIAME, Éric (coordonné par) ; ATTALI Stéphane ; VOIRIOT Ol</w:t>
      </w:r>
      <w:r w:rsidRPr="000D4BC6">
        <w:rPr>
          <w:szCs w:val="16"/>
        </w:rPr>
        <w:t>i</w:t>
      </w:r>
      <w:r w:rsidRPr="000D4BC6">
        <w:rPr>
          <w:szCs w:val="16"/>
        </w:rPr>
        <w:t xml:space="preserve">vier, </w:t>
      </w:r>
      <w:r w:rsidRPr="00CF5BAB">
        <w:rPr>
          <w:i/>
          <w:szCs w:val="16"/>
        </w:rPr>
        <w:t>Guyane, un développement sous contraintes</w:t>
      </w:r>
      <w:r w:rsidRPr="000D4BC6">
        <w:rPr>
          <w:szCs w:val="16"/>
        </w:rPr>
        <w:t>, P</w:t>
      </w:r>
      <w:r w:rsidRPr="000D4BC6">
        <w:rPr>
          <w:szCs w:val="16"/>
        </w:rPr>
        <w:t>a</w:t>
      </w:r>
      <w:r w:rsidRPr="000D4BC6">
        <w:rPr>
          <w:szCs w:val="16"/>
        </w:rPr>
        <w:t>ris : INSEE, IEDOM, AFD, 2008, 83 p.</w:t>
      </w:r>
    </w:p>
  </w:footnote>
  <w:footnote w:id="27">
    <w:p w:rsidR="009E0D39" w:rsidRDefault="009E0D39" w:rsidP="009E0D39">
      <w:pPr>
        <w:pStyle w:val="Notedebasdepage"/>
      </w:pPr>
      <w:r>
        <w:rPr>
          <w:rStyle w:val="Appelnotedebasdep"/>
        </w:rPr>
        <w:footnoteRef/>
      </w:r>
      <w:r>
        <w:t xml:space="preserve"> </w:t>
      </w:r>
      <w:r>
        <w:tab/>
      </w:r>
      <w:r w:rsidRPr="000D4BC6">
        <w:rPr>
          <w:szCs w:val="16"/>
        </w:rPr>
        <w:t>Proportions sur les populations âgées de 20 à 59 ans. Chiffres de 2006 pour la France entière et de 2007 pour la Guyane. Voir DIRE</w:t>
      </w:r>
      <w:r w:rsidRPr="000D4BC6">
        <w:rPr>
          <w:szCs w:val="16"/>
        </w:rPr>
        <w:t>C</w:t>
      </w:r>
      <w:r w:rsidRPr="000D4BC6">
        <w:rPr>
          <w:szCs w:val="16"/>
        </w:rPr>
        <w:t>TION DE LA SANTÉ ET DU DÉVELOPPEMENT SOCIAL - SERVICE STATIST</w:t>
      </w:r>
      <w:r w:rsidRPr="000D4BC6">
        <w:rPr>
          <w:szCs w:val="16"/>
        </w:rPr>
        <w:t>I</w:t>
      </w:r>
      <w:r w:rsidRPr="000D4BC6">
        <w:rPr>
          <w:szCs w:val="16"/>
        </w:rPr>
        <w:t xml:space="preserve">QUE, </w:t>
      </w:r>
      <w:r w:rsidRPr="00F3313C">
        <w:rPr>
          <w:i/>
          <w:szCs w:val="16"/>
        </w:rPr>
        <w:t>Statistiques et indicateurs de la santé et du social</w:t>
      </w:r>
      <w:r w:rsidRPr="000D4BC6">
        <w:rPr>
          <w:szCs w:val="16"/>
        </w:rPr>
        <w:t>. Mémento Antilles-Guyane 2008, Martin</w:t>
      </w:r>
      <w:r w:rsidRPr="000D4BC6">
        <w:rPr>
          <w:szCs w:val="16"/>
        </w:rPr>
        <w:t>i</w:t>
      </w:r>
      <w:r w:rsidRPr="000D4BC6">
        <w:rPr>
          <w:szCs w:val="16"/>
        </w:rPr>
        <w:t xml:space="preserve">que : DSDS, 2009, 32 p., Statiss 2008, </w:t>
      </w:r>
      <w:hyperlink r:id="rId6" w:history="1">
        <w:r w:rsidRPr="000D4BC6">
          <w:rPr>
            <w:szCs w:val="16"/>
          </w:rPr>
          <w:t>http://www.martinique.sante.gouv.fr</w:t>
        </w:r>
      </w:hyperlink>
    </w:p>
  </w:footnote>
  <w:footnote w:id="28">
    <w:p w:rsidR="009E0D39" w:rsidRDefault="009E0D39" w:rsidP="009E0D39">
      <w:pPr>
        <w:pStyle w:val="Notedebasdepage"/>
        <w:rPr>
          <w:szCs w:val="16"/>
        </w:rPr>
      </w:pPr>
      <w:r>
        <w:rPr>
          <w:rStyle w:val="Appelnotedebasdep"/>
        </w:rPr>
        <w:footnoteRef/>
      </w:r>
      <w:r>
        <w:t xml:space="preserve"> </w:t>
      </w:r>
      <w:r>
        <w:tab/>
      </w:r>
      <w:r w:rsidRPr="000D4BC6">
        <w:rPr>
          <w:szCs w:val="16"/>
        </w:rPr>
        <w:t>Chiffres de 2005. OBSERVATOIRE NATIONAL DE LA PA</w:t>
      </w:r>
      <w:r w:rsidRPr="000D4BC6">
        <w:rPr>
          <w:szCs w:val="16"/>
        </w:rPr>
        <w:t>U</w:t>
      </w:r>
      <w:r w:rsidRPr="000D4BC6">
        <w:rPr>
          <w:szCs w:val="16"/>
        </w:rPr>
        <w:t xml:space="preserve">VRETÉ ET DE L'EXCLUSION SOCIALE </w:t>
      </w:r>
      <w:r w:rsidRPr="000D4BC6">
        <w:rPr>
          <w:smallCaps/>
          <w:szCs w:val="16"/>
        </w:rPr>
        <w:t xml:space="preserve">(onpes), </w:t>
      </w:r>
      <w:r w:rsidRPr="00F3313C">
        <w:rPr>
          <w:i/>
          <w:szCs w:val="16"/>
        </w:rPr>
        <w:t>Le rapport de l'Observatoire nati</w:t>
      </w:r>
      <w:r w:rsidRPr="00F3313C">
        <w:rPr>
          <w:i/>
          <w:szCs w:val="16"/>
        </w:rPr>
        <w:t>o</w:t>
      </w:r>
      <w:r w:rsidRPr="00F3313C">
        <w:rPr>
          <w:i/>
          <w:szCs w:val="16"/>
        </w:rPr>
        <w:t>nal de la pauvreté et de l’exclusion sociale 2005-2006</w:t>
      </w:r>
      <w:r w:rsidRPr="000D4BC6">
        <w:rPr>
          <w:szCs w:val="16"/>
        </w:rPr>
        <w:t>, Paris : La Docume</w:t>
      </w:r>
      <w:r w:rsidRPr="000D4BC6">
        <w:rPr>
          <w:szCs w:val="16"/>
        </w:rPr>
        <w:t>n</w:t>
      </w:r>
      <w:r>
        <w:rPr>
          <w:szCs w:val="16"/>
        </w:rPr>
        <w:t>tation française, 2006, 164 p.,</w:t>
      </w:r>
    </w:p>
    <w:p w:rsidR="009E0D39" w:rsidRDefault="009E0D39" w:rsidP="009E0D39">
      <w:pPr>
        <w:pStyle w:val="Notedebasdepage"/>
      </w:pPr>
      <w:r>
        <w:rPr>
          <w:szCs w:val="16"/>
        </w:rPr>
        <w:tab/>
      </w:r>
      <w:hyperlink r:id="rId7" w:history="1">
        <w:r>
          <w:rPr>
            <w:szCs w:val="16"/>
          </w:rPr>
          <w:t>http</w:t>
        </w:r>
        <w:r w:rsidRPr="000D4BC6">
          <w:rPr>
            <w:szCs w:val="16"/>
          </w:rPr>
          <w:t>://www.ladocumentationfrancaise.fr/</w:t>
        </w:r>
      </w:hyperlink>
      <w:r w:rsidRPr="000D4BC6">
        <w:rPr>
          <w:szCs w:val="16"/>
        </w:rPr>
        <w:t>var/storage/rapports-publics/064000163/0000.pdf</w:t>
      </w:r>
    </w:p>
  </w:footnote>
  <w:footnote w:id="29">
    <w:p w:rsidR="009E0D39" w:rsidRDefault="009E0D39" w:rsidP="009E0D39">
      <w:pPr>
        <w:pStyle w:val="Notedebasdepage"/>
      </w:pPr>
      <w:r>
        <w:rPr>
          <w:rStyle w:val="Appelnotedebasdep"/>
        </w:rPr>
        <w:footnoteRef/>
      </w:r>
      <w:r>
        <w:t xml:space="preserve"> </w:t>
      </w:r>
      <w:r>
        <w:tab/>
      </w:r>
      <w:r w:rsidRPr="000D4BC6">
        <w:rPr>
          <w:szCs w:val="16"/>
        </w:rPr>
        <w:t>Cf. CARDE, Estelle, "Le système de soins français à l'épre</w:t>
      </w:r>
      <w:r w:rsidRPr="000D4BC6">
        <w:rPr>
          <w:szCs w:val="16"/>
        </w:rPr>
        <w:t>u</w:t>
      </w:r>
      <w:r w:rsidRPr="000D4BC6">
        <w:rPr>
          <w:szCs w:val="16"/>
        </w:rPr>
        <w:t xml:space="preserve">ve de l'outre-mer : des inégalités en Guyane", </w:t>
      </w:r>
      <w:r w:rsidRPr="00F3313C">
        <w:rPr>
          <w:i/>
          <w:szCs w:val="16"/>
        </w:rPr>
        <w:t>Espace Populations Sociétés</w:t>
      </w:r>
      <w:r w:rsidRPr="000D4BC6">
        <w:rPr>
          <w:szCs w:val="16"/>
        </w:rPr>
        <w:t>, n°</w:t>
      </w:r>
      <w:r>
        <w:rPr>
          <w:szCs w:val="16"/>
        </w:rPr>
        <w:t> </w:t>
      </w:r>
      <w:r w:rsidRPr="000D4BC6">
        <w:rPr>
          <w:szCs w:val="16"/>
        </w:rPr>
        <w:t>1, 2009, pp. 175-189.</w:t>
      </w:r>
    </w:p>
  </w:footnote>
  <w:footnote w:id="30">
    <w:p w:rsidR="009E0D39" w:rsidRDefault="009E0D39" w:rsidP="009E0D39">
      <w:pPr>
        <w:pStyle w:val="Notedebasdepage"/>
      </w:pPr>
      <w:r>
        <w:rPr>
          <w:rStyle w:val="Appelnotedebasdep"/>
        </w:rPr>
        <w:footnoteRef/>
      </w:r>
      <w:r>
        <w:t xml:space="preserve"> </w:t>
      </w:r>
      <w:r>
        <w:tab/>
      </w:r>
      <w:r w:rsidRPr="000D4BC6">
        <w:rPr>
          <w:szCs w:val="16"/>
        </w:rPr>
        <w:t>Le site du ministère de l'Outre-Mer affiche le décompte, parmi les résidents en Guyane, des Créoles, Amérindiens, Noirs Marrons, H'mongs, Métropol</w:t>
      </w:r>
      <w:r w:rsidRPr="000D4BC6">
        <w:rPr>
          <w:szCs w:val="16"/>
        </w:rPr>
        <w:t>i</w:t>
      </w:r>
      <w:r w:rsidRPr="000D4BC6">
        <w:rPr>
          <w:szCs w:val="16"/>
        </w:rPr>
        <w:t xml:space="preserve">tains, etc.. Voir </w:t>
      </w:r>
      <w:hyperlink r:id="rId8" w:history="1">
        <w:r>
          <w:rPr>
            <w:szCs w:val="16"/>
          </w:rPr>
          <w:t>http</w:t>
        </w:r>
        <w:r w:rsidRPr="000D4BC6">
          <w:rPr>
            <w:szCs w:val="16"/>
          </w:rPr>
          <w:t>://www.outre-mer.gouv.fr/?presentation-guyane.html</w:t>
        </w:r>
      </w:hyperlink>
    </w:p>
  </w:footnote>
  <w:footnote w:id="31">
    <w:p w:rsidR="009E0D39" w:rsidRDefault="009E0D39" w:rsidP="009E0D39">
      <w:pPr>
        <w:pStyle w:val="Notedebasdepage"/>
      </w:pPr>
      <w:r>
        <w:rPr>
          <w:rStyle w:val="Appelnotedebasdep"/>
        </w:rPr>
        <w:footnoteRef/>
      </w:r>
      <w:r>
        <w:t xml:space="preserve"> </w:t>
      </w:r>
      <w:r>
        <w:tab/>
      </w:r>
      <w:r w:rsidRPr="000D4BC6">
        <w:rPr>
          <w:szCs w:val="16"/>
        </w:rPr>
        <w:t>Ces considérations ne se rapportent qu'aux Noirs Marrons du clan des Al</w:t>
      </w:r>
      <w:r w:rsidRPr="000D4BC6">
        <w:rPr>
          <w:szCs w:val="16"/>
        </w:rPr>
        <w:t>u</w:t>
      </w:r>
      <w:r w:rsidRPr="000D4BC6">
        <w:rPr>
          <w:szCs w:val="16"/>
        </w:rPr>
        <w:t>kus, qui se sont installés dans la forêt guyanaise sitôt après s'être échappés des plantations. Elles ne s'appliquent pas aux autres Noirs Marrons qui v</w:t>
      </w:r>
      <w:r w:rsidRPr="000D4BC6">
        <w:rPr>
          <w:szCs w:val="16"/>
        </w:rPr>
        <w:t>i</w:t>
      </w:r>
      <w:r w:rsidRPr="000D4BC6">
        <w:rPr>
          <w:szCs w:val="16"/>
        </w:rPr>
        <w:t>vent aujourd'hui en Guyane mais qui pour la pl</w:t>
      </w:r>
      <w:r w:rsidRPr="000D4BC6">
        <w:rPr>
          <w:szCs w:val="16"/>
        </w:rPr>
        <w:t>u</w:t>
      </w:r>
      <w:r w:rsidRPr="000D4BC6">
        <w:rPr>
          <w:szCs w:val="16"/>
        </w:rPr>
        <w:t>part n'y ont immigré qu'à partir de la fin du XX</w:t>
      </w:r>
      <w:r w:rsidRPr="000D4BC6">
        <w:rPr>
          <w:szCs w:val="16"/>
          <w:vertAlign w:val="superscript"/>
        </w:rPr>
        <w:t>e</w:t>
      </w:r>
      <w:r w:rsidRPr="000D4BC6">
        <w:rPr>
          <w:szCs w:val="16"/>
        </w:rPr>
        <w:t xml:space="preserve"> siècle et sont surin</w:t>
      </w:r>
      <w:r w:rsidRPr="000D4BC6">
        <w:rPr>
          <w:szCs w:val="16"/>
        </w:rPr>
        <w:t>a</w:t>
      </w:r>
      <w:r w:rsidRPr="000D4BC6">
        <w:rPr>
          <w:szCs w:val="16"/>
        </w:rPr>
        <w:t>mais, ayant vécu auparavant dans la forêt du Surinam (pays frontalier de la Guyane).</w:t>
      </w:r>
    </w:p>
  </w:footnote>
  <w:footnote w:id="32">
    <w:p w:rsidR="009E0D39" w:rsidRDefault="009E0D39" w:rsidP="009E0D39">
      <w:pPr>
        <w:pStyle w:val="Notedebasdepage"/>
      </w:pPr>
      <w:r>
        <w:rPr>
          <w:rStyle w:val="Appelnotedebasdep"/>
        </w:rPr>
        <w:footnoteRef/>
      </w:r>
      <w:r>
        <w:t xml:space="preserve"> </w:t>
      </w:r>
      <w:r>
        <w:tab/>
      </w:r>
      <w:r w:rsidRPr="000D4BC6">
        <w:rPr>
          <w:szCs w:val="16"/>
        </w:rPr>
        <w:t xml:space="preserve">Cf. JOLIVET, Marie-José, </w:t>
      </w:r>
      <w:r w:rsidRPr="00F3313C">
        <w:rPr>
          <w:i/>
          <w:szCs w:val="16"/>
        </w:rPr>
        <w:t>La question créole : essai de soci</w:t>
      </w:r>
      <w:r w:rsidRPr="00F3313C">
        <w:rPr>
          <w:i/>
          <w:szCs w:val="16"/>
        </w:rPr>
        <w:t>o</w:t>
      </w:r>
      <w:r w:rsidRPr="00F3313C">
        <w:rPr>
          <w:i/>
          <w:szCs w:val="16"/>
        </w:rPr>
        <w:t>logie sur la Guyane française</w:t>
      </w:r>
      <w:r w:rsidRPr="000D4BC6">
        <w:rPr>
          <w:szCs w:val="16"/>
        </w:rPr>
        <w:t>, Paris : Éd. de l'ORSTOM, 1982, 503 p.</w:t>
      </w:r>
    </w:p>
  </w:footnote>
  <w:footnote w:id="33">
    <w:p w:rsidR="009E0D39" w:rsidRDefault="009E0D39" w:rsidP="009E0D39">
      <w:pPr>
        <w:pStyle w:val="Notedebasdepage"/>
      </w:pPr>
      <w:r>
        <w:rPr>
          <w:rStyle w:val="Appelnotedebasdep"/>
        </w:rPr>
        <w:footnoteRef/>
      </w:r>
      <w:r>
        <w:t xml:space="preserve"> </w:t>
      </w:r>
      <w:r>
        <w:tab/>
      </w:r>
      <w:r w:rsidRPr="000D4BC6">
        <w:rPr>
          <w:szCs w:val="16"/>
        </w:rPr>
        <w:t>C'est ainsi, dans l'interaction sociale, qu'un Créole reco</w:t>
      </w:r>
      <w:r w:rsidRPr="000D4BC6">
        <w:rPr>
          <w:szCs w:val="16"/>
        </w:rPr>
        <w:t>n</w:t>
      </w:r>
      <w:r w:rsidRPr="000D4BC6">
        <w:rPr>
          <w:szCs w:val="16"/>
        </w:rPr>
        <w:t>naît un Noir marron à Saint-Laurent : d'abord parce qu'il ne le reconnaît pas comme étant l'un des siens (les Créoles se connaissant personnellement entre eux) et ensuite, pr</w:t>
      </w:r>
      <w:r w:rsidRPr="000D4BC6">
        <w:rPr>
          <w:szCs w:val="16"/>
        </w:rPr>
        <w:t>o</w:t>
      </w:r>
      <w:r w:rsidRPr="000D4BC6">
        <w:rPr>
          <w:szCs w:val="16"/>
        </w:rPr>
        <w:t>bablement, sur des indices visuels (l'a</w:t>
      </w:r>
      <w:r w:rsidRPr="000D4BC6">
        <w:rPr>
          <w:szCs w:val="16"/>
        </w:rPr>
        <w:t>s</w:t>
      </w:r>
      <w:r w:rsidRPr="000D4BC6">
        <w:rPr>
          <w:szCs w:val="16"/>
        </w:rPr>
        <w:t>cendance des Créoles de Saint-Laurent étant plus métissée — avec des Chinois et des Antillais — que celle des Noirs Marrons, leur peau est plus claire) et linguistiques (langues mate</w:t>
      </w:r>
      <w:r w:rsidRPr="000D4BC6">
        <w:rPr>
          <w:szCs w:val="16"/>
        </w:rPr>
        <w:t>r</w:t>
      </w:r>
      <w:r w:rsidRPr="000D4BC6">
        <w:rPr>
          <w:szCs w:val="16"/>
        </w:rPr>
        <w:t xml:space="preserve">nelles distinctes — créole </w:t>
      </w:r>
      <w:r w:rsidRPr="00F3313C">
        <w:rPr>
          <w:i/>
          <w:szCs w:val="16"/>
        </w:rPr>
        <w:t>versus</w:t>
      </w:r>
      <w:r w:rsidRPr="000D4BC6">
        <w:rPr>
          <w:szCs w:val="16"/>
        </w:rPr>
        <w:t xml:space="preserve"> nengué — accent français, patronymes).</w:t>
      </w:r>
    </w:p>
  </w:footnote>
  <w:footnote w:id="34">
    <w:p w:rsidR="009E0D39" w:rsidRDefault="009E0D39" w:rsidP="009E0D39">
      <w:pPr>
        <w:pStyle w:val="Notedebasdepage"/>
      </w:pPr>
      <w:r>
        <w:rPr>
          <w:rStyle w:val="Appelnotedebasdep"/>
        </w:rPr>
        <w:footnoteRef/>
      </w:r>
      <w:r>
        <w:t xml:space="preserve"> </w:t>
      </w:r>
      <w:r>
        <w:tab/>
      </w:r>
      <w:r w:rsidRPr="000D4BC6">
        <w:rPr>
          <w:szCs w:val="16"/>
        </w:rPr>
        <w:t>Circulaire n°</w:t>
      </w:r>
      <w:r>
        <w:rPr>
          <w:szCs w:val="16"/>
        </w:rPr>
        <w:t> </w:t>
      </w:r>
      <w:r w:rsidRPr="000D4BC6">
        <w:rPr>
          <w:szCs w:val="16"/>
        </w:rPr>
        <w:t>DSS/DACI/2007/418 du 23 novembre 2007, rempl</w:t>
      </w:r>
      <w:r w:rsidRPr="000D4BC6">
        <w:rPr>
          <w:szCs w:val="16"/>
        </w:rPr>
        <w:t>a</w:t>
      </w:r>
      <w:r w:rsidRPr="000D4BC6">
        <w:rPr>
          <w:szCs w:val="16"/>
        </w:rPr>
        <w:t>cée depuis par la circulaire n° DSS/DACI/2011/225 du 9 juin 2011.</w:t>
      </w:r>
    </w:p>
  </w:footnote>
  <w:footnote w:id="35">
    <w:p w:rsidR="009E0D39" w:rsidRDefault="009E0D39" w:rsidP="009E0D39">
      <w:pPr>
        <w:pStyle w:val="Notedebasdepage"/>
      </w:pPr>
      <w:r>
        <w:rPr>
          <w:rStyle w:val="Appelnotedebasdep"/>
        </w:rPr>
        <w:footnoteRef/>
      </w:r>
      <w:r>
        <w:t xml:space="preserve"> </w:t>
      </w:r>
      <w:r>
        <w:tab/>
      </w:r>
      <w:r w:rsidRPr="000D4BC6">
        <w:rPr>
          <w:szCs w:val="16"/>
        </w:rPr>
        <w:t>Avec, par exemple, la demande ministérielle, adressée au cours de l'été 2010 aux services de police, d'arrêter et d'expulser préférentie</w:t>
      </w:r>
      <w:r w:rsidRPr="000D4BC6">
        <w:rPr>
          <w:szCs w:val="16"/>
        </w:rPr>
        <w:t>l</w:t>
      </w:r>
      <w:r w:rsidRPr="000D4BC6">
        <w:rPr>
          <w:szCs w:val="16"/>
        </w:rPr>
        <w:t>lement, parmi les sans-papiers, les Roms.</w:t>
      </w:r>
    </w:p>
  </w:footnote>
  <w:footnote w:id="36">
    <w:p w:rsidR="009E0D39" w:rsidRDefault="009E0D39" w:rsidP="009E0D39">
      <w:pPr>
        <w:pStyle w:val="Notedebasdepage"/>
      </w:pPr>
      <w:r>
        <w:rPr>
          <w:rStyle w:val="Appelnotedebasdep"/>
        </w:rPr>
        <w:footnoteRef/>
      </w:r>
      <w:r>
        <w:t xml:space="preserve"> </w:t>
      </w:r>
      <w:r>
        <w:tab/>
      </w:r>
      <w:r w:rsidRPr="000D4BC6">
        <w:rPr>
          <w:szCs w:val="16"/>
        </w:rPr>
        <w:t>Cf. CARDE, Estelle, "Le système de soins français à l'épre</w:t>
      </w:r>
      <w:r w:rsidRPr="000D4BC6">
        <w:rPr>
          <w:szCs w:val="16"/>
        </w:rPr>
        <w:t>u</w:t>
      </w:r>
      <w:r w:rsidRPr="000D4BC6">
        <w:rPr>
          <w:szCs w:val="16"/>
        </w:rPr>
        <w:t>ve de l'outre-mer : des inégalités en Guyane", art. cité.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39" w:rsidRDefault="009E0D39" w:rsidP="009E0D3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Estelle Carde, “</w:t>
    </w:r>
    <w:r w:rsidRPr="001C4101">
      <w:rPr>
        <w:rFonts w:ascii="Times New Roman" w:hAnsi="Times New Roman"/>
      </w:rPr>
      <w:t xml:space="preserve">De l'étranger au minoritaire, </w:t>
    </w:r>
    <w:r>
      <w:rPr>
        <w:rFonts w:ascii="Times New Roman" w:hAnsi="Times New Roman"/>
      </w:rPr>
      <w:t>de la "Métropole" à la Guyane ..</w:t>
    </w:r>
    <w:r w:rsidRPr="00CF7F5D">
      <w:rPr>
        <w:rFonts w:ascii="Times New Roman" w:hAnsi="Times New Roman"/>
      </w:rPr>
      <w:t>.”</w:t>
    </w:r>
    <w:r w:rsidRPr="00C90835">
      <w:rPr>
        <w:rFonts w:ascii="Times New Roman" w:hAnsi="Times New Roman"/>
      </w:rPr>
      <w:t xml:space="preserve"> </w:t>
    </w:r>
    <w:r>
      <w:rPr>
        <w:rFonts w:ascii="Times New Roman" w:hAnsi="Times New Roman"/>
      </w:rPr>
      <w:t>(2012)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15FA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26</w:t>
    </w:r>
    <w:r>
      <w:rPr>
        <w:rStyle w:val="Numrodepage"/>
        <w:rFonts w:ascii="Times New Roman" w:hAnsi="Times New Roman"/>
      </w:rPr>
      <w:fldChar w:fldCharType="end"/>
    </w:r>
  </w:p>
  <w:p w:rsidR="009E0D39" w:rsidRDefault="009E0D3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0843"/>
    <w:multiLevelType w:val="singleLevel"/>
    <w:tmpl w:val="4A76E61A"/>
    <w:lvl w:ilvl="0">
      <w:start w:val="34"/>
      <w:numFmt w:val="decimal"/>
      <w:lvlText w:val="%1."/>
      <w:legacy w:legacy="1" w:legacySpace="0" w:legacyIndent="336"/>
      <w:lvlJc w:val="left"/>
      <w:rPr>
        <w:rFonts w:ascii="Arial" w:hAnsi="Arial" w:hint="default"/>
      </w:rPr>
    </w:lvl>
  </w:abstractNum>
  <w:abstractNum w:abstractNumId="1" w15:restartNumberingAfterBreak="0">
    <w:nsid w:val="0E643BD2"/>
    <w:multiLevelType w:val="singleLevel"/>
    <w:tmpl w:val="3A2C08BC"/>
    <w:lvl w:ilvl="0">
      <w:start w:val="14"/>
      <w:numFmt w:val="decimal"/>
      <w:lvlText w:val="%1."/>
      <w:legacy w:legacy="1" w:legacySpace="0" w:legacyIndent="326"/>
      <w:lvlJc w:val="left"/>
      <w:rPr>
        <w:rFonts w:ascii="Arial" w:hAnsi="Arial" w:hint="default"/>
      </w:rPr>
    </w:lvl>
  </w:abstractNum>
  <w:abstractNum w:abstractNumId="2" w15:restartNumberingAfterBreak="0">
    <w:nsid w:val="0ED12D9F"/>
    <w:multiLevelType w:val="singleLevel"/>
    <w:tmpl w:val="AE1ACD28"/>
    <w:lvl w:ilvl="0">
      <w:start w:val="31"/>
      <w:numFmt w:val="decimal"/>
      <w:lvlText w:val="%1."/>
      <w:legacy w:legacy="1" w:legacySpace="0" w:legacyIndent="336"/>
      <w:lvlJc w:val="left"/>
      <w:rPr>
        <w:rFonts w:ascii="Arial" w:hAnsi="Arial" w:hint="default"/>
      </w:rPr>
    </w:lvl>
  </w:abstractNum>
  <w:abstractNum w:abstractNumId="3" w15:restartNumberingAfterBreak="0">
    <w:nsid w:val="228E5D01"/>
    <w:multiLevelType w:val="singleLevel"/>
    <w:tmpl w:val="665E981C"/>
    <w:lvl w:ilvl="0">
      <w:start w:val="22"/>
      <w:numFmt w:val="decimal"/>
      <w:lvlText w:val="%1."/>
      <w:legacy w:legacy="1" w:legacySpace="0" w:legacyIndent="341"/>
      <w:lvlJc w:val="left"/>
      <w:rPr>
        <w:rFonts w:ascii="Arial" w:hAnsi="Arial" w:hint="default"/>
      </w:rPr>
    </w:lvl>
  </w:abstractNum>
  <w:abstractNum w:abstractNumId="4" w15:restartNumberingAfterBreak="0">
    <w:nsid w:val="27715CBC"/>
    <w:multiLevelType w:val="singleLevel"/>
    <w:tmpl w:val="BBB8218E"/>
    <w:lvl w:ilvl="0">
      <w:start w:val="17"/>
      <w:numFmt w:val="decimal"/>
      <w:lvlText w:val="%1."/>
      <w:legacy w:legacy="1" w:legacySpace="0" w:legacyIndent="326"/>
      <w:lvlJc w:val="left"/>
      <w:rPr>
        <w:rFonts w:ascii="Arial" w:hAnsi="Arial" w:hint="default"/>
      </w:rPr>
    </w:lvl>
  </w:abstractNum>
  <w:abstractNum w:abstractNumId="5" w15:restartNumberingAfterBreak="0">
    <w:nsid w:val="31030BE8"/>
    <w:multiLevelType w:val="singleLevel"/>
    <w:tmpl w:val="07325158"/>
    <w:lvl w:ilvl="0">
      <w:start w:val="11"/>
      <w:numFmt w:val="decimal"/>
      <w:lvlText w:val="%1."/>
      <w:legacy w:legacy="1" w:legacySpace="0" w:legacyIndent="326"/>
      <w:lvlJc w:val="left"/>
      <w:rPr>
        <w:rFonts w:ascii="Arial" w:hAnsi="Arial" w:hint="default"/>
      </w:rPr>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24882"/>
    <w:multiLevelType w:val="singleLevel"/>
    <w:tmpl w:val="CDBAE490"/>
    <w:lvl w:ilvl="0">
      <w:start w:val="5"/>
      <w:numFmt w:val="decimal"/>
      <w:lvlText w:val="%1."/>
      <w:legacy w:legacy="1" w:legacySpace="0" w:legacyIndent="341"/>
      <w:lvlJc w:val="left"/>
      <w:rPr>
        <w:rFonts w:ascii="Arial" w:hAnsi="Arial" w:hint="default"/>
      </w:rPr>
    </w:lvl>
  </w:abstractNum>
  <w:abstractNum w:abstractNumId="8" w15:restartNumberingAfterBreak="0">
    <w:nsid w:val="62EF376E"/>
    <w:multiLevelType w:val="singleLevel"/>
    <w:tmpl w:val="54629D5C"/>
    <w:lvl w:ilvl="0">
      <w:start w:val="19"/>
      <w:numFmt w:val="decimal"/>
      <w:lvlText w:val="%1."/>
      <w:legacy w:legacy="1" w:legacySpace="0" w:legacyIndent="341"/>
      <w:lvlJc w:val="left"/>
      <w:rPr>
        <w:rFonts w:ascii="Arial" w:hAnsi="Arial" w:hint="default"/>
      </w:rPr>
    </w:lvl>
  </w:abstractNum>
  <w:abstractNum w:abstractNumId="9" w15:restartNumberingAfterBreak="0">
    <w:nsid w:val="6D3721ED"/>
    <w:multiLevelType w:val="singleLevel"/>
    <w:tmpl w:val="6A12C5F0"/>
    <w:lvl w:ilvl="0">
      <w:start w:val="27"/>
      <w:numFmt w:val="decimal"/>
      <w:lvlText w:val="%1."/>
      <w:legacy w:legacy="1" w:legacySpace="0" w:legacyIndent="341"/>
      <w:lvlJc w:val="left"/>
      <w:rPr>
        <w:rFonts w:ascii="Arial" w:hAnsi="Arial" w:hint="default"/>
      </w:rPr>
    </w:lvl>
  </w:abstractNum>
  <w:abstractNum w:abstractNumId="10" w15:restartNumberingAfterBreak="0">
    <w:nsid w:val="6DB20D8B"/>
    <w:multiLevelType w:val="singleLevel"/>
    <w:tmpl w:val="600059AC"/>
    <w:lvl w:ilvl="0">
      <w:start w:val="2"/>
      <w:numFmt w:val="decimal"/>
      <w:lvlText w:val="%1."/>
      <w:legacy w:legacy="1" w:legacySpace="0" w:legacyIndent="341"/>
      <w:lvlJc w:val="left"/>
      <w:rPr>
        <w:rFonts w:ascii="Arial" w:hAnsi="Arial" w:hint="default"/>
      </w:rPr>
    </w:lvl>
  </w:abstractNum>
  <w:abstractNum w:abstractNumId="11" w15:restartNumberingAfterBreak="0">
    <w:nsid w:val="78FD4D80"/>
    <w:multiLevelType w:val="singleLevel"/>
    <w:tmpl w:val="F30E1672"/>
    <w:lvl w:ilvl="0">
      <w:start w:val="8"/>
      <w:numFmt w:val="decimal"/>
      <w:lvlText w:val="%1."/>
      <w:legacy w:legacy="1" w:legacySpace="0" w:legacyIndent="341"/>
      <w:lvlJc w:val="left"/>
      <w:rPr>
        <w:rFonts w:ascii="Arial" w:hAnsi="Arial" w:hint="default"/>
      </w:rPr>
    </w:lvl>
  </w:abstractNum>
  <w:num w:numId="1">
    <w:abstractNumId w:val="6"/>
  </w:num>
  <w:num w:numId="2">
    <w:abstractNumId w:val="10"/>
  </w:num>
  <w:num w:numId="3">
    <w:abstractNumId w:val="7"/>
  </w:num>
  <w:num w:numId="4">
    <w:abstractNumId w:val="11"/>
  </w:num>
  <w:num w:numId="5">
    <w:abstractNumId w:val="5"/>
  </w:num>
  <w:num w:numId="6">
    <w:abstractNumId w:val="1"/>
  </w:num>
  <w:num w:numId="7">
    <w:abstractNumId w:val="4"/>
  </w:num>
  <w:num w:numId="8">
    <w:abstractNumId w:val="8"/>
  </w:num>
  <w:num w:numId="9">
    <w:abstractNumId w:val="3"/>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D4CFB"/>
    <w:rsid w:val="009E0D39"/>
    <w:rsid w:val="00B4045F"/>
    <w:rsid w:val="00D15FA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F6135C9"/>
  <w15:chartTrackingRefBased/>
  <w15:docId w15:val="{308F7666-498D-5F43-987B-29CBD377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1C4101"/>
    <w:pPr>
      <w:spacing w:before="120" w:after="120"/>
      <w:jc w:val="both"/>
    </w:pPr>
    <w:rPr>
      <w:b/>
      <w:i/>
      <w:color w:val="FF0000"/>
      <w:sz w:val="32"/>
      <w:lang w:bidi="fr-FR"/>
    </w:rPr>
  </w:style>
  <w:style w:type="paragraph" w:customStyle="1" w:styleId="b">
    <w:name w:val="b"/>
    <w:basedOn w:val="Normal"/>
    <w:autoRedefine/>
    <w:rsid w:val="001C4101"/>
    <w:pPr>
      <w:spacing w:before="120" w:after="120"/>
      <w:ind w:left="720"/>
    </w:pPr>
    <w:rPr>
      <w:i/>
      <w:color w:val="0000FF"/>
      <w:lang w:bidi="fr-FR"/>
    </w:rPr>
  </w:style>
  <w:style w:type="paragraph" w:customStyle="1" w:styleId="bb">
    <w:name w:val="bb"/>
    <w:basedOn w:val="Normal"/>
    <w:rsid w:val="001C4101"/>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1C4101"/>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1C4101"/>
    <w:rPr>
      <w:rFonts w:ascii="Times New Roman" w:eastAsia="Times New Roman" w:hAnsi="Times New Roman"/>
      <w:sz w:val="72"/>
      <w:lang w:val="fr-CA" w:eastAsia="en-US"/>
    </w:rPr>
  </w:style>
  <w:style w:type="paragraph" w:styleId="Corpsdetexte2">
    <w:name w:val="Body Text 2"/>
    <w:basedOn w:val="Normal"/>
    <w:link w:val="Corpsdetexte2Car"/>
    <w:rsid w:val="001C4101"/>
    <w:pPr>
      <w:jc w:val="both"/>
    </w:pPr>
  </w:style>
  <w:style w:type="character" w:customStyle="1" w:styleId="Corpsdetexte2Car">
    <w:name w:val="Corps de texte 2 Car"/>
    <w:basedOn w:val="Policepardfaut"/>
    <w:link w:val="Corpsdetexte2"/>
    <w:rsid w:val="001C4101"/>
    <w:rPr>
      <w:rFonts w:ascii="Times New Roman" w:eastAsia="Times New Roman" w:hAnsi="Times New Roman"/>
      <w:sz w:val="28"/>
      <w:lang w:val="fr-CA" w:eastAsia="en-US"/>
    </w:rPr>
  </w:style>
  <w:style w:type="paragraph" w:styleId="Corpsdetexte3">
    <w:name w:val="Body Text 3"/>
    <w:basedOn w:val="Normal"/>
    <w:link w:val="Corpsdetexte3Car"/>
    <w:rsid w:val="001C4101"/>
    <w:pPr>
      <w:tabs>
        <w:tab w:val="left" w:pos="510"/>
        <w:tab w:val="left" w:pos="510"/>
      </w:tabs>
      <w:jc w:val="both"/>
    </w:pPr>
  </w:style>
  <w:style w:type="character" w:customStyle="1" w:styleId="Corpsdetexte3Car">
    <w:name w:val="Corps de texte 3 Car"/>
    <w:basedOn w:val="Policepardfaut"/>
    <w:link w:val="Corpsdetexte3"/>
    <w:rsid w:val="001C4101"/>
    <w:rPr>
      <w:rFonts w:ascii="Times New Roman" w:eastAsia="Times New Roman" w:hAnsi="Times New Roman"/>
      <w:sz w:val="28"/>
      <w:lang w:val="fr-CA" w:eastAsia="en-US"/>
    </w:rPr>
  </w:style>
  <w:style w:type="paragraph" w:customStyle="1" w:styleId="dd">
    <w:name w:val="dd"/>
    <w:basedOn w:val="Normal"/>
    <w:autoRedefine/>
    <w:rsid w:val="001C4101"/>
    <w:pPr>
      <w:spacing w:before="120" w:after="120"/>
      <w:ind w:left="1080"/>
    </w:pPr>
    <w:rPr>
      <w:i/>
      <w:color w:val="008000"/>
      <w:lang w:bidi="fr-FR"/>
    </w:rPr>
  </w:style>
  <w:style w:type="character" w:customStyle="1" w:styleId="En-tteCar">
    <w:name w:val="En-tête Car"/>
    <w:basedOn w:val="Policepardfaut"/>
    <w:link w:val="En-tte"/>
    <w:uiPriority w:val="99"/>
    <w:rsid w:val="001C4101"/>
    <w:rPr>
      <w:rFonts w:ascii="GillSans" w:eastAsia="Times New Roman" w:hAnsi="GillSans"/>
      <w:lang w:val="fr-CA" w:eastAsia="en-US"/>
    </w:rPr>
  </w:style>
  <w:style w:type="paragraph" w:customStyle="1" w:styleId="figlgende">
    <w:name w:val="fig légende"/>
    <w:basedOn w:val="Normal0"/>
    <w:rsid w:val="001C4101"/>
    <w:rPr>
      <w:color w:val="000090"/>
      <w:sz w:val="24"/>
      <w:szCs w:val="16"/>
      <w:lang w:eastAsia="fr-FR"/>
    </w:rPr>
  </w:style>
  <w:style w:type="paragraph" w:customStyle="1" w:styleId="figst">
    <w:name w:val="fig st"/>
    <w:basedOn w:val="Normal"/>
    <w:autoRedefine/>
    <w:rsid w:val="001C4101"/>
    <w:pPr>
      <w:spacing w:before="120" w:after="120"/>
      <w:jc w:val="center"/>
    </w:pPr>
    <w:rPr>
      <w:color w:val="000090"/>
      <w:sz w:val="24"/>
      <w:szCs w:val="16"/>
    </w:rPr>
  </w:style>
  <w:style w:type="paragraph" w:customStyle="1" w:styleId="figtitre">
    <w:name w:val="fig titre"/>
    <w:basedOn w:val="Normal"/>
    <w:autoRedefine/>
    <w:rsid w:val="001C4101"/>
    <w:pPr>
      <w:spacing w:before="120" w:after="120"/>
      <w:jc w:val="center"/>
    </w:pPr>
    <w:rPr>
      <w:b/>
      <w:bCs/>
      <w:color w:val="000000"/>
      <w:sz w:val="24"/>
      <w:szCs w:val="12"/>
    </w:rPr>
  </w:style>
  <w:style w:type="character" w:customStyle="1" w:styleId="NotedebasdepageCar">
    <w:name w:val="Note de bas de page Car"/>
    <w:basedOn w:val="Policepardfaut"/>
    <w:link w:val="Notedebasdepage"/>
    <w:rsid w:val="001C4101"/>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1C4101"/>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1C410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1C410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1C410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1C4101"/>
    <w:rPr>
      <w:rFonts w:ascii="Arial" w:eastAsia="Times New Roman" w:hAnsi="Arial"/>
      <w:sz w:val="28"/>
      <w:lang w:val="fr-CA" w:eastAsia="en-US"/>
    </w:rPr>
  </w:style>
  <w:style w:type="character" w:customStyle="1" w:styleId="TitreCar">
    <w:name w:val="Titre Car"/>
    <w:basedOn w:val="Policepardfaut"/>
    <w:link w:val="Titre"/>
    <w:rsid w:val="001C4101"/>
    <w:rPr>
      <w:rFonts w:ascii="Times New Roman" w:eastAsia="Times New Roman" w:hAnsi="Times New Roman"/>
      <w:b/>
      <w:sz w:val="48"/>
      <w:lang w:val="fr-CA" w:eastAsia="en-US"/>
    </w:rPr>
  </w:style>
  <w:style w:type="character" w:customStyle="1" w:styleId="Titre1Car">
    <w:name w:val="Titre 1 Car"/>
    <w:basedOn w:val="Policepardfaut"/>
    <w:link w:val="Titre1"/>
    <w:rsid w:val="001C4101"/>
    <w:rPr>
      <w:rFonts w:eastAsia="Times New Roman"/>
      <w:noProof/>
      <w:lang w:val="fr-CA" w:eastAsia="en-US" w:bidi="ar-SA"/>
    </w:rPr>
  </w:style>
  <w:style w:type="character" w:customStyle="1" w:styleId="Titre2Car">
    <w:name w:val="Titre 2 Car"/>
    <w:basedOn w:val="Policepardfaut"/>
    <w:link w:val="Titre2"/>
    <w:rsid w:val="001C4101"/>
    <w:rPr>
      <w:rFonts w:eastAsia="Times New Roman"/>
      <w:noProof/>
      <w:lang w:val="fr-CA" w:eastAsia="en-US" w:bidi="ar-SA"/>
    </w:rPr>
  </w:style>
  <w:style w:type="character" w:customStyle="1" w:styleId="Titre3Car">
    <w:name w:val="Titre 3 Car"/>
    <w:basedOn w:val="Policepardfaut"/>
    <w:link w:val="Titre3"/>
    <w:rsid w:val="001C4101"/>
    <w:rPr>
      <w:rFonts w:eastAsia="Times New Roman"/>
      <w:noProof/>
      <w:lang w:val="fr-CA" w:eastAsia="en-US" w:bidi="ar-SA"/>
    </w:rPr>
  </w:style>
  <w:style w:type="character" w:customStyle="1" w:styleId="Titre4Car">
    <w:name w:val="Titre 4 Car"/>
    <w:basedOn w:val="Policepardfaut"/>
    <w:link w:val="Titre4"/>
    <w:rsid w:val="001C4101"/>
    <w:rPr>
      <w:rFonts w:eastAsia="Times New Roman"/>
      <w:noProof/>
      <w:lang w:val="fr-CA" w:eastAsia="en-US" w:bidi="ar-SA"/>
    </w:rPr>
  </w:style>
  <w:style w:type="character" w:customStyle="1" w:styleId="Titre5Car">
    <w:name w:val="Titre 5 Car"/>
    <w:basedOn w:val="Policepardfaut"/>
    <w:link w:val="Titre5"/>
    <w:rsid w:val="001C4101"/>
    <w:rPr>
      <w:rFonts w:eastAsia="Times New Roman"/>
      <w:noProof/>
      <w:lang w:val="fr-CA" w:eastAsia="en-US" w:bidi="ar-SA"/>
    </w:rPr>
  </w:style>
  <w:style w:type="character" w:customStyle="1" w:styleId="Titre6Car">
    <w:name w:val="Titre 6 Car"/>
    <w:basedOn w:val="Policepardfaut"/>
    <w:link w:val="Titre6"/>
    <w:rsid w:val="001C4101"/>
    <w:rPr>
      <w:rFonts w:eastAsia="Times New Roman"/>
      <w:noProof/>
      <w:lang w:val="fr-CA" w:eastAsia="en-US" w:bidi="ar-SA"/>
    </w:rPr>
  </w:style>
  <w:style w:type="character" w:customStyle="1" w:styleId="Titre7Car">
    <w:name w:val="Titre 7 Car"/>
    <w:basedOn w:val="Policepardfaut"/>
    <w:link w:val="Titre7"/>
    <w:rsid w:val="001C4101"/>
    <w:rPr>
      <w:rFonts w:eastAsia="Times New Roman"/>
      <w:noProof/>
      <w:lang w:val="fr-CA" w:eastAsia="en-US" w:bidi="ar-SA"/>
    </w:rPr>
  </w:style>
  <w:style w:type="character" w:customStyle="1" w:styleId="Titre8Car">
    <w:name w:val="Titre 8 Car"/>
    <w:basedOn w:val="Policepardfaut"/>
    <w:link w:val="Titre8"/>
    <w:rsid w:val="001C4101"/>
    <w:rPr>
      <w:rFonts w:eastAsia="Times New Roman"/>
      <w:noProof/>
      <w:lang w:val="fr-CA" w:eastAsia="en-US" w:bidi="ar-SA"/>
    </w:rPr>
  </w:style>
  <w:style w:type="character" w:customStyle="1" w:styleId="Titre9Car">
    <w:name w:val="Titre 9 Car"/>
    <w:basedOn w:val="Policepardfaut"/>
    <w:link w:val="Titre9"/>
    <w:rsid w:val="001C4101"/>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estelle.carde@umontreal.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outremer.gouv.fr/?presentation-guyane.html" TargetMode="External"/><Relationship Id="rId3" Type="http://schemas.openxmlformats.org/officeDocument/2006/relationships/hyperlink" Target="http://www.slideshare.net/mrotily/hiv-testinge-kabpminorities-and-women-jnca-1999" TargetMode="External"/><Relationship Id="rId7" Type="http://schemas.openxmlformats.org/officeDocument/2006/relationships/hyperlink" Target="http://www.ladocumentationfrancaise.fr/" TargetMode="External"/><Relationship Id="rId2" Type="http://schemas.openxmlformats.org/officeDocument/2006/relationships/hyperlink" Target="http://www.insee.fr/" TargetMode="External"/><Relationship Id="rId1" Type="http://schemas.openxmlformats.org/officeDocument/2006/relationships/hyperlink" Target="http://www.insee.fr/fr/ppp/sommaire/IMMFRA05.PDF" TargetMode="External"/><Relationship Id="rId6" Type="http://schemas.openxmlformats.org/officeDocument/2006/relationships/hyperlink" Target="http://www.martinique.sante.gouv.fr" TargetMode="External"/><Relationship Id="rId5" Type="http://schemas.openxmlformats.org/officeDocument/2006/relationships/hyperlink" Target="http://www.cettefrancela.net/volume-1/descriptions/article/un-domaine-de" TargetMode="External"/><Relationship Id="rId4" Type="http://schemas.openxmlformats.org/officeDocument/2006/relationships/hyperlink" Target="http://www.insee.fr/fr/themes/detail.asp?reg_id=99&amp;ref_"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5873</Words>
  <Characters>32306</Characters>
  <Application>Microsoft Office Word</Application>
  <DocSecurity>0</DocSecurity>
  <Lines>269</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 l'étranger au minoritaire, de la "Métropole" à la Guyane : les discriminations dans l'accès aux soins.”</vt:lpstr>
      <vt:lpstr>“De l'étranger au minoritaire, de la "Métropole" à la Guyane : les discriminations dans l'accès aux soins.”</vt:lpstr>
    </vt:vector>
  </TitlesOfParts>
  <Manager>Jean marie Tremblay, sociologue, bénévole, 2020</Manager>
  <Company>Les Classiques des sciences sociales</Company>
  <LinksUpToDate>false</LinksUpToDate>
  <CharactersWithSpaces>38103</CharactersWithSpaces>
  <SharedDoc>false</SharedDoc>
  <HyperlinkBase/>
  <HLinks>
    <vt:vector size="156" baseType="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2490427</vt:i4>
      </vt:variant>
      <vt:variant>
        <vt:i4>33</vt:i4>
      </vt:variant>
      <vt:variant>
        <vt:i4>0</vt:i4>
      </vt:variant>
      <vt:variant>
        <vt:i4>5</vt:i4>
      </vt:variant>
      <vt:variant>
        <vt:lpwstr/>
      </vt:variant>
      <vt:variant>
        <vt:lpwstr>De_etranger_5</vt:lpwstr>
      </vt:variant>
      <vt:variant>
        <vt:i4>2490427</vt:i4>
      </vt:variant>
      <vt:variant>
        <vt:i4>30</vt:i4>
      </vt:variant>
      <vt:variant>
        <vt:i4>0</vt:i4>
      </vt:variant>
      <vt:variant>
        <vt:i4>5</vt:i4>
      </vt:variant>
      <vt:variant>
        <vt:lpwstr/>
      </vt:variant>
      <vt:variant>
        <vt:lpwstr>De_etranger_4</vt:lpwstr>
      </vt:variant>
      <vt:variant>
        <vt:i4>2490427</vt:i4>
      </vt:variant>
      <vt:variant>
        <vt:i4>27</vt:i4>
      </vt:variant>
      <vt:variant>
        <vt:i4>0</vt:i4>
      </vt:variant>
      <vt:variant>
        <vt:i4>5</vt:i4>
      </vt:variant>
      <vt:variant>
        <vt:lpwstr/>
      </vt:variant>
      <vt:variant>
        <vt:lpwstr>De_etranger_3</vt:lpwstr>
      </vt:variant>
      <vt:variant>
        <vt:i4>2490427</vt:i4>
      </vt:variant>
      <vt:variant>
        <vt:i4>24</vt:i4>
      </vt:variant>
      <vt:variant>
        <vt:i4>0</vt:i4>
      </vt:variant>
      <vt:variant>
        <vt:i4>5</vt:i4>
      </vt:variant>
      <vt:variant>
        <vt:lpwstr/>
      </vt:variant>
      <vt:variant>
        <vt:lpwstr>De_etranger_2</vt:lpwstr>
      </vt:variant>
      <vt:variant>
        <vt:i4>2490427</vt:i4>
      </vt:variant>
      <vt:variant>
        <vt:i4>21</vt:i4>
      </vt:variant>
      <vt:variant>
        <vt:i4>0</vt:i4>
      </vt:variant>
      <vt:variant>
        <vt:i4>5</vt:i4>
      </vt:variant>
      <vt:variant>
        <vt:lpwstr/>
      </vt:variant>
      <vt:variant>
        <vt:lpwstr>De_etranger_1</vt:lpwstr>
      </vt:variant>
      <vt:variant>
        <vt:i4>3801126</vt:i4>
      </vt:variant>
      <vt:variant>
        <vt:i4>18</vt:i4>
      </vt:variant>
      <vt:variant>
        <vt:i4>0</vt:i4>
      </vt:variant>
      <vt:variant>
        <vt:i4>5</vt:i4>
      </vt:variant>
      <vt:variant>
        <vt:lpwstr/>
      </vt:variant>
      <vt:variant>
        <vt:lpwstr>De_etranger_intro</vt:lpwstr>
      </vt:variant>
      <vt:variant>
        <vt:i4>655461</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524314</vt:i4>
      </vt:variant>
      <vt:variant>
        <vt:i4>21</vt:i4>
      </vt:variant>
      <vt:variant>
        <vt:i4>0</vt:i4>
      </vt:variant>
      <vt:variant>
        <vt:i4>5</vt:i4>
      </vt:variant>
      <vt:variant>
        <vt:lpwstr>http://www.outremer.gouv.fr/?presentation-guyane.html</vt:lpwstr>
      </vt:variant>
      <vt:variant>
        <vt:lpwstr/>
      </vt:variant>
      <vt:variant>
        <vt:i4>7798831</vt:i4>
      </vt:variant>
      <vt:variant>
        <vt:i4>18</vt:i4>
      </vt:variant>
      <vt:variant>
        <vt:i4>0</vt:i4>
      </vt:variant>
      <vt:variant>
        <vt:i4>5</vt:i4>
      </vt:variant>
      <vt:variant>
        <vt:lpwstr>http://www.ladocumentationfrancaise.fr/</vt:lpwstr>
      </vt:variant>
      <vt:variant>
        <vt:lpwstr/>
      </vt:variant>
      <vt:variant>
        <vt:i4>262153</vt:i4>
      </vt:variant>
      <vt:variant>
        <vt:i4>15</vt:i4>
      </vt:variant>
      <vt:variant>
        <vt:i4>0</vt:i4>
      </vt:variant>
      <vt:variant>
        <vt:i4>5</vt:i4>
      </vt:variant>
      <vt:variant>
        <vt:lpwstr>http://www.martinique.sante.gouv.fr/</vt:lpwstr>
      </vt:variant>
      <vt:variant>
        <vt:lpwstr/>
      </vt:variant>
      <vt:variant>
        <vt:i4>4849673</vt:i4>
      </vt:variant>
      <vt:variant>
        <vt:i4>12</vt:i4>
      </vt:variant>
      <vt:variant>
        <vt:i4>0</vt:i4>
      </vt:variant>
      <vt:variant>
        <vt:i4>5</vt:i4>
      </vt:variant>
      <vt:variant>
        <vt:lpwstr>http://www.cettefrancela.net/volume-1/descriptions/article/un-domaine-de</vt:lpwstr>
      </vt:variant>
      <vt:variant>
        <vt:lpwstr/>
      </vt:variant>
      <vt:variant>
        <vt:i4>2162695</vt:i4>
      </vt:variant>
      <vt:variant>
        <vt:i4>9</vt:i4>
      </vt:variant>
      <vt:variant>
        <vt:i4>0</vt:i4>
      </vt:variant>
      <vt:variant>
        <vt:i4>5</vt:i4>
      </vt:variant>
      <vt:variant>
        <vt:lpwstr>http://www.insee.fr/fr/themes/detail.asp?reg_id=99&amp;ref_</vt:lpwstr>
      </vt:variant>
      <vt:variant>
        <vt:lpwstr/>
      </vt:variant>
      <vt:variant>
        <vt:i4>1441813</vt:i4>
      </vt:variant>
      <vt:variant>
        <vt:i4>6</vt:i4>
      </vt:variant>
      <vt:variant>
        <vt:i4>0</vt:i4>
      </vt:variant>
      <vt:variant>
        <vt:i4>5</vt:i4>
      </vt:variant>
      <vt:variant>
        <vt:lpwstr>http://www.slideshare.net/mrotily/hiv-testinge-kabpminorities-and-women-jnca-1999</vt:lpwstr>
      </vt:variant>
      <vt:variant>
        <vt:lpwstr/>
      </vt:variant>
      <vt:variant>
        <vt:i4>1900551</vt:i4>
      </vt:variant>
      <vt:variant>
        <vt:i4>3</vt:i4>
      </vt:variant>
      <vt:variant>
        <vt:i4>0</vt:i4>
      </vt:variant>
      <vt:variant>
        <vt:i4>5</vt:i4>
      </vt:variant>
      <vt:variant>
        <vt:lpwstr>http://www.insee.fr/</vt:lpwstr>
      </vt:variant>
      <vt:variant>
        <vt:lpwstr/>
      </vt:variant>
      <vt:variant>
        <vt:i4>262163</vt:i4>
      </vt:variant>
      <vt:variant>
        <vt:i4>0</vt:i4>
      </vt:variant>
      <vt:variant>
        <vt:i4>0</vt:i4>
      </vt:variant>
      <vt:variant>
        <vt:i4>5</vt:i4>
      </vt:variant>
      <vt:variant>
        <vt:lpwstr>http://www.insee.fr/fr/ppp/sommaire/IMMFRA05.PDF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l'étranger au minoritaire, de la "Métropole" à la Guyane : les discriminations dans l'accès aux soins.”</dc:title>
  <dc:subject/>
  <dc:creator>Estelle Carde, sociologue, 2012</dc:creator>
  <cp:keywords>classiques.sc.soc@gmail.com</cp:keywords>
  <dc:description>http://classiques.uqac.ca/</dc:description>
  <cp:lastModifiedBy>Microsoft Office User</cp:lastModifiedBy>
  <cp:revision>2</cp:revision>
  <cp:lastPrinted>2001-08-26T19:33:00Z</cp:lastPrinted>
  <dcterms:created xsi:type="dcterms:W3CDTF">2020-12-29T23:43:00Z</dcterms:created>
  <dcterms:modified xsi:type="dcterms:W3CDTF">2020-12-29T23:43:00Z</dcterms:modified>
  <cp:category>jean-marie tremblay, sociologue, fondateur, 1993.</cp:category>
</cp:coreProperties>
</file>