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2B5286" w:rsidRPr="0089025F" w14:paraId="1E881A69" w14:textId="77777777">
        <w:tblPrEx>
          <w:tblCellMar>
            <w:top w:w="0" w:type="dxa"/>
            <w:bottom w:w="0" w:type="dxa"/>
          </w:tblCellMar>
        </w:tblPrEx>
        <w:tc>
          <w:tcPr>
            <w:tcW w:w="9160" w:type="dxa"/>
            <w:shd w:val="clear" w:color="auto" w:fill="F2EED5"/>
          </w:tcPr>
          <w:p w14:paraId="777A490C" w14:textId="77777777" w:rsidR="002B5286" w:rsidRPr="0089025F" w:rsidRDefault="002B5286">
            <w:pPr>
              <w:ind w:firstLine="0"/>
              <w:jc w:val="center"/>
              <w:rPr>
                <w:sz w:val="20"/>
                <w:lang w:bidi="ar-SA"/>
              </w:rPr>
            </w:pPr>
          </w:p>
          <w:p w14:paraId="29513FE1" w14:textId="77777777" w:rsidR="002B5286" w:rsidRPr="0089025F" w:rsidRDefault="002B5286">
            <w:pPr>
              <w:ind w:firstLine="0"/>
              <w:jc w:val="center"/>
              <w:rPr>
                <w:color w:val="FF0000"/>
                <w:sz w:val="20"/>
                <w:lang w:bidi="ar-SA"/>
              </w:rPr>
            </w:pPr>
          </w:p>
          <w:p w14:paraId="2D0C7195" w14:textId="77777777" w:rsidR="002B5286" w:rsidRPr="0089025F" w:rsidRDefault="002B5286">
            <w:pPr>
              <w:ind w:firstLine="0"/>
              <w:jc w:val="center"/>
              <w:rPr>
                <w:color w:val="FF0000"/>
                <w:sz w:val="20"/>
                <w:lang w:bidi="ar-SA"/>
              </w:rPr>
            </w:pPr>
          </w:p>
          <w:p w14:paraId="516E289C" w14:textId="77777777" w:rsidR="002B5286" w:rsidRPr="0089025F" w:rsidRDefault="002B5286">
            <w:pPr>
              <w:ind w:firstLine="0"/>
              <w:jc w:val="center"/>
              <w:rPr>
                <w:b/>
                <w:sz w:val="20"/>
                <w:lang w:bidi="ar-SA"/>
              </w:rPr>
            </w:pPr>
          </w:p>
          <w:p w14:paraId="0A18CD74" w14:textId="77777777" w:rsidR="002B5286" w:rsidRPr="0089025F" w:rsidRDefault="002B5286">
            <w:pPr>
              <w:ind w:firstLine="0"/>
              <w:jc w:val="center"/>
              <w:rPr>
                <w:sz w:val="20"/>
                <w:lang w:bidi="ar-SA"/>
              </w:rPr>
            </w:pPr>
          </w:p>
          <w:p w14:paraId="748E9A61" w14:textId="77777777" w:rsidR="002B5286" w:rsidRPr="0089025F" w:rsidRDefault="002B5286">
            <w:pPr>
              <w:pStyle w:val="Corpsdetexte"/>
              <w:widowControl w:val="0"/>
              <w:spacing w:before="0" w:after="0"/>
              <w:rPr>
                <w:color w:val="FF0000"/>
                <w:sz w:val="24"/>
                <w:lang w:bidi="ar-SA"/>
              </w:rPr>
            </w:pPr>
          </w:p>
          <w:p w14:paraId="1DC560C5" w14:textId="77777777" w:rsidR="002B5286" w:rsidRPr="0089025F" w:rsidRDefault="002B5286" w:rsidP="002B5286">
            <w:pPr>
              <w:pStyle w:val="Titlest"/>
              <w:rPr>
                <w:lang w:bidi="ar-SA"/>
              </w:rPr>
            </w:pPr>
            <w:r>
              <w:rPr>
                <w:lang w:bidi="ar-SA"/>
              </w:rPr>
              <w:t>François HOULE</w:t>
            </w:r>
          </w:p>
          <w:p w14:paraId="381E1DD7" w14:textId="77777777" w:rsidR="002B5286" w:rsidRPr="0089025F" w:rsidRDefault="002B5286">
            <w:pPr>
              <w:widowControl w:val="0"/>
              <w:ind w:firstLine="0"/>
              <w:jc w:val="center"/>
              <w:rPr>
                <w:lang w:bidi="ar-SA"/>
              </w:rPr>
            </w:pPr>
          </w:p>
          <w:p w14:paraId="766B8463" w14:textId="77777777" w:rsidR="002B5286" w:rsidRPr="0089025F" w:rsidRDefault="002B5286" w:rsidP="002B5286">
            <w:pPr>
              <w:ind w:firstLine="0"/>
              <w:jc w:val="center"/>
              <w:rPr>
                <w:color w:val="FF0000"/>
                <w:sz w:val="36"/>
                <w:lang w:bidi="ar-SA"/>
              </w:rPr>
            </w:pPr>
            <w:r w:rsidRPr="0089025F">
              <w:rPr>
                <w:sz w:val="36"/>
                <w:lang w:bidi="ar-SA"/>
              </w:rPr>
              <w:t>Automne 1987</w:t>
            </w:r>
          </w:p>
          <w:p w14:paraId="15C2CE84" w14:textId="77777777" w:rsidR="002B5286" w:rsidRDefault="002B5286" w:rsidP="002B5286">
            <w:pPr>
              <w:widowControl w:val="0"/>
              <w:ind w:firstLine="0"/>
              <w:jc w:val="center"/>
              <w:rPr>
                <w:lang w:bidi="ar-SA"/>
              </w:rPr>
            </w:pPr>
          </w:p>
          <w:p w14:paraId="6D795DDD" w14:textId="77777777" w:rsidR="002B5286" w:rsidRPr="0089025F" w:rsidRDefault="002B5286" w:rsidP="002B5286">
            <w:pPr>
              <w:widowControl w:val="0"/>
              <w:ind w:firstLine="0"/>
              <w:jc w:val="center"/>
              <w:rPr>
                <w:lang w:bidi="ar-SA"/>
              </w:rPr>
            </w:pPr>
          </w:p>
          <w:p w14:paraId="6412E52A" w14:textId="77777777" w:rsidR="002B5286" w:rsidRPr="00560917" w:rsidRDefault="002B5286" w:rsidP="002B5286">
            <w:pPr>
              <w:widowControl w:val="0"/>
              <w:ind w:firstLine="0"/>
              <w:jc w:val="center"/>
              <w:rPr>
                <w:sz w:val="72"/>
                <w:lang w:bidi="ar-SA"/>
              </w:rPr>
            </w:pPr>
            <w:r w:rsidRPr="00560917">
              <w:rPr>
                <w:sz w:val="72"/>
                <w:lang w:bidi="ar-SA"/>
              </w:rPr>
              <w:t>“Réflexions sur</w:t>
            </w:r>
            <w:r w:rsidRPr="00560917">
              <w:rPr>
                <w:sz w:val="72"/>
                <w:lang w:bidi="ar-SA"/>
              </w:rPr>
              <w:br/>
              <w:t>la restructuration de l’État</w:t>
            </w:r>
            <w:r w:rsidRPr="00560917">
              <w:rPr>
                <w:sz w:val="72"/>
                <w:lang w:bidi="ar-SA"/>
              </w:rPr>
              <w:br/>
              <w:t>au Canada.”</w:t>
            </w:r>
          </w:p>
          <w:p w14:paraId="43EE5C17" w14:textId="77777777" w:rsidR="002B5286" w:rsidRDefault="002B5286" w:rsidP="002B5286">
            <w:pPr>
              <w:widowControl w:val="0"/>
              <w:ind w:firstLine="0"/>
              <w:jc w:val="center"/>
              <w:rPr>
                <w:lang w:bidi="ar-SA"/>
              </w:rPr>
            </w:pPr>
          </w:p>
          <w:p w14:paraId="2A4FC469" w14:textId="77777777" w:rsidR="002B5286" w:rsidRDefault="002B5286" w:rsidP="002B5286">
            <w:pPr>
              <w:widowControl w:val="0"/>
              <w:ind w:firstLine="0"/>
              <w:jc w:val="center"/>
              <w:rPr>
                <w:lang w:bidi="ar-SA"/>
              </w:rPr>
            </w:pPr>
          </w:p>
          <w:p w14:paraId="512EB2C1" w14:textId="77777777" w:rsidR="002B5286" w:rsidRPr="0089025F" w:rsidRDefault="002B5286" w:rsidP="002B5286">
            <w:pPr>
              <w:widowControl w:val="0"/>
              <w:ind w:firstLine="0"/>
              <w:jc w:val="center"/>
              <w:rPr>
                <w:lang w:bidi="ar-SA"/>
              </w:rPr>
            </w:pPr>
          </w:p>
          <w:p w14:paraId="078C8250" w14:textId="77777777" w:rsidR="002B5286" w:rsidRPr="0089025F" w:rsidRDefault="002B5286" w:rsidP="002B5286">
            <w:pPr>
              <w:widowControl w:val="0"/>
              <w:ind w:firstLine="0"/>
              <w:jc w:val="center"/>
              <w:rPr>
                <w:sz w:val="20"/>
                <w:lang w:bidi="ar-SA"/>
              </w:rPr>
            </w:pPr>
          </w:p>
          <w:p w14:paraId="346FF5A1" w14:textId="77777777" w:rsidR="002B5286" w:rsidRPr="0089025F" w:rsidRDefault="002B5286" w:rsidP="002B5286">
            <w:pPr>
              <w:widowControl w:val="0"/>
              <w:ind w:firstLine="0"/>
              <w:jc w:val="center"/>
              <w:rPr>
                <w:sz w:val="20"/>
                <w:lang w:bidi="ar-SA"/>
              </w:rPr>
            </w:pPr>
          </w:p>
          <w:p w14:paraId="462EEEAA" w14:textId="77777777" w:rsidR="002B5286" w:rsidRPr="0089025F" w:rsidRDefault="002B5286" w:rsidP="002B5286">
            <w:pPr>
              <w:ind w:firstLine="0"/>
              <w:jc w:val="center"/>
              <w:rPr>
                <w:sz w:val="20"/>
                <w:lang w:bidi="ar-SA"/>
              </w:rPr>
            </w:pPr>
            <w:r w:rsidRPr="0089025F">
              <w:rPr>
                <w:b/>
                <w:lang w:bidi="ar-SA"/>
              </w:rPr>
              <w:t>LES CLASSIQUES DES SCIENCES SOCIALES</w:t>
            </w:r>
            <w:r w:rsidRPr="0089025F">
              <w:rPr>
                <w:lang w:bidi="ar-SA"/>
              </w:rPr>
              <w:br/>
              <w:t>CHICOUTIMI, QUÉBEC</w:t>
            </w:r>
            <w:r w:rsidRPr="0089025F">
              <w:rPr>
                <w:lang w:bidi="ar-SA"/>
              </w:rPr>
              <w:br/>
            </w:r>
            <w:hyperlink r:id="rId7" w:history="1">
              <w:r w:rsidRPr="0089025F">
                <w:rPr>
                  <w:rStyle w:val="Hyperlien"/>
                  <w:lang w:bidi="ar-SA"/>
                </w:rPr>
                <w:t>http://classiques.uqac.ca/</w:t>
              </w:r>
            </w:hyperlink>
          </w:p>
          <w:p w14:paraId="1186CD0C" w14:textId="77777777" w:rsidR="002B5286" w:rsidRPr="0089025F" w:rsidRDefault="002B5286" w:rsidP="002B5286">
            <w:pPr>
              <w:widowControl w:val="0"/>
              <w:ind w:firstLine="0"/>
              <w:jc w:val="both"/>
              <w:rPr>
                <w:lang w:bidi="ar-SA"/>
              </w:rPr>
            </w:pPr>
          </w:p>
          <w:p w14:paraId="7B74FE4D" w14:textId="77777777" w:rsidR="002B5286" w:rsidRPr="0089025F" w:rsidRDefault="002B5286" w:rsidP="002B5286">
            <w:pPr>
              <w:widowControl w:val="0"/>
              <w:ind w:firstLine="0"/>
              <w:jc w:val="both"/>
              <w:rPr>
                <w:lang w:bidi="ar-SA"/>
              </w:rPr>
            </w:pPr>
          </w:p>
          <w:p w14:paraId="524CD1F9" w14:textId="77777777" w:rsidR="002B5286" w:rsidRPr="0089025F" w:rsidRDefault="002B5286" w:rsidP="002B5286">
            <w:pPr>
              <w:widowControl w:val="0"/>
              <w:ind w:firstLine="0"/>
              <w:jc w:val="both"/>
              <w:rPr>
                <w:lang w:bidi="ar-SA"/>
              </w:rPr>
            </w:pPr>
          </w:p>
          <w:p w14:paraId="68201CFD" w14:textId="77777777" w:rsidR="002B5286" w:rsidRPr="0089025F" w:rsidRDefault="002B5286" w:rsidP="002B5286">
            <w:pPr>
              <w:widowControl w:val="0"/>
              <w:ind w:firstLine="0"/>
              <w:jc w:val="both"/>
              <w:rPr>
                <w:lang w:bidi="ar-SA"/>
              </w:rPr>
            </w:pPr>
          </w:p>
          <w:p w14:paraId="33050674" w14:textId="77777777" w:rsidR="002B5286" w:rsidRDefault="002B5286" w:rsidP="002B5286">
            <w:pPr>
              <w:widowControl w:val="0"/>
              <w:ind w:firstLine="0"/>
              <w:jc w:val="both"/>
              <w:rPr>
                <w:lang w:bidi="ar-SA"/>
              </w:rPr>
            </w:pPr>
          </w:p>
          <w:p w14:paraId="62D5633C" w14:textId="77777777" w:rsidR="002B5286" w:rsidRPr="0089025F" w:rsidRDefault="002B5286" w:rsidP="002B5286">
            <w:pPr>
              <w:widowControl w:val="0"/>
              <w:ind w:firstLine="0"/>
              <w:jc w:val="both"/>
              <w:rPr>
                <w:lang w:bidi="ar-SA"/>
              </w:rPr>
            </w:pPr>
          </w:p>
          <w:p w14:paraId="2F4CDF7F" w14:textId="77777777" w:rsidR="002B5286" w:rsidRPr="0089025F" w:rsidRDefault="002B5286" w:rsidP="002B5286">
            <w:pPr>
              <w:widowControl w:val="0"/>
              <w:ind w:firstLine="0"/>
              <w:jc w:val="both"/>
              <w:rPr>
                <w:lang w:bidi="ar-SA"/>
              </w:rPr>
            </w:pPr>
          </w:p>
          <w:p w14:paraId="3326D7CA" w14:textId="77777777" w:rsidR="002B5286" w:rsidRPr="0089025F" w:rsidRDefault="002B5286" w:rsidP="002B5286">
            <w:pPr>
              <w:widowControl w:val="0"/>
              <w:ind w:firstLine="0"/>
              <w:rPr>
                <w:lang w:bidi="ar-SA"/>
              </w:rPr>
            </w:pPr>
          </w:p>
          <w:p w14:paraId="74313340" w14:textId="77777777" w:rsidR="002B5286" w:rsidRPr="0089025F" w:rsidRDefault="002B5286" w:rsidP="002B5286">
            <w:pPr>
              <w:widowControl w:val="0"/>
              <w:ind w:firstLine="0"/>
              <w:jc w:val="both"/>
              <w:rPr>
                <w:lang w:bidi="ar-SA"/>
              </w:rPr>
            </w:pPr>
          </w:p>
        </w:tc>
      </w:tr>
    </w:tbl>
    <w:p w14:paraId="6669E0DE" w14:textId="77777777" w:rsidR="002B5286" w:rsidRPr="0089025F" w:rsidRDefault="002B5286" w:rsidP="002B5286">
      <w:pPr>
        <w:ind w:firstLine="0"/>
        <w:jc w:val="both"/>
      </w:pPr>
      <w:r w:rsidRPr="0089025F">
        <w:br w:type="page"/>
      </w:r>
    </w:p>
    <w:p w14:paraId="06E4A3BB" w14:textId="77777777" w:rsidR="002B5286" w:rsidRPr="0089025F" w:rsidRDefault="002B5286" w:rsidP="002B5286">
      <w:pPr>
        <w:ind w:firstLine="0"/>
        <w:jc w:val="both"/>
      </w:pPr>
    </w:p>
    <w:p w14:paraId="0C69F2CF" w14:textId="77777777" w:rsidR="002B5286" w:rsidRPr="0089025F" w:rsidRDefault="002B5286" w:rsidP="002B5286">
      <w:pPr>
        <w:ind w:firstLine="0"/>
        <w:jc w:val="both"/>
      </w:pPr>
    </w:p>
    <w:p w14:paraId="5794B9AD" w14:textId="77777777" w:rsidR="002B5286" w:rsidRPr="0089025F" w:rsidRDefault="00E13C64" w:rsidP="002B5286">
      <w:pPr>
        <w:ind w:firstLine="0"/>
        <w:jc w:val="right"/>
      </w:pPr>
      <w:r w:rsidRPr="0089025F">
        <w:rPr>
          <w:noProof/>
        </w:rPr>
        <w:drawing>
          <wp:inline distT="0" distB="0" distL="0" distR="0" wp14:anchorId="7D869BAB" wp14:editId="300EDE3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FA410D0" w14:textId="77777777" w:rsidR="002B5286" w:rsidRPr="0089025F" w:rsidRDefault="002B5286" w:rsidP="002B5286">
      <w:pPr>
        <w:ind w:firstLine="0"/>
        <w:jc w:val="right"/>
      </w:pPr>
      <w:hyperlink r:id="rId9" w:history="1">
        <w:r w:rsidRPr="0089025F">
          <w:rPr>
            <w:rStyle w:val="Hyperlien"/>
          </w:rPr>
          <w:t>http://classiques.uqac.ca/</w:t>
        </w:r>
      </w:hyperlink>
      <w:r w:rsidRPr="0089025F">
        <w:t xml:space="preserve"> </w:t>
      </w:r>
    </w:p>
    <w:p w14:paraId="5425FC23" w14:textId="77777777" w:rsidR="002B5286" w:rsidRPr="0089025F" w:rsidRDefault="002B5286" w:rsidP="002B5286">
      <w:pPr>
        <w:ind w:firstLine="0"/>
        <w:jc w:val="both"/>
      </w:pPr>
    </w:p>
    <w:p w14:paraId="5046BF3A" w14:textId="77777777" w:rsidR="002B5286" w:rsidRPr="0089025F" w:rsidRDefault="002B5286" w:rsidP="002B5286">
      <w:pPr>
        <w:ind w:firstLine="0"/>
        <w:jc w:val="both"/>
      </w:pPr>
      <w:r w:rsidRPr="0089025F">
        <w:rPr>
          <w:i/>
        </w:rPr>
        <w:t>Les Classiques des sciences sociales</w:t>
      </w:r>
      <w:r w:rsidRPr="0089025F">
        <w:t xml:space="preserve"> est une bibliothèque numérique en libre accès développée en partenariat avec l’Université du Québec à Chicoutimi (UQÀC) depuis 2000.</w:t>
      </w:r>
    </w:p>
    <w:p w14:paraId="4522FF38" w14:textId="77777777" w:rsidR="002B5286" w:rsidRPr="0089025F" w:rsidRDefault="002B5286" w:rsidP="002B5286">
      <w:pPr>
        <w:ind w:firstLine="0"/>
        <w:jc w:val="both"/>
      </w:pPr>
    </w:p>
    <w:p w14:paraId="6AA5D771" w14:textId="77777777" w:rsidR="002B5286" w:rsidRPr="0089025F" w:rsidRDefault="00E13C64" w:rsidP="002B5286">
      <w:pPr>
        <w:ind w:firstLine="0"/>
        <w:jc w:val="both"/>
      </w:pPr>
      <w:r w:rsidRPr="0089025F">
        <w:rPr>
          <w:noProof/>
        </w:rPr>
        <w:drawing>
          <wp:inline distT="0" distB="0" distL="0" distR="0" wp14:anchorId="4570B263" wp14:editId="0F784CD8">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746EA8E" w14:textId="77777777" w:rsidR="002B5286" w:rsidRPr="0089025F" w:rsidRDefault="002B5286" w:rsidP="002B5286">
      <w:pPr>
        <w:ind w:firstLine="0"/>
        <w:jc w:val="both"/>
      </w:pPr>
      <w:hyperlink r:id="rId11" w:history="1">
        <w:r w:rsidRPr="0089025F">
          <w:rPr>
            <w:rStyle w:val="Hyperlien"/>
          </w:rPr>
          <w:t>http://bibliotheque.uqac.ca/</w:t>
        </w:r>
      </w:hyperlink>
      <w:r w:rsidRPr="0089025F">
        <w:t xml:space="preserve"> </w:t>
      </w:r>
    </w:p>
    <w:p w14:paraId="76A147FD" w14:textId="77777777" w:rsidR="002B5286" w:rsidRPr="0089025F" w:rsidRDefault="002B5286" w:rsidP="002B5286">
      <w:pPr>
        <w:ind w:firstLine="0"/>
        <w:jc w:val="both"/>
      </w:pPr>
    </w:p>
    <w:p w14:paraId="24539F3C" w14:textId="77777777" w:rsidR="002B5286" w:rsidRPr="0089025F" w:rsidRDefault="002B5286" w:rsidP="002B5286">
      <w:pPr>
        <w:ind w:firstLine="0"/>
        <w:jc w:val="both"/>
      </w:pPr>
    </w:p>
    <w:p w14:paraId="3710910C" w14:textId="77777777" w:rsidR="002B5286" w:rsidRPr="0089025F" w:rsidRDefault="002B5286" w:rsidP="002B5286">
      <w:pPr>
        <w:ind w:firstLine="0"/>
        <w:jc w:val="both"/>
      </w:pPr>
      <w:r w:rsidRPr="0089025F">
        <w:t>En 2018, Les Classiques des sciences sociales fêteront leur 25</w:t>
      </w:r>
      <w:r w:rsidRPr="0089025F">
        <w:rPr>
          <w:vertAlign w:val="superscript"/>
        </w:rPr>
        <w:t>e</w:t>
      </w:r>
      <w:r w:rsidRPr="0089025F">
        <w:t xml:space="preserve"> ann</w:t>
      </w:r>
      <w:r w:rsidRPr="0089025F">
        <w:t>i</w:t>
      </w:r>
      <w:r w:rsidRPr="0089025F">
        <w:t>versaire de fondation. Une belle initiative citoyenne.</w:t>
      </w:r>
    </w:p>
    <w:p w14:paraId="11994172" w14:textId="77777777" w:rsidR="002B5286" w:rsidRPr="0089025F" w:rsidRDefault="002B5286" w:rsidP="002B5286">
      <w:pPr>
        <w:widowControl w:val="0"/>
        <w:autoSpaceDE w:val="0"/>
        <w:autoSpaceDN w:val="0"/>
        <w:adjustRightInd w:val="0"/>
        <w:rPr>
          <w:rFonts w:ascii="Arial" w:hAnsi="Arial"/>
          <w:sz w:val="32"/>
          <w:szCs w:val="32"/>
        </w:rPr>
      </w:pPr>
      <w:r w:rsidRPr="0089025F">
        <w:br w:type="page"/>
      </w:r>
    </w:p>
    <w:p w14:paraId="3F705BDA" w14:textId="77777777" w:rsidR="002B5286" w:rsidRPr="0089025F" w:rsidRDefault="002B5286">
      <w:pPr>
        <w:widowControl w:val="0"/>
        <w:autoSpaceDE w:val="0"/>
        <w:autoSpaceDN w:val="0"/>
        <w:adjustRightInd w:val="0"/>
        <w:jc w:val="center"/>
        <w:rPr>
          <w:rFonts w:ascii="Arial" w:hAnsi="Arial"/>
          <w:b/>
          <w:color w:val="008B00"/>
          <w:sz w:val="36"/>
          <w:szCs w:val="36"/>
        </w:rPr>
      </w:pPr>
      <w:r w:rsidRPr="0089025F">
        <w:rPr>
          <w:rFonts w:ascii="Arial" w:hAnsi="Arial"/>
          <w:b/>
          <w:color w:val="008B00"/>
          <w:sz w:val="36"/>
          <w:szCs w:val="36"/>
        </w:rPr>
        <w:t>Politique d'utilisation</w:t>
      </w:r>
      <w:r w:rsidRPr="0089025F">
        <w:rPr>
          <w:rFonts w:ascii="Arial-BoldMT" w:hAnsi="Arial-BoldMT"/>
          <w:b/>
          <w:color w:val="008B00"/>
          <w:sz w:val="36"/>
          <w:szCs w:val="36"/>
        </w:rPr>
        <w:br/>
      </w:r>
      <w:r w:rsidRPr="0089025F">
        <w:rPr>
          <w:rFonts w:ascii="Arial" w:hAnsi="Arial"/>
          <w:b/>
          <w:color w:val="008B00"/>
          <w:sz w:val="36"/>
          <w:szCs w:val="36"/>
        </w:rPr>
        <w:t>de la bibliothèque des Classiques</w:t>
      </w:r>
    </w:p>
    <w:p w14:paraId="54807ED4" w14:textId="77777777" w:rsidR="002B5286" w:rsidRPr="0089025F" w:rsidRDefault="002B5286">
      <w:pPr>
        <w:widowControl w:val="0"/>
        <w:autoSpaceDE w:val="0"/>
        <w:autoSpaceDN w:val="0"/>
        <w:adjustRightInd w:val="0"/>
        <w:rPr>
          <w:rFonts w:ascii="Arial" w:hAnsi="Arial"/>
          <w:sz w:val="32"/>
          <w:szCs w:val="32"/>
        </w:rPr>
      </w:pPr>
    </w:p>
    <w:p w14:paraId="608E738A" w14:textId="77777777" w:rsidR="002B5286" w:rsidRPr="0089025F" w:rsidRDefault="002B5286">
      <w:pPr>
        <w:widowControl w:val="0"/>
        <w:autoSpaceDE w:val="0"/>
        <w:autoSpaceDN w:val="0"/>
        <w:adjustRightInd w:val="0"/>
        <w:jc w:val="both"/>
        <w:rPr>
          <w:rFonts w:ascii="Arial" w:hAnsi="Arial"/>
          <w:color w:val="1C1C1C"/>
          <w:sz w:val="26"/>
          <w:szCs w:val="26"/>
        </w:rPr>
      </w:pPr>
    </w:p>
    <w:p w14:paraId="53F35DE2" w14:textId="77777777" w:rsidR="002B5286" w:rsidRPr="0089025F" w:rsidRDefault="002B5286">
      <w:pPr>
        <w:widowControl w:val="0"/>
        <w:autoSpaceDE w:val="0"/>
        <w:autoSpaceDN w:val="0"/>
        <w:adjustRightInd w:val="0"/>
        <w:jc w:val="both"/>
        <w:rPr>
          <w:rFonts w:ascii="Arial" w:hAnsi="Arial"/>
          <w:color w:val="1C1C1C"/>
          <w:sz w:val="26"/>
          <w:szCs w:val="26"/>
        </w:rPr>
      </w:pPr>
    </w:p>
    <w:p w14:paraId="3A657E65" w14:textId="77777777" w:rsidR="002B5286" w:rsidRPr="0089025F" w:rsidRDefault="002B5286">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Toute reproduction et rediffusion de nos fichiers est inte</w:t>
      </w:r>
      <w:r w:rsidRPr="0089025F">
        <w:rPr>
          <w:rFonts w:ascii="Arial" w:hAnsi="Arial"/>
          <w:color w:val="1C1C1C"/>
          <w:sz w:val="26"/>
          <w:szCs w:val="26"/>
        </w:rPr>
        <w:t>r</w:t>
      </w:r>
      <w:r w:rsidRPr="0089025F">
        <w:rPr>
          <w:rFonts w:ascii="Arial" w:hAnsi="Arial"/>
          <w:color w:val="1C1C1C"/>
          <w:sz w:val="26"/>
          <w:szCs w:val="26"/>
        </w:rPr>
        <w:t>dite, même avec la mention de leur provenance, sans l’autorisation fo</w:t>
      </w:r>
      <w:r w:rsidRPr="0089025F">
        <w:rPr>
          <w:rFonts w:ascii="Arial" w:hAnsi="Arial"/>
          <w:color w:val="1C1C1C"/>
          <w:sz w:val="26"/>
          <w:szCs w:val="26"/>
        </w:rPr>
        <w:t>r</w:t>
      </w:r>
      <w:r w:rsidRPr="0089025F">
        <w:rPr>
          <w:rFonts w:ascii="Arial" w:hAnsi="Arial"/>
          <w:color w:val="1C1C1C"/>
          <w:sz w:val="26"/>
          <w:szCs w:val="26"/>
        </w:rPr>
        <w:t>melle, écrite, du fondateur des Classiques des sciences sociales, Jean-Marie Tremblay, sociologue.</w:t>
      </w:r>
    </w:p>
    <w:p w14:paraId="62AEB39E" w14:textId="77777777" w:rsidR="002B5286" w:rsidRPr="0089025F" w:rsidRDefault="002B5286">
      <w:pPr>
        <w:widowControl w:val="0"/>
        <w:autoSpaceDE w:val="0"/>
        <w:autoSpaceDN w:val="0"/>
        <w:adjustRightInd w:val="0"/>
        <w:jc w:val="both"/>
        <w:rPr>
          <w:rFonts w:ascii="Arial" w:hAnsi="Arial"/>
          <w:color w:val="1C1C1C"/>
          <w:sz w:val="26"/>
          <w:szCs w:val="26"/>
        </w:rPr>
      </w:pPr>
    </w:p>
    <w:p w14:paraId="632DA6D0" w14:textId="77777777" w:rsidR="002B5286" w:rsidRPr="0089025F" w:rsidRDefault="002B5286" w:rsidP="002B5286">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Les fichiers des Classiques des sciences sociales ne peuvent sans autorisation formelle:</w:t>
      </w:r>
    </w:p>
    <w:p w14:paraId="69656169" w14:textId="77777777" w:rsidR="002B5286" w:rsidRPr="0089025F" w:rsidRDefault="002B5286" w:rsidP="002B5286">
      <w:pPr>
        <w:widowControl w:val="0"/>
        <w:autoSpaceDE w:val="0"/>
        <w:autoSpaceDN w:val="0"/>
        <w:adjustRightInd w:val="0"/>
        <w:jc w:val="both"/>
        <w:rPr>
          <w:rFonts w:ascii="Arial" w:hAnsi="Arial"/>
          <w:color w:val="1C1C1C"/>
          <w:sz w:val="26"/>
          <w:szCs w:val="26"/>
        </w:rPr>
      </w:pPr>
    </w:p>
    <w:p w14:paraId="7156EFE7" w14:textId="77777777" w:rsidR="002B5286" w:rsidRPr="0089025F" w:rsidRDefault="002B5286" w:rsidP="002B5286">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être hébergés (en fichier ou page web, en totalité ou en partie) sur un serveur autre que celui des Classiques.</w:t>
      </w:r>
    </w:p>
    <w:p w14:paraId="2F3E6D4D" w14:textId="77777777" w:rsidR="002B5286" w:rsidRPr="0089025F" w:rsidRDefault="002B5286" w:rsidP="002B5286">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servir de base de travail à un autre fichier modifié ensuite par tout autre moyen (couleur, police, mise en page, extraits, support, etc...),</w:t>
      </w:r>
    </w:p>
    <w:p w14:paraId="08F3EA88" w14:textId="77777777" w:rsidR="002B5286" w:rsidRPr="0089025F" w:rsidRDefault="002B5286" w:rsidP="002B5286">
      <w:pPr>
        <w:widowControl w:val="0"/>
        <w:autoSpaceDE w:val="0"/>
        <w:autoSpaceDN w:val="0"/>
        <w:adjustRightInd w:val="0"/>
        <w:jc w:val="both"/>
        <w:rPr>
          <w:rFonts w:ascii="Arial" w:hAnsi="Arial"/>
          <w:color w:val="1C1C1C"/>
          <w:sz w:val="26"/>
          <w:szCs w:val="26"/>
        </w:rPr>
      </w:pPr>
    </w:p>
    <w:p w14:paraId="107928CB" w14:textId="77777777" w:rsidR="002B5286" w:rsidRPr="0089025F" w:rsidRDefault="002B5286">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xml:space="preserve">Les fichiers (.html, .doc, .pdf, .rtf, .jpg, .gif) disponibles sur le site Les Classiques des sciences sociales sont la propriété des </w:t>
      </w:r>
      <w:r w:rsidRPr="0089025F">
        <w:rPr>
          <w:rFonts w:ascii="Arial" w:hAnsi="Arial"/>
          <w:b/>
          <w:color w:val="1C1C1C"/>
          <w:sz w:val="26"/>
          <w:szCs w:val="26"/>
        </w:rPr>
        <w:t>Class</w:t>
      </w:r>
      <w:r w:rsidRPr="0089025F">
        <w:rPr>
          <w:rFonts w:ascii="Arial" w:hAnsi="Arial"/>
          <w:b/>
          <w:color w:val="1C1C1C"/>
          <w:sz w:val="26"/>
          <w:szCs w:val="26"/>
        </w:rPr>
        <w:t>i</w:t>
      </w:r>
      <w:r w:rsidRPr="0089025F">
        <w:rPr>
          <w:rFonts w:ascii="Arial" w:hAnsi="Arial"/>
          <w:b/>
          <w:color w:val="1C1C1C"/>
          <w:sz w:val="26"/>
          <w:szCs w:val="26"/>
        </w:rPr>
        <w:t>ques des sciences sociales</w:t>
      </w:r>
      <w:r w:rsidRPr="0089025F">
        <w:rPr>
          <w:rFonts w:ascii="Arial" w:hAnsi="Arial"/>
          <w:color w:val="1C1C1C"/>
          <w:sz w:val="26"/>
          <w:szCs w:val="26"/>
        </w:rPr>
        <w:t>, un organisme à but non lucratif co</w:t>
      </w:r>
      <w:r w:rsidRPr="0089025F">
        <w:rPr>
          <w:rFonts w:ascii="Arial" w:hAnsi="Arial"/>
          <w:color w:val="1C1C1C"/>
          <w:sz w:val="26"/>
          <w:szCs w:val="26"/>
        </w:rPr>
        <w:t>m</w:t>
      </w:r>
      <w:r w:rsidRPr="0089025F">
        <w:rPr>
          <w:rFonts w:ascii="Arial" w:hAnsi="Arial"/>
          <w:color w:val="1C1C1C"/>
          <w:sz w:val="26"/>
          <w:szCs w:val="26"/>
        </w:rPr>
        <w:t>posé exclusivement de bénévoles.</w:t>
      </w:r>
    </w:p>
    <w:p w14:paraId="131EAEDE" w14:textId="77777777" w:rsidR="002B5286" w:rsidRPr="0089025F" w:rsidRDefault="002B5286">
      <w:pPr>
        <w:widowControl w:val="0"/>
        <w:autoSpaceDE w:val="0"/>
        <w:autoSpaceDN w:val="0"/>
        <w:adjustRightInd w:val="0"/>
        <w:jc w:val="both"/>
        <w:rPr>
          <w:rFonts w:ascii="Arial" w:hAnsi="Arial"/>
          <w:color w:val="1C1C1C"/>
          <w:sz w:val="26"/>
          <w:szCs w:val="26"/>
        </w:rPr>
      </w:pPr>
    </w:p>
    <w:p w14:paraId="1B273A31" w14:textId="77777777" w:rsidR="002B5286" w:rsidRPr="0089025F" w:rsidRDefault="002B5286">
      <w:pPr>
        <w:rPr>
          <w:rFonts w:ascii="Arial" w:hAnsi="Arial"/>
          <w:color w:val="1C1C1C"/>
          <w:sz w:val="26"/>
          <w:szCs w:val="26"/>
        </w:rPr>
      </w:pPr>
      <w:r w:rsidRPr="0089025F">
        <w:rPr>
          <w:rFonts w:ascii="Arial" w:hAnsi="Arial"/>
          <w:color w:val="1C1C1C"/>
          <w:sz w:val="26"/>
          <w:szCs w:val="26"/>
        </w:rPr>
        <w:t>Ils sont disponibles pour une utilisation intellectuelle et perso</w:t>
      </w:r>
      <w:r w:rsidRPr="0089025F">
        <w:rPr>
          <w:rFonts w:ascii="Arial" w:hAnsi="Arial"/>
          <w:color w:val="1C1C1C"/>
          <w:sz w:val="26"/>
          <w:szCs w:val="26"/>
        </w:rPr>
        <w:t>n</w:t>
      </w:r>
      <w:r w:rsidRPr="0089025F">
        <w:rPr>
          <w:rFonts w:ascii="Arial" w:hAnsi="Arial"/>
          <w:color w:val="1C1C1C"/>
          <w:sz w:val="26"/>
          <w:szCs w:val="26"/>
        </w:rPr>
        <w:t>ne</w:t>
      </w:r>
      <w:r w:rsidRPr="0089025F">
        <w:rPr>
          <w:rFonts w:ascii="Arial" w:hAnsi="Arial"/>
          <w:color w:val="1C1C1C"/>
          <w:sz w:val="26"/>
          <w:szCs w:val="26"/>
        </w:rPr>
        <w:t>l</w:t>
      </w:r>
      <w:r w:rsidRPr="0089025F">
        <w:rPr>
          <w:rFonts w:ascii="Arial" w:hAnsi="Arial"/>
          <w:color w:val="1C1C1C"/>
          <w:sz w:val="26"/>
          <w:szCs w:val="26"/>
        </w:rPr>
        <w:t>le et, en aucun cas, commerciale. Toute utilisation à des fins co</w:t>
      </w:r>
      <w:r w:rsidRPr="0089025F">
        <w:rPr>
          <w:rFonts w:ascii="Arial" w:hAnsi="Arial"/>
          <w:color w:val="1C1C1C"/>
          <w:sz w:val="26"/>
          <w:szCs w:val="26"/>
        </w:rPr>
        <w:t>m</w:t>
      </w:r>
      <w:r w:rsidRPr="0089025F">
        <w:rPr>
          <w:rFonts w:ascii="Arial" w:hAnsi="Arial"/>
          <w:color w:val="1C1C1C"/>
          <w:sz w:val="26"/>
          <w:szCs w:val="26"/>
        </w:rPr>
        <w:t>merciales des fichiers sur ce site est strictement interdite et toute rediffusion est également strictement interdite.</w:t>
      </w:r>
    </w:p>
    <w:p w14:paraId="4AF01E7A" w14:textId="77777777" w:rsidR="002B5286" w:rsidRPr="0089025F" w:rsidRDefault="002B5286">
      <w:pPr>
        <w:rPr>
          <w:rFonts w:ascii="Arial" w:hAnsi="Arial"/>
          <w:b/>
          <w:color w:val="1C1C1C"/>
          <w:sz w:val="26"/>
          <w:szCs w:val="26"/>
        </w:rPr>
      </w:pPr>
    </w:p>
    <w:p w14:paraId="78CDFC64" w14:textId="77777777" w:rsidR="002B5286" w:rsidRPr="0089025F" w:rsidRDefault="002B5286">
      <w:pPr>
        <w:rPr>
          <w:rFonts w:ascii="Arial" w:hAnsi="Arial"/>
          <w:b/>
          <w:color w:val="1C1C1C"/>
          <w:sz w:val="26"/>
          <w:szCs w:val="26"/>
        </w:rPr>
      </w:pPr>
      <w:r w:rsidRPr="0089025F">
        <w:rPr>
          <w:rFonts w:ascii="Arial" w:hAnsi="Arial"/>
          <w:b/>
          <w:color w:val="1C1C1C"/>
          <w:sz w:val="26"/>
          <w:szCs w:val="26"/>
        </w:rPr>
        <w:t>L'accès à notre travail est libre et gratuit à tous les utilis</w:t>
      </w:r>
      <w:r w:rsidRPr="0089025F">
        <w:rPr>
          <w:rFonts w:ascii="Arial" w:hAnsi="Arial"/>
          <w:b/>
          <w:color w:val="1C1C1C"/>
          <w:sz w:val="26"/>
          <w:szCs w:val="26"/>
        </w:rPr>
        <w:t>a</w:t>
      </w:r>
      <w:r w:rsidRPr="0089025F">
        <w:rPr>
          <w:rFonts w:ascii="Arial" w:hAnsi="Arial"/>
          <w:b/>
          <w:color w:val="1C1C1C"/>
          <w:sz w:val="26"/>
          <w:szCs w:val="26"/>
        </w:rPr>
        <w:t>teurs. C'est notre mission.</w:t>
      </w:r>
    </w:p>
    <w:p w14:paraId="115892E0" w14:textId="77777777" w:rsidR="002B5286" w:rsidRPr="0089025F" w:rsidRDefault="002B5286">
      <w:pPr>
        <w:rPr>
          <w:rFonts w:ascii="Arial" w:hAnsi="Arial"/>
          <w:b/>
          <w:color w:val="1C1C1C"/>
          <w:sz w:val="26"/>
          <w:szCs w:val="26"/>
        </w:rPr>
      </w:pPr>
    </w:p>
    <w:p w14:paraId="0E07494F" w14:textId="77777777" w:rsidR="002B5286" w:rsidRPr="0089025F" w:rsidRDefault="002B5286">
      <w:pPr>
        <w:rPr>
          <w:rFonts w:ascii="Arial" w:hAnsi="Arial"/>
          <w:color w:val="1C1C1C"/>
          <w:sz w:val="26"/>
          <w:szCs w:val="26"/>
        </w:rPr>
      </w:pPr>
      <w:r w:rsidRPr="0089025F">
        <w:rPr>
          <w:rFonts w:ascii="Arial" w:hAnsi="Arial"/>
          <w:color w:val="1C1C1C"/>
          <w:sz w:val="26"/>
          <w:szCs w:val="26"/>
        </w:rPr>
        <w:t>Jean-Marie Tremblay, sociologue</w:t>
      </w:r>
    </w:p>
    <w:p w14:paraId="48941C70" w14:textId="77777777" w:rsidR="002B5286" w:rsidRPr="0089025F" w:rsidRDefault="002B5286">
      <w:pPr>
        <w:rPr>
          <w:rFonts w:ascii="Arial" w:hAnsi="Arial"/>
          <w:color w:val="1C1C1C"/>
          <w:sz w:val="26"/>
          <w:szCs w:val="26"/>
        </w:rPr>
      </w:pPr>
      <w:r w:rsidRPr="0089025F">
        <w:rPr>
          <w:rFonts w:ascii="Arial" w:hAnsi="Arial"/>
          <w:color w:val="1C1C1C"/>
          <w:sz w:val="26"/>
          <w:szCs w:val="26"/>
        </w:rPr>
        <w:t>Fondateur et Président-directeur général,</w:t>
      </w:r>
    </w:p>
    <w:p w14:paraId="7513CC20" w14:textId="77777777" w:rsidR="002B5286" w:rsidRPr="0089025F" w:rsidRDefault="002B5286">
      <w:pPr>
        <w:rPr>
          <w:rFonts w:ascii="Arial" w:hAnsi="Arial"/>
          <w:color w:val="000080"/>
        </w:rPr>
      </w:pPr>
      <w:r w:rsidRPr="0089025F">
        <w:rPr>
          <w:rFonts w:ascii="Arial" w:hAnsi="Arial"/>
          <w:color w:val="000080"/>
          <w:sz w:val="26"/>
          <w:szCs w:val="26"/>
        </w:rPr>
        <w:t>LES CLASSIQUES DES SCIENCES SOCIALES.</w:t>
      </w:r>
    </w:p>
    <w:p w14:paraId="138AE6DB" w14:textId="77777777" w:rsidR="002B5286" w:rsidRPr="0089025F" w:rsidRDefault="002B5286" w:rsidP="002B5286">
      <w:pPr>
        <w:ind w:firstLine="0"/>
        <w:rPr>
          <w:sz w:val="24"/>
        </w:rPr>
      </w:pPr>
      <w:r w:rsidRPr="0089025F">
        <w:br w:type="page"/>
      </w:r>
      <w:r w:rsidRPr="0089025F">
        <w:rPr>
          <w:sz w:val="24"/>
          <w:lang w:bidi="ar-SA"/>
        </w:rPr>
        <w:lastRenderedPageBreak/>
        <w:t xml:space="preserve">Un document produit en version numérique par </w:t>
      </w:r>
      <w:r w:rsidRPr="0089025F">
        <w:rPr>
          <w:sz w:val="24"/>
        </w:rPr>
        <w:t>Réjeanne Toussaint, bén</w:t>
      </w:r>
      <w:r w:rsidRPr="0089025F">
        <w:rPr>
          <w:sz w:val="24"/>
        </w:rPr>
        <w:t>é</w:t>
      </w:r>
      <w:r w:rsidRPr="0089025F">
        <w:rPr>
          <w:sz w:val="24"/>
        </w:rPr>
        <w:t xml:space="preserve">vole, Chomedey, Ville Laval, Qc. courriel: </w:t>
      </w:r>
      <w:hyperlink r:id="rId12" w:history="1">
        <w:r w:rsidRPr="0089025F">
          <w:rPr>
            <w:rStyle w:val="Hyperlien"/>
            <w:sz w:val="24"/>
          </w:rPr>
          <w:t>rtoussaint@aei.ca</w:t>
        </w:r>
      </w:hyperlink>
      <w:r w:rsidRPr="0089025F">
        <w:rPr>
          <w:sz w:val="24"/>
        </w:rPr>
        <w:t>.</w:t>
      </w:r>
    </w:p>
    <w:p w14:paraId="52C72385" w14:textId="77777777" w:rsidR="002B5286" w:rsidRPr="0089025F" w:rsidRDefault="002B5286" w:rsidP="002B5286">
      <w:pPr>
        <w:ind w:firstLine="0"/>
        <w:jc w:val="both"/>
        <w:rPr>
          <w:sz w:val="24"/>
        </w:rPr>
      </w:pPr>
      <w:hyperlink r:id="rId13" w:history="1">
        <w:r w:rsidRPr="0089025F">
          <w:rPr>
            <w:rStyle w:val="Hyperlien"/>
            <w:sz w:val="24"/>
          </w:rPr>
          <w:t>Page web</w:t>
        </w:r>
      </w:hyperlink>
      <w:r w:rsidRPr="0089025F">
        <w:rPr>
          <w:sz w:val="24"/>
        </w:rPr>
        <w:t xml:space="preserve"> dans Les Classiques des sciences sociales :</w:t>
      </w:r>
    </w:p>
    <w:p w14:paraId="3CAA757D" w14:textId="77777777" w:rsidR="002B5286" w:rsidRPr="0089025F" w:rsidRDefault="002B5286" w:rsidP="002B5286">
      <w:pPr>
        <w:ind w:firstLine="0"/>
        <w:rPr>
          <w:sz w:val="24"/>
          <w:lang w:bidi="ar-SA"/>
        </w:rPr>
      </w:pPr>
      <w:hyperlink r:id="rId14" w:history="1">
        <w:r w:rsidRPr="0089025F">
          <w:rPr>
            <w:rStyle w:val="Hyperlien"/>
            <w:sz w:val="24"/>
            <w:lang w:bidi="ar-SA"/>
          </w:rPr>
          <w:t>http://classiques.uqac.ca/inter/benevoles_equipe/liste_toussaint_rejeanne.html</w:t>
        </w:r>
      </w:hyperlink>
      <w:r w:rsidRPr="0089025F">
        <w:rPr>
          <w:sz w:val="24"/>
          <w:lang w:bidi="ar-SA"/>
        </w:rPr>
        <w:t xml:space="preserve"> </w:t>
      </w:r>
    </w:p>
    <w:p w14:paraId="726A23E2" w14:textId="77777777" w:rsidR="002B5286" w:rsidRPr="0089025F" w:rsidRDefault="002B5286" w:rsidP="002B5286">
      <w:pPr>
        <w:ind w:firstLine="0"/>
        <w:jc w:val="both"/>
        <w:rPr>
          <w:sz w:val="24"/>
        </w:rPr>
      </w:pPr>
      <w:r w:rsidRPr="0089025F">
        <w:rPr>
          <w:sz w:val="24"/>
        </w:rPr>
        <w:t>à partir du texte de :</w:t>
      </w:r>
    </w:p>
    <w:p w14:paraId="6CEF8F62" w14:textId="77777777" w:rsidR="002B5286" w:rsidRDefault="002B5286" w:rsidP="002B5286">
      <w:pPr>
        <w:ind w:right="720" w:firstLine="0"/>
        <w:rPr>
          <w:sz w:val="24"/>
        </w:rPr>
      </w:pPr>
    </w:p>
    <w:p w14:paraId="3D5C8D3A" w14:textId="77777777" w:rsidR="002B5286" w:rsidRPr="00C653E4" w:rsidRDefault="002B5286" w:rsidP="002B5286">
      <w:pPr>
        <w:ind w:right="720" w:firstLine="0"/>
      </w:pPr>
    </w:p>
    <w:p w14:paraId="22A2AFD5" w14:textId="77777777" w:rsidR="002B5286" w:rsidRPr="00C653E4" w:rsidRDefault="002B5286" w:rsidP="002B5286">
      <w:pPr>
        <w:ind w:right="720" w:firstLine="0"/>
      </w:pPr>
      <w:r w:rsidRPr="00C653E4">
        <w:t xml:space="preserve">François </w:t>
      </w:r>
      <w:r>
        <w:t>HOULE</w:t>
      </w:r>
    </w:p>
    <w:p w14:paraId="564035FA" w14:textId="77777777" w:rsidR="002B5286" w:rsidRPr="00C653E4" w:rsidRDefault="002B5286" w:rsidP="002B5286">
      <w:pPr>
        <w:ind w:right="720" w:firstLine="0"/>
      </w:pPr>
    </w:p>
    <w:p w14:paraId="7863891D" w14:textId="77777777" w:rsidR="002B5286" w:rsidRPr="00C653E4" w:rsidRDefault="002B5286" w:rsidP="002B5286">
      <w:pPr>
        <w:ind w:right="720" w:firstLine="0"/>
      </w:pPr>
      <w:r w:rsidRPr="00C653E4">
        <w:t>“</w:t>
      </w:r>
      <w:r w:rsidRPr="00560917">
        <w:rPr>
          <w:b/>
          <w:i/>
        </w:rPr>
        <w:t>Réflexions sur</w:t>
      </w:r>
      <w:r>
        <w:rPr>
          <w:b/>
          <w:i/>
        </w:rPr>
        <w:t xml:space="preserve"> </w:t>
      </w:r>
      <w:r w:rsidRPr="00560917">
        <w:rPr>
          <w:b/>
          <w:i/>
        </w:rPr>
        <w:t>la restructuration de l’État</w:t>
      </w:r>
      <w:r>
        <w:rPr>
          <w:b/>
          <w:i/>
        </w:rPr>
        <w:t xml:space="preserve"> </w:t>
      </w:r>
      <w:r w:rsidRPr="00560917">
        <w:rPr>
          <w:b/>
          <w:i/>
        </w:rPr>
        <w:t>au Cana</w:t>
      </w:r>
      <w:r>
        <w:rPr>
          <w:b/>
          <w:i/>
        </w:rPr>
        <w:t>da</w:t>
      </w:r>
      <w:r w:rsidRPr="00C653E4">
        <w:t>.”</w:t>
      </w:r>
    </w:p>
    <w:p w14:paraId="1D9020D0" w14:textId="77777777" w:rsidR="002B5286" w:rsidRPr="00C653E4" w:rsidRDefault="002B5286" w:rsidP="002B5286">
      <w:pPr>
        <w:ind w:right="720" w:firstLine="0"/>
      </w:pPr>
    </w:p>
    <w:p w14:paraId="3D478808" w14:textId="77777777" w:rsidR="002B5286" w:rsidRPr="00C653E4" w:rsidRDefault="002B5286" w:rsidP="002B5286">
      <w:pPr>
        <w:ind w:firstLine="0"/>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71-83</w:t>
      </w:r>
      <w:r w:rsidRPr="00C653E4">
        <w:t xml:space="preserve">.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7C3A64C8" w14:textId="77777777" w:rsidR="002B5286" w:rsidRPr="0089025F" w:rsidRDefault="002B5286">
      <w:pPr>
        <w:jc w:val="both"/>
        <w:rPr>
          <w:sz w:val="24"/>
        </w:rPr>
      </w:pPr>
    </w:p>
    <w:p w14:paraId="6739509A" w14:textId="77777777" w:rsidR="002B5286" w:rsidRPr="0089025F" w:rsidRDefault="002B5286">
      <w:pPr>
        <w:jc w:val="both"/>
        <w:rPr>
          <w:sz w:val="24"/>
        </w:rPr>
      </w:pPr>
    </w:p>
    <w:p w14:paraId="1CD61F34" w14:textId="77777777" w:rsidR="002B5286" w:rsidRPr="0089025F" w:rsidRDefault="00E13C64" w:rsidP="002B5286">
      <w:pPr>
        <w:ind w:left="20" w:hanging="20"/>
        <w:rPr>
          <w:sz w:val="24"/>
        </w:rPr>
      </w:pPr>
      <w:r w:rsidRPr="0089025F">
        <w:rPr>
          <w:noProof/>
          <w:sz w:val="24"/>
        </w:rPr>
        <w:drawing>
          <wp:inline distT="0" distB="0" distL="0" distR="0" wp14:anchorId="1528BBE2" wp14:editId="56BC9688">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B5286" w:rsidRPr="0089025F">
        <w:rPr>
          <w:sz w:val="24"/>
        </w:rPr>
        <w:t xml:space="preserve"> Courriel : Diane-Gabrielle Tremblay : </w:t>
      </w:r>
      <w:hyperlink r:id="rId16" w:history="1">
        <w:r w:rsidR="002B5286" w:rsidRPr="0089025F">
          <w:rPr>
            <w:rStyle w:val="Hyperlien"/>
            <w:sz w:val="24"/>
          </w:rPr>
          <w:t>Diane-Gabrielle.Tremblay@teluq.ca</w:t>
        </w:r>
      </w:hyperlink>
      <w:r w:rsidR="002B5286" w:rsidRPr="0089025F">
        <w:rPr>
          <w:sz w:val="24"/>
        </w:rPr>
        <w:t xml:space="preserve"> </w:t>
      </w:r>
    </w:p>
    <w:p w14:paraId="5D77E003" w14:textId="77777777" w:rsidR="002B5286" w:rsidRPr="0089025F" w:rsidRDefault="002B5286" w:rsidP="002B5286">
      <w:pPr>
        <w:ind w:right="1800" w:firstLine="0"/>
        <w:jc w:val="both"/>
        <w:rPr>
          <w:sz w:val="24"/>
        </w:rPr>
      </w:pPr>
      <w:r w:rsidRPr="0089025F">
        <w:rPr>
          <w:sz w:val="24"/>
        </w:rPr>
        <w:t>Professeure École des sciences de l'administration</w:t>
      </w:r>
    </w:p>
    <w:p w14:paraId="5AD9AFED" w14:textId="77777777" w:rsidR="002B5286" w:rsidRPr="0089025F" w:rsidRDefault="002B5286" w:rsidP="002B5286">
      <w:pPr>
        <w:ind w:right="1800" w:firstLine="0"/>
        <w:jc w:val="both"/>
        <w:rPr>
          <w:sz w:val="24"/>
        </w:rPr>
      </w:pPr>
      <w:r w:rsidRPr="0089025F">
        <w:rPr>
          <w:sz w:val="24"/>
        </w:rPr>
        <w:t>Unive</w:t>
      </w:r>
      <w:r w:rsidRPr="0089025F">
        <w:rPr>
          <w:sz w:val="24"/>
        </w:rPr>
        <w:t>r</w:t>
      </w:r>
      <w:r w:rsidRPr="0089025F">
        <w:rPr>
          <w:sz w:val="24"/>
        </w:rPr>
        <w:t>sité TÉLUQ</w:t>
      </w:r>
    </w:p>
    <w:p w14:paraId="6C3EF2F5" w14:textId="77777777" w:rsidR="002B5286" w:rsidRPr="0089025F" w:rsidRDefault="002B5286" w:rsidP="002B5286">
      <w:pPr>
        <w:ind w:right="1800" w:firstLine="0"/>
        <w:jc w:val="both"/>
        <w:rPr>
          <w:sz w:val="24"/>
        </w:rPr>
      </w:pPr>
      <w:r w:rsidRPr="0089025F">
        <w:rPr>
          <w:sz w:val="24"/>
        </w:rPr>
        <w:t>Tél : 1 800 665-4333 poste : 2878</w:t>
      </w:r>
    </w:p>
    <w:p w14:paraId="45FB955E" w14:textId="77777777" w:rsidR="002B5286" w:rsidRPr="0089025F" w:rsidRDefault="002B5286">
      <w:pPr>
        <w:ind w:right="1800"/>
        <w:jc w:val="both"/>
        <w:rPr>
          <w:sz w:val="24"/>
        </w:rPr>
      </w:pPr>
    </w:p>
    <w:p w14:paraId="5F9E146F" w14:textId="77777777" w:rsidR="002B5286" w:rsidRPr="0089025F" w:rsidRDefault="002B5286" w:rsidP="002B5286">
      <w:pPr>
        <w:ind w:right="1800" w:firstLine="0"/>
        <w:jc w:val="both"/>
        <w:rPr>
          <w:sz w:val="24"/>
        </w:rPr>
      </w:pPr>
      <w:r w:rsidRPr="0089025F">
        <w:rPr>
          <w:sz w:val="24"/>
        </w:rPr>
        <w:t>Police de caractères utilisés :</w:t>
      </w:r>
    </w:p>
    <w:p w14:paraId="4E82C5A2" w14:textId="77777777" w:rsidR="002B5286" w:rsidRPr="0089025F" w:rsidRDefault="002B5286" w:rsidP="002B5286">
      <w:pPr>
        <w:ind w:right="1800" w:firstLine="0"/>
        <w:jc w:val="both"/>
        <w:rPr>
          <w:sz w:val="24"/>
        </w:rPr>
      </w:pPr>
    </w:p>
    <w:p w14:paraId="09E4B37E" w14:textId="77777777" w:rsidR="002B5286" w:rsidRPr="0089025F" w:rsidRDefault="002B5286" w:rsidP="002B5286">
      <w:pPr>
        <w:ind w:left="360" w:right="360" w:firstLine="0"/>
        <w:jc w:val="both"/>
        <w:rPr>
          <w:sz w:val="24"/>
        </w:rPr>
      </w:pPr>
      <w:r w:rsidRPr="0089025F">
        <w:rPr>
          <w:sz w:val="24"/>
        </w:rPr>
        <w:t>Pour le texte: Times New Roman, 14 points.</w:t>
      </w:r>
    </w:p>
    <w:p w14:paraId="25C6A1DF" w14:textId="77777777" w:rsidR="002B5286" w:rsidRPr="0089025F" w:rsidRDefault="002B5286" w:rsidP="002B5286">
      <w:pPr>
        <w:ind w:left="360" w:right="360" w:firstLine="0"/>
        <w:jc w:val="both"/>
        <w:rPr>
          <w:sz w:val="24"/>
        </w:rPr>
      </w:pPr>
      <w:r w:rsidRPr="0089025F">
        <w:rPr>
          <w:sz w:val="24"/>
        </w:rPr>
        <w:t>Pour les notes de bas de page : Times New Roman, 12 points.</w:t>
      </w:r>
    </w:p>
    <w:p w14:paraId="503CAB39" w14:textId="77777777" w:rsidR="002B5286" w:rsidRPr="0089025F" w:rsidRDefault="002B5286" w:rsidP="002B5286">
      <w:pPr>
        <w:ind w:left="360" w:right="1800" w:firstLine="0"/>
        <w:jc w:val="both"/>
        <w:rPr>
          <w:sz w:val="24"/>
        </w:rPr>
      </w:pPr>
    </w:p>
    <w:p w14:paraId="428180EC" w14:textId="77777777" w:rsidR="002B5286" w:rsidRPr="0089025F" w:rsidRDefault="002B5286" w:rsidP="002B5286">
      <w:pPr>
        <w:ind w:right="360" w:firstLine="0"/>
        <w:jc w:val="both"/>
        <w:rPr>
          <w:sz w:val="24"/>
        </w:rPr>
      </w:pPr>
      <w:r w:rsidRPr="0089025F">
        <w:rPr>
          <w:sz w:val="24"/>
        </w:rPr>
        <w:t>Édition électronique réalisée avec le traitement de textes Microsoft Word 2008 pour Macintosh.</w:t>
      </w:r>
    </w:p>
    <w:p w14:paraId="7D3BC80E" w14:textId="77777777" w:rsidR="002B5286" w:rsidRPr="0089025F" w:rsidRDefault="002B5286" w:rsidP="002B5286">
      <w:pPr>
        <w:ind w:right="1800" w:firstLine="0"/>
        <w:jc w:val="both"/>
        <w:rPr>
          <w:sz w:val="24"/>
        </w:rPr>
      </w:pPr>
    </w:p>
    <w:p w14:paraId="7976B79F" w14:textId="77777777" w:rsidR="002B5286" w:rsidRPr="0089025F" w:rsidRDefault="002B5286" w:rsidP="002B5286">
      <w:pPr>
        <w:ind w:right="540" w:firstLine="0"/>
        <w:jc w:val="both"/>
        <w:rPr>
          <w:sz w:val="24"/>
        </w:rPr>
      </w:pPr>
      <w:r w:rsidRPr="0089025F">
        <w:rPr>
          <w:sz w:val="24"/>
        </w:rPr>
        <w:t>Mise en page sur papier format : LETTRE US, 8.5’’ x 11’’.</w:t>
      </w:r>
    </w:p>
    <w:p w14:paraId="5A6F3663" w14:textId="77777777" w:rsidR="002B5286" w:rsidRPr="0089025F" w:rsidRDefault="002B5286" w:rsidP="002B5286">
      <w:pPr>
        <w:ind w:right="1800" w:firstLine="0"/>
        <w:jc w:val="both"/>
        <w:rPr>
          <w:sz w:val="24"/>
        </w:rPr>
      </w:pPr>
    </w:p>
    <w:p w14:paraId="778655E5" w14:textId="77777777" w:rsidR="002B5286" w:rsidRPr="0089025F" w:rsidRDefault="002B5286" w:rsidP="002B5286">
      <w:pPr>
        <w:ind w:firstLine="0"/>
        <w:jc w:val="both"/>
        <w:rPr>
          <w:sz w:val="24"/>
        </w:rPr>
      </w:pPr>
      <w:r w:rsidRPr="0089025F">
        <w:rPr>
          <w:sz w:val="24"/>
        </w:rPr>
        <w:t>Édition numérique réalisée le 1</w:t>
      </w:r>
      <w:r>
        <w:rPr>
          <w:sz w:val="24"/>
        </w:rPr>
        <w:t>8</w:t>
      </w:r>
      <w:r w:rsidRPr="0089025F">
        <w:rPr>
          <w:sz w:val="24"/>
        </w:rPr>
        <w:t xml:space="preserve"> mai 2022 à Chicoutimi, Québec.</w:t>
      </w:r>
    </w:p>
    <w:p w14:paraId="779A1B8A" w14:textId="77777777" w:rsidR="002B5286" w:rsidRPr="0089025F" w:rsidRDefault="002B5286">
      <w:pPr>
        <w:ind w:right="1800" w:firstLine="0"/>
        <w:jc w:val="both"/>
        <w:rPr>
          <w:sz w:val="22"/>
        </w:rPr>
      </w:pPr>
    </w:p>
    <w:p w14:paraId="6E1F65F4" w14:textId="77777777" w:rsidR="002B5286" w:rsidRPr="0089025F" w:rsidRDefault="00E13C64">
      <w:pPr>
        <w:ind w:right="1800" w:firstLine="0"/>
        <w:jc w:val="both"/>
      </w:pPr>
      <w:r w:rsidRPr="0089025F">
        <w:rPr>
          <w:noProof/>
        </w:rPr>
        <w:drawing>
          <wp:inline distT="0" distB="0" distL="0" distR="0" wp14:anchorId="1BE7B98C" wp14:editId="23C5F70B">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5974657" w14:textId="77777777" w:rsidR="002B5286" w:rsidRPr="0089025F" w:rsidRDefault="002B5286" w:rsidP="002B5286">
      <w:pPr>
        <w:ind w:left="20"/>
        <w:jc w:val="both"/>
      </w:pPr>
      <w:r w:rsidRPr="0089025F">
        <w:br w:type="page"/>
      </w:r>
    </w:p>
    <w:p w14:paraId="57724574" w14:textId="77777777" w:rsidR="002B5286" w:rsidRPr="00366403" w:rsidRDefault="002B5286" w:rsidP="002B5286">
      <w:pPr>
        <w:pStyle w:val="Titlest"/>
        <w:rPr>
          <w:lang w:bidi="ar-SA"/>
        </w:rPr>
      </w:pPr>
      <w:r w:rsidRPr="00366403">
        <w:rPr>
          <w:lang w:bidi="ar-SA"/>
        </w:rPr>
        <w:t xml:space="preserve">François </w:t>
      </w:r>
      <w:r>
        <w:rPr>
          <w:lang w:bidi="ar-SA"/>
        </w:rPr>
        <w:t>HOULE</w:t>
      </w:r>
    </w:p>
    <w:p w14:paraId="55DF68C7" w14:textId="77777777" w:rsidR="002B5286" w:rsidRPr="0089025F" w:rsidRDefault="002B5286" w:rsidP="002B5286">
      <w:pPr>
        <w:ind w:firstLine="0"/>
        <w:jc w:val="center"/>
        <w:rPr>
          <w:lang w:bidi="ar-SA"/>
        </w:rPr>
      </w:pPr>
    </w:p>
    <w:p w14:paraId="76C37ADF" w14:textId="77777777" w:rsidR="002B5286" w:rsidRPr="00560917" w:rsidRDefault="002B5286" w:rsidP="002B5286">
      <w:pPr>
        <w:ind w:firstLine="0"/>
        <w:jc w:val="center"/>
        <w:rPr>
          <w:b/>
          <w:lang w:bidi="ar-SA"/>
        </w:rPr>
      </w:pPr>
      <w:r w:rsidRPr="00560917">
        <w:rPr>
          <w:b/>
          <w:lang w:bidi="ar-SA"/>
        </w:rPr>
        <w:t>“Réflexions sur</w:t>
      </w:r>
      <w:r>
        <w:rPr>
          <w:b/>
          <w:lang w:bidi="ar-SA"/>
        </w:rPr>
        <w:br/>
      </w:r>
      <w:r w:rsidRPr="00560917">
        <w:rPr>
          <w:b/>
          <w:lang w:bidi="ar-SA"/>
        </w:rPr>
        <w:t>la restructuration de l’État</w:t>
      </w:r>
      <w:r>
        <w:rPr>
          <w:b/>
          <w:lang w:bidi="ar-SA"/>
        </w:rPr>
        <w:t xml:space="preserve"> </w:t>
      </w:r>
      <w:r w:rsidRPr="00560917">
        <w:rPr>
          <w:b/>
          <w:lang w:bidi="ar-SA"/>
        </w:rPr>
        <w:t>au Canada.”</w:t>
      </w:r>
    </w:p>
    <w:p w14:paraId="444DC262" w14:textId="77777777" w:rsidR="002B5286" w:rsidRPr="0089025F" w:rsidRDefault="002B5286" w:rsidP="002B5286">
      <w:pPr>
        <w:ind w:firstLine="0"/>
        <w:jc w:val="center"/>
        <w:rPr>
          <w:lang w:bidi="ar-SA"/>
        </w:rPr>
      </w:pPr>
    </w:p>
    <w:p w14:paraId="76270FBA" w14:textId="77777777" w:rsidR="002B5286" w:rsidRPr="0089025F" w:rsidRDefault="00E13C64" w:rsidP="002B5286">
      <w:pPr>
        <w:ind w:firstLine="0"/>
        <w:jc w:val="center"/>
        <w:rPr>
          <w:lang w:bidi="ar-SA"/>
        </w:rPr>
      </w:pPr>
      <w:r>
        <w:rPr>
          <w:noProof/>
          <w:lang w:bidi="ar-SA"/>
        </w:rPr>
        <w:drawing>
          <wp:inline distT="0" distB="0" distL="0" distR="0" wp14:anchorId="7CA329E6" wp14:editId="1A8B52A5">
            <wp:extent cx="3276600" cy="50292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5029200"/>
                    </a:xfrm>
                    <a:prstGeom prst="rect">
                      <a:avLst/>
                    </a:prstGeom>
                    <a:noFill/>
                    <a:ln>
                      <a:noFill/>
                    </a:ln>
                  </pic:spPr>
                </pic:pic>
              </a:graphicData>
            </a:graphic>
          </wp:inline>
        </w:drawing>
      </w:r>
    </w:p>
    <w:p w14:paraId="53934283" w14:textId="77777777" w:rsidR="002B5286" w:rsidRPr="0089025F" w:rsidRDefault="002B5286" w:rsidP="002B5286">
      <w:pPr>
        <w:pStyle w:val="Titlest20"/>
        <w:rPr>
          <w:lang w:bidi="ar-SA"/>
        </w:rPr>
      </w:pPr>
    </w:p>
    <w:p w14:paraId="536B83D0" w14:textId="77777777" w:rsidR="002B5286" w:rsidRPr="0089025F" w:rsidRDefault="002B5286">
      <w:pPr>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71-83</w:t>
      </w:r>
      <w:r w:rsidRPr="00C653E4">
        <w:t xml:space="preserve">.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5EACB5CD" w14:textId="77777777" w:rsidR="002B5286" w:rsidRPr="0089025F" w:rsidRDefault="002B5286" w:rsidP="002B5286">
      <w:pPr>
        <w:jc w:val="both"/>
      </w:pPr>
      <w:r w:rsidRPr="0089025F">
        <w:br w:type="page"/>
      </w:r>
    </w:p>
    <w:p w14:paraId="22C76140" w14:textId="77777777" w:rsidR="002B5286" w:rsidRPr="0089025F" w:rsidRDefault="002B5286" w:rsidP="002B5286">
      <w:pPr>
        <w:spacing w:before="120" w:after="120"/>
        <w:jc w:val="both"/>
      </w:pPr>
    </w:p>
    <w:p w14:paraId="55EA9DAE" w14:textId="77777777" w:rsidR="002B5286" w:rsidRPr="0089025F" w:rsidRDefault="002B5286" w:rsidP="002B5286">
      <w:pPr>
        <w:jc w:val="both"/>
      </w:pPr>
    </w:p>
    <w:p w14:paraId="24AFF65A" w14:textId="77777777" w:rsidR="002B5286" w:rsidRPr="0089025F" w:rsidRDefault="002B5286" w:rsidP="002B5286">
      <w:pPr>
        <w:jc w:val="both"/>
      </w:pPr>
    </w:p>
    <w:p w14:paraId="0D8AA1E1" w14:textId="77777777" w:rsidR="002B5286" w:rsidRPr="0089025F" w:rsidRDefault="002B5286" w:rsidP="002B5286">
      <w:pPr>
        <w:jc w:val="both"/>
      </w:pPr>
    </w:p>
    <w:p w14:paraId="1A70FDA5" w14:textId="77777777" w:rsidR="002B5286" w:rsidRPr="0089025F" w:rsidRDefault="002B5286" w:rsidP="002B5286">
      <w:pPr>
        <w:pStyle w:val="NormalWeb"/>
        <w:spacing w:before="2" w:after="2"/>
        <w:jc w:val="both"/>
        <w:rPr>
          <w:rFonts w:ascii="Times New Roman" w:hAnsi="Times New Roman"/>
          <w:sz w:val="28"/>
          <w:lang w:val="fr-CA"/>
        </w:rPr>
      </w:pPr>
      <w:r w:rsidRPr="0089025F">
        <w:rPr>
          <w:rFonts w:ascii="Times New Roman" w:hAnsi="Times New Roman"/>
          <w:b/>
          <w:sz w:val="28"/>
          <w:szCs w:val="19"/>
          <w:lang w:val="fr-CA"/>
        </w:rPr>
        <w:t>Note pour la version numérique</w:t>
      </w:r>
      <w:r w:rsidRPr="0089025F">
        <w:rPr>
          <w:rFonts w:ascii="Times New Roman" w:hAnsi="Times New Roman"/>
          <w:sz w:val="28"/>
          <w:szCs w:val="19"/>
          <w:lang w:val="fr-CA"/>
        </w:rPr>
        <w:t xml:space="preserve"> : </w:t>
      </w:r>
      <w:r w:rsidRPr="0089025F">
        <w:rPr>
          <w:rFonts w:ascii="Times New Roman" w:hAnsi="Times New Roman"/>
          <w:sz w:val="28"/>
          <w:lang w:val="fr-CA"/>
        </w:rPr>
        <w:t>La numérotation entre crochets [] correspond à la pagination, en début de page, de l'édition d'origine numérisée. JMT.</w:t>
      </w:r>
    </w:p>
    <w:p w14:paraId="7BBF72A9" w14:textId="77777777" w:rsidR="002B5286" w:rsidRPr="0089025F" w:rsidRDefault="002B5286" w:rsidP="002B5286">
      <w:pPr>
        <w:pStyle w:val="NormalWeb"/>
        <w:spacing w:before="2" w:after="2"/>
        <w:jc w:val="both"/>
        <w:rPr>
          <w:rFonts w:ascii="Times New Roman" w:hAnsi="Times New Roman"/>
          <w:sz w:val="28"/>
          <w:lang w:val="fr-CA"/>
        </w:rPr>
      </w:pPr>
    </w:p>
    <w:p w14:paraId="7A9EC7C9" w14:textId="77777777" w:rsidR="002B5286" w:rsidRPr="0089025F" w:rsidRDefault="002B5286" w:rsidP="002B5286">
      <w:pPr>
        <w:pStyle w:val="NormalWeb"/>
        <w:spacing w:before="2" w:after="2"/>
        <w:rPr>
          <w:rFonts w:ascii="Times New Roman" w:hAnsi="Times New Roman"/>
          <w:sz w:val="28"/>
          <w:lang w:val="fr-CA"/>
        </w:rPr>
      </w:pPr>
      <w:r w:rsidRPr="0089025F">
        <w:rPr>
          <w:rFonts w:ascii="Times New Roman" w:hAnsi="Times New Roman"/>
          <w:sz w:val="28"/>
          <w:lang w:val="fr-CA"/>
        </w:rPr>
        <w:t>Par exemple, [1] correspond au début de la page 1 de l’édition papier numérisée.</w:t>
      </w:r>
    </w:p>
    <w:p w14:paraId="386356BE" w14:textId="77777777" w:rsidR="002B5286" w:rsidRPr="0089025F" w:rsidRDefault="002B5286" w:rsidP="002B5286">
      <w:pPr>
        <w:jc w:val="both"/>
        <w:rPr>
          <w:szCs w:val="19"/>
        </w:rPr>
      </w:pPr>
    </w:p>
    <w:p w14:paraId="56038014" w14:textId="77777777" w:rsidR="002B5286" w:rsidRPr="0089025F" w:rsidRDefault="002B5286" w:rsidP="002B5286">
      <w:pPr>
        <w:jc w:val="both"/>
        <w:rPr>
          <w:szCs w:val="19"/>
        </w:rPr>
      </w:pPr>
    </w:p>
    <w:p w14:paraId="5F555CED" w14:textId="77777777" w:rsidR="002B5286" w:rsidRPr="0089025F" w:rsidRDefault="002B5286" w:rsidP="002B5286">
      <w:pPr>
        <w:pStyle w:val="p"/>
      </w:pPr>
      <w:r w:rsidRPr="0089025F">
        <w:br w:type="page"/>
      </w:r>
      <w:r w:rsidRPr="0089025F">
        <w:lastRenderedPageBreak/>
        <w:t>[71]</w:t>
      </w:r>
    </w:p>
    <w:p w14:paraId="68DACBE2" w14:textId="77777777" w:rsidR="002B5286" w:rsidRPr="0089025F" w:rsidRDefault="002B5286" w:rsidP="002B5286">
      <w:pPr>
        <w:jc w:val="both"/>
      </w:pPr>
    </w:p>
    <w:p w14:paraId="2CCC8A80" w14:textId="77777777" w:rsidR="002B5286" w:rsidRPr="0089025F" w:rsidRDefault="002B5286" w:rsidP="002B5286">
      <w:pPr>
        <w:jc w:val="both"/>
      </w:pPr>
    </w:p>
    <w:p w14:paraId="3DEA0B78" w14:textId="77777777" w:rsidR="002B5286" w:rsidRPr="0089025F" w:rsidRDefault="002B5286" w:rsidP="002B5286">
      <w:pPr>
        <w:jc w:val="both"/>
      </w:pPr>
    </w:p>
    <w:p w14:paraId="56C6D28F" w14:textId="77777777" w:rsidR="002B5286" w:rsidRPr="0089025F" w:rsidRDefault="002B5286" w:rsidP="002B5286">
      <w:pPr>
        <w:spacing w:after="120"/>
        <w:ind w:firstLine="0"/>
        <w:jc w:val="center"/>
        <w:rPr>
          <w:b/>
          <w:color w:val="0000FF"/>
          <w:sz w:val="24"/>
        </w:rPr>
      </w:pPr>
      <w:bookmarkStart w:id="0" w:name="Interventions_eco_18_dossier_texte_04"/>
      <w:r w:rsidRPr="0089025F">
        <w:rPr>
          <w:b/>
          <w:sz w:val="24"/>
        </w:rPr>
        <w:t xml:space="preserve">No 18. </w:t>
      </w:r>
      <w:r w:rsidRPr="0089025F">
        <w:rPr>
          <w:b/>
          <w:color w:val="FF0000"/>
          <w:sz w:val="24"/>
        </w:rPr>
        <w:t>L’ÉTAT EN QUESTION #2</w:t>
      </w:r>
      <w:r w:rsidRPr="0089025F">
        <w:rPr>
          <w:b/>
          <w:color w:val="FF0000"/>
          <w:sz w:val="24"/>
        </w:rPr>
        <w:br/>
      </w:r>
      <w:r w:rsidRPr="0089025F">
        <w:rPr>
          <w:b/>
          <w:color w:val="0000FF"/>
          <w:sz w:val="24"/>
        </w:rPr>
        <w:t>DOSSIER</w:t>
      </w:r>
    </w:p>
    <w:p w14:paraId="24889B3B" w14:textId="77777777" w:rsidR="002B5286" w:rsidRPr="0089025F" w:rsidRDefault="002B5286" w:rsidP="002B5286">
      <w:pPr>
        <w:pStyle w:val="planchenb"/>
        <w:rPr>
          <w:color w:val="auto"/>
          <w:sz w:val="44"/>
        </w:rPr>
      </w:pPr>
      <w:r w:rsidRPr="0089025F">
        <w:rPr>
          <w:color w:val="auto"/>
          <w:sz w:val="44"/>
        </w:rPr>
        <w:t>“RÉFLEXIONS</w:t>
      </w:r>
      <w:r w:rsidRPr="0089025F">
        <w:rPr>
          <w:color w:val="auto"/>
          <w:sz w:val="44"/>
        </w:rPr>
        <w:br/>
        <w:t>SUR LA RESTRUCTURATION</w:t>
      </w:r>
      <w:r w:rsidRPr="0089025F">
        <w:rPr>
          <w:color w:val="auto"/>
          <w:sz w:val="44"/>
        </w:rPr>
        <w:br/>
        <w:t>DE L’ÉTAT AU CANADA.”</w:t>
      </w:r>
    </w:p>
    <w:bookmarkEnd w:id="0"/>
    <w:p w14:paraId="27B7F3C3" w14:textId="77777777" w:rsidR="002B5286" w:rsidRPr="0089025F" w:rsidRDefault="002B5286" w:rsidP="002B5286">
      <w:pPr>
        <w:jc w:val="both"/>
      </w:pPr>
    </w:p>
    <w:p w14:paraId="570F44B3" w14:textId="77777777" w:rsidR="002B5286" w:rsidRPr="0089025F" w:rsidRDefault="002B5286" w:rsidP="002B5286">
      <w:pPr>
        <w:jc w:val="both"/>
      </w:pPr>
    </w:p>
    <w:p w14:paraId="7FCB5E17" w14:textId="77777777" w:rsidR="002B5286" w:rsidRPr="0089025F" w:rsidRDefault="002B5286" w:rsidP="002B5286">
      <w:pPr>
        <w:pStyle w:val="suite"/>
      </w:pPr>
      <w:r w:rsidRPr="0089025F">
        <w:t>François HOULE</w:t>
      </w:r>
    </w:p>
    <w:p w14:paraId="37E59B1B" w14:textId="77777777" w:rsidR="002B5286" w:rsidRPr="0089025F" w:rsidRDefault="002B5286" w:rsidP="002B5286">
      <w:pPr>
        <w:jc w:val="both"/>
      </w:pPr>
    </w:p>
    <w:p w14:paraId="7E7C334C" w14:textId="77777777" w:rsidR="002B5286" w:rsidRPr="0089025F" w:rsidRDefault="002B5286" w:rsidP="002B5286">
      <w:pPr>
        <w:jc w:val="both"/>
      </w:pPr>
    </w:p>
    <w:p w14:paraId="7DC8D84D" w14:textId="77777777" w:rsidR="002B5286" w:rsidRPr="0089025F" w:rsidRDefault="002B5286" w:rsidP="002B5286">
      <w:pPr>
        <w:spacing w:before="120" w:after="120"/>
        <w:jc w:val="both"/>
        <w:rPr>
          <w:i/>
          <w:iCs/>
          <w:szCs w:val="28"/>
        </w:rPr>
      </w:pPr>
      <w:r w:rsidRPr="0089025F">
        <w:rPr>
          <w:i/>
          <w:iCs/>
          <w:szCs w:val="28"/>
        </w:rPr>
        <w:t>Avec l’interdépendance croissante des économies nationales entre elles et l’émergence d’une économie mondialisée est apparu un ph</w:t>
      </w:r>
      <w:r w:rsidRPr="0089025F">
        <w:rPr>
          <w:i/>
          <w:iCs/>
          <w:szCs w:val="28"/>
        </w:rPr>
        <w:t>é</w:t>
      </w:r>
      <w:r w:rsidRPr="0089025F">
        <w:rPr>
          <w:i/>
          <w:iCs/>
          <w:szCs w:val="28"/>
        </w:rPr>
        <w:t>nomène nouveau : les États ne peuvent désormais plus penser leurs interventions en fonction uniquement du cadre national. La « co</w:t>
      </w:r>
      <w:r w:rsidRPr="0089025F">
        <w:rPr>
          <w:i/>
          <w:iCs/>
          <w:szCs w:val="28"/>
        </w:rPr>
        <w:t>n</w:t>
      </w:r>
      <w:r w:rsidRPr="0089025F">
        <w:rPr>
          <w:i/>
          <w:iCs/>
          <w:szCs w:val="28"/>
        </w:rPr>
        <w:t>trainte extérieure » joue un rôle désormais incontournable dans les politiques économiques nationales. Quel est le poids réel de cette co</w:t>
      </w:r>
      <w:r w:rsidRPr="0089025F">
        <w:rPr>
          <w:i/>
          <w:iCs/>
          <w:szCs w:val="28"/>
        </w:rPr>
        <w:t>n</w:t>
      </w:r>
      <w:r w:rsidRPr="0089025F">
        <w:rPr>
          <w:i/>
          <w:iCs/>
          <w:szCs w:val="28"/>
        </w:rPr>
        <w:t>trainte extérieure et surtout, à quel type d’État donnera naissance cette nouvelle conjoncture ? Les observations sont encore partielles et les essais de systématisation peu nombreux.</w:t>
      </w:r>
    </w:p>
    <w:p w14:paraId="1D1EFF2E" w14:textId="77777777" w:rsidR="002B5286" w:rsidRPr="0089025F" w:rsidRDefault="002B5286" w:rsidP="002B5286">
      <w:pPr>
        <w:spacing w:before="120" w:after="120"/>
        <w:jc w:val="both"/>
        <w:rPr>
          <w:i/>
          <w:iCs/>
          <w:szCs w:val="28"/>
        </w:rPr>
      </w:pPr>
      <w:r w:rsidRPr="0089025F">
        <w:rPr>
          <w:i/>
          <w:iCs/>
          <w:szCs w:val="28"/>
        </w:rPr>
        <w:t>François Houle propose dans ce texte le concept d’« État concu</w:t>
      </w:r>
      <w:r w:rsidRPr="0089025F">
        <w:rPr>
          <w:i/>
          <w:iCs/>
          <w:szCs w:val="28"/>
        </w:rPr>
        <w:t>r</w:t>
      </w:r>
      <w:r>
        <w:rPr>
          <w:i/>
          <w:iCs/>
          <w:szCs w:val="28"/>
        </w:rPr>
        <w:t>rentiel »</w:t>
      </w:r>
      <w:r>
        <w:rPr>
          <w:iCs/>
          <w:szCs w:val="28"/>
        </w:rPr>
        <w:t xml:space="preserve"> </w:t>
      </w:r>
      <w:r w:rsidRPr="0089025F">
        <w:t>[72]</w:t>
      </w:r>
      <w:r>
        <w:t xml:space="preserve"> </w:t>
      </w:r>
      <w:r w:rsidRPr="0089025F">
        <w:rPr>
          <w:i/>
          <w:iCs/>
          <w:szCs w:val="28"/>
        </w:rPr>
        <w:t>pour décrire les transformations récentes, même futures, de l’État c</w:t>
      </w:r>
      <w:r w:rsidRPr="0089025F">
        <w:rPr>
          <w:i/>
          <w:iCs/>
          <w:szCs w:val="28"/>
        </w:rPr>
        <w:t>a</w:t>
      </w:r>
      <w:r w:rsidRPr="0089025F">
        <w:rPr>
          <w:i/>
          <w:iCs/>
          <w:szCs w:val="28"/>
        </w:rPr>
        <w:t>nadien. De l’État keynésien, qui « réfère essentiellement à la capacité étatique d’équilibrer la croissance intra-nationale en i</w:t>
      </w:r>
      <w:r w:rsidRPr="0089025F">
        <w:rPr>
          <w:i/>
          <w:iCs/>
          <w:szCs w:val="28"/>
        </w:rPr>
        <w:t>n</w:t>
      </w:r>
      <w:r w:rsidRPr="0089025F">
        <w:rPr>
          <w:i/>
          <w:iCs/>
          <w:szCs w:val="28"/>
        </w:rPr>
        <w:t>tervenant g</w:t>
      </w:r>
      <w:r w:rsidRPr="0089025F">
        <w:rPr>
          <w:i/>
          <w:iCs/>
          <w:szCs w:val="28"/>
        </w:rPr>
        <w:t>é</w:t>
      </w:r>
      <w:r w:rsidRPr="0089025F">
        <w:rPr>
          <w:i/>
          <w:iCs/>
          <w:szCs w:val="28"/>
        </w:rPr>
        <w:t>néralement à la périphérie du système productif mais au centre de la régulation », on passerait à l’État concurrentiel, qui « visera la mise en place d’une stratégie de développement économ</w:t>
      </w:r>
      <w:r w:rsidRPr="0089025F">
        <w:rPr>
          <w:i/>
          <w:iCs/>
          <w:szCs w:val="28"/>
        </w:rPr>
        <w:t>i</w:t>
      </w:r>
      <w:r w:rsidRPr="0089025F">
        <w:rPr>
          <w:i/>
          <w:iCs/>
          <w:szCs w:val="28"/>
        </w:rPr>
        <w:t>que qui pe</w:t>
      </w:r>
      <w:r w:rsidRPr="0089025F">
        <w:rPr>
          <w:i/>
          <w:iCs/>
          <w:szCs w:val="28"/>
        </w:rPr>
        <w:t>r</w:t>
      </w:r>
      <w:r w:rsidRPr="0089025F">
        <w:rPr>
          <w:i/>
          <w:iCs/>
          <w:szCs w:val="28"/>
        </w:rPr>
        <w:t>mette l’expansion de secteurs ou de filières de production qui soient plus productifs, plus rentables et plus concurrentiels dans la nouvelle conjoncture économique mondiale ». Un État, dit-il, qui sera « plus interventionniste en rapport à la production privée de biens et de se</w:t>
      </w:r>
      <w:r w:rsidRPr="0089025F">
        <w:rPr>
          <w:i/>
          <w:iCs/>
          <w:szCs w:val="28"/>
        </w:rPr>
        <w:t>r</w:t>
      </w:r>
      <w:r w:rsidRPr="0089025F">
        <w:rPr>
          <w:i/>
          <w:iCs/>
          <w:szCs w:val="28"/>
        </w:rPr>
        <w:t>vices » mais aussi qui sera encore « plus étroitement balisé par la l</w:t>
      </w:r>
      <w:r w:rsidRPr="0089025F">
        <w:rPr>
          <w:i/>
          <w:iCs/>
          <w:szCs w:val="28"/>
        </w:rPr>
        <w:t>o</w:t>
      </w:r>
      <w:r w:rsidRPr="0089025F">
        <w:rPr>
          <w:i/>
          <w:iCs/>
          <w:szCs w:val="28"/>
        </w:rPr>
        <w:t>gique des lois de l’accumulation ».</w:t>
      </w:r>
    </w:p>
    <w:p w14:paraId="49304F44" w14:textId="77777777" w:rsidR="002B5286" w:rsidRPr="0089025F" w:rsidRDefault="002B5286" w:rsidP="002B5286">
      <w:pPr>
        <w:spacing w:before="120" w:after="120"/>
        <w:jc w:val="both"/>
        <w:rPr>
          <w:i/>
          <w:iCs/>
          <w:szCs w:val="28"/>
        </w:rPr>
      </w:pPr>
      <w:r w:rsidRPr="0089025F">
        <w:rPr>
          <w:i/>
          <w:iCs/>
          <w:szCs w:val="28"/>
        </w:rPr>
        <w:lastRenderedPageBreak/>
        <w:t>Après avoir présenté son cadre de référence, François Houle pr</w:t>
      </w:r>
      <w:r w:rsidRPr="0089025F">
        <w:rPr>
          <w:i/>
          <w:iCs/>
          <w:szCs w:val="28"/>
        </w:rPr>
        <w:t>o</w:t>
      </w:r>
      <w:r w:rsidRPr="0089025F">
        <w:rPr>
          <w:i/>
          <w:iCs/>
          <w:szCs w:val="28"/>
        </w:rPr>
        <w:t>pose, dans une seconde partie, une interprétation conséquente du d</w:t>
      </w:r>
      <w:r w:rsidRPr="0089025F">
        <w:rPr>
          <w:i/>
          <w:iCs/>
          <w:szCs w:val="28"/>
        </w:rPr>
        <w:t>é</w:t>
      </w:r>
      <w:r w:rsidRPr="0089025F">
        <w:rPr>
          <w:i/>
          <w:iCs/>
          <w:szCs w:val="28"/>
        </w:rPr>
        <w:t>bat canadien sur le libre-échange et, dans une troisième, avance l’hypothèse que la remise en question des politiques sociales au C</w:t>
      </w:r>
      <w:r w:rsidRPr="0089025F">
        <w:rPr>
          <w:i/>
          <w:iCs/>
          <w:szCs w:val="28"/>
        </w:rPr>
        <w:t>a</w:t>
      </w:r>
      <w:r w:rsidRPr="0089025F">
        <w:rPr>
          <w:i/>
          <w:iCs/>
          <w:szCs w:val="28"/>
        </w:rPr>
        <w:t>nada relève de ce même mouvement vers un État concurrentiel.</w:t>
      </w:r>
    </w:p>
    <w:p w14:paraId="5D5DCF73" w14:textId="77777777" w:rsidR="002B5286" w:rsidRPr="0089025F" w:rsidRDefault="002B5286" w:rsidP="002B5286">
      <w:pPr>
        <w:spacing w:before="120" w:after="120"/>
        <w:jc w:val="both"/>
      </w:pPr>
      <w:r w:rsidRPr="0089025F">
        <w:t>I.E.</w:t>
      </w:r>
    </w:p>
    <w:p w14:paraId="72EC5042" w14:textId="77777777" w:rsidR="002B5286" w:rsidRPr="0089025F" w:rsidRDefault="002B5286" w:rsidP="002B5286">
      <w:pPr>
        <w:pBdr>
          <w:bottom w:val="double" w:sz="4" w:space="1" w:color="auto"/>
        </w:pBdr>
        <w:spacing w:before="120" w:after="120"/>
        <w:ind w:left="720" w:right="810" w:firstLine="0"/>
        <w:jc w:val="both"/>
      </w:pPr>
    </w:p>
    <w:p w14:paraId="6ECFD9E0" w14:textId="77777777" w:rsidR="002B5286" w:rsidRPr="0089025F" w:rsidRDefault="002B5286" w:rsidP="002B5286">
      <w:pPr>
        <w:spacing w:before="120" w:after="120"/>
        <w:jc w:val="both"/>
        <w:rPr>
          <w:szCs w:val="2"/>
        </w:rPr>
      </w:pPr>
    </w:p>
    <w:p w14:paraId="36E667C7" w14:textId="77777777" w:rsidR="002B5286" w:rsidRPr="0089025F" w:rsidRDefault="002B5286" w:rsidP="002B5286">
      <w:pPr>
        <w:spacing w:before="120" w:after="120"/>
        <w:jc w:val="both"/>
      </w:pPr>
      <w:r w:rsidRPr="0089025F">
        <w:t>La remise en question dans les démocraties libérales au cours de la dernière décennie des formes d’interventions étatiques dominantes dans la période d’après-guerre appelle un réexamen de la question de l’État capitaliste. Dans ce texte, deux types de questionnement nous intéressent. D’abord les transformations récentes des États capitalistes sont-elles des indices d’une restructuration majeure des pratiques ét</w:t>
      </w:r>
      <w:r w:rsidRPr="0089025F">
        <w:t>a</w:t>
      </w:r>
      <w:r w:rsidRPr="0089025F">
        <w:t>tiques, c’est-à-dire de même nature que le passage de sa forme libérale à sa forme interventionniste, ou ne s’agit-il que de réaménagements partiels dus à une conjoncture économique « difficile » et ne devant ouvrir la voie qu’à une stabilisation de l’État interventionniste ? Deuxièmement comment peut-on intégrer les dimensions économ</w:t>
      </w:r>
      <w:r w:rsidRPr="0089025F">
        <w:t>i</w:t>
      </w:r>
      <w:r w:rsidRPr="0089025F">
        <w:t>que, politique et idéologique dans une analyse qui vise à rendre com</w:t>
      </w:r>
      <w:r w:rsidRPr="0089025F">
        <w:t>p</w:t>
      </w:r>
      <w:r w:rsidRPr="0089025F">
        <w:t>te des transformations de l’État contemporain ? Pour éviter de prop</w:t>
      </w:r>
      <w:r w:rsidRPr="0089025F">
        <w:t>o</w:t>
      </w:r>
      <w:r w:rsidRPr="0089025F">
        <w:t>ser une vision réductionniste il est essentiel non seulement de ne pas négliger l’importance de la sphère écon</w:t>
      </w:r>
      <w:r w:rsidRPr="0089025F">
        <w:t>o</w:t>
      </w:r>
      <w:r w:rsidRPr="0089025F">
        <w:t>mique, mais aussi de ne pas oublier l’autonomie du politique, la spéc</w:t>
      </w:r>
      <w:r w:rsidRPr="0089025F">
        <w:t>i</w:t>
      </w:r>
      <w:r w:rsidRPr="0089025F">
        <w:t>ficité du pouvoir politique, le rôle des idéologies et les particularités des mult</w:t>
      </w:r>
      <w:r w:rsidRPr="0089025F">
        <w:t>i</w:t>
      </w:r>
      <w:r w:rsidRPr="0089025F">
        <w:t>ples processus ayant présidé à la naissance de chaque État m</w:t>
      </w:r>
      <w:r w:rsidRPr="0089025F">
        <w:t>o</w:t>
      </w:r>
      <w:r w:rsidRPr="0089025F">
        <w:t>derne.</w:t>
      </w:r>
    </w:p>
    <w:p w14:paraId="40280B72" w14:textId="77777777" w:rsidR="002B5286" w:rsidRPr="0089025F" w:rsidRDefault="002B5286" w:rsidP="002B5286">
      <w:pPr>
        <w:spacing w:before="120" w:after="120"/>
        <w:jc w:val="both"/>
      </w:pPr>
      <w:r w:rsidRPr="0089025F">
        <w:t>Bien qu’une recherche sur les transformations de l’État nous ram</w:t>
      </w:r>
      <w:r w:rsidRPr="0089025F">
        <w:t>è</w:t>
      </w:r>
      <w:r w:rsidRPr="0089025F">
        <w:t>ne inéluctablement aux problèmes de la théorie de l’État, il ne sa</w:t>
      </w:r>
      <w:r w:rsidRPr="0089025F">
        <w:t>u</w:t>
      </w:r>
      <w:r w:rsidRPr="0089025F">
        <w:t>rait être question de tenter de proposer ici une théorie générale de l’État capitaliste. Notre effort de théorisation sera largement dépe</w:t>
      </w:r>
      <w:r w:rsidRPr="0089025F">
        <w:t>n</w:t>
      </w:r>
      <w:r w:rsidRPr="0089025F">
        <w:t>dant de l’analyse du niveau central de l’État canadien et de ce fait les concl</w:t>
      </w:r>
      <w:r w:rsidRPr="0089025F">
        <w:t>u</w:t>
      </w:r>
      <w:r w:rsidRPr="0089025F">
        <w:t>sions de ce texte ne sauraient s’appliquer [73]</w:t>
      </w:r>
      <w:r>
        <w:t xml:space="preserve"> </w:t>
      </w:r>
      <w:r w:rsidRPr="002C010C">
        <w:rPr>
          <w:i/>
        </w:rPr>
        <w:t>ipso facto</w:t>
      </w:r>
      <w:r w:rsidRPr="0089025F">
        <w:t xml:space="preserve"> aux autres États capitalistes.</w:t>
      </w:r>
    </w:p>
    <w:p w14:paraId="5B4BD932" w14:textId="77777777" w:rsidR="002B5286" w:rsidRPr="0089025F" w:rsidRDefault="002B5286" w:rsidP="002B5286">
      <w:pPr>
        <w:spacing w:before="120" w:after="120"/>
        <w:jc w:val="both"/>
      </w:pPr>
      <w:r w:rsidRPr="0089025F">
        <w:t xml:space="preserve">La première partie de ce texte sera consacrée à une présentation du concept d’« État concurrentiel » (terme emprunté à B. Scott) pour qualifier ce qui pourrait être une nouvelle forme de l’État au Canada. </w:t>
      </w:r>
      <w:r w:rsidRPr="0089025F">
        <w:lastRenderedPageBreak/>
        <w:t>Par la suite nous analyserons les transformations récentes des polit</w:t>
      </w:r>
      <w:r w:rsidRPr="0089025F">
        <w:t>i</w:t>
      </w:r>
      <w:r w:rsidRPr="0089025F">
        <w:t>ques de l’État fédéral en rapport avec l’insertion de l’économie can</w:t>
      </w:r>
      <w:r w:rsidRPr="0089025F">
        <w:t>a</w:t>
      </w:r>
      <w:r w:rsidRPr="0089025F">
        <w:t>dienne dans l’économie mondiale. Et finalement nous proposons une interprétation de la remise en question des programmes sociaux.</w:t>
      </w:r>
    </w:p>
    <w:p w14:paraId="07D849A1" w14:textId="77777777" w:rsidR="002B5286" w:rsidRPr="0089025F" w:rsidRDefault="002B5286" w:rsidP="002B5286">
      <w:pPr>
        <w:spacing w:before="120" w:after="120"/>
        <w:jc w:val="both"/>
      </w:pPr>
    </w:p>
    <w:p w14:paraId="0F8D5FA3" w14:textId="77777777" w:rsidR="002B5286" w:rsidRPr="0089025F" w:rsidRDefault="002B5286" w:rsidP="002B5286">
      <w:pPr>
        <w:pStyle w:val="planche"/>
      </w:pPr>
      <w:r w:rsidRPr="0089025F">
        <w:t>I. Économie mondiale et État concurrentiel</w:t>
      </w:r>
    </w:p>
    <w:p w14:paraId="3D9AA1E5" w14:textId="77777777" w:rsidR="002B5286" w:rsidRPr="0089025F" w:rsidRDefault="002B5286" w:rsidP="002B5286">
      <w:pPr>
        <w:spacing w:before="120" w:after="120"/>
        <w:jc w:val="both"/>
      </w:pPr>
    </w:p>
    <w:p w14:paraId="70419213" w14:textId="77777777" w:rsidR="002B5286" w:rsidRPr="0089025F" w:rsidRDefault="002B5286" w:rsidP="002B5286">
      <w:pPr>
        <w:spacing w:before="120" w:after="120"/>
        <w:jc w:val="both"/>
      </w:pPr>
      <w:r w:rsidRPr="0089025F">
        <w:t>Le questionnement actuel du rôle de l’État s’inscrit dans une tent</w:t>
      </w:r>
      <w:r w:rsidRPr="0089025F">
        <w:t>a</w:t>
      </w:r>
      <w:r w:rsidRPr="0089025F">
        <w:t>tive de prise en charge des contraintes que posent la mondialisation du marché capitaliste — qui correspond à la nouvelle réalité de l’internationalisation du capital productif et financier — et la nouvelle division internationale du travail. Cette intériorisation du marché mondial, qui n’est plus d’abord appréhendé comme un extérieur, n’est pas sans poser des problèmes majeurs aux États-nations, lesquels pe</w:t>
      </w:r>
      <w:r w:rsidRPr="0089025F">
        <w:t>r</w:t>
      </w:r>
      <w:r w:rsidRPr="0089025F">
        <w:t>dent de plus en plus leur capacité de régulation de leur économie n</w:t>
      </w:r>
      <w:r w:rsidRPr="0089025F">
        <w:t>a</w:t>
      </w:r>
      <w:r w:rsidRPr="0089025F">
        <w:t>tionale.</w:t>
      </w:r>
    </w:p>
    <w:p w14:paraId="1E8DD279" w14:textId="77777777" w:rsidR="002B5286" w:rsidRPr="0089025F" w:rsidRDefault="002B5286" w:rsidP="002B5286">
      <w:pPr>
        <w:spacing w:before="120" w:after="120"/>
        <w:jc w:val="both"/>
      </w:pPr>
      <w:r w:rsidRPr="0089025F">
        <w:t>L’émergence, au sein de la crise actuelle, d’une économie mondi</w:t>
      </w:r>
      <w:r w:rsidRPr="0089025F">
        <w:t>a</w:t>
      </w:r>
      <w:r w:rsidRPr="0089025F">
        <w:t>le capitaliste a modifié d’une façon fondamentale les rapports entre l’État-nation, « son » économie national</w:t>
      </w:r>
      <w:r>
        <w:t>e</w:t>
      </w:r>
      <w:r w:rsidRPr="0089025F">
        <w:t xml:space="preserve"> et le marché mondial. L’action économique des États des pays industrialisés ne peut plus procéder sur les bases de la logique traditionnelle du dedans et du d</w:t>
      </w:r>
      <w:r w:rsidRPr="0089025F">
        <w:t>e</w:t>
      </w:r>
      <w:r w:rsidRPr="0089025F">
        <w:t>hors.</w:t>
      </w:r>
      <w:r>
        <w:t> </w:t>
      </w:r>
      <w:r>
        <w:rPr>
          <w:rStyle w:val="Appelnotedebasdep"/>
        </w:rPr>
        <w:footnoteReference w:id="1"/>
      </w:r>
      <w:r w:rsidRPr="0089025F">
        <w:rPr>
          <w:vertAlign w:val="superscript"/>
        </w:rPr>
        <w:t xml:space="preserve"> </w:t>
      </w:r>
      <w:r w:rsidRPr="0089025F">
        <w:t>Les États du centre eux-mêmes furent des agents actifs de la destruction de cette logique qui a fait le bonheur de l’État keynésien. En effet, la participation active des États du centre aux négociations du GATT et leurs politiques économiques ont contribué significat</w:t>
      </w:r>
      <w:r w:rsidRPr="0089025F">
        <w:t>i</w:t>
      </w:r>
      <w:r w:rsidRPr="0089025F">
        <w:t>vement à l’extraversion des économies nationales et au développ</w:t>
      </w:r>
      <w:r w:rsidRPr="0089025F">
        <w:t>e</w:t>
      </w:r>
      <w:r w:rsidRPr="0089025F">
        <w:t>ment des firmes multinationales. Cette mondial</w:t>
      </w:r>
      <w:r w:rsidRPr="0089025F">
        <w:t>i</w:t>
      </w:r>
      <w:r w:rsidRPr="0089025F">
        <w:t>sation de l’économie capitaliste a non seulement pour résultat de limiter grandement l’efficacité des outils traditionnels de régul</w:t>
      </w:r>
      <w:r w:rsidRPr="0089025F">
        <w:t>a</w:t>
      </w:r>
      <w:r w:rsidRPr="0089025F">
        <w:t>tion, à cause de l’érosion du concept même d’économie nationale, mais elle oblige aussi les États du centre à altérer leurs fonctions hi</w:t>
      </w:r>
      <w:r w:rsidRPr="0089025F">
        <w:t>s</w:t>
      </w:r>
      <w:r w:rsidRPr="0089025F">
        <w:t>toriques, c’est-à-dire les fonctions reliées spécifiquement à la régulation mon</w:t>
      </w:r>
      <w:r w:rsidRPr="0089025F">
        <w:t>o</w:t>
      </w:r>
      <w:r w:rsidRPr="0089025F">
        <w:t>poliste.</w:t>
      </w:r>
    </w:p>
    <w:p w14:paraId="41D03144" w14:textId="77777777" w:rsidR="002B5286" w:rsidRPr="0089025F" w:rsidRDefault="002B5286" w:rsidP="002B5286">
      <w:pPr>
        <w:spacing w:before="120" w:after="120"/>
        <w:jc w:val="both"/>
      </w:pPr>
      <w:r w:rsidRPr="0089025F">
        <w:lastRenderedPageBreak/>
        <w:t>Bien que la formation de l’État-nation comme mode d’organisation politique dominant soit un phénomène historique relativement r</w:t>
      </w:r>
      <w:r w:rsidRPr="0089025F">
        <w:t>é</w:t>
      </w:r>
      <w:r w:rsidRPr="0089025F">
        <w:t>cent,</w:t>
      </w:r>
      <w:r>
        <w:t> </w:t>
      </w:r>
      <w:r>
        <w:rPr>
          <w:rStyle w:val="Appelnotedebasdep"/>
        </w:rPr>
        <w:footnoteReference w:id="2"/>
      </w:r>
      <w:r w:rsidRPr="0089025F">
        <w:t xml:space="preserve"> sa remise en question ne signifie pas pour autant sa dispar</w:t>
      </w:r>
      <w:r w:rsidRPr="0089025F">
        <w:t>i</w:t>
      </w:r>
      <w:r w:rsidRPr="0089025F">
        <w:t>tion. Bien au contraire, l’État capitaliste contemporain s’insère dans un proce</w:t>
      </w:r>
      <w:r w:rsidRPr="0089025F">
        <w:t>s</w:t>
      </w:r>
      <w:r w:rsidRPr="0089025F">
        <w:t>sus d’adaptation/transformation, processus qui implique à moyen te</w:t>
      </w:r>
      <w:r w:rsidRPr="0089025F">
        <w:t>r</w:t>
      </w:r>
      <w:r w:rsidRPr="0089025F">
        <w:t>me une restructuration radicale de ses fonctions historiques et qui n’est aucunement synonyme de son affaiblissement par rapport au capital multinational. Il n’est pas question de ramener l’État capit</w:t>
      </w:r>
      <w:r w:rsidRPr="0089025F">
        <w:t>a</w:t>
      </w:r>
      <w:r w:rsidRPr="0089025F">
        <w:t>liste à la périphérie de la sphère productive mais bien au contraire de l’inscrire davantage au coeur de celle-ci, sans que l’on puisse conc</w:t>
      </w:r>
      <w:r>
        <w:t>lure mécaniquement à son renfor</w:t>
      </w:r>
      <w:r w:rsidRPr="0089025F">
        <w:t>cement. [74]</w:t>
      </w:r>
      <w:r>
        <w:t xml:space="preserve"> </w:t>
      </w:r>
      <w:r w:rsidRPr="0089025F">
        <w:t>L’ébauche de nouvelles configurations de l’État repose dans toute son ampleur la question de l’État-nation bien que ce soit en des termes autres que la traditionnelle dichotomie affaibliss</w:t>
      </w:r>
      <w:r w:rsidRPr="0089025F">
        <w:t>e</w:t>
      </w:r>
      <w:r>
        <w:t>ment/renfor</w:t>
      </w:r>
      <w:r w:rsidRPr="0089025F">
        <w:t>cement.</w:t>
      </w:r>
    </w:p>
    <w:p w14:paraId="6AFED837" w14:textId="77777777" w:rsidR="002B5286" w:rsidRPr="0089025F" w:rsidRDefault="002B5286" w:rsidP="002B5286">
      <w:pPr>
        <w:spacing w:before="120" w:after="120"/>
        <w:jc w:val="both"/>
      </w:pPr>
      <w:r w:rsidRPr="0089025F">
        <w:t>De l’internationalisation du capital productif et financier et de la fusion des marchés se dégagent de nouvelles formes de concurrence qui sont d’emblée transnationales. L’impératif de compétitivité inte</w:t>
      </w:r>
      <w:r w:rsidRPr="0089025F">
        <w:t>r</w:t>
      </w:r>
      <w:r w:rsidRPr="0089025F">
        <w:t>nationale incite les États des pays capitalistes avancés à accentuer ou, si ce n’est déjà le cas, à mettre en place une stratégie d’insertion dans l’économie mondiale souvent qualifiée de néo-interventionnisme, de néomercantilisme ou d’État « développemental ».</w:t>
      </w:r>
    </w:p>
    <w:p w14:paraId="4DB9A001" w14:textId="77777777" w:rsidR="002B5286" w:rsidRDefault="002B5286" w:rsidP="002B5286">
      <w:pPr>
        <w:pStyle w:val="Grillecouleur-Accent1"/>
      </w:pPr>
    </w:p>
    <w:p w14:paraId="653C2119" w14:textId="77777777" w:rsidR="002B5286" w:rsidRPr="00E13C64" w:rsidRDefault="002B5286" w:rsidP="002B5286">
      <w:pPr>
        <w:pStyle w:val="Grillecouleur-Accent1"/>
        <w:rPr>
          <w:i/>
          <w:lang w:val="en-US"/>
        </w:rPr>
      </w:pPr>
      <w:r w:rsidRPr="00E13C64">
        <w:rPr>
          <w:lang w:val="en-US"/>
        </w:rPr>
        <w:t>In all advanced capitalist economies (note J. K. Laux), it seems, the i</w:t>
      </w:r>
      <w:r w:rsidRPr="00E13C64">
        <w:rPr>
          <w:lang w:val="en-US"/>
        </w:rPr>
        <w:t>n</w:t>
      </w:r>
      <w:r w:rsidRPr="00E13C64">
        <w:rPr>
          <w:lang w:val="en-US"/>
        </w:rPr>
        <w:t>ternationalization of capital has led to a crisis for the State. F</w:t>
      </w:r>
      <w:r w:rsidRPr="00E13C64">
        <w:rPr>
          <w:lang w:val="en-US"/>
        </w:rPr>
        <w:t>a</w:t>
      </w:r>
      <w:r w:rsidRPr="00E13C64">
        <w:rPr>
          <w:lang w:val="en-US"/>
        </w:rPr>
        <w:t>ced with a relative loss of control over domestic economic developments in an i</w:t>
      </w:r>
      <w:r w:rsidRPr="00E13C64">
        <w:rPr>
          <w:lang w:val="en-US"/>
        </w:rPr>
        <w:t>n</w:t>
      </w:r>
      <w:r w:rsidRPr="00E13C64">
        <w:rPr>
          <w:lang w:val="en-US"/>
        </w:rPr>
        <w:t>creasingly interdependent world economy, gover</w:t>
      </w:r>
      <w:r w:rsidRPr="00E13C64">
        <w:rPr>
          <w:lang w:val="en-US"/>
        </w:rPr>
        <w:t>n</w:t>
      </w:r>
      <w:r w:rsidRPr="00E13C64">
        <w:rPr>
          <w:lang w:val="en-US"/>
        </w:rPr>
        <w:t>ment — having assumed political responsibility for overall economic performance — seeks to r</w:t>
      </w:r>
      <w:r w:rsidRPr="00E13C64">
        <w:rPr>
          <w:lang w:val="en-US"/>
        </w:rPr>
        <w:t>e</w:t>
      </w:r>
      <w:r w:rsidRPr="00E13C64">
        <w:rPr>
          <w:lang w:val="en-US"/>
        </w:rPr>
        <w:t>gain control through State intervention in production and exchange. St</w:t>
      </w:r>
      <w:r w:rsidRPr="00E13C64">
        <w:rPr>
          <w:lang w:val="en-US"/>
        </w:rPr>
        <w:t>a</w:t>
      </w:r>
      <w:r w:rsidRPr="00E13C64">
        <w:rPr>
          <w:lang w:val="en-US"/>
        </w:rPr>
        <w:t>tism appears rather as an emergent mode of articulation between national and world economy. </w:t>
      </w:r>
      <w:r>
        <w:rPr>
          <w:rStyle w:val="Appelnotedebasdep"/>
        </w:rPr>
        <w:footnoteReference w:id="3"/>
      </w:r>
    </w:p>
    <w:p w14:paraId="4ECEBB03" w14:textId="77777777" w:rsidR="002B5286" w:rsidRPr="00E13C64" w:rsidRDefault="002B5286" w:rsidP="002B5286">
      <w:pPr>
        <w:pStyle w:val="Grillecouleur-Accent1"/>
        <w:rPr>
          <w:lang w:val="en-US"/>
        </w:rPr>
      </w:pPr>
    </w:p>
    <w:p w14:paraId="6BE93063" w14:textId="77777777" w:rsidR="002B5286" w:rsidRPr="0089025F" w:rsidRDefault="002B5286" w:rsidP="002B5286">
      <w:pPr>
        <w:spacing w:before="120" w:after="120"/>
        <w:jc w:val="both"/>
      </w:pPr>
      <w:r w:rsidRPr="0089025F">
        <w:lastRenderedPageBreak/>
        <w:t>Une telle stratégie, contrairement à celle de reconquête du marché intérieur, ne vise pas le retour à une structure d’accumulation auton</w:t>
      </w:r>
      <w:r w:rsidRPr="0089025F">
        <w:t>o</w:t>
      </w:r>
      <w:r w:rsidRPr="0089025F">
        <w:t>me ou intégrée nationalement mais s’inscrit dans les structures actue</w:t>
      </w:r>
      <w:r w:rsidRPr="0089025F">
        <w:t>l</w:t>
      </w:r>
      <w:r w:rsidRPr="0089025F">
        <w:t>les d’internationalisation du capital. Ou comme le dit G. Gagné, l’État ne peut plus penser l’économie nationale comme une totalité autoce</w:t>
      </w:r>
      <w:r w:rsidRPr="0089025F">
        <w:t>n</w:t>
      </w:r>
      <w:r w:rsidRPr="0089025F">
        <w:t>trée mais comme une sous-région de l’économie mondiale.</w:t>
      </w:r>
      <w:r>
        <w:t> </w:t>
      </w:r>
      <w:r>
        <w:rPr>
          <w:rStyle w:val="Appelnotedebasdep"/>
        </w:rPr>
        <w:footnoteReference w:id="4"/>
      </w:r>
      <w:r w:rsidRPr="0089025F">
        <w:rPr>
          <w:vertAlign w:val="superscript"/>
        </w:rPr>
        <w:t xml:space="preserve"> </w:t>
      </w:r>
      <w:r w:rsidRPr="0089025F">
        <w:t>Bien que le néo-interventionnisme de l’État s’appuie souvent sur les thé</w:t>
      </w:r>
      <w:r w:rsidRPr="0089025F">
        <w:t>o</w:t>
      </w:r>
      <w:r w:rsidRPr="0089025F">
        <w:t>ries écon</w:t>
      </w:r>
      <w:r w:rsidRPr="0089025F">
        <w:t>o</w:t>
      </w:r>
      <w:r w:rsidRPr="0089025F">
        <w:t>miques de l’offre, il se base en pratique sur la croyance que l’État c</w:t>
      </w:r>
      <w:r w:rsidRPr="0089025F">
        <w:t>a</w:t>
      </w:r>
      <w:r w:rsidRPr="0089025F">
        <w:t>pitaliste doit intervenir plus directement dans l’économie et qu’il est en mesure de le faire. En outre, comme l’ont démontré des chercheurs du CEREM, toute stratégie industrielle nationale explicite doit tenir compte des stratégies des firmes multinationales. Stratégies qui se sont modifiées dans la crise. « Le déplacement des facteurs de comp</w:t>
      </w:r>
      <w:r w:rsidRPr="0089025F">
        <w:t>é</w:t>
      </w:r>
      <w:r w:rsidRPr="0089025F">
        <w:t>titivité de la capacité de fabriquer en grandes séries des produits standards à partir des technologies banalisées vers la maîtrise de gra</w:t>
      </w:r>
      <w:r w:rsidRPr="0089025F">
        <w:t>p</w:t>
      </w:r>
      <w:r w:rsidRPr="0089025F">
        <w:t>pes de technologies que l’on valorise sur des espaces les plus larges po</w:t>
      </w:r>
      <w:r w:rsidRPr="0089025F">
        <w:t>s</w:t>
      </w:r>
      <w:r w:rsidRPr="0089025F">
        <w:t>sibles bouleverse les axes de la politique industrielle. »</w:t>
      </w:r>
      <w:r>
        <w:t> </w:t>
      </w:r>
      <w:r>
        <w:rPr>
          <w:rStyle w:val="Appelnotedebasdep"/>
        </w:rPr>
        <w:footnoteReference w:id="5"/>
      </w:r>
    </w:p>
    <w:p w14:paraId="6BF23F0C" w14:textId="77777777" w:rsidR="002B5286" w:rsidRPr="0089025F" w:rsidRDefault="002B5286" w:rsidP="002B5286">
      <w:pPr>
        <w:spacing w:before="120" w:after="120"/>
        <w:jc w:val="both"/>
      </w:pPr>
      <w:r w:rsidRPr="0089025F">
        <w:t>Paradoxalement, les politiques néo-mercantilistes ou développ</w:t>
      </w:r>
      <w:r w:rsidRPr="0089025F">
        <w:t>e</w:t>
      </w:r>
      <w:r w:rsidRPr="0089025F">
        <w:t>mentales impliquent un rôle accru pour l’État, lequel accorde une priorité au développement de l’économie nationale, celle-ci ayant un fort degré d’ouverture, de façon à assurer la croissance. Toute strat</w:t>
      </w:r>
      <w:r w:rsidRPr="0089025F">
        <w:t>é</w:t>
      </w:r>
      <w:r w:rsidRPr="0089025F">
        <w:t>gie industrielle aura donc comme objectif le développement d’industries et de technologies qui peuvent rapidement se tailler un marché à l’échelle mondiale. Il ne s’agit pas d’une stratégie qui veut disloquer l’économie mondiale interdépendante mais bien davantage augmenter cette interdépendance sur la base de création d’avantages comparatifs et ce en intégrant les effets de la transnationalisation.</w:t>
      </w:r>
    </w:p>
    <w:p w14:paraId="47699D94" w14:textId="77777777" w:rsidR="002B5286" w:rsidRPr="00E13C64" w:rsidRDefault="002B5286" w:rsidP="002B5286">
      <w:pPr>
        <w:pStyle w:val="p"/>
        <w:rPr>
          <w:lang w:val="en-US"/>
        </w:rPr>
      </w:pPr>
      <w:r w:rsidRPr="00E13C64">
        <w:rPr>
          <w:lang w:val="en-US"/>
        </w:rPr>
        <w:br w:type="page"/>
      </w:r>
      <w:r w:rsidRPr="00E13C64">
        <w:rPr>
          <w:lang w:val="en-US"/>
        </w:rPr>
        <w:lastRenderedPageBreak/>
        <w:t>[75]</w:t>
      </w:r>
    </w:p>
    <w:p w14:paraId="39CF1819" w14:textId="77777777" w:rsidR="002B5286" w:rsidRPr="00E13C64" w:rsidRDefault="002B5286" w:rsidP="002B5286">
      <w:pPr>
        <w:pStyle w:val="Grillecouleur-Accent1"/>
        <w:rPr>
          <w:lang w:val="en-US"/>
        </w:rPr>
      </w:pPr>
    </w:p>
    <w:p w14:paraId="58DC4F0C" w14:textId="77777777" w:rsidR="002B5286" w:rsidRPr="00E13C64" w:rsidRDefault="002B5286" w:rsidP="002B5286">
      <w:pPr>
        <w:pStyle w:val="Grillecouleur-Accent1"/>
        <w:rPr>
          <w:lang w:val="en-US"/>
        </w:rPr>
      </w:pPr>
      <w:r w:rsidRPr="00E13C64">
        <w:rPr>
          <w:lang w:val="en-US"/>
        </w:rPr>
        <w:t>The government can accelerate the development of industries and pr</w:t>
      </w:r>
      <w:r w:rsidRPr="00E13C64">
        <w:rPr>
          <w:lang w:val="en-US"/>
        </w:rPr>
        <w:t>o</w:t>
      </w:r>
      <w:r w:rsidRPr="00E13C64">
        <w:rPr>
          <w:lang w:val="en-US"/>
        </w:rPr>
        <w:t>jects that are too risky for the private sector. The eventual effect of a g</w:t>
      </w:r>
      <w:r w:rsidRPr="00E13C64">
        <w:rPr>
          <w:lang w:val="en-US"/>
        </w:rPr>
        <w:t>o</w:t>
      </w:r>
      <w:r w:rsidRPr="00E13C64">
        <w:rPr>
          <w:lang w:val="en-US"/>
        </w:rPr>
        <w:t>vernment’s targeting is to alter the industrial mix and business portfolios faster and differently than would be the case if each company were all</w:t>
      </w:r>
      <w:r w:rsidRPr="00E13C64">
        <w:rPr>
          <w:lang w:val="en-US"/>
        </w:rPr>
        <w:t>o</w:t>
      </w:r>
      <w:r w:rsidRPr="00E13C64">
        <w:rPr>
          <w:lang w:val="en-US"/>
        </w:rPr>
        <w:t>wed to follow its own investment plans. Government can assist companies to enter new areas more quickly because it can help reduce risk and mob</w:t>
      </w:r>
      <w:r w:rsidRPr="00E13C64">
        <w:rPr>
          <w:lang w:val="en-US"/>
        </w:rPr>
        <w:t>i</w:t>
      </w:r>
      <w:r w:rsidRPr="00E13C64">
        <w:rPr>
          <w:lang w:val="en-US"/>
        </w:rPr>
        <w:t>lize resources that are beyond the capabil</w:t>
      </w:r>
      <w:r w:rsidRPr="00E13C64">
        <w:rPr>
          <w:lang w:val="en-US"/>
        </w:rPr>
        <w:t>i</w:t>
      </w:r>
      <w:r w:rsidRPr="00E13C64">
        <w:rPr>
          <w:lang w:val="en-US"/>
        </w:rPr>
        <w:t>ties of a single company ; for the same reason, it can abruptly quit areas that fail to meet expected r</w:t>
      </w:r>
      <w:r w:rsidRPr="00E13C64">
        <w:rPr>
          <w:lang w:val="en-US"/>
        </w:rPr>
        <w:t>e</w:t>
      </w:r>
      <w:r w:rsidRPr="00E13C64">
        <w:rPr>
          <w:lang w:val="en-US"/>
        </w:rPr>
        <w:t>turns. Since the external challenge is mostly in trade of manufacturing goods, a national strategy should be primarily concerned with the industrial se</w:t>
      </w:r>
      <w:r w:rsidRPr="00E13C64">
        <w:rPr>
          <w:lang w:val="en-US"/>
        </w:rPr>
        <w:t>c</w:t>
      </w:r>
      <w:r w:rsidRPr="00E13C64">
        <w:rPr>
          <w:lang w:val="en-US"/>
        </w:rPr>
        <w:t>tor. </w:t>
      </w:r>
      <w:r>
        <w:rPr>
          <w:rStyle w:val="Appelnotedebasdep"/>
        </w:rPr>
        <w:footnoteReference w:id="6"/>
      </w:r>
    </w:p>
    <w:p w14:paraId="16D162A4" w14:textId="77777777" w:rsidR="002B5286" w:rsidRPr="00E13C64" w:rsidRDefault="002B5286" w:rsidP="002B5286">
      <w:pPr>
        <w:pStyle w:val="Grillecouleur-Accent1"/>
        <w:rPr>
          <w:lang w:val="en-US"/>
        </w:rPr>
      </w:pPr>
    </w:p>
    <w:p w14:paraId="79C1FAE7" w14:textId="77777777" w:rsidR="002B5286" w:rsidRPr="0089025F" w:rsidRDefault="002B5286" w:rsidP="002B5286">
      <w:pPr>
        <w:spacing w:before="120" w:after="120"/>
        <w:jc w:val="both"/>
      </w:pPr>
      <w:r w:rsidRPr="0089025F">
        <w:t>L’État dans les pays capitalistes avancés semble devoir jouer un rôle plus actif et différent. Rôle qui visera la mise en place d’une str</w:t>
      </w:r>
      <w:r w:rsidRPr="0089025F">
        <w:t>a</w:t>
      </w:r>
      <w:r w:rsidRPr="0089025F">
        <w:t>tégie de développement économique qui permette l’expansion de se</w:t>
      </w:r>
      <w:r w:rsidRPr="0089025F">
        <w:t>c</w:t>
      </w:r>
      <w:r w:rsidRPr="0089025F">
        <w:t>teurs ou de filières de production qui soient plus productifs, plus re</w:t>
      </w:r>
      <w:r w:rsidRPr="0089025F">
        <w:t>n</w:t>
      </w:r>
      <w:r w:rsidRPr="0089025F">
        <w:t>tables et plus concurrentiels dans la nouvelle conjoncture économique mondiale. Une telle stratégie peut très bien s’accommoder de certaines formes de néoprotectionnisme sans toutefois aller jusqu’à remettre en question le développement de l’économie mondiale. Ce rôle élargi de l’État implique qu’il est plus interventionniste en rapport à la produ</w:t>
      </w:r>
      <w:r w:rsidRPr="0089025F">
        <w:t>c</w:t>
      </w:r>
      <w:r w:rsidRPr="0089025F">
        <w:t>tion privée de biens et de services, mais on ne peut sur cette base co</w:t>
      </w:r>
      <w:r w:rsidRPr="0089025F">
        <w:t>n</w:t>
      </w:r>
      <w:r w:rsidRPr="0089025F">
        <w:t>clure en son renforcement. En effet, le rôle de l’État, bien que très important, sera encore plus étroit</w:t>
      </w:r>
      <w:r w:rsidRPr="0089025F">
        <w:t>e</w:t>
      </w:r>
      <w:r w:rsidRPr="0089025F">
        <w:t>ment balisé par la logique des lois de l’accumulation. Si, l’adaptation/transformation des États-nations est cruciale pour le maintien et l’expansion des économies nationales, toutefois, les choix et la marge de manœuvre des États se sont gra</w:t>
      </w:r>
      <w:r w:rsidRPr="0089025F">
        <w:t>n</w:t>
      </w:r>
      <w:r w:rsidRPr="0089025F">
        <w:t>dement rétrécis à la suite de l’approfondissement de la double crise que traverse le capitalisme (crise du régime d’accumulation intensive et crise du capitalisme mondial) et de l’acceptation des lois du marché (interne et internati</w:t>
      </w:r>
      <w:r w:rsidRPr="0089025F">
        <w:t>o</w:t>
      </w:r>
      <w:r w:rsidRPr="0089025F">
        <w:t>nal).</w:t>
      </w:r>
    </w:p>
    <w:p w14:paraId="21C35B24" w14:textId="77777777" w:rsidR="002B5286" w:rsidRPr="0089025F" w:rsidRDefault="002B5286" w:rsidP="002B5286">
      <w:pPr>
        <w:spacing w:before="120" w:after="120"/>
        <w:jc w:val="both"/>
      </w:pPr>
      <w:r w:rsidRPr="0089025F">
        <w:t>La capacité des États-nations individuels à promouvoir la compét</w:t>
      </w:r>
      <w:r w:rsidRPr="0089025F">
        <w:t>i</w:t>
      </w:r>
      <w:r w:rsidRPr="0089025F">
        <w:t>tivité de leur économie et plus spécifiquement celle de certaines i</w:t>
      </w:r>
      <w:r w:rsidRPr="0089025F">
        <w:t>n</w:t>
      </w:r>
      <w:r w:rsidRPr="0089025F">
        <w:t xml:space="preserve">dustries, est non seulement limitée par les contraintes économiques </w:t>
      </w:r>
      <w:r w:rsidRPr="0089025F">
        <w:lastRenderedPageBreak/>
        <w:t>intérieures et extérieures mais aussi par son rapport avec les autres États qui eux aussi tentent de forger leur propre dynamique de dév</w:t>
      </w:r>
      <w:r w:rsidRPr="0089025F">
        <w:t>e</w:t>
      </w:r>
      <w:r w:rsidRPr="0089025F">
        <w:t>loppement d’avantages comparatifs. La stratégie économique d’un État s’inscrit dans un contexte de compétition avec celles des autres États. L’autonomie dont jouit un État pour développer une stratégie assurant « le renouveau économique national », pour reprendre une expression utilisée par les gouvernements libéral de P.E. Trudeau et conservateur de B. Mulroney, est donc limitée par 1) les contraintes internes et externes ; 2) la nécessité d’inscrire cette stratégie dans une logique de libéralisation des forces du marché et 3) par la nécessité que toute stratégie nationale ait un certain niveau de concordance avec celles des autres pays. L’exemple de l’échec de la stratégie des pr</w:t>
      </w:r>
      <w:r w:rsidRPr="0089025F">
        <w:t>e</w:t>
      </w:r>
      <w:r w:rsidRPr="0089025F">
        <w:t>mières années du</w:t>
      </w:r>
      <w:r>
        <w:t xml:space="preserve"> </w:t>
      </w:r>
      <w:r w:rsidRPr="0089025F">
        <w:t>[76]</w:t>
      </w:r>
      <w:r>
        <w:t xml:space="preserve"> </w:t>
      </w:r>
      <w:r w:rsidRPr="0089025F">
        <w:t>gouvernement Mauroy en France est éloquent sur ce dernier point. Il en fut de même de la politique monétaire de la Banque du Canada de 1975 à 1978.</w:t>
      </w:r>
    </w:p>
    <w:p w14:paraId="5E8C4B38" w14:textId="77777777" w:rsidR="002B5286" w:rsidRPr="0089025F" w:rsidRDefault="002B5286" w:rsidP="002B5286">
      <w:pPr>
        <w:spacing w:before="120" w:after="120"/>
        <w:jc w:val="both"/>
      </w:pPr>
      <w:r w:rsidRPr="0089025F">
        <w:t>Une telle stratégie a peu de chances de succès, selon Scott, « si elle tente de maintenir les priorités et les politiques de l’État-providence ».</w:t>
      </w:r>
      <w:r>
        <w:t> </w:t>
      </w:r>
      <w:r>
        <w:rPr>
          <w:rStyle w:val="Appelnotedebasdep"/>
        </w:rPr>
        <w:footnoteReference w:id="7"/>
      </w:r>
      <w:r w:rsidRPr="0089025F">
        <w:rPr>
          <w:vertAlign w:val="superscript"/>
        </w:rPr>
        <w:t xml:space="preserve"> </w:t>
      </w:r>
      <w:r w:rsidRPr="0089025F">
        <w:t>L’État a besoin de revenus pour Financer les pr</w:t>
      </w:r>
      <w:r w:rsidRPr="0089025F">
        <w:t>o</w:t>
      </w:r>
      <w:r w:rsidRPr="0089025F">
        <w:t>grammes sociaux et les paiements de transfert, et en autant que la croissance de certaines taxes et impôts réduit les profits nets des e</w:t>
      </w:r>
      <w:r w:rsidRPr="0089025F">
        <w:t>n</w:t>
      </w:r>
      <w:r w:rsidRPr="0089025F">
        <w:t>treprises et au</w:t>
      </w:r>
      <w:r w:rsidRPr="0089025F">
        <w:t>g</w:t>
      </w:r>
      <w:r w:rsidRPr="0089025F">
        <w:t>mente leurs coûts ceci limite forcément les possibilités de restru</w:t>
      </w:r>
      <w:r w:rsidRPr="0089025F">
        <w:t>c</w:t>
      </w:r>
      <w:r w:rsidRPr="0089025F">
        <w:t>turation du système productif national et la compétitivité des entrepr</w:t>
      </w:r>
      <w:r w:rsidRPr="0089025F">
        <w:t>i</w:t>
      </w:r>
      <w:r w:rsidRPr="0089025F">
        <w:t>ses.</w:t>
      </w:r>
    </w:p>
    <w:p w14:paraId="472E86B3" w14:textId="77777777" w:rsidR="002B5286" w:rsidRPr="0089025F" w:rsidRDefault="002B5286" w:rsidP="002B5286">
      <w:pPr>
        <w:spacing w:before="120" w:after="120"/>
        <w:jc w:val="both"/>
      </w:pPr>
      <w:r w:rsidRPr="0089025F">
        <w:t>Pour ces raisons tout État-nation tentera d’être concurrentiel avec les autres États de trois différentes façons. Premièrement, la fiscalité et les règlements d’un État ne devront pas être tels qu’ils constitueront des obstacles à la compétitivité sur le marché mondial des entreprises produisant à l’intérieur des frontières nationales. Deuxièmement, les programmes sociaux, bien qu’ils peuvent différer d’un pays à un a</w:t>
      </w:r>
      <w:r w:rsidRPr="0089025F">
        <w:t>u</w:t>
      </w:r>
      <w:r w:rsidRPr="0089025F">
        <w:t>tre, ne devront pas voir leurs coûts devenir trop élevés pour pe</w:t>
      </w:r>
      <w:r w:rsidRPr="0089025F">
        <w:t>r</w:t>
      </w:r>
      <w:r w:rsidRPr="0089025F">
        <w:t>mettre au secteur productif de fonctionner compétitivement. Final</w:t>
      </w:r>
      <w:r w:rsidRPr="0089025F">
        <w:t>e</w:t>
      </w:r>
      <w:r w:rsidRPr="0089025F">
        <w:t>ment, les choix économiques de l’État devront permettre le dévelo</w:t>
      </w:r>
      <w:r w:rsidRPr="0089025F">
        <w:t>p</w:t>
      </w:r>
      <w:r w:rsidRPr="0089025F">
        <w:t>pement d’un secteur manufacturier viable dans un environnement économique mondial moins favorable.</w:t>
      </w:r>
    </w:p>
    <w:p w14:paraId="5EF25552" w14:textId="77777777" w:rsidR="002B5286" w:rsidRPr="0089025F" w:rsidRDefault="002B5286" w:rsidP="002B5286">
      <w:pPr>
        <w:spacing w:before="120" w:after="120"/>
        <w:jc w:val="both"/>
      </w:pPr>
      <w:r w:rsidRPr="0089025F">
        <w:t xml:space="preserve">Les États des pays capitalistes avancés ont mis en place au cours du dernier demi-siècle de multiples mécanismes leur permettant un </w:t>
      </w:r>
      <w:r w:rsidRPr="0089025F">
        <w:lastRenderedPageBreak/>
        <w:t>certain degré de contrôle sur la croissance de « leur » espace écon</w:t>
      </w:r>
      <w:r w:rsidRPr="0089025F">
        <w:t>o</w:t>
      </w:r>
      <w:r w:rsidRPr="0089025F">
        <w:t>mique national. Quand on parle d’État keynésien, de régulation m</w:t>
      </w:r>
      <w:r w:rsidRPr="0089025F">
        <w:t>o</w:t>
      </w:r>
      <w:r w:rsidRPr="0089025F">
        <w:t>nop</w:t>
      </w:r>
      <w:r w:rsidRPr="0089025F">
        <w:t>o</w:t>
      </w:r>
      <w:r w:rsidRPr="0089025F">
        <w:t>liste ou d’État interventionniste, on se réfère essentiellement à la capacité étatique d’équilibrer la croissance intra-nationale en interv</w:t>
      </w:r>
      <w:r w:rsidRPr="0089025F">
        <w:t>e</w:t>
      </w:r>
      <w:r w:rsidRPr="0089025F">
        <w:t>nant gén</w:t>
      </w:r>
      <w:r w:rsidRPr="0089025F">
        <w:t>é</w:t>
      </w:r>
      <w:r w:rsidRPr="0089025F">
        <w:t>ralement à la périphérie du système productif mais au centre de la r</w:t>
      </w:r>
      <w:r w:rsidRPr="0089025F">
        <w:t>é</w:t>
      </w:r>
      <w:r w:rsidRPr="0089025F">
        <w:t>gulation. Capacité réduite non seulement par l’émergence/développement du capitalisme mondial mais aussi par la mutation de l’État d’interventionniste à concurrentiel. Comme l’affirment Rosier et Dockès :</w:t>
      </w:r>
    </w:p>
    <w:p w14:paraId="11C011E5" w14:textId="77777777" w:rsidR="002B5286" w:rsidRPr="0089025F" w:rsidRDefault="002B5286" w:rsidP="002B5286">
      <w:pPr>
        <w:pStyle w:val="Grillecouleur-Accent1"/>
      </w:pPr>
    </w:p>
    <w:p w14:paraId="107B2F46" w14:textId="77777777" w:rsidR="002B5286" w:rsidRPr="0089025F" w:rsidRDefault="002B5286" w:rsidP="002B5286">
      <w:pPr>
        <w:pStyle w:val="Grillecouleur-Accent1"/>
      </w:pPr>
      <w:r w:rsidRPr="0089025F">
        <w:t>(...) derrière la fraction la plus transnationalisée des bourgeoisies n</w:t>
      </w:r>
      <w:r w:rsidRPr="0089025F">
        <w:t>a</w:t>
      </w:r>
      <w:r w:rsidRPr="0089025F">
        <w:t>tionales, se trouve un État qui doit lutter pour assurer à ses monop</w:t>
      </w:r>
      <w:r w:rsidRPr="0089025F">
        <w:t>o</w:t>
      </w:r>
      <w:r w:rsidRPr="0089025F">
        <w:t>les la position concurrentielle la plus forte possible. D’où le rôle cr</w:t>
      </w:r>
      <w:r w:rsidRPr="0089025F">
        <w:t>u</w:t>
      </w:r>
      <w:r w:rsidRPr="0089025F">
        <w:t>cial des nouvelles politiques industrielles. La coordination entre secteurs nati</w:t>
      </w:r>
      <w:r w:rsidRPr="0089025F">
        <w:t>o</w:t>
      </w:r>
      <w:r w:rsidRPr="0089025F">
        <w:t>naux a cédé la place à une politique de soutien des fractions les plus transnati</w:t>
      </w:r>
      <w:r w:rsidRPr="0089025F">
        <w:t>o</w:t>
      </w:r>
      <w:r w:rsidRPr="0089025F">
        <w:t>nalisées (...)</w:t>
      </w:r>
      <w:r>
        <w:t> </w:t>
      </w:r>
      <w:r>
        <w:rPr>
          <w:rStyle w:val="Appelnotedebasdep"/>
        </w:rPr>
        <w:footnoteReference w:id="8"/>
      </w:r>
    </w:p>
    <w:p w14:paraId="60D142EE" w14:textId="77777777" w:rsidR="002B5286" w:rsidRPr="0089025F" w:rsidRDefault="002B5286" w:rsidP="002B5286">
      <w:pPr>
        <w:pStyle w:val="Grillecouleur-Accent1"/>
      </w:pPr>
    </w:p>
    <w:p w14:paraId="57018EA2" w14:textId="77777777" w:rsidR="002B5286" w:rsidRPr="0089025F" w:rsidRDefault="002B5286" w:rsidP="002B5286">
      <w:pPr>
        <w:spacing w:before="120" w:after="120"/>
        <w:jc w:val="both"/>
      </w:pPr>
      <w:r w:rsidRPr="0089025F">
        <w:t>Le concept d’État concurrentiel nous paraît qualifier adéquatement le processus d’adaptation/transformation dans lequel s’insèrent les États-nations des pays capitalistes avancés. En effet, ce concept peut permettre de prendre en compte 1) les effets de la restructuration en cours du régime d’accumulation et du procès de mondialisation du capitalisme, 2) les éléments centraux du nouveau rôle de l’État capit</w:t>
      </w:r>
      <w:r w:rsidRPr="0089025F">
        <w:t>a</w:t>
      </w:r>
      <w:r w:rsidRPr="0089025F">
        <w:t>liste par rapport à l’espace économique national et à l’accumulation du capital et 3) la nécessité de la permanence de l’État pour la repr</w:t>
      </w:r>
      <w:r w:rsidRPr="0089025F">
        <w:t>o</w:t>
      </w:r>
      <w:r w:rsidRPr="0089025F">
        <w:t xml:space="preserve">duction du rapport salarial. Par contre, ce que </w:t>
      </w:r>
      <w:r>
        <w:t>ce concept ne permet pas de cer</w:t>
      </w:r>
      <w:r w:rsidRPr="0089025F">
        <w:t>ner [77]</w:t>
      </w:r>
      <w:r>
        <w:t xml:space="preserve"> </w:t>
      </w:r>
      <w:r w:rsidRPr="0089025F">
        <w:t>ce sont les configurations précises du rapport sal</w:t>
      </w:r>
      <w:r w:rsidRPr="0089025F">
        <w:t>a</w:t>
      </w:r>
      <w:r w:rsidRPr="0089025F">
        <w:t>rial qui se substitu</w:t>
      </w:r>
      <w:r w:rsidRPr="0089025F">
        <w:t>e</w:t>
      </w:r>
      <w:r w:rsidRPr="0089025F">
        <w:t>ra au rapport salarial fordiste et dans quelle mesure la mise en place de ce nouveau rapport salarial amènera l’État capit</w:t>
      </w:r>
      <w:r w:rsidRPr="0089025F">
        <w:t>a</w:t>
      </w:r>
      <w:r w:rsidRPr="0089025F">
        <w:t>liste à d</w:t>
      </w:r>
      <w:r w:rsidRPr="0089025F">
        <w:t>é</w:t>
      </w:r>
      <w:r w:rsidRPr="0089025F">
        <w:t>pendre de plus en plus sur la coercition et de moins en moins sur le consent</w:t>
      </w:r>
      <w:r w:rsidRPr="0089025F">
        <w:t>e</w:t>
      </w:r>
      <w:r w:rsidRPr="0089025F">
        <w:t>ment ; bien que, comme l’affirment Panitch et Swartz, l’emphase sur le caractère disciplinaire de l’État est déjà bien en pl</w:t>
      </w:r>
      <w:r w:rsidRPr="0089025F">
        <w:t>a</w:t>
      </w:r>
      <w:r w:rsidRPr="0089025F">
        <w:t>ce.</w:t>
      </w:r>
    </w:p>
    <w:p w14:paraId="71C9C573" w14:textId="77777777" w:rsidR="002B5286" w:rsidRPr="0089025F" w:rsidRDefault="002B5286" w:rsidP="002B5286">
      <w:pPr>
        <w:pStyle w:val="Grillecouleur-Accent1"/>
      </w:pPr>
      <w:r w:rsidRPr="00E13C64">
        <w:rPr>
          <w:lang w:val="en-US"/>
        </w:rPr>
        <w:t>What we are witnessing today, in fact, is the end of the era of free co</w:t>
      </w:r>
      <w:r w:rsidRPr="00E13C64">
        <w:rPr>
          <w:lang w:val="en-US"/>
        </w:rPr>
        <w:t>l</w:t>
      </w:r>
      <w:r w:rsidRPr="00E13C64">
        <w:rPr>
          <w:lang w:val="en-US"/>
        </w:rPr>
        <w:t xml:space="preserve">lective bargaining in Canada. </w:t>
      </w:r>
      <w:r w:rsidRPr="0089025F">
        <w:t>The era being closed is one in which the St</w:t>
      </w:r>
      <w:r w:rsidRPr="0089025F">
        <w:t>a</w:t>
      </w:r>
      <w:r w:rsidRPr="0089025F">
        <w:t>te and capital relied, more than before World War II, on obta</w:t>
      </w:r>
      <w:r w:rsidRPr="0089025F">
        <w:t>i</w:t>
      </w:r>
      <w:r w:rsidRPr="0089025F">
        <w:t xml:space="preserve">ning the </w:t>
      </w:r>
      <w:r w:rsidRPr="0089025F">
        <w:lastRenderedPageBreak/>
        <w:t>consent of workers generally, and unions in particular, to pa</w:t>
      </w:r>
      <w:r w:rsidRPr="0089025F">
        <w:t>r</w:t>
      </w:r>
      <w:r w:rsidRPr="0089025F">
        <w:t>ticipating as subordinate actors in Canada's capitalist democracy. The era ahead marks a return, albeit in quite different conditions, to the State and capital relying more openly on coercion — on force and on fear — to secure that subo</w:t>
      </w:r>
      <w:r w:rsidRPr="0089025F">
        <w:t>r</w:t>
      </w:r>
      <w:r w:rsidRPr="0089025F">
        <w:t>dination.</w:t>
      </w:r>
      <w:r>
        <w:t> </w:t>
      </w:r>
      <w:r>
        <w:rPr>
          <w:rStyle w:val="Appelnotedebasdep"/>
        </w:rPr>
        <w:footnoteReference w:id="9"/>
      </w:r>
    </w:p>
    <w:p w14:paraId="64A8BC7E" w14:textId="77777777" w:rsidR="002B5286" w:rsidRPr="0089025F" w:rsidRDefault="002B5286" w:rsidP="002B5286">
      <w:pPr>
        <w:pStyle w:val="Grillecouleur-Accent1"/>
      </w:pPr>
    </w:p>
    <w:p w14:paraId="38542762" w14:textId="77777777" w:rsidR="002B5286" w:rsidRPr="0089025F" w:rsidRDefault="002B5286" w:rsidP="002B5286">
      <w:pPr>
        <w:spacing w:before="120" w:after="120"/>
        <w:jc w:val="both"/>
      </w:pPr>
      <w:r w:rsidRPr="0089025F">
        <w:t>Bien sûr, l’idéologie de crise développée et véhiculée par les thé</w:t>
      </w:r>
      <w:r w:rsidRPr="0089025F">
        <w:t>o</w:t>
      </w:r>
      <w:r w:rsidRPr="0089025F">
        <w:t>ries économiques et politiques néolibérales vise à pousser au nivell</w:t>
      </w:r>
      <w:r w:rsidRPr="0089025F">
        <w:t>e</w:t>
      </w:r>
      <w:r w:rsidRPr="0089025F">
        <w:t>ment par le bas les éléments composant le rapport salarial fordiste, le modèle idéal étant le rapport salarial des nouveaux pays industriels : compétitivité oblige. Toutefois, les travailleurs ne sont pas extérieurs à la structuration du rapport salarial et leurs luttes et résistances ont des effets pertinents sur son développement et ses transformations. Bien que le rétrécissement du rapport salarial existant dans les pays du centre puisse apparaître compatible avec les besoins de l’accumulation et essentiel au développement de l’État concurrentiel, en déduire m</w:t>
      </w:r>
      <w:r w:rsidRPr="0089025F">
        <w:t>é</w:t>
      </w:r>
      <w:r w:rsidRPr="0089025F">
        <w:t>caniquement que les éléments du rapport salarial devront être restru</w:t>
      </w:r>
      <w:r w:rsidRPr="0089025F">
        <w:t>c</w:t>
      </w:r>
      <w:r w:rsidRPr="0089025F">
        <w:t>turés en conséquence afin d’en assurer la cohérence serait faire une lecture économiciste du changement social. Non se</w:t>
      </w:r>
      <w:r w:rsidRPr="0089025F">
        <w:t>u</w:t>
      </w:r>
      <w:r w:rsidRPr="0089025F">
        <w:t>lement les luttes des classes populaires et de certains groupes sociaux peuvent limiter le degré de développement de l’État concurrentiel et bloquer la remise en question de certaines fonctions historiques de l’État capitaliste, a</w:t>
      </w:r>
      <w:r w:rsidRPr="0089025F">
        <w:t>l</w:t>
      </w:r>
      <w:r w:rsidRPr="0089025F">
        <w:t>térant de la sorte le régime d’accumulation, mais le recentrage de l’économie mondiale pose à nouveau la question de la cohérence entre les conditions de la production de la valeur et celles de sa réalisation.</w:t>
      </w:r>
    </w:p>
    <w:p w14:paraId="0F77ACE0" w14:textId="77777777" w:rsidR="002B5286" w:rsidRPr="0089025F" w:rsidRDefault="002B5286" w:rsidP="002B5286">
      <w:pPr>
        <w:spacing w:before="120" w:after="120"/>
        <w:jc w:val="both"/>
      </w:pPr>
      <w:r w:rsidRPr="0089025F">
        <w:t>Cette contradiction s’exacerbera au fur et à mesure que le rapport salarial perdra son caractère extensif et que se développera un régime d’accumulation excluant dans certains pays du centre. La réduction du niveau de vie des classes populaires — du moins si on le mesure en terme d’intensité des rapports marchands dans lesquels s’insèrent qu</w:t>
      </w:r>
      <w:r w:rsidRPr="0089025F">
        <w:t>o</w:t>
      </w:r>
      <w:r w:rsidRPr="0089025F">
        <w:t>tidiennement ces classes — suite à la conversion des États capitalistes aux politiques de rigueur, comme moyen privilégié pour obtenir une part accrue d’un marché mondial en stagnation, a pour effet de réduire considérablement les possibilités de validation sociale des marchand</w:t>
      </w:r>
      <w:r w:rsidRPr="0089025F">
        <w:t>i</w:t>
      </w:r>
      <w:r w:rsidRPr="0089025F">
        <w:t xml:space="preserve">ses. Cette validation étant encore largement ancrée au centre, l’accentuation des politiques récessionnistes ne pourra conduire qu’à </w:t>
      </w:r>
      <w:r w:rsidRPr="0089025F">
        <w:lastRenderedPageBreak/>
        <w:t>limiter davantage les demandes internes sans que ne se mettent en place les relais</w:t>
      </w:r>
      <w:r>
        <w:t xml:space="preserve"> </w:t>
      </w:r>
      <w:r w:rsidRPr="0089025F">
        <w:t>[78]</w:t>
      </w:r>
      <w:r>
        <w:t xml:space="preserve"> </w:t>
      </w:r>
      <w:r w:rsidRPr="0089025F">
        <w:t>nécessaires pour assurer une substitution à cette demande. Pour év</w:t>
      </w:r>
      <w:r w:rsidRPr="0089025F">
        <w:t>i</w:t>
      </w:r>
      <w:r w:rsidRPr="0089025F">
        <w:t>ter un effondrement général, la décomposition du rapport salarial fo</w:t>
      </w:r>
      <w:r w:rsidRPr="0089025F">
        <w:t>r</w:t>
      </w:r>
      <w:r w:rsidRPr="0089025F">
        <w:t>diste devrait aller de pair avec la recomposition d’un nouveau rapport salarial, c’est-à-dire la mise en place de nouve</w:t>
      </w:r>
      <w:r w:rsidRPr="0089025F">
        <w:t>l</w:t>
      </w:r>
      <w:r w:rsidRPr="0089025F">
        <w:t>les conditions perme</w:t>
      </w:r>
      <w:r w:rsidRPr="0089025F">
        <w:t>t</w:t>
      </w:r>
      <w:r w:rsidRPr="0089025F">
        <w:t>tant un développement cohérent du circuit du capital, assurant de la sorte des bases viables non seulement à la pr</w:t>
      </w:r>
      <w:r w:rsidRPr="0089025F">
        <w:t>o</w:t>
      </w:r>
      <w:r w:rsidRPr="0089025F">
        <w:t>duction mais aussi à la réal</w:t>
      </w:r>
      <w:r w:rsidRPr="0089025F">
        <w:t>i</w:t>
      </w:r>
      <w:r w:rsidRPr="0089025F">
        <w:t>sation de la valeur.</w:t>
      </w:r>
    </w:p>
    <w:p w14:paraId="7D2FD1C8" w14:textId="77777777" w:rsidR="002B5286" w:rsidRPr="0089025F" w:rsidRDefault="002B5286" w:rsidP="002B5286">
      <w:pPr>
        <w:spacing w:before="120" w:after="120"/>
        <w:jc w:val="both"/>
      </w:pPr>
    </w:p>
    <w:p w14:paraId="2E8FDFA4" w14:textId="77777777" w:rsidR="002B5286" w:rsidRPr="0089025F" w:rsidRDefault="002B5286" w:rsidP="002B5286">
      <w:pPr>
        <w:pStyle w:val="planche"/>
      </w:pPr>
      <w:r w:rsidRPr="0089025F">
        <w:t>II. L’économie canadienne</w:t>
      </w:r>
      <w:r w:rsidRPr="0089025F">
        <w:br/>
        <w:t>et la contrainte externe</w:t>
      </w:r>
    </w:p>
    <w:p w14:paraId="60836553" w14:textId="77777777" w:rsidR="002B5286" w:rsidRPr="0089025F" w:rsidRDefault="002B5286" w:rsidP="002B5286">
      <w:pPr>
        <w:spacing w:before="120" w:after="120"/>
        <w:jc w:val="both"/>
      </w:pPr>
    </w:p>
    <w:p w14:paraId="2BD31DAF" w14:textId="77777777" w:rsidR="002B5286" w:rsidRPr="0089025F" w:rsidRDefault="002B5286" w:rsidP="002B5286">
      <w:pPr>
        <w:spacing w:before="120" w:after="120"/>
        <w:jc w:val="both"/>
      </w:pPr>
      <w:r w:rsidRPr="0089025F">
        <w:t>La crise dans laquelle s’enlise l’économie canadienne depuis le début des années 1970 a produit une certaine unanimité au sein des groupes dominants au Canada. L’économie canadienne pour se dév</w:t>
      </w:r>
      <w:r w:rsidRPr="0089025F">
        <w:t>e</w:t>
      </w:r>
      <w:r w:rsidRPr="0089025F">
        <w:t>lopper et ne pas faire face au spectre de la désindustrialisation doit reprendre une place importante sur le marché mondial. Pour ce faire une stratégie visant à assurer une insertion plus favorable de l’économie canadienne dans le marché mondial s’avère nécessaire. Une telle stratégie implique toutefois, que l’État canadien tienne compte des contraintes internes et externes : les premières résultant des spécificités du mode de développement économique canadien et les secondes posant des paramètres étroits à l’intérieur desquels doit s’inscrire la stratégie canadienne.</w:t>
      </w:r>
    </w:p>
    <w:p w14:paraId="5D269811" w14:textId="77777777" w:rsidR="002B5286" w:rsidRPr="0089025F" w:rsidRDefault="002B5286" w:rsidP="002B5286">
      <w:pPr>
        <w:spacing w:before="120" w:after="120"/>
        <w:jc w:val="both"/>
      </w:pPr>
      <w:r w:rsidRPr="0089025F">
        <w:t>La période 1960-1980 a été marquée au Canada par le débat entre les tenants d’une stratégie industrielle active et de l’interventionnisme étatique, d’une part, et ceux qui ne croient qu’aux vertus de la non-intervention gouvernementale et du libre marché, d’autre part, pour assurer le développement économique. À l’heure actuelle il semble que ce soit le second groupe qui domine le débat politique. Bien que le gouvernement Trudeau n’a jamais pu admettre ouvertement l’échec de ses politiques de diversification des marchés</w:t>
      </w:r>
      <w:r>
        <w:t> </w:t>
      </w:r>
      <w:r>
        <w:rPr>
          <w:rStyle w:val="Appelnotedebasdep"/>
        </w:rPr>
        <w:footnoteReference w:id="10"/>
      </w:r>
      <w:r w:rsidRPr="0089025F">
        <w:t xml:space="preserve"> et du Programme </w:t>
      </w:r>
      <w:r w:rsidRPr="0089025F">
        <w:lastRenderedPageBreak/>
        <w:t>énergétique national, il accepta cependant en 1983 l’idée d’un libre- échange sectoriel avec les États-Unis car celui-ci, selon les termes d’un document de travail du ministère des Affaires extérieures, « ne poserait pas les problèmes plus complexes qui découleraient de l’option du libre-échange global et serait conforme à l’orientation progressive des gouvernements canadiens qui se sont succédés vers la libération du commerce ».</w:t>
      </w:r>
      <w:r>
        <w:t> </w:t>
      </w:r>
      <w:r>
        <w:rPr>
          <w:rStyle w:val="Appelnotedebasdep"/>
        </w:rPr>
        <w:footnoteReference w:id="11"/>
      </w:r>
      <w:r w:rsidRPr="0089025F">
        <w:t xml:space="preserve"> Cette ouverture à un retour aux polit</w:t>
      </w:r>
      <w:r w:rsidRPr="0089025F">
        <w:t>i</w:t>
      </w:r>
      <w:r w:rsidRPr="0089025F">
        <w:t>ques continentalistes d’après-guerre allait être présenté avec le go</w:t>
      </w:r>
      <w:r w:rsidRPr="0089025F">
        <w:t>u</w:t>
      </w:r>
      <w:r w:rsidRPr="0089025F">
        <w:t>vernement Mulroney et malgré quelques tergiversations la seule pol</w:t>
      </w:r>
      <w:r w:rsidRPr="0089025F">
        <w:t>i</w:t>
      </w:r>
      <w:r w:rsidRPr="0089025F">
        <w:t>tique réaliste. Ce choix de développement économique, largement i</w:t>
      </w:r>
      <w:r w:rsidRPr="0089025F">
        <w:t>n</w:t>
      </w:r>
      <w:r w:rsidRPr="0089025F">
        <w:t>fluencé par le protectionnisme américain, est même considéré comme judicieux par la Commission Macdonald car « à longue échéance le C</w:t>
      </w:r>
      <w:r w:rsidRPr="0089025F">
        <w:t>a</w:t>
      </w:r>
      <w:r w:rsidRPr="0089025F">
        <w:t>nada profiterait considérablement d’un accord bilatéral de libre-échange avec les États-Unis, notamment pour deux raisons : la pr</w:t>
      </w:r>
      <w:r w:rsidRPr="0089025F">
        <w:t>e</w:t>
      </w:r>
      <w:r w:rsidRPr="0089025F">
        <w:t>mière étant l’accès à un marché plus vaste et dépourvu d’entraves et, la seconde, la réalisation d’économies d’échelle ».</w:t>
      </w:r>
      <w:r>
        <w:t> </w:t>
      </w:r>
      <w:r>
        <w:rPr>
          <w:rStyle w:val="Appelnotedebasdep"/>
        </w:rPr>
        <w:footnoteReference w:id="12"/>
      </w:r>
    </w:p>
    <w:p w14:paraId="2CA4A7AF" w14:textId="77777777" w:rsidR="002B5286" w:rsidRPr="0089025F" w:rsidRDefault="002B5286" w:rsidP="002B5286">
      <w:pPr>
        <w:spacing w:before="120" w:after="120"/>
        <w:jc w:val="both"/>
      </w:pPr>
      <w:r w:rsidRPr="0089025F">
        <w:t>Cette quasi-unanimité autour [79]</w:t>
      </w:r>
      <w:r>
        <w:t xml:space="preserve"> </w:t>
      </w:r>
      <w:r w:rsidRPr="0089025F">
        <w:t>d’une politique de libre-échange, comme moteur de l’adaptation de l’économie canadienne aux contraintes de l’économie mondiale, a toutefois un caractère factice. En effet, si certains voient le libre-échange d’abord et avant tout dans le cadre d’un marché commun C</w:t>
      </w:r>
      <w:r w:rsidRPr="0089025F">
        <w:t>a</w:t>
      </w:r>
      <w:r w:rsidRPr="0089025F">
        <w:t>nada — États-Unis, d’autres le voient en rapport à la libéralisation des échanges au niveau mondial, c’est-à-dire comme devant être poursuivi dans le cadre des accords multilatéraux du GATT. Malgré ce diff</w:t>
      </w:r>
      <w:r w:rsidRPr="0089025F">
        <w:t>é</w:t>
      </w:r>
      <w:r w:rsidRPr="0089025F">
        <w:t>rend, tous les propagandistes du libre-échange sont certainement d’accord avec le constat de la Commission Macdonald : « (...) si nous voulons, nous Canadiens, r</w:t>
      </w:r>
      <w:r w:rsidRPr="0089025F">
        <w:t>é</w:t>
      </w:r>
      <w:r w:rsidRPr="0089025F">
        <w:t>soudre avec succès les graves problèmes auxquels doit faire face notre secteur industriel, le développement économique futur doit s’accorder davantage aux conditions que crée la concurrence internationale (...) »</w:t>
      </w:r>
      <w:r>
        <w:t> </w:t>
      </w:r>
      <w:r>
        <w:rPr>
          <w:rStyle w:val="Appelnotedebasdep"/>
        </w:rPr>
        <w:footnoteReference w:id="13"/>
      </w:r>
      <w:r w:rsidRPr="0089025F">
        <w:t xml:space="preserve"> Le trait d’union entre ces deux courants, c’est la contrainte extérieure. </w:t>
      </w:r>
      <w:r w:rsidRPr="0089025F">
        <w:lastRenderedPageBreak/>
        <w:t>« Des possibilités et des contraintes nouvelles commandent une modification parallèle des p</w:t>
      </w:r>
      <w:r w:rsidRPr="0089025F">
        <w:t>o</w:t>
      </w:r>
      <w:r w:rsidRPr="0089025F">
        <w:t>litiques canadiennes. Le statu quo n’est pas une option attrayante et nous avons des choix difficiles à fa</w:t>
      </w:r>
      <w:r w:rsidRPr="0089025F">
        <w:t>i</w:t>
      </w:r>
      <w:r w:rsidRPr="0089025F">
        <w:t>re. »</w:t>
      </w:r>
      <w:r>
        <w:t> </w:t>
      </w:r>
      <w:r>
        <w:rPr>
          <w:rStyle w:val="Appelnotedebasdep"/>
        </w:rPr>
        <w:footnoteReference w:id="14"/>
      </w:r>
      <w:r w:rsidRPr="0089025F">
        <w:t xml:space="preserve"> Mais le libre</w:t>
      </w:r>
      <w:r>
        <w:t>-</w:t>
      </w:r>
      <w:r w:rsidRPr="0089025F">
        <w:t>échange est-il la panacée miracle ? Il n’existe aucune preuve que les avantages d’une telle politique dépasseront les coûts, au contraire les choix économ</w:t>
      </w:r>
      <w:r w:rsidRPr="0089025F">
        <w:t>i</w:t>
      </w:r>
      <w:r w:rsidRPr="0089025F">
        <w:t>ques du Canada depuis le rapport Gordon en 1957 ont été ma</w:t>
      </w:r>
      <w:r w:rsidRPr="0089025F">
        <w:t>r</w:t>
      </w:r>
      <w:r w:rsidRPr="0089025F">
        <w:t>qués par les inquiétudes que soulève l’intégration continentale. De plus même la Commission Macdonald reconnaît que les coûts écon</w:t>
      </w:r>
      <w:r w:rsidRPr="0089025F">
        <w:t>o</w:t>
      </w:r>
      <w:r w:rsidRPr="0089025F">
        <w:t>miques du libre-échange seront lourds pour les Canadiens.</w:t>
      </w:r>
    </w:p>
    <w:p w14:paraId="43C1A071" w14:textId="77777777" w:rsidR="002B5286" w:rsidRPr="0089025F" w:rsidRDefault="002B5286" w:rsidP="002B5286">
      <w:pPr>
        <w:spacing w:before="120" w:after="120"/>
        <w:jc w:val="both"/>
      </w:pPr>
      <w:r w:rsidRPr="0089025F">
        <w:t>Selon les libre-échangistes les faiblesses du secteur secondaire au Canada ne peuvent être surmontées que par une plus grande libéralis</w:t>
      </w:r>
      <w:r w:rsidRPr="0089025F">
        <w:t>a</w:t>
      </w:r>
      <w:r w:rsidRPr="0089025F">
        <w:t>tion des échanges, ce serait le seul moyen acceptable d’assurer que le secteur manufacturier r</w:t>
      </w:r>
      <w:r w:rsidRPr="0089025F">
        <w:t>e</w:t>
      </w:r>
      <w:r w:rsidRPr="0089025F">
        <w:t>trouve sa compétitivité, son efficacité et qu’il augmente sa productiv</w:t>
      </w:r>
      <w:r w:rsidRPr="0089025F">
        <w:t>i</w:t>
      </w:r>
      <w:r w:rsidRPr="0089025F">
        <w:t>té. Ce parti pris en faveur du libre-échange comme essence d’une str</w:t>
      </w:r>
      <w:r w:rsidRPr="0089025F">
        <w:t>a</w:t>
      </w:r>
      <w:r w:rsidRPr="0089025F">
        <w:t>tégie industrielle s’enracine aussi, notons- le, dans un choix idéol</w:t>
      </w:r>
      <w:r w:rsidRPr="0089025F">
        <w:t>o</w:t>
      </w:r>
      <w:r w:rsidRPr="0089025F">
        <w:t>gique, dans la croyance que le libre jeu du marché est nettement préférable aux interventions étatiques pour ass</w:t>
      </w:r>
      <w:r w:rsidRPr="0089025F">
        <w:t>u</w:t>
      </w:r>
      <w:r w:rsidRPr="0089025F">
        <w:t>rer la croissance écon</w:t>
      </w:r>
      <w:r w:rsidRPr="0089025F">
        <w:t>o</w:t>
      </w:r>
      <w:r w:rsidRPr="0089025F">
        <w:t>mique.</w:t>
      </w:r>
    </w:p>
    <w:p w14:paraId="7634EDE8" w14:textId="77777777" w:rsidR="002B5286" w:rsidRPr="0089025F" w:rsidRDefault="002B5286" w:rsidP="002B5286">
      <w:pPr>
        <w:spacing w:before="120" w:after="120"/>
        <w:jc w:val="both"/>
      </w:pPr>
      <w:r w:rsidRPr="0089025F">
        <w:t>Une telle stratégie d’insertion ne fera qu’accélérer la nécessité de transformation de l’État canadien. Le poids de la contrainte extérieure sur les fonctions historique de l’État au Canada s’accroîtra de façon telle que les politiques canadiennes devront s’harmoniser rapidement avec celles de ses principaux concurrents.</w:t>
      </w:r>
    </w:p>
    <w:p w14:paraId="6797DBD5" w14:textId="77777777" w:rsidR="002B5286" w:rsidRPr="0089025F" w:rsidRDefault="002B5286" w:rsidP="002B5286">
      <w:pPr>
        <w:spacing w:before="120" w:after="120"/>
        <w:jc w:val="both"/>
      </w:pPr>
    </w:p>
    <w:p w14:paraId="47D972A3" w14:textId="77777777" w:rsidR="002B5286" w:rsidRPr="0089025F" w:rsidRDefault="002B5286" w:rsidP="002B5286">
      <w:pPr>
        <w:pStyle w:val="planche"/>
      </w:pPr>
      <w:r w:rsidRPr="0089025F">
        <w:t>III. L’État-providence au Canada :</w:t>
      </w:r>
      <w:r w:rsidRPr="0089025F">
        <w:br/>
        <w:t>crise et déclin</w:t>
      </w:r>
    </w:p>
    <w:p w14:paraId="7C0FC582" w14:textId="77777777" w:rsidR="002B5286" w:rsidRPr="0089025F" w:rsidRDefault="002B5286" w:rsidP="002B5286">
      <w:pPr>
        <w:spacing w:before="120" w:after="120"/>
        <w:jc w:val="both"/>
      </w:pPr>
    </w:p>
    <w:p w14:paraId="0418F475" w14:textId="77777777" w:rsidR="002B5286" w:rsidRPr="0089025F" w:rsidRDefault="002B5286" w:rsidP="002B5286">
      <w:pPr>
        <w:spacing w:before="120" w:after="120"/>
        <w:jc w:val="both"/>
      </w:pPr>
      <w:r w:rsidRPr="0089025F">
        <w:t>Les réalités des années 1960 et 1970 imposaient de s’interroger sur les causes de la croissance des gouvernements et sur l’importance de plus en plus grande des décisions politiques dans le quotidien des c</w:t>
      </w:r>
      <w:r w:rsidRPr="0089025F">
        <w:t>i</w:t>
      </w:r>
      <w:r w:rsidRPr="0089025F">
        <w:t>toyens. Les retournements des années 1975-1985 posent les questions des limites et de la décroissance de l’État dans les démocraties libé</w:t>
      </w:r>
      <w:r w:rsidRPr="0089025F">
        <w:lastRenderedPageBreak/>
        <w:t>r</w:t>
      </w:r>
      <w:r w:rsidRPr="0089025F">
        <w:t>a</w:t>
      </w:r>
      <w:r w:rsidRPr="0089025F">
        <w:t>les. Bien que les processus</w:t>
      </w:r>
      <w:r>
        <w:t xml:space="preserve"> </w:t>
      </w:r>
      <w:r w:rsidRPr="0089025F">
        <w:t>[80]</w:t>
      </w:r>
      <w:r>
        <w:t xml:space="preserve"> </w:t>
      </w:r>
      <w:r w:rsidRPr="0089025F">
        <w:t>d’étatisation de la société civile soient fortement contestés au nom de l’autonomie de la société (Rosanva</w:t>
      </w:r>
      <w:r w:rsidRPr="0089025F">
        <w:t>l</w:t>
      </w:r>
      <w:r w:rsidRPr="0089025F">
        <w:t>lon, Gorz, Maheu) ou de l’autonomie de l’individu (Friedman, N</w:t>
      </w:r>
      <w:r w:rsidRPr="0089025F">
        <w:t>o</w:t>
      </w:r>
      <w:r w:rsidRPr="0089025F">
        <w:t>zick, Lepage), ceci n’est pas la cause de la crise de l’État-providence.</w:t>
      </w:r>
    </w:p>
    <w:p w14:paraId="4C66D317" w14:textId="77777777" w:rsidR="002B5286" w:rsidRPr="0089025F" w:rsidRDefault="002B5286" w:rsidP="002B5286">
      <w:pPr>
        <w:spacing w:before="120" w:after="120"/>
        <w:jc w:val="both"/>
      </w:pPr>
      <w:r w:rsidRPr="0089025F">
        <w:t>Sur la base de la problématique exposée précédemment, la remise en question des politiques sociales au Canada nous apparaît être un des éléments du processus d’adaptation/transformation dans lequel est inséré l’État canadien. En effet, l’étendue de la contrainte ext</w:t>
      </w:r>
      <w:r w:rsidRPr="0089025F">
        <w:t>é</w:t>
      </w:r>
      <w:r w:rsidRPr="0089025F">
        <w:t>rieure est déterminée par la compétitivité des marchandises produites loc</w:t>
      </w:r>
      <w:r w:rsidRPr="0089025F">
        <w:t>a</w:t>
      </w:r>
      <w:r w:rsidRPr="0089025F">
        <w:t>lement vis-à-vis des marchandises des concurrents extérieurs. Les sy</w:t>
      </w:r>
      <w:r w:rsidRPr="0089025F">
        <w:t>s</w:t>
      </w:r>
      <w:r w:rsidRPr="0089025F">
        <w:t>tèmes productifs nationaux ne peuvent plus s’offrir le luxe de prix plus élevés sinon ils risquent de perdre non seulement leur part du marché mondial mais aussi leur contrôle sur le marché domestique. Si traditionnellement la division internationale du travail avait essentie</w:t>
      </w:r>
      <w:r w:rsidRPr="0089025F">
        <w:t>l</w:t>
      </w:r>
      <w:r w:rsidRPr="0089025F">
        <w:t>lement des effets structurants négatifs sur les économies dominées, dorénavant elle aura de tels effets sur certaines économies dévelo</w:t>
      </w:r>
      <w:r w:rsidRPr="0089025F">
        <w:t>p</w:t>
      </w:r>
      <w:r w:rsidRPr="0089025F">
        <w:t>pées.</w:t>
      </w:r>
    </w:p>
    <w:p w14:paraId="1FBD081A" w14:textId="77777777" w:rsidR="002B5286" w:rsidRPr="0089025F" w:rsidRDefault="002B5286" w:rsidP="002B5286">
      <w:pPr>
        <w:spacing w:before="120" w:after="120"/>
        <w:jc w:val="both"/>
      </w:pPr>
      <w:r w:rsidRPr="0089025F">
        <w:t>L’échec et la contestation des formes d’intervention liées à l’État-providence n’augurent aucunement de la constitution d’un mythique État minimal mais plutôt d’un État concurrentiel. En effet, ce que</w:t>
      </w:r>
      <w:r w:rsidRPr="0089025F">
        <w:t>s</w:t>
      </w:r>
      <w:r w:rsidRPr="0089025F">
        <w:t>tionnement des capacités traditionnelles de l’État canadien à mettre en place des politiques sociales autonomes résulte de la revanche du marché. Pour renouer avec une croissance économique soutenue, l’État tente actuellement de soumettre l’économie canadienne au jeu des avantages comparatifs à l’intérieur duquel le rapport coût/productivité est de plus en plus déterminant et où l’importance des dotations factorielles est largement disparue.</w:t>
      </w:r>
    </w:p>
    <w:p w14:paraId="31EC92C1" w14:textId="77777777" w:rsidR="002B5286" w:rsidRPr="0089025F" w:rsidRDefault="002B5286" w:rsidP="002B5286">
      <w:pPr>
        <w:spacing w:before="120" w:after="120"/>
        <w:jc w:val="both"/>
      </w:pPr>
      <w:r w:rsidRPr="0089025F">
        <w:t>La rationalité qui préside à la remise en question des programmes sociaux n’est pas seulement d’ordre budgétaire et celle du rapport coût/compétitivité, mais aussi celle de la soumission de la logique ét</w:t>
      </w:r>
      <w:r w:rsidRPr="0089025F">
        <w:t>a</w:t>
      </w:r>
      <w:r w:rsidRPr="0089025F">
        <w:t>tique à la logique du libre marché. Le développement des programmes sociaux s’est inscrit dans la foulée de la régulation monopoliste ce qui a eu pour effet de concevoir ce type d’intervention étatique comme ex ante par rapport à l’activité économique. En effet, les programmes sociaux se sont inscrits dans la recherche du bouclage du cycle pr</w:t>
      </w:r>
      <w:r w:rsidRPr="0089025F">
        <w:t>o</w:t>
      </w:r>
      <w:r w:rsidRPr="0089025F">
        <w:t xml:space="preserve">duction/consommation, offre/demande. Leur caractère vital pour la croissance a facilité l'acceptation du concept de droit social. Par </w:t>
      </w:r>
      <w:r w:rsidRPr="0089025F">
        <w:lastRenderedPageBreak/>
        <w:t>contre, le retour de l’emphase sur la notion de marché impose à l’État une restructuration de plusieurs politiques sociales. Celui-ci n’ayant plus le rôle de régulateur des cycles économiques, les politiques soci</w:t>
      </w:r>
      <w:r w:rsidRPr="0089025F">
        <w:t>a</w:t>
      </w:r>
      <w:r w:rsidRPr="0089025F">
        <w:t xml:space="preserve">les ne peuvent plus être pensées comme </w:t>
      </w:r>
      <w:r w:rsidRPr="0089025F">
        <w:rPr>
          <w:i/>
        </w:rPr>
        <w:t>correction aux défauts</w:t>
      </w:r>
      <w:r w:rsidRPr="0089025F">
        <w:t xml:space="preserve"> du marché mais simplement comme un </w:t>
      </w:r>
      <w:r w:rsidRPr="0089025F">
        <w:rPr>
          <w:i/>
        </w:rPr>
        <w:t>palliatif aux pires effets</w:t>
      </w:r>
      <w:r w:rsidRPr="0089025F">
        <w:t xml:space="preserve"> sociaux du marché. Le salaire minimum brime la liberté d’entreprendre et la compétitivité de certains secteurs ; sa remise en question s’accentue. Mais on crée un revenu minimum garanti pour corriger les pires effets d’un marché du travail libéré. Une telle politique sociale s’inscrit dans une logique d’intervention de l’État conçue comme ex post par ra</w:t>
      </w:r>
      <w:r w:rsidRPr="0089025F">
        <w:t>p</w:t>
      </w:r>
      <w:r w:rsidRPr="0089025F">
        <w:t>port à l’activité économique, comme extérieure</w:t>
      </w:r>
      <w:r>
        <w:t xml:space="preserve"> </w:t>
      </w:r>
      <w:r w:rsidRPr="0089025F">
        <w:t>[81]</w:t>
      </w:r>
      <w:r>
        <w:t xml:space="preserve"> </w:t>
      </w:r>
      <w:r w:rsidRPr="0089025F">
        <w:t>à la reproduction du cycle économique et comme ne venant qu’en corriger les effets qui menacent la stabilité sociale.</w:t>
      </w:r>
    </w:p>
    <w:p w14:paraId="5BC6D0A0" w14:textId="77777777" w:rsidR="002B5286" w:rsidRPr="0089025F" w:rsidRDefault="002B5286" w:rsidP="002B5286">
      <w:pPr>
        <w:spacing w:before="120" w:after="120"/>
        <w:jc w:val="both"/>
        <w:rPr>
          <w:vertAlign w:val="superscript"/>
        </w:rPr>
      </w:pPr>
      <w:r w:rsidRPr="0089025F">
        <w:t>La mise en veilleuse de la recherche de l’égalité sociale est perce</w:t>
      </w:r>
      <w:r w:rsidRPr="0089025F">
        <w:t>p</w:t>
      </w:r>
      <w:r w:rsidRPr="0089025F">
        <w:t>tible dans l’évolution des programmes sociaux au Canada. Aucun nouveau programme majeur n’a été instauré depuis plus de dix ans</w:t>
      </w:r>
      <w:r>
        <w:t> </w:t>
      </w:r>
      <w:r>
        <w:rPr>
          <w:rStyle w:val="Appelnotedebasdep"/>
        </w:rPr>
        <w:footnoteReference w:id="15"/>
      </w:r>
      <w:r w:rsidRPr="0089025F">
        <w:t>, la plupart des programmes existants ont été modifiés de façon à en r</w:t>
      </w:r>
      <w:r w:rsidRPr="0089025F">
        <w:t>é</w:t>
      </w:r>
      <w:r w:rsidRPr="0089025F">
        <w:t>duire les coûts souvent en en réduisant le caractère universel et/ou la qualité (modifications à l’assurance chômage et au niveau du Fina</w:t>
      </w:r>
      <w:r w:rsidRPr="0089025F">
        <w:t>n</w:t>
      </w:r>
      <w:r w:rsidRPr="0089025F">
        <w:t>cement des programmes établis, introduction du crédit impôt enfant et désindexation partielle des allocations familiales...). En fait les dépe</w:t>
      </w:r>
      <w:r w:rsidRPr="0089025F">
        <w:t>n</w:t>
      </w:r>
      <w:r w:rsidRPr="0089025F">
        <w:t>ses sociales au Canada ont été l’objet de nombreux contrôles et leur importance par rapport aux dépenses publiques a diminué d</w:t>
      </w:r>
      <w:r w:rsidRPr="0089025F">
        <w:t>e</w:t>
      </w:r>
      <w:r w:rsidRPr="0089025F">
        <w:t>puis 1975. « En termes proportionnels, les gouvernements (canadiens) consacraient aux dépenses sociales en 1980 une plus petite part de leurs ressources qu’ils ne le faisaient à la fin des années soixante et au début des années soixante-dix ».</w:t>
      </w:r>
      <w:r>
        <w:t> </w:t>
      </w:r>
      <w:r>
        <w:rPr>
          <w:rStyle w:val="Appelnotedebasdep"/>
        </w:rPr>
        <w:footnoteReference w:id="16"/>
      </w:r>
      <w:r w:rsidRPr="0089025F">
        <w:t xml:space="preserve"> Toute accélération de la libéralis</w:t>
      </w:r>
      <w:r w:rsidRPr="0089025F">
        <w:t>a</w:t>
      </w:r>
      <w:r w:rsidRPr="0089025F">
        <w:t>tion des échanges qu’elle soit bilatérale ou multilatérale ne fera qu’accroître les pressions des entreprises établies au Canada pour r</w:t>
      </w:r>
      <w:r w:rsidRPr="0089025F">
        <w:t>é</w:t>
      </w:r>
      <w:r w:rsidRPr="0089025F">
        <w:t>duire les coûts sociaux et les taxes en autant qu’ils constituent des d</w:t>
      </w:r>
      <w:r w:rsidRPr="0089025F">
        <w:t>é</w:t>
      </w:r>
      <w:r w:rsidRPr="0089025F">
        <w:t xml:space="preserve">savantages en terme de compétitivité. Comme le reconnaît le président de Canam Manac : « dans un régime de libre- échange il faudra que nos coûts de production, dans lesquels sont inclus les coûts sociaux, </w:t>
      </w:r>
      <w:r w:rsidRPr="0089025F">
        <w:lastRenderedPageBreak/>
        <w:t>soient équivalents à ceux de nos compétiteurs américains, sinon il n’y a aucun espoir de survie pour nos entreprises ».</w:t>
      </w:r>
      <w:r>
        <w:t> </w:t>
      </w:r>
      <w:r>
        <w:rPr>
          <w:rStyle w:val="Appelnotedebasdep"/>
        </w:rPr>
        <w:footnoteReference w:id="17"/>
      </w:r>
    </w:p>
    <w:p w14:paraId="753E7425" w14:textId="77777777" w:rsidR="002B5286" w:rsidRPr="0089025F" w:rsidRDefault="002B5286" w:rsidP="002B5286">
      <w:pPr>
        <w:spacing w:before="120" w:after="120"/>
        <w:jc w:val="both"/>
      </w:pPr>
      <w:r w:rsidRPr="0089025F">
        <w:t>Toutefois les différents gouvernements qui se sont succédés à O</w:t>
      </w:r>
      <w:r w:rsidRPr="0089025F">
        <w:t>t</w:t>
      </w:r>
      <w:r w:rsidRPr="0089025F">
        <w:t>tawa au cours des dix dernières années n’ont pu que constater la force des résistances à toute remise en que</w:t>
      </w:r>
      <w:r w:rsidRPr="0089025F">
        <w:t>s</w:t>
      </w:r>
      <w:r w:rsidRPr="0089025F">
        <w:t>tion radicale de l’État-providence. Que l’on se rappelle les tentatives de désindexation pa</w:t>
      </w:r>
      <w:r w:rsidRPr="0089025F">
        <w:t>r</w:t>
      </w:r>
      <w:r w:rsidRPr="0089025F">
        <w:t>tielle des pe</w:t>
      </w:r>
      <w:r w:rsidRPr="0089025F">
        <w:t>n</w:t>
      </w:r>
      <w:r w:rsidRPr="0089025F">
        <w:t>sions aux personnes âgées et les modifications aux règles de l’assurance-chômage concernant les préretraites. En effet le filet de sécurité que constitue les programmes sociaux jouit d’une grande lég</w:t>
      </w:r>
      <w:r w:rsidRPr="0089025F">
        <w:t>i</w:t>
      </w:r>
      <w:r w:rsidRPr="0089025F">
        <w:t>timité dans la population canadienne. Cette légitimité nous apparai</w:t>
      </w:r>
      <w:r w:rsidRPr="0089025F">
        <w:t>s</w:t>
      </w:r>
      <w:r w:rsidRPr="0089025F">
        <w:t>sant liée directement à leur caractère universel, ce qui permet à la pl</w:t>
      </w:r>
      <w:r w:rsidRPr="0089025F">
        <w:t>u</w:t>
      </w:r>
      <w:r w:rsidRPr="0089025F">
        <w:t>part des Canadiens de se considérer comme bénéficiaires réels ou p</w:t>
      </w:r>
      <w:r w:rsidRPr="0089025F">
        <w:t>o</w:t>
      </w:r>
      <w:r w:rsidRPr="0089025F">
        <w:t>tentiels de la plupart des programmes sociaux. Il est donc néce</w:t>
      </w:r>
      <w:r w:rsidRPr="0089025F">
        <w:t>s</w:t>
      </w:r>
      <w:r w:rsidRPr="0089025F">
        <w:t>saire pour le gouvernement canadien de r</w:t>
      </w:r>
      <w:r w:rsidRPr="0089025F">
        <w:t>é</w:t>
      </w:r>
      <w:r w:rsidRPr="0089025F">
        <w:t>duire la légitimité de l’État-providence d’abord en répétant à satiété que les Canadiens doivent pouvoir réaccéder à l’autonomie indiv</w:t>
      </w:r>
      <w:r w:rsidRPr="0089025F">
        <w:t>i</w:t>
      </w:r>
      <w:r w:rsidRPr="0089025F">
        <w:t>duelle et surtout en modifiant la fiscalité de façon à réduire les ava</w:t>
      </w:r>
      <w:r w:rsidRPr="0089025F">
        <w:t>n</w:t>
      </w:r>
      <w:r w:rsidRPr="0089025F">
        <w:t>tages qu’en retirent les classes moyennes — en rendant imposable les revenus de transfert, par exemple les allocations familiales et l’assurance-chômage — et en faisant une adéquation entre la non r</w:t>
      </w:r>
      <w:r w:rsidRPr="0089025F">
        <w:t>é</w:t>
      </w:r>
      <w:r w:rsidRPr="0089025F">
        <w:t>duction des programmes sociaux et la hausse des impôts afin de r</w:t>
      </w:r>
      <w:r w:rsidRPr="0089025F">
        <w:t>é</w:t>
      </w:r>
      <w:r w:rsidRPr="0089025F">
        <w:t>duire le déficit. L’accroissement de la ponction fiscale qui en résulte pour les personnes et familles ayant un revenu supérieur à la moyenne nationale conduira-t-il à l’érosion de la solidarité des Canadiens ? Voilà un des enjeux majeurs que p</w:t>
      </w:r>
      <w:r w:rsidRPr="0089025F">
        <w:t>o</w:t>
      </w:r>
      <w:r w:rsidRPr="0089025F">
        <w:t>sent les de</w:t>
      </w:r>
      <w:r>
        <w:t>rniers choix budgétaires du gou</w:t>
      </w:r>
      <w:r w:rsidRPr="0089025F">
        <w:t>vernement</w:t>
      </w:r>
      <w:r>
        <w:t xml:space="preserve"> </w:t>
      </w:r>
      <w:r w:rsidRPr="0089025F">
        <w:t>[82] fédéral.</w:t>
      </w:r>
    </w:p>
    <w:p w14:paraId="77FAB077" w14:textId="77777777" w:rsidR="002B5286" w:rsidRPr="0089025F" w:rsidRDefault="002B5286" w:rsidP="002B5286">
      <w:pPr>
        <w:spacing w:before="120" w:after="120"/>
        <w:jc w:val="both"/>
      </w:pPr>
      <w:r w:rsidRPr="0089025F">
        <w:t>L’adaptation de l’économie canadienne aux contraintes que posent les transformations au sein de l’économie mondiale et l’émergence d’un État de type concurrentiel au Canada risque fort bien d’accentuer le caractère dualiste de la société canadienne. La mise en place d’un procès de travail flexible,</w:t>
      </w:r>
      <w:r>
        <w:t> </w:t>
      </w:r>
      <w:r>
        <w:rPr>
          <w:rStyle w:val="Appelnotedebasdep"/>
        </w:rPr>
        <w:footnoteReference w:id="18"/>
      </w:r>
      <w:r w:rsidRPr="0089025F">
        <w:t xml:space="preserve"> le resserrement des modalités de ge</w:t>
      </w:r>
      <w:r w:rsidRPr="0089025F">
        <w:t>s</w:t>
      </w:r>
      <w:r w:rsidRPr="0089025F">
        <w:t>tion de la force de travail, l’émergence d'industries de bas salaire, de temps partiel, la réduction de la protection syndicale, la dégradation des se</w:t>
      </w:r>
      <w:r w:rsidRPr="0089025F">
        <w:t>r</w:t>
      </w:r>
      <w:r w:rsidRPr="0089025F">
        <w:t>vices publics et des lois sociales auront pour résultat d’entraîner la détérioration des conditions de travail d’un nombre croissant de tr</w:t>
      </w:r>
      <w:r w:rsidRPr="0089025F">
        <w:t>a</w:t>
      </w:r>
      <w:r w:rsidRPr="0089025F">
        <w:lastRenderedPageBreak/>
        <w:t>vailleurs ainsi que la réduction de leur salaire direct réel et ce au m</w:t>
      </w:r>
      <w:r w:rsidRPr="0089025F">
        <w:t>ê</w:t>
      </w:r>
      <w:r w:rsidRPr="0089025F">
        <w:t>me moment où leur salaire indirect perd de son impo</w:t>
      </w:r>
      <w:r w:rsidRPr="0089025F">
        <w:t>r</w:t>
      </w:r>
      <w:r w:rsidRPr="0089025F">
        <w:t>tance. Par contre, certains travailleurs pourront maintenir leurs conditions de tr</w:t>
      </w:r>
      <w:r w:rsidRPr="0089025F">
        <w:t>a</w:t>
      </w:r>
      <w:r w:rsidRPr="0089025F">
        <w:t>vail et leur salaire à peu près à leur niveau actuel et seront de ce fait en mesure de compenser la réduction des avantages que leur procure l’État-providence par des cotisations à des régimes privés d’assurance.</w:t>
      </w:r>
    </w:p>
    <w:p w14:paraId="6750BD57" w14:textId="77777777" w:rsidR="002B5286" w:rsidRPr="0089025F" w:rsidRDefault="002B5286" w:rsidP="002B5286">
      <w:pPr>
        <w:spacing w:before="120" w:after="120"/>
        <w:jc w:val="both"/>
      </w:pPr>
      <w:r w:rsidRPr="0089025F">
        <w:t>C’est pourquoi la lutte idéologique qui se déroule dans la plupart des pays industrialisés est très importante. Cette lutte vise une réart</w:t>
      </w:r>
      <w:r w:rsidRPr="0089025F">
        <w:t>i</w:t>
      </w:r>
      <w:r w:rsidRPr="0089025F">
        <w:t>culation des sphères privée et publique de façon à modifier considér</w:t>
      </w:r>
      <w:r w:rsidRPr="0089025F">
        <w:t>a</w:t>
      </w:r>
      <w:r w:rsidRPr="0089025F">
        <w:t>blement la perception des citoyens du rôle de l’État et de ce fait rédu</w:t>
      </w:r>
      <w:r w:rsidRPr="0089025F">
        <w:t>i</w:t>
      </w:r>
      <w:r w:rsidRPr="0089025F">
        <w:t>re leurs attentes. La société juste, la redistribution de revenu, l’égalité sont des slogans du passé, ce sont maintenant l’entrepreneurship, le développement autonome des individus, la dés</w:t>
      </w:r>
      <w:r w:rsidRPr="0089025F">
        <w:t>é</w:t>
      </w:r>
      <w:r w:rsidRPr="0089025F">
        <w:t>tatisation de la société et de l’économie qui structurent le discours politique. Le keynési</w:t>
      </w:r>
      <w:r w:rsidRPr="0089025F">
        <w:t>a</w:t>
      </w:r>
      <w:r w:rsidRPr="0089025F">
        <w:t>nisme, le « post war settl</w:t>
      </w:r>
      <w:r w:rsidRPr="0089025F">
        <w:t>e</w:t>
      </w:r>
      <w:r w:rsidRPr="0089025F">
        <w:t>ment » et le corporatisme sont à bannir et refont alors surface les po</w:t>
      </w:r>
      <w:r w:rsidRPr="0089025F">
        <w:t>s</w:t>
      </w:r>
      <w:r w:rsidRPr="0089025F">
        <w:t>tulats à la base du libéralisme de Kant et de Locke et ceux à la base du conservatisme de Burke. Les théories pl</w:t>
      </w:r>
      <w:r w:rsidRPr="0089025F">
        <w:t>u</w:t>
      </w:r>
      <w:r w:rsidRPr="0089025F">
        <w:t>ralistes cèdent la place aux analyses de Hayek, Friedman, Buchanan, Nozick, Buckley...</w:t>
      </w:r>
      <w:r>
        <w:t> </w:t>
      </w:r>
      <w:r>
        <w:rPr>
          <w:rStyle w:val="Appelnotedebasdep"/>
        </w:rPr>
        <w:footnoteReference w:id="19"/>
      </w:r>
    </w:p>
    <w:p w14:paraId="1F7C930A" w14:textId="77777777" w:rsidR="002B5286" w:rsidRPr="0089025F" w:rsidRDefault="002B5286" w:rsidP="002B5286">
      <w:pPr>
        <w:spacing w:before="120" w:after="120"/>
        <w:jc w:val="both"/>
      </w:pPr>
      <w:r w:rsidRPr="0089025F">
        <w:t>L’enjeu de ces luttes est pour l’essentiel une modification du ra</w:t>
      </w:r>
      <w:r w:rsidRPr="0089025F">
        <w:t>p</w:t>
      </w:r>
      <w:r w:rsidRPr="0089025F">
        <w:t>port de force à l’avantage du capital et au détriment des masses pop</w:t>
      </w:r>
      <w:r w:rsidRPr="0089025F">
        <w:t>u</w:t>
      </w:r>
      <w:r w:rsidRPr="0089025F">
        <w:t>laires et de certains groupes sociaux. Les « nouvelles » idéologies de la droite se veulent des instruments de lutte contre l’État, on oppose l’individu, conçu presqu’exclusivement comme « homo econom</w:t>
      </w:r>
      <w:r w:rsidRPr="0089025F">
        <w:t>i</w:t>
      </w:r>
      <w:r w:rsidRPr="0089025F">
        <w:t>cus », à l’État-providence. On ne cherche pas à concilier l’individu et l’État interventionniste mais au contraire à démontrer le caractère a</w:t>
      </w:r>
      <w:r w:rsidRPr="0089025F">
        <w:t>n</w:t>
      </w:r>
      <w:r w:rsidRPr="0089025F">
        <w:t>tinomique de ces deux termes. Les exigences imprescriptibles de l’individu sont violées par la centralisation du pouvoir et les visées égalitaristes. Pour éviter une telle issue à la crise il est essentiel, co</w:t>
      </w:r>
      <w:r w:rsidRPr="0089025F">
        <w:t>m</w:t>
      </w:r>
      <w:r w:rsidRPr="0089025F">
        <w:t>me le dit très bien Alain Lipietz, de renforcer les solidarités de tous les groupes qui luttent pour le progrès.</w:t>
      </w:r>
      <w:r>
        <w:t> </w:t>
      </w:r>
      <w:r>
        <w:rPr>
          <w:rStyle w:val="Appelnotedebasdep"/>
        </w:rPr>
        <w:footnoteReference w:id="20"/>
      </w:r>
      <w:r w:rsidRPr="0089025F">
        <w:t xml:space="preserve"> Car les présentes te</w:t>
      </w:r>
      <w:r w:rsidRPr="0089025F">
        <w:t>n</w:t>
      </w:r>
      <w:r w:rsidRPr="0089025F">
        <w:t>tatives d’isolation/individualisation de l’activité économique par ra</w:t>
      </w:r>
      <w:r w:rsidRPr="0089025F">
        <w:t>p</w:t>
      </w:r>
      <w:r w:rsidRPr="0089025F">
        <w:t xml:space="preserve">port </w:t>
      </w:r>
      <w:r w:rsidRPr="0089025F">
        <w:lastRenderedPageBreak/>
        <w:t>au politique n’a pas pour finalité d’accorder un statut égal à ces deux sphères mais au contraire de postuler la primauté des lois économ</w:t>
      </w:r>
      <w:r w:rsidRPr="0089025F">
        <w:t>i</w:t>
      </w:r>
      <w:r w:rsidRPr="0089025F">
        <w:t>ques dans l’organisation sociale et de restreindre le rôle de l’État dans la recherche de la justice sociale. Une telle soumission du pol</w:t>
      </w:r>
      <w:r w:rsidRPr="0089025F">
        <w:t>i</w:t>
      </w:r>
      <w:r w:rsidRPr="0089025F">
        <w:t>tique aux lois économiques conduit dans la présente conjoncture à l’imposition de la rationalité de</w:t>
      </w:r>
      <w:r>
        <w:t xml:space="preserve"> </w:t>
      </w:r>
      <w:r w:rsidRPr="0089025F">
        <w:t>[83]</w:t>
      </w:r>
      <w:r>
        <w:t xml:space="preserve"> </w:t>
      </w:r>
      <w:r w:rsidRPr="0089025F">
        <w:t>l’économie mondiale sur la stru</w:t>
      </w:r>
      <w:r w:rsidRPr="0089025F">
        <w:t>c</w:t>
      </w:r>
      <w:r w:rsidRPr="0089025F">
        <w:t>turation des interventions des États-nations. De plus, ceci contribue au balisage étroit des interve</w:t>
      </w:r>
      <w:r w:rsidRPr="0089025F">
        <w:t>n</w:t>
      </w:r>
      <w:r w:rsidRPr="0089025F">
        <w:t>tions égalitaristes de l’État et peut accélérer la mise en place d’un État co</w:t>
      </w:r>
      <w:r w:rsidRPr="0089025F">
        <w:t>n</w:t>
      </w:r>
      <w:r w:rsidRPr="0089025F">
        <w:t>currentiel.</w:t>
      </w:r>
    </w:p>
    <w:p w14:paraId="0921B7B5" w14:textId="77777777" w:rsidR="002B5286" w:rsidRDefault="002B5286" w:rsidP="002B5286">
      <w:pPr>
        <w:spacing w:before="120" w:after="120"/>
        <w:jc w:val="both"/>
      </w:pPr>
      <w:r w:rsidRPr="0089025F">
        <w:t>La remise en question des politiques sociales au Canada depuis plus de dix ans nous apparaît être un aspect de la transformation de l’État interventionniste en État concurrentiel. Cette transformation accompagne dans une large mesure le processus de mondialisation de l’économie capitaliste et sera d’autant plus nécessaire que le libre-échange deviendra réalité.</w:t>
      </w:r>
    </w:p>
    <w:p w14:paraId="6D9162C2" w14:textId="77777777" w:rsidR="002B5286" w:rsidRPr="0089025F" w:rsidRDefault="002B5286" w:rsidP="002B5286">
      <w:pPr>
        <w:spacing w:before="120" w:after="120"/>
        <w:jc w:val="both"/>
      </w:pPr>
    </w:p>
    <w:sectPr w:rsidR="002B5286" w:rsidRPr="0089025F" w:rsidSect="002B5286">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00EB" w14:textId="77777777" w:rsidR="007C1E5E" w:rsidRDefault="007C1E5E">
      <w:r>
        <w:separator/>
      </w:r>
    </w:p>
  </w:endnote>
  <w:endnote w:type="continuationSeparator" w:id="0">
    <w:p w14:paraId="31EC569B" w14:textId="77777777" w:rsidR="007C1E5E" w:rsidRDefault="007C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9DE8" w14:textId="77777777" w:rsidR="007C1E5E" w:rsidRDefault="007C1E5E">
      <w:pPr>
        <w:ind w:firstLine="0"/>
      </w:pPr>
      <w:r>
        <w:separator/>
      </w:r>
    </w:p>
  </w:footnote>
  <w:footnote w:type="continuationSeparator" w:id="0">
    <w:p w14:paraId="405A05F1" w14:textId="77777777" w:rsidR="007C1E5E" w:rsidRDefault="007C1E5E">
      <w:pPr>
        <w:ind w:firstLine="0"/>
      </w:pPr>
      <w:r>
        <w:separator/>
      </w:r>
    </w:p>
  </w:footnote>
  <w:footnote w:id="1">
    <w:p w14:paraId="548CBB3A" w14:textId="77777777" w:rsidR="002B5286" w:rsidRDefault="002B5286" w:rsidP="002B5286">
      <w:pPr>
        <w:pStyle w:val="Notedebasdepage"/>
      </w:pPr>
      <w:r>
        <w:rPr>
          <w:rStyle w:val="Appelnotedebasdep"/>
        </w:rPr>
        <w:footnoteRef/>
      </w:r>
      <w:r>
        <w:t xml:space="preserve"> </w:t>
      </w:r>
      <w:r>
        <w:tab/>
      </w:r>
      <w:r w:rsidRPr="0089025F">
        <w:t xml:space="preserve">Sur ce point, voir B. Rosier et P. Dockès (1983), </w:t>
      </w:r>
      <w:r w:rsidRPr="0089025F">
        <w:rPr>
          <w:i/>
        </w:rPr>
        <w:t>Rythmes éc</w:t>
      </w:r>
      <w:r w:rsidRPr="0089025F">
        <w:rPr>
          <w:i/>
        </w:rPr>
        <w:t>o</w:t>
      </w:r>
      <w:r w:rsidRPr="0089025F">
        <w:rPr>
          <w:i/>
        </w:rPr>
        <w:t>nomiques</w:t>
      </w:r>
      <w:r w:rsidRPr="0089025F">
        <w:t>, Paris, La Découverte.</w:t>
      </w:r>
    </w:p>
  </w:footnote>
  <w:footnote w:id="2">
    <w:p w14:paraId="35F78334" w14:textId="77777777" w:rsidR="002B5286" w:rsidRDefault="002B5286" w:rsidP="002B5286">
      <w:pPr>
        <w:pStyle w:val="Notedebasdepage"/>
      </w:pPr>
      <w:r>
        <w:rPr>
          <w:rStyle w:val="Appelnotedebasdep"/>
        </w:rPr>
        <w:footnoteRef/>
      </w:r>
      <w:r>
        <w:t xml:space="preserve"> </w:t>
      </w:r>
      <w:r>
        <w:tab/>
      </w:r>
      <w:r w:rsidRPr="0089025F">
        <w:t xml:space="preserve">Voir C.H. Tilley (1975), </w:t>
      </w:r>
      <w:r w:rsidRPr="0089025F">
        <w:rPr>
          <w:i/>
        </w:rPr>
        <w:t>The Formation of National States in Western E</w:t>
      </w:r>
      <w:r w:rsidRPr="0089025F">
        <w:rPr>
          <w:i/>
        </w:rPr>
        <w:t>u</w:t>
      </w:r>
      <w:r w:rsidRPr="0089025F">
        <w:rPr>
          <w:i/>
        </w:rPr>
        <w:t>rope</w:t>
      </w:r>
      <w:r w:rsidRPr="0089025F">
        <w:t>, Princeton University Press, et P. Birnbaum (1985), « États, idéologies et a</w:t>
      </w:r>
      <w:r w:rsidRPr="0089025F">
        <w:t>c</w:t>
      </w:r>
      <w:r w:rsidRPr="0089025F">
        <w:t xml:space="preserve">tion collective en Europe occidentale », in A. Kazancigil (dir.), </w:t>
      </w:r>
      <w:r w:rsidRPr="0089025F">
        <w:rPr>
          <w:i/>
        </w:rPr>
        <w:t>L’État au pl</w:t>
      </w:r>
      <w:r w:rsidRPr="0089025F">
        <w:rPr>
          <w:i/>
        </w:rPr>
        <w:t>u</w:t>
      </w:r>
      <w:r w:rsidRPr="0089025F">
        <w:rPr>
          <w:i/>
        </w:rPr>
        <w:t>riel</w:t>
      </w:r>
      <w:r w:rsidRPr="0089025F">
        <w:t>, Economica.</w:t>
      </w:r>
    </w:p>
  </w:footnote>
  <w:footnote w:id="3">
    <w:p w14:paraId="73712147" w14:textId="77777777" w:rsidR="002B5286" w:rsidRDefault="002B5286" w:rsidP="002B5286">
      <w:pPr>
        <w:pStyle w:val="Notedebasdepage"/>
      </w:pPr>
      <w:r>
        <w:rPr>
          <w:rStyle w:val="Appelnotedebasdep"/>
        </w:rPr>
        <w:footnoteRef/>
      </w:r>
      <w:r>
        <w:t xml:space="preserve"> </w:t>
      </w:r>
      <w:r>
        <w:tab/>
      </w:r>
      <w:r w:rsidRPr="0089025F">
        <w:t>J.K. Laux (1983), « Expanding the State : the International Relations of St</w:t>
      </w:r>
      <w:r w:rsidRPr="0089025F">
        <w:t>a</w:t>
      </w:r>
      <w:r w:rsidRPr="0089025F">
        <w:t xml:space="preserve">te-Owned Enterprises in Canada », </w:t>
      </w:r>
      <w:r w:rsidRPr="0089025F">
        <w:rPr>
          <w:i/>
        </w:rPr>
        <w:t>Polity</w:t>
      </w:r>
      <w:r w:rsidRPr="0089025F">
        <w:t>, vol. 5, n° 3, pp. 340-341 et p. 350.</w:t>
      </w:r>
    </w:p>
  </w:footnote>
  <w:footnote w:id="4">
    <w:p w14:paraId="56169442" w14:textId="77777777" w:rsidR="002B5286" w:rsidRDefault="002B5286" w:rsidP="002B5286">
      <w:pPr>
        <w:pStyle w:val="Notedebasdepage"/>
      </w:pPr>
      <w:r>
        <w:rPr>
          <w:rStyle w:val="Appelnotedebasdep"/>
        </w:rPr>
        <w:footnoteRef/>
      </w:r>
      <w:r>
        <w:t xml:space="preserve"> </w:t>
      </w:r>
      <w:r>
        <w:tab/>
      </w:r>
      <w:r w:rsidRPr="0089025F">
        <w:t xml:space="preserve">G. Gagné, « </w:t>
      </w:r>
      <w:hyperlink r:id="rId1" w:history="1">
        <w:r w:rsidRPr="00F5310A">
          <w:rPr>
            <w:rStyle w:val="Hyperlien"/>
          </w:rPr>
          <w:t>L’État commercial ouvert</w:t>
        </w:r>
      </w:hyperlink>
      <w:r w:rsidRPr="0089025F">
        <w:t xml:space="preserve"> », </w:t>
      </w:r>
      <w:r w:rsidRPr="0089025F">
        <w:rPr>
          <w:i/>
        </w:rPr>
        <w:t>Conjonctures et Politique</w:t>
      </w:r>
      <w:r w:rsidRPr="0089025F">
        <w:t>, n° 7, a</w:t>
      </w:r>
      <w:r w:rsidRPr="0089025F">
        <w:t>u</w:t>
      </w:r>
      <w:r w:rsidRPr="0089025F">
        <w:t>tomne 85.</w:t>
      </w:r>
    </w:p>
  </w:footnote>
  <w:footnote w:id="5">
    <w:p w14:paraId="3B427E5F" w14:textId="77777777" w:rsidR="002B5286" w:rsidRDefault="002B5286" w:rsidP="002B5286">
      <w:pPr>
        <w:pStyle w:val="Notedebasdepage"/>
      </w:pPr>
      <w:r>
        <w:rPr>
          <w:rStyle w:val="Appelnotedebasdep"/>
        </w:rPr>
        <w:footnoteRef/>
      </w:r>
      <w:r>
        <w:t xml:space="preserve"> </w:t>
      </w:r>
      <w:r>
        <w:tab/>
      </w:r>
      <w:r w:rsidRPr="0089025F">
        <w:t xml:space="preserve">CEP Étude, </w:t>
      </w:r>
      <w:r w:rsidRPr="0089025F">
        <w:rPr>
          <w:i/>
        </w:rPr>
        <w:t xml:space="preserve">Grappes technologiques et stratégies industrielles. </w:t>
      </w:r>
      <w:r w:rsidRPr="0089025F">
        <w:t>Étude du CEREM pour le Ministère du Redéploiement Industriel et du Commerce Èxt</w:t>
      </w:r>
      <w:r w:rsidRPr="0089025F">
        <w:t>é</w:t>
      </w:r>
      <w:r w:rsidRPr="0089025F">
        <w:t xml:space="preserve">rieur, Paris, mai 1985, p. 52. </w:t>
      </w:r>
    </w:p>
  </w:footnote>
  <w:footnote w:id="6">
    <w:p w14:paraId="00F6C68D" w14:textId="77777777" w:rsidR="002B5286" w:rsidRDefault="002B5286" w:rsidP="002B5286">
      <w:pPr>
        <w:pStyle w:val="Notedebasdepage"/>
      </w:pPr>
      <w:r>
        <w:rPr>
          <w:rStyle w:val="Appelnotedebasdep"/>
        </w:rPr>
        <w:footnoteRef/>
      </w:r>
      <w:r>
        <w:t xml:space="preserve"> </w:t>
      </w:r>
      <w:r>
        <w:tab/>
      </w:r>
      <w:r w:rsidRPr="0089025F">
        <w:t>B.R. Scott (1984), « National Strategy for a Stronger U.S. Competitiv</w:t>
      </w:r>
      <w:r w:rsidRPr="0089025F">
        <w:t>e</w:t>
      </w:r>
      <w:r w:rsidRPr="0089025F">
        <w:t xml:space="preserve">ness », </w:t>
      </w:r>
      <w:r w:rsidRPr="0089025F">
        <w:rPr>
          <w:i/>
        </w:rPr>
        <w:t>Harvard Business Review</w:t>
      </w:r>
      <w:r w:rsidRPr="0089025F">
        <w:t>, n° 2, p. 89.</w:t>
      </w:r>
    </w:p>
  </w:footnote>
  <w:footnote w:id="7">
    <w:p w14:paraId="162BC001" w14:textId="77777777" w:rsidR="002B5286" w:rsidRDefault="002B5286" w:rsidP="002B5286">
      <w:pPr>
        <w:pStyle w:val="Notedebasdepage"/>
      </w:pPr>
      <w:r>
        <w:rPr>
          <w:rStyle w:val="Appelnotedebasdep"/>
        </w:rPr>
        <w:footnoteRef/>
      </w:r>
      <w:r>
        <w:t xml:space="preserve"> </w:t>
      </w:r>
      <w:r>
        <w:tab/>
      </w:r>
      <w:r w:rsidRPr="00F5310A">
        <w:rPr>
          <w:i/>
        </w:rPr>
        <w:t>Ibid</w:t>
      </w:r>
      <w:r w:rsidRPr="0089025F">
        <w:t>., p. 81.</w:t>
      </w:r>
    </w:p>
  </w:footnote>
  <w:footnote w:id="8">
    <w:p w14:paraId="2771A35C" w14:textId="77777777" w:rsidR="002B5286" w:rsidRDefault="002B5286" w:rsidP="002B5286">
      <w:pPr>
        <w:pStyle w:val="Notedebasdepage"/>
      </w:pPr>
      <w:r>
        <w:rPr>
          <w:rStyle w:val="Appelnotedebasdep"/>
        </w:rPr>
        <w:footnoteRef/>
      </w:r>
      <w:r>
        <w:t xml:space="preserve"> </w:t>
      </w:r>
      <w:r>
        <w:tab/>
      </w:r>
      <w:r w:rsidRPr="0089025F">
        <w:t xml:space="preserve">B. Rosier et P. Dockès (1983), </w:t>
      </w:r>
      <w:r w:rsidRPr="0089025F">
        <w:rPr>
          <w:i/>
        </w:rPr>
        <w:t>op. cit</w:t>
      </w:r>
      <w:r w:rsidRPr="0089025F">
        <w:t>., p. 251.</w:t>
      </w:r>
    </w:p>
  </w:footnote>
  <w:footnote w:id="9">
    <w:p w14:paraId="4D94B9DB" w14:textId="77777777" w:rsidR="002B5286" w:rsidRDefault="002B5286" w:rsidP="002B5286">
      <w:pPr>
        <w:pStyle w:val="Notedebasdepage"/>
      </w:pPr>
      <w:r>
        <w:rPr>
          <w:rStyle w:val="Appelnotedebasdep"/>
        </w:rPr>
        <w:footnoteRef/>
      </w:r>
      <w:r>
        <w:t xml:space="preserve"> </w:t>
      </w:r>
      <w:r>
        <w:tab/>
      </w:r>
      <w:r w:rsidRPr="0089025F">
        <w:t xml:space="preserve">L. Panitch et D. Swartz (1985), </w:t>
      </w:r>
      <w:r w:rsidRPr="0089025F">
        <w:rPr>
          <w:i/>
        </w:rPr>
        <w:t>From Consent to Coercion : The Assault on Trade Union Freedoms</w:t>
      </w:r>
      <w:r w:rsidRPr="0089025F">
        <w:t>, Toronto, Garamond Press, p. 13.</w:t>
      </w:r>
    </w:p>
  </w:footnote>
  <w:footnote w:id="10">
    <w:p w14:paraId="5DAAD5F2" w14:textId="77777777" w:rsidR="002B5286" w:rsidRDefault="002B5286" w:rsidP="002B5286">
      <w:pPr>
        <w:pStyle w:val="Notedebasdepage"/>
      </w:pPr>
      <w:r>
        <w:rPr>
          <w:rStyle w:val="Appelnotedebasdep"/>
        </w:rPr>
        <w:footnoteRef/>
      </w:r>
      <w:r>
        <w:t xml:space="preserve"> </w:t>
      </w:r>
      <w:r>
        <w:tab/>
      </w:r>
      <w:r w:rsidRPr="0089025F">
        <w:t>Pour une analyse des efforts de diversification du gouvern</w:t>
      </w:r>
      <w:r w:rsidRPr="0089025F">
        <w:t>e</w:t>
      </w:r>
      <w:r w:rsidRPr="0089025F">
        <w:t>ment fédéral, voir G. Hervouet, R. Hudon et G. Mace, « La troisième option : la politique co</w:t>
      </w:r>
      <w:r w:rsidRPr="0089025F">
        <w:t>m</w:t>
      </w:r>
      <w:r w:rsidRPr="0089025F">
        <w:t xml:space="preserve">merciale et au delà », in D. Cameron et F. Houle (dir.), </w:t>
      </w:r>
      <w:r w:rsidRPr="0089025F">
        <w:rPr>
          <w:i/>
        </w:rPr>
        <w:t>Le Canada et la NDIT</w:t>
      </w:r>
      <w:r w:rsidRPr="0089025F">
        <w:rPr>
          <w:rStyle w:val="Corpsdutexte228ptItalique"/>
          <w:color w:val="auto"/>
          <w:sz w:val="28"/>
          <w:lang w:val="fr-CA"/>
        </w:rPr>
        <w:t>,</w:t>
      </w:r>
      <w:r w:rsidRPr="0089025F">
        <w:t xml:space="preserve"> Éditions de l’Université d’Ottawa, 1985.</w:t>
      </w:r>
    </w:p>
  </w:footnote>
  <w:footnote w:id="11">
    <w:p w14:paraId="7DDE7CBA" w14:textId="77777777" w:rsidR="002B5286" w:rsidRDefault="002B5286" w:rsidP="002B5286">
      <w:pPr>
        <w:pStyle w:val="Notedebasdepage"/>
      </w:pPr>
      <w:r>
        <w:rPr>
          <w:rStyle w:val="Appelnotedebasdep"/>
        </w:rPr>
        <w:footnoteRef/>
      </w:r>
      <w:r>
        <w:t xml:space="preserve"> </w:t>
      </w:r>
      <w:r>
        <w:tab/>
      </w:r>
      <w:r w:rsidRPr="0089025F">
        <w:t>Gouvernement du Canada, La politique commerciale du Canada dans les a</w:t>
      </w:r>
      <w:r w:rsidRPr="0089025F">
        <w:t>n</w:t>
      </w:r>
      <w:r w:rsidRPr="0089025F">
        <w:t>nées 80, Ottawa, 1983, p. 50.</w:t>
      </w:r>
    </w:p>
  </w:footnote>
  <w:footnote w:id="12">
    <w:p w14:paraId="5B63E747" w14:textId="77777777" w:rsidR="002B5286" w:rsidRDefault="002B5286" w:rsidP="002B5286">
      <w:pPr>
        <w:pStyle w:val="Notedebasdepage"/>
      </w:pPr>
      <w:r>
        <w:rPr>
          <w:rStyle w:val="Appelnotedebasdep"/>
        </w:rPr>
        <w:footnoteRef/>
      </w:r>
      <w:r>
        <w:t xml:space="preserve"> </w:t>
      </w:r>
      <w:r>
        <w:tab/>
      </w:r>
      <w:r w:rsidRPr="0089025F">
        <w:t xml:space="preserve">Gouvernement du Canada (1985), </w:t>
      </w:r>
      <w:r w:rsidRPr="0089025F">
        <w:rPr>
          <w:i/>
        </w:rPr>
        <w:t xml:space="preserve">Rapport de la Commission royale d’enquête sur l’union </w:t>
      </w:r>
      <w:r w:rsidRPr="0089025F">
        <w:rPr>
          <w:szCs w:val="28"/>
        </w:rPr>
        <w:t>économique et les perspectives de dév</w:t>
      </w:r>
      <w:r w:rsidRPr="0089025F">
        <w:rPr>
          <w:szCs w:val="28"/>
        </w:rPr>
        <w:t>e</w:t>
      </w:r>
      <w:r w:rsidRPr="0089025F">
        <w:rPr>
          <w:szCs w:val="28"/>
        </w:rPr>
        <w:t>loppement</w:t>
      </w:r>
      <w:r w:rsidRPr="0089025F">
        <w:rPr>
          <w:i/>
        </w:rPr>
        <w:t xml:space="preserve"> du Canada</w:t>
      </w:r>
      <w:r w:rsidRPr="0089025F">
        <w:t>, Ottawa, vol. I, p. 359. Pour une excellente analyse du rapport Ma</w:t>
      </w:r>
      <w:r w:rsidRPr="0089025F">
        <w:t>c</w:t>
      </w:r>
      <w:r w:rsidRPr="0089025F">
        <w:t>donald, voir R. Hudon, « La Commission Macdonald : principes et préce</w:t>
      </w:r>
      <w:r w:rsidRPr="0089025F">
        <w:t>p</w:t>
      </w:r>
      <w:r w:rsidRPr="0089025F">
        <w:t xml:space="preserve">tes », </w:t>
      </w:r>
      <w:r w:rsidRPr="0089025F">
        <w:rPr>
          <w:i/>
        </w:rPr>
        <w:t>Polit</w:t>
      </w:r>
      <w:r w:rsidRPr="0089025F">
        <w:rPr>
          <w:i/>
        </w:rPr>
        <w:t>i</w:t>
      </w:r>
      <w:r w:rsidRPr="0089025F">
        <w:rPr>
          <w:i/>
        </w:rPr>
        <w:t>que</w:t>
      </w:r>
      <w:r w:rsidRPr="0089025F">
        <w:t>, n° 9, Hiver.</w:t>
      </w:r>
    </w:p>
  </w:footnote>
  <w:footnote w:id="13">
    <w:p w14:paraId="22AC6470" w14:textId="77777777" w:rsidR="002B5286" w:rsidRDefault="002B5286" w:rsidP="002B5286">
      <w:pPr>
        <w:pStyle w:val="Notedebasdepage"/>
      </w:pPr>
      <w:r>
        <w:rPr>
          <w:rStyle w:val="Appelnotedebasdep"/>
        </w:rPr>
        <w:footnoteRef/>
      </w:r>
      <w:r>
        <w:t xml:space="preserve"> </w:t>
      </w:r>
      <w:r>
        <w:tab/>
      </w:r>
      <w:r w:rsidRPr="0089025F">
        <w:rPr>
          <w:rStyle w:val="Corpsdutexte228ptItalique"/>
          <w:color w:val="auto"/>
          <w:sz w:val="28"/>
          <w:lang w:val="fr-CA"/>
        </w:rPr>
        <w:t>Ibid.</w:t>
      </w:r>
      <w:r w:rsidRPr="0089025F">
        <w:t>, p. 194.</w:t>
      </w:r>
    </w:p>
  </w:footnote>
  <w:footnote w:id="14">
    <w:p w14:paraId="4A95E7C4" w14:textId="77777777" w:rsidR="002B5286" w:rsidRDefault="002B5286" w:rsidP="002B5286">
      <w:pPr>
        <w:pStyle w:val="Notedebasdepage"/>
      </w:pPr>
      <w:r>
        <w:rPr>
          <w:rStyle w:val="Appelnotedebasdep"/>
        </w:rPr>
        <w:footnoteRef/>
      </w:r>
      <w:r>
        <w:t xml:space="preserve"> </w:t>
      </w:r>
      <w:r>
        <w:tab/>
      </w:r>
      <w:r w:rsidRPr="0089025F">
        <w:t>Ministère des Affaires extérieures. Compétitivité et sécurité : orientations pour les relations extérieures du Canada, Ottawa, 1985, p. 18.</w:t>
      </w:r>
    </w:p>
  </w:footnote>
  <w:footnote w:id="15">
    <w:p w14:paraId="73E92430" w14:textId="77777777" w:rsidR="002B5286" w:rsidRDefault="002B5286" w:rsidP="002B5286">
      <w:pPr>
        <w:pStyle w:val="Notedebasdepage"/>
      </w:pPr>
      <w:r>
        <w:rPr>
          <w:rStyle w:val="Appelnotedebasdep"/>
        </w:rPr>
        <w:footnoteRef/>
      </w:r>
      <w:r>
        <w:t xml:space="preserve"> </w:t>
      </w:r>
      <w:r>
        <w:tab/>
      </w:r>
      <w:r w:rsidRPr="0089025F">
        <w:t>La dernière réforme majeure visant l’extension des progra</w:t>
      </w:r>
      <w:r w:rsidRPr="0089025F">
        <w:t>m</w:t>
      </w:r>
      <w:r w:rsidRPr="0089025F">
        <w:t>mes sociaux fut la révision de la loi de l’assurance-chômage en 1971.</w:t>
      </w:r>
    </w:p>
  </w:footnote>
  <w:footnote w:id="16">
    <w:p w14:paraId="521E4B69" w14:textId="77777777" w:rsidR="002B5286" w:rsidRDefault="002B5286" w:rsidP="002B5286">
      <w:pPr>
        <w:pStyle w:val="Notedebasdepage"/>
      </w:pPr>
      <w:r>
        <w:rPr>
          <w:rStyle w:val="Appelnotedebasdep"/>
        </w:rPr>
        <w:footnoteRef/>
      </w:r>
      <w:r>
        <w:t xml:space="preserve"> </w:t>
      </w:r>
      <w:r>
        <w:tab/>
      </w:r>
      <w:r w:rsidRPr="0089025F">
        <w:t xml:space="preserve">Conseil canadien de Développement social (1984), </w:t>
      </w:r>
      <w:r w:rsidRPr="0089025F">
        <w:rPr>
          <w:i/>
        </w:rPr>
        <w:t>Une société respons</w:t>
      </w:r>
      <w:r w:rsidRPr="0089025F">
        <w:rPr>
          <w:i/>
        </w:rPr>
        <w:t>a</w:t>
      </w:r>
      <w:r w:rsidRPr="0089025F">
        <w:rPr>
          <w:i/>
        </w:rPr>
        <w:t>ble... Pour défier l'avenir</w:t>
      </w:r>
      <w:r w:rsidRPr="0089025F">
        <w:t>, Ottawa, p. 77.</w:t>
      </w:r>
    </w:p>
  </w:footnote>
  <w:footnote w:id="17">
    <w:p w14:paraId="6F3FCC4A" w14:textId="77777777" w:rsidR="002B5286" w:rsidRDefault="002B5286" w:rsidP="002B5286">
      <w:pPr>
        <w:pStyle w:val="Notedebasdepage"/>
      </w:pPr>
      <w:r>
        <w:rPr>
          <w:rStyle w:val="Appelnotedebasdep"/>
        </w:rPr>
        <w:footnoteRef/>
      </w:r>
      <w:r>
        <w:t xml:space="preserve"> </w:t>
      </w:r>
      <w:r>
        <w:tab/>
      </w:r>
      <w:r w:rsidRPr="0089025F">
        <w:rPr>
          <w:i/>
        </w:rPr>
        <w:t>Le Devoir</w:t>
      </w:r>
      <w:r w:rsidRPr="0089025F">
        <w:t>, 19 février 1986, p. 11.</w:t>
      </w:r>
    </w:p>
  </w:footnote>
  <w:footnote w:id="18">
    <w:p w14:paraId="7D8D2838" w14:textId="77777777" w:rsidR="002B5286" w:rsidRDefault="002B5286" w:rsidP="002B5286">
      <w:pPr>
        <w:pStyle w:val="Notedebasdepage"/>
      </w:pPr>
      <w:r>
        <w:rPr>
          <w:rStyle w:val="Appelnotedebasdep"/>
        </w:rPr>
        <w:footnoteRef/>
      </w:r>
      <w:r>
        <w:t xml:space="preserve"> </w:t>
      </w:r>
      <w:r>
        <w:tab/>
      </w:r>
      <w:r w:rsidRPr="0089025F">
        <w:t xml:space="preserve">Sur ce point voir les textes de B. Kundig et de B. Coriat, dans </w:t>
      </w:r>
      <w:r w:rsidRPr="0089025F">
        <w:rPr>
          <w:i/>
        </w:rPr>
        <w:t>Cr</w:t>
      </w:r>
      <w:r w:rsidRPr="0089025F">
        <w:rPr>
          <w:i/>
        </w:rPr>
        <w:t>i</w:t>
      </w:r>
      <w:r w:rsidRPr="0089025F">
        <w:rPr>
          <w:i/>
        </w:rPr>
        <w:t>tiques de l’économie politique</w:t>
      </w:r>
      <w:r w:rsidRPr="0089025F">
        <w:t>, n</w:t>
      </w:r>
      <w:r w:rsidRPr="0089025F">
        <w:rPr>
          <w:vertAlign w:val="superscript"/>
        </w:rPr>
        <w:t>os</w:t>
      </w:r>
      <w:r w:rsidRPr="0089025F">
        <w:t xml:space="preserve"> 26-27, 1984.</w:t>
      </w:r>
    </w:p>
  </w:footnote>
  <w:footnote w:id="19">
    <w:p w14:paraId="2B4CD791" w14:textId="77777777" w:rsidR="002B5286" w:rsidRDefault="002B5286" w:rsidP="002B5286">
      <w:pPr>
        <w:pStyle w:val="Notedebasdepage"/>
      </w:pPr>
      <w:r>
        <w:rPr>
          <w:rStyle w:val="Appelnotedebasdep"/>
        </w:rPr>
        <w:footnoteRef/>
      </w:r>
      <w:r>
        <w:t xml:space="preserve"> </w:t>
      </w:r>
      <w:r>
        <w:tab/>
      </w:r>
      <w:r w:rsidRPr="0089025F">
        <w:t>Pour une analyse des sources philosophiques du néo-libéralisme et du né</w:t>
      </w:r>
      <w:r w:rsidRPr="0089025F">
        <w:t>o</w:t>
      </w:r>
      <w:r w:rsidRPr="0089025F">
        <w:t>conservatisme, voir F. Houle (1987), « Du libéralisme classique au néolib</w:t>
      </w:r>
      <w:r w:rsidRPr="0089025F">
        <w:t>é</w:t>
      </w:r>
      <w:r w:rsidRPr="0089025F">
        <w:t>ralisme : la soumission de l’État aux lois du marché », à paraître dans un ouvrage sous la direction de Lizette Jalbert aux Pre</w:t>
      </w:r>
      <w:r w:rsidRPr="0089025F">
        <w:t>s</w:t>
      </w:r>
      <w:r w:rsidRPr="0089025F">
        <w:t>ses de l’Université du Québec en 1987.</w:t>
      </w:r>
    </w:p>
  </w:footnote>
  <w:footnote w:id="20">
    <w:p w14:paraId="3DF6ACD1" w14:textId="77777777" w:rsidR="002B5286" w:rsidRDefault="002B5286" w:rsidP="002B5286">
      <w:pPr>
        <w:pStyle w:val="Notedebasdepage"/>
      </w:pPr>
      <w:r>
        <w:rPr>
          <w:rStyle w:val="Appelnotedebasdep"/>
        </w:rPr>
        <w:footnoteRef/>
      </w:r>
      <w:r>
        <w:t xml:space="preserve"> </w:t>
      </w:r>
      <w:r>
        <w:tab/>
      </w:r>
      <w:r w:rsidRPr="0089025F">
        <w:t>A. Lipietz (1985),</w:t>
      </w:r>
      <w:r w:rsidRPr="0089025F">
        <w:tab/>
        <w:t>« Trois crises », CEPREMAP, doc. n° 8528, p.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7BAF" w14:textId="77777777" w:rsidR="002B5286" w:rsidRDefault="002B5286" w:rsidP="002B528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François Houle, </w:t>
    </w:r>
    <w:r w:rsidRPr="00560917">
      <w:rPr>
        <w:rFonts w:ascii="Times New Roman" w:hAnsi="Times New Roman"/>
      </w:rPr>
      <w:t>“Réflexions sur</w:t>
    </w:r>
    <w:r>
      <w:rPr>
        <w:rFonts w:ascii="Times New Roman" w:hAnsi="Times New Roman"/>
      </w:rPr>
      <w:t xml:space="preserve"> </w:t>
    </w:r>
    <w:r w:rsidRPr="00560917">
      <w:rPr>
        <w:rFonts w:ascii="Times New Roman" w:hAnsi="Times New Roman"/>
      </w:rPr>
      <w:t>la restructuration de l’État</w:t>
    </w:r>
    <w:r>
      <w:rPr>
        <w:rFonts w:ascii="Times New Roman" w:hAnsi="Times New Roman"/>
      </w:rPr>
      <w:t xml:space="preserve"> </w:t>
    </w:r>
    <w:r w:rsidRPr="00560917">
      <w:rPr>
        <w:rFonts w:ascii="Times New Roman" w:hAnsi="Times New Roman"/>
      </w:rPr>
      <w:t>au Canada.”</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C1E5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23</w:t>
    </w:r>
    <w:r>
      <w:rPr>
        <w:rStyle w:val="Numrodepage"/>
        <w:rFonts w:ascii="Times New Roman" w:hAnsi="Times New Roman"/>
      </w:rPr>
      <w:fldChar w:fldCharType="end"/>
    </w:r>
  </w:p>
  <w:p w14:paraId="3419A62B" w14:textId="77777777" w:rsidR="002B5286" w:rsidRDefault="002B528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A729C"/>
    <w:multiLevelType w:val="multilevel"/>
    <w:tmpl w:val="28A6D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980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B5286"/>
    <w:rsid w:val="007C1E5E"/>
    <w:rsid w:val="00E13C6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1A35B8"/>
  <w15:chartTrackingRefBased/>
  <w15:docId w15:val="{AFF3271B-63D0-5348-86AE-B1C7D760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F81A92"/>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408C2"/>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366403"/>
    <w:rPr>
      <w:b w:val="0"/>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D1279E"/>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D1279E"/>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F81A92"/>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408C2"/>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0">
    <w:name w:val="Note de bas de page_"/>
    <w:link w:val="Notedebasdepage1"/>
    <w:rsid w:val="00BA0AA8"/>
    <w:rPr>
      <w:rFonts w:ascii="Times New Roman" w:eastAsia="Times New Roman" w:hAnsi="Times New Roman"/>
      <w:i/>
      <w:iCs/>
      <w:sz w:val="18"/>
      <w:szCs w:val="18"/>
      <w:shd w:val="clear" w:color="auto" w:fill="FFFFFF"/>
    </w:rPr>
  </w:style>
  <w:style w:type="paragraph" w:customStyle="1" w:styleId="Notedebasdepage1">
    <w:name w:val="Note de bas de page1"/>
    <w:basedOn w:val="Normal"/>
    <w:link w:val="Notedebasdepage0"/>
    <w:rsid w:val="00BA0AA8"/>
    <w:pPr>
      <w:widowControl w:val="0"/>
      <w:shd w:val="clear" w:color="auto" w:fill="FFFFFF"/>
      <w:spacing w:line="198" w:lineRule="exact"/>
      <w:ind w:hanging="125"/>
    </w:pPr>
    <w:rPr>
      <w:i/>
      <w:iCs/>
      <w:sz w:val="18"/>
      <w:szCs w:val="18"/>
      <w:lang w:val="x-none" w:eastAsia="x-none"/>
    </w:rPr>
  </w:style>
  <w:style w:type="character" w:customStyle="1" w:styleId="NotedebasdepageNonItalique">
    <w:name w:val="Note de bas de page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BA0AA8"/>
    <w:rPr>
      <w:rFonts w:ascii="Times New Roman" w:eastAsia="Times New Roman" w:hAnsi="Times New Roman"/>
      <w:sz w:val="21"/>
      <w:szCs w:val="21"/>
      <w:shd w:val="clear" w:color="auto" w:fill="FFFFFF"/>
    </w:rPr>
  </w:style>
  <w:style w:type="paragraph" w:customStyle="1" w:styleId="Notedebasdepage20">
    <w:name w:val="Note de bas de page (2)"/>
    <w:basedOn w:val="Normal"/>
    <w:link w:val="Notedebasdepage2"/>
    <w:rsid w:val="00BA0AA8"/>
    <w:pPr>
      <w:widowControl w:val="0"/>
      <w:shd w:val="clear" w:color="auto" w:fill="FFFFFF"/>
      <w:spacing w:line="223" w:lineRule="exact"/>
      <w:ind w:firstLine="335"/>
      <w:jc w:val="both"/>
    </w:pPr>
    <w:rPr>
      <w:sz w:val="21"/>
      <w:szCs w:val="21"/>
      <w:lang w:val="x-none" w:eastAsia="x-none"/>
    </w:rPr>
  </w:style>
  <w:style w:type="character" w:customStyle="1" w:styleId="Notedebasdepage3">
    <w:name w:val="Note de bas de page (3)_"/>
    <w:link w:val="Notedebasdepage30"/>
    <w:rsid w:val="00BA0AA8"/>
    <w:rPr>
      <w:rFonts w:ascii="Times New Roman" w:eastAsia="Times New Roman" w:hAnsi="Times New Roman"/>
      <w:b/>
      <w:bCs/>
      <w:sz w:val="21"/>
      <w:szCs w:val="21"/>
      <w:shd w:val="clear" w:color="auto" w:fill="FFFFFF"/>
    </w:rPr>
  </w:style>
  <w:style w:type="paragraph" w:customStyle="1" w:styleId="Notedebasdepage30">
    <w:name w:val="Note de bas de page (3)"/>
    <w:basedOn w:val="Normal"/>
    <w:link w:val="Notedebasdepage3"/>
    <w:rsid w:val="00BA0AA8"/>
    <w:pPr>
      <w:widowControl w:val="0"/>
      <w:shd w:val="clear" w:color="auto" w:fill="FFFFFF"/>
      <w:spacing w:line="0" w:lineRule="atLeast"/>
      <w:ind w:firstLine="29"/>
    </w:pPr>
    <w:rPr>
      <w:b/>
      <w:bCs/>
      <w:sz w:val="21"/>
      <w:szCs w:val="21"/>
      <w:lang w:val="x-none" w:eastAsia="x-none"/>
    </w:rPr>
  </w:style>
  <w:style w:type="character" w:customStyle="1" w:styleId="Notedebasdepage4">
    <w:name w:val="Note de bas de page (4)_"/>
    <w:link w:val="Notedebasdepage40"/>
    <w:rsid w:val="00BA0AA8"/>
    <w:rPr>
      <w:rFonts w:ascii="Times New Roman" w:eastAsia="Times New Roman" w:hAnsi="Times New Roman"/>
      <w:sz w:val="17"/>
      <w:szCs w:val="17"/>
      <w:shd w:val="clear" w:color="auto" w:fill="FFFFFF"/>
    </w:rPr>
  </w:style>
  <w:style w:type="paragraph" w:customStyle="1" w:styleId="Notedebasdepage40">
    <w:name w:val="Note de bas de page (4)"/>
    <w:basedOn w:val="Normal"/>
    <w:link w:val="Notedebasdepage4"/>
    <w:rsid w:val="00BA0AA8"/>
    <w:pPr>
      <w:widowControl w:val="0"/>
      <w:shd w:val="clear" w:color="auto" w:fill="FFFFFF"/>
      <w:spacing w:line="176" w:lineRule="exact"/>
      <w:ind w:hanging="110"/>
      <w:jc w:val="both"/>
    </w:pPr>
    <w:rPr>
      <w:sz w:val="17"/>
      <w:szCs w:val="17"/>
      <w:lang w:val="x-none" w:eastAsia="x-none"/>
    </w:rPr>
  </w:style>
  <w:style w:type="character" w:customStyle="1" w:styleId="Notedebasdepage5">
    <w:name w:val="Note de bas de page (5)_"/>
    <w:link w:val="Notedebasdepage50"/>
    <w:rsid w:val="00BA0AA8"/>
    <w:rPr>
      <w:rFonts w:ascii="Times New Roman" w:eastAsia="Times New Roman" w:hAnsi="Times New Roman"/>
      <w:i/>
      <w:iCs/>
      <w:sz w:val="17"/>
      <w:szCs w:val="17"/>
      <w:shd w:val="clear" w:color="auto" w:fill="FFFFFF"/>
    </w:rPr>
  </w:style>
  <w:style w:type="paragraph" w:customStyle="1" w:styleId="Notedebasdepage50">
    <w:name w:val="Note de bas de page (5)"/>
    <w:basedOn w:val="Normal"/>
    <w:link w:val="Notedebasdepage5"/>
    <w:rsid w:val="00BA0AA8"/>
    <w:pPr>
      <w:widowControl w:val="0"/>
      <w:shd w:val="clear" w:color="auto" w:fill="FFFFFF"/>
      <w:spacing w:line="180" w:lineRule="exact"/>
      <w:ind w:hanging="96"/>
      <w:jc w:val="both"/>
    </w:pPr>
    <w:rPr>
      <w:i/>
      <w:iCs/>
      <w:sz w:val="17"/>
      <w:szCs w:val="17"/>
      <w:lang w:val="x-none" w:eastAsia="x-none"/>
    </w:rPr>
  </w:style>
  <w:style w:type="character" w:customStyle="1" w:styleId="Notedebasdepage5NonItalique">
    <w:name w:val="Note de bas de page (5) + Non Italique"/>
    <w:rsid w:val="00BA0A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Italique">
    <w:name w:val="Note de bas de page (4) + Italique"/>
    <w:rsid w:val="00BA0AA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6">
    <w:name w:val="Note de bas de page (6)_"/>
    <w:link w:val="Notedebasdepage60"/>
    <w:rsid w:val="00BA0AA8"/>
    <w:rPr>
      <w:rFonts w:ascii="Times New Roman" w:eastAsia="Times New Roman" w:hAnsi="Times New Roman"/>
      <w:i/>
      <w:iCs/>
      <w:sz w:val="21"/>
      <w:szCs w:val="21"/>
      <w:shd w:val="clear" w:color="auto" w:fill="FFFFFF"/>
    </w:rPr>
  </w:style>
  <w:style w:type="paragraph" w:customStyle="1" w:styleId="Notedebasdepage60">
    <w:name w:val="Note de bas de page (6)"/>
    <w:basedOn w:val="Normal"/>
    <w:link w:val="Notedebasdepage6"/>
    <w:rsid w:val="00BA0AA8"/>
    <w:pPr>
      <w:widowControl w:val="0"/>
      <w:shd w:val="clear" w:color="auto" w:fill="FFFFFF"/>
      <w:spacing w:line="220" w:lineRule="exact"/>
      <w:ind w:firstLine="0"/>
      <w:jc w:val="both"/>
    </w:pPr>
    <w:rPr>
      <w:i/>
      <w:iCs/>
      <w:sz w:val="21"/>
      <w:szCs w:val="21"/>
      <w:lang w:val="x-none" w:eastAsia="x-none"/>
    </w:rPr>
  </w:style>
  <w:style w:type="character" w:customStyle="1" w:styleId="Notedebasdepage7">
    <w:name w:val="Note de bas de page (7)_"/>
    <w:link w:val="Notedebasdepage70"/>
    <w:rsid w:val="00BA0AA8"/>
    <w:rPr>
      <w:rFonts w:ascii="Times New Roman" w:eastAsia="Times New Roman" w:hAnsi="Times New Roman"/>
      <w:w w:val="150"/>
      <w:sz w:val="18"/>
      <w:szCs w:val="18"/>
      <w:shd w:val="clear" w:color="auto" w:fill="FFFFFF"/>
    </w:rPr>
  </w:style>
  <w:style w:type="paragraph" w:customStyle="1" w:styleId="Notedebasdepage70">
    <w:name w:val="Note de bas de page (7)"/>
    <w:basedOn w:val="Normal"/>
    <w:link w:val="Notedebasdepage7"/>
    <w:rsid w:val="00BA0AA8"/>
    <w:pPr>
      <w:widowControl w:val="0"/>
      <w:shd w:val="clear" w:color="auto" w:fill="FFFFFF"/>
      <w:spacing w:line="0" w:lineRule="atLeast"/>
      <w:ind w:firstLine="29"/>
    </w:pPr>
    <w:rPr>
      <w:w w:val="150"/>
      <w:sz w:val="18"/>
      <w:szCs w:val="18"/>
      <w:lang w:val="x-none" w:eastAsia="x-none"/>
    </w:rPr>
  </w:style>
  <w:style w:type="character" w:customStyle="1" w:styleId="Notedebasdepage48ptItalique">
    <w:name w:val="Note de bas de page (4)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12">
    <w:name w:val="Table des matières (12)_"/>
    <w:link w:val="Tabledesmatires120"/>
    <w:rsid w:val="00BA0AA8"/>
    <w:rPr>
      <w:rFonts w:ascii="Times New Roman" w:eastAsia="Times New Roman" w:hAnsi="Times New Roman"/>
      <w:w w:val="150"/>
      <w:sz w:val="18"/>
      <w:szCs w:val="18"/>
      <w:shd w:val="clear" w:color="auto" w:fill="FFFFFF"/>
    </w:rPr>
  </w:style>
  <w:style w:type="paragraph" w:customStyle="1" w:styleId="Tabledesmatires120">
    <w:name w:val="Table des matières (12)"/>
    <w:basedOn w:val="Normal"/>
    <w:link w:val="Tabledesmatires12"/>
    <w:rsid w:val="00BA0AA8"/>
    <w:pPr>
      <w:widowControl w:val="0"/>
      <w:shd w:val="clear" w:color="auto" w:fill="FFFFFF"/>
      <w:spacing w:line="223" w:lineRule="exact"/>
    </w:pPr>
    <w:rPr>
      <w:w w:val="150"/>
      <w:sz w:val="18"/>
      <w:szCs w:val="18"/>
      <w:lang w:val="x-none" w:eastAsia="x-none"/>
    </w:rPr>
  </w:style>
  <w:style w:type="character" w:customStyle="1" w:styleId="Tabledesmatires127ptchelle100">
    <w:name w:val="Table des matières (12) + 7 pt;Échelle 100%"/>
    <w:rsid w:val="00BA0AA8"/>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abledesmatires127ptItaliquechelle100">
    <w:name w:val="Table des matières (12) + 7 pt;Italique;Échelle 100%"/>
    <w:rsid w:val="00BA0AA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abledesmatires1275ptItaliquechelle100">
    <w:name w:val="Table des matières (12) + 7.5 pt;Italique;Échelle 100%"/>
    <w:rsid w:val="00BA0AA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128ptchelle100">
    <w:name w:val="Table des matières (12) + 8 pt;Échelle 100%"/>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128ptGrasEspacement0ptchelle100">
    <w:name w:val="Table des matières (12) + 8 pt;Gras;Espacement 0 pt;Échelle 100%"/>
    <w:rsid w:val="00BA0AA8"/>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En-tteoupieddepage75ptItalique">
    <w:name w:val="En-tête ou pied de page + 7.5 pt;Italique"/>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3">
    <w:name w:val="Table des matières (3)_"/>
    <w:link w:val="Tabledesmatires30"/>
    <w:rsid w:val="00BA0AA8"/>
    <w:rPr>
      <w:rFonts w:ascii="Times New Roman" w:eastAsia="Times New Roman" w:hAnsi="Times New Roman"/>
      <w:sz w:val="18"/>
      <w:szCs w:val="18"/>
      <w:shd w:val="clear" w:color="auto" w:fill="FFFFFF"/>
    </w:rPr>
  </w:style>
  <w:style w:type="paragraph" w:customStyle="1" w:styleId="Tabledesmatires30">
    <w:name w:val="Table des matières (3)"/>
    <w:basedOn w:val="Normal"/>
    <w:link w:val="Tabledesmatires3"/>
    <w:rsid w:val="00BA0AA8"/>
    <w:pPr>
      <w:widowControl w:val="0"/>
      <w:shd w:val="clear" w:color="auto" w:fill="FFFFFF"/>
      <w:spacing w:before="60" w:after="60" w:line="194" w:lineRule="exact"/>
      <w:ind w:hanging="239"/>
    </w:pPr>
    <w:rPr>
      <w:sz w:val="18"/>
      <w:szCs w:val="18"/>
      <w:lang w:val="x-none" w:eastAsia="x-none"/>
    </w:rPr>
  </w:style>
  <w:style w:type="character" w:customStyle="1" w:styleId="Tabledesmatires3Italique">
    <w:name w:val="Table des matières (3) + Italique"/>
    <w:rsid w:val="00BA0AA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4">
    <w:name w:val="Table des matières (4)_"/>
    <w:link w:val="Tabledesmatires40"/>
    <w:rsid w:val="00BA0AA8"/>
    <w:rPr>
      <w:rFonts w:ascii="Times New Roman" w:eastAsia="Times New Roman" w:hAnsi="Times New Roman"/>
      <w:i/>
      <w:iCs/>
      <w:sz w:val="18"/>
      <w:szCs w:val="18"/>
      <w:shd w:val="clear" w:color="auto" w:fill="FFFFFF"/>
    </w:rPr>
  </w:style>
  <w:style w:type="paragraph" w:customStyle="1" w:styleId="Tabledesmatires40">
    <w:name w:val="Table des matières (4)"/>
    <w:basedOn w:val="Normal"/>
    <w:link w:val="Tabledesmatires4"/>
    <w:rsid w:val="00BA0AA8"/>
    <w:pPr>
      <w:widowControl w:val="0"/>
      <w:shd w:val="clear" w:color="auto" w:fill="FFFFFF"/>
      <w:spacing w:before="60" w:after="60" w:line="0" w:lineRule="atLeast"/>
      <w:ind w:firstLine="5"/>
      <w:jc w:val="both"/>
    </w:pPr>
    <w:rPr>
      <w:i/>
      <w:iCs/>
      <w:sz w:val="18"/>
      <w:szCs w:val="18"/>
      <w:lang w:val="x-none" w:eastAsia="x-none"/>
    </w:rPr>
  </w:style>
  <w:style w:type="character" w:customStyle="1" w:styleId="Tabledesmatires4NonItalique">
    <w:name w:val="Table des matières (4)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975ptItaliqueExact">
    <w:name w:val="Corps du texte (9) + 7.5 pt;Italique Exact"/>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10ptItalique">
    <w:name w:val="Corps du texte (2) + 10 pt;Italique"/>
    <w:rsid w:val="00BA0AA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ptGras">
    <w:name w:val="Corps du texte (2) + 8 pt;Gras"/>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48AppleGothic7ptItaliquechelle350Exact">
    <w:name w:val="Corps du texte (48) + AppleGothic;7 pt;Italique;Échelle 350% Exact"/>
    <w:rsid w:val="00BA0AA8"/>
    <w:rPr>
      <w:rFonts w:ascii="AppleGothic" w:eastAsia="AppleGothic" w:hAnsi="AppleGothic" w:cs="AppleGothic"/>
      <w:b w:val="0"/>
      <w:bCs w:val="0"/>
      <w:i/>
      <w:iCs/>
      <w:smallCaps w:val="0"/>
      <w:strike w:val="0"/>
      <w:w w:val="350"/>
      <w:sz w:val="14"/>
      <w:szCs w:val="14"/>
      <w:u w:val="single"/>
    </w:rPr>
  </w:style>
  <w:style w:type="character" w:customStyle="1" w:styleId="En-tteoupieddepage614ptGras">
    <w:name w:val="En-tête ou pied de page (6) + 14 pt;Gras"/>
    <w:rsid w:val="00BA0AA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0NonGrasEspacement1pt">
    <w:name w:val="Corps du texte (20) + Non Gras;Espacement 1 pt"/>
    <w:rsid w:val="00BA0AA8"/>
    <w:rPr>
      <w:rFonts w:ascii="Times New Roman" w:eastAsia="Times New Roman" w:hAnsi="Times New Roman" w:cs="Times New Roman"/>
      <w:b/>
      <w:bCs/>
      <w:i w:val="0"/>
      <w:iCs w:val="0"/>
      <w:smallCaps w:val="0"/>
      <w:strike w:val="0"/>
      <w:color w:val="000000"/>
      <w:spacing w:val="30"/>
      <w:w w:val="100"/>
      <w:position w:val="0"/>
      <w:sz w:val="16"/>
      <w:szCs w:val="16"/>
      <w:u w:val="none"/>
      <w:lang w:val="fr-FR" w:eastAsia="fr-FR" w:bidi="fr-FR"/>
    </w:rPr>
  </w:style>
  <w:style w:type="character" w:customStyle="1" w:styleId="Tabledesmatires11">
    <w:name w:val="Table des matières (11)_"/>
    <w:link w:val="Tabledesmatires110"/>
    <w:rsid w:val="00BA0AA8"/>
    <w:rPr>
      <w:rFonts w:ascii="Times New Roman" w:eastAsia="Times New Roman" w:hAnsi="Times New Roman"/>
      <w:b/>
      <w:bCs/>
      <w:spacing w:val="10"/>
      <w:sz w:val="16"/>
      <w:szCs w:val="16"/>
      <w:shd w:val="clear" w:color="auto" w:fill="FFFFFF"/>
    </w:rPr>
  </w:style>
  <w:style w:type="paragraph" w:customStyle="1" w:styleId="Tabledesmatires110">
    <w:name w:val="Table des matières (11)"/>
    <w:basedOn w:val="Normal"/>
    <w:link w:val="Tabledesmatires11"/>
    <w:rsid w:val="00BA0AA8"/>
    <w:pPr>
      <w:widowControl w:val="0"/>
      <w:shd w:val="clear" w:color="auto" w:fill="FFFFFF"/>
      <w:spacing w:line="76" w:lineRule="exact"/>
      <w:ind w:firstLine="55"/>
      <w:jc w:val="both"/>
    </w:pPr>
    <w:rPr>
      <w:b/>
      <w:bCs/>
      <w:spacing w:val="10"/>
      <w:sz w:val="16"/>
      <w:szCs w:val="16"/>
      <w:lang w:val="x-none" w:eastAsia="x-none"/>
    </w:rPr>
  </w:style>
  <w:style w:type="character" w:customStyle="1" w:styleId="Corpsdutexte20NonGrasItaliqueEspacement0pt">
    <w:name w:val="Corps du texte (20) + Non Gras;Italique;Espacement 0 pt"/>
    <w:rsid w:val="00BA0AA8"/>
    <w:rPr>
      <w:rFonts w:ascii="Times New Roman" w:eastAsia="Times New Roman" w:hAnsi="Times New Roman" w:cs="Times New Roman"/>
      <w:b/>
      <w:bCs/>
      <w:i/>
      <w:iCs/>
      <w:smallCaps w:val="0"/>
      <w:strike w:val="0"/>
      <w:color w:val="000000"/>
      <w:spacing w:val="0"/>
      <w:w w:val="100"/>
      <w:position w:val="0"/>
      <w:sz w:val="16"/>
      <w:szCs w:val="16"/>
      <w:u w:val="single"/>
      <w:lang w:val="fr-FR" w:eastAsia="fr-FR" w:bidi="fr-FR"/>
    </w:rPr>
  </w:style>
  <w:style w:type="character" w:customStyle="1" w:styleId="Tabledesmatires11Espacement2pt">
    <w:name w:val="Table des matières (11) + Espacement 2 pt"/>
    <w:rsid w:val="00BA0AA8"/>
    <w:rPr>
      <w:rFonts w:ascii="Times New Roman" w:eastAsia="Times New Roman" w:hAnsi="Times New Roman" w:cs="Times New Roman"/>
      <w:b/>
      <w:bCs/>
      <w:i w:val="0"/>
      <w:iCs w:val="0"/>
      <w:smallCaps w:val="0"/>
      <w:strike w:val="0"/>
      <w:color w:val="000000"/>
      <w:spacing w:val="40"/>
      <w:w w:val="100"/>
      <w:position w:val="0"/>
      <w:sz w:val="16"/>
      <w:szCs w:val="16"/>
      <w:u w:val="none"/>
      <w:lang w:val="fr-FR" w:eastAsia="fr-FR" w:bidi="fr-FR"/>
    </w:rPr>
  </w:style>
  <w:style w:type="character" w:customStyle="1" w:styleId="Tabledesmatires116ptNonGras">
    <w:name w:val="Table des matières (11) + 6 pt;Non Gras"/>
    <w:rsid w:val="00BA0AA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Corpsdutexte206ptNonGras">
    <w:name w:val="Corps du texte (20) + 6 pt;Non Gras"/>
    <w:rsid w:val="00BA0AA8"/>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Lgendedutableau2Exact">
    <w:name w:val="Légende du tableau (2) Exact"/>
    <w:link w:val="Lgendedutableau2"/>
    <w:rsid w:val="00BA0AA8"/>
    <w:rPr>
      <w:b/>
      <w:bCs/>
      <w:sz w:val="14"/>
      <w:szCs w:val="14"/>
      <w:shd w:val="clear" w:color="auto" w:fill="FFFFFF"/>
    </w:rPr>
  </w:style>
  <w:style w:type="paragraph" w:customStyle="1" w:styleId="Lgendedutableau2">
    <w:name w:val="Légende du tableau (2)"/>
    <w:basedOn w:val="Normal"/>
    <w:link w:val="Lgendedutableau2Exact"/>
    <w:rsid w:val="00BA0AA8"/>
    <w:pPr>
      <w:widowControl w:val="0"/>
      <w:shd w:val="clear" w:color="auto" w:fill="FFFFFF"/>
      <w:spacing w:line="166" w:lineRule="exact"/>
      <w:ind w:firstLine="4"/>
      <w:jc w:val="both"/>
    </w:pPr>
    <w:rPr>
      <w:rFonts w:ascii="Times" w:eastAsia="Times" w:hAnsi="Times"/>
      <w:b/>
      <w:bCs/>
      <w:sz w:val="14"/>
      <w:szCs w:val="14"/>
      <w:lang w:val="x-none" w:eastAsia="x-none"/>
    </w:rPr>
  </w:style>
  <w:style w:type="character" w:customStyle="1" w:styleId="LgendedutableauExact">
    <w:name w:val="Légende du tableau Exact"/>
    <w:rsid w:val="00BA0AA8"/>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8ptItaliqueEspacement1ptExact">
    <w:name w:val="Légende du tableau + 8 pt;Italique;Espacement 1 pt Exact"/>
    <w:rsid w:val="00BA0AA8"/>
    <w:rPr>
      <w:rFonts w:ascii="Times New Roman" w:eastAsia="Times New Roman" w:hAnsi="Times New Roman" w:cs="Times New Roman"/>
      <w:b w:val="0"/>
      <w:bCs w:val="0"/>
      <w:i/>
      <w:iCs/>
      <w:smallCaps w:val="0"/>
      <w:strike w:val="0"/>
      <w:color w:val="000000"/>
      <w:spacing w:val="30"/>
      <w:w w:val="100"/>
      <w:position w:val="0"/>
      <w:sz w:val="16"/>
      <w:szCs w:val="16"/>
      <w:u w:val="none"/>
      <w:lang w:val="fr-FR" w:eastAsia="fr-FR" w:bidi="fr-FR"/>
    </w:rPr>
  </w:style>
  <w:style w:type="character" w:customStyle="1" w:styleId="Corpsdutexte228ptItalique">
    <w:name w:val="Corps du texte (22)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ItaliqueEspacement1pt">
    <w:name w:val="Corps du texte (2) + Italique;Espacement 1 pt"/>
    <w:rsid w:val="00BA0AA8"/>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CourierNew75ptGrasEspacement0pt">
    <w:name w:val="Corps du texte (2) + Courier New;7.5 pt;Gras;Espacement 0 pt"/>
    <w:rsid w:val="00BA0AA8"/>
    <w:rPr>
      <w:rFonts w:ascii="Courier New" w:eastAsia="Courier New" w:hAnsi="Courier New" w:cs="Courier New"/>
      <w:b/>
      <w:bCs/>
      <w:i w:val="0"/>
      <w:iCs w:val="0"/>
      <w:smallCaps w:val="0"/>
      <w:strike w:val="0"/>
      <w:color w:val="000000"/>
      <w:spacing w:val="-10"/>
      <w:w w:val="100"/>
      <w:position w:val="0"/>
      <w:sz w:val="15"/>
      <w:szCs w:val="15"/>
      <w:u w:val="none"/>
      <w:lang w:val="fr-FR" w:eastAsia="fr-FR" w:bidi="fr-FR"/>
    </w:rPr>
  </w:style>
  <w:style w:type="character" w:customStyle="1" w:styleId="Lgendedutableau3Exact">
    <w:name w:val="Légende du tableau (3) Exact"/>
    <w:link w:val="Lgendedutableau3"/>
    <w:rsid w:val="00BA0AA8"/>
    <w:rPr>
      <w:rFonts w:ascii="Times New Roman" w:eastAsia="Times New Roman" w:hAnsi="Times New Roman"/>
      <w:sz w:val="13"/>
      <w:szCs w:val="13"/>
      <w:shd w:val="clear" w:color="auto" w:fill="FFFFFF"/>
    </w:rPr>
  </w:style>
  <w:style w:type="paragraph" w:customStyle="1" w:styleId="Lgendedutableau3">
    <w:name w:val="Légende du tableau (3)"/>
    <w:basedOn w:val="Normal"/>
    <w:link w:val="Lgendedutableau3Exact"/>
    <w:rsid w:val="00BA0AA8"/>
    <w:pPr>
      <w:widowControl w:val="0"/>
      <w:shd w:val="clear" w:color="auto" w:fill="FFFFFF"/>
      <w:spacing w:line="162" w:lineRule="exact"/>
      <w:ind w:hanging="3"/>
      <w:jc w:val="both"/>
    </w:pPr>
    <w:rPr>
      <w:sz w:val="13"/>
      <w:szCs w:val="13"/>
      <w:lang w:val="x-none" w:eastAsia="x-none"/>
    </w:rPr>
  </w:style>
  <w:style w:type="character" w:customStyle="1" w:styleId="Corpsdutexte275ptGras">
    <w:name w:val="Corps du texte (2) + 7.5 pt;Gras"/>
    <w:rsid w:val="00BA0AA8"/>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GrasItaliqueEspacement0pt">
    <w:name w:val="Corps du texte (2) + 7.5 pt;Gras;Italique;Espacement 0 pt"/>
    <w:rsid w:val="00BA0AA8"/>
    <w:rPr>
      <w:rFonts w:ascii="Times New Roman" w:eastAsia="Times New Roman" w:hAnsi="Times New Roman" w:cs="Times New Roman"/>
      <w:b/>
      <w:bCs/>
      <w:i/>
      <w:iCs/>
      <w:smallCaps w:val="0"/>
      <w:strike w:val="0"/>
      <w:color w:val="000000"/>
      <w:spacing w:val="10"/>
      <w:w w:val="100"/>
      <w:position w:val="0"/>
      <w:sz w:val="15"/>
      <w:szCs w:val="15"/>
      <w:u w:val="none"/>
      <w:lang w:val="fr-FR" w:eastAsia="fr-FR" w:bidi="fr-FR"/>
    </w:rPr>
  </w:style>
  <w:style w:type="character" w:customStyle="1" w:styleId="En-tteoupieddepage20ptGras">
    <w:name w:val="En-tête ou pied de page + 20 pt;Gras"/>
    <w:rsid w:val="00BA0AA8"/>
    <w:rPr>
      <w:rFonts w:ascii="Times New Roman" w:eastAsia="Times New Roman" w:hAnsi="Times New Roman" w:cs="Times New Roman"/>
      <w:b/>
      <w:bCs/>
      <w:i w:val="0"/>
      <w:iCs w:val="0"/>
      <w:smallCaps w:val="0"/>
      <w:strike w:val="0"/>
      <w:color w:val="000000"/>
      <w:spacing w:val="0"/>
      <w:w w:val="100"/>
      <w:position w:val="0"/>
      <w:sz w:val="40"/>
      <w:szCs w:val="40"/>
      <w:u w:val="none"/>
      <w:lang w:val="fr-FR" w:eastAsia="fr-FR" w:bidi="fr-FR"/>
    </w:rPr>
  </w:style>
  <w:style w:type="paragraph" w:customStyle="1" w:styleId="figtitrest">
    <w:name w:val="fig titre st"/>
    <w:basedOn w:val="Normal"/>
    <w:autoRedefine/>
    <w:rsid w:val="00BA0AA8"/>
    <w:pPr>
      <w:spacing w:before="120" w:after="120"/>
      <w:jc w:val="center"/>
    </w:pPr>
    <w:rPr>
      <w:color w:val="000090"/>
      <w:sz w:val="24"/>
    </w:rPr>
  </w:style>
  <w:style w:type="character" w:customStyle="1" w:styleId="Corpsdutexte29ptEspacement1pt">
    <w:name w:val="Corps du texte (2) + 9 pt;Espacement 1 pt"/>
    <w:rsid w:val="00A8620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En-tte5NonGrasItalique">
    <w:name w:val="En-tête #5 + Non Gras;Italique"/>
    <w:rsid w:val="00A8620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elimageExact">
    <w:name w:val="Légende de l'image Exact"/>
    <w:rsid w:val="00A8620A"/>
    <w:rPr>
      <w:rFonts w:ascii="Times New Roman" w:eastAsia="Times New Roman" w:hAnsi="Times New Roman" w:cs="Times New Roman"/>
      <w:b w:val="0"/>
      <w:bCs w:val="0"/>
      <w:i w:val="0"/>
      <w:iCs w:val="0"/>
      <w:smallCaps w:val="0"/>
      <w:strike w:val="0"/>
      <w:sz w:val="17"/>
      <w:szCs w:val="17"/>
      <w:u w:val="none"/>
    </w:rPr>
  </w:style>
  <w:style w:type="character" w:customStyle="1" w:styleId="En-tte214ptGrasEspacement0ptExact">
    <w:name w:val="En-tête #2 + 14 pt;Gras;Espacement 0 pt Exact"/>
    <w:rsid w:val="00A8620A"/>
    <w:rPr>
      <w:rFonts w:ascii="Times New Roman" w:eastAsia="Times New Roman" w:hAnsi="Times New Roman" w:cs="Times New Roman"/>
      <w:b/>
      <w:bCs/>
      <w:i w:val="0"/>
      <w:iCs w:val="0"/>
      <w:smallCaps w:val="0"/>
      <w:strike w:val="0"/>
      <w:spacing w:val="0"/>
      <w:sz w:val="28"/>
      <w:szCs w:val="28"/>
      <w:u w:val="none"/>
    </w:rPr>
  </w:style>
  <w:style w:type="character" w:customStyle="1" w:styleId="Corpsdutexte2ItaliqueEspacement1ptExact">
    <w:name w:val="Corps du texte (2) + Italique;Espacement 1 pt Exact"/>
    <w:rsid w:val="00A8620A"/>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2Espacement0ptchelle150Exact">
    <w:name w:val="Corps du texte (22) + Espacement 0 pt;Échelle 150% Exact"/>
    <w:rsid w:val="00A8620A"/>
    <w:rPr>
      <w:rFonts w:ascii="Times New Roman" w:eastAsia="Times New Roman" w:hAnsi="Times New Roman" w:cs="Times New Roman"/>
      <w:b w:val="0"/>
      <w:bCs w:val="0"/>
      <w:i w:val="0"/>
      <w:iCs w:val="0"/>
      <w:smallCaps w:val="0"/>
      <w:strike w:val="0"/>
      <w:color w:val="000000"/>
      <w:spacing w:val="-10"/>
      <w:w w:val="150"/>
      <w:position w:val="0"/>
      <w:sz w:val="9"/>
      <w:szCs w:val="9"/>
      <w:u w:val="none"/>
      <w:lang w:val="fr-FR" w:eastAsia="fr-FR" w:bidi="fr-FR"/>
    </w:rPr>
  </w:style>
  <w:style w:type="character" w:customStyle="1" w:styleId="En-tteoupieddepage85ptEspacement0pt">
    <w:name w:val="En-tête ou pied de page + 8.5 pt;Espacement 0 pt"/>
    <w:rsid w:val="00A8620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AppleGothic75pt">
    <w:name w:val="Corps du texte (3) + AppleGothic;7.5 pt"/>
    <w:rsid w:val="00A8620A"/>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3110ptItalique">
    <w:name w:val="Corps du texte (31) + 10 pt;Italique"/>
    <w:rsid w:val="00A8620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8105ptNonGras">
    <w:name w:val="Corps du texte (18) + 10.5 pt;Non Gras"/>
    <w:rsid w:val="00A8620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14ptGrasEspacement0pt">
    <w:name w:val="En-tête #2 + 14 pt;Gras;Espacement 0 pt"/>
    <w:rsid w:val="00A8620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312ptGrasExact">
    <w:name w:val="En-tête #3 + 12 pt;Gras Exact"/>
    <w:rsid w:val="00F76D16"/>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ptEspacement1pt">
    <w:name w:val="Corps du texte (2) + 8 pt;Espacement 1 pt"/>
    <w:rsid w:val="00F76D1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fr-FR" w:eastAsia="fr-FR" w:bidi="fr-FR"/>
    </w:rPr>
  </w:style>
  <w:style w:type="character" w:customStyle="1" w:styleId="En-tteoupieddepage10ptItalique">
    <w:name w:val="En-tête ou pied de page + 10 pt;Italique"/>
    <w:rsid w:val="00F76D1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fr-FR" w:eastAsia="fr-FR" w:bidi="fr-FR"/>
    </w:rPr>
  </w:style>
  <w:style w:type="character" w:customStyle="1" w:styleId="Corpsdutexte2514ptGrasNonItalique">
    <w:name w:val="Corps du texte (25) + 14 pt;Gras;Non Italique"/>
    <w:rsid w:val="00F76D16"/>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015ptNonItaliqueExact">
    <w:name w:val="Corps du texte (30) + 15 pt;Non Italique Exact"/>
    <w:rsid w:val="00F76D16"/>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Corpsdutexte328ptItalique">
    <w:name w:val="Corps du texte (32)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3418ptGrasItaliquePetitesmajusculesEspacement1pt">
    <w:name w:val="Corps du texte (34) + 18 pt;Gras;Italique;Petites majuscules;Espacement 1 pt"/>
    <w:rsid w:val="00F76D16"/>
    <w:rPr>
      <w:rFonts w:ascii="Times New Roman" w:eastAsia="Times New Roman" w:hAnsi="Times New Roman" w:cs="Times New Roman"/>
      <w:b/>
      <w:bCs/>
      <w:i/>
      <w:iCs/>
      <w:smallCaps/>
      <w:strike w:val="0"/>
      <w:color w:val="000000"/>
      <w:spacing w:val="20"/>
      <w:w w:val="100"/>
      <w:position w:val="0"/>
      <w:sz w:val="36"/>
      <w:szCs w:val="36"/>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Tabledesmatires2">
    <w:name w:val="Table des matières (2)_"/>
    <w:link w:val="Tabledesmatires20"/>
    <w:rsid w:val="00F76D16"/>
    <w:rPr>
      <w:rFonts w:ascii="Times New Roman" w:eastAsia="Times New Roman" w:hAnsi="Times New Roman"/>
      <w:i/>
      <w:iCs/>
      <w:sz w:val="16"/>
      <w:szCs w:val="16"/>
      <w:shd w:val="clear" w:color="auto" w:fill="FFFFFF"/>
    </w:rPr>
  </w:style>
  <w:style w:type="character" w:customStyle="1" w:styleId="Tabledesmatires2NonItalique">
    <w:name w:val="Table des matières (2) + Non Italique"/>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ptItalique">
    <w:name w:val="Table des matières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8pt">
    <w:name w:val="Table des matières + 8 pt"/>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9ptItaliqueEspacement-1pt">
    <w:name w:val="En-tête ou pied de page + 19 pt;Italique;Espacement -1 pt"/>
    <w:rsid w:val="00F76D16"/>
    <w:rPr>
      <w:rFonts w:ascii="Times New Roman" w:eastAsia="Times New Roman" w:hAnsi="Times New Roman" w:cs="Times New Roman"/>
      <w:b w:val="0"/>
      <w:bCs w:val="0"/>
      <w:i/>
      <w:iCs/>
      <w:smallCaps w:val="0"/>
      <w:strike w:val="0"/>
      <w:color w:val="000000"/>
      <w:spacing w:val="-20"/>
      <w:w w:val="100"/>
      <w:position w:val="0"/>
      <w:sz w:val="38"/>
      <w:szCs w:val="38"/>
      <w:u w:val="none"/>
      <w:lang w:val="fr-FR" w:eastAsia="fr-FR" w:bidi="fr-FR"/>
    </w:rPr>
  </w:style>
  <w:style w:type="paragraph" w:customStyle="1" w:styleId="Tabledesmatires20">
    <w:name w:val="Table des matières (2)"/>
    <w:basedOn w:val="Normal"/>
    <w:link w:val="Tabledesmatires2"/>
    <w:rsid w:val="00F76D16"/>
    <w:pPr>
      <w:widowControl w:val="0"/>
      <w:shd w:val="clear" w:color="auto" w:fill="FFFFFF"/>
      <w:spacing w:before="780" w:line="0" w:lineRule="atLeast"/>
      <w:ind w:hanging="2"/>
      <w:jc w:val="both"/>
    </w:pPr>
    <w:rPr>
      <w:i/>
      <w:iCs/>
      <w:sz w:val="16"/>
      <w:szCs w:val="16"/>
      <w:lang w:val="x-none" w:eastAsia="x-none"/>
    </w:rPr>
  </w:style>
  <w:style w:type="paragraph" w:customStyle="1" w:styleId="planchenbst">
    <w:name w:val="planche n&amp;b st"/>
    <w:basedOn w:val="planchenb"/>
    <w:autoRedefine/>
    <w:rsid w:val="00347C6C"/>
    <w:rPr>
      <w:i/>
      <w:color w:val="auto"/>
      <w:sz w:val="44"/>
    </w:rPr>
  </w:style>
  <w:style w:type="paragraph" w:customStyle="1" w:styleId="planchenbst2">
    <w:name w:val="planche n&amp;b st 2"/>
    <w:basedOn w:val="planchenbst"/>
    <w:autoRedefine/>
    <w:rsid w:val="00C37C3F"/>
    <w:rPr>
      <w:sz w:val="36"/>
    </w:rPr>
  </w:style>
  <w:style w:type="paragraph" w:customStyle="1" w:styleId="Notedebasdepagecitation">
    <w:name w:val="Note de bas de page citation"/>
    <w:basedOn w:val="Notedebasdepage"/>
    <w:autoRedefine/>
    <w:rsid w:val="0089658F"/>
    <w:pPr>
      <w:tabs>
        <w:tab w:val="clear" w:pos="900"/>
      </w:tabs>
      <w:spacing w:before="60" w:after="60"/>
      <w:ind w:left="720" w:firstLine="360"/>
    </w:pPr>
    <w:rPr>
      <w:color w:val="000090"/>
    </w:rPr>
  </w:style>
  <w:style w:type="paragraph" w:customStyle="1" w:styleId="Notedebasdepagecitation0">
    <w:name w:val="Note de bas de page citation"/>
    <w:basedOn w:val="Notedebasdepage"/>
    <w:autoRedefine/>
    <w:rsid w:val="00191528"/>
    <w:pPr>
      <w:tabs>
        <w:tab w:val="clear" w:pos="900"/>
        <w:tab w:val="left" w:pos="1260"/>
      </w:tabs>
      <w:ind w:left="900" w:hanging="360"/>
    </w:pPr>
    <w:rPr>
      <w:iCs/>
      <w:color w:val="00009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gag.et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5941</Words>
  <Characters>32679</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“Réflexions sur la restructuration de l’État au Canada.”</vt:lpstr>
    </vt:vector>
  </TitlesOfParts>
  <Manager>Réjeanne Toussaint, bénévole, 2022</Manager>
  <Company>Les Classiques des sciences sociales</Company>
  <LinksUpToDate>false</LinksUpToDate>
  <CharactersWithSpaces>38543</CharactersWithSpaces>
  <SharedDoc>false</SharedDoc>
  <HyperlinkBase/>
  <HLinks>
    <vt:vector size="78"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5046375</vt:i4>
      </vt:variant>
      <vt:variant>
        <vt:i4>0</vt:i4>
      </vt:variant>
      <vt:variant>
        <vt:i4>0</vt:i4>
      </vt:variant>
      <vt:variant>
        <vt:i4>5</vt:i4>
      </vt:variant>
      <vt:variant>
        <vt:lpwstr>http://dx.doi.org/doi:10.1522/cla.gag.eta</vt:lpwstr>
      </vt:variant>
      <vt:variant>
        <vt:lpwstr/>
      </vt:variant>
      <vt:variant>
        <vt:i4>2228293</vt:i4>
      </vt:variant>
      <vt:variant>
        <vt:i4>2288</vt:i4>
      </vt:variant>
      <vt:variant>
        <vt:i4>1025</vt:i4>
      </vt:variant>
      <vt:variant>
        <vt:i4>1</vt:i4>
      </vt:variant>
      <vt:variant>
        <vt:lpwstr>css_logo_gris</vt:lpwstr>
      </vt:variant>
      <vt:variant>
        <vt:lpwstr/>
      </vt:variant>
      <vt:variant>
        <vt:i4>5111880</vt:i4>
      </vt:variant>
      <vt:variant>
        <vt:i4>2534</vt:i4>
      </vt:variant>
      <vt:variant>
        <vt:i4>1026</vt:i4>
      </vt:variant>
      <vt:variant>
        <vt:i4>1</vt:i4>
      </vt:variant>
      <vt:variant>
        <vt:lpwstr>UQAC_logo_2018</vt:lpwstr>
      </vt:variant>
      <vt:variant>
        <vt:lpwstr/>
      </vt:variant>
      <vt:variant>
        <vt:i4>4194334</vt:i4>
      </vt:variant>
      <vt:variant>
        <vt:i4>4873</vt:i4>
      </vt:variant>
      <vt:variant>
        <vt:i4>1027</vt:i4>
      </vt:variant>
      <vt:variant>
        <vt:i4>1</vt:i4>
      </vt:variant>
      <vt:variant>
        <vt:lpwstr>Boite_aux_lettres_clair</vt:lpwstr>
      </vt:variant>
      <vt:variant>
        <vt:lpwstr/>
      </vt:variant>
      <vt:variant>
        <vt:i4>1703963</vt:i4>
      </vt:variant>
      <vt:variant>
        <vt:i4>5825</vt:i4>
      </vt:variant>
      <vt:variant>
        <vt:i4>1028</vt:i4>
      </vt:variant>
      <vt:variant>
        <vt:i4>1</vt:i4>
      </vt:variant>
      <vt:variant>
        <vt:lpwstr>fait_sur_mac</vt:lpwstr>
      </vt:variant>
      <vt:variant>
        <vt:lpwstr/>
      </vt:variant>
      <vt:variant>
        <vt:i4>2162735</vt:i4>
      </vt:variant>
      <vt:variant>
        <vt:i4>5903</vt:i4>
      </vt:variant>
      <vt:variant>
        <vt:i4>1029</vt:i4>
      </vt:variant>
      <vt:variant>
        <vt:i4>1</vt:i4>
      </vt:variant>
      <vt:variant>
        <vt:lpwstr>Intervention_econo_no_18_L25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“Réflexions sur la restructuration de l’État au Canada.”</dc:title>
  <dc:subject/>
  <dc:creator>par François Houle, 1987</dc:creator>
  <cp:keywords>classiques.sc.soc@gmail.com</cp:keywords>
  <dc:description>http://classiques.uqac.ca/</dc:description>
  <cp:lastModifiedBy>Jean-Marie Tremblay</cp:lastModifiedBy>
  <cp:revision>2</cp:revision>
  <cp:lastPrinted>2001-08-26T19:33:00Z</cp:lastPrinted>
  <dcterms:created xsi:type="dcterms:W3CDTF">2022-05-18T23:18:00Z</dcterms:created>
  <dcterms:modified xsi:type="dcterms:W3CDTF">2022-05-18T23:18:00Z</dcterms:modified>
  <cp:category>jean-marie tremblay, sociologue, fondateur, 1993</cp:category>
</cp:coreProperties>
</file>