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A271D" w:rsidRPr="0089025F" w14:paraId="6D9C2A5F" w14:textId="77777777">
        <w:tblPrEx>
          <w:tblCellMar>
            <w:top w:w="0" w:type="dxa"/>
            <w:bottom w:w="0" w:type="dxa"/>
          </w:tblCellMar>
        </w:tblPrEx>
        <w:tc>
          <w:tcPr>
            <w:tcW w:w="9160" w:type="dxa"/>
            <w:shd w:val="clear" w:color="auto" w:fill="F2EED5"/>
          </w:tcPr>
          <w:p w14:paraId="051B42B5" w14:textId="77777777" w:rsidR="000A271D" w:rsidRPr="0089025F" w:rsidRDefault="000A271D">
            <w:pPr>
              <w:ind w:firstLine="0"/>
              <w:jc w:val="center"/>
              <w:rPr>
                <w:sz w:val="20"/>
                <w:lang w:bidi="ar-SA"/>
              </w:rPr>
            </w:pPr>
          </w:p>
          <w:p w14:paraId="01DAD4F4" w14:textId="77777777" w:rsidR="000A271D" w:rsidRPr="0089025F" w:rsidRDefault="000A271D">
            <w:pPr>
              <w:ind w:firstLine="0"/>
              <w:jc w:val="center"/>
              <w:rPr>
                <w:color w:val="FF0000"/>
                <w:sz w:val="20"/>
                <w:lang w:bidi="ar-SA"/>
              </w:rPr>
            </w:pPr>
          </w:p>
          <w:p w14:paraId="432834C9" w14:textId="77777777" w:rsidR="000A271D" w:rsidRPr="0089025F" w:rsidRDefault="000A271D">
            <w:pPr>
              <w:ind w:firstLine="0"/>
              <w:jc w:val="center"/>
              <w:rPr>
                <w:color w:val="FF0000"/>
                <w:sz w:val="20"/>
                <w:lang w:bidi="ar-SA"/>
              </w:rPr>
            </w:pPr>
          </w:p>
          <w:p w14:paraId="787DD9F0" w14:textId="77777777" w:rsidR="000A271D" w:rsidRPr="0089025F" w:rsidRDefault="000A271D">
            <w:pPr>
              <w:ind w:firstLine="0"/>
              <w:jc w:val="center"/>
              <w:rPr>
                <w:b/>
                <w:sz w:val="20"/>
                <w:lang w:bidi="ar-SA"/>
              </w:rPr>
            </w:pPr>
          </w:p>
          <w:p w14:paraId="0F1EB1A5" w14:textId="77777777" w:rsidR="000A271D" w:rsidRPr="0089025F" w:rsidRDefault="000A271D">
            <w:pPr>
              <w:ind w:firstLine="0"/>
              <w:jc w:val="center"/>
              <w:rPr>
                <w:sz w:val="20"/>
                <w:lang w:bidi="ar-SA"/>
              </w:rPr>
            </w:pPr>
          </w:p>
          <w:p w14:paraId="2791B852" w14:textId="77777777" w:rsidR="000A271D" w:rsidRPr="0089025F" w:rsidRDefault="000A271D">
            <w:pPr>
              <w:pStyle w:val="Corpsdetexte"/>
              <w:widowControl w:val="0"/>
              <w:spacing w:before="0" w:after="0"/>
              <w:rPr>
                <w:color w:val="FF0000"/>
                <w:sz w:val="24"/>
                <w:lang w:bidi="ar-SA"/>
              </w:rPr>
            </w:pPr>
          </w:p>
          <w:p w14:paraId="1C58F02B" w14:textId="77777777" w:rsidR="000A271D" w:rsidRPr="0089025F" w:rsidRDefault="000A271D" w:rsidP="000A271D">
            <w:pPr>
              <w:pStyle w:val="Titlest"/>
              <w:rPr>
                <w:lang w:bidi="ar-SA"/>
              </w:rPr>
            </w:pPr>
            <w:r>
              <w:rPr>
                <w:lang w:bidi="ar-SA"/>
              </w:rPr>
              <w:t>Jeanne Kirk Laux</w:t>
            </w:r>
          </w:p>
          <w:p w14:paraId="1B0254F3" w14:textId="77777777" w:rsidR="000A271D" w:rsidRPr="0089025F" w:rsidRDefault="000A271D">
            <w:pPr>
              <w:widowControl w:val="0"/>
              <w:ind w:firstLine="0"/>
              <w:jc w:val="center"/>
              <w:rPr>
                <w:lang w:bidi="ar-SA"/>
              </w:rPr>
            </w:pPr>
          </w:p>
          <w:p w14:paraId="4381B203" w14:textId="77777777" w:rsidR="000A271D" w:rsidRPr="0089025F" w:rsidRDefault="000A271D" w:rsidP="000A271D">
            <w:pPr>
              <w:ind w:firstLine="0"/>
              <w:jc w:val="center"/>
              <w:rPr>
                <w:color w:val="FF0000"/>
                <w:sz w:val="36"/>
                <w:lang w:bidi="ar-SA"/>
              </w:rPr>
            </w:pPr>
            <w:r w:rsidRPr="0089025F">
              <w:rPr>
                <w:sz w:val="36"/>
                <w:lang w:bidi="ar-SA"/>
              </w:rPr>
              <w:t>Automne 1987</w:t>
            </w:r>
          </w:p>
          <w:p w14:paraId="6196FEB8" w14:textId="77777777" w:rsidR="000A271D" w:rsidRDefault="000A271D" w:rsidP="000A271D">
            <w:pPr>
              <w:widowControl w:val="0"/>
              <w:ind w:firstLine="0"/>
              <w:jc w:val="center"/>
              <w:rPr>
                <w:lang w:bidi="ar-SA"/>
              </w:rPr>
            </w:pPr>
          </w:p>
          <w:p w14:paraId="78B6CCAE" w14:textId="77777777" w:rsidR="000A271D" w:rsidRPr="0089025F" w:rsidRDefault="000A271D" w:rsidP="000A271D">
            <w:pPr>
              <w:widowControl w:val="0"/>
              <w:ind w:firstLine="0"/>
              <w:jc w:val="center"/>
              <w:rPr>
                <w:lang w:bidi="ar-SA"/>
              </w:rPr>
            </w:pPr>
          </w:p>
          <w:p w14:paraId="17D7285F" w14:textId="77777777" w:rsidR="000A271D" w:rsidRPr="00894795" w:rsidRDefault="000A271D" w:rsidP="000A271D">
            <w:pPr>
              <w:widowControl w:val="0"/>
              <w:ind w:firstLine="0"/>
              <w:jc w:val="center"/>
              <w:rPr>
                <w:sz w:val="96"/>
                <w:lang w:bidi="ar-SA"/>
              </w:rPr>
            </w:pPr>
            <w:r w:rsidRPr="00894795">
              <w:rPr>
                <w:sz w:val="96"/>
                <w:lang w:bidi="ar-SA"/>
              </w:rPr>
              <w:t>“La privatisation</w:t>
            </w:r>
            <w:r w:rsidRPr="00894795">
              <w:rPr>
                <w:sz w:val="96"/>
                <w:lang w:bidi="ar-SA"/>
              </w:rPr>
              <w:br/>
              <w:t>des sociétés d’État</w:t>
            </w:r>
            <w:r w:rsidRPr="00894795">
              <w:rPr>
                <w:sz w:val="96"/>
                <w:lang w:bidi="ar-SA"/>
              </w:rPr>
              <w:br/>
              <w:t>au Canada.”</w:t>
            </w:r>
          </w:p>
          <w:p w14:paraId="3434936A" w14:textId="77777777" w:rsidR="000A271D" w:rsidRDefault="000A271D" w:rsidP="000A271D">
            <w:pPr>
              <w:widowControl w:val="0"/>
              <w:ind w:firstLine="0"/>
              <w:jc w:val="center"/>
              <w:rPr>
                <w:lang w:bidi="ar-SA"/>
              </w:rPr>
            </w:pPr>
          </w:p>
          <w:p w14:paraId="6008073F" w14:textId="77777777" w:rsidR="000A271D" w:rsidRPr="0089025F" w:rsidRDefault="000A271D" w:rsidP="000A271D">
            <w:pPr>
              <w:widowControl w:val="0"/>
              <w:ind w:firstLine="0"/>
              <w:jc w:val="center"/>
              <w:rPr>
                <w:lang w:bidi="ar-SA"/>
              </w:rPr>
            </w:pPr>
          </w:p>
          <w:p w14:paraId="2F0AEF81" w14:textId="77777777" w:rsidR="000A271D" w:rsidRPr="0089025F" w:rsidRDefault="000A271D" w:rsidP="000A271D">
            <w:pPr>
              <w:widowControl w:val="0"/>
              <w:ind w:firstLine="0"/>
              <w:jc w:val="center"/>
              <w:rPr>
                <w:sz w:val="20"/>
                <w:lang w:bidi="ar-SA"/>
              </w:rPr>
            </w:pPr>
          </w:p>
          <w:p w14:paraId="5192E5C1" w14:textId="77777777" w:rsidR="000A271D" w:rsidRPr="0089025F" w:rsidRDefault="000A271D" w:rsidP="000A271D">
            <w:pPr>
              <w:widowControl w:val="0"/>
              <w:ind w:firstLine="0"/>
              <w:jc w:val="center"/>
              <w:rPr>
                <w:sz w:val="20"/>
                <w:lang w:bidi="ar-SA"/>
              </w:rPr>
            </w:pPr>
          </w:p>
          <w:p w14:paraId="0B84F84E" w14:textId="77777777" w:rsidR="000A271D" w:rsidRPr="0089025F" w:rsidRDefault="000A271D" w:rsidP="000A271D">
            <w:pPr>
              <w:ind w:firstLine="0"/>
              <w:jc w:val="center"/>
              <w:rPr>
                <w:sz w:val="20"/>
                <w:lang w:bidi="ar-SA"/>
              </w:rPr>
            </w:pPr>
            <w:r w:rsidRPr="0089025F">
              <w:rPr>
                <w:b/>
                <w:lang w:bidi="ar-SA"/>
              </w:rPr>
              <w:t>LES CLASSIQUES DES SCIENCES SOCIALES</w:t>
            </w:r>
            <w:r w:rsidRPr="0089025F">
              <w:rPr>
                <w:lang w:bidi="ar-SA"/>
              </w:rPr>
              <w:br/>
              <w:t>CHICOUTIMI, QUÉBEC</w:t>
            </w:r>
            <w:r w:rsidRPr="0089025F">
              <w:rPr>
                <w:lang w:bidi="ar-SA"/>
              </w:rPr>
              <w:br/>
            </w:r>
            <w:hyperlink r:id="rId7" w:history="1">
              <w:r w:rsidRPr="0089025F">
                <w:rPr>
                  <w:rStyle w:val="Hyperlien"/>
                  <w:lang w:bidi="ar-SA"/>
                </w:rPr>
                <w:t>http://classiques.uqac.ca/</w:t>
              </w:r>
            </w:hyperlink>
          </w:p>
          <w:p w14:paraId="07367DFD" w14:textId="77777777" w:rsidR="000A271D" w:rsidRPr="0089025F" w:rsidRDefault="000A271D" w:rsidP="000A271D">
            <w:pPr>
              <w:widowControl w:val="0"/>
              <w:ind w:firstLine="0"/>
              <w:jc w:val="both"/>
              <w:rPr>
                <w:lang w:bidi="ar-SA"/>
              </w:rPr>
            </w:pPr>
          </w:p>
          <w:p w14:paraId="508C087C" w14:textId="77777777" w:rsidR="000A271D" w:rsidRPr="0089025F" w:rsidRDefault="000A271D" w:rsidP="000A271D">
            <w:pPr>
              <w:widowControl w:val="0"/>
              <w:ind w:firstLine="0"/>
              <w:jc w:val="both"/>
              <w:rPr>
                <w:lang w:bidi="ar-SA"/>
              </w:rPr>
            </w:pPr>
          </w:p>
          <w:p w14:paraId="272E5204" w14:textId="77777777" w:rsidR="000A271D" w:rsidRPr="0089025F" w:rsidRDefault="000A271D" w:rsidP="000A271D">
            <w:pPr>
              <w:widowControl w:val="0"/>
              <w:ind w:firstLine="0"/>
              <w:jc w:val="both"/>
              <w:rPr>
                <w:lang w:bidi="ar-SA"/>
              </w:rPr>
            </w:pPr>
          </w:p>
          <w:p w14:paraId="370D3C8B" w14:textId="77777777" w:rsidR="000A271D" w:rsidRDefault="000A271D" w:rsidP="000A271D">
            <w:pPr>
              <w:widowControl w:val="0"/>
              <w:ind w:firstLine="0"/>
              <w:jc w:val="both"/>
              <w:rPr>
                <w:lang w:bidi="ar-SA"/>
              </w:rPr>
            </w:pPr>
          </w:p>
          <w:p w14:paraId="11D87937" w14:textId="77777777" w:rsidR="000A271D" w:rsidRPr="0089025F" w:rsidRDefault="000A271D" w:rsidP="000A271D">
            <w:pPr>
              <w:widowControl w:val="0"/>
              <w:ind w:firstLine="0"/>
              <w:jc w:val="both"/>
              <w:rPr>
                <w:lang w:bidi="ar-SA"/>
              </w:rPr>
            </w:pPr>
          </w:p>
          <w:p w14:paraId="38AEE8DB" w14:textId="77777777" w:rsidR="000A271D" w:rsidRPr="0089025F" w:rsidRDefault="000A271D" w:rsidP="000A271D">
            <w:pPr>
              <w:widowControl w:val="0"/>
              <w:ind w:firstLine="0"/>
              <w:jc w:val="both"/>
              <w:rPr>
                <w:lang w:bidi="ar-SA"/>
              </w:rPr>
            </w:pPr>
          </w:p>
          <w:p w14:paraId="2927E40A" w14:textId="77777777" w:rsidR="000A271D" w:rsidRPr="0089025F" w:rsidRDefault="000A271D" w:rsidP="000A271D">
            <w:pPr>
              <w:widowControl w:val="0"/>
              <w:ind w:firstLine="0"/>
              <w:rPr>
                <w:lang w:bidi="ar-SA"/>
              </w:rPr>
            </w:pPr>
          </w:p>
          <w:p w14:paraId="7A641C3C" w14:textId="77777777" w:rsidR="000A271D" w:rsidRPr="0089025F" w:rsidRDefault="000A271D" w:rsidP="000A271D">
            <w:pPr>
              <w:widowControl w:val="0"/>
              <w:ind w:firstLine="0"/>
              <w:jc w:val="both"/>
              <w:rPr>
                <w:lang w:bidi="ar-SA"/>
              </w:rPr>
            </w:pPr>
          </w:p>
        </w:tc>
      </w:tr>
    </w:tbl>
    <w:p w14:paraId="1B127307" w14:textId="77777777" w:rsidR="000A271D" w:rsidRPr="0089025F" w:rsidRDefault="000A271D" w:rsidP="000A271D">
      <w:pPr>
        <w:ind w:firstLine="0"/>
        <w:jc w:val="both"/>
      </w:pPr>
      <w:r w:rsidRPr="0089025F">
        <w:br w:type="page"/>
      </w:r>
    </w:p>
    <w:p w14:paraId="2DD39867" w14:textId="77777777" w:rsidR="000A271D" w:rsidRPr="0089025F" w:rsidRDefault="000A271D" w:rsidP="000A271D">
      <w:pPr>
        <w:ind w:firstLine="0"/>
        <w:jc w:val="both"/>
      </w:pPr>
    </w:p>
    <w:p w14:paraId="298A7E7D" w14:textId="77777777" w:rsidR="000A271D" w:rsidRPr="0089025F" w:rsidRDefault="000A271D" w:rsidP="000A271D">
      <w:pPr>
        <w:ind w:firstLine="0"/>
        <w:jc w:val="both"/>
      </w:pPr>
    </w:p>
    <w:p w14:paraId="4123376F" w14:textId="77777777" w:rsidR="000A271D" w:rsidRPr="0089025F" w:rsidRDefault="00E76048" w:rsidP="000A271D">
      <w:pPr>
        <w:ind w:firstLine="0"/>
        <w:jc w:val="right"/>
      </w:pPr>
      <w:r w:rsidRPr="0089025F">
        <w:rPr>
          <w:noProof/>
        </w:rPr>
        <w:drawing>
          <wp:inline distT="0" distB="0" distL="0" distR="0" wp14:anchorId="26473392" wp14:editId="1492202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F1275BC" w14:textId="77777777" w:rsidR="000A271D" w:rsidRPr="0089025F" w:rsidRDefault="000A271D" w:rsidP="000A271D">
      <w:pPr>
        <w:ind w:firstLine="0"/>
        <w:jc w:val="right"/>
      </w:pPr>
      <w:hyperlink r:id="rId9" w:history="1">
        <w:r w:rsidRPr="0089025F">
          <w:rPr>
            <w:rStyle w:val="Hyperlien"/>
          </w:rPr>
          <w:t>http://classiques.uqac.ca/</w:t>
        </w:r>
      </w:hyperlink>
      <w:r w:rsidRPr="0089025F">
        <w:t xml:space="preserve"> </w:t>
      </w:r>
    </w:p>
    <w:p w14:paraId="023BBA64" w14:textId="77777777" w:rsidR="000A271D" w:rsidRPr="0089025F" w:rsidRDefault="000A271D" w:rsidP="000A271D">
      <w:pPr>
        <w:ind w:firstLine="0"/>
        <w:jc w:val="both"/>
      </w:pPr>
    </w:p>
    <w:p w14:paraId="486A4301" w14:textId="77777777" w:rsidR="000A271D" w:rsidRPr="0089025F" w:rsidRDefault="000A271D" w:rsidP="000A271D">
      <w:pPr>
        <w:ind w:firstLine="0"/>
        <w:jc w:val="both"/>
      </w:pPr>
      <w:r w:rsidRPr="0089025F">
        <w:rPr>
          <w:i/>
        </w:rPr>
        <w:t>Les Classiques des sciences sociales</w:t>
      </w:r>
      <w:r w:rsidRPr="0089025F">
        <w:t xml:space="preserve"> est une bibliothèque numérique en libre accès développée en partenariat avec l’Université du Québec à Chicoutimi (UQÀC) depuis 2000.</w:t>
      </w:r>
    </w:p>
    <w:p w14:paraId="2F994B71" w14:textId="77777777" w:rsidR="000A271D" w:rsidRPr="0089025F" w:rsidRDefault="000A271D" w:rsidP="000A271D">
      <w:pPr>
        <w:ind w:firstLine="0"/>
        <w:jc w:val="both"/>
      </w:pPr>
    </w:p>
    <w:p w14:paraId="26F002DF" w14:textId="77777777" w:rsidR="000A271D" w:rsidRPr="0089025F" w:rsidRDefault="00E76048" w:rsidP="000A271D">
      <w:pPr>
        <w:ind w:firstLine="0"/>
        <w:jc w:val="both"/>
      </w:pPr>
      <w:r w:rsidRPr="0089025F">
        <w:rPr>
          <w:noProof/>
        </w:rPr>
        <w:drawing>
          <wp:inline distT="0" distB="0" distL="0" distR="0" wp14:anchorId="44E8A09B" wp14:editId="2B6640B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0AAF02A" w14:textId="77777777" w:rsidR="000A271D" w:rsidRPr="0089025F" w:rsidRDefault="000A271D" w:rsidP="000A271D">
      <w:pPr>
        <w:ind w:firstLine="0"/>
        <w:jc w:val="both"/>
      </w:pPr>
      <w:hyperlink r:id="rId11" w:history="1">
        <w:r w:rsidRPr="0089025F">
          <w:rPr>
            <w:rStyle w:val="Hyperlien"/>
          </w:rPr>
          <w:t>http://bibliotheque.uqac.ca/</w:t>
        </w:r>
      </w:hyperlink>
      <w:r w:rsidRPr="0089025F">
        <w:t xml:space="preserve"> </w:t>
      </w:r>
    </w:p>
    <w:p w14:paraId="18CC5C38" w14:textId="77777777" w:rsidR="000A271D" w:rsidRPr="0089025F" w:rsidRDefault="000A271D" w:rsidP="000A271D">
      <w:pPr>
        <w:ind w:firstLine="0"/>
        <w:jc w:val="both"/>
      </w:pPr>
    </w:p>
    <w:p w14:paraId="72FA8577" w14:textId="77777777" w:rsidR="000A271D" w:rsidRPr="0089025F" w:rsidRDefault="000A271D" w:rsidP="000A271D">
      <w:pPr>
        <w:ind w:firstLine="0"/>
        <w:jc w:val="both"/>
      </w:pPr>
    </w:p>
    <w:p w14:paraId="0FDF1E1E" w14:textId="77777777" w:rsidR="000A271D" w:rsidRPr="0089025F" w:rsidRDefault="000A271D" w:rsidP="000A271D">
      <w:pPr>
        <w:ind w:firstLine="0"/>
        <w:jc w:val="both"/>
      </w:pPr>
      <w:r w:rsidRPr="0089025F">
        <w:t>En 2018, Les Classiques des sciences sociales fêteront leur 25</w:t>
      </w:r>
      <w:r w:rsidRPr="0089025F">
        <w:rPr>
          <w:vertAlign w:val="superscript"/>
        </w:rPr>
        <w:t>e</w:t>
      </w:r>
      <w:r w:rsidRPr="0089025F">
        <w:t xml:space="preserve"> ann</w:t>
      </w:r>
      <w:r w:rsidRPr="0089025F">
        <w:t>i</w:t>
      </w:r>
      <w:r w:rsidRPr="0089025F">
        <w:t>versaire de fondation. Une belle initiative citoyenne.</w:t>
      </w:r>
    </w:p>
    <w:p w14:paraId="7D933059" w14:textId="77777777" w:rsidR="000A271D" w:rsidRPr="0089025F" w:rsidRDefault="000A271D" w:rsidP="000A271D">
      <w:pPr>
        <w:widowControl w:val="0"/>
        <w:autoSpaceDE w:val="0"/>
        <w:autoSpaceDN w:val="0"/>
        <w:adjustRightInd w:val="0"/>
        <w:rPr>
          <w:rFonts w:ascii="Arial" w:hAnsi="Arial"/>
          <w:sz w:val="32"/>
          <w:szCs w:val="32"/>
        </w:rPr>
      </w:pPr>
      <w:r w:rsidRPr="0089025F">
        <w:br w:type="page"/>
      </w:r>
    </w:p>
    <w:p w14:paraId="12B2C32A" w14:textId="77777777" w:rsidR="000A271D" w:rsidRPr="0089025F" w:rsidRDefault="000A271D">
      <w:pPr>
        <w:widowControl w:val="0"/>
        <w:autoSpaceDE w:val="0"/>
        <w:autoSpaceDN w:val="0"/>
        <w:adjustRightInd w:val="0"/>
        <w:jc w:val="center"/>
        <w:rPr>
          <w:rFonts w:ascii="Arial" w:hAnsi="Arial"/>
          <w:b/>
          <w:color w:val="008B00"/>
          <w:sz w:val="36"/>
          <w:szCs w:val="36"/>
        </w:rPr>
      </w:pPr>
      <w:r w:rsidRPr="0089025F">
        <w:rPr>
          <w:rFonts w:ascii="Arial" w:hAnsi="Arial"/>
          <w:b/>
          <w:color w:val="008B00"/>
          <w:sz w:val="36"/>
          <w:szCs w:val="36"/>
        </w:rPr>
        <w:t>Politique d'utilisation</w:t>
      </w:r>
      <w:r w:rsidRPr="0089025F">
        <w:rPr>
          <w:rFonts w:ascii="Arial-BoldMT" w:hAnsi="Arial-BoldMT"/>
          <w:b/>
          <w:color w:val="008B00"/>
          <w:sz w:val="36"/>
          <w:szCs w:val="36"/>
        </w:rPr>
        <w:br/>
      </w:r>
      <w:r w:rsidRPr="0089025F">
        <w:rPr>
          <w:rFonts w:ascii="Arial" w:hAnsi="Arial"/>
          <w:b/>
          <w:color w:val="008B00"/>
          <w:sz w:val="36"/>
          <w:szCs w:val="36"/>
        </w:rPr>
        <w:t>de la bibliothèque des Classiques</w:t>
      </w:r>
    </w:p>
    <w:p w14:paraId="6EF5ED69" w14:textId="77777777" w:rsidR="000A271D" w:rsidRPr="0089025F" w:rsidRDefault="000A271D">
      <w:pPr>
        <w:widowControl w:val="0"/>
        <w:autoSpaceDE w:val="0"/>
        <w:autoSpaceDN w:val="0"/>
        <w:adjustRightInd w:val="0"/>
        <w:rPr>
          <w:rFonts w:ascii="Arial" w:hAnsi="Arial"/>
          <w:sz w:val="32"/>
          <w:szCs w:val="32"/>
        </w:rPr>
      </w:pPr>
    </w:p>
    <w:p w14:paraId="6BA1B619" w14:textId="77777777" w:rsidR="000A271D" w:rsidRPr="0089025F" w:rsidRDefault="000A271D">
      <w:pPr>
        <w:widowControl w:val="0"/>
        <w:autoSpaceDE w:val="0"/>
        <w:autoSpaceDN w:val="0"/>
        <w:adjustRightInd w:val="0"/>
        <w:jc w:val="both"/>
        <w:rPr>
          <w:rFonts w:ascii="Arial" w:hAnsi="Arial"/>
          <w:color w:val="1C1C1C"/>
          <w:sz w:val="26"/>
          <w:szCs w:val="26"/>
        </w:rPr>
      </w:pPr>
    </w:p>
    <w:p w14:paraId="35D3DF15" w14:textId="77777777" w:rsidR="000A271D" w:rsidRPr="0089025F" w:rsidRDefault="000A271D">
      <w:pPr>
        <w:widowControl w:val="0"/>
        <w:autoSpaceDE w:val="0"/>
        <w:autoSpaceDN w:val="0"/>
        <w:adjustRightInd w:val="0"/>
        <w:jc w:val="both"/>
        <w:rPr>
          <w:rFonts w:ascii="Arial" w:hAnsi="Arial"/>
          <w:color w:val="1C1C1C"/>
          <w:sz w:val="26"/>
          <w:szCs w:val="26"/>
        </w:rPr>
      </w:pPr>
    </w:p>
    <w:p w14:paraId="1C22082A" w14:textId="77777777" w:rsidR="000A271D" w:rsidRPr="0089025F" w:rsidRDefault="000A271D">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Toute reproduction et rediffusion de nos fichiers est inte</w:t>
      </w:r>
      <w:r w:rsidRPr="0089025F">
        <w:rPr>
          <w:rFonts w:ascii="Arial" w:hAnsi="Arial"/>
          <w:color w:val="1C1C1C"/>
          <w:sz w:val="26"/>
          <w:szCs w:val="26"/>
        </w:rPr>
        <w:t>r</w:t>
      </w:r>
      <w:r w:rsidRPr="0089025F">
        <w:rPr>
          <w:rFonts w:ascii="Arial" w:hAnsi="Arial"/>
          <w:color w:val="1C1C1C"/>
          <w:sz w:val="26"/>
          <w:szCs w:val="26"/>
        </w:rPr>
        <w:t>dite, même avec la mention de leur provenance, sans l’autorisation fo</w:t>
      </w:r>
      <w:r w:rsidRPr="0089025F">
        <w:rPr>
          <w:rFonts w:ascii="Arial" w:hAnsi="Arial"/>
          <w:color w:val="1C1C1C"/>
          <w:sz w:val="26"/>
          <w:szCs w:val="26"/>
        </w:rPr>
        <w:t>r</w:t>
      </w:r>
      <w:r w:rsidRPr="0089025F">
        <w:rPr>
          <w:rFonts w:ascii="Arial" w:hAnsi="Arial"/>
          <w:color w:val="1C1C1C"/>
          <w:sz w:val="26"/>
          <w:szCs w:val="26"/>
        </w:rPr>
        <w:t>melle, écrite, du fondateur des Classiques des sciences sociales, Jean-Marie Tremblay, sociologue.</w:t>
      </w:r>
    </w:p>
    <w:p w14:paraId="609FFD6F" w14:textId="77777777" w:rsidR="000A271D" w:rsidRPr="0089025F" w:rsidRDefault="000A271D">
      <w:pPr>
        <w:widowControl w:val="0"/>
        <w:autoSpaceDE w:val="0"/>
        <w:autoSpaceDN w:val="0"/>
        <w:adjustRightInd w:val="0"/>
        <w:jc w:val="both"/>
        <w:rPr>
          <w:rFonts w:ascii="Arial" w:hAnsi="Arial"/>
          <w:color w:val="1C1C1C"/>
          <w:sz w:val="26"/>
          <w:szCs w:val="26"/>
        </w:rPr>
      </w:pPr>
    </w:p>
    <w:p w14:paraId="74CA84C8" w14:textId="77777777" w:rsidR="000A271D" w:rsidRPr="0089025F" w:rsidRDefault="000A271D" w:rsidP="000A271D">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Les fichiers des Classiques des sciences sociales ne peuvent sans autorisation formelle:</w:t>
      </w:r>
    </w:p>
    <w:p w14:paraId="1854D75B" w14:textId="77777777" w:rsidR="000A271D" w:rsidRPr="0089025F" w:rsidRDefault="000A271D" w:rsidP="000A271D">
      <w:pPr>
        <w:widowControl w:val="0"/>
        <w:autoSpaceDE w:val="0"/>
        <w:autoSpaceDN w:val="0"/>
        <w:adjustRightInd w:val="0"/>
        <w:jc w:val="both"/>
        <w:rPr>
          <w:rFonts w:ascii="Arial" w:hAnsi="Arial"/>
          <w:color w:val="1C1C1C"/>
          <w:sz w:val="26"/>
          <w:szCs w:val="26"/>
        </w:rPr>
      </w:pPr>
    </w:p>
    <w:p w14:paraId="09D68AB7" w14:textId="77777777" w:rsidR="000A271D" w:rsidRPr="0089025F" w:rsidRDefault="000A271D" w:rsidP="000A271D">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être hébergés (en fichier ou page web, en totalité ou en partie) sur un serveur autre que celui des Classiques.</w:t>
      </w:r>
    </w:p>
    <w:p w14:paraId="06943AFE" w14:textId="77777777" w:rsidR="000A271D" w:rsidRPr="0089025F" w:rsidRDefault="000A271D" w:rsidP="000A271D">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servir de base de travail à un autre fichier modifié ensuite par tout autre moyen (couleur, police, mise en page, extraits, support, etc...),</w:t>
      </w:r>
    </w:p>
    <w:p w14:paraId="7FA7D1B3" w14:textId="77777777" w:rsidR="000A271D" w:rsidRPr="0089025F" w:rsidRDefault="000A271D" w:rsidP="000A271D">
      <w:pPr>
        <w:widowControl w:val="0"/>
        <w:autoSpaceDE w:val="0"/>
        <w:autoSpaceDN w:val="0"/>
        <w:adjustRightInd w:val="0"/>
        <w:jc w:val="both"/>
        <w:rPr>
          <w:rFonts w:ascii="Arial" w:hAnsi="Arial"/>
          <w:color w:val="1C1C1C"/>
          <w:sz w:val="26"/>
          <w:szCs w:val="26"/>
        </w:rPr>
      </w:pPr>
    </w:p>
    <w:p w14:paraId="6424BF67" w14:textId="77777777" w:rsidR="000A271D" w:rsidRPr="0089025F" w:rsidRDefault="000A271D">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Les fichiers (.html, .doc, .pdf, .rtf, .jpg, .gif) disponibles sur le site Les Classiques des sciences sociales sont la propriété des </w:t>
      </w:r>
      <w:r w:rsidRPr="0089025F">
        <w:rPr>
          <w:rFonts w:ascii="Arial" w:hAnsi="Arial"/>
          <w:b/>
          <w:color w:val="1C1C1C"/>
          <w:sz w:val="26"/>
          <w:szCs w:val="26"/>
        </w:rPr>
        <w:t>Class</w:t>
      </w:r>
      <w:r w:rsidRPr="0089025F">
        <w:rPr>
          <w:rFonts w:ascii="Arial" w:hAnsi="Arial"/>
          <w:b/>
          <w:color w:val="1C1C1C"/>
          <w:sz w:val="26"/>
          <w:szCs w:val="26"/>
        </w:rPr>
        <w:t>i</w:t>
      </w:r>
      <w:r w:rsidRPr="0089025F">
        <w:rPr>
          <w:rFonts w:ascii="Arial" w:hAnsi="Arial"/>
          <w:b/>
          <w:color w:val="1C1C1C"/>
          <w:sz w:val="26"/>
          <w:szCs w:val="26"/>
        </w:rPr>
        <w:t>ques des sciences sociales</w:t>
      </w:r>
      <w:r w:rsidRPr="0089025F">
        <w:rPr>
          <w:rFonts w:ascii="Arial" w:hAnsi="Arial"/>
          <w:color w:val="1C1C1C"/>
          <w:sz w:val="26"/>
          <w:szCs w:val="26"/>
        </w:rPr>
        <w:t>, un organisme à but non lucratif co</w:t>
      </w:r>
      <w:r w:rsidRPr="0089025F">
        <w:rPr>
          <w:rFonts w:ascii="Arial" w:hAnsi="Arial"/>
          <w:color w:val="1C1C1C"/>
          <w:sz w:val="26"/>
          <w:szCs w:val="26"/>
        </w:rPr>
        <w:t>m</w:t>
      </w:r>
      <w:r w:rsidRPr="0089025F">
        <w:rPr>
          <w:rFonts w:ascii="Arial" w:hAnsi="Arial"/>
          <w:color w:val="1C1C1C"/>
          <w:sz w:val="26"/>
          <w:szCs w:val="26"/>
        </w:rPr>
        <w:t>posé exclusivement de bénévoles.</w:t>
      </w:r>
    </w:p>
    <w:p w14:paraId="70CFCA86" w14:textId="77777777" w:rsidR="000A271D" w:rsidRPr="0089025F" w:rsidRDefault="000A271D">
      <w:pPr>
        <w:widowControl w:val="0"/>
        <w:autoSpaceDE w:val="0"/>
        <w:autoSpaceDN w:val="0"/>
        <w:adjustRightInd w:val="0"/>
        <w:jc w:val="both"/>
        <w:rPr>
          <w:rFonts w:ascii="Arial" w:hAnsi="Arial"/>
          <w:color w:val="1C1C1C"/>
          <w:sz w:val="26"/>
          <w:szCs w:val="26"/>
        </w:rPr>
      </w:pPr>
    </w:p>
    <w:p w14:paraId="6E997D66" w14:textId="77777777" w:rsidR="000A271D" w:rsidRPr="0089025F" w:rsidRDefault="000A271D">
      <w:pPr>
        <w:rPr>
          <w:rFonts w:ascii="Arial" w:hAnsi="Arial"/>
          <w:color w:val="1C1C1C"/>
          <w:sz w:val="26"/>
          <w:szCs w:val="26"/>
        </w:rPr>
      </w:pPr>
      <w:r w:rsidRPr="0089025F">
        <w:rPr>
          <w:rFonts w:ascii="Arial" w:hAnsi="Arial"/>
          <w:color w:val="1C1C1C"/>
          <w:sz w:val="26"/>
          <w:szCs w:val="26"/>
        </w:rPr>
        <w:t>Ils sont disponibles pour une utilisation intellectuelle et perso</w:t>
      </w:r>
      <w:r w:rsidRPr="0089025F">
        <w:rPr>
          <w:rFonts w:ascii="Arial" w:hAnsi="Arial"/>
          <w:color w:val="1C1C1C"/>
          <w:sz w:val="26"/>
          <w:szCs w:val="26"/>
        </w:rPr>
        <w:t>n</w:t>
      </w:r>
      <w:r w:rsidRPr="0089025F">
        <w:rPr>
          <w:rFonts w:ascii="Arial" w:hAnsi="Arial"/>
          <w:color w:val="1C1C1C"/>
          <w:sz w:val="26"/>
          <w:szCs w:val="26"/>
        </w:rPr>
        <w:t>ne</w:t>
      </w:r>
      <w:r w:rsidRPr="0089025F">
        <w:rPr>
          <w:rFonts w:ascii="Arial" w:hAnsi="Arial"/>
          <w:color w:val="1C1C1C"/>
          <w:sz w:val="26"/>
          <w:szCs w:val="26"/>
        </w:rPr>
        <w:t>l</w:t>
      </w:r>
      <w:r w:rsidRPr="0089025F">
        <w:rPr>
          <w:rFonts w:ascii="Arial" w:hAnsi="Arial"/>
          <w:color w:val="1C1C1C"/>
          <w:sz w:val="26"/>
          <w:szCs w:val="26"/>
        </w:rPr>
        <w:t>le et, en aucun cas, commerciale. Toute utilisation à des fins co</w:t>
      </w:r>
      <w:r w:rsidRPr="0089025F">
        <w:rPr>
          <w:rFonts w:ascii="Arial" w:hAnsi="Arial"/>
          <w:color w:val="1C1C1C"/>
          <w:sz w:val="26"/>
          <w:szCs w:val="26"/>
        </w:rPr>
        <w:t>m</w:t>
      </w:r>
      <w:r w:rsidRPr="0089025F">
        <w:rPr>
          <w:rFonts w:ascii="Arial" w:hAnsi="Arial"/>
          <w:color w:val="1C1C1C"/>
          <w:sz w:val="26"/>
          <w:szCs w:val="26"/>
        </w:rPr>
        <w:t>merciales des fichiers sur ce site est strictement interdite et toute rediffusion est également strictement interdite.</w:t>
      </w:r>
    </w:p>
    <w:p w14:paraId="116CA2AD" w14:textId="77777777" w:rsidR="000A271D" w:rsidRPr="0089025F" w:rsidRDefault="000A271D">
      <w:pPr>
        <w:rPr>
          <w:rFonts w:ascii="Arial" w:hAnsi="Arial"/>
          <w:b/>
          <w:color w:val="1C1C1C"/>
          <w:sz w:val="26"/>
          <w:szCs w:val="26"/>
        </w:rPr>
      </w:pPr>
    </w:p>
    <w:p w14:paraId="0FA97AA0" w14:textId="77777777" w:rsidR="000A271D" w:rsidRPr="0089025F" w:rsidRDefault="000A271D">
      <w:pPr>
        <w:rPr>
          <w:rFonts w:ascii="Arial" w:hAnsi="Arial"/>
          <w:b/>
          <w:color w:val="1C1C1C"/>
          <w:sz w:val="26"/>
          <w:szCs w:val="26"/>
        </w:rPr>
      </w:pPr>
      <w:r w:rsidRPr="0089025F">
        <w:rPr>
          <w:rFonts w:ascii="Arial" w:hAnsi="Arial"/>
          <w:b/>
          <w:color w:val="1C1C1C"/>
          <w:sz w:val="26"/>
          <w:szCs w:val="26"/>
        </w:rPr>
        <w:t>L'accès à notre travail est libre et gratuit à tous les utilis</w:t>
      </w:r>
      <w:r w:rsidRPr="0089025F">
        <w:rPr>
          <w:rFonts w:ascii="Arial" w:hAnsi="Arial"/>
          <w:b/>
          <w:color w:val="1C1C1C"/>
          <w:sz w:val="26"/>
          <w:szCs w:val="26"/>
        </w:rPr>
        <w:t>a</w:t>
      </w:r>
      <w:r w:rsidRPr="0089025F">
        <w:rPr>
          <w:rFonts w:ascii="Arial" w:hAnsi="Arial"/>
          <w:b/>
          <w:color w:val="1C1C1C"/>
          <w:sz w:val="26"/>
          <w:szCs w:val="26"/>
        </w:rPr>
        <w:t>teurs. C'est notre mission.</w:t>
      </w:r>
    </w:p>
    <w:p w14:paraId="73D2134E" w14:textId="77777777" w:rsidR="000A271D" w:rsidRPr="0089025F" w:rsidRDefault="000A271D">
      <w:pPr>
        <w:rPr>
          <w:rFonts w:ascii="Arial" w:hAnsi="Arial"/>
          <w:b/>
          <w:color w:val="1C1C1C"/>
          <w:sz w:val="26"/>
          <w:szCs w:val="26"/>
        </w:rPr>
      </w:pPr>
    </w:p>
    <w:p w14:paraId="5D3B869A" w14:textId="77777777" w:rsidR="000A271D" w:rsidRPr="0089025F" w:rsidRDefault="000A271D">
      <w:pPr>
        <w:rPr>
          <w:rFonts w:ascii="Arial" w:hAnsi="Arial"/>
          <w:color w:val="1C1C1C"/>
          <w:sz w:val="26"/>
          <w:szCs w:val="26"/>
        </w:rPr>
      </w:pPr>
      <w:r w:rsidRPr="0089025F">
        <w:rPr>
          <w:rFonts w:ascii="Arial" w:hAnsi="Arial"/>
          <w:color w:val="1C1C1C"/>
          <w:sz w:val="26"/>
          <w:szCs w:val="26"/>
        </w:rPr>
        <w:t>Jean-Marie Tremblay, sociologue</w:t>
      </w:r>
    </w:p>
    <w:p w14:paraId="4FA7B81B" w14:textId="77777777" w:rsidR="000A271D" w:rsidRPr="0089025F" w:rsidRDefault="000A271D">
      <w:pPr>
        <w:rPr>
          <w:rFonts w:ascii="Arial" w:hAnsi="Arial"/>
          <w:color w:val="1C1C1C"/>
          <w:sz w:val="26"/>
          <w:szCs w:val="26"/>
        </w:rPr>
      </w:pPr>
      <w:r w:rsidRPr="0089025F">
        <w:rPr>
          <w:rFonts w:ascii="Arial" w:hAnsi="Arial"/>
          <w:color w:val="1C1C1C"/>
          <w:sz w:val="26"/>
          <w:szCs w:val="26"/>
        </w:rPr>
        <w:t>Fondateur et Président-directeur général,</w:t>
      </w:r>
    </w:p>
    <w:p w14:paraId="704ECECE" w14:textId="77777777" w:rsidR="000A271D" w:rsidRPr="0089025F" w:rsidRDefault="000A271D">
      <w:pPr>
        <w:rPr>
          <w:rFonts w:ascii="Arial" w:hAnsi="Arial"/>
          <w:color w:val="000080"/>
        </w:rPr>
      </w:pPr>
      <w:r w:rsidRPr="0089025F">
        <w:rPr>
          <w:rFonts w:ascii="Arial" w:hAnsi="Arial"/>
          <w:color w:val="000080"/>
          <w:sz w:val="26"/>
          <w:szCs w:val="26"/>
        </w:rPr>
        <w:t>LES CLASSIQUES DES SCIENCES SOCIALES.</w:t>
      </w:r>
    </w:p>
    <w:p w14:paraId="1A609D5D" w14:textId="77777777" w:rsidR="000A271D" w:rsidRPr="0089025F" w:rsidRDefault="000A271D" w:rsidP="000A271D">
      <w:pPr>
        <w:ind w:firstLine="0"/>
        <w:rPr>
          <w:sz w:val="24"/>
        </w:rPr>
      </w:pPr>
      <w:r w:rsidRPr="0089025F">
        <w:br w:type="page"/>
      </w:r>
      <w:r w:rsidRPr="0089025F">
        <w:rPr>
          <w:sz w:val="24"/>
          <w:lang w:bidi="ar-SA"/>
        </w:rPr>
        <w:lastRenderedPageBreak/>
        <w:t xml:space="preserve">Un document produit en version numérique par </w:t>
      </w:r>
      <w:r w:rsidRPr="0089025F">
        <w:rPr>
          <w:sz w:val="24"/>
        </w:rPr>
        <w:t>Réjeanne Toussaint, bén</w:t>
      </w:r>
      <w:r w:rsidRPr="0089025F">
        <w:rPr>
          <w:sz w:val="24"/>
        </w:rPr>
        <w:t>é</w:t>
      </w:r>
      <w:r w:rsidRPr="0089025F">
        <w:rPr>
          <w:sz w:val="24"/>
        </w:rPr>
        <w:t xml:space="preserve">vole, Chomedey, Ville Laval, Qc. courriel: </w:t>
      </w:r>
      <w:hyperlink r:id="rId12" w:history="1">
        <w:r w:rsidRPr="0089025F">
          <w:rPr>
            <w:rStyle w:val="Hyperlien"/>
            <w:sz w:val="24"/>
          </w:rPr>
          <w:t>rtoussaint@aei.ca</w:t>
        </w:r>
      </w:hyperlink>
      <w:r w:rsidRPr="0089025F">
        <w:rPr>
          <w:sz w:val="24"/>
        </w:rPr>
        <w:t>.</w:t>
      </w:r>
    </w:p>
    <w:p w14:paraId="0781BB40" w14:textId="77777777" w:rsidR="000A271D" w:rsidRPr="0089025F" w:rsidRDefault="000A271D" w:rsidP="000A271D">
      <w:pPr>
        <w:ind w:firstLine="0"/>
        <w:jc w:val="both"/>
        <w:rPr>
          <w:sz w:val="24"/>
        </w:rPr>
      </w:pPr>
      <w:hyperlink r:id="rId13" w:history="1">
        <w:r w:rsidRPr="0089025F">
          <w:rPr>
            <w:rStyle w:val="Hyperlien"/>
            <w:sz w:val="24"/>
          </w:rPr>
          <w:t>Page web</w:t>
        </w:r>
      </w:hyperlink>
      <w:r w:rsidRPr="0089025F">
        <w:rPr>
          <w:sz w:val="24"/>
        </w:rPr>
        <w:t xml:space="preserve"> dans Les Classiques des sciences sociales :</w:t>
      </w:r>
    </w:p>
    <w:p w14:paraId="16F93E26" w14:textId="77777777" w:rsidR="000A271D" w:rsidRPr="0089025F" w:rsidRDefault="000A271D" w:rsidP="000A271D">
      <w:pPr>
        <w:ind w:firstLine="0"/>
        <w:rPr>
          <w:sz w:val="24"/>
          <w:lang w:bidi="ar-SA"/>
        </w:rPr>
      </w:pPr>
      <w:hyperlink r:id="rId14" w:history="1">
        <w:r w:rsidRPr="0089025F">
          <w:rPr>
            <w:rStyle w:val="Hyperlien"/>
            <w:sz w:val="24"/>
            <w:lang w:bidi="ar-SA"/>
          </w:rPr>
          <w:t>http://classiques.uqac.ca/inter/benevoles_equipe/liste_toussaint_rejeanne.html</w:t>
        </w:r>
      </w:hyperlink>
      <w:r w:rsidRPr="0089025F">
        <w:rPr>
          <w:sz w:val="24"/>
          <w:lang w:bidi="ar-SA"/>
        </w:rPr>
        <w:t xml:space="preserve"> </w:t>
      </w:r>
    </w:p>
    <w:p w14:paraId="72D1FE9C" w14:textId="77777777" w:rsidR="000A271D" w:rsidRPr="0089025F" w:rsidRDefault="000A271D" w:rsidP="000A271D">
      <w:pPr>
        <w:ind w:firstLine="0"/>
        <w:jc w:val="both"/>
        <w:rPr>
          <w:sz w:val="24"/>
        </w:rPr>
      </w:pPr>
      <w:r w:rsidRPr="0089025F">
        <w:rPr>
          <w:sz w:val="24"/>
        </w:rPr>
        <w:t>à partir du texte de :</w:t>
      </w:r>
    </w:p>
    <w:p w14:paraId="7D219975" w14:textId="77777777" w:rsidR="000A271D" w:rsidRDefault="000A271D" w:rsidP="000A271D">
      <w:pPr>
        <w:ind w:right="720" w:firstLine="0"/>
        <w:rPr>
          <w:sz w:val="24"/>
        </w:rPr>
      </w:pPr>
    </w:p>
    <w:p w14:paraId="0D092833" w14:textId="77777777" w:rsidR="000A271D" w:rsidRPr="00C653E4" w:rsidRDefault="000A271D" w:rsidP="000A271D">
      <w:pPr>
        <w:ind w:right="720" w:firstLine="0"/>
      </w:pPr>
    </w:p>
    <w:p w14:paraId="3357E865" w14:textId="77777777" w:rsidR="000A271D" w:rsidRPr="00C653E4" w:rsidRDefault="000A271D" w:rsidP="000A271D">
      <w:pPr>
        <w:ind w:right="720" w:firstLine="0"/>
      </w:pPr>
      <w:r>
        <w:t>Jeanne Kirk Laux</w:t>
      </w:r>
    </w:p>
    <w:p w14:paraId="4E7B498D" w14:textId="77777777" w:rsidR="000A271D" w:rsidRPr="00C653E4" w:rsidRDefault="000A271D" w:rsidP="000A271D">
      <w:pPr>
        <w:ind w:right="720" w:firstLine="0"/>
      </w:pPr>
    </w:p>
    <w:p w14:paraId="6AC17E69" w14:textId="77777777" w:rsidR="000A271D" w:rsidRDefault="000A271D" w:rsidP="000A271D">
      <w:pPr>
        <w:ind w:right="720" w:firstLine="0"/>
      </w:pPr>
      <w:r>
        <w:t>“</w:t>
      </w:r>
      <w:r w:rsidRPr="00894795">
        <w:rPr>
          <w:b/>
          <w:i/>
        </w:rPr>
        <w:t>La privatisation des sociétés d’État au Canada</w:t>
      </w:r>
      <w:r>
        <w:t>.”</w:t>
      </w:r>
    </w:p>
    <w:p w14:paraId="1C1B7A55" w14:textId="77777777" w:rsidR="000A271D" w:rsidRPr="00C653E4" w:rsidRDefault="000A271D" w:rsidP="000A271D">
      <w:pPr>
        <w:ind w:right="720" w:firstLine="0"/>
      </w:pPr>
    </w:p>
    <w:p w14:paraId="6530CFD7" w14:textId="77777777" w:rsidR="000A271D" w:rsidRPr="00C653E4" w:rsidRDefault="000A271D" w:rsidP="000A271D">
      <w:pPr>
        <w:ind w:right="720" w:firstLine="0"/>
      </w:pPr>
    </w:p>
    <w:p w14:paraId="1CA25774" w14:textId="77777777" w:rsidR="000A271D" w:rsidRPr="00C653E4" w:rsidRDefault="000A271D" w:rsidP="000A271D">
      <w:pPr>
        <w:ind w:firstLine="0"/>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157-172</w:t>
      </w:r>
      <w:r w:rsidRPr="00C653E4">
        <w:t xml:space="preserve">. Montréal : Revue </w:t>
      </w:r>
      <w:r w:rsidRPr="00C653E4">
        <w:rPr>
          <w:b/>
          <w:i/>
        </w:rPr>
        <w:t>Inte</w:t>
      </w:r>
      <w:r w:rsidRPr="00C653E4">
        <w:rPr>
          <w:b/>
          <w:i/>
        </w:rPr>
        <w:t>r</w:t>
      </w:r>
      <w:r w:rsidRPr="00C653E4">
        <w:rPr>
          <w:b/>
          <w:i/>
        </w:rPr>
        <w:t>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1B01C9A5" w14:textId="77777777" w:rsidR="000A271D" w:rsidRPr="0089025F" w:rsidRDefault="000A271D">
      <w:pPr>
        <w:jc w:val="both"/>
        <w:rPr>
          <w:sz w:val="24"/>
        </w:rPr>
      </w:pPr>
    </w:p>
    <w:p w14:paraId="2EA183E0" w14:textId="77777777" w:rsidR="000A271D" w:rsidRPr="0089025F" w:rsidRDefault="000A271D">
      <w:pPr>
        <w:jc w:val="both"/>
        <w:rPr>
          <w:sz w:val="24"/>
        </w:rPr>
      </w:pPr>
    </w:p>
    <w:p w14:paraId="054D066A" w14:textId="77777777" w:rsidR="000A271D" w:rsidRPr="0089025F" w:rsidRDefault="00E76048" w:rsidP="000A271D">
      <w:pPr>
        <w:ind w:left="20" w:hanging="20"/>
        <w:rPr>
          <w:sz w:val="24"/>
        </w:rPr>
      </w:pPr>
      <w:r w:rsidRPr="0089025F">
        <w:rPr>
          <w:noProof/>
          <w:sz w:val="24"/>
        </w:rPr>
        <w:drawing>
          <wp:inline distT="0" distB="0" distL="0" distR="0" wp14:anchorId="0CCE51C1" wp14:editId="62230A57">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A271D" w:rsidRPr="0089025F">
        <w:rPr>
          <w:sz w:val="24"/>
        </w:rPr>
        <w:t xml:space="preserve"> Courriel : Diane-Gabrielle Tremblay : </w:t>
      </w:r>
      <w:hyperlink r:id="rId16" w:history="1">
        <w:r w:rsidR="000A271D" w:rsidRPr="0089025F">
          <w:rPr>
            <w:rStyle w:val="Hyperlien"/>
            <w:sz w:val="24"/>
          </w:rPr>
          <w:t>Diane-Gabrielle.Tremblay@teluq.ca</w:t>
        </w:r>
      </w:hyperlink>
      <w:r w:rsidR="000A271D" w:rsidRPr="0089025F">
        <w:rPr>
          <w:sz w:val="24"/>
        </w:rPr>
        <w:t xml:space="preserve"> </w:t>
      </w:r>
    </w:p>
    <w:p w14:paraId="76FBC268" w14:textId="77777777" w:rsidR="000A271D" w:rsidRPr="0089025F" w:rsidRDefault="000A271D" w:rsidP="000A271D">
      <w:pPr>
        <w:ind w:right="1800" w:firstLine="0"/>
        <w:jc w:val="both"/>
        <w:rPr>
          <w:sz w:val="24"/>
        </w:rPr>
      </w:pPr>
      <w:r w:rsidRPr="0089025F">
        <w:rPr>
          <w:sz w:val="24"/>
        </w:rPr>
        <w:t>Professeure École des sciences de l'administration</w:t>
      </w:r>
    </w:p>
    <w:p w14:paraId="335E0EF0" w14:textId="77777777" w:rsidR="000A271D" w:rsidRPr="0089025F" w:rsidRDefault="000A271D" w:rsidP="000A271D">
      <w:pPr>
        <w:ind w:right="1800" w:firstLine="0"/>
        <w:jc w:val="both"/>
        <w:rPr>
          <w:sz w:val="24"/>
        </w:rPr>
      </w:pPr>
      <w:r w:rsidRPr="0089025F">
        <w:rPr>
          <w:sz w:val="24"/>
        </w:rPr>
        <w:t>Unive</w:t>
      </w:r>
      <w:r w:rsidRPr="0089025F">
        <w:rPr>
          <w:sz w:val="24"/>
        </w:rPr>
        <w:t>r</w:t>
      </w:r>
      <w:r w:rsidRPr="0089025F">
        <w:rPr>
          <w:sz w:val="24"/>
        </w:rPr>
        <w:t>sité TÉLUQ</w:t>
      </w:r>
    </w:p>
    <w:p w14:paraId="3A6FCA1B" w14:textId="77777777" w:rsidR="000A271D" w:rsidRPr="0089025F" w:rsidRDefault="000A271D" w:rsidP="000A271D">
      <w:pPr>
        <w:ind w:right="1800" w:firstLine="0"/>
        <w:jc w:val="both"/>
        <w:rPr>
          <w:sz w:val="24"/>
        </w:rPr>
      </w:pPr>
      <w:r w:rsidRPr="0089025F">
        <w:rPr>
          <w:sz w:val="24"/>
        </w:rPr>
        <w:t>Tél : 1 800 665-4333 poste : 2878</w:t>
      </w:r>
    </w:p>
    <w:p w14:paraId="6DA93B22" w14:textId="77777777" w:rsidR="000A271D" w:rsidRPr="0089025F" w:rsidRDefault="000A271D">
      <w:pPr>
        <w:ind w:right="1800"/>
        <w:jc w:val="both"/>
        <w:rPr>
          <w:sz w:val="24"/>
        </w:rPr>
      </w:pPr>
    </w:p>
    <w:p w14:paraId="104E7294" w14:textId="77777777" w:rsidR="000A271D" w:rsidRPr="0089025F" w:rsidRDefault="000A271D" w:rsidP="000A271D">
      <w:pPr>
        <w:ind w:right="1800" w:firstLine="0"/>
        <w:jc w:val="both"/>
        <w:rPr>
          <w:sz w:val="24"/>
        </w:rPr>
      </w:pPr>
      <w:r w:rsidRPr="0089025F">
        <w:rPr>
          <w:sz w:val="24"/>
        </w:rPr>
        <w:t>Police de caractères utilisés :</w:t>
      </w:r>
    </w:p>
    <w:p w14:paraId="2C8E488C" w14:textId="77777777" w:rsidR="000A271D" w:rsidRPr="0089025F" w:rsidRDefault="000A271D" w:rsidP="000A271D">
      <w:pPr>
        <w:ind w:right="1800" w:firstLine="0"/>
        <w:jc w:val="both"/>
        <w:rPr>
          <w:sz w:val="24"/>
        </w:rPr>
      </w:pPr>
    </w:p>
    <w:p w14:paraId="6981DFD9" w14:textId="77777777" w:rsidR="000A271D" w:rsidRPr="0089025F" w:rsidRDefault="000A271D" w:rsidP="000A271D">
      <w:pPr>
        <w:ind w:left="360" w:right="360" w:firstLine="0"/>
        <w:jc w:val="both"/>
        <w:rPr>
          <w:sz w:val="24"/>
        </w:rPr>
      </w:pPr>
      <w:r w:rsidRPr="0089025F">
        <w:rPr>
          <w:sz w:val="24"/>
        </w:rPr>
        <w:t>Pour le texte: Times New Roman, 14 points.</w:t>
      </w:r>
    </w:p>
    <w:p w14:paraId="3675827E" w14:textId="77777777" w:rsidR="000A271D" w:rsidRPr="0089025F" w:rsidRDefault="000A271D" w:rsidP="000A271D">
      <w:pPr>
        <w:ind w:left="360" w:right="360" w:firstLine="0"/>
        <w:jc w:val="both"/>
        <w:rPr>
          <w:sz w:val="24"/>
        </w:rPr>
      </w:pPr>
      <w:r w:rsidRPr="0089025F">
        <w:rPr>
          <w:sz w:val="24"/>
        </w:rPr>
        <w:t>Pour les notes de bas de page : Times New Roman, 12 points.</w:t>
      </w:r>
    </w:p>
    <w:p w14:paraId="551BDC83" w14:textId="77777777" w:rsidR="000A271D" w:rsidRPr="0089025F" w:rsidRDefault="000A271D" w:rsidP="000A271D">
      <w:pPr>
        <w:ind w:left="360" w:right="1800" w:firstLine="0"/>
        <w:jc w:val="both"/>
        <w:rPr>
          <w:sz w:val="24"/>
        </w:rPr>
      </w:pPr>
    </w:p>
    <w:p w14:paraId="28E76508" w14:textId="77777777" w:rsidR="000A271D" w:rsidRPr="0089025F" w:rsidRDefault="000A271D" w:rsidP="000A271D">
      <w:pPr>
        <w:ind w:right="360" w:firstLine="0"/>
        <w:jc w:val="both"/>
        <w:rPr>
          <w:sz w:val="24"/>
        </w:rPr>
      </w:pPr>
      <w:r w:rsidRPr="0089025F">
        <w:rPr>
          <w:sz w:val="24"/>
        </w:rPr>
        <w:t>Édition électronique réalisée avec le traitement de textes Microsoft Word 2008 pour Macintosh.</w:t>
      </w:r>
    </w:p>
    <w:p w14:paraId="501BBCC5" w14:textId="77777777" w:rsidR="000A271D" w:rsidRPr="0089025F" w:rsidRDefault="000A271D" w:rsidP="000A271D">
      <w:pPr>
        <w:ind w:right="1800" w:firstLine="0"/>
        <w:jc w:val="both"/>
        <w:rPr>
          <w:sz w:val="24"/>
        </w:rPr>
      </w:pPr>
    </w:p>
    <w:p w14:paraId="5325BBBD" w14:textId="77777777" w:rsidR="000A271D" w:rsidRPr="0089025F" w:rsidRDefault="000A271D" w:rsidP="000A271D">
      <w:pPr>
        <w:ind w:right="540" w:firstLine="0"/>
        <w:jc w:val="both"/>
        <w:rPr>
          <w:sz w:val="24"/>
        </w:rPr>
      </w:pPr>
      <w:r w:rsidRPr="0089025F">
        <w:rPr>
          <w:sz w:val="24"/>
        </w:rPr>
        <w:t>Mise en page sur papier format : LETTRE US, 8.5’’ x 11’’.</w:t>
      </w:r>
    </w:p>
    <w:p w14:paraId="69A02A42" w14:textId="77777777" w:rsidR="000A271D" w:rsidRPr="0089025F" w:rsidRDefault="000A271D" w:rsidP="000A271D">
      <w:pPr>
        <w:ind w:right="1800" w:firstLine="0"/>
        <w:jc w:val="both"/>
        <w:rPr>
          <w:sz w:val="24"/>
        </w:rPr>
      </w:pPr>
    </w:p>
    <w:p w14:paraId="408215B2" w14:textId="77777777" w:rsidR="000A271D" w:rsidRPr="0089025F" w:rsidRDefault="000A271D" w:rsidP="000A271D">
      <w:pPr>
        <w:ind w:firstLine="0"/>
        <w:jc w:val="both"/>
        <w:rPr>
          <w:sz w:val="24"/>
        </w:rPr>
      </w:pPr>
      <w:r w:rsidRPr="0089025F">
        <w:rPr>
          <w:sz w:val="24"/>
        </w:rPr>
        <w:t>Édition numérique réalisée le 1</w:t>
      </w:r>
      <w:r>
        <w:rPr>
          <w:sz w:val="24"/>
        </w:rPr>
        <w:t>8</w:t>
      </w:r>
      <w:r w:rsidRPr="0089025F">
        <w:rPr>
          <w:sz w:val="24"/>
        </w:rPr>
        <w:t xml:space="preserve"> mai 2022 à Chicoutimi, Québec.</w:t>
      </w:r>
    </w:p>
    <w:p w14:paraId="598720D5" w14:textId="77777777" w:rsidR="000A271D" w:rsidRPr="0089025F" w:rsidRDefault="000A271D">
      <w:pPr>
        <w:ind w:right="1800" w:firstLine="0"/>
        <w:jc w:val="both"/>
        <w:rPr>
          <w:sz w:val="22"/>
        </w:rPr>
      </w:pPr>
    </w:p>
    <w:p w14:paraId="30037D0C" w14:textId="77777777" w:rsidR="000A271D" w:rsidRPr="0089025F" w:rsidRDefault="00E76048">
      <w:pPr>
        <w:ind w:right="1800" w:firstLine="0"/>
        <w:jc w:val="both"/>
      </w:pPr>
      <w:r w:rsidRPr="0089025F">
        <w:rPr>
          <w:noProof/>
        </w:rPr>
        <w:drawing>
          <wp:inline distT="0" distB="0" distL="0" distR="0" wp14:anchorId="75509267" wp14:editId="2F0D81B7">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0E0FDE5" w14:textId="77777777" w:rsidR="000A271D" w:rsidRPr="0089025F" w:rsidRDefault="000A271D" w:rsidP="000A271D">
      <w:pPr>
        <w:ind w:left="20"/>
        <w:jc w:val="both"/>
      </w:pPr>
      <w:r w:rsidRPr="0089025F">
        <w:br w:type="page"/>
      </w:r>
    </w:p>
    <w:p w14:paraId="2278E713" w14:textId="77777777" w:rsidR="000A271D" w:rsidRPr="00366403" w:rsidRDefault="000A271D" w:rsidP="000A271D">
      <w:pPr>
        <w:pStyle w:val="Titlest"/>
        <w:rPr>
          <w:lang w:bidi="ar-SA"/>
        </w:rPr>
      </w:pPr>
      <w:r>
        <w:rPr>
          <w:lang w:bidi="ar-SA"/>
        </w:rPr>
        <w:t>Jeanne Kirk Laux</w:t>
      </w:r>
    </w:p>
    <w:p w14:paraId="1345962D" w14:textId="77777777" w:rsidR="000A271D" w:rsidRPr="0089025F" w:rsidRDefault="000A271D" w:rsidP="000A271D">
      <w:pPr>
        <w:ind w:firstLine="0"/>
        <w:jc w:val="center"/>
        <w:rPr>
          <w:lang w:bidi="ar-SA"/>
        </w:rPr>
      </w:pPr>
    </w:p>
    <w:p w14:paraId="6F9F00C1" w14:textId="77777777" w:rsidR="000A271D" w:rsidRPr="0089025F" w:rsidRDefault="000A271D" w:rsidP="000A271D">
      <w:pPr>
        <w:ind w:firstLine="0"/>
        <w:jc w:val="center"/>
        <w:rPr>
          <w:b/>
          <w:lang w:bidi="ar-SA"/>
        </w:rPr>
      </w:pPr>
      <w:r w:rsidRPr="00366403">
        <w:rPr>
          <w:b/>
          <w:lang w:bidi="ar-SA"/>
        </w:rPr>
        <w:t>“</w:t>
      </w:r>
      <w:r w:rsidRPr="00894795">
        <w:rPr>
          <w:b/>
          <w:lang w:bidi="ar-SA"/>
        </w:rPr>
        <w:t>La privatisation</w:t>
      </w:r>
      <w:r>
        <w:rPr>
          <w:b/>
          <w:lang w:bidi="ar-SA"/>
        </w:rPr>
        <w:t xml:space="preserve"> </w:t>
      </w:r>
      <w:r w:rsidRPr="00894795">
        <w:rPr>
          <w:b/>
          <w:lang w:bidi="ar-SA"/>
        </w:rPr>
        <w:t>des sociétés d’État</w:t>
      </w:r>
      <w:r>
        <w:rPr>
          <w:b/>
          <w:lang w:bidi="ar-SA"/>
        </w:rPr>
        <w:t xml:space="preserve"> </w:t>
      </w:r>
      <w:r w:rsidRPr="00894795">
        <w:rPr>
          <w:b/>
          <w:lang w:bidi="ar-SA"/>
        </w:rPr>
        <w:t>au Cana</w:t>
      </w:r>
      <w:r>
        <w:rPr>
          <w:b/>
          <w:lang w:bidi="ar-SA"/>
        </w:rPr>
        <w:t>da.</w:t>
      </w:r>
      <w:r w:rsidRPr="00366403">
        <w:rPr>
          <w:b/>
          <w:lang w:bidi="ar-SA"/>
        </w:rPr>
        <w:t>.”</w:t>
      </w:r>
    </w:p>
    <w:p w14:paraId="41ECE619" w14:textId="77777777" w:rsidR="000A271D" w:rsidRPr="0089025F" w:rsidRDefault="000A271D" w:rsidP="000A271D">
      <w:pPr>
        <w:ind w:firstLine="0"/>
        <w:jc w:val="center"/>
        <w:rPr>
          <w:lang w:bidi="ar-SA"/>
        </w:rPr>
      </w:pPr>
    </w:p>
    <w:p w14:paraId="38441BD5" w14:textId="77777777" w:rsidR="000A271D" w:rsidRPr="0089025F" w:rsidRDefault="00E76048" w:rsidP="000A271D">
      <w:pPr>
        <w:ind w:firstLine="0"/>
        <w:jc w:val="center"/>
        <w:rPr>
          <w:lang w:bidi="ar-SA"/>
        </w:rPr>
      </w:pPr>
      <w:r>
        <w:rPr>
          <w:noProof/>
          <w:lang w:bidi="ar-SA"/>
        </w:rPr>
        <w:drawing>
          <wp:inline distT="0" distB="0" distL="0" distR="0" wp14:anchorId="34360C8B" wp14:editId="188BF9C7">
            <wp:extent cx="3276600" cy="5029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029200"/>
                    </a:xfrm>
                    <a:prstGeom prst="rect">
                      <a:avLst/>
                    </a:prstGeom>
                    <a:noFill/>
                    <a:ln>
                      <a:noFill/>
                    </a:ln>
                  </pic:spPr>
                </pic:pic>
              </a:graphicData>
            </a:graphic>
          </wp:inline>
        </w:drawing>
      </w:r>
    </w:p>
    <w:p w14:paraId="27EC908C" w14:textId="77777777" w:rsidR="000A271D" w:rsidRPr="0089025F" w:rsidRDefault="000A271D" w:rsidP="000A271D">
      <w:pPr>
        <w:pStyle w:val="Titlest20"/>
        <w:rPr>
          <w:lang w:bidi="ar-SA"/>
        </w:rPr>
      </w:pPr>
    </w:p>
    <w:p w14:paraId="3972205A" w14:textId="77777777" w:rsidR="000A271D" w:rsidRPr="0089025F" w:rsidRDefault="000A271D">
      <w:pPr>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157-172</w:t>
      </w:r>
      <w:r w:rsidRPr="00C653E4">
        <w:t xml:space="preserve">. Montréal : Revue </w:t>
      </w:r>
      <w:r w:rsidRPr="00C653E4">
        <w:rPr>
          <w:b/>
          <w:i/>
        </w:rPr>
        <w:t>Interve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6A500033" w14:textId="77777777" w:rsidR="000A271D" w:rsidRPr="0089025F" w:rsidRDefault="000A271D" w:rsidP="000A271D">
      <w:pPr>
        <w:jc w:val="both"/>
      </w:pPr>
      <w:r w:rsidRPr="0089025F">
        <w:br w:type="page"/>
      </w:r>
    </w:p>
    <w:p w14:paraId="1A2486C3" w14:textId="77777777" w:rsidR="000A271D" w:rsidRPr="0089025F" w:rsidRDefault="000A271D" w:rsidP="000A271D">
      <w:pPr>
        <w:spacing w:before="120" w:after="120"/>
        <w:jc w:val="both"/>
      </w:pPr>
    </w:p>
    <w:p w14:paraId="06529F57" w14:textId="77777777" w:rsidR="000A271D" w:rsidRPr="0089025F" w:rsidRDefault="000A271D" w:rsidP="000A271D">
      <w:pPr>
        <w:jc w:val="both"/>
      </w:pPr>
    </w:p>
    <w:p w14:paraId="2AB77E6F" w14:textId="77777777" w:rsidR="000A271D" w:rsidRPr="0089025F" w:rsidRDefault="000A271D" w:rsidP="000A271D">
      <w:pPr>
        <w:jc w:val="both"/>
      </w:pPr>
    </w:p>
    <w:p w14:paraId="5C7A3A25" w14:textId="77777777" w:rsidR="000A271D" w:rsidRPr="0089025F" w:rsidRDefault="000A271D" w:rsidP="000A271D">
      <w:pPr>
        <w:jc w:val="both"/>
      </w:pPr>
    </w:p>
    <w:p w14:paraId="581584C4" w14:textId="77777777" w:rsidR="000A271D" w:rsidRPr="0089025F" w:rsidRDefault="000A271D" w:rsidP="000A271D">
      <w:pPr>
        <w:pStyle w:val="NormalWeb"/>
        <w:spacing w:before="2" w:after="2"/>
        <w:jc w:val="both"/>
        <w:rPr>
          <w:rFonts w:ascii="Times New Roman" w:hAnsi="Times New Roman"/>
          <w:sz w:val="28"/>
          <w:lang w:val="fr-CA"/>
        </w:rPr>
      </w:pPr>
      <w:r w:rsidRPr="0089025F">
        <w:rPr>
          <w:rFonts w:ascii="Times New Roman" w:hAnsi="Times New Roman"/>
          <w:b/>
          <w:sz w:val="28"/>
          <w:szCs w:val="19"/>
          <w:lang w:val="fr-CA"/>
        </w:rPr>
        <w:t>Note pour la version numérique</w:t>
      </w:r>
      <w:r w:rsidRPr="0089025F">
        <w:rPr>
          <w:rFonts w:ascii="Times New Roman" w:hAnsi="Times New Roman"/>
          <w:sz w:val="28"/>
          <w:szCs w:val="19"/>
          <w:lang w:val="fr-CA"/>
        </w:rPr>
        <w:t xml:space="preserve"> : </w:t>
      </w:r>
      <w:r w:rsidRPr="0089025F">
        <w:rPr>
          <w:rFonts w:ascii="Times New Roman" w:hAnsi="Times New Roman"/>
          <w:sz w:val="28"/>
          <w:lang w:val="fr-CA"/>
        </w:rPr>
        <w:t>La numérotation entre crochets [] correspond à la pagination, en début de page, de l'édition d'origine numérisée. JMT.</w:t>
      </w:r>
    </w:p>
    <w:p w14:paraId="4C933F8D" w14:textId="77777777" w:rsidR="000A271D" w:rsidRPr="0089025F" w:rsidRDefault="000A271D" w:rsidP="000A271D">
      <w:pPr>
        <w:pStyle w:val="NormalWeb"/>
        <w:spacing w:before="2" w:after="2"/>
        <w:jc w:val="both"/>
        <w:rPr>
          <w:rFonts w:ascii="Times New Roman" w:hAnsi="Times New Roman"/>
          <w:sz w:val="28"/>
          <w:lang w:val="fr-CA"/>
        </w:rPr>
      </w:pPr>
    </w:p>
    <w:p w14:paraId="47F9D0B9" w14:textId="77777777" w:rsidR="000A271D" w:rsidRPr="0089025F" w:rsidRDefault="000A271D" w:rsidP="000A271D">
      <w:pPr>
        <w:pStyle w:val="NormalWeb"/>
        <w:spacing w:before="2" w:after="2"/>
        <w:rPr>
          <w:rFonts w:ascii="Times New Roman" w:hAnsi="Times New Roman"/>
          <w:sz w:val="28"/>
          <w:lang w:val="fr-CA"/>
        </w:rPr>
      </w:pPr>
      <w:r w:rsidRPr="0089025F">
        <w:rPr>
          <w:rFonts w:ascii="Times New Roman" w:hAnsi="Times New Roman"/>
          <w:sz w:val="28"/>
          <w:lang w:val="fr-CA"/>
        </w:rPr>
        <w:t>Par exemple, [1] correspond au début de la page 1 de l’édition papier numérisée.</w:t>
      </w:r>
    </w:p>
    <w:p w14:paraId="55C93481" w14:textId="77777777" w:rsidR="000A271D" w:rsidRPr="0089025F" w:rsidRDefault="000A271D" w:rsidP="000A271D">
      <w:pPr>
        <w:jc w:val="both"/>
        <w:rPr>
          <w:szCs w:val="19"/>
        </w:rPr>
      </w:pPr>
    </w:p>
    <w:p w14:paraId="22F016E6" w14:textId="77777777" w:rsidR="000A271D" w:rsidRPr="0089025F" w:rsidRDefault="000A271D" w:rsidP="000A271D">
      <w:pPr>
        <w:jc w:val="both"/>
        <w:rPr>
          <w:szCs w:val="19"/>
        </w:rPr>
      </w:pPr>
    </w:p>
    <w:p w14:paraId="6FAB4DD1" w14:textId="77777777" w:rsidR="000A271D" w:rsidRPr="0089025F" w:rsidRDefault="000A271D" w:rsidP="000A271D">
      <w:pPr>
        <w:pStyle w:val="p"/>
      </w:pPr>
      <w:r w:rsidRPr="0089025F">
        <w:br w:type="page"/>
      </w:r>
      <w:r w:rsidRPr="0089025F">
        <w:lastRenderedPageBreak/>
        <w:t>[157]</w:t>
      </w:r>
    </w:p>
    <w:p w14:paraId="19D54A15" w14:textId="77777777" w:rsidR="000A271D" w:rsidRPr="0089025F" w:rsidRDefault="000A271D" w:rsidP="000A271D">
      <w:pPr>
        <w:jc w:val="both"/>
      </w:pPr>
    </w:p>
    <w:p w14:paraId="2687C48C" w14:textId="77777777" w:rsidR="000A271D" w:rsidRPr="0089025F" w:rsidRDefault="000A271D" w:rsidP="000A271D">
      <w:pPr>
        <w:jc w:val="both"/>
      </w:pPr>
    </w:p>
    <w:p w14:paraId="418BFC30" w14:textId="77777777" w:rsidR="000A271D" w:rsidRPr="0089025F" w:rsidRDefault="000A271D" w:rsidP="000A271D">
      <w:pPr>
        <w:jc w:val="both"/>
      </w:pPr>
    </w:p>
    <w:p w14:paraId="3256824C" w14:textId="77777777" w:rsidR="000A271D" w:rsidRPr="0089025F" w:rsidRDefault="000A271D" w:rsidP="000A271D">
      <w:pPr>
        <w:spacing w:after="120"/>
        <w:ind w:firstLine="0"/>
        <w:jc w:val="center"/>
        <w:rPr>
          <w:b/>
          <w:color w:val="0000FF"/>
          <w:sz w:val="24"/>
        </w:rPr>
      </w:pPr>
      <w:bookmarkStart w:id="0" w:name="Interventions_eco_18_dossier_texte_10"/>
      <w:r w:rsidRPr="0089025F">
        <w:rPr>
          <w:b/>
          <w:sz w:val="24"/>
        </w:rPr>
        <w:t xml:space="preserve">No 18. </w:t>
      </w:r>
      <w:r w:rsidRPr="0089025F">
        <w:rPr>
          <w:b/>
          <w:color w:val="FF0000"/>
          <w:sz w:val="24"/>
        </w:rPr>
        <w:t>L’ÉTAT EN QUESTION #2</w:t>
      </w:r>
      <w:r w:rsidRPr="0089025F">
        <w:rPr>
          <w:b/>
          <w:color w:val="FF0000"/>
          <w:sz w:val="24"/>
        </w:rPr>
        <w:br/>
      </w:r>
      <w:r w:rsidRPr="0089025F">
        <w:rPr>
          <w:b/>
          <w:color w:val="0000FF"/>
          <w:sz w:val="24"/>
        </w:rPr>
        <w:t>DOSSIER</w:t>
      </w:r>
    </w:p>
    <w:p w14:paraId="3BD174AD" w14:textId="77777777" w:rsidR="000A271D" w:rsidRPr="0089025F" w:rsidRDefault="000A271D" w:rsidP="000A271D">
      <w:pPr>
        <w:pStyle w:val="planchenb"/>
        <w:rPr>
          <w:color w:val="auto"/>
          <w:sz w:val="44"/>
        </w:rPr>
      </w:pPr>
      <w:r w:rsidRPr="0089025F">
        <w:rPr>
          <w:color w:val="auto"/>
          <w:sz w:val="44"/>
        </w:rPr>
        <w:t>“LA PRIVATISATION</w:t>
      </w:r>
      <w:r w:rsidRPr="0089025F">
        <w:rPr>
          <w:color w:val="auto"/>
          <w:sz w:val="44"/>
        </w:rPr>
        <w:br/>
        <w:t>DES SOCIÉTÉS D’ÉTAT</w:t>
      </w:r>
      <w:r w:rsidRPr="0089025F">
        <w:rPr>
          <w:color w:val="auto"/>
          <w:sz w:val="44"/>
        </w:rPr>
        <w:br/>
        <w:t>AU CANADA.”</w:t>
      </w:r>
    </w:p>
    <w:bookmarkEnd w:id="0"/>
    <w:p w14:paraId="6D75ED3B" w14:textId="77777777" w:rsidR="000A271D" w:rsidRPr="0089025F" w:rsidRDefault="000A271D" w:rsidP="000A271D">
      <w:pPr>
        <w:jc w:val="both"/>
      </w:pPr>
    </w:p>
    <w:p w14:paraId="601AEF36" w14:textId="77777777" w:rsidR="000A271D" w:rsidRPr="0089025F" w:rsidRDefault="000A271D" w:rsidP="000A271D">
      <w:pPr>
        <w:jc w:val="both"/>
      </w:pPr>
    </w:p>
    <w:p w14:paraId="0457D159" w14:textId="77777777" w:rsidR="000A271D" w:rsidRPr="0089025F" w:rsidRDefault="000A271D" w:rsidP="000A271D">
      <w:pPr>
        <w:pStyle w:val="suite"/>
      </w:pPr>
      <w:r w:rsidRPr="0089025F">
        <w:t>Jeanne Kirk LAUX</w:t>
      </w:r>
    </w:p>
    <w:p w14:paraId="3806F7EF" w14:textId="77777777" w:rsidR="000A271D" w:rsidRPr="0089025F" w:rsidRDefault="000A271D" w:rsidP="000A271D">
      <w:pPr>
        <w:jc w:val="both"/>
      </w:pPr>
    </w:p>
    <w:p w14:paraId="7E6252ED" w14:textId="77777777" w:rsidR="000A271D" w:rsidRPr="0089025F" w:rsidRDefault="000A271D" w:rsidP="000A271D">
      <w:pPr>
        <w:jc w:val="both"/>
      </w:pPr>
    </w:p>
    <w:p w14:paraId="1D145CC3" w14:textId="77777777" w:rsidR="000A271D" w:rsidRPr="0089025F" w:rsidRDefault="000A271D" w:rsidP="000A271D">
      <w:pPr>
        <w:spacing w:before="120" w:after="120"/>
        <w:jc w:val="both"/>
      </w:pPr>
      <w:r w:rsidRPr="0089025F">
        <w:t>La privatisation est devenue politique officielle avec l’élection d’un gouvernement conservateur à Ottawa, en septembre 1984. Co</w:t>
      </w:r>
      <w:r w:rsidRPr="0089025F">
        <w:t>m</w:t>
      </w:r>
      <w:r w:rsidRPr="0089025F">
        <w:t>me le déclara laconiquement le ministre des Finances « les soci</w:t>
      </w:r>
      <w:r w:rsidRPr="0089025F">
        <w:t>é</w:t>
      </w:r>
      <w:r w:rsidRPr="0089025F">
        <w:t>tés de la</w:t>
      </w:r>
      <w:r>
        <w:t xml:space="preserve"> </w:t>
      </w:r>
      <w:r w:rsidRPr="0089025F">
        <w:t>[158]</w:t>
      </w:r>
      <w:r>
        <w:t xml:space="preserve"> </w:t>
      </w:r>
      <w:r w:rsidRPr="0089025F">
        <w:t>Couronne qui ont une valeur commerciale, mais ne répondent plus aux objectifs de la politique publique, seront vendues. »</w:t>
      </w:r>
      <w:r>
        <w:t> </w:t>
      </w:r>
      <w:r>
        <w:rPr>
          <w:rStyle w:val="Appelnotedebasdep"/>
        </w:rPr>
        <w:footnoteReference w:id="1"/>
      </w:r>
      <w:r w:rsidRPr="0089025F">
        <w:t xml:space="preserve"> De fait, jusqu’à présent (février 1987) le gouvernement fédéral s’est d</w:t>
      </w:r>
      <w:r w:rsidRPr="0089025F">
        <w:t>é</w:t>
      </w:r>
      <w:r w:rsidRPr="0089025F">
        <w:t>parti de la plupart des actifs qu’il détenait dans la Corporation de développ</w:t>
      </w:r>
      <w:r w:rsidRPr="0089025F">
        <w:t>e</w:t>
      </w:r>
      <w:r w:rsidRPr="0089025F">
        <w:t>ment du Canada, et a vendu les sociétés aéronautiques De H</w:t>
      </w:r>
      <w:r w:rsidRPr="0089025F">
        <w:t>a</w:t>
      </w:r>
      <w:r w:rsidRPr="0089025F">
        <w:t>villand et Canadair ; l’usine d’armements, les Arsenaux canadiens ; la comp</w:t>
      </w:r>
      <w:r w:rsidRPr="0089025F">
        <w:t>a</w:t>
      </w:r>
      <w:r w:rsidRPr="0089025F">
        <w:t>gnie de transport maritime, la Société des transports du Nord ; la s</w:t>
      </w:r>
      <w:r w:rsidRPr="0089025F">
        <w:t>o</w:t>
      </w:r>
      <w:r w:rsidRPr="0089025F">
        <w:t>ciété de télécommunications internationales, Téléglobe Canada ; et l’ancienne coopérative des pêcheurs au Québec, Pêcheries Canada Ltée.</w:t>
      </w:r>
    </w:p>
    <w:p w14:paraId="313778B0" w14:textId="77777777" w:rsidR="000A271D" w:rsidRPr="0089025F" w:rsidRDefault="000A271D" w:rsidP="000A271D">
      <w:pPr>
        <w:spacing w:before="120" w:after="120"/>
        <w:jc w:val="both"/>
      </w:pPr>
      <w:r w:rsidRPr="0089025F">
        <w:t xml:space="preserve">La vente des sociétés d’État fait d’emblée partie d’un mandat plus large que les Conservateurs ont défini dans leur </w:t>
      </w:r>
      <w:r w:rsidRPr="0089025F">
        <w:rPr>
          <w:i/>
          <w:iCs/>
          <w:szCs w:val="28"/>
        </w:rPr>
        <w:t>Exposé économique et financier,</w:t>
      </w:r>
      <w:r w:rsidRPr="0089025F">
        <w:t xml:space="preserve"> où il ne s’agit pas seulement de réduire la dette publique et de relancer la croissance économique, mais aussi de « redéfinir le rôle de l’État. »</w:t>
      </w:r>
      <w:r>
        <w:t> </w:t>
      </w:r>
      <w:r>
        <w:rPr>
          <w:rStyle w:val="Appelnotedebasdep"/>
        </w:rPr>
        <w:footnoteReference w:id="2"/>
      </w:r>
      <w:r w:rsidRPr="0089025F">
        <w:t xml:space="preserve"> Cette remise en question du rôle de l’État dans </w:t>
      </w:r>
      <w:r w:rsidRPr="0089025F">
        <w:lastRenderedPageBreak/>
        <w:t>l’économie, et plus spécifiquement du rôle de ses entreprises comme</w:t>
      </w:r>
      <w:r w:rsidRPr="0089025F">
        <w:t>r</w:t>
      </w:r>
      <w:r w:rsidRPr="0089025F">
        <w:t>ciales, ne relève évidemment pas d’une démarche qui est propre au Canada seulement. Comme le signale le rapport du Comité sur la pr</w:t>
      </w:r>
      <w:r w:rsidRPr="0089025F">
        <w:t>i</w:t>
      </w:r>
      <w:r w:rsidRPr="0089025F">
        <w:t>vatisation au Québec « La privatisation des sociétés d’État est dev</w:t>
      </w:r>
      <w:r w:rsidRPr="0089025F">
        <w:t>e</w:t>
      </w:r>
      <w:r w:rsidRPr="0089025F">
        <w:t>nue, en l’espace de quelques années un phénomène politique général</w:t>
      </w:r>
      <w:r w:rsidRPr="0089025F">
        <w:t>i</w:t>
      </w:r>
      <w:r w:rsidRPr="0089025F">
        <w:t>sé dans la plupart des pays industrialisés. » Pourtant, les fondements de cette politique ne reposent pas, comme l’affirme ce même comité, « sur les carences structurelles des sociétés d’État »</w:t>
      </w:r>
      <w:r>
        <w:t> </w:t>
      </w:r>
      <w:r>
        <w:rPr>
          <w:rStyle w:val="Appelnotedebasdep"/>
        </w:rPr>
        <w:footnoteReference w:id="3"/>
      </w:r>
      <w:r w:rsidRPr="0089025F">
        <w:t>, mais plutôt sur les carences d’un mode de régulation face aux transformations (d</w:t>
      </w:r>
      <w:r w:rsidRPr="0089025F">
        <w:t>i</w:t>
      </w:r>
      <w:r w:rsidRPr="0089025F">
        <w:t>te « crise ») des conditions d’accumulation à l’heure actuelle. Préc</w:t>
      </w:r>
      <w:r w:rsidRPr="0089025F">
        <w:t>i</w:t>
      </w:r>
      <w:r w:rsidRPr="0089025F">
        <w:t>sons notre thèse générale avant de faire l’analyse du dossier des privatis</w:t>
      </w:r>
      <w:r w:rsidRPr="0089025F">
        <w:t>a</w:t>
      </w:r>
      <w:r w:rsidRPr="0089025F">
        <w:t>tions effectuées par Ottawa qui est l’objet principal de notre art</w:t>
      </w:r>
      <w:r w:rsidRPr="0089025F">
        <w:t>i</w:t>
      </w:r>
      <w:r w:rsidRPr="0089025F">
        <w:t>cle.</w:t>
      </w:r>
    </w:p>
    <w:p w14:paraId="381DB53B" w14:textId="77777777" w:rsidR="000A271D" w:rsidRPr="0089025F" w:rsidRDefault="000A271D" w:rsidP="000A271D">
      <w:pPr>
        <w:spacing w:before="120" w:after="120"/>
        <w:jc w:val="both"/>
      </w:pPr>
    </w:p>
    <w:p w14:paraId="66BE623C" w14:textId="77777777" w:rsidR="000A271D" w:rsidRPr="0089025F" w:rsidRDefault="000A271D" w:rsidP="000A271D">
      <w:pPr>
        <w:pStyle w:val="planche"/>
      </w:pPr>
      <w:r w:rsidRPr="0089025F">
        <w:t>Privatisations — tendances générales</w:t>
      </w:r>
    </w:p>
    <w:p w14:paraId="30CB94C7" w14:textId="77777777" w:rsidR="000A271D" w:rsidRPr="0089025F" w:rsidRDefault="000A271D" w:rsidP="000A271D">
      <w:pPr>
        <w:spacing w:before="120" w:after="120"/>
        <w:jc w:val="both"/>
      </w:pPr>
    </w:p>
    <w:p w14:paraId="0D176F3C" w14:textId="77777777" w:rsidR="000A271D" w:rsidRPr="0089025F" w:rsidRDefault="000A271D" w:rsidP="000A271D">
      <w:pPr>
        <w:spacing w:before="120" w:after="120"/>
        <w:jc w:val="both"/>
      </w:pPr>
      <w:r w:rsidRPr="0089025F">
        <w:t>De tous les côtés, c’est certain, les gouvernements européens et c</w:t>
      </w:r>
      <w:r w:rsidRPr="0089025F">
        <w:t>a</w:t>
      </w:r>
      <w:r w:rsidRPr="0089025F">
        <w:t>nadiens sont en train d’effectuer d’importants réaménagements de leur secteur public commercial. Pour les uns — adeptes du néolibéralisme — il s’agit de vanter une idéologie de l’État minimum ; pour les a</w:t>
      </w:r>
      <w:r w:rsidRPr="0089025F">
        <w:t>u</w:t>
      </w:r>
      <w:r w:rsidRPr="0089025F">
        <w:t>tres — sociaux-démocrates — il s’agit de se justifier en évoquant les contraintes budgétaires. Concrètement, cependant, on observe la mise en vente de sociétés d’État — parfois directement, le plus so</w:t>
      </w:r>
      <w:r w:rsidRPr="0089025F">
        <w:t>u</w:t>
      </w:r>
      <w:r w:rsidRPr="0089025F">
        <w:t>vent par la cession d’une partie des actifs — et la fermeture d’entreprises p</w:t>
      </w:r>
      <w:r w:rsidRPr="0089025F">
        <w:t>u</w:t>
      </w:r>
      <w:r w:rsidRPr="0089025F">
        <w:t>bliques (souvent filiales de holdings d’État) qui réalisent des pe</w:t>
      </w:r>
      <w:r w:rsidRPr="0089025F">
        <w:t>r</w:t>
      </w:r>
      <w:r w:rsidRPr="0089025F">
        <w:t>tes.</w:t>
      </w:r>
      <w:r>
        <w:t> </w:t>
      </w:r>
      <w:r>
        <w:rPr>
          <w:rStyle w:val="Appelnotedebasdep"/>
        </w:rPr>
        <w:footnoteReference w:id="4"/>
      </w:r>
      <w:r w:rsidRPr="0089025F">
        <w:t xml:space="preserve"> Plutôt que de dénationalisation en bloc, c’est d’un processus co</w:t>
      </w:r>
      <w:r w:rsidRPr="0089025F">
        <w:t>m</w:t>
      </w:r>
      <w:r w:rsidRPr="0089025F">
        <w:t xml:space="preserve">plexe de rationalisation qu’il faudrait parler. Comme </w:t>
      </w:r>
      <w:r w:rsidRPr="0089025F">
        <w:lastRenderedPageBreak/>
        <w:t>nous l’avons déjà mo</w:t>
      </w:r>
      <w:r w:rsidRPr="0089025F">
        <w:t>n</w:t>
      </w:r>
      <w:r w:rsidRPr="0089025F">
        <w:t>tré,</w:t>
      </w:r>
      <w:r>
        <w:t> </w:t>
      </w:r>
      <w:r>
        <w:rPr>
          <w:rStyle w:val="Appelnotedebasdep"/>
        </w:rPr>
        <w:footnoteReference w:id="5"/>
      </w:r>
      <w:r w:rsidRPr="0089025F">
        <w:t xml:space="preserve"> cette rationalisation s’inscrit, au Canada comme ai</w:t>
      </w:r>
      <w:r w:rsidRPr="0089025F">
        <w:t>l</w:t>
      </w:r>
      <w:r w:rsidRPr="0089025F">
        <w:t>leurs, dans un processus d’adaptation du secteur public aux nouvelles exigences du développement capitaliste : (i) les sociétés dites nationales affro</w:t>
      </w:r>
      <w:r w:rsidRPr="0089025F">
        <w:t>n</w:t>
      </w:r>
      <w:r w:rsidRPr="0089025F">
        <w:t>tent la concurrence au sein [159]</w:t>
      </w:r>
      <w:r>
        <w:t xml:space="preserve"> </w:t>
      </w:r>
      <w:r w:rsidRPr="0089025F">
        <w:t>d'une division internationale du tr</w:t>
      </w:r>
      <w:r w:rsidRPr="0089025F">
        <w:t>a</w:t>
      </w:r>
      <w:r w:rsidRPr="0089025F">
        <w:t>vail qui a été radicalement modifiée à la suite de la récession et des réal</w:t>
      </w:r>
      <w:r w:rsidRPr="0089025F">
        <w:t>i</w:t>
      </w:r>
      <w:r w:rsidRPr="0089025F">
        <w:t>gnements industriels, (ii) les gouvernements se contra</w:t>
      </w:r>
      <w:r w:rsidRPr="0089025F">
        <w:t>i</w:t>
      </w:r>
      <w:r w:rsidRPr="0089025F">
        <w:t>gnent à des choix difficiles dans la conduite de leurs politiques éc</w:t>
      </w:r>
      <w:r w:rsidRPr="0089025F">
        <w:t>o</w:t>
      </w:r>
      <w:r w:rsidRPr="0089025F">
        <w:t>nomiques et sociales pour faire face aux compressions budgétaires et aux vocifér</w:t>
      </w:r>
      <w:r w:rsidRPr="0089025F">
        <w:t>a</w:t>
      </w:r>
      <w:r w:rsidRPr="0089025F">
        <w:t>tions intolérantes des milieux d’affaire à l’égard de la de</w:t>
      </w:r>
      <w:r w:rsidRPr="0089025F">
        <w:t>t</w:t>
      </w:r>
      <w:r w:rsidRPr="0089025F">
        <w:t>te publique.</w:t>
      </w:r>
    </w:p>
    <w:p w14:paraId="57131B93" w14:textId="77777777" w:rsidR="000A271D" w:rsidRPr="0089025F" w:rsidRDefault="000A271D" w:rsidP="000A271D">
      <w:pPr>
        <w:spacing w:before="120" w:after="120"/>
        <w:jc w:val="both"/>
      </w:pPr>
      <w:r w:rsidRPr="0089025F">
        <w:t xml:space="preserve">Les programmes dits de privatisation, sauf en </w:t>
      </w:r>
      <w:r>
        <w:t>Grande-Bretagne </w:t>
      </w:r>
      <w:r>
        <w:rPr>
          <w:rStyle w:val="Appelnotedebasdep"/>
        </w:rPr>
        <w:footnoteReference w:id="6"/>
      </w:r>
      <w:r w:rsidRPr="0089025F">
        <w:t>, ont surtout pour objet la restructuration d’une partie du secteur public, le secteur public industriel et commercial.</w:t>
      </w:r>
      <w:r>
        <w:t> </w:t>
      </w:r>
      <w:r>
        <w:rPr>
          <w:rStyle w:val="Appelnotedebasdep"/>
        </w:rPr>
        <w:footnoteReference w:id="7"/>
      </w:r>
      <w:r w:rsidRPr="0089025F">
        <w:t xml:space="preserve"> C’est lui qui a connu, dans les conditions particulières des années</w:t>
      </w:r>
      <w:r>
        <w:t> </w:t>
      </w:r>
      <w:r w:rsidRPr="0089025F">
        <w:t>60 et 70, la plus grande extension, que ce fut par la « filialisation » ou par de nouvelles nati</w:t>
      </w:r>
      <w:r w:rsidRPr="0089025F">
        <w:t>o</w:t>
      </w:r>
      <w:r w:rsidRPr="0089025F">
        <w:t>nalis</w:t>
      </w:r>
      <w:r w:rsidRPr="0089025F">
        <w:t>a</w:t>
      </w:r>
      <w:r w:rsidRPr="0089025F">
        <w:t>tions. Pendant cette période on remarque, à la suite de Stuart Holland,</w:t>
      </w:r>
      <w:r>
        <w:t> </w:t>
      </w:r>
      <w:r>
        <w:rPr>
          <w:rStyle w:val="Appelnotedebasdep"/>
        </w:rPr>
        <w:footnoteReference w:id="8"/>
      </w:r>
      <w:r w:rsidRPr="0089025F">
        <w:t xml:space="preserve"> un changement d’approche à l’égard du secteur public i</w:t>
      </w:r>
      <w:r w:rsidRPr="0089025F">
        <w:t>n</w:t>
      </w:r>
      <w:r w:rsidRPr="0089025F">
        <w:t>dustriel : l’État encourage ses entreprises à être concurrentie</w:t>
      </w:r>
      <w:r w:rsidRPr="0089025F">
        <w:t>l</w:t>
      </w:r>
      <w:r w:rsidRPr="0089025F">
        <w:t>les et les incite à respecter les no</w:t>
      </w:r>
      <w:r w:rsidRPr="0089025F">
        <w:t>r</w:t>
      </w:r>
      <w:r w:rsidRPr="0089025F">
        <w:t>mes du marché (entre autres pour faciliter l’octroi de prêts bancaires) tout en prenant en charge des grandes compagnies nationales secouées par la concurrence intern</w:t>
      </w:r>
      <w:r w:rsidRPr="0089025F">
        <w:t>a</w:t>
      </w:r>
      <w:r w:rsidRPr="0089025F">
        <w:t>tionale.</w:t>
      </w:r>
      <w:r>
        <w:t> </w:t>
      </w:r>
      <w:r>
        <w:rPr>
          <w:rStyle w:val="Appelnotedebasdep"/>
        </w:rPr>
        <w:footnoteReference w:id="9"/>
      </w:r>
    </w:p>
    <w:p w14:paraId="1315BAE2" w14:textId="77777777" w:rsidR="000A271D" w:rsidRPr="0089025F" w:rsidRDefault="000A271D" w:rsidP="000A271D">
      <w:pPr>
        <w:spacing w:before="120" w:after="120"/>
        <w:jc w:val="both"/>
      </w:pPr>
      <w:r w:rsidRPr="0089025F">
        <w:lastRenderedPageBreak/>
        <w:t>La généralisation des politiques de privatisation/restructuration r</w:t>
      </w:r>
      <w:r w:rsidRPr="0089025F">
        <w:t>e</w:t>
      </w:r>
      <w:r w:rsidRPr="0089025F">
        <w:t>lève, nous semble-t-il, d’une logique à la fois économique (accumul</w:t>
      </w:r>
      <w:r w:rsidRPr="0089025F">
        <w:t>a</w:t>
      </w:r>
      <w:r w:rsidRPr="0089025F">
        <w:t>tion) politique et idéologique (légitimation) qui dérive des contrai</w:t>
      </w:r>
      <w:r w:rsidRPr="0089025F">
        <w:t>n</w:t>
      </w:r>
      <w:r w:rsidRPr="0089025F">
        <w:t>tes d’adaptation des économies nationales aux réalités nouvelles d’une économie mondiale en émergence. La mondialisation du capital con</w:t>
      </w:r>
      <w:r w:rsidRPr="0089025F">
        <w:t>s</w:t>
      </w:r>
      <w:r w:rsidRPr="0089025F">
        <w:t>titue maintenant une donnée de l’économie politique, devenue on ne peut plus évidente, même aux politiciens, après les confusions et r</w:t>
      </w:r>
      <w:r w:rsidRPr="0089025F">
        <w:t>é</w:t>
      </w:r>
      <w:r w:rsidRPr="0089025F">
        <w:t>alignements de la « crise ». Pour atteindre dans le cadre de l’État-nation le seuil critique d’investissement qui assure les emplois, les revenus, et bien entendu, les votes nécessaires à sa survie au pouvoir, chaque gouvernement doit se montrer bon gestionnaire. Aussi che</w:t>
      </w:r>
      <w:r w:rsidRPr="0089025F">
        <w:t>r</w:t>
      </w:r>
      <w:r w:rsidRPr="0089025F">
        <w:t>che-t-il par ses politiques à favoriser la percée des firmes nationales sur le marché mondial et à attirer le capital i</w:t>
      </w:r>
      <w:r w:rsidRPr="0089025F">
        <w:t>n</w:t>
      </w:r>
      <w:r w:rsidRPr="0089025F">
        <w:t>ternational en instaurant des conditions « compétitives » (sur le plan social, le plus souvent r</w:t>
      </w:r>
      <w:r w:rsidRPr="0089025F">
        <w:t>é</w:t>
      </w:r>
      <w:r w:rsidRPr="0089025F">
        <w:t>pressives et régressives) tout en conjurant au niveau du discours, le fantasme néo-libéral du retour au marché. En ce qui concerne sa pr</w:t>
      </w:r>
      <w:r w:rsidRPr="0089025F">
        <w:t>o</w:t>
      </w:r>
      <w:r w:rsidRPr="0089025F">
        <w:t>pre participation dans la production, l’État entr</w:t>
      </w:r>
      <w:r w:rsidRPr="0089025F">
        <w:t>e</w:t>
      </w:r>
      <w:r w:rsidRPr="0089025F">
        <w:t>preneur/actionnaire reste très présent, mais brandissant la bannière de la rentabilité et la compétitivité, il favorise maintenant des formes d’intervention plus souples (holdings, entreprises mixtes, etc.). Ces formes nouvelles d’intervention offrent des possibilités d’accès à un financement ext</w:t>
      </w:r>
      <w:r w:rsidRPr="0089025F">
        <w:t>é</w:t>
      </w:r>
      <w:r w:rsidRPr="0089025F">
        <w:t>rieur et ont l’avantage de fournir une plus grande flexibilité, pui</w:t>
      </w:r>
      <w:r w:rsidRPr="0089025F">
        <w:t>s</w:t>
      </w:r>
      <w:r w:rsidRPr="0089025F">
        <w:t>qu’elles sont souvent hors de la portée de la surveillance parlementa</w:t>
      </w:r>
      <w:r w:rsidRPr="0089025F">
        <w:t>i</w:t>
      </w:r>
      <w:r w:rsidRPr="0089025F">
        <w:t>re.</w:t>
      </w:r>
    </w:p>
    <w:p w14:paraId="43AF39D5" w14:textId="77777777" w:rsidR="000A271D" w:rsidRPr="0089025F" w:rsidRDefault="000A271D" w:rsidP="000A271D">
      <w:pPr>
        <w:spacing w:before="120" w:after="120"/>
        <w:jc w:val="both"/>
      </w:pPr>
      <w:r w:rsidRPr="0089025F">
        <w:t>Partout donc l’État cherche à se faire concurrentiel.</w:t>
      </w:r>
      <w:r>
        <w:t> </w:t>
      </w:r>
      <w:r>
        <w:rPr>
          <w:rStyle w:val="Appelnotedebasdep"/>
        </w:rPr>
        <w:footnoteReference w:id="10"/>
      </w:r>
      <w:r w:rsidRPr="0089025F">
        <w:t xml:space="preserve"> Au Can</w:t>
      </w:r>
      <w:r w:rsidRPr="0089025F">
        <w:t>a</w:t>
      </w:r>
      <w:r w:rsidRPr="0089025F">
        <w:t>da, cette tendance a commencé à s’exprimer dans les années 1970. Aux origines du programme formel de privatisation actuel, nous r</w:t>
      </w:r>
      <w:r w:rsidRPr="0089025F">
        <w:t>e</w:t>
      </w:r>
      <w:r w:rsidRPr="0089025F">
        <w:t>trouvons deux éléments : d’une part, l’affinement par le parti conse</w:t>
      </w:r>
      <w:r w:rsidRPr="0089025F">
        <w:t>r</w:t>
      </w:r>
      <w:r w:rsidRPr="0089025F">
        <w:t>vateur d’une idéologie qui reprendra à son compte les thèses du néolibér</w:t>
      </w:r>
      <w:r w:rsidRPr="0089025F">
        <w:t>a</w:t>
      </w:r>
      <w:r w:rsidRPr="0089025F">
        <w:t>lisme ; et d’autre part les pratiques du gouvernement libéral face à une récession dont les effets sont</w:t>
      </w:r>
      <w:r>
        <w:t xml:space="preserve"> </w:t>
      </w:r>
      <w:r w:rsidRPr="0089025F">
        <w:t>[160]</w:t>
      </w:r>
      <w:r>
        <w:t xml:space="preserve"> </w:t>
      </w:r>
      <w:r w:rsidRPr="0089025F">
        <w:t>venus remettre en question le rôle traditionnel des sociétés d’État. Nous nous proposons donc de revoir ces deux sources de la politique actuelle avant d’examiner de près les conditions de la mise en vente des sociétés et de repérer ainsi les b</w:t>
      </w:r>
      <w:r w:rsidRPr="0089025F">
        <w:t>é</w:t>
      </w:r>
      <w:r w:rsidRPr="0089025F">
        <w:t>néficiaires du programme de pr</w:t>
      </w:r>
      <w:r w:rsidRPr="0089025F">
        <w:t>i</w:t>
      </w:r>
      <w:r w:rsidRPr="0089025F">
        <w:t>vatisation.</w:t>
      </w:r>
    </w:p>
    <w:p w14:paraId="344A7007" w14:textId="77777777" w:rsidR="000A271D" w:rsidRPr="0089025F" w:rsidRDefault="000A271D" w:rsidP="000A271D">
      <w:pPr>
        <w:spacing w:before="120" w:after="120"/>
        <w:jc w:val="both"/>
      </w:pPr>
      <w:r>
        <w:br w:type="page"/>
      </w:r>
    </w:p>
    <w:p w14:paraId="26B8999B" w14:textId="77777777" w:rsidR="000A271D" w:rsidRPr="0089025F" w:rsidRDefault="000A271D" w:rsidP="000A271D">
      <w:pPr>
        <w:pStyle w:val="planche"/>
      </w:pPr>
      <w:r w:rsidRPr="0089025F">
        <w:t>Les sociétés d’État au Canada</w:t>
      </w:r>
    </w:p>
    <w:p w14:paraId="12E999B7" w14:textId="77777777" w:rsidR="000A271D" w:rsidRPr="0089025F" w:rsidRDefault="000A271D" w:rsidP="000A271D">
      <w:pPr>
        <w:spacing w:before="120" w:after="120"/>
        <w:jc w:val="both"/>
      </w:pPr>
    </w:p>
    <w:p w14:paraId="26BAC31F" w14:textId="77777777" w:rsidR="000A271D" w:rsidRPr="0089025F" w:rsidRDefault="000A271D" w:rsidP="000A271D">
      <w:pPr>
        <w:spacing w:before="120" w:after="120"/>
        <w:jc w:val="both"/>
      </w:pPr>
      <w:r w:rsidRPr="0089025F">
        <w:t>Les historiens et les économistes ont toujours insisté sur le rôle a</w:t>
      </w:r>
      <w:r w:rsidRPr="0089025F">
        <w:t>c</w:t>
      </w:r>
      <w:r w:rsidRPr="0089025F">
        <w:t>tif de l’État fédéral dans la structuration du développement économ</w:t>
      </w:r>
      <w:r w:rsidRPr="0089025F">
        <w:t>i</w:t>
      </w:r>
      <w:r w:rsidRPr="0089025F">
        <w:t>que. Cette présence active de l’État a souvent été interprétée comme une nécessité géopolitique face à l’expansionnisme du marché amér</w:t>
      </w:r>
      <w:r w:rsidRPr="0089025F">
        <w:t>i</w:t>
      </w:r>
      <w:r w:rsidRPr="0089025F">
        <w:t>cain et en raison des difficultés (superficie, climat, finances) d’assurer l’infrastructure nécessaire à la colonisation et au dévelo</w:t>
      </w:r>
      <w:r w:rsidRPr="0089025F">
        <w:t>p</w:t>
      </w:r>
      <w:r w:rsidRPr="0089025F">
        <w:t>pement de l’Ouest canadien. Cependant, à quelques exceptions près, la création des sociétés d’État est un phénomène d’après guerre, plus précisément d’après 1960. Les exceptions sont bien connues : le C</w:t>
      </w:r>
      <w:r w:rsidRPr="0089025F">
        <w:t>a</w:t>
      </w:r>
      <w:r w:rsidRPr="0089025F">
        <w:t>nadien national dont l’origine (1919) est liée aux déboires des comp</w:t>
      </w:r>
      <w:r w:rsidRPr="0089025F">
        <w:t>a</w:t>
      </w:r>
      <w:r w:rsidRPr="0089025F">
        <w:t>gnies de chemin de fer sur les marchés financiers britannique ; Air Canada et Radio-Canada qui seront créés pour des raisons surtout culturelles et polit</w:t>
      </w:r>
      <w:r w:rsidRPr="0089025F">
        <w:t>i</w:t>
      </w:r>
      <w:r w:rsidRPr="0089025F">
        <w:t>ques de « nation building » dans les années trente ; et bien sûr, il y a les sociétés d’État (une trentaine) qui seront mises en place pendant la deuxième guerre mondiale par le m</w:t>
      </w:r>
      <w:r w:rsidRPr="0089025F">
        <w:t>i</w:t>
      </w:r>
      <w:r w:rsidRPr="0089025F">
        <w:t>nistre dirigiste C.D. Howe, afin d’assurer la coordination des approv</w:t>
      </w:r>
      <w:r w:rsidRPr="0089025F">
        <w:t>i</w:t>
      </w:r>
      <w:r w:rsidRPr="0089025F">
        <w:t>sionnements et dont quelques-unes (telles Eldorado Nucléaire ou Poly- sar) seront maintenues. C’est surtout à partir de 1960 que le se</w:t>
      </w:r>
      <w:r w:rsidRPr="0089025F">
        <w:t>c</w:t>
      </w:r>
      <w:r w:rsidRPr="0089025F">
        <w:t>teur public commercial fédéral prendra de l’importance — 58 % des sociétés dites de la Couronne date de 1960 ou après.</w:t>
      </w:r>
      <w:r>
        <w:t> </w:t>
      </w:r>
      <w:r>
        <w:rPr>
          <w:rStyle w:val="Appelnotedebasdep"/>
        </w:rPr>
        <w:footnoteReference w:id="11"/>
      </w:r>
      <w:r w:rsidRPr="0089025F">
        <w:t xml:space="preserve"> Mais plus que le nombre de ces sociétés, c’est l’orientation stratégique qui sera do</w:t>
      </w:r>
      <w:r w:rsidRPr="0089025F">
        <w:t>n</w:t>
      </w:r>
      <w:r w:rsidRPr="0089025F">
        <w:t>née à certaines d’entre elles qui est le point important. Ainsi en sera-t-il de la Corporation du dév</w:t>
      </w:r>
      <w:r w:rsidRPr="0089025F">
        <w:t>e</w:t>
      </w:r>
      <w:r w:rsidRPr="0089025F">
        <w:t>lo</w:t>
      </w:r>
      <w:r w:rsidRPr="0089025F">
        <w:t>p</w:t>
      </w:r>
      <w:r w:rsidRPr="0089025F">
        <w:t>pement du Canada (1971) dont l’objet était de promouvoir le contrôle des investissements par les intérêts canadiens ou encore P</w:t>
      </w:r>
      <w:r w:rsidRPr="0089025F">
        <w:t>e</w:t>
      </w:r>
      <w:r w:rsidRPr="0089025F">
        <w:t>tro-Canada (1975) conçue pour assurer une sécurité énergétique n</w:t>
      </w:r>
      <w:r w:rsidRPr="0089025F">
        <w:t>a</w:t>
      </w:r>
      <w:r w:rsidRPr="0089025F">
        <w:t>tionale dans une industrie à dominance multinationale. Dans d’autres cas encore, les sociétés d’État trouv</w:t>
      </w:r>
      <w:r w:rsidRPr="0089025F">
        <w:t>e</w:t>
      </w:r>
      <w:r w:rsidRPr="0089025F">
        <w:t>ront leur origine dans la situation d’urgence politique provoquée par la décision d’une firme multinati</w:t>
      </w:r>
      <w:r w:rsidRPr="0089025F">
        <w:t>o</w:t>
      </w:r>
      <w:r w:rsidRPr="0089025F">
        <w:t xml:space="preserve">nale en restructuration d’abandonner son site de production </w:t>
      </w:r>
      <w:r w:rsidRPr="0089025F">
        <w:lastRenderedPageBreak/>
        <w:t>au Can</w:t>
      </w:r>
      <w:r w:rsidRPr="0089025F">
        <w:t>a</w:t>
      </w:r>
      <w:r w:rsidRPr="0089025F">
        <w:t>da. Ainsi en serait-il de la nationalis</w:t>
      </w:r>
      <w:r w:rsidRPr="0089025F">
        <w:t>a</w:t>
      </w:r>
      <w:r w:rsidRPr="0089025F">
        <w:t>tion, à titre intérimaire disait-on, de Devco (compagnie minière en Nouvelle-Écosse), de Canadair et de De Havi</w:t>
      </w:r>
      <w:r w:rsidRPr="0089025F">
        <w:t>l</w:t>
      </w:r>
      <w:r w:rsidRPr="0089025F">
        <w:t>land.</w:t>
      </w:r>
    </w:p>
    <w:p w14:paraId="65DC343B" w14:textId="77777777" w:rsidR="000A271D" w:rsidRPr="0089025F" w:rsidRDefault="000A271D" w:rsidP="000A271D">
      <w:pPr>
        <w:spacing w:before="120" w:after="120"/>
        <w:jc w:val="both"/>
      </w:pPr>
      <w:r w:rsidRPr="0089025F">
        <w:t>Quelle importance attribuer à ce secteur public commercial à la veille des privatisations ? Nous pouvons citer le premier ministre Tr</w:t>
      </w:r>
      <w:r w:rsidRPr="0089025F">
        <w:t>u</w:t>
      </w:r>
      <w:r w:rsidRPr="0089025F">
        <w:t>deau :</w:t>
      </w:r>
    </w:p>
    <w:p w14:paraId="4BCCAF92" w14:textId="77777777" w:rsidR="000A271D" w:rsidRPr="0089025F" w:rsidRDefault="000A271D" w:rsidP="000A271D">
      <w:pPr>
        <w:pStyle w:val="Grillecouleur-Accent1"/>
      </w:pPr>
    </w:p>
    <w:p w14:paraId="067862B6" w14:textId="77777777" w:rsidR="000A271D" w:rsidRPr="0089025F" w:rsidRDefault="000A271D" w:rsidP="000A271D">
      <w:pPr>
        <w:pStyle w:val="Grillecouleur-Accent1"/>
      </w:pPr>
      <w:r w:rsidRPr="0089025F">
        <w:t>Les sociétés d’État sont impliquées de façon centrale dans notre dév</w:t>
      </w:r>
      <w:r w:rsidRPr="0089025F">
        <w:t>e</w:t>
      </w:r>
      <w:r w:rsidRPr="0089025F">
        <w:t>loppement économique [161] par les activités dans les secteurs industriel, financier et des services ; elles déploient des avoirs de quelque 40 $ mi</w:t>
      </w:r>
      <w:r w:rsidRPr="0089025F">
        <w:t>l</w:t>
      </w:r>
      <w:r w:rsidRPr="0089025F">
        <w:t>liards, reçoivent des r</w:t>
      </w:r>
      <w:r w:rsidRPr="0089025F">
        <w:t>e</w:t>
      </w:r>
      <w:r w:rsidRPr="0089025F">
        <w:t>venus chaque année qui dépassent 7 $ milliards et emploient plus de 200 000 Canadiens dans toutes les régions du pays.</w:t>
      </w:r>
      <w:r>
        <w:t> </w:t>
      </w:r>
      <w:r>
        <w:rPr>
          <w:rStyle w:val="Appelnotedebasdep"/>
        </w:rPr>
        <w:footnoteReference w:id="12"/>
      </w:r>
    </w:p>
    <w:p w14:paraId="536F9E75" w14:textId="77777777" w:rsidR="000A271D" w:rsidRPr="0089025F" w:rsidRDefault="000A271D" w:rsidP="000A271D">
      <w:pPr>
        <w:pStyle w:val="Grillecouleur-Accent1"/>
      </w:pPr>
    </w:p>
    <w:p w14:paraId="7C1ECD23" w14:textId="77777777" w:rsidR="000A271D" w:rsidRPr="0089025F" w:rsidRDefault="000A271D" w:rsidP="000A271D">
      <w:pPr>
        <w:spacing w:before="120" w:after="120"/>
        <w:jc w:val="both"/>
      </w:pPr>
      <w:r w:rsidRPr="0089025F">
        <w:t xml:space="preserve">N’exagérons rien, cependant. Parmi les 67 sociétés d’État et leurs 128 filiales qui appartenaient au gouvernement fédéral au mois de mars 1984 (nous ne comptons pas les vastes </w:t>
      </w:r>
      <w:r w:rsidRPr="0089025F">
        <w:rPr>
          <w:i/>
        </w:rPr>
        <w:t>holdings</w:t>
      </w:r>
      <w:r w:rsidRPr="0089025F">
        <w:t xml:space="preserve"> de la Corpor</w:t>
      </w:r>
      <w:r w:rsidRPr="0089025F">
        <w:t>a</w:t>
      </w:r>
      <w:r w:rsidRPr="0089025F">
        <w:t>tion du développement du Canada, déjà transformée en entreprises mixtes après les placements en bourse) nous trouvons des services publics comme la Société canadienne des postes ou des sociétés re</w:t>
      </w:r>
      <w:r w:rsidRPr="0089025F">
        <w:t>s</w:t>
      </w:r>
      <w:r w:rsidRPr="0089025F">
        <w:t>ponsables de la gestion d’infrastructure comme la Société canadienne des ports. Aussi certaines sociétés incluses dans la liste officielle sont en fait inactives</w:t>
      </w:r>
      <w:r>
        <w:t> </w:t>
      </w:r>
      <w:r>
        <w:rPr>
          <w:rStyle w:val="Appelnotedebasdep"/>
        </w:rPr>
        <w:footnoteReference w:id="13"/>
      </w:r>
      <w:r w:rsidRPr="0089025F">
        <w:t xml:space="preserve"> Enfin, la moitié des actifs répertoriés appartie</w:t>
      </w:r>
      <w:r w:rsidRPr="0089025F">
        <w:t>n</w:t>
      </w:r>
      <w:r w:rsidRPr="0089025F">
        <w:t>nent à des institutions financières comme la SCHL dans le domaine du l</w:t>
      </w:r>
      <w:r w:rsidRPr="0089025F">
        <w:t>o</w:t>
      </w:r>
      <w:r w:rsidRPr="0089025F">
        <w:t>gement/hypothèque, la SCA dans le secteur agricole, la SEE dans le domaine du financement des exportations, par surcroît souvent adm</w:t>
      </w:r>
      <w:r w:rsidRPr="0089025F">
        <w:t>i</w:t>
      </w:r>
      <w:r w:rsidRPr="0089025F">
        <w:t>nistrées par des ministères dans d’autres pays. Mais malgré ces rése</w:t>
      </w:r>
      <w:r w:rsidRPr="0089025F">
        <w:t>r</w:t>
      </w:r>
      <w:r w:rsidRPr="0089025F">
        <w:t>ves, il ne faut pas sous-estimer le rôle des sociétés d’État véritabl</w:t>
      </w:r>
      <w:r w:rsidRPr="0089025F">
        <w:t>e</w:t>
      </w:r>
      <w:r w:rsidRPr="0089025F">
        <w:t>ment commerciales, c’est-à-dire, celles qui affrontent la concurre</w:t>
      </w:r>
      <w:r w:rsidRPr="0089025F">
        <w:t>n</w:t>
      </w:r>
      <w:r w:rsidRPr="0089025F">
        <w:t>ce et qui sont appelées à s’autofinancer. Sur la liste des 500 plus gra</w:t>
      </w:r>
      <w:r w:rsidRPr="0089025F">
        <w:t>n</w:t>
      </w:r>
      <w:r w:rsidRPr="0089025F">
        <w:t xml:space="preserve">des entreprises industrielles du pays répertoriées par le </w:t>
      </w:r>
      <w:r w:rsidRPr="0089025F">
        <w:rPr>
          <w:i/>
        </w:rPr>
        <w:t>Financial Post</w:t>
      </w:r>
      <w:r w:rsidRPr="0089025F">
        <w:t xml:space="preserve"> f</w:t>
      </w:r>
      <w:r w:rsidRPr="0089025F">
        <w:t>i</w:t>
      </w:r>
      <w:r w:rsidRPr="0089025F">
        <w:t xml:space="preserve">gurent (en 1985) 32 sociétés d'État, dont 16 sont la propriété à </w:t>
      </w:r>
      <w:r w:rsidRPr="0089025F">
        <w:lastRenderedPageBreak/>
        <w:t>part entière du gouvernement fédéral et 22 sociétés dont au moins 10% des actions est détenu par l’un des paliers de gouvernement. Cette prése</w:t>
      </w:r>
      <w:r w:rsidRPr="0089025F">
        <w:t>n</w:t>
      </w:r>
      <w:r w:rsidRPr="0089025F">
        <w:t>ce du capital étatique canadien n’est pas négligeable su</w:t>
      </w:r>
      <w:r w:rsidRPr="0089025F">
        <w:t>r</w:t>
      </w:r>
      <w:r w:rsidRPr="0089025F">
        <w:t>tout si l’on considère la forte proportion de firmes étrangères sur cette liste (52 les 100 premiers). Il ne faut donc pas se surprendre de voir la nouvelle ministre à la privatisation, Madame McDougall (nommée en 1986), insister sur le fait que « Many of the larger (state) corporations engage taxpayers’ resources to compete directly with the private se</w:t>
      </w:r>
      <w:r w:rsidRPr="0089025F">
        <w:t>c</w:t>
      </w:r>
      <w:r w:rsidRPr="0089025F">
        <w:t>tor » et faire ainsi écho des plaintes des hommes d’affaires qui, tel Paul Ma</w:t>
      </w:r>
      <w:r w:rsidRPr="0089025F">
        <w:t>r</w:t>
      </w:r>
      <w:r w:rsidRPr="0089025F">
        <w:t>tin Jr, ne manquent pas d’observer que « si poussée vers les profits il y a de la part de la Couronne au nom de l’efficacité, celle-ci d</w:t>
      </w:r>
      <w:r w:rsidRPr="0089025F">
        <w:t>é</w:t>
      </w:r>
      <w:r w:rsidRPr="0089025F">
        <w:t>bouche sur une concurrence déloyale avec le secteur privé. »</w:t>
      </w:r>
      <w:r>
        <w:t> </w:t>
      </w:r>
      <w:r>
        <w:rPr>
          <w:rStyle w:val="Appelnotedebasdep"/>
        </w:rPr>
        <w:footnoteReference w:id="14"/>
      </w:r>
    </w:p>
    <w:p w14:paraId="44B0A15D" w14:textId="77777777" w:rsidR="000A271D" w:rsidRPr="0089025F" w:rsidRDefault="000A271D" w:rsidP="000A271D">
      <w:pPr>
        <w:spacing w:before="120" w:after="120"/>
        <w:jc w:val="both"/>
      </w:pPr>
    </w:p>
    <w:p w14:paraId="472B4B1F" w14:textId="77777777" w:rsidR="000A271D" w:rsidRPr="0089025F" w:rsidRDefault="000A271D" w:rsidP="000A271D">
      <w:pPr>
        <w:pStyle w:val="planche"/>
      </w:pPr>
      <w:r w:rsidRPr="0089025F">
        <w:t>Origines du programme de privatisation</w:t>
      </w:r>
      <w:r w:rsidRPr="0089025F">
        <w:br/>
        <w:t>du parti conservateur</w:t>
      </w:r>
    </w:p>
    <w:p w14:paraId="62EDB209" w14:textId="77777777" w:rsidR="000A271D" w:rsidRPr="0089025F" w:rsidRDefault="000A271D" w:rsidP="000A271D">
      <w:pPr>
        <w:spacing w:before="120" w:after="120"/>
        <w:jc w:val="both"/>
        <w:rPr>
          <w:b/>
          <w:bCs/>
          <w:szCs w:val="28"/>
        </w:rPr>
      </w:pPr>
    </w:p>
    <w:p w14:paraId="53D3F1F0" w14:textId="77777777" w:rsidR="000A271D" w:rsidRPr="0089025F" w:rsidRDefault="000A271D" w:rsidP="000A271D">
      <w:pPr>
        <w:spacing w:before="120" w:after="120"/>
        <w:jc w:val="both"/>
      </w:pPr>
      <w:r w:rsidRPr="0089025F">
        <w:t>À la recherche des origines de factuel programme de privatisation, c’est à l’année 1979 que nous devons remonter et aux initiatives prises par le parti conservateur au moment de son bref séjour au pouvoir sous Joe Clark. Le conseiller principal de M. Clark, James Gillies, qualifiait de « néo-conservatrice » [162] sa philosophie, considérant qu’il fallait renve</w:t>
      </w:r>
      <w:r w:rsidRPr="0089025F">
        <w:t>r</w:t>
      </w:r>
      <w:r w:rsidRPr="0089025F">
        <w:t>ser 40 ans de surconcentration de pouvoir dans l’appareil d’État.</w:t>
      </w:r>
      <w:r>
        <w:t> </w:t>
      </w:r>
      <w:r>
        <w:rPr>
          <w:rStyle w:val="Appelnotedebasdep"/>
        </w:rPr>
        <w:footnoteReference w:id="15"/>
      </w:r>
      <w:r w:rsidRPr="0089025F">
        <w:t xml:space="preserve"> Plus concrètement, toutefois, c’est au ministre Sinclair Stevens à qui r</w:t>
      </w:r>
      <w:r w:rsidRPr="0089025F">
        <w:t>e</w:t>
      </w:r>
      <w:r w:rsidRPr="0089025F">
        <w:t>viendra la tâche de créer un Secrétariat à la privatisation sous l’égide du Conseil du Trésor et d’engager des conseillers financiers pour évaluer pl</w:t>
      </w:r>
      <w:r w:rsidRPr="0089025F">
        <w:t>u</w:t>
      </w:r>
      <w:r w:rsidRPr="0089025F">
        <w:t>sieurs sociétés en vue de les vendre. La liste de vente affichée en septembre 1979 comprendra C</w:t>
      </w:r>
      <w:r w:rsidRPr="0089025F">
        <w:t>a</w:t>
      </w:r>
      <w:r w:rsidRPr="0089025F">
        <w:t>nadair, De Havilland, E</w:t>
      </w:r>
      <w:r w:rsidRPr="0089025F">
        <w:t>l</w:t>
      </w:r>
      <w:r w:rsidRPr="0089025F">
        <w:t xml:space="preserve">dorado Nucléaire et la Société des transports du Nord. </w:t>
      </w:r>
      <w:r w:rsidRPr="00E76048">
        <w:rPr>
          <w:lang w:val="en-US"/>
        </w:rPr>
        <w:t>« We are d</w:t>
      </w:r>
      <w:r w:rsidRPr="00E76048">
        <w:rPr>
          <w:lang w:val="en-US"/>
        </w:rPr>
        <w:t>e</w:t>
      </w:r>
      <w:r w:rsidRPr="00E76048">
        <w:rPr>
          <w:lang w:val="en-US"/>
        </w:rPr>
        <w:t>termined, » dira-t-il alors, « to get the federal go</w:t>
      </w:r>
      <w:r w:rsidRPr="00E76048">
        <w:rPr>
          <w:lang w:val="en-US"/>
        </w:rPr>
        <w:lastRenderedPageBreak/>
        <w:t>vernment out of ord</w:t>
      </w:r>
      <w:r w:rsidRPr="00E76048">
        <w:rPr>
          <w:lang w:val="en-US"/>
        </w:rPr>
        <w:t>i</w:t>
      </w:r>
      <w:r w:rsidRPr="00E76048">
        <w:rPr>
          <w:lang w:val="en-US"/>
        </w:rPr>
        <w:t>nary business and commercial operations and hand them over to private enterprise where they belong. » </w:t>
      </w:r>
      <w:r>
        <w:rPr>
          <w:rStyle w:val="Appelnotedebasdep"/>
        </w:rPr>
        <w:footnoteReference w:id="16"/>
      </w:r>
      <w:r w:rsidRPr="00E76048">
        <w:rPr>
          <w:lang w:val="en-US"/>
        </w:rPr>
        <w:t xml:space="preserve"> </w:t>
      </w:r>
      <w:r w:rsidRPr="0089025F">
        <w:t>Entr</w:t>
      </w:r>
      <w:r w:rsidRPr="0089025F">
        <w:t>e</w:t>
      </w:r>
      <w:r w:rsidRPr="0089025F">
        <w:t>temps, pourtant, la pr</w:t>
      </w:r>
      <w:r w:rsidRPr="0089025F">
        <w:t>o</w:t>
      </w:r>
      <w:r w:rsidRPr="0089025F">
        <w:t>position clé de M. Clark pendant la campagne électorale — la privatisation de P</w:t>
      </w:r>
      <w:r w:rsidRPr="0089025F">
        <w:t>e</w:t>
      </w:r>
      <w:r w:rsidRPr="0089025F">
        <w:t>tro-Canada — butera sur la réaction hostile d’un public convaincu, selon les sondages, de la valeur symb</w:t>
      </w:r>
      <w:r w:rsidRPr="0089025F">
        <w:t>o</w:t>
      </w:r>
      <w:r w:rsidRPr="0089025F">
        <w:t>lique que pouvait représenter d’un point de vue national cette société. Qui plus est, non seulement le Conseil des ministres était partagé sur cette question, mais le Groupe d’étude mis en place par le ministre de l’Énergie avait été incapable de repérer un acheteur. La recommand</w:t>
      </w:r>
      <w:r w:rsidRPr="0089025F">
        <w:t>a</w:t>
      </w:r>
      <w:r w:rsidRPr="0089025F">
        <w:t>tion de ce groupe de distribuer gratuitement les actions de Petro- C</w:t>
      </w:r>
      <w:r w:rsidRPr="0089025F">
        <w:t>a</w:t>
      </w:r>
      <w:r w:rsidRPr="0089025F">
        <w:t>nada dans le p</w:t>
      </w:r>
      <w:r w:rsidRPr="0089025F">
        <w:t>u</w:t>
      </w:r>
      <w:r w:rsidRPr="0089025F">
        <w:t>blic n’a pas eu, on le sait, le temps de se réaliser. Elle souleva tout de même de fortes objections de la part des partis d’opposition</w:t>
      </w:r>
      <w:r>
        <w:t> </w:t>
      </w:r>
      <w:r>
        <w:rPr>
          <w:rStyle w:val="Appelnotedebasdep"/>
        </w:rPr>
        <w:footnoteReference w:id="17"/>
      </w:r>
      <w:r w:rsidRPr="0089025F">
        <w:t xml:space="preserve"> On peut dans ce cas parler d’erreur politique, mais malgré tout, derrière cette démarche se trouve un pr</w:t>
      </w:r>
      <w:r w:rsidRPr="0089025F">
        <w:t>o</w:t>
      </w:r>
      <w:r w:rsidRPr="0089025F">
        <w:t>gramme et une idéologie en germe qui seront ressuscités dans la conjoncture plus propice de 1984.</w:t>
      </w:r>
    </w:p>
    <w:p w14:paraId="04F568E5" w14:textId="77777777" w:rsidR="000A271D" w:rsidRPr="0089025F" w:rsidRDefault="000A271D" w:rsidP="000A271D">
      <w:pPr>
        <w:spacing w:before="120" w:after="120"/>
        <w:jc w:val="both"/>
      </w:pPr>
      <w:r w:rsidRPr="0089025F">
        <w:t>Pourquoi propice ? C’est qu’en plus des considérations communes à tous les pays capitalistes industriels (approfondissement de la crise économique, politisation des déficits, érosion de la légitimité du m</w:t>
      </w:r>
      <w:r w:rsidRPr="0089025F">
        <w:t>o</w:t>
      </w:r>
      <w:r w:rsidRPr="0089025F">
        <w:t>dèle keynésien, résurgence du néolibéralisme « glamorisé » par les deux stars Reagan et Thatcher, etc.) on peut commencer à percevoir au Canada une remise en question du rôle des sociétés d’État par le parti libéral lui-même à partir de 1981. D’une part, les libéraux pre</w:t>
      </w:r>
      <w:r w:rsidRPr="0089025F">
        <w:t>n</w:t>
      </w:r>
      <w:r w:rsidRPr="0089025F">
        <w:t>nent alors leur distance de leurs propres politiques interventionnistes. Vantant les mérites des normes d’efficacité du marché et proposant la vente de certaines sociétés d’État, les libéraux permettront ainsi aux conservateurs de se déculpabiliser du sentiment de trahir une tradition de rôle actif de l’État fédéral. Et d’autre part, ils mettent en place les mécanismes qui faciliteront ultérieurement la privatisation des soci</w:t>
      </w:r>
      <w:r w:rsidRPr="0089025F">
        <w:t>é</w:t>
      </w:r>
      <w:r w:rsidRPr="0089025F">
        <w:t>tés. Ce sera notamment le cas du holding de la CDIC.</w:t>
      </w:r>
    </w:p>
    <w:p w14:paraId="55C5D176" w14:textId="77777777" w:rsidR="000A271D" w:rsidRPr="0089025F" w:rsidRDefault="000A271D" w:rsidP="000A271D">
      <w:pPr>
        <w:spacing w:before="120" w:after="120"/>
        <w:jc w:val="both"/>
      </w:pPr>
      <w:r w:rsidRPr="0089025F">
        <w:lastRenderedPageBreak/>
        <w:t>Devant les difficultés financières des grandes compagnies comme Massey Ferguson ou Dôme Petroleum, devant l’échec — après la deuxième chute des prix du pétrole — d’une politique industrielle fondée sur les mégaprojets, et devant les cris de la presse à la suite des révélations sur les pertes énormes subies par Canadair, il s’imposait de reconsidérer le rôle de l’État investisseur. Il reviendra à Maurice Strong</w:t>
      </w:r>
      <w:r>
        <w:t> </w:t>
      </w:r>
      <w:r>
        <w:rPr>
          <w:rStyle w:val="Appelnotedebasdep"/>
        </w:rPr>
        <w:footnoteReference w:id="18"/>
      </w:r>
      <w:r w:rsidRPr="0089025F">
        <w:t>, éminent libéral et ancien Président de Power Corporation et de Petro-Canada de trouver une solution. La formule consistera à</w:t>
      </w:r>
      <w:r>
        <w:t xml:space="preserve"> </w:t>
      </w:r>
      <w:r w:rsidRPr="0089025F">
        <w:t xml:space="preserve"> [163]</w:t>
      </w:r>
      <w:r>
        <w:t xml:space="preserve"> </w:t>
      </w:r>
      <w:r w:rsidRPr="0089025F">
        <w:t>recycler le capital placé dans la Corporation de développement du Canada, de moins en moins susceptible d’être un instrument de politique étant donnée la participation devenue minoritaire du gouve</w:t>
      </w:r>
      <w:r w:rsidRPr="0089025F">
        <w:t>r</w:t>
      </w:r>
      <w:r w:rsidRPr="0089025F">
        <w:t>n</w:t>
      </w:r>
      <w:r w:rsidRPr="0089025F">
        <w:t>e</w:t>
      </w:r>
      <w:r w:rsidRPr="0089025F">
        <w:t>ment et l'indépendance manifeste des directeurs, en transférant les fonds à un nouveau holding, la CDIC, qui devait regrouper sous sa direction plusieurs sociétés publiques du secteur commercial. Les pr</w:t>
      </w:r>
      <w:r w:rsidRPr="0089025F">
        <w:t>i</w:t>
      </w:r>
      <w:r w:rsidRPr="0089025F">
        <w:t>vatisations n’étaient pas exclues. Selon Strong on ne pouvait plus se permettre d’être dogmatique dans un contexte d’ouverture de l’économie can</w:t>
      </w:r>
      <w:r w:rsidRPr="0089025F">
        <w:t>a</w:t>
      </w:r>
      <w:r w:rsidRPr="0089025F">
        <w:t>dienne et de transformation de l’économie mondiale :</w:t>
      </w:r>
    </w:p>
    <w:p w14:paraId="21018585" w14:textId="77777777" w:rsidR="000A271D" w:rsidRPr="0089025F" w:rsidRDefault="000A271D" w:rsidP="000A271D">
      <w:pPr>
        <w:pStyle w:val="Grillecouleur-Accent1"/>
      </w:pPr>
    </w:p>
    <w:p w14:paraId="526BF723" w14:textId="77777777" w:rsidR="000A271D" w:rsidRDefault="000A271D" w:rsidP="000A271D">
      <w:pPr>
        <w:pStyle w:val="Grillecouleur-Accent1"/>
      </w:pPr>
      <w:r w:rsidRPr="0089025F">
        <w:t>CDIC could meet the need for a commercial investment manag</w:t>
      </w:r>
      <w:r w:rsidRPr="0089025F">
        <w:t>e</w:t>
      </w:r>
      <w:r w:rsidRPr="0089025F">
        <w:t>ment capability... to help manage some of the existing government investments, including those for which divestment by government through sale of its i</w:t>
      </w:r>
      <w:r w:rsidRPr="0089025F">
        <w:t>n</w:t>
      </w:r>
      <w:r w:rsidRPr="0089025F">
        <w:t>terests or merger with private corporations may be a desirable alternat</w:t>
      </w:r>
      <w:r w:rsidRPr="0089025F">
        <w:t>i</w:t>
      </w:r>
      <w:r w:rsidRPr="0089025F">
        <w:t>ve.</w:t>
      </w:r>
      <w:r>
        <w:t> </w:t>
      </w:r>
      <w:r>
        <w:rPr>
          <w:rStyle w:val="Appelnotedebasdep"/>
        </w:rPr>
        <w:footnoteReference w:id="19"/>
      </w:r>
    </w:p>
    <w:p w14:paraId="12F4DFEC" w14:textId="77777777" w:rsidR="000A271D" w:rsidRPr="0089025F" w:rsidRDefault="000A271D" w:rsidP="000A271D">
      <w:pPr>
        <w:pStyle w:val="Grillecouleur-Accent1"/>
      </w:pPr>
    </w:p>
    <w:p w14:paraId="573F0AEB" w14:textId="77777777" w:rsidR="000A271D" w:rsidRPr="0089025F" w:rsidRDefault="000A271D" w:rsidP="000A271D">
      <w:pPr>
        <w:spacing w:before="120" w:after="120"/>
        <w:jc w:val="both"/>
      </w:pPr>
      <w:r>
        <w:br w:type="page"/>
      </w:r>
      <w:r w:rsidRPr="0089025F">
        <w:lastRenderedPageBreak/>
        <w:t>La CDIC annoncera en 1983 son intention de vendre Eldorado et, après que le gouvernement eut reconsidéré sa politique en matière de télécommunications, de passer à la privatisation de Téléglobe. (CDIC avait déjà annoncé officiellement la vente de ses actions de la CDC.) Pendant la campagne électorale de 1984, ce sera au tour du sénateur Austin, l’un des architectes du Programme énergétique national et m</w:t>
      </w:r>
      <w:r w:rsidRPr="0089025F">
        <w:t>i</w:t>
      </w:r>
      <w:r w:rsidRPr="0089025F">
        <w:t>nistre responsable de la CDIC, d’insister que cette société d’État « s</w:t>
      </w:r>
      <w:r w:rsidRPr="0089025F">
        <w:t>e</w:t>
      </w:r>
      <w:r w:rsidRPr="0089025F">
        <w:t>ra jugé en partie par le succès de la privatisation d’actifs qui n’ont plus de raison d’appartenir au gouvernement. »</w:t>
      </w:r>
      <w:r>
        <w:t> </w:t>
      </w:r>
      <w:r>
        <w:rPr>
          <w:rStyle w:val="Appelnotedebasdep"/>
        </w:rPr>
        <w:footnoteReference w:id="20"/>
      </w:r>
      <w:r w:rsidRPr="0089025F">
        <w:t xml:space="preserve"> En mars de la m</w:t>
      </w:r>
      <w:r w:rsidRPr="0089025F">
        <w:t>ê</w:t>
      </w:r>
      <w:r w:rsidRPr="0089025F">
        <w:t>me année, le Conseil des ministres approuvera la mise en vente de la S</w:t>
      </w:r>
      <w:r w:rsidRPr="0089025F">
        <w:t>o</w:t>
      </w:r>
      <w:r w:rsidRPr="0089025F">
        <w:t>ciété des transports du Nord pour ensuite la soumettre à une évalu</w:t>
      </w:r>
      <w:r w:rsidRPr="0089025F">
        <w:t>a</w:t>
      </w:r>
      <w:r w:rsidRPr="0089025F">
        <w:t>tion pour déterminer son prix optimal.</w:t>
      </w:r>
      <w:r>
        <w:t> </w:t>
      </w:r>
      <w:r>
        <w:rPr>
          <w:rStyle w:val="Appelnotedebasdep"/>
        </w:rPr>
        <w:footnoteReference w:id="21"/>
      </w:r>
      <w:r w:rsidRPr="0089025F">
        <w:t xml:space="preserve"> Le ministre Donald Joh</w:t>
      </w:r>
      <w:r w:rsidRPr="0089025F">
        <w:t>n</w:t>
      </w:r>
      <w:r w:rsidRPr="0089025F">
        <w:t>ston, candidat au leadership, proposera de son côté la vente des soci</w:t>
      </w:r>
      <w:r w:rsidRPr="0089025F">
        <w:t>é</w:t>
      </w:r>
      <w:r w:rsidRPr="0089025F">
        <w:t>tés Canadair et De Havilland et la privatisation des opérations de d</w:t>
      </w:r>
      <w:r w:rsidRPr="0089025F">
        <w:t>é</w:t>
      </w:r>
      <w:r w:rsidRPr="0089025F">
        <w:t>tail de Petro-Canada. Selon M. Johnston, « we should not displace private sector capital except in the national interest. »</w:t>
      </w:r>
      <w:r>
        <w:t> </w:t>
      </w:r>
      <w:r>
        <w:rPr>
          <w:rStyle w:val="Appelnotedebasdep"/>
        </w:rPr>
        <w:footnoteReference w:id="22"/>
      </w:r>
      <w:r w:rsidRPr="0089025F">
        <w:t xml:space="preserve"> Bien que ce</w:t>
      </w:r>
      <w:r w:rsidRPr="0089025F">
        <w:t>r</w:t>
      </w:r>
      <w:r w:rsidRPr="0089025F">
        <w:t>tains membres du gouvernement, en particulier Jean Chrétien, aient conte</w:t>
      </w:r>
      <w:r w:rsidRPr="0089025F">
        <w:t>s</w:t>
      </w:r>
      <w:r w:rsidRPr="0089025F">
        <w:t>té ce point de vue, on ne peut que constater la dislocation du conse</w:t>
      </w:r>
      <w:r w:rsidRPr="0089025F">
        <w:t>n</w:t>
      </w:r>
      <w:r w:rsidRPr="0089025F">
        <w:t>sus au sein du parti libéral sur la permanence des sociétés de la Couronne. Le terrain d’une politique flamboyante de privatisation dans le contexte de « renouveau économique » qui sera celui du parti conse</w:t>
      </w:r>
      <w:r w:rsidRPr="0089025F">
        <w:t>r</w:t>
      </w:r>
      <w:r w:rsidRPr="0089025F">
        <w:t>vateur, était bien préparé !</w:t>
      </w:r>
    </w:p>
    <w:p w14:paraId="2892BD54" w14:textId="77777777" w:rsidR="000A271D" w:rsidRPr="0089025F" w:rsidRDefault="000A271D" w:rsidP="000A271D">
      <w:pPr>
        <w:spacing w:before="120" w:after="120"/>
        <w:jc w:val="both"/>
      </w:pPr>
    </w:p>
    <w:p w14:paraId="2075FED5" w14:textId="77777777" w:rsidR="000A271D" w:rsidRPr="0089025F" w:rsidRDefault="000A271D" w:rsidP="000A271D">
      <w:pPr>
        <w:pStyle w:val="planche"/>
      </w:pPr>
      <w:r w:rsidRPr="0089025F">
        <w:t>Discours et pratiques</w:t>
      </w:r>
      <w:r w:rsidRPr="0089025F">
        <w:br/>
        <w:t>du gouvernement Mulroney</w:t>
      </w:r>
    </w:p>
    <w:p w14:paraId="69BDF782" w14:textId="77777777" w:rsidR="000A271D" w:rsidRPr="0089025F" w:rsidRDefault="000A271D" w:rsidP="000A271D">
      <w:pPr>
        <w:spacing w:before="120" w:after="120"/>
        <w:jc w:val="both"/>
        <w:rPr>
          <w:b/>
          <w:bCs/>
          <w:szCs w:val="28"/>
        </w:rPr>
      </w:pPr>
    </w:p>
    <w:p w14:paraId="37CD3707" w14:textId="77777777" w:rsidR="000A271D" w:rsidRPr="0089025F" w:rsidRDefault="000A271D" w:rsidP="000A271D">
      <w:pPr>
        <w:spacing w:before="120" w:after="120"/>
        <w:jc w:val="both"/>
      </w:pPr>
      <w:r w:rsidRPr="0089025F">
        <w:t>En vue des élections de 1984, le parti conservateur mettra en place un Groupe de travail chargé de revoir la question des sociétés d’État. L’une des questions posées était la suivante : comment réduire la tai</w:t>
      </w:r>
      <w:r>
        <w:t>lle du secteur public — l’objec</w:t>
      </w:r>
      <w:r w:rsidRPr="0089025F">
        <w:t xml:space="preserve">tif </w:t>
      </w:r>
      <w:r>
        <w:t xml:space="preserve"> </w:t>
      </w:r>
      <w:r w:rsidRPr="0089025F">
        <w:t xml:space="preserve"> [164]visé — sans soulever de contr</w:t>
      </w:r>
      <w:r w:rsidRPr="0089025F">
        <w:t>o</w:t>
      </w:r>
      <w:r w:rsidRPr="0089025F">
        <w:t>verses politiques ? La stratégie d</w:t>
      </w:r>
      <w:r w:rsidRPr="0089025F">
        <w:t>e</w:t>
      </w:r>
      <w:r w:rsidRPr="0089025F">
        <w:t xml:space="preserve">vrait suivre deux trajectoires selon le </w:t>
      </w:r>
      <w:r w:rsidRPr="0089025F">
        <w:lastRenderedPageBreak/>
        <w:t>rapport final. D'une part, il fallait soumettre les sociétés d’État à la « discipline du marché » en insistant, par exemple, sur un ratio donné de rendement du capital, ce qui aurait pour effet d’obliger celles- ci à rationaliser leurs activités. D’autre part, il fallait se départir des soci</w:t>
      </w:r>
      <w:r w:rsidRPr="0089025F">
        <w:t>é</w:t>
      </w:r>
      <w:r w:rsidRPr="0089025F">
        <w:t>tés qui n’avaient plus de mission socio-politique précise. Afin d’éviter une réaction négative du public (on prévoyait qu’une majorité des C</w:t>
      </w:r>
      <w:r w:rsidRPr="0089025F">
        <w:t>a</w:t>
      </w:r>
      <w:r w:rsidRPr="0089025F">
        <w:t>nadiens s’opposerait à une politique de privatisation) il était nécessa</w:t>
      </w:r>
      <w:r w:rsidRPr="0089025F">
        <w:t>i</w:t>
      </w:r>
      <w:r w:rsidRPr="0089025F">
        <w:t>re, selon le Groupe de tr</w:t>
      </w:r>
      <w:r w:rsidRPr="0089025F">
        <w:t>a</w:t>
      </w:r>
      <w:r w:rsidRPr="0089025F">
        <w:t>vail d’agir vite dès l’arrivée au pouvoir et de choisir comme première cible les compagnies sans valeur symbolique évidente. Comme exemples précis sont donnés la Société des tran</w:t>
      </w:r>
      <w:r w:rsidRPr="0089025F">
        <w:t>s</w:t>
      </w:r>
      <w:r w:rsidRPr="0089025F">
        <w:t>ports du Nord, Téléglobe, Eld</w:t>
      </w:r>
      <w:r w:rsidRPr="0089025F">
        <w:t>o</w:t>
      </w:r>
      <w:r w:rsidRPr="0089025F">
        <w:t>rado, Canadair, De Havilland et les actifs de la CDC.</w:t>
      </w:r>
      <w:r>
        <w:t> </w:t>
      </w:r>
      <w:r>
        <w:rPr>
          <w:rStyle w:val="Appelnotedebasdep"/>
        </w:rPr>
        <w:footnoteReference w:id="23"/>
      </w:r>
    </w:p>
    <w:p w14:paraId="56C4EA99" w14:textId="77777777" w:rsidR="000A271D" w:rsidRPr="0089025F" w:rsidRDefault="000A271D" w:rsidP="000A271D">
      <w:pPr>
        <w:spacing w:before="120" w:after="120"/>
        <w:jc w:val="both"/>
      </w:pPr>
      <w:r w:rsidRPr="0089025F">
        <w:t>Suite aux élections, en octobre 1984, c’est de nouveau M. Stevens (cette fois-ci ministre de l’Industrie) qui annonce le programme de privatisation. Il indique les cinq compagnies repérées par le Groupe de travail et procède à leur évaluation. La rapide mise en vigueur de cette politique était possible puisque toutes étaient sous le contrôle de la CDIC. Rappelons que le budget de cette dernière était autonome de celui du ministère et la législation permettait la vente des filiales sans avoir à passer par le Parlement.</w:t>
      </w:r>
      <w:r>
        <w:t> </w:t>
      </w:r>
      <w:r>
        <w:rPr>
          <w:rStyle w:val="Appelnotedebasdep"/>
        </w:rPr>
        <w:footnoteReference w:id="24"/>
      </w:r>
      <w:r w:rsidRPr="0089025F">
        <w:t xml:space="preserve"> Certains ministres ne voyaient pourtant pas d’un bon œil les initiatives du style cavalier seul de M. St</w:t>
      </w:r>
      <w:r w:rsidRPr="0089025F">
        <w:t>e</w:t>
      </w:r>
      <w:r w:rsidRPr="0089025F">
        <w:t>vens ni l’apparente absence de politique élaborée, rattachée aux objectifs plus larges du renouveau économique. Aussi, pour les sati</w:t>
      </w:r>
      <w:r w:rsidRPr="0089025F">
        <w:t>s</w:t>
      </w:r>
      <w:r w:rsidRPr="0089025F">
        <w:t>faire, un Groupe de travail, composé uniquement de ministres, sera mis en place au printemps 1985, sous la direction du Président du Conseil du Trésor, Robert de Cotret, avec pour mandat de coordonner les ventes. L’annonce en est faite par le ministre des Finances lors de son discours sur le budget au mois de mai et la simple vente de que</w:t>
      </w:r>
      <w:r w:rsidRPr="0089025F">
        <w:t>l</w:t>
      </w:r>
      <w:r w:rsidRPr="0089025F">
        <w:t>ques sociétés déjà indiquées par les libéraux se transformera en polit</w:t>
      </w:r>
      <w:r w:rsidRPr="0089025F">
        <w:t>i</w:t>
      </w:r>
      <w:r w:rsidRPr="0089025F">
        <w:t>que grandiose de privatisation et de redéfinition du rôle de l’État. Les conservateurs rebaptisent le tout en l’arrosant de slogans chers au m</w:t>
      </w:r>
      <w:r w:rsidRPr="0089025F">
        <w:t>i</w:t>
      </w:r>
      <w:r w:rsidRPr="0089025F">
        <w:t xml:space="preserve">lieu d’affaires. Ainsi selon Robert de Cotret, Président du Conseil </w:t>
      </w:r>
      <w:r w:rsidRPr="0089025F">
        <w:lastRenderedPageBreak/>
        <w:t>du Tr</w:t>
      </w:r>
      <w:r w:rsidRPr="0089025F">
        <w:t>é</w:t>
      </w:r>
      <w:r w:rsidRPr="0089025F">
        <w:t>sor et du Groupe interministériel responsable de la privatisation :</w:t>
      </w:r>
    </w:p>
    <w:p w14:paraId="5B68CE5D" w14:textId="77777777" w:rsidR="000A271D" w:rsidRPr="0089025F" w:rsidRDefault="000A271D" w:rsidP="000A271D">
      <w:pPr>
        <w:pStyle w:val="Grillecouleur-Accent1"/>
      </w:pPr>
      <w:r>
        <w:br w:type="page"/>
      </w:r>
    </w:p>
    <w:p w14:paraId="5EC1BD5F" w14:textId="77777777" w:rsidR="000A271D" w:rsidRPr="0089025F" w:rsidRDefault="000A271D" w:rsidP="000A271D">
      <w:pPr>
        <w:pStyle w:val="Grillecouleur-Accent1"/>
      </w:pPr>
      <w:r w:rsidRPr="0089025F">
        <w:t>La privatisation... réduira le rôle du gouvernement et laissera l’initiative au secteur privé ; elle améliorera le rendement du marché et l’allocation des ressources ; elle améliorera le rendement des fi</w:t>
      </w:r>
      <w:r w:rsidRPr="0089025F">
        <w:t>r</w:t>
      </w:r>
      <w:r w:rsidRPr="0089025F">
        <w:t>mes grâce à la discipline du marché et à la réduction des entraves politiques et b</w:t>
      </w:r>
      <w:r w:rsidRPr="0089025F">
        <w:t>u</w:t>
      </w:r>
      <w:r w:rsidRPr="0089025F">
        <w:t>reaucratiques... »</w:t>
      </w:r>
      <w:r>
        <w:t> </w:t>
      </w:r>
      <w:r>
        <w:rPr>
          <w:rStyle w:val="Appelnotedebasdep"/>
        </w:rPr>
        <w:footnoteReference w:id="25"/>
      </w:r>
    </w:p>
    <w:p w14:paraId="498ABB74" w14:textId="77777777" w:rsidR="000A271D" w:rsidRPr="0089025F" w:rsidRDefault="000A271D" w:rsidP="000A271D">
      <w:pPr>
        <w:pStyle w:val="Grillecouleur-Accent1"/>
      </w:pPr>
    </w:p>
    <w:p w14:paraId="6A463817" w14:textId="77777777" w:rsidR="000A271D" w:rsidRPr="0089025F" w:rsidRDefault="000A271D" w:rsidP="000A271D">
      <w:pPr>
        <w:spacing w:before="120" w:after="120"/>
        <w:jc w:val="both"/>
      </w:pPr>
      <w:r w:rsidRPr="0089025F">
        <w:t>Ce discours officiel est tout à fait conforme au discours du secteur privé. Le mémoire sur les sociétés d’État présenté par la Chambre de Commerce du Canada en mai 1985 à M. de Cotret nous en fournit la preuve éloquente. Selon la Chambre de Commerce, il y aura toujours des raisons d’État comme la défense nati</w:t>
      </w:r>
      <w:r>
        <w:t>onale ou la régulation des monopo</w:t>
      </w:r>
      <w:r w:rsidRPr="0089025F">
        <w:t>les</w:t>
      </w:r>
      <w:r>
        <w:t xml:space="preserve"> </w:t>
      </w:r>
      <w:r w:rsidRPr="0089025F">
        <w:t>[165] pour justifier la création de sociétés d’État. Mais, consid</w:t>
      </w:r>
      <w:r w:rsidRPr="0089025F">
        <w:t>é</w:t>
      </w:r>
      <w:r w:rsidRPr="0089025F">
        <w:t>rant que le Canada est une société de marché et que « Two of the fun</w:t>
      </w:r>
      <w:r>
        <w:t>da</w:t>
      </w:r>
      <w:r w:rsidRPr="0089025F">
        <w:t>mentals of such a society are the right of individuals to a</w:t>
      </w:r>
      <w:r w:rsidRPr="0089025F">
        <w:t>c</w:t>
      </w:r>
      <w:r w:rsidRPr="0089025F">
        <w:t>quire, use and dispose of property (“property rights”) and the market System as the method of allocating goods and services (“the market Sy</w:t>
      </w:r>
      <w:r w:rsidRPr="0089025F">
        <w:t>s</w:t>
      </w:r>
      <w:r w:rsidRPr="0089025F">
        <w:t>tem”) », chaque fois que l’interventionnisme de l’État nuit à l’un ou à l’autre de ces fondements, il est nécessaire d’apporter des corre</w:t>
      </w:r>
      <w:r w:rsidRPr="0089025F">
        <w:t>c</w:t>
      </w:r>
      <w:r w:rsidRPr="0089025F">
        <w:t>tions et de restaurer l’emprise du marché. Les sociétés d’État sont l’exemple par excellence d’une distorsion du marché. La Chambre propose en conséquence de restructurer systématiquement le secteur public comme</w:t>
      </w:r>
      <w:r w:rsidRPr="0089025F">
        <w:t>r</w:t>
      </w:r>
      <w:r w:rsidRPr="0089025F">
        <w:t>cial, se préoccupant surtout d’éliminer des sociétés d’État qui, comme elle le dira, « compete directly with the private se</w:t>
      </w:r>
      <w:r w:rsidRPr="0089025F">
        <w:t>c</w:t>
      </w:r>
      <w:r w:rsidRPr="0089025F">
        <w:t>tor. »</w:t>
      </w:r>
      <w:r>
        <w:t> </w:t>
      </w:r>
      <w:r>
        <w:rPr>
          <w:rStyle w:val="Appelnotedebasdep"/>
        </w:rPr>
        <w:footnoteReference w:id="26"/>
      </w:r>
    </w:p>
    <w:p w14:paraId="22E2BA3A" w14:textId="77777777" w:rsidR="000A271D" w:rsidRPr="0089025F" w:rsidRDefault="000A271D" w:rsidP="000A271D">
      <w:pPr>
        <w:spacing w:before="120" w:after="120"/>
        <w:jc w:val="both"/>
      </w:pPr>
      <w:r w:rsidRPr="0089025F">
        <w:t>Maintenant que les conservateurs ont mis en œuvre leur politique de privatisation, les sociétés indiquées par M. Stevens à l’exception d’Eldorado Nucléaire ayant toutes été vendues, cherchons à savoir qui bénéficie de la privatisation. Jusqu’à présent, le gouvernement f</w:t>
      </w:r>
      <w:r w:rsidRPr="0089025F">
        <w:t>é</w:t>
      </w:r>
      <w:r w:rsidRPr="0089025F">
        <w:t xml:space="preserve">déral a favorisé une modalité de privatisation, la vente en bloc à un acheteur </w:t>
      </w:r>
      <w:r w:rsidRPr="0089025F">
        <w:lastRenderedPageBreak/>
        <w:t>privé unique par voie d’appel d’offres. Cette modalité, à la différence des placements en bourse, permet au gouvernement d’adjuger les o</w:t>
      </w:r>
      <w:r w:rsidRPr="0089025F">
        <w:t>f</w:t>
      </w:r>
      <w:r w:rsidRPr="0089025F">
        <w:t>fres non seulement en fonction du prix mais en fonction de la satisfa</w:t>
      </w:r>
      <w:r w:rsidRPr="0089025F">
        <w:t>c</w:t>
      </w:r>
      <w:r w:rsidRPr="0089025F">
        <w:t>tion des conditions qu’il impose. La décision ultime a été prise à ch</w:t>
      </w:r>
      <w:r w:rsidRPr="0089025F">
        <w:t>a</w:t>
      </w:r>
      <w:r w:rsidRPr="0089025F">
        <w:t>que fois par le Conseil des ministres non sans avoir reçu aupar</w:t>
      </w:r>
      <w:r w:rsidRPr="0089025F">
        <w:t>a</w:t>
      </w:r>
      <w:r w:rsidRPr="0089025F">
        <w:t>vant, par l’entremise du Ministre de la privatisation, les recommand</w:t>
      </w:r>
      <w:r w:rsidRPr="0089025F">
        <w:t>a</w:t>
      </w:r>
      <w:r w:rsidRPr="0089025F">
        <w:t>tions de la CDIC dont le conseil d’administration avait mis sur pied à cette fin un comité de privatisation composé d’hommes d’affaires. Ce c</w:t>
      </w:r>
      <w:r w:rsidRPr="0089025F">
        <w:t>o</w:t>
      </w:r>
      <w:r w:rsidRPr="0089025F">
        <w:t>mité avait lui-même été conseillé dans l’arbitrage des offres par des maisons de courtiers telle Burns Fry.</w:t>
      </w:r>
      <w:r>
        <w:t> </w:t>
      </w:r>
      <w:r>
        <w:rPr>
          <w:rStyle w:val="Appelnotedebasdep"/>
        </w:rPr>
        <w:footnoteReference w:id="27"/>
      </w:r>
      <w:r w:rsidRPr="0089025F">
        <w:rPr>
          <w:vertAlign w:val="superscript"/>
        </w:rPr>
        <w:t xml:space="preserve"> </w:t>
      </w:r>
      <w:r w:rsidRPr="0089025F">
        <w:t>L’acquisition par un seul ach</w:t>
      </w:r>
      <w:r w:rsidRPr="0089025F">
        <w:t>e</w:t>
      </w:r>
      <w:r w:rsidRPr="0089025F">
        <w:t>teur (au lieu d’une diffusion du contrôle à une masse de petits inve</w:t>
      </w:r>
      <w:r w:rsidRPr="0089025F">
        <w:t>s</w:t>
      </w:r>
      <w:r w:rsidRPr="0089025F">
        <w:t>tisseurs anonymes) crée après la vente un interlocuteur privilégié avec qui les hauts fonctionnaires ou les politiciens peuvent plus fac</w:t>
      </w:r>
      <w:r w:rsidRPr="0089025F">
        <w:t>i</w:t>
      </w:r>
      <w:r w:rsidRPr="0089025F">
        <w:t>lement s’entendre pour que la privatisation soit une réussite. Mais qui sont donc les acheteurs ? Examinons de près le dossier de la privatis</w:t>
      </w:r>
      <w:r w:rsidRPr="0089025F">
        <w:t>a</w:t>
      </w:r>
      <w:r w:rsidRPr="0089025F">
        <w:t>tion société par société.</w:t>
      </w:r>
    </w:p>
    <w:p w14:paraId="6F0EFDD0" w14:textId="77777777" w:rsidR="000A271D" w:rsidRPr="0089025F" w:rsidRDefault="000A271D" w:rsidP="000A271D">
      <w:pPr>
        <w:spacing w:before="120" w:after="120"/>
        <w:jc w:val="both"/>
      </w:pPr>
    </w:p>
    <w:p w14:paraId="2D2BFDFD" w14:textId="77777777" w:rsidR="000A271D" w:rsidRPr="0089025F" w:rsidRDefault="000A271D" w:rsidP="000A271D">
      <w:pPr>
        <w:pStyle w:val="a"/>
      </w:pPr>
      <w:r w:rsidRPr="0089025F">
        <w:t>(i) La Société des transports du Nord :</w:t>
      </w:r>
    </w:p>
    <w:p w14:paraId="0BBB9C45" w14:textId="77777777" w:rsidR="000A271D" w:rsidRPr="0089025F" w:rsidRDefault="000A271D" w:rsidP="000A271D">
      <w:pPr>
        <w:spacing w:before="120" w:after="120"/>
        <w:jc w:val="both"/>
      </w:pPr>
    </w:p>
    <w:p w14:paraId="3766AFE0" w14:textId="77777777" w:rsidR="000A271D" w:rsidRPr="0089025F" w:rsidRDefault="000A271D" w:rsidP="000A271D">
      <w:pPr>
        <w:spacing w:before="120" w:after="120"/>
        <w:jc w:val="both"/>
      </w:pPr>
      <w:r w:rsidRPr="002B630A">
        <w:rPr>
          <w:i/>
        </w:rPr>
        <w:t>date de vente </w:t>
      </w:r>
      <w:r w:rsidRPr="0089025F">
        <w:t>: 16 juillet 1985 ;</w:t>
      </w:r>
    </w:p>
    <w:p w14:paraId="7975EFAD" w14:textId="77777777" w:rsidR="000A271D" w:rsidRPr="0089025F" w:rsidRDefault="000A271D" w:rsidP="000A271D">
      <w:pPr>
        <w:spacing w:before="120" w:after="120"/>
        <w:jc w:val="both"/>
      </w:pPr>
      <w:r w:rsidRPr="002B630A">
        <w:rPr>
          <w:i/>
        </w:rPr>
        <w:t>prix de vente </w:t>
      </w:r>
      <w:r w:rsidRPr="0089025F">
        <w:t>: 27 $ millions ;</w:t>
      </w:r>
    </w:p>
    <w:p w14:paraId="3C78AEBE" w14:textId="77777777" w:rsidR="000A271D" w:rsidRPr="0089025F" w:rsidRDefault="000A271D" w:rsidP="000A271D">
      <w:pPr>
        <w:spacing w:before="120" w:after="120"/>
        <w:jc w:val="both"/>
      </w:pPr>
      <w:r w:rsidRPr="002B630A">
        <w:rPr>
          <w:i/>
        </w:rPr>
        <w:t>acheteur </w:t>
      </w:r>
      <w:r w:rsidRPr="0089025F">
        <w:t>: un consortium de deux sociétés — Inuvialuit Develo</w:t>
      </w:r>
      <w:r w:rsidRPr="0089025F">
        <w:t>p</w:t>
      </w:r>
      <w:r w:rsidRPr="0089025F">
        <w:t>ment Corporation et Nunasi Corporation — à 100 % propriété de pe</w:t>
      </w:r>
      <w:r w:rsidRPr="0089025F">
        <w:t>u</w:t>
      </w:r>
      <w:r w:rsidRPr="0089025F">
        <w:t>ples autochtones, les Inuits du nord-ouest ; leurs communautés sont desservies depuis 40 ans par cette compagnie de transport mar</w:t>
      </w:r>
      <w:r w:rsidRPr="0089025F">
        <w:t>i</w:t>
      </w:r>
      <w:r w:rsidRPr="0089025F">
        <w:t>time.</w:t>
      </w:r>
    </w:p>
    <w:p w14:paraId="7CD48244" w14:textId="77777777" w:rsidR="000A271D" w:rsidRPr="0089025F" w:rsidRDefault="000A271D" w:rsidP="000A271D">
      <w:pPr>
        <w:spacing w:before="120" w:after="120"/>
        <w:jc w:val="both"/>
      </w:pPr>
      <w:r>
        <w:br w:type="page"/>
      </w:r>
    </w:p>
    <w:p w14:paraId="7F966356" w14:textId="77777777" w:rsidR="000A271D" w:rsidRPr="0089025F" w:rsidRDefault="000A271D" w:rsidP="000A271D">
      <w:pPr>
        <w:pStyle w:val="a"/>
      </w:pPr>
      <w:r w:rsidRPr="0089025F">
        <w:t>(ii) Arsenaux canadiens :</w:t>
      </w:r>
    </w:p>
    <w:p w14:paraId="476DC52A" w14:textId="77777777" w:rsidR="000A271D" w:rsidRPr="0089025F" w:rsidRDefault="000A271D" w:rsidP="000A271D">
      <w:pPr>
        <w:spacing w:before="120" w:after="120"/>
        <w:jc w:val="both"/>
      </w:pPr>
    </w:p>
    <w:p w14:paraId="5931BDE3" w14:textId="77777777" w:rsidR="000A271D" w:rsidRPr="0089025F" w:rsidRDefault="000A271D" w:rsidP="000A271D">
      <w:pPr>
        <w:spacing w:before="120" w:after="120"/>
        <w:jc w:val="both"/>
      </w:pPr>
      <w:r w:rsidRPr="002B630A">
        <w:rPr>
          <w:i/>
        </w:rPr>
        <w:t>date de vente </w:t>
      </w:r>
      <w:r w:rsidRPr="0089025F">
        <w:t>: 2 décembre 1985 ;</w:t>
      </w:r>
    </w:p>
    <w:p w14:paraId="644EA14D" w14:textId="77777777" w:rsidR="000A271D" w:rsidRPr="0089025F" w:rsidRDefault="000A271D" w:rsidP="000A271D">
      <w:pPr>
        <w:spacing w:before="120" w:after="120"/>
        <w:jc w:val="both"/>
      </w:pPr>
      <w:r w:rsidRPr="002B630A">
        <w:rPr>
          <w:i/>
        </w:rPr>
        <w:t>prix de vente </w:t>
      </w:r>
      <w:r w:rsidRPr="0089025F">
        <w:t>: 92.2 $ millions ;</w:t>
      </w:r>
    </w:p>
    <w:p w14:paraId="378F0022" w14:textId="77777777" w:rsidR="000A271D" w:rsidRPr="0089025F" w:rsidRDefault="000A271D" w:rsidP="000A271D">
      <w:pPr>
        <w:spacing w:before="120" w:after="120"/>
        <w:jc w:val="both"/>
      </w:pPr>
      <w:r w:rsidRPr="002B630A">
        <w:rPr>
          <w:i/>
        </w:rPr>
        <w:t>acheteur </w:t>
      </w:r>
      <w:r w:rsidRPr="0089025F">
        <w:t xml:space="preserve">: le groupe SNC de Montréal (ingénierie ; propriété de ses employés ; rang 318 dans le </w:t>
      </w:r>
      <w:r w:rsidRPr="0089025F">
        <w:rPr>
          <w:i/>
        </w:rPr>
        <w:t>Financial Post 500</w:t>
      </w:r>
      <w:r w:rsidRPr="0089025F">
        <w:t>).</w:t>
      </w:r>
    </w:p>
    <w:p w14:paraId="0404E72E" w14:textId="77777777" w:rsidR="000A271D" w:rsidRPr="0089025F" w:rsidRDefault="000A271D" w:rsidP="000A271D">
      <w:pPr>
        <w:spacing w:before="120" w:after="120"/>
        <w:jc w:val="both"/>
      </w:pPr>
    </w:p>
    <w:p w14:paraId="4B25867C" w14:textId="77777777" w:rsidR="000A271D" w:rsidRPr="0089025F" w:rsidRDefault="000A271D" w:rsidP="000A271D">
      <w:pPr>
        <w:pStyle w:val="a"/>
      </w:pPr>
      <w:r w:rsidRPr="0089025F">
        <w:t>(iii) De Havilland :</w:t>
      </w:r>
    </w:p>
    <w:p w14:paraId="79A5146A" w14:textId="77777777" w:rsidR="000A271D" w:rsidRPr="0089025F" w:rsidRDefault="000A271D" w:rsidP="000A271D">
      <w:pPr>
        <w:spacing w:before="120" w:after="120"/>
        <w:jc w:val="both"/>
      </w:pPr>
      <w:r w:rsidRPr="002B630A">
        <w:rPr>
          <w:i/>
        </w:rPr>
        <w:t>date de vente </w:t>
      </w:r>
      <w:r w:rsidRPr="0089025F">
        <w:t>: 31 janvier 1986</w:t>
      </w:r>
    </w:p>
    <w:p w14:paraId="4D0D30C0" w14:textId="77777777" w:rsidR="000A271D" w:rsidRPr="0089025F" w:rsidRDefault="000A271D" w:rsidP="000A271D">
      <w:pPr>
        <w:spacing w:before="120" w:after="120"/>
        <w:ind w:firstLine="0"/>
        <w:jc w:val="both"/>
      </w:pPr>
      <w:r w:rsidRPr="0089025F">
        <w:t>[166]</w:t>
      </w:r>
    </w:p>
    <w:p w14:paraId="0E14148A" w14:textId="77777777" w:rsidR="000A271D" w:rsidRPr="0089025F" w:rsidRDefault="000A271D" w:rsidP="000A271D">
      <w:pPr>
        <w:spacing w:before="120" w:after="120"/>
        <w:jc w:val="both"/>
      </w:pPr>
      <w:r w:rsidRPr="0089025F">
        <w:t>(accord en principe signé le 2 décembre 1985) ;</w:t>
      </w:r>
    </w:p>
    <w:p w14:paraId="33649CFE" w14:textId="77777777" w:rsidR="000A271D" w:rsidRPr="0089025F" w:rsidRDefault="000A271D" w:rsidP="000A271D">
      <w:pPr>
        <w:spacing w:before="120" w:after="120"/>
        <w:jc w:val="both"/>
      </w:pPr>
      <w:r w:rsidRPr="002B630A">
        <w:rPr>
          <w:i/>
        </w:rPr>
        <w:t>prix de vente </w:t>
      </w:r>
      <w:r w:rsidRPr="0089025F">
        <w:t>: 90 $ millions ;</w:t>
      </w:r>
    </w:p>
    <w:p w14:paraId="35E79238" w14:textId="77777777" w:rsidR="000A271D" w:rsidRPr="0089025F" w:rsidRDefault="000A271D" w:rsidP="000A271D">
      <w:pPr>
        <w:spacing w:before="120" w:after="120"/>
        <w:jc w:val="both"/>
      </w:pPr>
      <w:r w:rsidRPr="002B630A">
        <w:rPr>
          <w:i/>
        </w:rPr>
        <w:t>acheteur </w:t>
      </w:r>
      <w:r w:rsidRPr="0089025F">
        <w:t>: Boeing Company de Seattle, société américaine d’aéronautique et d’armements, dont la filiale, Boeing of Canada Ltd est située à Winnipeg.</w:t>
      </w:r>
    </w:p>
    <w:p w14:paraId="0FE12EEF" w14:textId="77777777" w:rsidR="000A271D" w:rsidRPr="0089025F" w:rsidRDefault="000A271D" w:rsidP="000A271D">
      <w:pPr>
        <w:spacing w:before="120" w:after="120"/>
        <w:jc w:val="both"/>
      </w:pPr>
    </w:p>
    <w:p w14:paraId="4CD25054" w14:textId="77777777" w:rsidR="000A271D" w:rsidRPr="0089025F" w:rsidRDefault="000A271D" w:rsidP="000A271D">
      <w:pPr>
        <w:pStyle w:val="a"/>
      </w:pPr>
      <w:r w:rsidRPr="0089025F">
        <w:t>(iv) Pêcheries Canada Inc. :</w:t>
      </w:r>
    </w:p>
    <w:p w14:paraId="3B6087A0" w14:textId="77777777" w:rsidR="000A271D" w:rsidRPr="0089025F" w:rsidRDefault="000A271D" w:rsidP="000A271D">
      <w:pPr>
        <w:spacing w:before="120" w:after="120"/>
        <w:jc w:val="both"/>
      </w:pPr>
      <w:r w:rsidRPr="002B630A">
        <w:rPr>
          <w:i/>
        </w:rPr>
        <w:t>date de vente </w:t>
      </w:r>
      <w:r w:rsidRPr="0089025F">
        <w:t>: 18 avril 1986 ;</w:t>
      </w:r>
    </w:p>
    <w:p w14:paraId="013FC831" w14:textId="77777777" w:rsidR="000A271D" w:rsidRPr="0089025F" w:rsidRDefault="000A271D" w:rsidP="000A271D">
      <w:pPr>
        <w:spacing w:before="120" w:after="120"/>
        <w:jc w:val="both"/>
      </w:pPr>
      <w:r w:rsidRPr="002B630A">
        <w:rPr>
          <w:i/>
        </w:rPr>
        <w:t>prix de vente </w:t>
      </w:r>
      <w:r w:rsidRPr="0089025F">
        <w:t>: 5 $ millions ;</w:t>
      </w:r>
    </w:p>
    <w:p w14:paraId="06EFA2B9" w14:textId="77777777" w:rsidR="000A271D" w:rsidRPr="0089025F" w:rsidRDefault="000A271D" w:rsidP="000A271D">
      <w:pPr>
        <w:spacing w:before="120" w:after="120"/>
        <w:jc w:val="both"/>
      </w:pPr>
      <w:r w:rsidRPr="002B630A">
        <w:rPr>
          <w:i/>
        </w:rPr>
        <w:t>acheteur </w:t>
      </w:r>
      <w:r w:rsidRPr="0089025F">
        <w:t>: Purdel, une coopérative agro-alimentaire québécoise.</w:t>
      </w:r>
    </w:p>
    <w:p w14:paraId="3242390C" w14:textId="77777777" w:rsidR="000A271D" w:rsidRPr="0089025F" w:rsidRDefault="000A271D" w:rsidP="000A271D">
      <w:pPr>
        <w:spacing w:before="120" w:after="120"/>
        <w:jc w:val="both"/>
      </w:pPr>
    </w:p>
    <w:p w14:paraId="31935C49" w14:textId="77777777" w:rsidR="000A271D" w:rsidRPr="0089025F" w:rsidRDefault="000A271D" w:rsidP="000A271D">
      <w:pPr>
        <w:pStyle w:val="a"/>
      </w:pPr>
      <w:r w:rsidRPr="0089025F">
        <w:t>(v) Canadair :</w:t>
      </w:r>
    </w:p>
    <w:p w14:paraId="7D483352" w14:textId="77777777" w:rsidR="000A271D" w:rsidRPr="0089025F" w:rsidRDefault="000A271D" w:rsidP="000A271D">
      <w:pPr>
        <w:spacing w:before="120" w:after="120"/>
        <w:jc w:val="both"/>
      </w:pPr>
      <w:r w:rsidRPr="002B630A">
        <w:rPr>
          <w:i/>
        </w:rPr>
        <w:t>date de vente </w:t>
      </w:r>
      <w:r w:rsidRPr="0089025F">
        <w:t>: 18 août 1986 ;</w:t>
      </w:r>
    </w:p>
    <w:p w14:paraId="55E5CE55" w14:textId="77777777" w:rsidR="000A271D" w:rsidRPr="0089025F" w:rsidRDefault="000A271D" w:rsidP="000A271D">
      <w:pPr>
        <w:spacing w:before="120" w:after="120"/>
        <w:jc w:val="both"/>
      </w:pPr>
      <w:r w:rsidRPr="002B630A">
        <w:rPr>
          <w:i/>
        </w:rPr>
        <w:t>prix de vente </w:t>
      </w:r>
      <w:r w:rsidRPr="0089025F">
        <w:t>: 120 $ millions ;</w:t>
      </w:r>
    </w:p>
    <w:p w14:paraId="6C296692" w14:textId="77777777" w:rsidR="000A271D" w:rsidRPr="0089025F" w:rsidRDefault="000A271D" w:rsidP="000A271D">
      <w:pPr>
        <w:spacing w:before="120" w:after="120"/>
        <w:jc w:val="both"/>
      </w:pPr>
      <w:r w:rsidRPr="002B630A">
        <w:rPr>
          <w:i/>
        </w:rPr>
        <w:t>acheteur </w:t>
      </w:r>
      <w:r w:rsidRPr="0089025F">
        <w:t xml:space="preserve">: Bombardier inc. de Montréal, société d’équipement de transport, 65 % propriété des Entreprises de J.A. Bombardier ; rang 138 dans le </w:t>
      </w:r>
      <w:r w:rsidRPr="0089025F">
        <w:rPr>
          <w:i/>
        </w:rPr>
        <w:t>Financial Post 500</w:t>
      </w:r>
      <w:r w:rsidRPr="0089025F">
        <w:t>.</w:t>
      </w:r>
    </w:p>
    <w:p w14:paraId="0B50EB20" w14:textId="77777777" w:rsidR="000A271D" w:rsidRPr="0089025F" w:rsidRDefault="000A271D" w:rsidP="000A271D">
      <w:pPr>
        <w:pStyle w:val="a"/>
      </w:pPr>
      <w:r>
        <w:br w:type="page"/>
      </w:r>
      <w:r w:rsidRPr="0089025F">
        <w:lastRenderedPageBreak/>
        <w:t>(vi) Actions de la Corporation du développement du Canada :</w:t>
      </w:r>
    </w:p>
    <w:p w14:paraId="3A58D64F" w14:textId="77777777" w:rsidR="000A271D" w:rsidRPr="0089025F" w:rsidRDefault="000A271D" w:rsidP="000A271D">
      <w:pPr>
        <w:spacing w:before="120" w:after="120"/>
        <w:jc w:val="both"/>
      </w:pPr>
      <w:r w:rsidRPr="002B630A">
        <w:rPr>
          <w:i/>
        </w:rPr>
        <w:t>date de vente </w:t>
      </w:r>
      <w:r w:rsidRPr="0089025F">
        <w:t>:</w:t>
      </w:r>
      <w:r w:rsidRPr="0089025F">
        <w:tab/>
        <w:t>21 août 1985</w:t>
      </w:r>
    </w:p>
    <w:p w14:paraId="7D226A90" w14:textId="77777777" w:rsidR="000A271D" w:rsidRPr="0089025F" w:rsidRDefault="000A271D" w:rsidP="000A271D">
      <w:pPr>
        <w:spacing w:before="120" w:after="120"/>
        <w:jc w:val="both"/>
      </w:pPr>
      <w:r w:rsidRPr="0089025F">
        <w:t>(deuxième tranche septembre 1986) ;</w:t>
      </w:r>
    </w:p>
    <w:p w14:paraId="2C5F1CA9" w14:textId="77777777" w:rsidR="000A271D" w:rsidRPr="0089025F" w:rsidRDefault="000A271D" w:rsidP="000A271D">
      <w:pPr>
        <w:spacing w:before="120" w:after="120"/>
        <w:jc w:val="both"/>
      </w:pPr>
      <w:r w:rsidRPr="002B630A">
        <w:rPr>
          <w:i/>
        </w:rPr>
        <w:t>prix de vente </w:t>
      </w:r>
      <w:r w:rsidRPr="0089025F">
        <w:t>: 21.8 millions d’actions, 264.5 $ millions ;</w:t>
      </w:r>
    </w:p>
    <w:p w14:paraId="57DB4D18" w14:textId="77777777" w:rsidR="000A271D" w:rsidRPr="0089025F" w:rsidRDefault="000A271D" w:rsidP="000A271D">
      <w:pPr>
        <w:spacing w:before="120" w:after="120"/>
        <w:jc w:val="both"/>
      </w:pPr>
      <w:r w:rsidRPr="002B630A">
        <w:rPr>
          <w:i/>
        </w:rPr>
        <w:t>acheteurs les plus importants </w:t>
      </w:r>
      <w:r w:rsidRPr="0089025F">
        <w:t xml:space="preserve">: Groupe Edper de Toronto (Bronf- man) par l’intermédiaire de Noranda, rang 26 </w:t>
      </w:r>
      <w:r w:rsidRPr="0089025F">
        <w:rPr>
          <w:i/>
        </w:rPr>
        <w:t>Financial Post 500</w:t>
      </w:r>
      <w:r w:rsidRPr="0089025F">
        <w:t xml:space="preserve"> {13 %) et du Royal Trust (2 %). Le gouvernement fédéral retient 14 % et le droit de nommer 5 des 21 administrateurs.</w:t>
      </w:r>
    </w:p>
    <w:p w14:paraId="1329796C" w14:textId="77777777" w:rsidR="000A271D" w:rsidRPr="0089025F" w:rsidRDefault="000A271D" w:rsidP="000A271D">
      <w:pPr>
        <w:spacing w:before="120" w:after="120"/>
        <w:jc w:val="both"/>
      </w:pPr>
    </w:p>
    <w:p w14:paraId="3923E6B2" w14:textId="77777777" w:rsidR="000A271D" w:rsidRPr="0089025F" w:rsidRDefault="000A271D" w:rsidP="000A271D">
      <w:pPr>
        <w:pStyle w:val="a"/>
      </w:pPr>
      <w:r w:rsidRPr="0089025F">
        <w:t>(vii) Téléglobe Canada :</w:t>
      </w:r>
    </w:p>
    <w:p w14:paraId="315618ED" w14:textId="77777777" w:rsidR="000A271D" w:rsidRPr="0089025F" w:rsidRDefault="000A271D" w:rsidP="000A271D">
      <w:pPr>
        <w:spacing w:before="120" w:after="120"/>
        <w:jc w:val="both"/>
      </w:pPr>
      <w:r w:rsidRPr="002B630A">
        <w:rPr>
          <w:i/>
        </w:rPr>
        <w:t>date de vente </w:t>
      </w:r>
      <w:r w:rsidRPr="0089025F">
        <w:t>: 31 mars 1987 (accord de principe annoncé le 11 f</w:t>
      </w:r>
      <w:r w:rsidRPr="0089025F">
        <w:t>é</w:t>
      </w:r>
      <w:r w:rsidRPr="0089025F">
        <w:t>vrier 1987) ;</w:t>
      </w:r>
    </w:p>
    <w:p w14:paraId="4F0702E8" w14:textId="77777777" w:rsidR="000A271D" w:rsidRPr="0089025F" w:rsidRDefault="000A271D" w:rsidP="000A271D">
      <w:pPr>
        <w:spacing w:before="120" w:after="120"/>
        <w:jc w:val="both"/>
      </w:pPr>
      <w:r w:rsidRPr="002B630A">
        <w:rPr>
          <w:i/>
        </w:rPr>
        <w:t>prix de vente </w:t>
      </w:r>
      <w:r w:rsidRPr="0089025F">
        <w:t>: 488.3 $ millions ;</w:t>
      </w:r>
    </w:p>
    <w:p w14:paraId="5B074AB5" w14:textId="77777777" w:rsidR="000A271D" w:rsidRPr="0089025F" w:rsidRDefault="000A271D" w:rsidP="000A271D">
      <w:pPr>
        <w:spacing w:before="120" w:after="120"/>
        <w:jc w:val="both"/>
      </w:pPr>
      <w:r w:rsidRPr="002B630A">
        <w:rPr>
          <w:i/>
        </w:rPr>
        <w:t>acheteurs </w:t>
      </w:r>
      <w:r w:rsidRPr="0089025F">
        <w:t>: Memotec Data inc. de Montréal, petite société d’électronique et informatique sous contrôle d’Altamira Capital Corp. (25 %) et Novacap Investments Inc. (15 %), sociétés d’investissements elles-mêmes créatures d’un conglomérat d’investisseurs des secteurs publics et privés.</w:t>
      </w:r>
    </w:p>
    <w:p w14:paraId="41C9E615" w14:textId="77777777" w:rsidR="000A271D" w:rsidRPr="0089025F" w:rsidRDefault="000A271D" w:rsidP="000A271D">
      <w:pPr>
        <w:spacing w:before="120" w:after="120"/>
        <w:jc w:val="both"/>
      </w:pPr>
    </w:p>
    <w:p w14:paraId="798C95C8" w14:textId="77777777" w:rsidR="000A271D" w:rsidRPr="0089025F" w:rsidRDefault="000A271D" w:rsidP="000A271D">
      <w:pPr>
        <w:spacing w:before="120" w:after="120"/>
        <w:jc w:val="both"/>
      </w:pPr>
      <w:r w:rsidRPr="0089025F">
        <w:t>À l’examen de cette liste</w:t>
      </w:r>
      <w:r>
        <w:t> </w:t>
      </w:r>
      <w:r>
        <w:rPr>
          <w:rStyle w:val="Appelnotedebasdep"/>
        </w:rPr>
        <w:footnoteReference w:id="28"/>
      </w:r>
      <w:r w:rsidRPr="0089025F">
        <w:t xml:space="preserve"> il est évident que la première hypoth</w:t>
      </w:r>
      <w:r w:rsidRPr="0089025F">
        <w:t>è</w:t>
      </w:r>
      <w:r w:rsidRPr="0089025F">
        <w:t>se selon laquelle ce serait le capital monopoliste qui aurait bénéf</w:t>
      </w:r>
      <w:r w:rsidRPr="0089025F">
        <w:t>i</w:t>
      </w:r>
      <w:r w:rsidRPr="0089025F">
        <w:t>cié des privatisations est bien trop simple. L’expérience concrète vient reconfirmer la validité des analyses de Jorge Niosi sur les grandes s</w:t>
      </w:r>
      <w:r w:rsidRPr="0089025F">
        <w:t>o</w:t>
      </w:r>
      <w:r w:rsidRPr="0089025F">
        <w:t>ciétés d’État au Canada : elles « sont loin de servir exclusivement les i</w:t>
      </w:r>
      <w:r w:rsidRPr="0089025F">
        <w:t>n</w:t>
      </w:r>
      <w:r w:rsidRPr="0089025F">
        <w:t>térêts du secteur monopoliste. »</w:t>
      </w:r>
      <w:r>
        <w:t> </w:t>
      </w:r>
      <w:r>
        <w:rPr>
          <w:rStyle w:val="Appelnotedebasdep"/>
        </w:rPr>
        <w:footnoteReference w:id="29"/>
      </w:r>
      <w:r w:rsidRPr="0089025F">
        <w:t xml:space="preserve"> Les contradictions spécifiques au </w:t>
      </w:r>
      <w:r w:rsidRPr="0089025F">
        <w:lastRenderedPageBreak/>
        <w:t>capitalisme canadien font que l’interventionnisme de l’État expr</w:t>
      </w:r>
      <w:r w:rsidRPr="0089025F">
        <w:t>i</w:t>
      </w:r>
      <w:r w:rsidRPr="0089025F">
        <w:t>me plutôt des rapports de forces complexes. Les privatisations sont ju</w:t>
      </w:r>
      <w:r w:rsidRPr="0089025F">
        <w:t>s</w:t>
      </w:r>
      <w:r w:rsidRPr="0089025F">
        <w:t>qu’à pr</w:t>
      </w:r>
      <w:r w:rsidRPr="0089025F">
        <w:t>é</w:t>
      </w:r>
      <w:r w:rsidRPr="0089025F">
        <w:t>sent le miroir de la composition de classes multifilières au Canada. On y voit reflétés : les coopératives de petits producteurs ; le capital international (américain) ; le capital financier ; et le capital i</w:t>
      </w:r>
      <w:r w:rsidRPr="0089025F">
        <w:t>n</w:t>
      </w:r>
      <w:r w:rsidRPr="0089025F">
        <w:t>dustriel. Il y a en plus des alliances du capital étatique et privé. Ainsi, en est-il des deux sociétés d’investissements qui se sont portées a</w:t>
      </w:r>
      <w:r w:rsidRPr="0089025F">
        <w:t>c</w:t>
      </w:r>
      <w:r w:rsidRPr="0089025F">
        <w:t>quéreuses de Téléglobe. Nous retrouvons derrière elles des fonds de pension de sociétés d’État fédérales (CN, CBC, Air Canada), les s</w:t>
      </w:r>
      <w:r w:rsidRPr="0089025F">
        <w:t>o</w:t>
      </w:r>
      <w:r w:rsidRPr="0089025F">
        <w:t>ciétés d’État provinciales (Caisse de dépôt ; SGF ; Ontario Hydro) et du grand c</w:t>
      </w:r>
      <w:r w:rsidRPr="0089025F">
        <w:t>a</w:t>
      </w:r>
      <w:r w:rsidRPr="0089025F">
        <w:t>pital national privé (Bell Canada ; la Banque Nationale, Laurentian Group).</w:t>
      </w:r>
      <w:r>
        <w:t> </w:t>
      </w:r>
      <w:r>
        <w:rPr>
          <w:rStyle w:val="Appelnotedebasdep"/>
        </w:rPr>
        <w:footnoteReference w:id="30"/>
      </w:r>
      <w:r w:rsidRPr="0089025F">
        <w:t xml:space="preserve"> Si une</w:t>
      </w:r>
      <w:r>
        <w:t xml:space="preserve"> fraction semble davantage favo</w:t>
      </w:r>
      <w:r w:rsidRPr="0089025F">
        <w:t>risée  [167]</w:t>
      </w:r>
      <w:r>
        <w:t xml:space="preserve"> </w:t>
      </w:r>
      <w:r w:rsidRPr="0089025F">
        <w:t>ce serait le capital industriel canadien-français, dont le groupe SNC. Déjà producteur d’armements de petite dimension, SNC va a</w:t>
      </w:r>
      <w:r w:rsidRPr="0089025F">
        <w:t>c</w:t>
      </w:r>
      <w:r w:rsidRPr="0089025F">
        <w:t>quérir le seul producteur canadien d’armements de 33 mm ou plus, les Ars</w:t>
      </w:r>
      <w:r w:rsidRPr="0089025F">
        <w:t>e</w:t>
      </w:r>
      <w:r w:rsidRPr="0089025F">
        <w:t>naux du Canada. Bien que les achats du gouvernement se fasse par voie d’appel d’offres, les Arsenaux écoulent 93 % de leur produ</w:t>
      </w:r>
      <w:r w:rsidRPr="0089025F">
        <w:t>c</w:t>
      </w:r>
      <w:r w:rsidRPr="0089025F">
        <w:t>tion à l’État. Dans le cas de Canadair, on se rappellera que c’est toute de suite après sa vente à Bombardier que cette compagnie aéronaut</w:t>
      </w:r>
      <w:r w:rsidRPr="0089025F">
        <w:t>i</w:t>
      </w:r>
      <w:r w:rsidRPr="0089025F">
        <w:t>que s’est vu attribuée l’important contrat de réparation des avions CF-18, en dépit du prix plus bas proposé par une compagnie plus expér</w:t>
      </w:r>
      <w:r w:rsidRPr="0089025F">
        <w:t>i</w:t>
      </w:r>
      <w:r w:rsidRPr="0089025F">
        <w:t>mentée dans la technologie requise, Bristol Aerospace, du Manit</w:t>
      </w:r>
      <w:r w:rsidRPr="0089025F">
        <w:t>o</w:t>
      </w:r>
      <w:r w:rsidRPr="0089025F">
        <w:t>ba.</w:t>
      </w:r>
      <w:r>
        <w:t> </w:t>
      </w:r>
      <w:r>
        <w:rPr>
          <w:rStyle w:val="Appelnotedebasdep"/>
        </w:rPr>
        <w:footnoteReference w:id="31"/>
      </w:r>
    </w:p>
    <w:p w14:paraId="215B17EA" w14:textId="77777777" w:rsidR="000A271D" w:rsidRPr="0089025F" w:rsidRDefault="000A271D" w:rsidP="000A271D">
      <w:pPr>
        <w:spacing w:before="120" w:after="120"/>
        <w:jc w:val="both"/>
      </w:pPr>
      <w:r w:rsidRPr="0089025F">
        <w:t>À la différence des conservateurs britanniques, le gouvernement Mulroney n’a pas manifesté de préoccupation particulière pour ga</w:t>
      </w:r>
      <w:r w:rsidRPr="0089025F">
        <w:t>r</w:t>
      </w:r>
      <w:r w:rsidRPr="0089025F">
        <w:t xml:space="preserve">der sous contrôle national les sociétés d’État privatisées. L’exemple le plus flagrant de son indifférence sur cette question est la vente à Boeing de De Havilland. (Le mémorandum joint au contrat de vente, </w:t>
      </w:r>
      <w:r w:rsidRPr="0089025F">
        <w:lastRenderedPageBreak/>
        <w:t>c’est vrai, stipule que Boeing ne devrait pas délocaliser les install</w:t>
      </w:r>
      <w:r w:rsidRPr="0089025F">
        <w:t>a</w:t>
      </w:r>
      <w:r w:rsidRPr="0089025F">
        <w:t>tions actuellement à Downsview, Ontario... en dehors de la pr</w:t>
      </w:r>
      <w:r w:rsidRPr="0089025F">
        <w:t>o</w:t>
      </w:r>
      <w:r w:rsidRPr="0089025F">
        <w:t>vince d’Ontario !</w:t>
      </w:r>
      <w:r>
        <w:t> </w:t>
      </w:r>
      <w:r>
        <w:rPr>
          <w:rStyle w:val="Appelnotedebasdep"/>
        </w:rPr>
        <w:footnoteReference w:id="32"/>
      </w:r>
      <w:r w:rsidRPr="0089025F">
        <w:t xml:space="preserve"> Un an après la privatisation, les exécutifs et d</w:t>
      </w:r>
      <w:r w:rsidRPr="0089025F">
        <w:t>i</w:t>
      </w:r>
      <w:r w:rsidRPr="0089025F">
        <w:t>recteurs canadiens de De Havilland ont fait savoir à la presse d’affaires qu’ils se sentent émasculés de tout pouvoir décisionnel. Dans d’autres cas, pourtant, une limite a été imposée aux prises de participation étrang</w:t>
      </w:r>
      <w:r w:rsidRPr="0089025F">
        <w:t>è</w:t>
      </w:r>
      <w:r w:rsidRPr="0089025F">
        <w:t>re. Ainsi, dans le cas de la Corporation de développement du Can</w:t>
      </w:r>
      <w:r w:rsidRPr="0089025F">
        <w:t>a</w:t>
      </w:r>
      <w:r w:rsidRPr="0089025F">
        <w:t>da, créée on le sait dans le but de canadianiser les industries de pointe, les actions détenues par les investisseurs étrangers ne doivent pas dépa</w:t>
      </w:r>
      <w:r w:rsidRPr="0089025F">
        <w:t>s</w:t>
      </w:r>
      <w:r w:rsidRPr="0089025F">
        <w:t>ser le seuil de 25 %. Dans le cas de Téléglobe, les lignes directrices publiées au moment du pr</w:t>
      </w:r>
      <w:r w:rsidRPr="0089025F">
        <w:t>e</w:t>
      </w:r>
      <w:r w:rsidRPr="0089025F">
        <w:t>mier appel d’offres suggéraient de façon assez ambiguë, que « les propriétaires non résidants ne pourront a</w:t>
      </w:r>
      <w:r w:rsidRPr="0089025F">
        <w:t>c</w:t>
      </w:r>
      <w:r w:rsidRPr="0089025F">
        <w:t>quérir qu’une part minoritaire (par exemple, 20 %) et le CRTC (in</w:t>
      </w:r>
      <w:r w:rsidRPr="0089025F">
        <w:t>s</w:t>
      </w:r>
      <w:r w:rsidRPr="0089025F">
        <w:t>tance de régulation de l’industrie des communications) sera habilité... d’approuver ou de r</w:t>
      </w:r>
      <w:r w:rsidRPr="0089025F">
        <w:t>e</w:t>
      </w:r>
      <w:r w:rsidRPr="0089025F">
        <w:t>fuser tout transfert du contrôle réel à des intérêts étrangers. »</w:t>
      </w:r>
      <w:r>
        <w:t> </w:t>
      </w:r>
      <w:r>
        <w:rPr>
          <w:rStyle w:val="Appelnotedebasdep"/>
        </w:rPr>
        <w:footnoteReference w:id="33"/>
      </w:r>
    </w:p>
    <w:p w14:paraId="3EB12208" w14:textId="77777777" w:rsidR="000A271D" w:rsidRPr="0089025F" w:rsidRDefault="000A271D" w:rsidP="000A271D">
      <w:pPr>
        <w:spacing w:before="120" w:after="120"/>
        <w:jc w:val="both"/>
      </w:pPr>
      <w:r w:rsidRPr="0089025F">
        <w:t>Aujourd’hui, pourtant, la modalité de privatisation par vente des entreprises à un seul acquéreur semble en voie d’abandon. Il est que</w:t>
      </w:r>
      <w:r w:rsidRPr="0089025F">
        <w:t>s</w:t>
      </w:r>
      <w:r w:rsidRPr="0089025F">
        <w:t>tion maintenant de placer les actions des sociétés d’État en bourse, mais sans que pour autant qu’on se départisse nécessairement du co</w:t>
      </w:r>
      <w:r w:rsidRPr="0089025F">
        <w:t>n</w:t>
      </w:r>
      <w:r w:rsidRPr="0089025F">
        <w:t>trôle. On voit déjà cette nouvelle stratégie se manifester dans l’annonce de la vente des actions de Fishery Products International</w:t>
      </w:r>
      <w:r>
        <w:t> </w:t>
      </w:r>
      <w:r>
        <w:rPr>
          <w:rStyle w:val="Appelnotedebasdep"/>
        </w:rPr>
        <w:footnoteReference w:id="34"/>
      </w:r>
      <w:r w:rsidRPr="0089025F">
        <w:t xml:space="preserve"> et dans les rumeurs persistantes d’une privatis</w:t>
      </w:r>
      <w:r>
        <w:t>ation d’Air Canada et de Petro-</w:t>
      </w:r>
      <w:r w:rsidRPr="0089025F">
        <w:t>Canada. Pourquoi changer de modalités ? Premièrement il se</w:t>
      </w:r>
      <w:r w:rsidRPr="0089025F">
        <w:t>m</w:t>
      </w:r>
      <w:r w:rsidRPr="0089025F">
        <w:t>ble que le gouvernement, à mi-chemin des élections, ait compris que la vente à un seul acquéreur satisfait un client du milieu d’affaires mais tend à provoquer des remous chez les autres. De façon plus g</w:t>
      </w:r>
      <w:r w:rsidRPr="0089025F">
        <w:t>é</w:t>
      </w:r>
      <w:r w:rsidRPr="0089025F">
        <w:lastRenderedPageBreak/>
        <w:t>nérale, le programme de privatisation a été fort critiqué par la presse d’affaires, ce qui n’a rien de surprenant dans une conjoncture de conflits d’intérêt inévitable entre les fractions du capital canadien int</w:t>
      </w:r>
      <w:r w:rsidRPr="0089025F">
        <w:t>é</w:t>
      </w:r>
      <w:r w:rsidRPr="0089025F">
        <w:t>ressées. La vente de Téléglobe, par exemple, a été retardé à plusieurs reprises à causes des contestations de ceux (les compagnies de tél</w:t>
      </w:r>
      <w:r w:rsidRPr="0089025F">
        <w:t>é</w:t>
      </w:r>
      <w:r w:rsidRPr="0089025F">
        <w:t>phones surtout) qui</w:t>
      </w:r>
      <w:r>
        <w:t xml:space="preserve"> </w:t>
      </w:r>
      <w:r w:rsidRPr="0089025F">
        <w:t>[168]</w:t>
      </w:r>
      <w:r>
        <w:t xml:space="preserve"> </w:t>
      </w:r>
      <w:r w:rsidRPr="0089025F">
        <w:t>voulaient s’assurer d’un contrôle sur les p</w:t>
      </w:r>
      <w:r w:rsidRPr="0089025F">
        <w:t>o</w:t>
      </w:r>
      <w:r w:rsidRPr="0089025F">
        <w:t>litiques de la compagnie et ceux (les groupes financiers surtout) qui étaient intéressés à maximiser les revenus par une garantie que le m</w:t>
      </w:r>
      <w:r w:rsidRPr="0089025F">
        <w:t>o</w:t>
      </w:r>
      <w:r w:rsidRPr="0089025F">
        <w:t>nopole de Téléglobe s</w:t>
      </w:r>
      <w:r w:rsidRPr="0089025F">
        <w:t>e</w:t>
      </w:r>
      <w:r w:rsidRPr="0089025F">
        <w:t>rait respecté. Dans le cas de la CDC, il en est allé de même jusqu’au m</w:t>
      </w:r>
      <w:r w:rsidRPr="0089025F">
        <w:t>o</w:t>
      </w:r>
      <w:r w:rsidRPr="0089025F">
        <w:t>ment où le gouvernement s’est vu accusé d’avoir favorisé les consei</w:t>
      </w:r>
      <w:r w:rsidRPr="0089025F">
        <w:t>l</w:t>
      </w:r>
      <w:r w:rsidRPr="0089025F">
        <w:t>lers financiers amis du parti conservateur en plus d’avoir fait bénéf</w:t>
      </w:r>
      <w:r w:rsidRPr="0089025F">
        <w:t>i</w:t>
      </w:r>
      <w:r w:rsidRPr="0089025F">
        <w:t>cier le groupe Brascan (sous contrôle des Bronfman) d’informations privilégiées.</w:t>
      </w:r>
      <w:r>
        <w:t> </w:t>
      </w:r>
      <w:r>
        <w:rPr>
          <w:rStyle w:val="Appelnotedebasdep"/>
        </w:rPr>
        <w:footnoteReference w:id="35"/>
      </w:r>
      <w:r w:rsidRPr="0089025F">
        <w:t xml:space="preserve"> Deuxièmement, les tran</w:t>
      </w:r>
      <w:r w:rsidRPr="0089025F">
        <w:t>s</w:t>
      </w:r>
      <w:r w:rsidRPr="0089025F">
        <w:t>ferts d’avoirs des contribu</w:t>
      </w:r>
      <w:r w:rsidRPr="0089025F">
        <w:t>a</w:t>
      </w:r>
      <w:r w:rsidRPr="0089025F">
        <w:t>bles aux groupes restreints (que ce soit les Inuits ou les Bronfman !) n’évoquent pas un enthousiasme du grand public (les v</w:t>
      </w:r>
      <w:r w:rsidRPr="0089025F">
        <w:t>o</w:t>
      </w:r>
      <w:r w:rsidRPr="0089025F">
        <w:t>tants). Ainsi la ministre de la privatisation apportera-t-elle une touche populiste en proposant la vente des actifs du gouve</w:t>
      </w:r>
      <w:r w:rsidRPr="0089025F">
        <w:t>r</w:t>
      </w:r>
      <w:r w:rsidRPr="0089025F">
        <w:t>nement de FPI : « In order to favor broad ownership... no individual or corporation will be able to own more than 15 per cent of the shares of FPI. »</w:t>
      </w:r>
      <w:r>
        <w:t> </w:t>
      </w:r>
      <w:r>
        <w:rPr>
          <w:rStyle w:val="Appelnotedebasdep"/>
        </w:rPr>
        <w:footnoteReference w:id="36"/>
      </w:r>
      <w:r>
        <w:t xml:space="preserve"> </w:t>
      </w:r>
      <w:r w:rsidRPr="0089025F">
        <w:t>Troisièmement, le gouvernement ne résiste plus aux pre</w:t>
      </w:r>
      <w:r w:rsidRPr="0089025F">
        <w:t>s</w:t>
      </w:r>
      <w:r w:rsidRPr="0089025F">
        <w:t>sions exercées par une fra</w:t>
      </w:r>
      <w:r w:rsidRPr="0089025F">
        <w:t>c</w:t>
      </w:r>
      <w:r w:rsidRPr="0089025F">
        <w:t>tion du capital d’État — les gestionnaires des soci</w:t>
      </w:r>
      <w:r w:rsidRPr="0089025F">
        <w:t>é</w:t>
      </w:r>
      <w:r w:rsidRPr="0089025F">
        <w:t>tés d’État eux-mêmes. Par exemple, Air Canada et Petro-Canada militent en faveur non se</w:t>
      </w:r>
      <w:r w:rsidRPr="0089025F">
        <w:t>u</w:t>
      </w:r>
      <w:r w:rsidRPr="0089025F">
        <w:t>lement de la privatisation mais de leur droit de retenir un contrôle sur la direction qui prendrait la co</w:t>
      </w:r>
      <w:r w:rsidRPr="0089025F">
        <w:t>m</w:t>
      </w:r>
      <w:r w:rsidRPr="0089025F">
        <w:t>pagnie à l’avenir. Air C</w:t>
      </w:r>
      <w:r w:rsidRPr="0089025F">
        <w:t>a</w:t>
      </w:r>
      <w:r w:rsidRPr="0089025F">
        <w:t xml:space="preserve">nada est peut-être la plus explicite là-dessus. </w:t>
      </w:r>
      <w:r w:rsidRPr="0089025F">
        <w:lastRenderedPageBreak/>
        <w:t>Selon une déclaration faite par son président, Claude Taylor, devant le C</w:t>
      </w:r>
      <w:r w:rsidRPr="0089025F">
        <w:t>a</w:t>
      </w:r>
      <w:r w:rsidRPr="0089025F">
        <w:t>nadian Club de Montréal :</w:t>
      </w:r>
    </w:p>
    <w:p w14:paraId="2C736553" w14:textId="77777777" w:rsidR="000A271D" w:rsidRDefault="000A271D" w:rsidP="000A271D">
      <w:pPr>
        <w:pStyle w:val="Grillecouleur-Accent1"/>
      </w:pPr>
    </w:p>
    <w:p w14:paraId="6202E184" w14:textId="77777777" w:rsidR="000A271D" w:rsidRDefault="000A271D" w:rsidP="000A271D">
      <w:pPr>
        <w:pStyle w:val="Grillecouleur-Accent1"/>
      </w:pPr>
      <w:r w:rsidRPr="0089025F">
        <w:t>There are no longer any public policy reasons justifying Air Can</w:t>
      </w:r>
      <w:r w:rsidRPr="0089025F">
        <w:t>a</w:t>
      </w:r>
      <w:r w:rsidRPr="0089025F">
        <w:t>da being retained as a</w:t>
      </w:r>
      <w:r>
        <w:t xml:space="preserve"> </w:t>
      </w:r>
      <w:r w:rsidRPr="0089025F">
        <w:t>Crown corporation... ail our market-oriented activities are dict</w:t>
      </w:r>
      <w:r w:rsidRPr="0089025F">
        <w:t>a</w:t>
      </w:r>
      <w:r w:rsidRPr="0089025F">
        <w:t>ted by our response to prevai- ling market conditions, not by any requir</w:t>
      </w:r>
      <w:r w:rsidRPr="0089025F">
        <w:t>e</w:t>
      </w:r>
      <w:r w:rsidRPr="0089025F">
        <w:t>ment to meet public policy objectives.</w:t>
      </w:r>
      <w:r>
        <w:t> </w:t>
      </w:r>
      <w:r>
        <w:rPr>
          <w:rStyle w:val="Appelnotedebasdep"/>
        </w:rPr>
        <w:footnoteReference w:id="37"/>
      </w:r>
    </w:p>
    <w:p w14:paraId="23925FEB" w14:textId="77777777" w:rsidR="000A271D" w:rsidRPr="0089025F" w:rsidRDefault="000A271D" w:rsidP="000A271D">
      <w:pPr>
        <w:pStyle w:val="Grillecouleur-Accent1"/>
      </w:pPr>
    </w:p>
    <w:p w14:paraId="4176817A" w14:textId="77777777" w:rsidR="000A271D" w:rsidRPr="0089025F" w:rsidRDefault="000A271D" w:rsidP="000A271D">
      <w:pPr>
        <w:spacing w:before="120" w:after="120"/>
        <w:jc w:val="both"/>
      </w:pPr>
      <w:r w:rsidRPr="0089025F">
        <w:t>Air Canada cherche du financement pour faire face à la concurre</w:t>
      </w:r>
      <w:r w:rsidRPr="0089025F">
        <w:t>n</w:t>
      </w:r>
      <w:r w:rsidRPr="0089025F">
        <w:t>ce accrue depuis la déréglementation des services aériens et Taylor insiste sur la nécessité d’avoir accès au capital en bourse. Dans les deux cas, le gouvernement a déjà fait savoir qu’il ne contribuera plus au capital exigé par les grands projets d’investissement pour des ra</w:t>
      </w:r>
      <w:r w:rsidRPr="0089025F">
        <w:t>i</w:t>
      </w:r>
      <w:r w:rsidRPr="0089025F">
        <w:t>sons de compressions budgétaires et appuie donc l’idée d’une cession partielle des actifs.</w:t>
      </w:r>
      <w:r>
        <w:t> </w:t>
      </w:r>
      <w:r>
        <w:rPr>
          <w:rStyle w:val="Appelnotedebasdep"/>
        </w:rPr>
        <w:footnoteReference w:id="38"/>
      </w:r>
    </w:p>
    <w:p w14:paraId="7A520D9E" w14:textId="77777777" w:rsidR="000A271D" w:rsidRPr="0089025F" w:rsidRDefault="000A271D" w:rsidP="000A271D">
      <w:pPr>
        <w:spacing w:before="120" w:after="120"/>
        <w:jc w:val="both"/>
      </w:pPr>
    </w:p>
    <w:p w14:paraId="38E1609B" w14:textId="77777777" w:rsidR="000A271D" w:rsidRPr="0089025F" w:rsidRDefault="000A271D" w:rsidP="000A271D">
      <w:pPr>
        <w:pStyle w:val="planche"/>
      </w:pPr>
      <w:r w:rsidRPr="0089025F">
        <w:t>Conclusion</w:t>
      </w:r>
    </w:p>
    <w:p w14:paraId="3943FE0A" w14:textId="77777777" w:rsidR="000A271D" w:rsidRPr="0089025F" w:rsidRDefault="000A271D" w:rsidP="000A271D">
      <w:pPr>
        <w:spacing w:before="120" w:after="120"/>
        <w:jc w:val="both"/>
      </w:pPr>
    </w:p>
    <w:p w14:paraId="00759669" w14:textId="77777777" w:rsidR="000A271D" w:rsidRPr="0089025F" w:rsidRDefault="000A271D" w:rsidP="000A271D">
      <w:pPr>
        <w:spacing w:before="120" w:after="120"/>
        <w:jc w:val="both"/>
      </w:pPr>
      <w:r w:rsidRPr="0089025F">
        <w:t>À l’heure actuelle donc, le gouvernement Mulroney est à la reche</w:t>
      </w:r>
      <w:r w:rsidRPr="0089025F">
        <w:t>r</w:t>
      </w:r>
      <w:r w:rsidRPr="0089025F">
        <w:t>che d’une politique de privatisation qui pourrait à la fois trouver un appui auprès de l’électorat et démontrer au milieu d’affaires le s</w:t>
      </w:r>
      <w:r w:rsidRPr="0089025F">
        <w:t>é</w:t>
      </w:r>
      <w:r w:rsidRPr="0089025F">
        <w:t>rieux de son projet plus vaste de faire reculer les frontières de l’étatisme. Le programme a été institutionnalisé durant l’été 1986 : une ministre de la privatisation fut nommée (Barbara McDougall). Elle a à sa dispos</w:t>
      </w:r>
      <w:r w:rsidRPr="0089025F">
        <w:t>i</w:t>
      </w:r>
      <w:r w:rsidRPr="0089025F">
        <w:t xml:space="preserve">tion la hiérarchie classique des fonctionnaires et </w:t>
      </w:r>
      <w:r w:rsidRPr="0089025F">
        <w:lastRenderedPageBreak/>
        <w:t>préside un nouveau comité du cabinet.</w:t>
      </w:r>
      <w:r>
        <w:t> </w:t>
      </w:r>
      <w:r>
        <w:rPr>
          <w:rStyle w:val="Appelnotedebasdep"/>
        </w:rPr>
        <w:footnoteReference w:id="39"/>
      </w:r>
      <w:r>
        <w:t xml:space="preserve"> Mulro</w:t>
      </w:r>
      <w:r w:rsidRPr="0089025F">
        <w:t>ney [169] semble vouloir faire de la priv</w:t>
      </w:r>
      <w:r w:rsidRPr="0089025F">
        <w:t>a</w:t>
      </w:r>
      <w:r w:rsidRPr="0089025F">
        <w:t>tisation une politique pe</w:t>
      </w:r>
      <w:r w:rsidRPr="0089025F">
        <w:t>r</w:t>
      </w:r>
      <w:r w:rsidRPr="0089025F">
        <w:t>manente et pourtant il instaure en même temps les routines bureaucr</w:t>
      </w:r>
      <w:r w:rsidRPr="0089025F">
        <w:t>a</w:t>
      </w:r>
      <w:r w:rsidRPr="0089025F">
        <w:t>tiques qui permettront en pratique de temporiser. Ainsi M</w:t>
      </w:r>
      <w:r w:rsidRPr="0089025F">
        <w:rPr>
          <w:vertAlign w:val="superscript"/>
        </w:rPr>
        <w:t>me</w:t>
      </w:r>
      <w:r w:rsidRPr="0089025F">
        <w:t xml:space="preserve"> McDougall met-elle l’accent depuis sa nomin</w:t>
      </w:r>
      <w:r w:rsidRPr="0089025F">
        <w:t>a</w:t>
      </w:r>
      <w:r w:rsidRPr="0089025F">
        <w:t>tion sur la nécessité d’être pragm</w:t>
      </w:r>
      <w:r w:rsidRPr="0089025F">
        <w:t>a</w:t>
      </w:r>
      <w:r w:rsidRPr="0089025F">
        <w:t>tique, de procéder lentement, de prendre en considération les mult</w:t>
      </w:r>
      <w:r w:rsidRPr="0089025F">
        <w:t>i</w:t>
      </w:r>
      <w:r w:rsidRPr="0089025F">
        <w:t>ples intérêts en jeu, etc. Et même devant les publics qui seraient su</w:t>
      </w:r>
      <w:r w:rsidRPr="0089025F">
        <w:t>p</w:t>
      </w:r>
      <w:r w:rsidRPr="0089025F">
        <w:t>posés être les plus susceptibles de vouloir entendre une politique forte de privatis</w:t>
      </w:r>
      <w:r w:rsidRPr="0089025F">
        <w:t>a</w:t>
      </w:r>
      <w:r w:rsidRPr="0089025F">
        <w:t>tion, qu’il s’agisse de la Chambre de Commerce à Vancouver ou du Rotary Club à Calgary, elle insiste sur le pragm</w:t>
      </w:r>
      <w:r w:rsidRPr="0089025F">
        <w:t>a</w:t>
      </w:r>
      <w:r w:rsidRPr="0089025F">
        <w:t>tisme :</w:t>
      </w:r>
    </w:p>
    <w:p w14:paraId="3A17E647" w14:textId="77777777" w:rsidR="000A271D" w:rsidRDefault="000A271D" w:rsidP="000A271D">
      <w:pPr>
        <w:pStyle w:val="Grillecouleur-Accent1"/>
      </w:pPr>
    </w:p>
    <w:p w14:paraId="41EA0B1C" w14:textId="77777777" w:rsidR="000A271D" w:rsidRDefault="000A271D" w:rsidP="000A271D">
      <w:pPr>
        <w:pStyle w:val="Grillecouleur-Accent1"/>
      </w:pPr>
      <w:r w:rsidRPr="0089025F">
        <w:t>We are progressing... in a care- ful, considered and businesslike fa</w:t>
      </w:r>
      <w:r w:rsidRPr="0089025F">
        <w:t>s</w:t>
      </w:r>
      <w:r w:rsidRPr="0089025F">
        <w:t>hion. There are many complex issues at stake and there are many interests to consider... Just as the government's power to own should not be used indiscriminately, our decisions to sell must be subject to complete and c</w:t>
      </w:r>
      <w:r w:rsidRPr="0089025F">
        <w:t>a</w:t>
      </w:r>
      <w:r w:rsidRPr="0089025F">
        <w:t>reful consideration.</w:t>
      </w:r>
      <w:r>
        <w:t> </w:t>
      </w:r>
      <w:r>
        <w:rPr>
          <w:rStyle w:val="Appelnotedebasdep"/>
        </w:rPr>
        <w:footnoteReference w:id="40"/>
      </w:r>
    </w:p>
    <w:p w14:paraId="4AB903E4" w14:textId="77777777" w:rsidR="000A271D" w:rsidRPr="0089025F" w:rsidRDefault="000A271D" w:rsidP="000A271D">
      <w:pPr>
        <w:pStyle w:val="Grillecouleur-Accent1"/>
      </w:pPr>
    </w:p>
    <w:p w14:paraId="36D7300C" w14:textId="77777777" w:rsidR="000A271D" w:rsidRPr="0089025F" w:rsidRDefault="000A271D" w:rsidP="000A271D">
      <w:pPr>
        <w:spacing w:before="120" w:after="120"/>
        <w:jc w:val="both"/>
      </w:pPr>
      <w:r w:rsidRPr="0089025F">
        <w:t>Entre le discours et la pratique intervient, bien sûr, la politique. Il n’est pas évident après plus de deux ans au pouvoir que le gouvern</w:t>
      </w:r>
      <w:r w:rsidRPr="0089025F">
        <w:t>e</w:t>
      </w:r>
      <w:r w:rsidRPr="0089025F">
        <w:t>ment Mulroney ait effectué de profonds changements dans le secteur public commercial/industriel. L’évaluation de l’impact de la privatis</w:t>
      </w:r>
      <w:r w:rsidRPr="0089025F">
        <w:t>a</w:t>
      </w:r>
      <w:r w:rsidRPr="0089025F">
        <w:t>tion sur le capitalisme d’État au Canada demande une analyse non pas seulement du programme du gouvernement fédéral mais aussi de ceux des provinces, entamés en Colombie Britannique en 1979 en Saska</w:t>
      </w:r>
      <w:r w:rsidRPr="0089025F">
        <w:t>t</w:t>
      </w:r>
      <w:r w:rsidRPr="0089025F">
        <w:t>chewan en 1982, en Ontario en 1985 et au Québec en 1986. Une an</w:t>
      </w:r>
      <w:r w:rsidRPr="0089025F">
        <w:t>a</w:t>
      </w:r>
      <w:r w:rsidRPr="0089025F">
        <w:t>lyse bien que limitée au gouvernement fédéral ne devrait pas seul</w:t>
      </w:r>
      <w:r w:rsidRPr="0089025F">
        <w:t>e</w:t>
      </w:r>
      <w:r w:rsidRPr="0089025F">
        <w:t>ment apprécier les ventes mais aussi à l’inverse les investissements et les acquisitions effectués par l’État actionnaire (tel l’achat par Petro- Canada des stations d’essence de Gulf Canada en 1985). Notre inte</w:t>
      </w:r>
      <w:r w:rsidRPr="0089025F">
        <w:t>r</w:t>
      </w:r>
      <w:r w:rsidRPr="0089025F">
        <w:t>rogation a été beaucoup plus re</w:t>
      </w:r>
      <w:r w:rsidRPr="0089025F">
        <w:t>s</w:t>
      </w:r>
      <w:r w:rsidRPr="0089025F">
        <w:t>treinte. Ayant néanmoins tenté cette analyse ailleurs, nous pouvons conclure que si une importante restru</w:t>
      </w:r>
      <w:r w:rsidRPr="0089025F">
        <w:t>c</w:t>
      </w:r>
      <w:r w:rsidRPr="0089025F">
        <w:t xml:space="preserve">turation du secteur public est en cours, impliquant des mises en vente, </w:t>
      </w:r>
      <w:r w:rsidRPr="0089025F">
        <w:lastRenderedPageBreak/>
        <w:t>il ne s’agit pas d’un démantèlement des sociétés d’État mais d’un a</w:t>
      </w:r>
      <w:r w:rsidRPr="0089025F">
        <w:t>s</w:t>
      </w:r>
      <w:r w:rsidRPr="0089025F">
        <w:t>sainissement.</w:t>
      </w:r>
      <w:r>
        <w:t> </w:t>
      </w:r>
      <w:r>
        <w:rPr>
          <w:rStyle w:val="Appelnotedebasdep"/>
        </w:rPr>
        <w:footnoteReference w:id="41"/>
      </w:r>
    </w:p>
    <w:p w14:paraId="785B1D9D" w14:textId="77777777" w:rsidR="000A271D" w:rsidRPr="0089025F" w:rsidRDefault="000A271D" w:rsidP="000A271D">
      <w:pPr>
        <w:spacing w:before="120" w:after="120"/>
        <w:jc w:val="both"/>
      </w:pPr>
      <w:r w:rsidRPr="0089025F">
        <w:t>Que ce soit à Ottawa, à Régina ou à Québec, les gouvernements au Canada marient pragmatisme et doctrine. Ils font un nombre limité de ventes, se tournent vers des sources privées de financement — pour celles de ses sociétés commerciales toujours considérées comme in</w:t>
      </w:r>
      <w:r w:rsidRPr="0089025F">
        <w:t>s</w:t>
      </w:r>
      <w:r w:rsidRPr="0089025F">
        <w:t>truments de politique — et donnent une légitimité à leur pouvoir di</w:t>
      </w:r>
      <w:r w:rsidRPr="0089025F">
        <w:t>s</w:t>
      </w:r>
      <w:r w:rsidRPr="0089025F">
        <w:t>crétionnaire d’intervenir en se conformant à l’idéologie du secteur privé (respect de la discipline du marché ; la gestion efficace ; primat des résultats financiers, etc.). À Ottawa, où l’enjeu principal en mati</w:t>
      </w:r>
      <w:r w:rsidRPr="0089025F">
        <w:t>è</w:t>
      </w:r>
      <w:r w:rsidRPr="0089025F">
        <w:t>re de politique économique reste le déficit, l’invocation du marché pour sanctifier les politiques, et en particulier, celle de la privatisation, d</w:t>
      </w:r>
      <w:r w:rsidRPr="0089025F">
        <w:t>e</w:t>
      </w:r>
      <w:r w:rsidRPr="0089025F">
        <w:t>vient rituelle. La ministre à la privatisation participe à ce rite : « In those cases where we believe the market place is better suited to m</w:t>
      </w:r>
      <w:r w:rsidRPr="0089025F">
        <w:t>a</w:t>
      </w:r>
      <w:r w:rsidRPr="0089025F">
        <w:t>nage the enterprise... we are turning business back to business —where it belongs. »</w:t>
      </w:r>
      <w:r>
        <w:t> </w:t>
      </w:r>
      <w:r>
        <w:rPr>
          <w:rStyle w:val="Appelnotedebasdep"/>
        </w:rPr>
        <w:footnoteReference w:id="42"/>
      </w:r>
      <w:r w:rsidRPr="0089025F">
        <w:t xml:space="preserve"> Par ce discours néolibéral, les critères de pe</w:t>
      </w:r>
      <w:r w:rsidRPr="0089025F">
        <w:t>r</w:t>
      </w:r>
      <w:r w:rsidRPr="0089025F">
        <w:t>formance non commerciaux chers aux socio- démocrates se trouvent d</w:t>
      </w:r>
      <w:r w:rsidRPr="0089025F">
        <w:t>é</w:t>
      </w:r>
      <w:r w:rsidRPr="0089025F">
        <w:t>valorisés</w:t>
      </w:r>
      <w:r>
        <w:t xml:space="preserve"> </w:t>
      </w:r>
      <w:r w:rsidRPr="0089025F">
        <w:t>[170]</w:t>
      </w:r>
      <w:r>
        <w:t xml:space="preserve"> </w:t>
      </w:r>
      <w:r w:rsidRPr="0089025F">
        <w:t>alors que le dos est tourné à la mission nationaliste traditionnelle que devraient remplir certaines sociétés d’État. Un autre impératif prime. Selon le ministre des Finances, à qui nous laissons le mot de la fin, « l’objectif essentiel » du programme du renouveau économique du gouvernement conservateur serait « d’améliorer la compétitivité inte</w:t>
      </w:r>
      <w:r w:rsidRPr="0089025F">
        <w:t>r</w:t>
      </w:r>
      <w:r w:rsidRPr="0089025F">
        <w:t>nationale du Canada. »</w:t>
      </w:r>
      <w:r>
        <w:t> </w:t>
      </w:r>
      <w:r>
        <w:rPr>
          <w:rStyle w:val="Appelnotedebasdep"/>
        </w:rPr>
        <w:footnoteReference w:id="43"/>
      </w:r>
    </w:p>
    <w:p w14:paraId="5A8C0765" w14:textId="77777777" w:rsidR="000A271D" w:rsidRDefault="000A271D" w:rsidP="000A271D">
      <w:pPr>
        <w:spacing w:before="120" w:after="120"/>
        <w:jc w:val="both"/>
      </w:pPr>
      <w:r>
        <w:br w:type="page"/>
      </w:r>
    </w:p>
    <w:p w14:paraId="4904952B" w14:textId="77777777" w:rsidR="000A271D" w:rsidRDefault="000A271D" w:rsidP="000A271D">
      <w:pPr>
        <w:jc w:val="both"/>
      </w:pPr>
      <w:r w:rsidRPr="003F76B5">
        <w:rPr>
          <w:b/>
          <w:color w:val="FF0000"/>
        </w:rPr>
        <w:t>NOTES</w:t>
      </w:r>
    </w:p>
    <w:p w14:paraId="4FDB668A" w14:textId="77777777" w:rsidR="000A271D" w:rsidRDefault="000A271D" w:rsidP="000A271D">
      <w:pPr>
        <w:jc w:val="both"/>
      </w:pPr>
    </w:p>
    <w:p w14:paraId="2EF9A6C2" w14:textId="77777777" w:rsidR="000A271D" w:rsidRPr="00E07116" w:rsidRDefault="000A271D" w:rsidP="000A271D">
      <w:pPr>
        <w:jc w:val="both"/>
      </w:pPr>
      <w:r>
        <w:t>Pour faciliter la consultation des notes en fin de textes, nous les avons toutes converties, dans cette édition numérique des Classiques des sciences sociales, en notes de bas de page. JMT.</w:t>
      </w:r>
    </w:p>
    <w:p w14:paraId="3A7F2629" w14:textId="77777777" w:rsidR="000A271D" w:rsidRPr="0089025F" w:rsidRDefault="000A271D" w:rsidP="000A271D">
      <w:pPr>
        <w:spacing w:before="120" w:after="120"/>
        <w:jc w:val="both"/>
      </w:pPr>
    </w:p>
    <w:p w14:paraId="3AE7C9E3" w14:textId="77777777" w:rsidR="000A271D" w:rsidRPr="0089025F" w:rsidRDefault="000A271D" w:rsidP="000A271D">
      <w:pPr>
        <w:spacing w:before="120" w:after="120"/>
        <w:ind w:firstLine="0"/>
        <w:jc w:val="both"/>
      </w:pPr>
      <w:r w:rsidRPr="0089025F">
        <w:t>[171]</w:t>
      </w:r>
    </w:p>
    <w:p w14:paraId="6938DEE2" w14:textId="77777777" w:rsidR="000A271D" w:rsidRPr="0089025F" w:rsidRDefault="000A271D" w:rsidP="000A271D">
      <w:pPr>
        <w:spacing w:before="120" w:after="120"/>
        <w:ind w:firstLine="0"/>
        <w:jc w:val="both"/>
      </w:pPr>
      <w:r w:rsidRPr="0089025F">
        <w:t>[172]</w:t>
      </w:r>
    </w:p>
    <w:p w14:paraId="45CB60A3" w14:textId="77777777" w:rsidR="000A271D" w:rsidRPr="0089025F" w:rsidRDefault="000A271D" w:rsidP="000A271D">
      <w:pPr>
        <w:pStyle w:val="p"/>
      </w:pPr>
    </w:p>
    <w:sectPr w:rsidR="000A271D" w:rsidRPr="0089025F" w:rsidSect="000A271D">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31BD" w14:textId="77777777" w:rsidR="00832239" w:rsidRDefault="00832239">
      <w:r>
        <w:separator/>
      </w:r>
    </w:p>
  </w:endnote>
  <w:endnote w:type="continuationSeparator" w:id="0">
    <w:p w14:paraId="0E65042D" w14:textId="77777777" w:rsidR="00832239" w:rsidRDefault="0083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915C" w14:textId="77777777" w:rsidR="00832239" w:rsidRDefault="00832239">
      <w:pPr>
        <w:ind w:firstLine="0"/>
      </w:pPr>
      <w:r>
        <w:separator/>
      </w:r>
    </w:p>
  </w:footnote>
  <w:footnote w:type="continuationSeparator" w:id="0">
    <w:p w14:paraId="585B3578" w14:textId="77777777" w:rsidR="00832239" w:rsidRDefault="00832239">
      <w:pPr>
        <w:ind w:firstLine="0"/>
      </w:pPr>
      <w:r>
        <w:separator/>
      </w:r>
    </w:p>
  </w:footnote>
  <w:footnote w:id="1">
    <w:p w14:paraId="53CAF4F6" w14:textId="77777777" w:rsidR="000A271D" w:rsidRDefault="000A271D">
      <w:pPr>
        <w:pStyle w:val="Notedebasdepage"/>
      </w:pPr>
      <w:r>
        <w:rPr>
          <w:rStyle w:val="Appelnotedebasdep"/>
        </w:rPr>
        <w:footnoteRef/>
      </w:r>
      <w:r>
        <w:t xml:space="preserve"> </w:t>
      </w:r>
      <w:r>
        <w:tab/>
      </w:r>
      <w:r w:rsidRPr="0089025F">
        <w:t xml:space="preserve">Canada, Ministère des Finances, </w:t>
      </w:r>
      <w:r w:rsidRPr="0089025F">
        <w:rPr>
          <w:i/>
        </w:rPr>
        <w:t>Discours sur le budget</w:t>
      </w:r>
      <w:r w:rsidRPr="0089025F">
        <w:t>, (23 mai 1985), p. 11.</w:t>
      </w:r>
    </w:p>
  </w:footnote>
  <w:footnote w:id="2">
    <w:p w14:paraId="2C245417" w14:textId="77777777" w:rsidR="000A271D" w:rsidRDefault="000A271D">
      <w:pPr>
        <w:pStyle w:val="Notedebasdepage"/>
      </w:pPr>
      <w:r>
        <w:rPr>
          <w:rStyle w:val="Appelnotedebasdep"/>
        </w:rPr>
        <w:footnoteRef/>
      </w:r>
      <w:r>
        <w:t xml:space="preserve"> </w:t>
      </w:r>
      <w:r>
        <w:tab/>
      </w:r>
      <w:r w:rsidRPr="0089025F">
        <w:rPr>
          <w:i/>
        </w:rPr>
        <w:t>Ibid</w:t>
      </w:r>
      <w:r w:rsidRPr="0089025F">
        <w:t>., p. 3.</w:t>
      </w:r>
    </w:p>
  </w:footnote>
  <w:footnote w:id="3">
    <w:p w14:paraId="08BABE37" w14:textId="77777777" w:rsidR="000A271D" w:rsidRDefault="000A271D">
      <w:pPr>
        <w:pStyle w:val="Notedebasdepage"/>
      </w:pPr>
      <w:r>
        <w:rPr>
          <w:rStyle w:val="Appelnotedebasdep"/>
        </w:rPr>
        <w:footnoteRef/>
      </w:r>
      <w:r>
        <w:t xml:space="preserve"> </w:t>
      </w:r>
      <w:r>
        <w:tab/>
      </w:r>
      <w:r w:rsidRPr="0089025F">
        <w:t xml:space="preserve">Gouvernement du Québec, Ministère des Finances, </w:t>
      </w:r>
      <w:r w:rsidRPr="0089025F">
        <w:rPr>
          <w:i/>
        </w:rPr>
        <w:t>De la Révolution tra</w:t>
      </w:r>
      <w:r w:rsidRPr="0089025F">
        <w:rPr>
          <w:i/>
        </w:rPr>
        <w:t>n</w:t>
      </w:r>
      <w:r w:rsidRPr="0089025F">
        <w:rPr>
          <w:i/>
        </w:rPr>
        <w:t>quille... à l'an deux mille</w:t>
      </w:r>
      <w:r w:rsidRPr="0089025F">
        <w:t>, Rapport du Comité sur la privatisation des soci</w:t>
      </w:r>
      <w:r w:rsidRPr="0089025F">
        <w:t>é</w:t>
      </w:r>
      <w:r w:rsidRPr="0089025F">
        <w:t>tés d’État, présenté à M. Pierre Fortier, Ministre dél</w:t>
      </w:r>
      <w:r w:rsidRPr="0089025F">
        <w:t>é</w:t>
      </w:r>
      <w:r w:rsidRPr="0089025F">
        <w:t>gué à la privatisation (juin 1986).</w:t>
      </w:r>
    </w:p>
  </w:footnote>
  <w:footnote w:id="4">
    <w:p w14:paraId="7F1FFEDF" w14:textId="77777777" w:rsidR="000A271D" w:rsidRDefault="000A271D">
      <w:pPr>
        <w:pStyle w:val="Notedebasdepage"/>
      </w:pPr>
      <w:r>
        <w:rPr>
          <w:rStyle w:val="Appelnotedebasdep"/>
        </w:rPr>
        <w:footnoteRef/>
      </w:r>
      <w:r>
        <w:t xml:space="preserve"> </w:t>
      </w:r>
      <w:r>
        <w:tab/>
      </w:r>
      <w:r w:rsidRPr="0089025F">
        <w:t>On trouve de bons résumés des divers programmes de privatisation eur</w:t>
      </w:r>
      <w:r w:rsidRPr="0089025F">
        <w:t>o</w:t>
      </w:r>
      <w:r w:rsidRPr="0089025F">
        <w:t xml:space="preserve">péens et japonais dans A. Barbe et al.. </w:t>
      </w:r>
      <w:r w:rsidRPr="0089025F">
        <w:rPr>
          <w:i/>
        </w:rPr>
        <w:t>Dénationalisations</w:t>
      </w:r>
      <w:r w:rsidRPr="0089025F">
        <w:t xml:space="preserve"> (Paris : Econom</w:t>
      </w:r>
      <w:r w:rsidRPr="0089025F">
        <w:t>i</w:t>
      </w:r>
      <w:r w:rsidRPr="0089025F">
        <w:t>ca, 1986) et « Privatization of Public Enterprise, a European Debate », n</w:t>
      </w:r>
      <w:r w:rsidRPr="0089025F">
        <w:t>u</w:t>
      </w:r>
      <w:r w:rsidRPr="0089025F">
        <w:t xml:space="preserve">méro spécial des </w:t>
      </w:r>
      <w:r w:rsidRPr="0089025F">
        <w:rPr>
          <w:i/>
        </w:rPr>
        <w:t>Annals of Public and Coop</w:t>
      </w:r>
      <w:r w:rsidRPr="0089025F">
        <w:rPr>
          <w:i/>
        </w:rPr>
        <w:t>e</w:t>
      </w:r>
      <w:r w:rsidRPr="0089025F">
        <w:rPr>
          <w:i/>
        </w:rPr>
        <w:t>rative Economy</w:t>
      </w:r>
      <w:r w:rsidRPr="0089025F">
        <w:t>, vol. 57, n° 2, (avril-juin 1986).</w:t>
      </w:r>
    </w:p>
  </w:footnote>
  <w:footnote w:id="5">
    <w:p w14:paraId="0981A860" w14:textId="77777777" w:rsidR="000A271D" w:rsidRDefault="000A271D">
      <w:pPr>
        <w:pStyle w:val="Notedebasdepage"/>
      </w:pPr>
      <w:r>
        <w:rPr>
          <w:rStyle w:val="Appelnotedebasdep"/>
        </w:rPr>
        <w:footnoteRef/>
      </w:r>
      <w:r>
        <w:t xml:space="preserve"> </w:t>
      </w:r>
      <w:r>
        <w:tab/>
      </w:r>
      <w:r w:rsidRPr="0089025F">
        <w:t>Jeanne Kirk Laux, « Virages du capitalisme d’État au Canada », dans Néo-</w:t>
      </w:r>
      <w:r w:rsidRPr="0089025F">
        <w:rPr>
          <w:i/>
        </w:rPr>
        <w:t>Conservatisme et restructuration de l'État</w:t>
      </w:r>
      <w:r w:rsidRPr="0089025F">
        <w:t xml:space="preserve"> (Montréal : Pre</w:t>
      </w:r>
      <w:r w:rsidRPr="0089025F">
        <w:t>s</w:t>
      </w:r>
      <w:r w:rsidRPr="0089025F">
        <w:t>ses de l’Université du Québec, 1986), sous la direction de Lizette Ja</w:t>
      </w:r>
      <w:r w:rsidRPr="0089025F">
        <w:t>l</w:t>
      </w:r>
      <w:r w:rsidRPr="0089025F">
        <w:t>bert et Laurent Lepage, p. 161-181.</w:t>
      </w:r>
    </w:p>
  </w:footnote>
  <w:footnote w:id="6">
    <w:p w14:paraId="4E252BFD" w14:textId="77777777" w:rsidR="000A271D" w:rsidRDefault="000A271D">
      <w:pPr>
        <w:pStyle w:val="Notedebasdepage"/>
      </w:pPr>
      <w:r>
        <w:rPr>
          <w:rStyle w:val="Appelnotedebasdep"/>
        </w:rPr>
        <w:footnoteRef/>
      </w:r>
      <w:r>
        <w:t xml:space="preserve"> </w:t>
      </w:r>
      <w:r>
        <w:tab/>
      </w:r>
      <w:r w:rsidRPr="0089025F">
        <w:t xml:space="preserve">Voir l’article de Mike Williams dans ce même numéro. Notre analyse de la privatisation anglaise se trouve dans « La privatisation : quel avenir pour les sociétés d’État ? » </w:t>
      </w:r>
      <w:r w:rsidRPr="0089025F">
        <w:rPr>
          <w:i/>
        </w:rPr>
        <w:t>Perspectives internationales</w:t>
      </w:r>
      <w:r w:rsidRPr="0089025F">
        <w:t>, n° 2, (1986), p. 3-12.</w:t>
      </w:r>
    </w:p>
  </w:footnote>
  <w:footnote w:id="7">
    <w:p w14:paraId="03155CD5" w14:textId="77777777" w:rsidR="000A271D" w:rsidRDefault="000A271D">
      <w:pPr>
        <w:pStyle w:val="Notedebasdepage"/>
      </w:pPr>
      <w:r>
        <w:rPr>
          <w:rStyle w:val="Appelnotedebasdep"/>
        </w:rPr>
        <w:footnoteRef/>
      </w:r>
      <w:r>
        <w:t xml:space="preserve"> </w:t>
      </w:r>
      <w:r>
        <w:tab/>
      </w:r>
      <w:r w:rsidRPr="0089025F">
        <w:t>L’extension du secteur public industriel par voie des filiales est d</w:t>
      </w:r>
      <w:r w:rsidRPr="0089025F">
        <w:t>o</w:t>
      </w:r>
      <w:r w:rsidRPr="0089025F">
        <w:t xml:space="preserve">cumentée par Lucien Rapp, </w:t>
      </w:r>
      <w:r w:rsidRPr="0089025F">
        <w:rPr>
          <w:i/>
        </w:rPr>
        <w:t>Les Filiales des entreprises publiques</w:t>
      </w:r>
      <w:r w:rsidRPr="0089025F">
        <w:t xml:space="preserve"> (P</w:t>
      </w:r>
      <w:r w:rsidRPr="0089025F">
        <w:t>a</w:t>
      </w:r>
      <w:r w:rsidRPr="0089025F">
        <w:t>ris : Librairie générale de droit et de jurisprudence, 1983).</w:t>
      </w:r>
    </w:p>
  </w:footnote>
  <w:footnote w:id="8">
    <w:p w14:paraId="65971BA3" w14:textId="77777777" w:rsidR="000A271D" w:rsidRDefault="000A271D">
      <w:pPr>
        <w:pStyle w:val="Notedebasdepage"/>
      </w:pPr>
      <w:r>
        <w:rPr>
          <w:rStyle w:val="Appelnotedebasdep"/>
        </w:rPr>
        <w:footnoteRef/>
      </w:r>
      <w:r>
        <w:t xml:space="preserve"> </w:t>
      </w:r>
      <w:r>
        <w:tab/>
      </w:r>
      <w:r w:rsidRPr="0089025F">
        <w:t>Stuart Holland, « Europe’s New Public Enterprises », in Ra</w:t>
      </w:r>
      <w:r w:rsidRPr="0089025F">
        <w:t>y</w:t>
      </w:r>
      <w:r w:rsidRPr="0089025F">
        <w:t xml:space="preserve">mond Vernon, ed., Big </w:t>
      </w:r>
      <w:r w:rsidRPr="0089025F">
        <w:rPr>
          <w:i/>
        </w:rPr>
        <w:t>Business and the State</w:t>
      </w:r>
      <w:r w:rsidRPr="0089025F">
        <w:t xml:space="preserve"> (Cambridge, Mass : Harvard University Press, 1974), p. 25-42.</w:t>
      </w:r>
    </w:p>
  </w:footnote>
  <w:footnote w:id="9">
    <w:p w14:paraId="710C2843" w14:textId="77777777" w:rsidR="000A271D" w:rsidRDefault="000A271D">
      <w:pPr>
        <w:pStyle w:val="Notedebasdepage"/>
      </w:pPr>
      <w:r>
        <w:rPr>
          <w:rStyle w:val="Appelnotedebasdep"/>
        </w:rPr>
        <w:footnoteRef/>
      </w:r>
      <w:r>
        <w:t xml:space="preserve"> </w:t>
      </w:r>
      <w:r>
        <w:tab/>
      </w:r>
      <w:r w:rsidRPr="0089025F">
        <w:t>Pensons à Rolls Royce ou British Leyland en Angleterre ; la création d’Aérospatiale et la prise de participation dans Dassault en France ; la fo</w:t>
      </w:r>
      <w:r w:rsidRPr="0089025F">
        <w:t>r</w:t>
      </w:r>
      <w:r w:rsidRPr="0089025F">
        <w:t>mation du holding Statsforetag en Suède ; ou l’impressionnante extension par filialisations de VEBA en Allemagne.</w:t>
      </w:r>
    </w:p>
  </w:footnote>
  <w:footnote w:id="10">
    <w:p w14:paraId="7A718055" w14:textId="77777777" w:rsidR="000A271D" w:rsidRDefault="000A271D">
      <w:pPr>
        <w:pStyle w:val="Notedebasdepage"/>
      </w:pPr>
      <w:r>
        <w:rPr>
          <w:rStyle w:val="Appelnotedebasdep"/>
        </w:rPr>
        <w:footnoteRef/>
      </w:r>
      <w:r>
        <w:t xml:space="preserve"> </w:t>
      </w:r>
      <w:r>
        <w:tab/>
      </w:r>
      <w:r w:rsidRPr="0089025F">
        <w:t>Voir l’élaboration du concept « d’État concurrentiel » par François Houle dans ce même numéro.</w:t>
      </w:r>
    </w:p>
  </w:footnote>
  <w:footnote w:id="11">
    <w:p w14:paraId="6F552F97" w14:textId="77777777" w:rsidR="000A271D" w:rsidRDefault="000A271D">
      <w:pPr>
        <w:pStyle w:val="Notedebasdepage"/>
      </w:pPr>
      <w:r>
        <w:rPr>
          <w:rStyle w:val="Appelnotedebasdep"/>
        </w:rPr>
        <w:footnoteRef/>
      </w:r>
      <w:r>
        <w:t xml:space="preserve"> </w:t>
      </w:r>
      <w:r>
        <w:tab/>
      </w:r>
      <w:r w:rsidRPr="0089025F">
        <w:t xml:space="preserve">John W. Langford and Kenneth J. Huffman, « The Uncharted Universe of Federal Public Corporations », in J.R.S. Prichard, ed., </w:t>
      </w:r>
      <w:r w:rsidRPr="0089025F">
        <w:rPr>
          <w:i/>
        </w:rPr>
        <w:t>Crown Corporations in Canada</w:t>
      </w:r>
      <w:r w:rsidRPr="0089025F">
        <w:t xml:space="preserve"> (Toronto : Butterworth, 1983), p. 274. Pour les thèses sur l’interventionnisme de l’État fédéral on consultera les ouvrages de Alexa</w:t>
      </w:r>
      <w:r w:rsidRPr="0089025F">
        <w:t>n</w:t>
      </w:r>
      <w:r w:rsidRPr="0089025F">
        <w:t>der Brady, Hugh Aitken, James Corry et Hershel Hardin.</w:t>
      </w:r>
    </w:p>
  </w:footnote>
  <w:footnote w:id="12">
    <w:p w14:paraId="320FB7A8" w14:textId="77777777" w:rsidR="000A271D" w:rsidRDefault="000A271D">
      <w:pPr>
        <w:pStyle w:val="Notedebasdepage"/>
      </w:pPr>
      <w:r>
        <w:rPr>
          <w:rStyle w:val="Appelnotedebasdep"/>
        </w:rPr>
        <w:footnoteRef/>
      </w:r>
      <w:r>
        <w:t xml:space="preserve"> </w:t>
      </w:r>
      <w:r>
        <w:tab/>
      </w:r>
      <w:r w:rsidRPr="0089025F">
        <w:t>Gouvernement du Canada, Bureau du Premier Ministre, « Policy Stat</w:t>
      </w:r>
      <w:r w:rsidRPr="0089025F">
        <w:t>e</w:t>
      </w:r>
      <w:r w:rsidRPr="0089025F">
        <w:t>ment » (28 juin 1982), p. 1. Notre traduction.</w:t>
      </w:r>
    </w:p>
  </w:footnote>
  <w:footnote w:id="13">
    <w:p w14:paraId="20056EFE" w14:textId="77777777" w:rsidR="000A271D" w:rsidRDefault="000A271D">
      <w:pPr>
        <w:pStyle w:val="Notedebasdepage"/>
      </w:pPr>
      <w:r>
        <w:rPr>
          <w:rStyle w:val="Appelnotedebasdep"/>
        </w:rPr>
        <w:footnoteRef/>
      </w:r>
      <w:r>
        <w:t xml:space="preserve"> </w:t>
      </w:r>
      <w:r>
        <w:tab/>
      </w:r>
      <w:r w:rsidRPr="0089025F">
        <w:t xml:space="preserve">La liste est publiée à chaque année dans le volume III des </w:t>
      </w:r>
      <w:r w:rsidRPr="0089025F">
        <w:rPr>
          <w:i/>
        </w:rPr>
        <w:t>Comptes publics</w:t>
      </w:r>
      <w:r w:rsidRPr="0089025F">
        <w:t xml:space="preserve"> du gouvernement du Canada — Président du Conseil du Trésor, </w:t>
      </w:r>
      <w:r w:rsidRPr="0089025F">
        <w:rPr>
          <w:i/>
        </w:rPr>
        <w:t>Rapport annuel au Parlement sur les sociétés de la Co</w:t>
      </w:r>
      <w:r w:rsidRPr="0089025F">
        <w:rPr>
          <w:i/>
        </w:rPr>
        <w:t>u</w:t>
      </w:r>
      <w:r w:rsidRPr="0089025F">
        <w:rPr>
          <w:i/>
        </w:rPr>
        <w:t>ronne et autres sociétés en coparticipation avec le gouvernement c</w:t>
      </w:r>
      <w:r w:rsidRPr="0089025F">
        <w:rPr>
          <w:i/>
        </w:rPr>
        <w:t>a</w:t>
      </w:r>
      <w:r w:rsidRPr="0089025F">
        <w:rPr>
          <w:i/>
        </w:rPr>
        <w:t>nadien</w:t>
      </w:r>
      <w:r w:rsidRPr="0089025F">
        <w:t>, 1985 (Ottawa : Ministre des approvisionnements et services, 1985).</w:t>
      </w:r>
    </w:p>
  </w:footnote>
  <w:footnote w:id="14">
    <w:p w14:paraId="0B7FBA47" w14:textId="77777777" w:rsidR="000A271D" w:rsidRDefault="000A271D">
      <w:pPr>
        <w:pStyle w:val="Notedebasdepage"/>
      </w:pPr>
      <w:r>
        <w:rPr>
          <w:rStyle w:val="Appelnotedebasdep"/>
        </w:rPr>
        <w:footnoteRef/>
      </w:r>
      <w:r>
        <w:t xml:space="preserve"> </w:t>
      </w:r>
      <w:r>
        <w:tab/>
      </w:r>
      <w:r w:rsidRPr="0089025F">
        <w:t>Office of the Minister of State (Privatization), « Speaking Notes for the H</w:t>
      </w:r>
      <w:r w:rsidRPr="0089025F">
        <w:t>o</w:t>
      </w:r>
      <w:r w:rsidRPr="0089025F">
        <w:t>nourable Barbara McDougall to the Canadian Cha</w:t>
      </w:r>
      <w:r w:rsidRPr="0089025F">
        <w:t>m</w:t>
      </w:r>
      <w:r w:rsidRPr="0089025F">
        <w:t>ber of Commerce », Vancouver, 16 septembre 1986, p. 5 ; et Paul E. Ma</w:t>
      </w:r>
      <w:r w:rsidRPr="0089025F">
        <w:t>r</w:t>
      </w:r>
      <w:r w:rsidRPr="0089025F">
        <w:t>tin, President and Chief Executive Officer, the CSL Group Inc., « Random Remarks on Crown Co</w:t>
      </w:r>
      <w:r w:rsidRPr="0089025F">
        <w:t>r</w:t>
      </w:r>
      <w:r w:rsidRPr="0089025F">
        <w:t>porations », Address to the Canadian Highway Transport L</w:t>
      </w:r>
      <w:r w:rsidRPr="0089025F">
        <w:t>a</w:t>
      </w:r>
      <w:r w:rsidRPr="0089025F">
        <w:t>wyers’Association Annual Convention, Montréal, 2 décembre 1983, p. 13.</w:t>
      </w:r>
    </w:p>
  </w:footnote>
  <w:footnote w:id="15">
    <w:p w14:paraId="3E19EB84" w14:textId="77777777" w:rsidR="000A271D" w:rsidRDefault="000A271D">
      <w:pPr>
        <w:pStyle w:val="Notedebasdepage"/>
      </w:pPr>
      <w:r>
        <w:rPr>
          <w:rStyle w:val="Appelnotedebasdep"/>
        </w:rPr>
        <w:footnoteRef/>
      </w:r>
      <w:r>
        <w:t xml:space="preserve"> </w:t>
      </w:r>
      <w:r>
        <w:tab/>
      </w:r>
      <w:r w:rsidRPr="0089025F">
        <w:t>« Neoconservatism : some elderly political theories, attractiv</w:t>
      </w:r>
      <w:r w:rsidRPr="0089025F">
        <w:t>e</w:t>
      </w:r>
      <w:r w:rsidRPr="0089025F">
        <w:t xml:space="preserve">ly spruced up », </w:t>
      </w:r>
      <w:r w:rsidRPr="0089025F">
        <w:rPr>
          <w:i/>
        </w:rPr>
        <w:t>Globe and Mail</w:t>
      </w:r>
      <w:r w:rsidRPr="0089025F">
        <w:t>, 27 août 1979, p. 1.</w:t>
      </w:r>
    </w:p>
  </w:footnote>
  <w:footnote w:id="16">
    <w:p w14:paraId="036D09DD" w14:textId="77777777" w:rsidR="000A271D" w:rsidRDefault="000A271D">
      <w:pPr>
        <w:pStyle w:val="Notedebasdepage"/>
      </w:pPr>
      <w:r>
        <w:rPr>
          <w:rStyle w:val="Appelnotedebasdep"/>
        </w:rPr>
        <w:footnoteRef/>
      </w:r>
      <w:r>
        <w:t xml:space="preserve"> </w:t>
      </w:r>
      <w:r>
        <w:tab/>
      </w:r>
      <w:r w:rsidRPr="0089025F">
        <w:t xml:space="preserve">Cité dans « Crown firms for sale : Tories draw up list », </w:t>
      </w:r>
      <w:r w:rsidRPr="0089025F">
        <w:rPr>
          <w:i/>
        </w:rPr>
        <w:t>Toro</w:t>
      </w:r>
      <w:r w:rsidRPr="0089025F">
        <w:rPr>
          <w:i/>
        </w:rPr>
        <w:t>n</w:t>
      </w:r>
      <w:r w:rsidRPr="0089025F">
        <w:rPr>
          <w:i/>
        </w:rPr>
        <w:t>to Sunday Star</w:t>
      </w:r>
      <w:r w:rsidRPr="0089025F">
        <w:t>, 12 août 1979, p. A10.</w:t>
      </w:r>
    </w:p>
  </w:footnote>
  <w:footnote w:id="17">
    <w:p w14:paraId="09200DC6" w14:textId="77777777" w:rsidR="000A271D" w:rsidRDefault="000A271D">
      <w:pPr>
        <w:pStyle w:val="Notedebasdepage"/>
      </w:pPr>
      <w:r>
        <w:rPr>
          <w:rStyle w:val="Appelnotedebasdep"/>
        </w:rPr>
        <w:footnoteRef/>
      </w:r>
      <w:r>
        <w:t xml:space="preserve"> </w:t>
      </w:r>
      <w:r>
        <w:tab/>
      </w:r>
      <w:r w:rsidRPr="0089025F">
        <w:t xml:space="preserve">« Clark Will Sell Petro-Canada », </w:t>
      </w:r>
      <w:r w:rsidRPr="0089025F">
        <w:rPr>
          <w:i/>
        </w:rPr>
        <w:t>Canadian News Facts</w:t>
      </w:r>
      <w:r w:rsidRPr="0089025F">
        <w:t xml:space="preserve"> (1979), p. 2183-84 ; « Group to Study Petrocan Sale », </w:t>
      </w:r>
      <w:r w:rsidRPr="0089025F">
        <w:rPr>
          <w:i/>
        </w:rPr>
        <w:t>Ibid</w:t>
      </w:r>
      <w:r w:rsidRPr="0089025F">
        <w:t>., p. 2189 ; « Petrocan Share G</w:t>
      </w:r>
      <w:r w:rsidRPr="0089025F">
        <w:t>i</w:t>
      </w:r>
      <w:r w:rsidRPr="0089025F">
        <w:t xml:space="preserve">veaway Proposed », </w:t>
      </w:r>
      <w:r w:rsidRPr="0089025F">
        <w:rPr>
          <w:i/>
        </w:rPr>
        <w:t>Globe and Mail</w:t>
      </w:r>
      <w:r w:rsidRPr="0089025F">
        <w:t>, October 19, 1979, p. 1. Larry Pratt s</w:t>
      </w:r>
      <w:r w:rsidRPr="0089025F">
        <w:t>i</w:t>
      </w:r>
      <w:r w:rsidRPr="0089025F">
        <w:t xml:space="preserve">tue cette politique dans « Petro-Canada », in Allan Tupper et G. Bruce Doern, </w:t>
      </w:r>
      <w:r w:rsidRPr="0089025F">
        <w:rPr>
          <w:i/>
        </w:rPr>
        <w:t>Public Corporations and Public P</w:t>
      </w:r>
      <w:r w:rsidRPr="0089025F">
        <w:rPr>
          <w:i/>
        </w:rPr>
        <w:t>o</w:t>
      </w:r>
      <w:r w:rsidRPr="0089025F">
        <w:rPr>
          <w:i/>
        </w:rPr>
        <w:t>licy in Canada</w:t>
      </w:r>
      <w:r w:rsidRPr="0089025F">
        <w:t xml:space="preserve"> (Montréal : IRPP, 1981), p. 138-141.</w:t>
      </w:r>
    </w:p>
  </w:footnote>
  <w:footnote w:id="18">
    <w:p w14:paraId="2DBD1808" w14:textId="77777777" w:rsidR="000A271D" w:rsidRDefault="000A271D">
      <w:pPr>
        <w:pStyle w:val="Notedebasdepage"/>
      </w:pPr>
      <w:r>
        <w:rPr>
          <w:rStyle w:val="Appelnotedebasdep"/>
        </w:rPr>
        <w:footnoteRef/>
      </w:r>
      <w:r>
        <w:t xml:space="preserve"> </w:t>
      </w:r>
      <w:r>
        <w:tab/>
      </w:r>
      <w:r w:rsidRPr="0089025F">
        <w:t>Maurice F. Strong, « Government Private Sector Relations in Canada—the federal government as investor in business », James Gi</w:t>
      </w:r>
      <w:r w:rsidRPr="0089025F">
        <w:t>l</w:t>
      </w:r>
      <w:r w:rsidRPr="0089025F">
        <w:t>lies Alumni Lecture, York University, Toronto, 23 mars 1983, p. 6. Strong s’est laissé prendre par le vent conservateur en automne 1984 quand il s’est déclaré persuadé, d’après son expérience avec la CDIC et Petro-Canada que les sociétés d’État industrielles « should be the exception rather than the rule for Canada... the principal emphasis now should be on divestment and privatization. » Strong, « The N</w:t>
      </w:r>
      <w:r w:rsidRPr="0089025F">
        <w:t>e</w:t>
      </w:r>
      <w:r w:rsidRPr="0089025F">
        <w:t xml:space="preserve">cessary Private-Public Mix », </w:t>
      </w:r>
      <w:r w:rsidRPr="0089025F">
        <w:rPr>
          <w:i/>
        </w:rPr>
        <w:t>Options politiques</w:t>
      </w:r>
      <w:r w:rsidRPr="0089025F">
        <w:t xml:space="preserve"> (novembre 1984), p. 9, version anglaise.</w:t>
      </w:r>
    </w:p>
  </w:footnote>
  <w:footnote w:id="19">
    <w:p w14:paraId="4A4FC019" w14:textId="77777777" w:rsidR="000A271D" w:rsidRDefault="000A271D">
      <w:pPr>
        <w:pStyle w:val="Notedebasdepage"/>
      </w:pPr>
      <w:r>
        <w:rPr>
          <w:rStyle w:val="Appelnotedebasdep"/>
        </w:rPr>
        <w:footnoteRef/>
      </w:r>
      <w:r>
        <w:t xml:space="preserve"> </w:t>
      </w:r>
      <w:r>
        <w:tab/>
      </w:r>
      <w:r w:rsidRPr="0089025F">
        <w:t xml:space="preserve">CDIC, </w:t>
      </w:r>
      <w:r w:rsidRPr="0089025F">
        <w:rPr>
          <w:i/>
        </w:rPr>
        <w:t>Rapport annuel</w:t>
      </w:r>
      <w:r w:rsidRPr="0089025F">
        <w:t xml:space="preserve"> 1983 ; Canada, Ministre d’État, « Déclaration du Sénateur Jack Austin », Conférence de presse, Corporation de développ</w:t>
      </w:r>
      <w:r w:rsidRPr="0089025F">
        <w:t>e</w:t>
      </w:r>
      <w:r w:rsidRPr="0089025F">
        <w:t>ment des investissements du Canada, le 20 mars 1984, p. 2.</w:t>
      </w:r>
    </w:p>
  </w:footnote>
  <w:footnote w:id="20">
    <w:p w14:paraId="70896D13" w14:textId="77777777" w:rsidR="000A271D" w:rsidRDefault="000A271D">
      <w:pPr>
        <w:pStyle w:val="Notedebasdepage"/>
      </w:pPr>
      <w:r>
        <w:rPr>
          <w:rStyle w:val="Appelnotedebasdep"/>
        </w:rPr>
        <w:footnoteRef/>
      </w:r>
      <w:r>
        <w:t xml:space="preserve"> </w:t>
      </w:r>
      <w:r>
        <w:tab/>
      </w:r>
      <w:r w:rsidRPr="002B630A">
        <w:rPr>
          <w:i/>
        </w:rPr>
        <w:t>Idem</w:t>
      </w:r>
      <w:r>
        <w:t>.</w:t>
      </w:r>
    </w:p>
  </w:footnote>
  <w:footnote w:id="21">
    <w:p w14:paraId="632A649E" w14:textId="77777777" w:rsidR="000A271D" w:rsidRDefault="000A271D">
      <w:pPr>
        <w:pStyle w:val="Notedebasdepage"/>
      </w:pPr>
      <w:r>
        <w:rPr>
          <w:rStyle w:val="Appelnotedebasdep"/>
        </w:rPr>
        <w:footnoteRef/>
      </w:r>
      <w:r>
        <w:t xml:space="preserve"> </w:t>
      </w:r>
      <w:r>
        <w:tab/>
      </w:r>
      <w:r w:rsidRPr="0089025F">
        <w:t xml:space="preserve">« Government approves sale of transport firm », </w:t>
      </w:r>
      <w:r w:rsidRPr="0089025F">
        <w:rPr>
          <w:i/>
        </w:rPr>
        <w:t>Globe and Mail</w:t>
      </w:r>
      <w:r w:rsidRPr="0089025F">
        <w:t>, 3 mars 1984.</w:t>
      </w:r>
    </w:p>
  </w:footnote>
  <w:footnote w:id="22">
    <w:p w14:paraId="6C62DED5" w14:textId="77777777" w:rsidR="000A271D" w:rsidRDefault="000A271D">
      <w:pPr>
        <w:pStyle w:val="Notedebasdepage"/>
      </w:pPr>
      <w:r>
        <w:rPr>
          <w:rStyle w:val="Appelnotedebasdep"/>
        </w:rPr>
        <w:footnoteRef/>
      </w:r>
      <w:r>
        <w:t xml:space="preserve"> </w:t>
      </w:r>
      <w:r>
        <w:tab/>
      </w:r>
      <w:r w:rsidRPr="0089025F">
        <w:t xml:space="preserve">« Rivals criticize Johnston pitch to sell Crown corporation », </w:t>
      </w:r>
      <w:r w:rsidRPr="0089025F">
        <w:rPr>
          <w:i/>
        </w:rPr>
        <w:t>Gl</w:t>
      </w:r>
      <w:r w:rsidRPr="0089025F">
        <w:rPr>
          <w:i/>
        </w:rPr>
        <w:t>o</w:t>
      </w:r>
      <w:r w:rsidRPr="0089025F">
        <w:rPr>
          <w:i/>
        </w:rPr>
        <w:t>be and Mail</w:t>
      </w:r>
      <w:r w:rsidRPr="0089025F">
        <w:t>, 9 avril 1984.</w:t>
      </w:r>
    </w:p>
  </w:footnote>
  <w:footnote w:id="23">
    <w:p w14:paraId="280B7EA0" w14:textId="77777777" w:rsidR="000A271D" w:rsidRDefault="000A271D">
      <w:pPr>
        <w:pStyle w:val="Notedebasdepage"/>
      </w:pPr>
      <w:r>
        <w:rPr>
          <w:rStyle w:val="Appelnotedebasdep"/>
        </w:rPr>
        <w:footnoteRef/>
      </w:r>
      <w:r>
        <w:t xml:space="preserve"> </w:t>
      </w:r>
      <w:r>
        <w:tab/>
      </w:r>
      <w:r w:rsidRPr="0089025F">
        <w:t>« Summary of the Task Force’s Final Report Recommend</w:t>
      </w:r>
      <w:r w:rsidRPr="0089025F">
        <w:t>a</w:t>
      </w:r>
      <w:r w:rsidRPr="0089025F">
        <w:t>tions ».</w:t>
      </w:r>
    </w:p>
  </w:footnote>
  <w:footnote w:id="24">
    <w:p w14:paraId="5C0593AB" w14:textId="77777777" w:rsidR="000A271D" w:rsidRDefault="000A271D">
      <w:pPr>
        <w:pStyle w:val="Notedebasdepage"/>
      </w:pPr>
      <w:r>
        <w:rPr>
          <w:rStyle w:val="Appelnotedebasdep"/>
        </w:rPr>
        <w:footnoteRef/>
      </w:r>
      <w:r>
        <w:t xml:space="preserve"> </w:t>
      </w:r>
      <w:r>
        <w:tab/>
      </w:r>
      <w:r w:rsidRPr="0089025F">
        <w:t>Chambre des Communes du Canada, 2</w:t>
      </w:r>
      <w:r w:rsidRPr="0089025F">
        <w:rPr>
          <w:vertAlign w:val="superscript"/>
        </w:rPr>
        <w:t>e</w:t>
      </w:r>
      <w:r w:rsidRPr="0089025F">
        <w:t xml:space="preserve"> session, 32</w:t>
      </w:r>
      <w:r w:rsidRPr="0089025F">
        <w:rPr>
          <w:vertAlign w:val="superscript"/>
        </w:rPr>
        <w:t>e</w:t>
      </w:r>
      <w:r w:rsidRPr="0089025F">
        <w:t xml:space="preserve"> législature, 1983-8 ?, Loi C-25 concernant la CDC, la CDIC et certaines autres sociétés et corp</w:t>
      </w:r>
      <w:r w:rsidRPr="0089025F">
        <w:t>o</w:t>
      </w:r>
      <w:r w:rsidRPr="0089025F">
        <w:t>rations, S 39. (1). Téléglobe fait exception. Ayant été incorporé par un statut spécial, cette société n’était pas formellement une filiale de la CDIC.</w:t>
      </w:r>
    </w:p>
  </w:footnote>
  <w:footnote w:id="25">
    <w:p w14:paraId="5CFEF544" w14:textId="77777777" w:rsidR="000A271D" w:rsidRDefault="000A271D">
      <w:pPr>
        <w:pStyle w:val="Notedebasdepage"/>
      </w:pPr>
      <w:r>
        <w:rPr>
          <w:rStyle w:val="Appelnotedebasdep"/>
        </w:rPr>
        <w:footnoteRef/>
      </w:r>
      <w:r>
        <w:t xml:space="preserve"> </w:t>
      </w:r>
      <w:r>
        <w:tab/>
      </w:r>
      <w:r w:rsidRPr="0089025F">
        <w:t xml:space="preserve">Président du Conseil du Trésor, </w:t>
      </w:r>
      <w:r w:rsidRPr="0089025F">
        <w:rPr>
          <w:i/>
        </w:rPr>
        <w:t>Rapport annuel</w:t>
      </w:r>
      <w:r w:rsidRPr="0089025F">
        <w:t>, 1983-84, p. iv (traduit de l’anglais).</w:t>
      </w:r>
    </w:p>
  </w:footnote>
  <w:footnote w:id="26">
    <w:p w14:paraId="3C140BFE" w14:textId="77777777" w:rsidR="000A271D" w:rsidRDefault="000A271D">
      <w:pPr>
        <w:pStyle w:val="Notedebasdepage"/>
      </w:pPr>
      <w:r>
        <w:rPr>
          <w:rStyle w:val="Appelnotedebasdep"/>
        </w:rPr>
        <w:footnoteRef/>
      </w:r>
      <w:r>
        <w:t xml:space="preserve"> </w:t>
      </w:r>
      <w:r>
        <w:tab/>
      </w:r>
      <w:r w:rsidRPr="0089025F">
        <w:t>Chambre de Commerce du Canada, « Submission on the Comme</w:t>
      </w:r>
      <w:r w:rsidRPr="0089025F">
        <w:t>r</w:t>
      </w:r>
      <w:r w:rsidRPr="0089025F">
        <w:t>cialization of Crown Corporations » à l’honorable Robert de Cotret, Président du Conseil du Trésor (mai 1985), p. 7 et 34. Il est intéressant de constater que le groupe de travail (de la Chambre) sur les sociétés d’État qui a préparé ce rapport a été mis sur pied à la su</w:t>
      </w:r>
      <w:r w:rsidRPr="0089025F">
        <w:t>g</w:t>
      </w:r>
      <w:r w:rsidRPr="0089025F">
        <w:t>gestion du gouvernement libéral (Bureau du Contrôleur général) en février 1984.</w:t>
      </w:r>
    </w:p>
  </w:footnote>
  <w:footnote w:id="27">
    <w:p w14:paraId="681CE464" w14:textId="77777777" w:rsidR="000A271D" w:rsidRDefault="000A271D">
      <w:pPr>
        <w:pStyle w:val="Notedebasdepage"/>
      </w:pPr>
      <w:r>
        <w:rPr>
          <w:rStyle w:val="Appelnotedebasdep"/>
        </w:rPr>
        <w:footnoteRef/>
      </w:r>
      <w:r>
        <w:t xml:space="preserve"> </w:t>
      </w:r>
      <w:r>
        <w:tab/>
      </w:r>
      <w:r w:rsidRPr="0089025F">
        <w:t>L’inévitable exception à la modalité de vente en bloc des soci</w:t>
      </w:r>
      <w:r w:rsidRPr="0089025F">
        <w:t>é</w:t>
      </w:r>
      <w:r w:rsidRPr="0089025F">
        <w:t>tés était la CDC dont le gouvernement, actionnaire minoritaire, a di</w:t>
      </w:r>
      <w:r w:rsidRPr="0089025F">
        <w:t>s</w:t>
      </w:r>
      <w:r w:rsidRPr="0089025F">
        <w:t>posé de ses actions par un placement en bourse. Le nouveau président de la CDIC recruté du secteur privé par le gouvernement conservateur pour mettre en œuvre la p</w:t>
      </w:r>
      <w:r w:rsidRPr="0089025F">
        <w:t>o</w:t>
      </w:r>
      <w:r w:rsidRPr="0089025F">
        <w:t>litique de privatisation était M. Paul Mar</w:t>
      </w:r>
      <w:r w:rsidRPr="0089025F">
        <w:t>s</w:t>
      </w:r>
      <w:r w:rsidRPr="0089025F">
        <w:t>hall. Il vient de retourner à ses fonctions de PDG de Westmin Resou</w:t>
      </w:r>
      <w:r w:rsidRPr="0089025F">
        <w:t>r</w:t>
      </w:r>
      <w:r w:rsidRPr="0089025F">
        <w:t>ces (Calgary) et Président de Brascade Resources.</w:t>
      </w:r>
    </w:p>
  </w:footnote>
  <w:footnote w:id="28">
    <w:p w14:paraId="3772B75B" w14:textId="77777777" w:rsidR="000A271D" w:rsidRDefault="000A271D">
      <w:pPr>
        <w:pStyle w:val="Notedebasdepage"/>
      </w:pPr>
      <w:r>
        <w:rPr>
          <w:rStyle w:val="Appelnotedebasdep"/>
        </w:rPr>
        <w:footnoteRef/>
      </w:r>
      <w:r>
        <w:t xml:space="preserve"> </w:t>
      </w:r>
      <w:r>
        <w:tab/>
      </w:r>
      <w:r w:rsidRPr="0089025F">
        <w:t>Cette liste pourrait inclure la vente des actifs du gouvernement dans la mine Nanisivik au grand nord. Mais puisque la part de l’État n’a jamais dépassé 18 % nous ne la considérons pas une privatisation équivalente aux autres. Les actifs en question ont été rachetés pour 6 $ millions en octobre 1986 par la société multinationale MRI, actionna</w:t>
      </w:r>
      <w:r w:rsidRPr="0089025F">
        <w:t>i</w:t>
      </w:r>
      <w:r w:rsidRPr="0089025F">
        <w:t>re majoritaire.</w:t>
      </w:r>
    </w:p>
  </w:footnote>
  <w:footnote w:id="29">
    <w:p w14:paraId="46F0EE88" w14:textId="77777777" w:rsidR="000A271D" w:rsidRDefault="000A271D">
      <w:pPr>
        <w:pStyle w:val="Notedebasdepage"/>
      </w:pPr>
      <w:r>
        <w:rPr>
          <w:rStyle w:val="Appelnotedebasdep"/>
        </w:rPr>
        <w:footnoteRef/>
      </w:r>
      <w:r>
        <w:t xml:space="preserve"> </w:t>
      </w:r>
      <w:r>
        <w:tab/>
      </w:r>
      <w:r w:rsidRPr="0089025F">
        <w:t xml:space="preserve">Jorge Niosi, </w:t>
      </w:r>
      <w:r w:rsidRPr="0089025F">
        <w:rPr>
          <w:i/>
        </w:rPr>
        <w:t>La bourgeoisie canadienne</w:t>
      </w:r>
      <w:r w:rsidRPr="0089025F">
        <w:t xml:space="preserve"> (Montréal : Boréal Express, 1980), chapitre 4 : « Le contrôle du capitalisme d’État ». Niosi évoque par exemple le développement inégal qui donne naissance aux coalitions de classes r</w:t>
      </w:r>
      <w:r w:rsidRPr="0089025F">
        <w:t>é</w:t>
      </w:r>
      <w:r w:rsidRPr="0089025F">
        <w:t>gionales ; ou encore le caractère tardif et dépendant du développement i</w:t>
      </w:r>
      <w:r w:rsidRPr="0089025F">
        <w:t>n</w:t>
      </w:r>
      <w:r w:rsidRPr="0089025F">
        <w:t>dustriel qui appelle parfois une interve</w:t>
      </w:r>
      <w:r w:rsidRPr="0089025F">
        <w:t>n</w:t>
      </w:r>
      <w:r w:rsidRPr="0089025F">
        <w:t>tion protectionniste à la faveur de la bourgeoisie nationale et parfois une association au capital américain.</w:t>
      </w:r>
    </w:p>
  </w:footnote>
  <w:footnote w:id="30">
    <w:p w14:paraId="23FBB465" w14:textId="77777777" w:rsidR="000A271D" w:rsidRDefault="000A271D">
      <w:pPr>
        <w:pStyle w:val="Notedebasdepage"/>
      </w:pPr>
      <w:r>
        <w:rPr>
          <w:rStyle w:val="Appelnotedebasdep"/>
        </w:rPr>
        <w:footnoteRef/>
      </w:r>
      <w:r>
        <w:t xml:space="preserve"> </w:t>
      </w:r>
      <w:r>
        <w:tab/>
      </w:r>
      <w:r w:rsidRPr="0089025F">
        <w:t xml:space="preserve">« Memotec débourse 488 $ millions pour Téléglobe », </w:t>
      </w:r>
      <w:r w:rsidRPr="0089025F">
        <w:rPr>
          <w:i/>
        </w:rPr>
        <w:t>Le D</w:t>
      </w:r>
      <w:r w:rsidRPr="0089025F">
        <w:rPr>
          <w:i/>
        </w:rPr>
        <w:t>e</w:t>
      </w:r>
      <w:r w:rsidRPr="0089025F">
        <w:rPr>
          <w:i/>
        </w:rPr>
        <w:t>voir</w:t>
      </w:r>
      <w:r w:rsidRPr="0089025F">
        <w:t>, 12 février 1987, p. 1 ; « Win puts underdog Memotec in big le</w:t>
      </w:r>
      <w:r w:rsidRPr="0089025F">
        <w:t>a</w:t>
      </w:r>
      <w:r w:rsidRPr="0089025F">
        <w:t xml:space="preserve">gue », </w:t>
      </w:r>
      <w:r w:rsidRPr="0089025F">
        <w:rPr>
          <w:i/>
        </w:rPr>
        <w:t>Globe and Mail</w:t>
      </w:r>
      <w:r w:rsidRPr="0089025F">
        <w:t xml:space="preserve">, 12 février 1987, p. B1 ; « Canadair gets 1.4 $ billion job— jet repair contract stirs bitterness », </w:t>
      </w:r>
      <w:r w:rsidRPr="0089025F">
        <w:rPr>
          <w:i/>
        </w:rPr>
        <w:t>Globe and Mail</w:t>
      </w:r>
      <w:r w:rsidRPr="0089025F">
        <w:t>, 1</w:t>
      </w:r>
      <w:r w:rsidRPr="0089025F">
        <w:rPr>
          <w:vertAlign w:val="superscript"/>
        </w:rPr>
        <w:t>er</w:t>
      </w:r>
      <w:r w:rsidRPr="0089025F">
        <w:t xml:space="preserve">  nove</w:t>
      </w:r>
      <w:r w:rsidRPr="0089025F">
        <w:t>m</w:t>
      </w:r>
      <w:r w:rsidRPr="0089025F">
        <w:t>bre 1986, p. 1.</w:t>
      </w:r>
    </w:p>
  </w:footnote>
  <w:footnote w:id="31">
    <w:p w14:paraId="0A444A21" w14:textId="77777777" w:rsidR="000A271D" w:rsidRDefault="000A271D">
      <w:pPr>
        <w:pStyle w:val="Notedebasdepage"/>
      </w:pPr>
      <w:r>
        <w:rPr>
          <w:rStyle w:val="Appelnotedebasdep"/>
        </w:rPr>
        <w:footnoteRef/>
      </w:r>
      <w:r>
        <w:t xml:space="preserve"> </w:t>
      </w:r>
      <w:r>
        <w:tab/>
      </w:r>
      <w:r w:rsidRPr="0089025F">
        <w:t>Letter of Intent among Canada Development Investment Corpor</w:t>
      </w:r>
      <w:r w:rsidRPr="0089025F">
        <w:t>a</w:t>
      </w:r>
      <w:r w:rsidRPr="0089025F">
        <w:t>tion, Her</w:t>
      </w:r>
      <w:r>
        <w:t xml:space="preserve"> </w:t>
      </w:r>
      <w:r w:rsidRPr="0089025F">
        <w:t>Majesty the Queen in Right of Canada and the Boeing Company, p. 11, s. 3.4. Un résumé de ce document en français a été diffusé par le Président du Conseil du Trésor : Lettre d'intention concernant la privatisation de De H</w:t>
      </w:r>
      <w:r w:rsidRPr="0089025F">
        <w:t>a</w:t>
      </w:r>
      <w:r w:rsidRPr="0089025F">
        <w:t>villand, Addendum au dossier d’information du 2 décembre 1986.</w:t>
      </w:r>
    </w:p>
  </w:footnote>
  <w:footnote w:id="32">
    <w:p w14:paraId="78DC99BE" w14:textId="77777777" w:rsidR="000A271D" w:rsidRDefault="000A271D">
      <w:pPr>
        <w:pStyle w:val="Notedebasdepage"/>
      </w:pPr>
      <w:r>
        <w:rPr>
          <w:rStyle w:val="Appelnotedebasdep"/>
        </w:rPr>
        <w:footnoteRef/>
      </w:r>
      <w:r>
        <w:t xml:space="preserve"> </w:t>
      </w:r>
      <w:r>
        <w:tab/>
      </w:r>
      <w:r w:rsidRPr="00760184">
        <w:rPr>
          <w:i/>
        </w:rPr>
        <w:t>Idem</w:t>
      </w:r>
      <w:r>
        <w:t>.</w:t>
      </w:r>
    </w:p>
  </w:footnote>
  <w:footnote w:id="33">
    <w:p w14:paraId="42031259" w14:textId="77777777" w:rsidR="000A271D" w:rsidRDefault="000A271D">
      <w:pPr>
        <w:pStyle w:val="Notedebasdepage"/>
      </w:pPr>
      <w:r>
        <w:rPr>
          <w:rStyle w:val="Appelnotedebasdep"/>
        </w:rPr>
        <w:footnoteRef/>
      </w:r>
      <w:r>
        <w:t xml:space="preserve"> </w:t>
      </w:r>
      <w:r>
        <w:tab/>
      </w:r>
      <w:r w:rsidRPr="0089025F">
        <w:t>Gouvernement du Canada, Ministère de l’Expansion industrie</w:t>
      </w:r>
      <w:r w:rsidRPr="0089025F">
        <w:t>l</w:t>
      </w:r>
      <w:r w:rsidRPr="0089025F">
        <w:t xml:space="preserve">le régionale, </w:t>
      </w:r>
      <w:r w:rsidRPr="0089025F">
        <w:rPr>
          <w:i/>
        </w:rPr>
        <w:t>Communiqué</w:t>
      </w:r>
      <w:r w:rsidRPr="0089025F">
        <w:t xml:space="preserve"> EIR 75/85 (1 août 1985), p. 2.</w:t>
      </w:r>
    </w:p>
  </w:footnote>
  <w:footnote w:id="34">
    <w:p w14:paraId="0AE3B1C8" w14:textId="77777777" w:rsidR="000A271D" w:rsidRDefault="000A271D">
      <w:pPr>
        <w:pStyle w:val="Notedebasdepage"/>
      </w:pPr>
      <w:r>
        <w:rPr>
          <w:rStyle w:val="Appelnotedebasdep"/>
        </w:rPr>
        <w:footnoteRef/>
      </w:r>
      <w:r>
        <w:t xml:space="preserve"> </w:t>
      </w:r>
      <w:r>
        <w:tab/>
      </w:r>
      <w:r w:rsidRPr="0089025F">
        <w:t>Fishery Products International inc. (FPI) est à 62.6 % la propriété du go</w:t>
      </w:r>
      <w:r w:rsidRPr="0089025F">
        <w:t>u</w:t>
      </w:r>
      <w:r w:rsidRPr="0089025F">
        <w:t>vernement fédéral depuis la restructuration de l’industrie des pêches en 1982-83 (le gouvernement de Terre-Neuve et la Banque de la Nouvelle-Écosse sont les deux autres propriétaires). Ses actions seront placées en bourse, mais afin de rassurer les créditeurs Ottawa retiendra une particip</w:t>
      </w:r>
      <w:r w:rsidRPr="0089025F">
        <w:t>a</w:t>
      </w:r>
      <w:r w:rsidRPr="0089025F">
        <w:t>tion minoritaire — ainsi 85 % des actions de FPI seront mises en vente au grand public et une part retenue pour les employés. « Ottawa Plans Offering of Shares in Fishery Products I</w:t>
      </w:r>
      <w:r w:rsidRPr="0089025F">
        <w:t>n</w:t>
      </w:r>
      <w:r w:rsidRPr="0089025F">
        <w:t xml:space="preserve">ternational », </w:t>
      </w:r>
      <w:r w:rsidRPr="0089025F">
        <w:rPr>
          <w:i/>
        </w:rPr>
        <w:t>Globe and Mail</w:t>
      </w:r>
      <w:r w:rsidRPr="0089025F">
        <w:t>, le 31 janvier 1987.</w:t>
      </w:r>
    </w:p>
  </w:footnote>
  <w:footnote w:id="35">
    <w:p w14:paraId="5C280A24" w14:textId="77777777" w:rsidR="000A271D" w:rsidRDefault="000A271D">
      <w:pPr>
        <w:pStyle w:val="Notedebasdepage"/>
      </w:pPr>
      <w:r>
        <w:rPr>
          <w:rStyle w:val="Appelnotedebasdep"/>
        </w:rPr>
        <w:footnoteRef/>
      </w:r>
      <w:r>
        <w:t xml:space="preserve"> </w:t>
      </w:r>
      <w:r>
        <w:tab/>
      </w:r>
      <w:r w:rsidRPr="0089025F">
        <w:t>Le consortium perdant qui n’a pas été retenu suite à l’appel d’offre lors de la vente de De Havilland a exprimé son mécontent</w:t>
      </w:r>
      <w:r w:rsidRPr="0089025F">
        <w:t>e</w:t>
      </w:r>
      <w:r w:rsidRPr="0089025F">
        <w:t>ment devant le comité de parlement chargé de revoir cette privatis</w:t>
      </w:r>
      <w:r w:rsidRPr="0089025F">
        <w:t>a</w:t>
      </w:r>
      <w:r w:rsidRPr="0089025F">
        <w:t>tion. Voir Canada, Parlement, Chambre des Communes, « Procès-verbaux et témoignages du Comité pe</w:t>
      </w:r>
      <w:r w:rsidRPr="0089025F">
        <w:t>r</w:t>
      </w:r>
      <w:r w:rsidRPr="0089025F">
        <w:t>manent de l’expansion économique régi</w:t>
      </w:r>
      <w:r w:rsidRPr="0089025F">
        <w:t>o</w:t>
      </w:r>
      <w:r w:rsidRPr="0089025F">
        <w:t>nale », fascicule n° 35 (28 janvier 1986), Les enjeux de la privatisation de Téléglobe sont détaillés dans « Sales of Teleglobe Awaits C</w:t>
      </w:r>
      <w:r w:rsidRPr="0089025F">
        <w:t>a</w:t>
      </w:r>
      <w:r w:rsidRPr="0089025F">
        <w:t xml:space="preserve">binet Decision », </w:t>
      </w:r>
      <w:r w:rsidRPr="0089025F">
        <w:rPr>
          <w:i/>
        </w:rPr>
        <w:t>Globe and Mail</w:t>
      </w:r>
      <w:r w:rsidRPr="0089025F">
        <w:t>, 29 avril 1986, p. B4. Les contestations de la méthode de vente des actions de la CDC se rév</w:t>
      </w:r>
      <w:r w:rsidRPr="0089025F">
        <w:t>è</w:t>
      </w:r>
      <w:r w:rsidRPr="0089025F">
        <w:t>lent dans Canada, Parlement, Chambre des Communes, Procès-verbaux et témoignages du Comité législatif, fascicule n° 6 (15 oct</w:t>
      </w:r>
      <w:r w:rsidRPr="0089025F">
        <w:t>o</w:t>
      </w:r>
      <w:r w:rsidRPr="0089025F">
        <w:t>bre 1985), 54 p.</w:t>
      </w:r>
    </w:p>
  </w:footnote>
  <w:footnote w:id="36">
    <w:p w14:paraId="0719E1AC" w14:textId="77777777" w:rsidR="000A271D" w:rsidRDefault="000A271D">
      <w:pPr>
        <w:pStyle w:val="Notedebasdepage"/>
      </w:pPr>
      <w:r>
        <w:rPr>
          <w:rStyle w:val="Appelnotedebasdep"/>
        </w:rPr>
        <w:footnoteRef/>
      </w:r>
      <w:r>
        <w:t xml:space="preserve"> </w:t>
      </w:r>
      <w:r>
        <w:tab/>
      </w:r>
      <w:r w:rsidRPr="0089025F">
        <w:t xml:space="preserve">Cité dans « Ottawa Plans Offering », </w:t>
      </w:r>
      <w:r w:rsidRPr="0089025F">
        <w:rPr>
          <w:i/>
        </w:rPr>
        <w:t>op. cit</w:t>
      </w:r>
      <w:r w:rsidRPr="0089025F">
        <w:t>. Dans ce cas pr</w:t>
      </w:r>
      <w:r w:rsidRPr="0089025F">
        <w:t>é</w:t>
      </w:r>
      <w:r w:rsidRPr="0089025F">
        <w:t>cis, la politique régionale joue pour beaucoup. Une majorité des dire</w:t>
      </w:r>
      <w:r w:rsidRPr="0089025F">
        <w:t>c</w:t>
      </w:r>
      <w:r w:rsidRPr="0089025F">
        <w:t>teurs de la compagnie privatisée devrait être résidents de Terre-Neuve et on compte inclure un r</w:t>
      </w:r>
      <w:r w:rsidRPr="0089025F">
        <w:t>e</w:t>
      </w:r>
      <w:r w:rsidRPr="0089025F">
        <w:t>présentant du syndicat des pêcheurs.</w:t>
      </w:r>
    </w:p>
  </w:footnote>
  <w:footnote w:id="37">
    <w:p w14:paraId="06F327C1" w14:textId="77777777" w:rsidR="000A271D" w:rsidRDefault="000A271D">
      <w:pPr>
        <w:pStyle w:val="Notedebasdepage"/>
      </w:pPr>
      <w:r>
        <w:rPr>
          <w:rStyle w:val="Appelnotedebasdep"/>
        </w:rPr>
        <w:footnoteRef/>
      </w:r>
      <w:r>
        <w:t xml:space="preserve"> </w:t>
      </w:r>
      <w:r>
        <w:tab/>
      </w:r>
      <w:r w:rsidRPr="0089025F">
        <w:t xml:space="preserve">Cité dans « Air Canada Chairman Urges Quick Privatization of Airline », </w:t>
      </w:r>
      <w:r w:rsidRPr="0089025F">
        <w:rPr>
          <w:i/>
        </w:rPr>
        <w:t>Globe and Mail</w:t>
      </w:r>
      <w:r w:rsidRPr="0089025F">
        <w:t>, 13 janvier 1987, p. Bl. On sait que le go</w:t>
      </w:r>
      <w:r w:rsidRPr="0089025F">
        <w:t>u</w:t>
      </w:r>
      <w:r w:rsidRPr="0089025F">
        <w:t>vernement s’est intéressé dès le départ à l’impact que les privatis</w:t>
      </w:r>
      <w:r w:rsidRPr="0089025F">
        <w:t>a</w:t>
      </w:r>
      <w:r w:rsidRPr="0089025F">
        <w:t>tions pourraient avoir sur le déficit. Selon les médias, le ministre des Finances, M. Wilson, était pressé d’avoir la signature de l’accord de vente de Téléglobe afin de pouvoir pre</w:t>
      </w:r>
      <w:r w:rsidRPr="0089025F">
        <w:t>n</w:t>
      </w:r>
      <w:r w:rsidRPr="0089025F">
        <w:t>dre en compte ces 488 $ mi</w:t>
      </w:r>
      <w:r w:rsidRPr="0089025F">
        <w:t>l</w:t>
      </w:r>
      <w:r w:rsidRPr="0089025F">
        <w:t>lions dans son budget du 18 février 1986.</w:t>
      </w:r>
    </w:p>
  </w:footnote>
  <w:footnote w:id="38">
    <w:p w14:paraId="3948C74B" w14:textId="77777777" w:rsidR="000A271D" w:rsidRDefault="000A271D">
      <w:pPr>
        <w:pStyle w:val="Notedebasdepage"/>
      </w:pPr>
      <w:r>
        <w:rPr>
          <w:rStyle w:val="Appelnotedebasdep"/>
        </w:rPr>
        <w:footnoteRef/>
      </w:r>
      <w:r>
        <w:t xml:space="preserve"> </w:t>
      </w:r>
      <w:r>
        <w:tab/>
      </w:r>
      <w:r w:rsidRPr="0089025F">
        <w:t>Selon le Financial Post, le Conseil des ministres aurait autorisé le ministre McDougall à engager des conseillers financiers pour pr</w:t>
      </w:r>
      <w:r w:rsidRPr="0089025F">
        <w:t>é</w:t>
      </w:r>
      <w:r w:rsidRPr="0089025F">
        <w:t>parer des scénarios de privatisation d’Air Canada avant le printemps — « Air Wars Fallout Threatens Privatization Push », 9 février, p. 1. Voir aussi : « 1987 Could be Year of Decision on the Privatization of P</w:t>
      </w:r>
      <w:r w:rsidRPr="0089025F">
        <w:t>e</w:t>
      </w:r>
      <w:r w:rsidRPr="0089025F">
        <w:t xml:space="preserve">trocan », </w:t>
      </w:r>
      <w:r w:rsidRPr="0089025F">
        <w:rPr>
          <w:i/>
        </w:rPr>
        <w:t>Globe and Mail</w:t>
      </w:r>
      <w:r w:rsidRPr="0089025F">
        <w:t>, 19 janvier 1987, p. Bl.</w:t>
      </w:r>
    </w:p>
  </w:footnote>
  <w:footnote w:id="39">
    <w:p w14:paraId="38125A38" w14:textId="77777777" w:rsidR="000A271D" w:rsidRDefault="000A271D">
      <w:pPr>
        <w:pStyle w:val="Notedebasdepage"/>
      </w:pPr>
      <w:r>
        <w:rPr>
          <w:rStyle w:val="Appelnotedebasdep"/>
        </w:rPr>
        <w:footnoteRef/>
      </w:r>
      <w:r>
        <w:t xml:space="preserve"> </w:t>
      </w:r>
      <w:r>
        <w:tab/>
      </w:r>
      <w:r w:rsidRPr="0089025F">
        <w:t>Laux, « Virages du capitalisme », p. 172-173.</w:t>
      </w:r>
    </w:p>
  </w:footnote>
  <w:footnote w:id="40">
    <w:p w14:paraId="331BE53F" w14:textId="77777777" w:rsidR="000A271D" w:rsidRDefault="000A271D">
      <w:pPr>
        <w:pStyle w:val="Notedebasdepage"/>
      </w:pPr>
      <w:r>
        <w:rPr>
          <w:rStyle w:val="Appelnotedebasdep"/>
        </w:rPr>
        <w:footnoteRef/>
      </w:r>
      <w:r>
        <w:t xml:space="preserve"> </w:t>
      </w:r>
      <w:r>
        <w:tab/>
      </w:r>
      <w:r w:rsidRPr="0089025F">
        <w:t>Ce comité, qui en réalité remplace celui des opérations gouve</w:t>
      </w:r>
      <w:r w:rsidRPr="0089025F">
        <w:t>r</w:t>
      </w:r>
      <w:r w:rsidRPr="0089025F">
        <w:t>nementales, comprend onze ministres et regroupe les fonctions de pr</w:t>
      </w:r>
      <w:r w:rsidRPr="0089025F">
        <w:t>i</w:t>
      </w:r>
      <w:r w:rsidRPr="0089025F">
        <w:t>vatisation, affaires réglementaires et opérations.</w:t>
      </w:r>
    </w:p>
  </w:footnote>
  <w:footnote w:id="41">
    <w:p w14:paraId="50365FA1" w14:textId="77777777" w:rsidR="000A271D" w:rsidRDefault="000A271D">
      <w:pPr>
        <w:pStyle w:val="Notedebasdepage"/>
      </w:pPr>
      <w:r>
        <w:rPr>
          <w:rStyle w:val="Appelnotedebasdep"/>
        </w:rPr>
        <w:footnoteRef/>
      </w:r>
      <w:r>
        <w:t xml:space="preserve"> </w:t>
      </w:r>
      <w:r>
        <w:tab/>
      </w:r>
      <w:r w:rsidRPr="0089025F">
        <w:t>Office of the Minister of State (Privatization), « Speaking Notes for the H</w:t>
      </w:r>
      <w:r w:rsidRPr="0089025F">
        <w:t>o</w:t>
      </w:r>
      <w:r w:rsidRPr="0089025F">
        <w:t>nourable Barbara McDougall to the Rotary Club », Calg</w:t>
      </w:r>
      <w:r w:rsidRPr="0089025F">
        <w:t>a</w:t>
      </w:r>
      <w:r w:rsidRPr="0089025F">
        <w:t>ry (23 septembre 1986), p. 15.</w:t>
      </w:r>
    </w:p>
  </w:footnote>
  <w:footnote w:id="42">
    <w:p w14:paraId="50FF70BD" w14:textId="77777777" w:rsidR="000A271D" w:rsidRDefault="000A271D">
      <w:pPr>
        <w:pStyle w:val="Notedebasdepage"/>
      </w:pPr>
      <w:r>
        <w:rPr>
          <w:rStyle w:val="Appelnotedebasdep"/>
        </w:rPr>
        <w:footnoteRef/>
      </w:r>
      <w:r>
        <w:t xml:space="preserve"> </w:t>
      </w:r>
      <w:r>
        <w:tab/>
      </w:r>
      <w:r w:rsidRPr="0089025F">
        <w:t>Minister of State (Privatization), « Speaking Notes », Calgary, p. 15.</w:t>
      </w:r>
    </w:p>
  </w:footnote>
  <w:footnote w:id="43">
    <w:p w14:paraId="7294E6E9" w14:textId="77777777" w:rsidR="000A271D" w:rsidRDefault="000A271D">
      <w:pPr>
        <w:pStyle w:val="Notedebasdepage"/>
      </w:pPr>
      <w:r>
        <w:rPr>
          <w:rStyle w:val="Appelnotedebasdep"/>
        </w:rPr>
        <w:footnoteRef/>
      </w:r>
      <w:r>
        <w:t xml:space="preserve"> </w:t>
      </w:r>
      <w:r>
        <w:tab/>
      </w:r>
      <w:r w:rsidRPr="0089025F">
        <w:t xml:space="preserve">Canada, Ministère des Finances, </w:t>
      </w:r>
      <w:r w:rsidRPr="0089025F">
        <w:rPr>
          <w:i/>
        </w:rPr>
        <w:t>Le discours du budget</w:t>
      </w:r>
      <w:r w:rsidRPr="0089025F">
        <w:t xml:space="preserve"> (18 f</w:t>
      </w:r>
      <w:r w:rsidRPr="0089025F">
        <w:t>é</w:t>
      </w:r>
      <w:r w:rsidRPr="0089025F">
        <w:t>vrier 1987),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7A36" w14:textId="77777777" w:rsidR="000A271D" w:rsidRDefault="000A271D" w:rsidP="000A271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Jeanne Kirk Laux, </w:t>
    </w:r>
    <w:r w:rsidRPr="00894795">
      <w:rPr>
        <w:rFonts w:ascii="Times New Roman" w:hAnsi="Times New Roman"/>
      </w:rPr>
      <w:t>“La privatisation</w:t>
    </w:r>
    <w:r>
      <w:rPr>
        <w:rFonts w:ascii="Times New Roman" w:hAnsi="Times New Roman"/>
      </w:rPr>
      <w:t xml:space="preserve"> </w:t>
    </w:r>
    <w:r w:rsidRPr="00894795">
      <w:rPr>
        <w:rFonts w:ascii="Times New Roman" w:hAnsi="Times New Roman"/>
      </w:rPr>
      <w:t>des sociétés d’État</w:t>
    </w:r>
    <w:r>
      <w:rPr>
        <w:rFonts w:ascii="Times New Roman" w:hAnsi="Times New Roman"/>
      </w:rPr>
      <w:t xml:space="preserve"> </w:t>
    </w:r>
    <w:r w:rsidRPr="00894795">
      <w:rPr>
        <w:rFonts w:ascii="Times New Roman" w:hAnsi="Times New Roman"/>
      </w:rPr>
      <w:t>au Canada.”</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3223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14:paraId="20B24375" w14:textId="77777777" w:rsidR="000A271D" w:rsidRDefault="000A271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A729C"/>
    <w:multiLevelType w:val="multilevel"/>
    <w:tmpl w:val="28A6D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52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A271D"/>
    <w:rsid w:val="00832239"/>
    <w:rsid w:val="00E7604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BDD6D8"/>
  <w15:chartTrackingRefBased/>
  <w15:docId w15:val="{734E304C-3D16-8048-A887-8547B161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F81A92"/>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408C2"/>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366403"/>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D1279E"/>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D1279E"/>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F81A92"/>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408C2"/>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0">
    <w:name w:val="Note de bas de page_"/>
    <w:link w:val="Notedebasdepage1"/>
    <w:rsid w:val="00BA0AA8"/>
    <w:rPr>
      <w:rFonts w:ascii="Times New Roman" w:eastAsia="Times New Roman" w:hAnsi="Times New Roman"/>
      <w:i/>
      <w:iCs/>
      <w:sz w:val="18"/>
      <w:szCs w:val="18"/>
      <w:shd w:val="clear" w:color="auto" w:fill="FFFFFF"/>
    </w:rPr>
  </w:style>
  <w:style w:type="paragraph" w:customStyle="1" w:styleId="Notedebasdepage1">
    <w:name w:val="Note de bas de page1"/>
    <w:basedOn w:val="Normal"/>
    <w:link w:val="Notedebasdepage0"/>
    <w:rsid w:val="00BA0AA8"/>
    <w:pPr>
      <w:widowControl w:val="0"/>
      <w:shd w:val="clear" w:color="auto" w:fill="FFFFFF"/>
      <w:spacing w:line="198" w:lineRule="exact"/>
      <w:ind w:hanging="125"/>
    </w:pPr>
    <w:rPr>
      <w:i/>
      <w:iCs/>
      <w:sz w:val="18"/>
      <w:szCs w:val="18"/>
      <w:lang w:val="x-none" w:eastAsia="x-none"/>
    </w:rPr>
  </w:style>
  <w:style w:type="character" w:customStyle="1" w:styleId="NotedebasdepageNonItalique">
    <w:name w:val="Note de bas de page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BA0AA8"/>
    <w:rPr>
      <w:rFonts w:ascii="Times New Roman" w:eastAsia="Times New Roman" w:hAnsi="Times New Roman"/>
      <w:sz w:val="21"/>
      <w:szCs w:val="21"/>
      <w:shd w:val="clear" w:color="auto" w:fill="FFFFFF"/>
    </w:rPr>
  </w:style>
  <w:style w:type="paragraph" w:customStyle="1" w:styleId="Notedebasdepage20">
    <w:name w:val="Note de bas de page (2)"/>
    <w:basedOn w:val="Normal"/>
    <w:link w:val="Notedebasdepage2"/>
    <w:rsid w:val="00BA0AA8"/>
    <w:pPr>
      <w:widowControl w:val="0"/>
      <w:shd w:val="clear" w:color="auto" w:fill="FFFFFF"/>
      <w:spacing w:line="223" w:lineRule="exact"/>
      <w:ind w:firstLine="335"/>
      <w:jc w:val="both"/>
    </w:pPr>
    <w:rPr>
      <w:sz w:val="21"/>
      <w:szCs w:val="21"/>
      <w:lang w:val="x-none" w:eastAsia="x-none"/>
    </w:rPr>
  </w:style>
  <w:style w:type="character" w:customStyle="1" w:styleId="Notedebasdepage3">
    <w:name w:val="Note de bas de page (3)_"/>
    <w:link w:val="Notedebasdepage30"/>
    <w:rsid w:val="00BA0AA8"/>
    <w:rPr>
      <w:rFonts w:ascii="Times New Roman" w:eastAsia="Times New Roman" w:hAnsi="Times New Roman"/>
      <w:b/>
      <w:bCs/>
      <w:sz w:val="21"/>
      <w:szCs w:val="21"/>
      <w:shd w:val="clear" w:color="auto" w:fill="FFFFFF"/>
    </w:rPr>
  </w:style>
  <w:style w:type="paragraph" w:customStyle="1" w:styleId="Notedebasdepage30">
    <w:name w:val="Note de bas de page (3)"/>
    <w:basedOn w:val="Normal"/>
    <w:link w:val="Notedebasdepage3"/>
    <w:rsid w:val="00BA0AA8"/>
    <w:pPr>
      <w:widowControl w:val="0"/>
      <w:shd w:val="clear" w:color="auto" w:fill="FFFFFF"/>
      <w:spacing w:line="0" w:lineRule="atLeast"/>
      <w:ind w:firstLine="29"/>
    </w:pPr>
    <w:rPr>
      <w:b/>
      <w:bCs/>
      <w:sz w:val="21"/>
      <w:szCs w:val="21"/>
      <w:lang w:val="x-none" w:eastAsia="x-none"/>
    </w:rPr>
  </w:style>
  <w:style w:type="character" w:customStyle="1" w:styleId="Notedebasdepage4">
    <w:name w:val="Note de bas de page (4)_"/>
    <w:link w:val="Notedebasdepage40"/>
    <w:rsid w:val="00BA0AA8"/>
    <w:rPr>
      <w:rFonts w:ascii="Times New Roman" w:eastAsia="Times New Roman" w:hAnsi="Times New Roman"/>
      <w:sz w:val="17"/>
      <w:szCs w:val="17"/>
      <w:shd w:val="clear" w:color="auto" w:fill="FFFFFF"/>
    </w:rPr>
  </w:style>
  <w:style w:type="paragraph" w:customStyle="1" w:styleId="Notedebasdepage40">
    <w:name w:val="Note de bas de page (4)"/>
    <w:basedOn w:val="Normal"/>
    <w:link w:val="Notedebasdepage4"/>
    <w:rsid w:val="00BA0AA8"/>
    <w:pPr>
      <w:widowControl w:val="0"/>
      <w:shd w:val="clear" w:color="auto" w:fill="FFFFFF"/>
      <w:spacing w:line="176" w:lineRule="exact"/>
      <w:ind w:hanging="110"/>
      <w:jc w:val="both"/>
    </w:pPr>
    <w:rPr>
      <w:sz w:val="17"/>
      <w:szCs w:val="17"/>
      <w:lang w:val="x-none" w:eastAsia="x-none"/>
    </w:rPr>
  </w:style>
  <w:style w:type="character" w:customStyle="1" w:styleId="Notedebasdepage5">
    <w:name w:val="Note de bas de page (5)_"/>
    <w:link w:val="Notedebasdepage50"/>
    <w:rsid w:val="00BA0AA8"/>
    <w:rPr>
      <w:rFonts w:ascii="Times New Roman" w:eastAsia="Times New Roman" w:hAnsi="Times New Roman"/>
      <w:i/>
      <w:iCs/>
      <w:sz w:val="17"/>
      <w:szCs w:val="17"/>
      <w:shd w:val="clear" w:color="auto" w:fill="FFFFFF"/>
    </w:rPr>
  </w:style>
  <w:style w:type="paragraph" w:customStyle="1" w:styleId="Notedebasdepage50">
    <w:name w:val="Note de bas de page (5)"/>
    <w:basedOn w:val="Normal"/>
    <w:link w:val="Notedebasdepage5"/>
    <w:rsid w:val="00BA0AA8"/>
    <w:pPr>
      <w:widowControl w:val="0"/>
      <w:shd w:val="clear" w:color="auto" w:fill="FFFFFF"/>
      <w:spacing w:line="180" w:lineRule="exact"/>
      <w:ind w:hanging="96"/>
      <w:jc w:val="both"/>
    </w:pPr>
    <w:rPr>
      <w:i/>
      <w:iCs/>
      <w:sz w:val="17"/>
      <w:szCs w:val="17"/>
      <w:lang w:val="x-none" w:eastAsia="x-none"/>
    </w:rPr>
  </w:style>
  <w:style w:type="character" w:customStyle="1" w:styleId="Notedebasdepage5NonItalique">
    <w:name w:val="Note de bas de page (5) + Non Italique"/>
    <w:rsid w:val="00BA0A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Italique">
    <w:name w:val="Note de bas de page (4) + Italique"/>
    <w:rsid w:val="00BA0AA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
    <w:name w:val="Note de bas de page (6)_"/>
    <w:link w:val="Notedebasdepage60"/>
    <w:rsid w:val="00BA0AA8"/>
    <w:rPr>
      <w:rFonts w:ascii="Times New Roman" w:eastAsia="Times New Roman" w:hAnsi="Times New Roman"/>
      <w:i/>
      <w:iCs/>
      <w:sz w:val="21"/>
      <w:szCs w:val="21"/>
      <w:shd w:val="clear" w:color="auto" w:fill="FFFFFF"/>
    </w:rPr>
  </w:style>
  <w:style w:type="paragraph" w:customStyle="1" w:styleId="Notedebasdepage60">
    <w:name w:val="Note de bas de page (6)"/>
    <w:basedOn w:val="Normal"/>
    <w:link w:val="Notedebasdepage6"/>
    <w:rsid w:val="00BA0AA8"/>
    <w:pPr>
      <w:widowControl w:val="0"/>
      <w:shd w:val="clear" w:color="auto" w:fill="FFFFFF"/>
      <w:spacing w:line="220" w:lineRule="exact"/>
      <w:ind w:firstLine="0"/>
      <w:jc w:val="both"/>
    </w:pPr>
    <w:rPr>
      <w:i/>
      <w:iCs/>
      <w:sz w:val="21"/>
      <w:szCs w:val="21"/>
      <w:lang w:val="x-none" w:eastAsia="x-none"/>
    </w:rPr>
  </w:style>
  <w:style w:type="character" w:customStyle="1" w:styleId="Notedebasdepage7">
    <w:name w:val="Note de bas de page (7)_"/>
    <w:link w:val="Notedebasdepage70"/>
    <w:rsid w:val="00BA0AA8"/>
    <w:rPr>
      <w:rFonts w:ascii="Times New Roman" w:eastAsia="Times New Roman" w:hAnsi="Times New Roman"/>
      <w:w w:val="150"/>
      <w:sz w:val="18"/>
      <w:szCs w:val="18"/>
      <w:shd w:val="clear" w:color="auto" w:fill="FFFFFF"/>
    </w:rPr>
  </w:style>
  <w:style w:type="paragraph" w:customStyle="1" w:styleId="Notedebasdepage70">
    <w:name w:val="Note de bas de page (7)"/>
    <w:basedOn w:val="Normal"/>
    <w:link w:val="Notedebasdepage7"/>
    <w:rsid w:val="00BA0AA8"/>
    <w:pPr>
      <w:widowControl w:val="0"/>
      <w:shd w:val="clear" w:color="auto" w:fill="FFFFFF"/>
      <w:spacing w:line="0" w:lineRule="atLeast"/>
      <w:ind w:firstLine="29"/>
    </w:pPr>
    <w:rPr>
      <w:w w:val="150"/>
      <w:sz w:val="18"/>
      <w:szCs w:val="18"/>
      <w:lang w:val="x-none" w:eastAsia="x-none"/>
    </w:rPr>
  </w:style>
  <w:style w:type="character" w:customStyle="1" w:styleId="Notedebasdepage48ptItalique">
    <w:name w:val="Note de bas de page (4)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12">
    <w:name w:val="Table des matières (12)_"/>
    <w:link w:val="Tabledesmatires120"/>
    <w:rsid w:val="00BA0AA8"/>
    <w:rPr>
      <w:rFonts w:ascii="Times New Roman" w:eastAsia="Times New Roman" w:hAnsi="Times New Roman"/>
      <w:w w:val="150"/>
      <w:sz w:val="18"/>
      <w:szCs w:val="18"/>
      <w:shd w:val="clear" w:color="auto" w:fill="FFFFFF"/>
    </w:rPr>
  </w:style>
  <w:style w:type="paragraph" w:customStyle="1" w:styleId="Tabledesmatires120">
    <w:name w:val="Table des matières (12)"/>
    <w:basedOn w:val="Normal"/>
    <w:link w:val="Tabledesmatires12"/>
    <w:rsid w:val="00BA0AA8"/>
    <w:pPr>
      <w:widowControl w:val="0"/>
      <w:shd w:val="clear" w:color="auto" w:fill="FFFFFF"/>
      <w:spacing w:line="223" w:lineRule="exact"/>
    </w:pPr>
    <w:rPr>
      <w:w w:val="150"/>
      <w:sz w:val="18"/>
      <w:szCs w:val="18"/>
      <w:lang w:val="x-none" w:eastAsia="x-none"/>
    </w:rPr>
  </w:style>
  <w:style w:type="character" w:customStyle="1" w:styleId="Tabledesmatires127ptchelle100">
    <w:name w:val="Table des matières (12) + 7 pt;Échelle 100%"/>
    <w:rsid w:val="00BA0AA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127ptItaliquechelle100">
    <w:name w:val="Table des matières (12) + 7 pt;Italique;Échelle 100%"/>
    <w:rsid w:val="00BA0AA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abledesmatires1275ptItaliquechelle100">
    <w:name w:val="Table des matières (12) + 7.5 pt;Italique;Échelle 100%"/>
    <w:rsid w:val="00BA0AA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128ptchelle100">
    <w:name w:val="Table des matières (12) + 8 pt;Échelle 100%"/>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128ptGrasEspacement0ptchelle100">
    <w:name w:val="Table des matières (12) + 8 pt;Gras;Espacement 0 pt;Échelle 100%"/>
    <w:rsid w:val="00BA0AA8"/>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En-tteoupieddepage75ptItalique">
    <w:name w:val="En-tête ou pied de page + 7.5 pt;Italique"/>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3">
    <w:name w:val="Table des matières (3)_"/>
    <w:link w:val="Tabledesmatires30"/>
    <w:rsid w:val="00BA0AA8"/>
    <w:rPr>
      <w:rFonts w:ascii="Times New Roman" w:eastAsia="Times New Roman" w:hAnsi="Times New Roman"/>
      <w:sz w:val="18"/>
      <w:szCs w:val="18"/>
      <w:shd w:val="clear" w:color="auto" w:fill="FFFFFF"/>
    </w:rPr>
  </w:style>
  <w:style w:type="paragraph" w:customStyle="1" w:styleId="Tabledesmatires30">
    <w:name w:val="Table des matières (3)"/>
    <w:basedOn w:val="Normal"/>
    <w:link w:val="Tabledesmatires3"/>
    <w:rsid w:val="00BA0AA8"/>
    <w:pPr>
      <w:widowControl w:val="0"/>
      <w:shd w:val="clear" w:color="auto" w:fill="FFFFFF"/>
      <w:spacing w:before="60" w:after="60" w:line="194" w:lineRule="exact"/>
      <w:ind w:hanging="239"/>
    </w:pPr>
    <w:rPr>
      <w:sz w:val="18"/>
      <w:szCs w:val="18"/>
      <w:lang w:val="x-none" w:eastAsia="x-none"/>
    </w:rPr>
  </w:style>
  <w:style w:type="character" w:customStyle="1" w:styleId="Tabledesmatires3Italique">
    <w:name w:val="Table des matières (3) + Italique"/>
    <w:rsid w:val="00BA0AA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4">
    <w:name w:val="Table des matières (4)_"/>
    <w:link w:val="Tabledesmatires40"/>
    <w:rsid w:val="00BA0AA8"/>
    <w:rPr>
      <w:rFonts w:ascii="Times New Roman" w:eastAsia="Times New Roman" w:hAnsi="Times New Roman"/>
      <w:i/>
      <w:iCs/>
      <w:sz w:val="18"/>
      <w:szCs w:val="18"/>
      <w:shd w:val="clear" w:color="auto" w:fill="FFFFFF"/>
    </w:rPr>
  </w:style>
  <w:style w:type="paragraph" w:customStyle="1" w:styleId="Tabledesmatires40">
    <w:name w:val="Table des matières (4)"/>
    <w:basedOn w:val="Normal"/>
    <w:link w:val="Tabledesmatires4"/>
    <w:rsid w:val="00BA0AA8"/>
    <w:pPr>
      <w:widowControl w:val="0"/>
      <w:shd w:val="clear" w:color="auto" w:fill="FFFFFF"/>
      <w:spacing w:before="60" w:after="60" w:line="0" w:lineRule="atLeast"/>
      <w:ind w:firstLine="5"/>
      <w:jc w:val="both"/>
    </w:pPr>
    <w:rPr>
      <w:i/>
      <w:iCs/>
      <w:sz w:val="18"/>
      <w:szCs w:val="18"/>
      <w:lang w:val="x-none" w:eastAsia="x-none"/>
    </w:rPr>
  </w:style>
  <w:style w:type="character" w:customStyle="1" w:styleId="Tabledesmatires4NonItalique">
    <w:name w:val="Table des matières (4)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975ptItaliqueExact">
    <w:name w:val="Corps du texte (9) + 7.5 pt;Italique Exact"/>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10ptItalique">
    <w:name w:val="Corps du texte (2) + 10 pt;Italique"/>
    <w:rsid w:val="00BA0AA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ptGras">
    <w:name w:val="Corps du texte (2) + 8 pt;Gras"/>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8AppleGothic7ptItaliquechelle350Exact">
    <w:name w:val="Corps du texte (48) + AppleGothic;7 pt;Italique;Échelle 350% Exact"/>
    <w:rsid w:val="00BA0AA8"/>
    <w:rPr>
      <w:rFonts w:ascii="AppleGothic" w:eastAsia="AppleGothic" w:hAnsi="AppleGothic" w:cs="AppleGothic"/>
      <w:b w:val="0"/>
      <w:bCs w:val="0"/>
      <w:i/>
      <w:iCs/>
      <w:smallCaps w:val="0"/>
      <w:strike w:val="0"/>
      <w:w w:val="350"/>
      <w:sz w:val="14"/>
      <w:szCs w:val="14"/>
      <w:u w:val="single"/>
    </w:rPr>
  </w:style>
  <w:style w:type="character" w:customStyle="1" w:styleId="En-tteoupieddepage614ptGras">
    <w:name w:val="En-tête ou pied de page (6) + 14 pt;Gras"/>
    <w:rsid w:val="00BA0AA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NonGrasEspacement1pt">
    <w:name w:val="Corps du texte (20) + Non Gras;Espacement 1 pt"/>
    <w:rsid w:val="00BA0AA8"/>
    <w:rPr>
      <w:rFonts w:ascii="Times New Roman" w:eastAsia="Times New Roman" w:hAnsi="Times New Roman" w:cs="Times New Roman"/>
      <w:b/>
      <w:bCs/>
      <w:i w:val="0"/>
      <w:iCs w:val="0"/>
      <w:smallCaps w:val="0"/>
      <w:strike w:val="0"/>
      <w:color w:val="000000"/>
      <w:spacing w:val="30"/>
      <w:w w:val="100"/>
      <w:position w:val="0"/>
      <w:sz w:val="16"/>
      <w:szCs w:val="16"/>
      <w:u w:val="none"/>
      <w:lang w:val="fr-FR" w:eastAsia="fr-FR" w:bidi="fr-FR"/>
    </w:rPr>
  </w:style>
  <w:style w:type="character" w:customStyle="1" w:styleId="Tabledesmatires11">
    <w:name w:val="Table des matières (11)_"/>
    <w:link w:val="Tabledesmatires110"/>
    <w:rsid w:val="00BA0AA8"/>
    <w:rPr>
      <w:rFonts w:ascii="Times New Roman" w:eastAsia="Times New Roman" w:hAnsi="Times New Roman"/>
      <w:b/>
      <w:bCs/>
      <w:spacing w:val="10"/>
      <w:sz w:val="16"/>
      <w:szCs w:val="16"/>
      <w:shd w:val="clear" w:color="auto" w:fill="FFFFFF"/>
    </w:rPr>
  </w:style>
  <w:style w:type="paragraph" w:customStyle="1" w:styleId="Tabledesmatires110">
    <w:name w:val="Table des matières (11)"/>
    <w:basedOn w:val="Normal"/>
    <w:link w:val="Tabledesmatires11"/>
    <w:rsid w:val="00BA0AA8"/>
    <w:pPr>
      <w:widowControl w:val="0"/>
      <w:shd w:val="clear" w:color="auto" w:fill="FFFFFF"/>
      <w:spacing w:line="76" w:lineRule="exact"/>
      <w:ind w:firstLine="55"/>
      <w:jc w:val="both"/>
    </w:pPr>
    <w:rPr>
      <w:b/>
      <w:bCs/>
      <w:spacing w:val="10"/>
      <w:sz w:val="16"/>
      <w:szCs w:val="16"/>
      <w:lang w:val="x-none" w:eastAsia="x-none"/>
    </w:rPr>
  </w:style>
  <w:style w:type="character" w:customStyle="1" w:styleId="Corpsdutexte20NonGrasItaliqueEspacement0pt">
    <w:name w:val="Corps du texte (20) + Non Gras;Italique;Espacement 0 pt"/>
    <w:rsid w:val="00BA0AA8"/>
    <w:rPr>
      <w:rFonts w:ascii="Times New Roman" w:eastAsia="Times New Roman" w:hAnsi="Times New Roman" w:cs="Times New Roman"/>
      <w:b/>
      <w:bCs/>
      <w:i/>
      <w:iCs/>
      <w:smallCaps w:val="0"/>
      <w:strike w:val="0"/>
      <w:color w:val="000000"/>
      <w:spacing w:val="0"/>
      <w:w w:val="100"/>
      <w:position w:val="0"/>
      <w:sz w:val="16"/>
      <w:szCs w:val="16"/>
      <w:u w:val="single"/>
      <w:lang w:val="fr-FR" w:eastAsia="fr-FR" w:bidi="fr-FR"/>
    </w:rPr>
  </w:style>
  <w:style w:type="character" w:customStyle="1" w:styleId="Tabledesmatires11Espacement2pt">
    <w:name w:val="Table des matières (11) + Espacement 2 pt"/>
    <w:rsid w:val="00BA0AA8"/>
    <w:rPr>
      <w:rFonts w:ascii="Times New Roman" w:eastAsia="Times New Roman" w:hAnsi="Times New Roman" w:cs="Times New Roman"/>
      <w:b/>
      <w:bCs/>
      <w:i w:val="0"/>
      <w:iCs w:val="0"/>
      <w:smallCaps w:val="0"/>
      <w:strike w:val="0"/>
      <w:color w:val="000000"/>
      <w:spacing w:val="40"/>
      <w:w w:val="100"/>
      <w:position w:val="0"/>
      <w:sz w:val="16"/>
      <w:szCs w:val="16"/>
      <w:u w:val="none"/>
      <w:lang w:val="fr-FR" w:eastAsia="fr-FR" w:bidi="fr-FR"/>
    </w:rPr>
  </w:style>
  <w:style w:type="character" w:customStyle="1" w:styleId="Tabledesmatires116ptNonGras">
    <w:name w:val="Table des matières (11) + 6 pt;Non Gras"/>
    <w:rsid w:val="00BA0AA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206ptNonGras">
    <w:name w:val="Corps du texte (20) + 6 pt;Non Gras"/>
    <w:rsid w:val="00BA0AA8"/>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Lgendedutableau2Exact">
    <w:name w:val="Légende du tableau (2) Exact"/>
    <w:link w:val="Lgendedutableau2"/>
    <w:rsid w:val="00BA0AA8"/>
    <w:rPr>
      <w:b/>
      <w:bCs/>
      <w:sz w:val="14"/>
      <w:szCs w:val="14"/>
      <w:shd w:val="clear" w:color="auto" w:fill="FFFFFF"/>
    </w:rPr>
  </w:style>
  <w:style w:type="paragraph" w:customStyle="1" w:styleId="Lgendedutableau2">
    <w:name w:val="Légende du tableau (2)"/>
    <w:basedOn w:val="Normal"/>
    <w:link w:val="Lgendedutableau2Exact"/>
    <w:rsid w:val="00BA0AA8"/>
    <w:pPr>
      <w:widowControl w:val="0"/>
      <w:shd w:val="clear" w:color="auto" w:fill="FFFFFF"/>
      <w:spacing w:line="166" w:lineRule="exact"/>
      <w:ind w:firstLine="4"/>
      <w:jc w:val="both"/>
    </w:pPr>
    <w:rPr>
      <w:rFonts w:ascii="Times" w:eastAsia="Times" w:hAnsi="Times"/>
      <w:b/>
      <w:bCs/>
      <w:sz w:val="14"/>
      <w:szCs w:val="14"/>
      <w:lang w:val="x-none" w:eastAsia="x-none"/>
    </w:rPr>
  </w:style>
  <w:style w:type="character" w:customStyle="1" w:styleId="LgendedutableauExact">
    <w:name w:val="Légende du tableau Exact"/>
    <w:rsid w:val="00BA0AA8"/>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8ptItaliqueEspacement1ptExact">
    <w:name w:val="Légende du tableau + 8 pt;Italique;Espacement 1 pt Exact"/>
    <w:rsid w:val="00BA0AA8"/>
    <w:rPr>
      <w:rFonts w:ascii="Times New Roman" w:eastAsia="Times New Roman" w:hAnsi="Times New Roman" w:cs="Times New Roman"/>
      <w:b w:val="0"/>
      <w:bCs w:val="0"/>
      <w:i/>
      <w:iCs/>
      <w:smallCaps w:val="0"/>
      <w:strike w:val="0"/>
      <w:color w:val="000000"/>
      <w:spacing w:val="30"/>
      <w:w w:val="100"/>
      <w:position w:val="0"/>
      <w:sz w:val="16"/>
      <w:szCs w:val="16"/>
      <w:u w:val="none"/>
      <w:lang w:val="fr-FR" w:eastAsia="fr-FR" w:bidi="fr-FR"/>
    </w:rPr>
  </w:style>
  <w:style w:type="character" w:customStyle="1" w:styleId="Corpsdutexte228ptItalique">
    <w:name w:val="Corps du texte (22)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ItaliqueEspacement1pt">
    <w:name w:val="Corps du texte (2) + Italique;Espacement 1 pt"/>
    <w:rsid w:val="00BA0AA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CourierNew75ptGrasEspacement0pt">
    <w:name w:val="Corps du texte (2) + Courier New;7.5 pt;Gras;Espacement 0 pt"/>
    <w:rsid w:val="00BA0AA8"/>
    <w:rPr>
      <w:rFonts w:ascii="Courier New" w:eastAsia="Courier New" w:hAnsi="Courier New" w:cs="Courier New"/>
      <w:b/>
      <w:bCs/>
      <w:i w:val="0"/>
      <w:iCs w:val="0"/>
      <w:smallCaps w:val="0"/>
      <w:strike w:val="0"/>
      <w:color w:val="000000"/>
      <w:spacing w:val="-10"/>
      <w:w w:val="100"/>
      <w:position w:val="0"/>
      <w:sz w:val="15"/>
      <w:szCs w:val="15"/>
      <w:u w:val="none"/>
      <w:lang w:val="fr-FR" w:eastAsia="fr-FR" w:bidi="fr-FR"/>
    </w:rPr>
  </w:style>
  <w:style w:type="character" w:customStyle="1" w:styleId="Lgendedutableau3Exact">
    <w:name w:val="Légende du tableau (3) Exact"/>
    <w:link w:val="Lgendedutableau3"/>
    <w:rsid w:val="00BA0AA8"/>
    <w:rPr>
      <w:rFonts w:ascii="Times New Roman" w:eastAsia="Times New Roman" w:hAnsi="Times New Roman"/>
      <w:sz w:val="13"/>
      <w:szCs w:val="13"/>
      <w:shd w:val="clear" w:color="auto" w:fill="FFFFFF"/>
    </w:rPr>
  </w:style>
  <w:style w:type="paragraph" w:customStyle="1" w:styleId="Lgendedutableau3">
    <w:name w:val="Légende du tableau (3)"/>
    <w:basedOn w:val="Normal"/>
    <w:link w:val="Lgendedutableau3Exact"/>
    <w:rsid w:val="00BA0AA8"/>
    <w:pPr>
      <w:widowControl w:val="0"/>
      <w:shd w:val="clear" w:color="auto" w:fill="FFFFFF"/>
      <w:spacing w:line="162" w:lineRule="exact"/>
      <w:ind w:hanging="3"/>
      <w:jc w:val="both"/>
    </w:pPr>
    <w:rPr>
      <w:sz w:val="13"/>
      <w:szCs w:val="13"/>
      <w:lang w:val="x-none" w:eastAsia="x-none"/>
    </w:rPr>
  </w:style>
  <w:style w:type="character" w:customStyle="1" w:styleId="Corpsdutexte275ptGras">
    <w:name w:val="Corps du texte (2) + 7.5 pt;Gras"/>
    <w:rsid w:val="00BA0AA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GrasItaliqueEspacement0pt">
    <w:name w:val="Corps du texte (2) + 7.5 pt;Gras;Italique;Espacement 0 pt"/>
    <w:rsid w:val="00BA0AA8"/>
    <w:rPr>
      <w:rFonts w:ascii="Times New Roman" w:eastAsia="Times New Roman" w:hAnsi="Times New Roman" w:cs="Times New Roman"/>
      <w:b/>
      <w:bCs/>
      <w:i/>
      <w:iCs/>
      <w:smallCaps w:val="0"/>
      <w:strike w:val="0"/>
      <w:color w:val="000000"/>
      <w:spacing w:val="10"/>
      <w:w w:val="100"/>
      <w:position w:val="0"/>
      <w:sz w:val="15"/>
      <w:szCs w:val="15"/>
      <w:u w:val="none"/>
      <w:lang w:val="fr-FR" w:eastAsia="fr-FR" w:bidi="fr-FR"/>
    </w:rPr>
  </w:style>
  <w:style w:type="character" w:customStyle="1" w:styleId="En-tteoupieddepage20ptGras">
    <w:name w:val="En-tête ou pied de page + 20 pt;Gras"/>
    <w:rsid w:val="00BA0AA8"/>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paragraph" w:customStyle="1" w:styleId="figtitrest">
    <w:name w:val="fig titre st"/>
    <w:basedOn w:val="Normal"/>
    <w:autoRedefine/>
    <w:rsid w:val="00BA0AA8"/>
    <w:pPr>
      <w:spacing w:before="120" w:after="120"/>
      <w:jc w:val="center"/>
    </w:pPr>
    <w:rPr>
      <w:color w:val="000090"/>
      <w:sz w:val="24"/>
    </w:rPr>
  </w:style>
  <w:style w:type="character" w:customStyle="1" w:styleId="Corpsdutexte29ptEspacement1pt">
    <w:name w:val="Corps du texte (2) + 9 pt;Espacement 1 pt"/>
    <w:rsid w:val="00A8620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En-tte5NonGrasItalique">
    <w:name w:val="En-tête #5 + Non Gras;Italique"/>
    <w:rsid w:val="00A8620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Exact">
    <w:name w:val="Légende de l'image Exact"/>
    <w:rsid w:val="00A8620A"/>
    <w:rPr>
      <w:rFonts w:ascii="Times New Roman" w:eastAsia="Times New Roman" w:hAnsi="Times New Roman" w:cs="Times New Roman"/>
      <w:b w:val="0"/>
      <w:bCs w:val="0"/>
      <w:i w:val="0"/>
      <w:iCs w:val="0"/>
      <w:smallCaps w:val="0"/>
      <w:strike w:val="0"/>
      <w:sz w:val="17"/>
      <w:szCs w:val="17"/>
      <w:u w:val="none"/>
    </w:rPr>
  </w:style>
  <w:style w:type="character" w:customStyle="1" w:styleId="En-tte214ptGrasEspacement0ptExact">
    <w:name w:val="En-tête #2 + 14 pt;Gras;Espacement 0 pt Exact"/>
    <w:rsid w:val="00A8620A"/>
    <w:rPr>
      <w:rFonts w:ascii="Times New Roman" w:eastAsia="Times New Roman" w:hAnsi="Times New Roman" w:cs="Times New Roman"/>
      <w:b/>
      <w:bCs/>
      <w:i w:val="0"/>
      <w:iCs w:val="0"/>
      <w:smallCaps w:val="0"/>
      <w:strike w:val="0"/>
      <w:spacing w:val="0"/>
      <w:sz w:val="28"/>
      <w:szCs w:val="28"/>
      <w:u w:val="none"/>
    </w:rPr>
  </w:style>
  <w:style w:type="character" w:customStyle="1" w:styleId="Corpsdutexte2ItaliqueEspacement1ptExact">
    <w:name w:val="Corps du texte (2) + Italique;Espacement 1 pt Exact"/>
    <w:rsid w:val="00A8620A"/>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2Espacement0ptchelle150Exact">
    <w:name w:val="Corps du texte (22) + Espacement 0 pt;Échelle 150% Exact"/>
    <w:rsid w:val="00A8620A"/>
    <w:rPr>
      <w:rFonts w:ascii="Times New Roman" w:eastAsia="Times New Roman" w:hAnsi="Times New Roman" w:cs="Times New Roman"/>
      <w:b w:val="0"/>
      <w:bCs w:val="0"/>
      <w:i w:val="0"/>
      <w:iCs w:val="0"/>
      <w:smallCaps w:val="0"/>
      <w:strike w:val="0"/>
      <w:color w:val="000000"/>
      <w:spacing w:val="-10"/>
      <w:w w:val="150"/>
      <w:position w:val="0"/>
      <w:sz w:val="9"/>
      <w:szCs w:val="9"/>
      <w:u w:val="none"/>
      <w:lang w:val="fr-FR" w:eastAsia="fr-FR" w:bidi="fr-FR"/>
    </w:rPr>
  </w:style>
  <w:style w:type="character" w:customStyle="1" w:styleId="En-tteoupieddepage85ptEspacement0pt">
    <w:name w:val="En-tête ou pied de page + 8.5 pt;Espacement 0 pt"/>
    <w:rsid w:val="00A8620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AppleGothic75pt">
    <w:name w:val="Corps du texte (3) + AppleGothic;7.5 pt"/>
    <w:rsid w:val="00A8620A"/>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3110ptItalique">
    <w:name w:val="Corps du texte (31) + 10 pt;Italique"/>
    <w:rsid w:val="00A8620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8105ptNonGras">
    <w:name w:val="Corps du texte (18) + 10.5 pt;Non Gras"/>
    <w:rsid w:val="00A8620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14ptGrasEspacement0pt">
    <w:name w:val="En-tête #2 + 14 pt;Gras;Espacement 0 pt"/>
    <w:rsid w:val="00A8620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312ptGrasExact">
    <w:name w:val="En-tête #3 + 12 pt;Gras Exact"/>
    <w:rsid w:val="00F76D1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ptEspacement1pt">
    <w:name w:val="Corps du texte (2) + 8 pt;Espacement 1 pt"/>
    <w:rsid w:val="00F76D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En-tteoupieddepage10ptItalique">
    <w:name w:val="En-tête ou pied de page + 10 pt;Italique"/>
    <w:rsid w:val="00F76D1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fr-FR" w:eastAsia="fr-FR" w:bidi="fr-FR"/>
    </w:rPr>
  </w:style>
  <w:style w:type="character" w:customStyle="1" w:styleId="Corpsdutexte2514ptGrasNonItalique">
    <w:name w:val="Corps du texte (25) + 14 pt;Gras;Non Italique"/>
    <w:rsid w:val="00F76D16"/>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015ptNonItaliqueExact">
    <w:name w:val="Corps du texte (30) + 15 pt;Non Italique Exact"/>
    <w:rsid w:val="00F76D16"/>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328ptItalique">
    <w:name w:val="Corps du texte (32)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418ptGrasItaliquePetitesmajusculesEspacement1pt">
    <w:name w:val="Corps du texte (34) + 18 pt;Gras;Italique;Petites majuscules;Espacement 1 pt"/>
    <w:rsid w:val="00F76D16"/>
    <w:rPr>
      <w:rFonts w:ascii="Times New Roman" w:eastAsia="Times New Roman" w:hAnsi="Times New Roman" w:cs="Times New Roman"/>
      <w:b/>
      <w:bCs/>
      <w:i/>
      <w:iCs/>
      <w:smallCaps/>
      <w:strike w:val="0"/>
      <w:color w:val="000000"/>
      <w:spacing w:val="20"/>
      <w:w w:val="100"/>
      <w:position w:val="0"/>
      <w:sz w:val="36"/>
      <w:szCs w:val="36"/>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Tabledesmatires2">
    <w:name w:val="Table des matières (2)_"/>
    <w:link w:val="Tabledesmatires20"/>
    <w:rsid w:val="00F76D16"/>
    <w:rPr>
      <w:rFonts w:ascii="Times New Roman" w:eastAsia="Times New Roman" w:hAnsi="Times New Roman"/>
      <w:i/>
      <w:iCs/>
      <w:sz w:val="16"/>
      <w:szCs w:val="16"/>
      <w:shd w:val="clear" w:color="auto" w:fill="FFFFFF"/>
    </w:rPr>
  </w:style>
  <w:style w:type="character" w:customStyle="1" w:styleId="Tabledesmatires2NonItalique">
    <w:name w:val="Table des matières (2) + Non Italique"/>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ptItalique">
    <w:name w:val="Table des matières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8pt">
    <w:name w:val="Table des matières + 8 pt"/>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9ptItaliqueEspacement-1pt">
    <w:name w:val="En-tête ou pied de page + 19 pt;Italique;Espacement -1 pt"/>
    <w:rsid w:val="00F76D16"/>
    <w:rPr>
      <w:rFonts w:ascii="Times New Roman" w:eastAsia="Times New Roman" w:hAnsi="Times New Roman" w:cs="Times New Roman"/>
      <w:b w:val="0"/>
      <w:bCs w:val="0"/>
      <w:i/>
      <w:iCs/>
      <w:smallCaps w:val="0"/>
      <w:strike w:val="0"/>
      <w:color w:val="000000"/>
      <w:spacing w:val="-20"/>
      <w:w w:val="100"/>
      <w:position w:val="0"/>
      <w:sz w:val="38"/>
      <w:szCs w:val="38"/>
      <w:u w:val="none"/>
      <w:lang w:val="fr-FR" w:eastAsia="fr-FR" w:bidi="fr-FR"/>
    </w:rPr>
  </w:style>
  <w:style w:type="paragraph" w:customStyle="1" w:styleId="Tabledesmatires20">
    <w:name w:val="Table des matières (2)"/>
    <w:basedOn w:val="Normal"/>
    <w:link w:val="Tabledesmatires2"/>
    <w:rsid w:val="00F76D16"/>
    <w:pPr>
      <w:widowControl w:val="0"/>
      <w:shd w:val="clear" w:color="auto" w:fill="FFFFFF"/>
      <w:spacing w:before="780" w:line="0" w:lineRule="atLeast"/>
      <w:ind w:hanging="2"/>
      <w:jc w:val="both"/>
    </w:pPr>
    <w:rPr>
      <w:i/>
      <w:iCs/>
      <w:sz w:val="16"/>
      <w:szCs w:val="16"/>
      <w:lang w:val="x-none" w:eastAsia="x-none"/>
    </w:rPr>
  </w:style>
  <w:style w:type="paragraph" w:customStyle="1" w:styleId="planchenbst">
    <w:name w:val="planche n&amp;b st"/>
    <w:basedOn w:val="planchenb"/>
    <w:autoRedefine/>
    <w:rsid w:val="00347C6C"/>
    <w:rPr>
      <w:i/>
      <w:color w:val="auto"/>
      <w:sz w:val="44"/>
    </w:rPr>
  </w:style>
  <w:style w:type="paragraph" w:customStyle="1" w:styleId="planchenbst2">
    <w:name w:val="planche n&amp;b st 2"/>
    <w:basedOn w:val="planchenbst"/>
    <w:autoRedefine/>
    <w:rsid w:val="00C37C3F"/>
    <w:rPr>
      <w:sz w:val="36"/>
    </w:rPr>
  </w:style>
  <w:style w:type="paragraph" w:customStyle="1" w:styleId="Notedebasdepagecitation">
    <w:name w:val="Note de bas de page citation"/>
    <w:basedOn w:val="Notedebasdepage"/>
    <w:autoRedefine/>
    <w:rsid w:val="0089658F"/>
    <w:pPr>
      <w:tabs>
        <w:tab w:val="clear" w:pos="900"/>
      </w:tabs>
      <w:spacing w:before="60" w:after="60"/>
      <w:ind w:left="720" w:firstLine="360"/>
    </w:pPr>
    <w:rPr>
      <w:color w:val="000090"/>
    </w:rPr>
  </w:style>
  <w:style w:type="paragraph" w:customStyle="1" w:styleId="Notedebasdepagecitation0">
    <w:name w:val="Note de bas de page citation"/>
    <w:basedOn w:val="Notedebasdepage"/>
    <w:autoRedefine/>
    <w:rsid w:val="00191528"/>
    <w:pPr>
      <w:tabs>
        <w:tab w:val="clear" w:pos="900"/>
        <w:tab w:val="left" w:pos="1260"/>
      </w:tabs>
      <w:ind w:left="900" w:hanging="360"/>
    </w:pPr>
    <w:rPr>
      <w:iCs/>
      <w:color w:val="00009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6111</Words>
  <Characters>33615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“La privatisation des sociétés d’État au Canada.”</vt:lpstr>
    </vt:vector>
  </TitlesOfParts>
  <Manager>Réjeanne Toussaint, bénévole, 2022</Manager>
  <Company>Les Classiques des sciences sociales</Company>
  <LinksUpToDate>false</LinksUpToDate>
  <CharactersWithSpaces>39647</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2281</vt:i4>
      </vt:variant>
      <vt:variant>
        <vt:i4>1025</vt:i4>
      </vt:variant>
      <vt:variant>
        <vt:i4>1</vt:i4>
      </vt:variant>
      <vt:variant>
        <vt:lpwstr>css_logo_gris</vt:lpwstr>
      </vt:variant>
      <vt:variant>
        <vt:lpwstr/>
      </vt:variant>
      <vt:variant>
        <vt:i4>5111880</vt:i4>
      </vt:variant>
      <vt:variant>
        <vt:i4>2527</vt:i4>
      </vt:variant>
      <vt:variant>
        <vt:i4>1026</vt:i4>
      </vt:variant>
      <vt:variant>
        <vt:i4>1</vt:i4>
      </vt:variant>
      <vt:variant>
        <vt:lpwstr>UQAC_logo_2018</vt:lpwstr>
      </vt:variant>
      <vt:variant>
        <vt:lpwstr/>
      </vt:variant>
      <vt:variant>
        <vt:i4>4194334</vt:i4>
      </vt:variant>
      <vt:variant>
        <vt:i4>4864</vt:i4>
      </vt:variant>
      <vt:variant>
        <vt:i4>1027</vt:i4>
      </vt:variant>
      <vt:variant>
        <vt:i4>1</vt:i4>
      </vt:variant>
      <vt:variant>
        <vt:lpwstr>Boite_aux_lettres_clair</vt:lpwstr>
      </vt:variant>
      <vt:variant>
        <vt:lpwstr/>
      </vt:variant>
      <vt:variant>
        <vt:i4>1703963</vt:i4>
      </vt:variant>
      <vt:variant>
        <vt:i4>5825</vt:i4>
      </vt:variant>
      <vt:variant>
        <vt:i4>1028</vt:i4>
      </vt:variant>
      <vt:variant>
        <vt:i4>1</vt:i4>
      </vt:variant>
      <vt:variant>
        <vt:lpwstr>fait_sur_mac</vt:lpwstr>
      </vt:variant>
      <vt:variant>
        <vt:lpwstr/>
      </vt:variant>
      <vt:variant>
        <vt:i4>2162735</vt:i4>
      </vt:variant>
      <vt:variant>
        <vt:i4>5899</vt:i4>
      </vt:variant>
      <vt:variant>
        <vt:i4>1029</vt:i4>
      </vt:variant>
      <vt:variant>
        <vt:i4>1</vt:i4>
      </vt:variant>
      <vt:variant>
        <vt:lpwstr>Intervention_econo_no_18_L25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privatisation des sociétés d’État au Canada.”</dc:title>
  <dc:subject/>
  <dc:creator>par Jeanne Kirk Laux, 1987.</dc:creator>
  <cp:keywords>classiques.sc.soc@gmail.com</cp:keywords>
  <dc:description>http://classiques.uqac.ca/</dc:description>
  <cp:lastModifiedBy>Jean-Marie Tremblay</cp:lastModifiedBy>
  <cp:revision>2</cp:revision>
  <cp:lastPrinted>2001-08-26T19:33:00Z</cp:lastPrinted>
  <dcterms:created xsi:type="dcterms:W3CDTF">2022-05-18T23:17:00Z</dcterms:created>
  <dcterms:modified xsi:type="dcterms:W3CDTF">2022-05-18T23:17:00Z</dcterms:modified>
  <cp:category>jean-marie tremblay, sociologue, fondateur, 1993</cp:category>
</cp:coreProperties>
</file>