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9793A" w:rsidRPr="00E07116" w14:paraId="30D47EB1" w14:textId="77777777">
        <w:tblPrEx>
          <w:tblCellMar>
            <w:top w:w="0" w:type="dxa"/>
            <w:bottom w:w="0" w:type="dxa"/>
          </w:tblCellMar>
        </w:tblPrEx>
        <w:tc>
          <w:tcPr>
            <w:tcW w:w="9160" w:type="dxa"/>
            <w:shd w:val="clear" w:color="auto" w:fill="E1E0D4"/>
          </w:tcPr>
          <w:p w14:paraId="652D975B" w14:textId="77777777" w:rsidR="0039793A" w:rsidRPr="00E07116" w:rsidRDefault="0039793A" w:rsidP="0039793A">
            <w:pPr>
              <w:pStyle w:val="En-tte"/>
              <w:tabs>
                <w:tab w:val="clear" w:pos="4320"/>
                <w:tab w:val="clear" w:pos="8640"/>
              </w:tabs>
              <w:rPr>
                <w:rFonts w:ascii="Times New Roman" w:hAnsi="Times New Roman"/>
                <w:sz w:val="28"/>
                <w:lang w:val="en-CA" w:bidi="ar-SA"/>
              </w:rPr>
            </w:pPr>
          </w:p>
          <w:p w14:paraId="211459A0" w14:textId="77777777" w:rsidR="0039793A" w:rsidRPr="00E07116" w:rsidRDefault="0039793A">
            <w:pPr>
              <w:ind w:firstLine="0"/>
              <w:jc w:val="center"/>
              <w:rPr>
                <w:b/>
                <w:lang w:bidi="ar-SA"/>
              </w:rPr>
            </w:pPr>
          </w:p>
          <w:p w14:paraId="24BF0141" w14:textId="77777777" w:rsidR="0039793A" w:rsidRPr="00E07116" w:rsidRDefault="0039793A">
            <w:pPr>
              <w:ind w:firstLine="0"/>
              <w:jc w:val="center"/>
              <w:rPr>
                <w:b/>
                <w:lang w:bidi="ar-SA"/>
              </w:rPr>
            </w:pPr>
          </w:p>
          <w:p w14:paraId="4E9FE1F2" w14:textId="77777777" w:rsidR="0039793A" w:rsidRDefault="0039793A" w:rsidP="0039793A">
            <w:pPr>
              <w:ind w:firstLine="0"/>
              <w:jc w:val="center"/>
              <w:rPr>
                <w:b/>
                <w:sz w:val="20"/>
                <w:lang w:bidi="ar-SA"/>
              </w:rPr>
            </w:pPr>
          </w:p>
          <w:p w14:paraId="66ABD7C1" w14:textId="77777777" w:rsidR="0039793A" w:rsidRPr="00345E00" w:rsidRDefault="0039793A" w:rsidP="0039793A">
            <w:pPr>
              <w:ind w:firstLine="0"/>
              <w:jc w:val="center"/>
              <w:rPr>
                <w:sz w:val="20"/>
                <w:lang w:bidi="ar-SA"/>
              </w:rPr>
            </w:pPr>
          </w:p>
          <w:p w14:paraId="6980F4F5" w14:textId="77777777" w:rsidR="0039793A" w:rsidRPr="009E325A" w:rsidRDefault="0039793A" w:rsidP="0039793A">
            <w:pPr>
              <w:ind w:firstLine="0"/>
              <w:jc w:val="center"/>
              <w:rPr>
                <w:sz w:val="36"/>
                <w:lang w:bidi="ar-SA"/>
              </w:rPr>
            </w:pPr>
            <w:r>
              <w:rPr>
                <w:sz w:val="36"/>
                <w:lang w:bidi="ar-SA"/>
              </w:rPr>
              <w:t>Charles-Philippe DAVID,</w:t>
            </w:r>
            <w:r>
              <w:rPr>
                <w:sz w:val="36"/>
                <w:lang w:bidi="ar-SA"/>
              </w:rPr>
              <w:br/>
            </w:r>
            <w:r w:rsidRPr="009E325A">
              <w:rPr>
                <w:sz w:val="36"/>
                <w:lang w:bidi="ar-SA"/>
              </w:rPr>
              <w:t>Louis BALTHAZAR</w:t>
            </w:r>
            <w:r>
              <w:rPr>
                <w:sz w:val="36"/>
                <w:lang w:bidi="ar-SA"/>
              </w:rPr>
              <w:t xml:space="preserve"> et Justin VAÏSSE</w:t>
            </w:r>
          </w:p>
          <w:p w14:paraId="13423FC9" w14:textId="77777777" w:rsidR="0039793A" w:rsidRDefault="0039793A" w:rsidP="0039793A">
            <w:pPr>
              <w:ind w:firstLine="0"/>
              <w:jc w:val="center"/>
              <w:rPr>
                <w:sz w:val="20"/>
                <w:lang w:bidi="ar-SA"/>
              </w:rPr>
            </w:pPr>
          </w:p>
          <w:p w14:paraId="6F95C142" w14:textId="77777777" w:rsidR="0039793A" w:rsidRPr="00F3780C" w:rsidRDefault="0039793A" w:rsidP="0039793A">
            <w:pPr>
              <w:ind w:firstLine="0"/>
              <w:jc w:val="center"/>
              <w:rPr>
                <w:sz w:val="20"/>
                <w:lang w:bidi="ar-SA"/>
              </w:rPr>
            </w:pPr>
          </w:p>
          <w:p w14:paraId="5F23E681" w14:textId="77777777" w:rsidR="0039793A" w:rsidRPr="00AA0F60" w:rsidRDefault="0039793A" w:rsidP="0039793A">
            <w:pPr>
              <w:pStyle w:val="Corpsdetexte"/>
              <w:widowControl w:val="0"/>
              <w:spacing w:before="0" w:after="0"/>
              <w:rPr>
                <w:sz w:val="44"/>
                <w:lang w:bidi="ar-SA"/>
              </w:rPr>
            </w:pPr>
            <w:r w:rsidRPr="00AA0F60">
              <w:rPr>
                <w:sz w:val="44"/>
                <w:lang w:bidi="ar-SA"/>
              </w:rPr>
              <w:t>(</w:t>
            </w:r>
            <w:r>
              <w:rPr>
                <w:sz w:val="44"/>
                <w:lang w:bidi="ar-SA"/>
              </w:rPr>
              <w:t>2003</w:t>
            </w:r>
            <w:r w:rsidRPr="00AA0F60">
              <w:rPr>
                <w:sz w:val="44"/>
                <w:lang w:bidi="ar-SA"/>
              </w:rPr>
              <w:t>)</w:t>
            </w:r>
          </w:p>
          <w:p w14:paraId="7F4EC17F" w14:textId="77777777" w:rsidR="0039793A" w:rsidRDefault="0039793A" w:rsidP="0039793A">
            <w:pPr>
              <w:pStyle w:val="Corpsdetexte"/>
              <w:widowControl w:val="0"/>
              <w:spacing w:before="0" w:after="0"/>
              <w:rPr>
                <w:color w:val="FF0000"/>
                <w:sz w:val="24"/>
                <w:lang w:bidi="ar-SA"/>
              </w:rPr>
            </w:pPr>
          </w:p>
          <w:p w14:paraId="0B620ECA" w14:textId="77777777" w:rsidR="0039793A" w:rsidRDefault="0039793A" w:rsidP="0039793A">
            <w:pPr>
              <w:pStyle w:val="Corpsdetexte"/>
              <w:widowControl w:val="0"/>
              <w:spacing w:before="0" w:after="0"/>
              <w:rPr>
                <w:color w:val="FF0000"/>
                <w:sz w:val="24"/>
                <w:lang w:bidi="ar-SA"/>
              </w:rPr>
            </w:pPr>
          </w:p>
          <w:p w14:paraId="4BDE135B" w14:textId="77777777" w:rsidR="0039793A" w:rsidRDefault="0039793A" w:rsidP="0039793A">
            <w:pPr>
              <w:pStyle w:val="Corpsdetexte"/>
              <w:widowControl w:val="0"/>
              <w:spacing w:before="0" w:after="0"/>
              <w:rPr>
                <w:color w:val="FF0000"/>
                <w:sz w:val="24"/>
                <w:lang w:bidi="ar-SA"/>
              </w:rPr>
            </w:pPr>
          </w:p>
          <w:p w14:paraId="219957D6" w14:textId="77777777" w:rsidR="0039793A" w:rsidRPr="00907CFF" w:rsidRDefault="0039793A" w:rsidP="0039793A">
            <w:pPr>
              <w:pStyle w:val="Titlest"/>
            </w:pPr>
            <w:r w:rsidRPr="00907CFF">
              <w:t>La politique étrangère</w:t>
            </w:r>
            <w:r w:rsidRPr="00907CFF">
              <w:br/>
              <w:t>des États-Unis</w:t>
            </w:r>
          </w:p>
          <w:p w14:paraId="12CB750D" w14:textId="77777777" w:rsidR="0039793A" w:rsidRPr="00F3780C" w:rsidRDefault="0039793A" w:rsidP="0039793A">
            <w:pPr>
              <w:pStyle w:val="Titlest1"/>
            </w:pPr>
            <w:r>
              <w:t>Fondements, acteurs, formulation</w:t>
            </w:r>
          </w:p>
          <w:p w14:paraId="22563211" w14:textId="77777777" w:rsidR="0039793A" w:rsidRDefault="0039793A" w:rsidP="0039793A">
            <w:pPr>
              <w:widowControl w:val="0"/>
              <w:ind w:firstLine="0"/>
              <w:jc w:val="center"/>
              <w:rPr>
                <w:lang w:bidi="ar-SA"/>
              </w:rPr>
            </w:pPr>
          </w:p>
          <w:p w14:paraId="5FCB6E72" w14:textId="77777777" w:rsidR="0039793A" w:rsidRDefault="0039793A" w:rsidP="0039793A">
            <w:pPr>
              <w:widowControl w:val="0"/>
              <w:ind w:firstLine="0"/>
              <w:jc w:val="center"/>
              <w:rPr>
                <w:lang w:bidi="ar-SA"/>
              </w:rPr>
            </w:pPr>
          </w:p>
          <w:p w14:paraId="1A58F511" w14:textId="77777777" w:rsidR="0039793A" w:rsidRDefault="0039793A" w:rsidP="0039793A">
            <w:pPr>
              <w:widowControl w:val="0"/>
              <w:ind w:firstLine="0"/>
              <w:jc w:val="center"/>
              <w:rPr>
                <w:sz w:val="20"/>
                <w:lang w:bidi="ar-SA"/>
              </w:rPr>
            </w:pPr>
          </w:p>
          <w:p w14:paraId="61BE44FF" w14:textId="77777777" w:rsidR="0039793A" w:rsidRPr="00384B20" w:rsidRDefault="0039793A">
            <w:pPr>
              <w:widowControl w:val="0"/>
              <w:ind w:firstLine="0"/>
              <w:jc w:val="center"/>
              <w:rPr>
                <w:sz w:val="20"/>
                <w:lang w:bidi="ar-SA"/>
              </w:rPr>
            </w:pPr>
          </w:p>
          <w:p w14:paraId="5B69D0D6" w14:textId="77777777" w:rsidR="0039793A" w:rsidRPr="00384B20" w:rsidRDefault="0039793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57D98A8" w14:textId="77777777" w:rsidR="0039793A" w:rsidRPr="00E07116" w:rsidRDefault="0039793A">
            <w:pPr>
              <w:widowControl w:val="0"/>
              <w:ind w:firstLine="0"/>
              <w:jc w:val="both"/>
              <w:rPr>
                <w:lang w:bidi="ar-SA"/>
              </w:rPr>
            </w:pPr>
          </w:p>
          <w:p w14:paraId="3E56229F" w14:textId="77777777" w:rsidR="0039793A" w:rsidRPr="00E07116" w:rsidRDefault="0039793A">
            <w:pPr>
              <w:widowControl w:val="0"/>
              <w:ind w:firstLine="0"/>
              <w:jc w:val="both"/>
              <w:rPr>
                <w:lang w:bidi="ar-SA"/>
              </w:rPr>
            </w:pPr>
          </w:p>
          <w:p w14:paraId="097B1371" w14:textId="77777777" w:rsidR="0039793A" w:rsidRDefault="0039793A">
            <w:pPr>
              <w:widowControl w:val="0"/>
              <w:ind w:firstLine="0"/>
              <w:jc w:val="both"/>
              <w:rPr>
                <w:lang w:bidi="ar-SA"/>
              </w:rPr>
            </w:pPr>
          </w:p>
          <w:p w14:paraId="51A59C2F" w14:textId="77777777" w:rsidR="0039793A" w:rsidRDefault="0039793A">
            <w:pPr>
              <w:widowControl w:val="0"/>
              <w:ind w:firstLine="0"/>
              <w:jc w:val="both"/>
              <w:rPr>
                <w:lang w:bidi="ar-SA"/>
              </w:rPr>
            </w:pPr>
          </w:p>
          <w:p w14:paraId="59659183" w14:textId="77777777" w:rsidR="0039793A" w:rsidRPr="00E07116" w:rsidRDefault="0039793A">
            <w:pPr>
              <w:widowControl w:val="0"/>
              <w:ind w:firstLine="0"/>
              <w:jc w:val="both"/>
              <w:rPr>
                <w:lang w:bidi="ar-SA"/>
              </w:rPr>
            </w:pPr>
          </w:p>
          <w:p w14:paraId="288C31A6" w14:textId="77777777" w:rsidR="0039793A" w:rsidRDefault="0039793A">
            <w:pPr>
              <w:widowControl w:val="0"/>
              <w:ind w:firstLine="0"/>
              <w:jc w:val="both"/>
              <w:rPr>
                <w:lang w:bidi="ar-SA"/>
              </w:rPr>
            </w:pPr>
          </w:p>
          <w:p w14:paraId="255965BA" w14:textId="77777777" w:rsidR="0039793A" w:rsidRPr="00E07116" w:rsidRDefault="0039793A">
            <w:pPr>
              <w:widowControl w:val="0"/>
              <w:ind w:firstLine="0"/>
              <w:jc w:val="both"/>
              <w:rPr>
                <w:lang w:bidi="ar-SA"/>
              </w:rPr>
            </w:pPr>
          </w:p>
          <w:p w14:paraId="71A061CA" w14:textId="77777777" w:rsidR="0039793A" w:rsidRPr="00E07116" w:rsidRDefault="0039793A">
            <w:pPr>
              <w:ind w:firstLine="0"/>
              <w:jc w:val="both"/>
              <w:rPr>
                <w:lang w:bidi="ar-SA"/>
              </w:rPr>
            </w:pPr>
          </w:p>
        </w:tc>
      </w:tr>
    </w:tbl>
    <w:p w14:paraId="630D0CF6" w14:textId="77777777" w:rsidR="0039793A" w:rsidRDefault="0039793A" w:rsidP="0039793A">
      <w:pPr>
        <w:ind w:firstLine="0"/>
        <w:jc w:val="both"/>
      </w:pPr>
      <w:r w:rsidRPr="00E07116">
        <w:br w:type="page"/>
      </w:r>
    </w:p>
    <w:p w14:paraId="06B73035" w14:textId="77777777" w:rsidR="0039793A" w:rsidRDefault="0039793A" w:rsidP="0039793A">
      <w:pPr>
        <w:ind w:firstLine="0"/>
        <w:jc w:val="both"/>
      </w:pPr>
    </w:p>
    <w:p w14:paraId="3CC117E1" w14:textId="77777777" w:rsidR="0039793A" w:rsidRDefault="0039793A" w:rsidP="0039793A">
      <w:pPr>
        <w:ind w:firstLine="0"/>
        <w:jc w:val="both"/>
      </w:pPr>
    </w:p>
    <w:p w14:paraId="56BDD62C" w14:textId="77777777" w:rsidR="0039793A" w:rsidRDefault="0039793A" w:rsidP="0039793A">
      <w:pPr>
        <w:ind w:firstLine="0"/>
        <w:jc w:val="both"/>
      </w:pPr>
    </w:p>
    <w:p w14:paraId="4BCE421B" w14:textId="77777777" w:rsidR="0039793A" w:rsidRDefault="008818C9" w:rsidP="0039793A">
      <w:pPr>
        <w:ind w:firstLine="0"/>
        <w:jc w:val="right"/>
      </w:pPr>
      <w:r>
        <w:rPr>
          <w:noProof/>
        </w:rPr>
        <w:drawing>
          <wp:inline distT="0" distB="0" distL="0" distR="0" wp14:anchorId="133F08A5" wp14:editId="743B6BE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2CAE3C5" w14:textId="77777777" w:rsidR="0039793A" w:rsidRDefault="0039793A" w:rsidP="0039793A">
      <w:pPr>
        <w:ind w:firstLine="0"/>
        <w:jc w:val="right"/>
      </w:pPr>
      <w:hyperlink r:id="rId9" w:history="1">
        <w:r w:rsidRPr="00302466">
          <w:rPr>
            <w:rStyle w:val="Hyperlien"/>
          </w:rPr>
          <w:t>http://classiques.uqac.ca/</w:t>
        </w:r>
      </w:hyperlink>
      <w:r>
        <w:t xml:space="preserve"> </w:t>
      </w:r>
    </w:p>
    <w:p w14:paraId="7C90CDDC" w14:textId="77777777" w:rsidR="0039793A" w:rsidRDefault="0039793A" w:rsidP="0039793A">
      <w:pPr>
        <w:ind w:firstLine="0"/>
        <w:jc w:val="both"/>
      </w:pPr>
    </w:p>
    <w:p w14:paraId="5A367432" w14:textId="77777777" w:rsidR="0039793A" w:rsidRDefault="0039793A" w:rsidP="0039793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61484FE" w14:textId="77777777" w:rsidR="0039793A" w:rsidRDefault="0039793A" w:rsidP="0039793A">
      <w:pPr>
        <w:ind w:firstLine="0"/>
        <w:jc w:val="both"/>
      </w:pPr>
    </w:p>
    <w:p w14:paraId="0C3EF485" w14:textId="77777777" w:rsidR="0039793A" w:rsidRDefault="0039793A" w:rsidP="0039793A">
      <w:pPr>
        <w:ind w:firstLine="0"/>
        <w:jc w:val="both"/>
      </w:pPr>
    </w:p>
    <w:p w14:paraId="663749B0" w14:textId="77777777" w:rsidR="0039793A" w:rsidRDefault="008818C9" w:rsidP="0039793A">
      <w:pPr>
        <w:ind w:firstLine="0"/>
        <w:jc w:val="both"/>
      </w:pPr>
      <w:r>
        <w:rPr>
          <w:noProof/>
        </w:rPr>
        <w:drawing>
          <wp:inline distT="0" distB="0" distL="0" distR="0" wp14:anchorId="26A714BF" wp14:editId="72D3B43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212C7B1" w14:textId="77777777" w:rsidR="0039793A" w:rsidRDefault="0039793A" w:rsidP="0039793A">
      <w:pPr>
        <w:ind w:firstLine="0"/>
        <w:jc w:val="both"/>
      </w:pPr>
      <w:hyperlink r:id="rId11" w:history="1">
        <w:r w:rsidRPr="00302466">
          <w:rPr>
            <w:rStyle w:val="Hyperlien"/>
          </w:rPr>
          <w:t>http://bibliotheque.uqac.ca/</w:t>
        </w:r>
      </w:hyperlink>
      <w:r>
        <w:t xml:space="preserve"> </w:t>
      </w:r>
    </w:p>
    <w:p w14:paraId="5583BA93" w14:textId="77777777" w:rsidR="0039793A" w:rsidRDefault="0039793A" w:rsidP="0039793A">
      <w:pPr>
        <w:ind w:firstLine="0"/>
        <w:jc w:val="both"/>
      </w:pPr>
    </w:p>
    <w:p w14:paraId="39997B2F" w14:textId="77777777" w:rsidR="0039793A" w:rsidRDefault="0039793A" w:rsidP="0039793A">
      <w:pPr>
        <w:ind w:firstLine="0"/>
        <w:jc w:val="both"/>
      </w:pPr>
    </w:p>
    <w:p w14:paraId="5017957C" w14:textId="77777777" w:rsidR="0039793A" w:rsidRDefault="0039793A" w:rsidP="0039793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3CEA6F7" w14:textId="77777777" w:rsidR="0039793A" w:rsidRPr="00E07116" w:rsidRDefault="0039793A" w:rsidP="0039793A">
      <w:pPr>
        <w:widowControl w:val="0"/>
        <w:autoSpaceDE w:val="0"/>
        <w:autoSpaceDN w:val="0"/>
        <w:adjustRightInd w:val="0"/>
        <w:rPr>
          <w:szCs w:val="32"/>
        </w:rPr>
      </w:pPr>
      <w:r w:rsidRPr="00E07116">
        <w:br w:type="page"/>
      </w:r>
    </w:p>
    <w:p w14:paraId="19E8214F" w14:textId="77777777" w:rsidR="0039793A" w:rsidRPr="005B6592" w:rsidRDefault="0039793A">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952836D" w14:textId="77777777" w:rsidR="0039793A" w:rsidRPr="00E07116" w:rsidRDefault="0039793A">
      <w:pPr>
        <w:widowControl w:val="0"/>
        <w:autoSpaceDE w:val="0"/>
        <w:autoSpaceDN w:val="0"/>
        <w:adjustRightInd w:val="0"/>
        <w:rPr>
          <w:szCs w:val="32"/>
        </w:rPr>
      </w:pPr>
    </w:p>
    <w:p w14:paraId="6D88E17C" w14:textId="77777777" w:rsidR="0039793A" w:rsidRPr="00E07116" w:rsidRDefault="0039793A">
      <w:pPr>
        <w:widowControl w:val="0"/>
        <w:autoSpaceDE w:val="0"/>
        <w:autoSpaceDN w:val="0"/>
        <w:adjustRightInd w:val="0"/>
        <w:jc w:val="both"/>
        <w:rPr>
          <w:color w:val="1C1C1C"/>
          <w:szCs w:val="26"/>
        </w:rPr>
      </w:pPr>
    </w:p>
    <w:p w14:paraId="373F39AC" w14:textId="77777777" w:rsidR="0039793A" w:rsidRPr="00E07116" w:rsidRDefault="0039793A">
      <w:pPr>
        <w:widowControl w:val="0"/>
        <w:autoSpaceDE w:val="0"/>
        <w:autoSpaceDN w:val="0"/>
        <w:adjustRightInd w:val="0"/>
        <w:jc w:val="both"/>
        <w:rPr>
          <w:color w:val="1C1C1C"/>
          <w:szCs w:val="26"/>
        </w:rPr>
      </w:pPr>
    </w:p>
    <w:p w14:paraId="0F945D6B" w14:textId="77777777" w:rsidR="0039793A" w:rsidRPr="00E07116" w:rsidRDefault="0039793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9D094DB" w14:textId="77777777" w:rsidR="0039793A" w:rsidRPr="00E07116" w:rsidRDefault="0039793A">
      <w:pPr>
        <w:widowControl w:val="0"/>
        <w:autoSpaceDE w:val="0"/>
        <w:autoSpaceDN w:val="0"/>
        <w:adjustRightInd w:val="0"/>
        <w:jc w:val="both"/>
        <w:rPr>
          <w:color w:val="1C1C1C"/>
          <w:szCs w:val="26"/>
        </w:rPr>
      </w:pPr>
    </w:p>
    <w:p w14:paraId="61EB7E3B" w14:textId="77777777" w:rsidR="0039793A" w:rsidRPr="00E07116" w:rsidRDefault="0039793A" w:rsidP="0039793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256941F" w14:textId="77777777" w:rsidR="0039793A" w:rsidRPr="00E07116" w:rsidRDefault="0039793A" w:rsidP="0039793A">
      <w:pPr>
        <w:widowControl w:val="0"/>
        <w:autoSpaceDE w:val="0"/>
        <w:autoSpaceDN w:val="0"/>
        <w:adjustRightInd w:val="0"/>
        <w:jc w:val="both"/>
        <w:rPr>
          <w:color w:val="1C1C1C"/>
          <w:szCs w:val="26"/>
        </w:rPr>
      </w:pPr>
    </w:p>
    <w:p w14:paraId="6E7D384F" w14:textId="77777777" w:rsidR="0039793A" w:rsidRPr="00E07116" w:rsidRDefault="0039793A" w:rsidP="0039793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4E620BD" w14:textId="77777777" w:rsidR="0039793A" w:rsidRPr="00E07116" w:rsidRDefault="0039793A" w:rsidP="0039793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B82DE2F" w14:textId="77777777" w:rsidR="0039793A" w:rsidRPr="00E07116" w:rsidRDefault="0039793A" w:rsidP="0039793A">
      <w:pPr>
        <w:widowControl w:val="0"/>
        <w:autoSpaceDE w:val="0"/>
        <w:autoSpaceDN w:val="0"/>
        <w:adjustRightInd w:val="0"/>
        <w:jc w:val="both"/>
        <w:rPr>
          <w:color w:val="1C1C1C"/>
          <w:szCs w:val="26"/>
        </w:rPr>
      </w:pPr>
    </w:p>
    <w:p w14:paraId="06927DA8" w14:textId="77777777" w:rsidR="0039793A" w:rsidRPr="00E07116" w:rsidRDefault="0039793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CEB3B92" w14:textId="77777777" w:rsidR="0039793A" w:rsidRPr="00E07116" w:rsidRDefault="0039793A">
      <w:pPr>
        <w:widowControl w:val="0"/>
        <w:autoSpaceDE w:val="0"/>
        <w:autoSpaceDN w:val="0"/>
        <w:adjustRightInd w:val="0"/>
        <w:jc w:val="both"/>
        <w:rPr>
          <w:color w:val="1C1C1C"/>
          <w:szCs w:val="26"/>
        </w:rPr>
      </w:pPr>
    </w:p>
    <w:p w14:paraId="275929F4" w14:textId="77777777" w:rsidR="0039793A" w:rsidRPr="00E07116" w:rsidRDefault="0039793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2AB4E48" w14:textId="77777777" w:rsidR="0039793A" w:rsidRPr="00E07116" w:rsidRDefault="0039793A">
      <w:pPr>
        <w:rPr>
          <w:b/>
          <w:color w:val="1C1C1C"/>
          <w:szCs w:val="26"/>
        </w:rPr>
      </w:pPr>
    </w:p>
    <w:p w14:paraId="20E6F56D" w14:textId="77777777" w:rsidR="0039793A" w:rsidRPr="00E07116" w:rsidRDefault="0039793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7622532" w14:textId="77777777" w:rsidR="0039793A" w:rsidRPr="00E07116" w:rsidRDefault="0039793A">
      <w:pPr>
        <w:rPr>
          <w:b/>
          <w:color w:val="1C1C1C"/>
          <w:szCs w:val="26"/>
        </w:rPr>
      </w:pPr>
    </w:p>
    <w:p w14:paraId="6B39DDC2" w14:textId="77777777" w:rsidR="0039793A" w:rsidRPr="00E07116" w:rsidRDefault="0039793A">
      <w:pPr>
        <w:rPr>
          <w:color w:val="1C1C1C"/>
          <w:szCs w:val="26"/>
        </w:rPr>
      </w:pPr>
      <w:r w:rsidRPr="00E07116">
        <w:rPr>
          <w:color w:val="1C1C1C"/>
          <w:szCs w:val="26"/>
        </w:rPr>
        <w:t>Jean-Marie Tremblay, sociologue</w:t>
      </w:r>
    </w:p>
    <w:p w14:paraId="25FD3937" w14:textId="77777777" w:rsidR="0039793A" w:rsidRPr="00E07116" w:rsidRDefault="0039793A">
      <w:pPr>
        <w:rPr>
          <w:color w:val="1C1C1C"/>
          <w:szCs w:val="26"/>
        </w:rPr>
      </w:pPr>
      <w:r w:rsidRPr="00E07116">
        <w:rPr>
          <w:color w:val="1C1C1C"/>
          <w:szCs w:val="26"/>
        </w:rPr>
        <w:t>Fondateur et Président-directeur général,</w:t>
      </w:r>
    </w:p>
    <w:p w14:paraId="7E88AF72" w14:textId="77777777" w:rsidR="0039793A" w:rsidRPr="00E07116" w:rsidRDefault="0039793A">
      <w:pPr>
        <w:rPr>
          <w:color w:val="000080"/>
        </w:rPr>
      </w:pPr>
      <w:r w:rsidRPr="00E07116">
        <w:rPr>
          <w:color w:val="000080"/>
          <w:szCs w:val="26"/>
        </w:rPr>
        <w:t>LES CLASSIQUES DES SCIENCES SOCIALES.</w:t>
      </w:r>
    </w:p>
    <w:p w14:paraId="5CBF98A8" w14:textId="77777777" w:rsidR="0039793A" w:rsidRDefault="0039793A" w:rsidP="0039793A">
      <w:pPr>
        <w:ind w:right="720" w:firstLine="0"/>
        <w:rPr>
          <w:sz w:val="24"/>
        </w:rPr>
      </w:pPr>
      <w:r>
        <w:br w:type="page"/>
      </w:r>
      <w:r w:rsidRPr="001C1E58">
        <w:rPr>
          <w:sz w:val="24"/>
        </w:rPr>
        <w:lastRenderedPageBreak/>
        <w:t xml:space="preserve">Cette édition électronique a été réalisée par </w:t>
      </w:r>
      <w:r w:rsidRPr="001C1E58">
        <w:rPr>
          <w:i/>
          <w:color w:val="0000FF"/>
          <w:sz w:val="24"/>
        </w:rPr>
        <w:t>Elvis Noël IRAMBONA</w:t>
      </w:r>
      <w:r w:rsidRPr="001C1E58">
        <w:rPr>
          <w:sz w:val="24"/>
        </w:rPr>
        <w:t>, bén</w:t>
      </w:r>
      <w:r w:rsidRPr="001C1E58">
        <w:rPr>
          <w:sz w:val="24"/>
        </w:rPr>
        <w:t>é</w:t>
      </w:r>
      <w:r w:rsidRPr="001C1E58">
        <w:rPr>
          <w:sz w:val="24"/>
        </w:rPr>
        <w:t xml:space="preserve">vole, étudiant en informatique au Burundi. </w:t>
      </w:r>
      <w:hyperlink r:id="rId12" w:history="1">
        <w:r w:rsidRPr="001C1E58">
          <w:rPr>
            <w:rStyle w:val="Hyperlien"/>
            <w:sz w:val="24"/>
          </w:rPr>
          <w:t>Page web dans Les Classiques des sciences sociales</w:t>
        </w:r>
      </w:hyperlink>
      <w:r>
        <w:rPr>
          <w:sz w:val="24"/>
        </w:rPr>
        <w:t> :</w:t>
      </w:r>
    </w:p>
    <w:p w14:paraId="3D5042C4" w14:textId="77777777" w:rsidR="0039793A" w:rsidRDefault="0039793A" w:rsidP="0039793A">
      <w:pPr>
        <w:ind w:firstLine="0"/>
        <w:jc w:val="both"/>
        <w:rPr>
          <w:sz w:val="24"/>
        </w:rPr>
      </w:pPr>
      <w:hyperlink r:id="rId13" w:history="1">
        <w:r w:rsidRPr="002C0C87">
          <w:rPr>
            <w:rStyle w:val="Hyperlien"/>
            <w:sz w:val="24"/>
          </w:rPr>
          <w:t>http://classiques.uqac.ca/inter/benevoles_equipe/liste_irambona_elvis-noel.html</w:t>
        </w:r>
      </w:hyperlink>
    </w:p>
    <w:p w14:paraId="4B1E3BF5" w14:textId="77777777" w:rsidR="0039793A" w:rsidRDefault="0039793A" w:rsidP="0039793A">
      <w:pPr>
        <w:ind w:firstLine="0"/>
        <w:jc w:val="both"/>
        <w:rPr>
          <w:sz w:val="24"/>
        </w:rPr>
      </w:pPr>
    </w:p>
    <w:p w14:paraId="61EF0F47" w14:textId="77777777" w:rsidR="0039793A" w:rsidRPr="00CF4C8E" w:rsidRDefault="0039793A" w:rsidP="0039793A">
      <w:pPr>
        <w:ind w:firstLine="0"/>
        <w:jc w:val="both"/>
        <w:rPr>
          <w:sz w:val="24"/>
        </w:rPr>
      </w:pPr>
      <w:r w:rsidRPr="00CF4C8E">
        <w:rPr>
          <w:sz w:val="24"/>
        </w:rPr>
        <w:t>à partir du texte de :</w:t>
      </w:r>
    </w:p>
    <w:p w14:paraId="2B29F880" w14:textId="77777777" w:rsidR="0039793A" w:rsidRPr="00384B20" w:rsidRDefault="0039793A" w:rsidP="0039793A">
      <w:pPr>
        <w:ind w:firstLine="0"/>
        <w:jc w:val="both"/>
        <w:rPr>
          <w:sz w:val="24"/>
        </w:rPr>
      </w:pPr>
    </w:p>
    <w:p w14:paraId="042F1AF3" w14:textId="77777777" w:rsidR="0039793A" w:rsidRPr="00E07116" w:rsidRDefault="0039793A" w:rsidP="0039793A">
      <w:pPr>
        <w:ind w:left="20" w:firstLine="340"/>
        <w:jc w:val="both"/>
      </w:pPr>
      <w:r>
        <w:t>Charles-Philippe David, Louis Balthazar, Justin Vaïsse</w:t>
      </w:r>
    </w:p>
    <w:p w14:paraId="1E298497" w14:textId="77777777" w:rsidR="0039793A" w:rsidRPr="00E07116" w:rsidRDefault="0039793A" w:rsidP="0039793A">
      <w:pPr>
        <w:ind w:left="20" w:firstLine="340"/>
        <w:jc w:val="both"/>
      </w:pPr>
    </w:p>
    <w:p w14:paraId="39D0640E" w14:textId="77777777" w:rsidR="0039793A" w:rsidRPr="00E07116" w:rsidRDefault="0039793A" w:rsidP="0039793A">
      <w:pPr>
        <w:jc w:val="both"/>
      </w:pPr>
      <w:r>
        <w:rPr>
          <w:b/>
          <w:color w:val="000080"/>
        </w:rPr>
        <w:t>La politique étrangère des «É</w:t>
      </w:r>
      <w:r w:rsidRPr="00907CFF">
        <w:rPr>
          <w:b/>
          <w:color w:val="000080"/>
        </w:rPr>
        <w:t xml:space="preserve">tats-Unis. </w:t>
      </w:r>
      <w:r w:rsidRPr="00642210">
        <w:rPr>
          <w:b/>
          <w:i/>
          <w:color w:val="000080"/>
        </w:rPr>
        <w:t>Fondements, acteurs, formulation</w:t>
      </w:r>
      <w:r w:rsidRPr="00907CFF">
        <w:rPr>
          <w:b/>
          <w:color w:val="000080"/>
        </w:rPr>
        <w:t xml:space="preserve"> </w:t>
      </w:r>
    </w:p>
    <w:p w14:paraId="0A9B46B4" w14:textId="77777777" w:rsidR="0039793A" w:rsidRPr="00E07116" w:rsidRDefault="0039793A" w:rsidP="0039793A">
      <w:pPr>
        <w:jc w:val="both"/>
      </w:pPr>
    </w:p>
    <w:p w14:paraId="01F42429" w14:textId="77777777" w:rsidR="0039793A" w:rsidRPr="00345E00" w:rsidRDefault="0039793A" w:rsidP="0039793A">
      <w:pPr>
        <w:jc w:val="both"/>
        <w:rPr>
          <w:sz w:val="24"/>
        </w:rPr>
      </w:pPr>
      <w:r>
        <w:rPr>
          <w:sz w:val="24"/>
        </w:rPr>
        <w:t>Paris : Les Presses de Sciences Po, octobre 2003, 382 pp.</w:t>
      </w:r>
    </w:p>
    <w:p w14:paraId="0E1BF84A" w14:textId="77777777" w:rsidR="0039793A" w:rsidRPr="00384B20" w:rsidRDefault="0039793A" w:rsidP="0039793A">
      <w:pPr>
        <w:jc w:val="both"/>
        <w:rPr>
          <w:sz w:val="24"/>
        </w:rPr>
      </w:pPr>
    </w:p>
    <w:p w14:paraId="6210D59F" w14:textId="77777777" w:rsidR="0039793A" w:rsidRDefault="0039793A" w:rsidP="0039793A">
      <w:pPr>
        <w:jc w:val="both"/>
      </w:pPr>
      <w:r>
        <w:t>Le 9 octobre 2004, M. Louis Balthazar nous a autorisé à diffuser en libre accès à tous de toutes ses publications dans Les Classiques des sciences sociales.</w:t>
      </w:r>
    </w:p>
    <w:p w14:paraId="3AE02215" w14:textId="77777777" w:rsidR="0039793A" w:rsidRPr="00384B20" w:rsidRDefault="0039793A" w:rsidP="0039793A">
      <w:pPr>
        <w:jc w:val="both"/>
        <w:rPr>
          <w:sz w:val="24"/>
        </w:rPr>
      </w:pPr>
    </w:p>
    <w:p w14:paraId="438859FE" w14:textId="77777777" w:rsidR="0039793A" w:rsidRPr="00907CFF" w:rsidRDefault="008818C9" w:rsidP="0039793A">
      <w:pPr>
        <w:jc w:val="both"/>
      </w:pPr>
      <w:r w:rsidRPr="00907CFF">
        <w:rPr>
          <w:noProof/>
        </w:rPr>
        <w:drawing>
          <wp:inline distT="0" distB="0" distL="0" distR="0" wp14:anchorId="3EB63B43" wp14:editId="700C4EAE">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9793A" w:rsidRPr="00907CFF">
        <w:t xml:space="preserve"> Courriel : Louis Balthazar : </w:t>
      </w:r>
      <w:hyperlink r:id="rId15" w:history="1">
        <w:r w:rsidR="0039793A" w:rsidRPr="00907CFF">
          <w:rPr>
            <w:rStyle w:val="Hyperlien"/>
          </w:rPr>
          <w:t>louis.balthazar@videotron.ca</w:t>
        </w:r>
      </w:hyperlink>
      <w:r w:rsidR="0039793A" w:rsidRPr="00907CFF">
        <w:t xml:space="preserve"> </w:t>
      </w:r>
    </w:p>
    <w:p w14:paraId="60F1415C" w14:textId="77777777" w:rsidR="0039793A" w:rsidRDefault="0039793A" w:rsidP="0039793A">
      <w:pPr>
        <w:ind w:left="20"/>
        <w:jc w:val="both"/>
        <w:rPr>
          <w:sz w:val="24"/>
        </w:rPr>
      </w:pPr>
    </w:p>
    <w:p w14:paraId="22654954" w14:textId="77777777" w:rsidR="0039793A" w:rsidRPr="00384B20" w:rsidRDefault="0039793A" w:rsidP="0039793A">
      <w:pPr>
        <w:ind w:left="20"/>
        <w:jc w:val="both"/>
        <w:rPr>
          <w:sz w:val="24"/>
        </w:rPr>
      </w:pPr>
    </w:p>
    <w:p w14:paraId="22BAEC5E" w14:textId="77777777" w:rsidR="0039793A" w:rsidRPr="00384B20" w:rsidRDefault="0039793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80A853F" w14:textId="77777777" w:rsidR="0039793A" w:rsidRPr="00384B20" w:rsidRDefault="0039793A">
      <w:pPr>
        <w:ind w:right="1800" w:firstLine="0"/>
        <w:jc w:val="both"/>
        <w:rPr>
          <w:sz w:val="24"/>
        </w:rPr>
      </w:pPr>
    </w:p>
    <w:p w14:paraId="46A6BD72" w14:textId="77777777" w:rsidR="0039793A" w:rsidRPr="00384B20" w:rsidRDefault="0039793A" w:rsidP="0039793A">
      <w:pPr>
        <w:ind w:left="360" w:right="360" w:firstLine="0"/>
        <w:jc w:val="both"/>
        <w:rPr>
          <w:sz w:val="24"/>
        </w:rPr>
      </w:pPr>
      <w:r w:rsidRPr="00384B20">
        <w:rPr>
          <w:sz w:val="24"/>
        </w:rPr>
        <w:t>Pour le texte: Times New Roman, 14 points.</w:t>
      </w:r>
    </w:p>
    <w:p w14:paraId="05BE8620" w14:textId="77777777" w:rsidR="0039793A" w:rsidRPr="00384B20" w:rsidRDefault="0039793A" w:rsidP="0039793A">
      <w:pPr>
        <w:ind w:left="360" w:right="360" w:firstLine="0"/>
        <w:jc w:val="both"/>
        <w:rPr>
          <w:sz w:val="24"/>
        </w:rPr>
      </w:pPr>
      <w:r w:rsidRPr="00384B20">
        <w:rPr>
          <w:sz w:val="24"/>
        </w:rPr>
        <w:t>Pour les notes de bas de page : Times New Roman, 12 points.</w:t>
      </w:r>
    </w:p>
    <w:p w14:paraId="792C2694" w14:textId="77777777" w:rsidR="0039793A" w:rsidRPr="00384B20" w:rsidRDefault="0039793A">
      <w:pPr>
        <w:ind w:left="360" w:right="1800" w:firstLine="0"/>
        <w:jc w:val="both"/>
        <w:rPr>
          <w:sz w:val="24"/>
        </w:rPr>
      </w:pPr>
    </w:p>
    <w:p w14:paraId="2DD0FB5F" w14:textId="77777777" w:rsidR="0039793A" w:rsidRPr="00384B20" w:rsidRDefault="0039793A">
      <w:pPr>
        <w:ind w:right="360" w:firstLine="0"/>
        <w:jc w:val="both"/>
        <w:rPr>
          <w:sz w:val="24"/>
        </w:rPr>
      </w:pPr>
      <w:r w:rsidRPr="00384B20">
        <w:rPr>
          <w:sz w:val="24"/>
        </w:rPr>
        <w:t>Édition électronique réalisée avec le traitement de textes Microsoft Word 2008 pour Macintosh.</w:t>
      </w:r>
    </w:p>
    <w:p w14:paraId="45482BE0" w14:textId="77777777" w:rsidR="0039793A" w:rsidRPr="00384B20" w:rsidRDefault="0039793A">
      <w:pPr>
        <w:ind w:right="1800" w:firstLine="0"/>
        <w:jc w:val="both"/>
        <w:rPr>
          <w:sz w:val="24"/>
        </w:rPr>
      </w:pPr>
    </w:p>
    <w:p w14:paraId="7CC80B56" w14:textId="77777777" w:rsidR="0039793A" w:rsidRPr="00384B20" w:rsidRDefault="0039793A" w:rsidP="0039793A">
      <w:pPr>
        <w:ind w:right="540" w:firstLine="0"/>
        <w:jc w:val="both"/>
        <w:rPr>
          <w:sz w:val="24"/>
        </w:rPr>
      </w:pPr>
      <w:r w:rsidRPr="00384B20">
        <w:rPr>
          <w:sz w:val="24"/>
        </w:rPr>
        <w:t>Mise en page sur papier format : LETTRE US, 8.5’’ x 11’’.</w:t>
      </w:r>
    </w:p>
    <w:p w14:paraId="2167CFB7" w14:textId="77777777" w:rsidR="0039793A" w:rsidRPr="00384B20" w:rsidRDefault="0039793A">
      <w:pPr>
        <w:ind w:right="1800" w:firstLine="0"/>
        <w:jc w:val="both"/>
        <w:rPr>
          <w:sz w:val="24"/>
        </w:rPr>
      </w:pPr>
    </w:p>
    <w:p w14:paraId="2698617F" w14:textId="77777777" w:rsidR="0039793A" w:rsidRPr="00384B20" w:rsidRDefault="0039793A" w:rsidP="0039793A">
      <w:pPr>
        <w:ind w:firstLine="0"/>
        <w:jc w:val="both"/>
        <w:rPr>
          <w:sz w:val="24"/>
        </w:rPr>
      </w:pPr>
      <w:r w:rsidRPr="00384B20">
        <w:rPr>
          <w:sz w:val="24"/>
        </w:rPr>
        <w:t xml:space="preserve">Édition numérique réalisée le </w:t>
      </w:r>
      <w:r>
        <w:rPr>
          <w:sz w:val="24"/>
        </w:rPr>
        <w:t>5 décembre 2022 à Chicoutimi</w:t>
      </w:r>
      <w:r w:rsidRPr="00384B20">
        <w:rPr>
          <w:sz w:val="24"/>
        </w:rPr>
        <w:t>, Qu</w:t>
      </w:r>
      <w:r w:rsidRPr="00384B20">
        <w:rPr>
          <w:sz w:val="24"/>
        </w:rPr>
        <w:t>é</w:t>
      </w:r>
      <w:r w:rsidRPr="00384B20">
        <w:rPr>
          <w:sz w:val="24"/>
        </w:rPr>
        <w:t>bec.</w:t>
      </w:r>
    </w:p>
    <w:p w14:paraId="3EE0F996" w14:textId="77777777" w:rsidR="0039793A" w:rsidRPr="00384B20" w:rsidRDefault="0039793A">
      <w:pPr>
        <w:ind w:right="1800" w:firstLine="0"/>
        <w:jc w:val="both"/>
        <w:rPr>
          <w:sz w:val="24"/>
        </w:rPr>
      </w:pPr>
    </w:p>
    <w:p w14:paraId="57D3CF06" w14:textId="77777777" w:rsidR="0039793A" w:rsidRPr="00E07116" w:rsidRDefault="008818C9">
      <w:pPr>
        <w:ind w:right="1800" w:firstLine="0"/>
        <w:jc w:val="both"/>
      </w:pPr>
      <w:r w:rsidRPr="00E07116">
        <w:rPr>
          <w:noProof/>
        </w:rPr>
        <w:drawing>
          <wp:inline distT="0" distB="0" distL="0" distR="0" wp14:anchorId="23336525" wp14:editId="05BC00B4">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3BA09B8" w14:textId="77777777" w:rsidR="0039793A" w:rsidRPr="00E07116" w:rsidRDefault="0039793A" w:rsidP="0039793A">
      <w:pPr>
        <w:ind w:left="20"/>
        <w:jc w:val="both"/>
      </w:pPr>
      <w:r w:rsidRPr="00E07116">
        <w:br w:type="page"/>
      </w:r>
    </w:p>
    <w:p w14:paraId="4313D14D" w14:textId="77777777" w:rsidR="0039793A" w:rsidRDefault="0039793A" w:rsidP="0039793A">
      <w:pPr>
        <w:ind w:firstLine="0"/>
        <w:jc w:val="center"/>
        <w:rPr>
          <w:sz w:val="36"/>
          <w:lang w:bidi="ar-SA"/>
        </w:rPr>
      </w:pPr>
      <w:r>
        <w:rPr>
          <w:sz w:val="36"/>
          <w:lang w:bidi="ar-SA"/>
        </w:rPr>
        <w:t>Charles-Philippe DAVID,</w:t>
      </w:r>
      <w:r>
        <w:rPr>
          <w:sz w:val="36"/>
          <w:lang w:bidi="ar-SA"/>
        </w:rPr>
        <w:br/>
      </w:r>
      <w:r w:rsidRPr="009E325A">
        <w:rPr>
          <w:sz w:val="36"/>
          <w:lang w:bidi="ar-SA"/>
        </w:rPr>
        <w:t>Louis BALTHAZAR</w:t>
      </w:r>
      <w:r>
        <w:rPr>
          <w:sz w:val="36"/>
          <w:lang w:bidi="ar-SA"/>
        </w:rPr>
        <w:t xml:space="preserve"> et Justin VAISSE</w:t>
      </w:r>
    </w:p>
    <w:p w14:paraId="6A5161BE" w14:textId="77777777" w:rsidR="0039793A" w:rsidRPr="00E07116" w:rsidRDefault="0039793A" w:rsidP="0039793A">
      <w:pPr>
        <w:ind w:firstLine="0"/>
        <w:jc w:val="center"/>
      </w:pPr>
    </w:p>
    <w:p w14:paraId="4F1FB002" w14:textId="77777777" w:rsidR="0039793A" w:rsidRPr="00642210" w:rsidRDefault="0039793A" w:rsidP="0039793A">
      <w:pPr>
        <w:ind w:firstLine="0"/>
        <w:jc w:val="center"/>
        <w:rPr>
          <w:color w:val="000080"/>
          <w:sz w:val="36"/>
        </w:rPr>
      </w:pPr>
      <w:r w:rsidRPr="00642210">
        <w:rPr>
          <w:color w:val="000080"/>
          <w:sz w:val="36"/>
        </w:rPr>
        <w:t>La politique étrangère des «États-Unis.</w:t>
      </w:r>
      <w:r w:rsidRPr="00642210">
        <w:rPr>
          <w:color w:val="000080"/>
          <w:sz w:val="36"/>
        </w:rPr>
        <w:br/>
      </w:r>
      <w:r w:rsidRPr="00642210">
        <w:rPr>
          <w:i/>
          <w:color w:val="000080"/>
          <w:sz w:val="36"/>
        </w:rPr>
        <w:t>Fondements, acteurs, fo</w:t>
      </w:r>
      <w:r w:rsidRPr="00642210">
        <w:rPr>
          <w:i/>
          <w:color w:val="000080"/>
          <w:sz w:val="36"/>
        </w:rPr>
        <w:t>r</w:t>
      </w:r>
      <w:r w:rsidRPr="00642210">
        <w:rPr>
          <w:i/>
          <w:color w:val="000080"/>
          <w:sz w:val="36"/>
        </w:rPr>
        <w:t>mulation</w:t>
      </w:r>
      <w:r w:rsidRPr="00642210">
        <w:rPr>
          <w:color w:val="000080"/>
          <w:sz w:val="36"/>
        </w:rPr>
        <w:t xml:space="preserve"> </w:t>
      </w:r>
    </w:p>
    <w:p w14:paraId="0DB00B7B" w14:textId="77777777" w:rsidR="0039793A" w:rsidRPr="00E07116" w:rsidRDefault="0039793A" w:rsidP="0039793A">
      <w:pPr>
        <w:ind w:firstLine="0"/>
        <w:jc w:val="center"/>
      </w:pPr>
    </w:p>
    <w:p w14:paraId="35B51D7D" w14:textId="77777777" w:rsidR="0039793A" w:rsidRDefault="008818C9" w:rsidP="0039793A">
      <w:pPr>
        <w:ind w:firstLine="0"/>
        <w:jc w:val="center"/>
      </w:pPr>
      <w:r>
        <w:rPr>
          <w:noProof/>
        </w:rPr>
        <w:drawing>
          <wp:inline distT="0" distB="0" distL="0" distR="0" wp14:anchorId="1873BF14" wp14:editId="2B7612E5">
            <wp:extent cx="3200400" cy="51943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5194300"/>
                    </a:xfrm>
                    <a:prstGeom prst="rect">
                      <a:avLst/>
                    </a:prstGeom>
                    <a:noFill/>
                    <a:ln w="6350" cmpd="sng">
                      <a:solidFill>
                        <a:srgbClr val="000000"/>
                      </a:solidFill>
                      <a:miter lim="800000"/>
                      <a:headEnd/>
                      <a:tailEnd/>
                    </a:ln>
                    <a:effectLst/>
                  </pic:spPr>
                </pic:pic>
              </a:graphicData>
            </a:graphic>
          </wp:inline>
        </w:drawing>
      </w:r>
    </w:p>
    <w:p w14:paraId="003919E8" w14:textId="77777777" w:rsidR="0039793A" w:rsidRDefault="0039793A" w:rsidP="0039793A">
      <w:pPr>
        <w:ind w:firstLine="0"/>
        <w:jc w:val="center"/>
      </w:pPr>
    </w:p>
    <w:p w14:paraId="29A3966D" w14:textId="77777777" w:rsidR="0039793A" w:rsidRPr="00E07116" w:rsidRDefault="0039793A" w:rsidP="0039793A">
      <w:pPr>
        <w:ind w:firstLine="0"/>
        <w:jc w:val="center"/>
      </w:pPr>
      <w:r>
        <w:rPr>
          <w:sz w:val="24"/>
        </w:rPr>
        <w:t>Paris : Les Presses de Sciences Po, octobre 2003, 382 pp.</w:t>
      </w:r>
    </w:p>
    <w:p w14:paraId="03CE8F79" w14:textId="77777777" w:rsidR="0039793A" w:rsidRPr="00E07116" w:rsidRDefault="0039793A" w:rsidP="0039793A">
      <w:pPr>
        <w:spacing w:before="120" w:after="120"/>
        <w:jc w:val="both"/>
      </w:pPr>
      <w:r w:rsidRPr="00E07116">
        <w:br w:type="page"/>
      </w:r>
    </w:p>
    <w:p w14:paraId="2662B57A" w14:textId="77777777" w:rsidR="0039793A" w:rsidRPr="00E07116" w:rsidRDefault="0039793A" w:rsidP="0039793A">
      <w:pPr>
        <w:jc w:val="both"/>
      </w:pPr>
    </w:p>
    <w:p w14:paraId="33D8DCB7" w14:textId="77777777" w:rsidR="0039793A" w:rsidRPr="00E07116" w:rsidRDefault="0039793A" w:rsidP="0039793A">
      <w:pPr>
        <w:jc w:val="both"/>
      </w:pPr>
    </w:p>
    <w:p w14:paraId="219838B1" w14:textId="77777777" w:rsidR="0039793A" w:rsidRPr="00642210" w:rsidRDefault="0039793A" w:rsidP="0039793A">
      <w:pPr>
        <w:spacing w:after="120"/>
        <w:jc w:val="center"/>
      </w:pPr>
      <w:bookmarkStart w:id="0" w:name="Pol_EU_4e_de_couverture"/>
      <w:r w:rsidRPr="00642210">
        <w:rPr>
          <w:b/>
        </w:rPr>
        <w:t>La politique étrangère des «États-Unis.</w:t>
      </w:r>
      <w:r w:rsidRPr="00642210">
        <w:rPr>
          <w:b/>
        </w:rPr>
        <w:br/>
      </w:r>
      <w:r w:rsidRPr="00642210">
        <w:rPr>
          <w:i/>
        </w:rPr>
        <w:t>Fondements, acteurs, formulation</w:t>
      </w:r>
    </w:p>
    <w:p w14:paraId="67C39A77" w14:textId="77777777" w:rsidR="0039793A" w:rsidRPr="00E07116" w:rsidRDefault="0039793A" w:rsidP="0039793A">
      <w:pPr>
        <w:pStyle w:val="planchest"/>
      </w:pPr>
      <w:r w:rsidRPr="00E07116">
        <w:t>Quatrième de couverture</w:t>
      </w:r>
    </w:p>
    <w:bookmarkEnd w:id="0"/>
    <w:p w14:paraId="5609C1F6" w14:textId="77777777" w:rsidR="0039793A" w:rsidRPr="00E07116" w:rsidRDefault="0039793A" w:rsidP="0039793A">
      <w:pPr>
        <w:jc w:val="both"/>
      </w:pPr>
    </w:p>
    <w:p w14:paraId="4F62E870" w14:textId="77777777" w:rsidR="0039793A" w:rsidRPr="00E07116" w:rsidRDefault="0039793A" w:rsidP="0039793A">
      <w:pPr>
        <w:jc w:val="both"/>
      </w:pPr>
    </w:p>
    <w:p w14:paraId="207BE403" w14:textId="77777777" w:rsidR="0039793A" w:rsidRPr="00E07116" w:rsidRDefault="0039793A" w:rsidP="0039793A">
      <w:pPr>
        <w:jc w:val="both"/>
      </w:pPr>
    </w:p>
    <w:p w14:paraId="4BE6F9F7" w14:textId="77777777" w:rsidR="0039793A" w:rsidRPr="00E07116" w:rsidRDefault="0039793A" w:rsidP="0039793A">
      <w:pPr>
        <w:jc w:val="both"/>
      </w:pPr>
    </w:p>
    <w:p w14:paraId="77105F61" w14:textId="77777777" w:rsidR="0039793A" w:rsidRPr="00E07116" w:rsidRDefault="0039793A" w:rsidP="0039793A">
      <w:pPr>
        <w:jc w:val="both"/>
      </w:pPr>
    </w:p>
    <w:p w14:paraId="4A280699"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7C91E6E2" w14:textId="77777777" w:rsidR="0039793A" w:rsidRPr="00D2217B" w:rsidRDefault="0039793A" w:rsidP="0039793A">
      <w:pPr>
        <w:spacing w:before="120" w:after="120"/>
        <w:jc w:val="both"/>
      </w:pPr>
      <w:r>
        <w:rPr>
          <w:lang w:eastAsia="fr-FR" w:bidi="fr-FR"/>
        </w:rPr>
        <w:t>A</w:t>
      </w:r>
      <w:r w:rsidRPr="00D2217B">
        <w:rPr>
          <w:lang w:eastAsia="fr-FR" w:bidi="fr-FR"/>
        </w:rPr>
        <w:t>ux États-Unis plus qu’ailleurs, sans doute, le processus d’élaboration de la politique étrangère implique une grande diversité d’acteurs, génère d’intenses débats et suppose de longs arbitrages. Les États-Unis ne forment pas un bloc monolith</w:t>
      </w:r>
      <w:r w:rsidRPr="00D2217B">
        <w:rPr>
          <w:lang w:eastAsia="fr-FR" w:bidi="fr-FR"/>
        </w:rPr>
        <w:t>i</w:t>
      </w:r>
      <w:r w:rsidRPr="00D2217B">
        <w:rPr>
          <w:lang w:eastAsia="fr-FR" w:bidi="fr-FR"/>
        </w:rPr>
        <w:t>que et les principes d’élaboration de la politique extérieure ne sont pas intangibles. Sa formulation est d’ailleurs d’une telle complexité qu’elle est d</w:t>
      </w:r>
      <w:r w:rsidRPr="00D2217B">
        <w:rPr>
          <w:lang w:eastAsia="fr-FR" w:bidi="fr-FR"/>
        </w:rPr>
        <w:t>e</w:t>
      </w:r>
      <w:r w:rsidRPr="00D2217B">
        <w:rPr>
          <w:lang w:eastAsia="fr-FR" w:bidi="fr-FR"/>
        </w:rPr>
        <w:t>venue, à elle seule, un champ d’études très développé des sciences sociales a</w:t>
      </w:r>
      <w:r w:rsidRPr="00D2217B">
        <w:rPr>
          <w:lang w:eastAsia="fr-FR" w:bidi="fr-FR"/>
        </w:rPr>
        <w:t>n</w:t>
      </w:r>
      <w:r w:rsidRPr="00D2217B">
        <w:rPr>
          <w:lang w:eastAsia="fr-FR" w:bidi="fr-FR"/>
        </w:rPr>
        <w:t>glo-saxonnes, n</w:t>
      </w:r>
      <w:r w:rsidRPr="00D2217B">
        <w:rPr>
          <w:lang w:eastAsia="fr-FR" w:bidi="fr-FR"/>
        </w:rPr>
        <w:t>o</w:t>
      </w:r>
      <w:r w:rsidRPr="00D2217B">
        <w:rPr>
          <w:lang w:eastAsia="fr-FR" w:bidi="fr-FR"/>
        </w:rPr>
        <w:t>tamment de la science politique.</w:t>
      </w:r>
    </w:p>
    <w:p w14:paraId="04535B00" w14:textId="77777777" w:rsidR="0039793A" w:rsidRPr="00D2217B" w:rsidRDefault="0039793A" w:rsidP="0039793A">
      <w:pPr>
        <w:spacing w:before="120" w:after="120"/>
        <w:jc w:val="both"/>
      </w:pPr>
      <w:r w:rsidRPr="00D2217B">
        <w:rPr>
          <w:lang w:eastAsia="fr-FR" w:bidi="fr-FR"/>
        </w:rPr>
        <w:t>L’actualité a relancé l’intérêt du monde franc</w:t>
      </w:r>
      <w:r w:rsidRPr="00D2217B">
        <w:rPr>
          <w:lang w:eastAsia="fr-FR" w:bidi="fr-FR"/>
        </w:rPr>
        <w:t>o</w:t>
      </w:r>
      <w:r w:rsidRPr="00D2217B">
        <w:rPr>
          <w:lang w:eastAsia="fr-FR" w:bidi="fr-FR"/>
        </w:rPr>
        <w:t>phone pour l’étude du système politique américain. Au-delà des circonstances, cet ouvr</w:t>
      </w:r>
      <w:r w:rsidRPr="00D2217B">
        <w:rPr>
          <w:lang w:eastAsia="fr-FR" w:bidi="fr-FR"/>
        </w:rPr>
        <w:t>a</w:t>
      </w:r>
      <w:r w:rsidRPr="00D2217B">
        <w:rPr>
          <w:lang w:eastAsia="fr-FR" w:bidi="fr-FR"/>
        </w:rPr>
        <w:t>ge offre un panorama complet du processus de formulation de la pol</w:t>
      </w:r>
      <w:r w:rsidRPr="00D2217B">
        <w:rPr>
          <w:lang w:eastAsia="fr-FR" w:bidi="fr-FR"/>
        </w:rPr>
        <w:t>i</w:t>
      </w:r>
      <w:r w:rsidRPr="00D2217B">
        <w:rPr>
          <w:lang w:eastAsia="fr-FR" w:bidi="fr-FR"/>
        </w:rPr>
        <w:t>tique étrangère américaine.</w:t>
      </w:r>
    </w:p>
    <w:p w14:paraId="0CD6BBE3" w14:textId="77777777" w:rsidR="0039793A" w:rsidRDefault="0039793A" w:rsidP="0039793A">
      <w:pPr>
        <w:spacing w:before="120" w:after="120"/>
        <w:jc w:val="both"/>
        <w:rPr>
          <w:lang w:eastAsia="fr-FR" w:bidi="fr-FR"/>
        </w:rPr>
      </w:pPr>
      <w:r w:rsidRPr="00D2217B">
        <w:rPr>
          <w:lang w:eastAsia="fr-FR" w:bidi="fr-FR"/>
        </w:rPr>
        <w:t>Prenant en compte le droit constitutionnel ou encore la science administrative, les auteurs int</w:t>
      </w:r>
      <w:r w:rsidRPr="00D2217B">
        <w:rPr>
          <w:lang w:eastAsia="fr-FR" w:bidi="fr-FR"/>
        </w:rPr>
        <w:t>è</w:t>
      </w:r>
      <w:r w:rsidRPr="00D2217B">
        <w:rPr>
          <w:lang w:eastAsia="fr-FR" w:bidi="fr-FR"/>
        </w:rPr>
        <w:t>grent les différentes approches de la science politique américaine et des relations internationales pour pr</w:t>
      </w:r>
      <w:r w:rsidRPr="00D2217B">
        <w:rPr>
          <w:lang w:eastAsia="fr-FR" w:bidi="fr-FR"/>
        </w:rPr>
        <w:t>o</w:t>
      </w:r>
      <w:r w:rsidRPr="00D2217B">
        <w:rPr>
          <w:lang w:eastAsia="fr-FR" w:bidi="fr-FR"/>
        </w:rPr>
        <w:t>poser ici une véritable analyse de la politique extérieure des États-Unis</w:t>
      </w:r>
      <w:r w:rsidRPr="00D2217B">
        <w:t> :</w:t>
      </w:r>
      <w:r w:rsidRPr="00D2217B">
        <w:rPr>
          <w:lang w:eastAsia="fr-FR" w:bidi="fr-FR"/>
        </w:rPr>
        <w:t xml:space="preserve"> ils en établissent les fondements, en décrivent les mécanismes et en identifient les acteurs.</w:t>
      </w:r>
    </w:p>
    <w:p w14:paraId="24F29F60" w14:textId="77777777" w:rsidR="0039793A" w:rsidRPr="00D2217B" w:rsidRDefault="0039793A" w:rsidP="0039793A">
      <w:pPr>
        <w:spacing w:before="120" w:after="120"/>
        <w:jc w:val="both"/>
      </w:pPr>
    </w:p>
    <w:p w14:paraId="0AD8EA4A" w14:textId="77777777" w:rsidR="0039793A" w:rsidRPr="00F15B4E" w:rsidRDefault="0039793A" w:rsidP="0039793A">
      <w:pPr>
        <w:spacing w:before="120" w:after="120"/>
        <w:jc w:val="both"/>
        <w:rPr>
          <w:i/>
          <w:iCs/>
        </w:rPr>
      </w:pPr>
      <w:r w:rsidRPr="00F15B4E">
        <w:rPr>
          <w:i/>
          <w:iCs/>
          <w:lang w:eastAsia="fr-FR" w:bidi="fr-FR"/>
        </w:rPr>
        <w:t>CHARLES-PHILIPPE DAVID, professeur de science politique, est titulaire de la Chaire Raoul-Dandurand en études stratégiques et d</w:t>
      </w:r>
      <w:r w:rsidRPr="00F15B4E">
        <w:rPr>
          <w:i/>
          <w:iCs/>
          <w:lang w:eastAsia="fr-FR" w:bidi="fr-FR"/>
        </w:rPr>
        <w:t>i</w:t>
      </w:r>
      <w:r w:rsidRPr="00F15B4E">
        <w:rPr>
          <w:i/>
          <w:iCs/>
          <w:lang w:eastAsia="fr-FR" w:bidi="fr-FR"/>
        </w:rPr>
        <w:t>plomatiques et directeur de l’Observatoire sur les États-Unis de l’Université du Québec à Montréal.</w:t>
      </w:r>
    </w:p>
    <w:p w14:paraId="3EA0C624" w14:textId="77777777" w:rsidR="0039793A" w:rsidRPr="00F15B4E" w:rsidRDefault="0039793A" w:rsidP="0039793A">
      <w:pPr>
        <w:spacing w:before="120" w:after="120"/>
        <w:jc w:val="both"/>
        <w:rPr>
          <w:i/>
          <w:iCs/>
        </w:rPr>
      </w:pPr>
      <w:r w:rsidRPr="00F15B4E">
        <w:rPr>
          <w:i/>
          <w:iCs/>
          <w:lang w:eastAsia="fr-FR" w:bidi="fr-FR"/>
        </w:rPr>
        <w:lastRenderedPageBreak/>
        <w:t>LOUIS BALTHAZAR, professeur émérite au Département de science politique de l’Université Laval (Québec), est président de l'Observatoire sur les États-Unis de l’Université du Québec à Mo</w:t>
      </w:r>
      <w:r w:rsidRPr="00F15B4E">
        <w:rPr>
          <w:i/>
          <w:iCs/>
          <w:lang w:eastAsia="fr-FR" w:bidi="fr-FR"/>
        </w:rPr>
        <w:t>n</w:t>
      </w:r>
      <w:r w:rsidRPr="00F15B4E">
        <w:rPr>
          <w:i/>
          <w:iCs/>
          <w:lang w:eastAsia="fr-FR" w:bidi="fr-FR"/>
        </w:rPr>
        <w:t>tréal.</w:t>
      </w:r>
    </w:p>
    <w:p w14:paraId="38DE21D4" w14:textId="77777777" w:rsidR="0039793A" w:rsidRPr="00F15B4E" w:rsidRDefault="0039793A" w:rsidP="0039793A">
      <w:pPr>
        <w:spacing w:before="120" w:after="120"/>
        <w:jc w:val="both"/>
        <w:rPr>
          <w:i/>
          <w:iCs/>
        </w:rPr>
      </w:pPr>
      <w:r w:rsidRPr="00F15B4E">
        <w:rPr>
          <w:i/>
          <w:iCs/>
          <w:lang w:eastAsia="fr-FR" w:bidi="fr-FR"/>
        </w:rPr>
        <w:t>JUSTIN VAÏSSE, agrégé d’histoire, est che</w:t>
      </w:r>
      <w:r w:rsidRPr="00F15B4E">
        <w:rPr>
          <w:i/>
          <w:iCs/>
          <w:lang w:eastAsia="fr-FR" w:bidi="fr-FR"/>
        </w:rPr>
        <w:t>r</w:t>
      </w:r>
      <w:r w:rsidRPr="00F15B4E">
        <w:rPr>
          <w:i/>
          <w:iCs/>
          <w:lang w:eastAsia="fr-FR" w:bidi="fr-FR"/>
        </w:rPr>
        <w:t>cheur affilié à la Brookings Institution (Washin</w:t>
      </w:r>
      <w:r w:rsidRPr="00F15B4E">
        <w:rPr>
          <w:i/>
          <w:iCs/>
          <w:lang w:eastAsia="fr-FR" w:bidi="fr-FR"/>
        </w:rPr>
        <w:t>g</w:t>
      </w:r>
      <w:r w:rsidRPr="00F15B4E">
        <w:rPr>
          <w:i/>
          <w:iCs/>
          <w:lang w:eastAsia="fr-FR" w:bidi="fr-FR"/>
        </w:rPr>
        <w:t>ton) et enseignant à l’Institut d’études politiques de Paris.</w:t>
      </w:r>
    </w:p>
    <w:p w14:paraId="3CC4982F" w14:textId="77777777" w:rsidR="0039793A" w:rsidRPr="00D2217B" w:rsidRDefault="0039793A" w:rsidP="0039793A">
      <w:pPr>
        <w:spacing w:before="120" w:after="120"/>
        <w:jc w:val="both"/>
      </w:pPr>
      <w:hyperlink r:id="rId18" w:history="1">
        <w:r w:rsidRPr="00D2217B">
          <w:rPr>
            <w:lang w:bidi="en-US"/>
          </w:rPr>
          <w:t>www.sciences-po.fr/edition/</w:t>
        </w:r>
      </w:hyperlink>
    </w:p>
    <w:p w14:paraId="5D0F1891" w14:textId="77777777" w:rsidR="0039793A" w:rsidRPr="00E07116" w:rsidRDefault="0039793A" w:rsidP="0039793A">
      <w:pPr>
        <w:jc w:val="both"/>
      </w:pPr>
    </w:p>
    <w:p w14:paraId="272E562F" w14:textId="77777777" w:rsidR="0039793A" w:rsidRPr="00E07116" w:rsidRDefault="0039793A" w:rsidP="0039793A">
      <w:pPr>
        <w:jc w:val="both"/>
      </w:pPr>
      <w:r w:rsidRPr="00E07116">
        <w:br w:type="page"/>
      </w:r>
    </w:p>
    <w:p w14:paraId="37AD04F1" w14:textId="77777777" w:rsidR="0039793A" w:rsidRPr="00E07116" w:rsidRDefault="0039793A" w:rsidP="0039793A">
      <w:pPr>
        <w:jc w:val="both"/>
      </w:pPr>
    </w:p>
    <w:p w14:paraId="03A3706A" w14:textId="77777777" w:rsidR="0039793A" w:rsidRPr="00E07116" w:rsidRDefault="0039793A" w:rsidP="0039793A">
      <w:pPr>
        <w:jc w:val="both"/>
      </w:pPr>
    </w:p>
    <w:p w14:paraId="301C4456" w14:textId="77777777" w:rsidR="0039793A" w:rsidRPr="00E07116" w:rsidRDefault="0039793A" w:rsidP="0039793A">
      <w:pPr>
        <w:jc w:val="both"/>
      </w:pPr>
    </w:p>
    <w:p w14:paraId="47766910" w14:textId="77777777" w:rsidR="0039793A" w:rsidRPr="00E07116" w:rsidRDefault="0039793A" w:rsidP="0039793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4A97224" w14:textId="77777777" w:rsidR="0039793A" w:rsidRPr="00E07116" w:rsidRDefault="0039793A" w:rsidP="0039793A">
      <w:pPr>
        <w:pStyle w:val="NormalWeb"/>
        <w:spacing w:before="2" w:after="2"/>
        <w:jc w:val="both"/>
        <w:rPr>
          <w:rFonts w:ascii="Times New Roman" w:hAnsi="Times New Roman"/>
          <w:sz w:val="28"/>
        </w:rPr>
      </w:pPr>
    </w:p>
    <w:p w14:paraId="138C9510" w14:textId="77777777" w:rsidR="0039793A" w:rsidRPr="00E07116" w:rsidRDefault="0039793A" w:rsidP="0039793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33F5351" w14:textId="77777777" w:rsidR="0039793A" w:rsidRPr="00E07116" w:rsidRDefault="0039793A" w:rsidP="0039793A">
      <w:pPr>
        <w:jc w:val="both"/>
        <w:rPr>
          <w:szCs w:val="19"/>
        </w:rPr>
      </w:pPr>
    </w:p>
    <w:p w14:paraId="7F6C0F5B" w14:textId="77777777" w:rsidR="0039793A" w:rsidRPr="00E07116" w:rsidRDefault="0039793A" w:rsidP="0039793A">
      <w:pPr>
        <w:jc w:val="both"/>
        <w:rPr>
          <w:szCs w:val="19"/>
        </w:rPr>
      </w:pPr>
    </w:p>
    <w:p w14:paraId="6F961A74" w14:textId="77777777" w:rsidR="0039793A" w:rsidRDefault="0039793A" w:rsidP="0039793A">
      <w:pPr>
        <w:pStyle w:val="p"/>
      </w:pPr>
      <w:r w:rsidRPr="00E07116">
        <w:br w:type="page"/>
      </w:r>
      <w:r>
        <w:lastRenderedPageBreak/>
        <w:t>[3]</w:t>
      </w:r>
    </w:p>
    <w:p w14:paraId="6C81D2D8" w14:textId="77777777" w:rsidR="0039793A" w:rsidRDefault="0039793A" w:rsidP="0039793A">
      <w:pPr>
        <w:spacing w:before="120" w:after="120"/>
        <w:jc w:val="both"/>
      </w:pPr>
    </w:p>
    <w:p w14:paraId="4B82884D" w14:textId="77777777" w:rsidR="0039793A" w:rsidRDefault="0039793A" w:rsidP="0039793A">
      <w:pPr>
        <w:spacing w:before="120" w:after="120"/>
        <w:jc w:val="both"/>
      </w:pPr>
    </w:p>
    <w:p w14:paraId="69B3D819" w14:textId="77777777" w:rsidR="0039793A" w:rsidRPr="00E26E4A" w:rsidRDefault="0039793A" w:rsidP="0039793A">
      <w:pPr>
        <w:spacing w:before="120" w:after="120"/>
        <w:jc w:val="center"/>
        <w:rPr>
          <w:sz w:val="40"/>
        </w:rPr>
      </w:pPr>
      <w:r w:rsidRPr="00E26E4A">
        <w:rPr>
          <w:sz w:val="40"/>
          <w:lang w:eastAsia="fr-FR" w:bidi="fr-FR"/>
        </w:rPr>
        <w:t>Charles-Philippe David</w:t>
      </w:r>
      <w:r w:rsidRPr="00E26E4A">
        <w:rPr>
          <w:sz w:val="40"/>
          <w:lang w:eastAsia="fr-FR" w:bidi="fr-FR"/>
        </w:rPr>
        <w:br/>
        <w:t>Louis Balthazar,</w:t>
      </w:r>
      <w:r w:rsidRPr="00E26E4A">
        <w:rPr>
          <w:sz w:val="40"/>
          <w:lang w:eastAsia="fr-FR" w:bidi="fr-FR"/>
        </w:rPr>
        <w:br/>
        <w:t>Justin Vaïsse</w:t>
      </w:r>
    </w:p>
    <w:p w14:paraId="33762707" w14:textId="77777777" w:rsidR="0039793A" w:rsidRDefault="0039793A" w:rsidP="0039793A">
      <w:pPr>
        <w:spacing w:before="120" w:after="120"/>
        <w:jc w:val="center"/>
      </w:pPr>
    </w:p>
    <w:p w14:paraId="56C3F941" w14:textId="77777777" w:rsidR="0039793A" w:rsidRPr="00D2217B" w:rsidRDefault="0039793A" w:rsidP="0039793A">
      <w:pPr>
        <w:spacing w:before="120" w:after="120"/>
        <w:jc w:val="center"/>
      </w:pPr>
    </w:p>
    <w:p w14:paraId="373E17EB" w14:textId="77777777" w:rsidR="0039793A" w:rsidRPr="00E26E4A" w:rsidRDefault="0039793A" w:rsidP="0039793A">
      <w:pPr>
        <w:spacing w:before="120" w:after="120"/>
        <w:jc w:val="center"/>
        <w:rPr>
          <w:b/>
          <w:bCs/>
          <w:sz w:val="72"/>
          <w:szCs w:val="32"/>
        </w:rPr>
      </w:pPr>
      <w:r w:rsidRPr="00E26E4A">
        <w:rPr>
          <w:b/>
          <w:bCs/>
          <w:sz w:val="72"/>
          <w:szCs w:val="32"/>
          <w:lang w:eastAsia="fr-FR" w:bidi="fr-FR"/>
        </w:rPr>
        <w:t>La politique étrangère</w:t>
      </w:r>
      <w:r w:rsidRPr="00E26E4A">
        <w:rPr>
          <w:b/>
          <w:bCs/>
          <w:sz w:val="72"/>
          <w:szCs w:val="32"/>
          <w:lang w:eastAsia="fr-FR" w:bidi="fr-FR"/>
        </w:rPr>
        <w:br/>
        <w:t>des États-Unis</w:t>
      </w:r>
    </w:p>
    <w:p w14:paraId="64285C06" w14:textId="77777777" w:rsidR="0039793A" w:rsidRPr="00E26E4A" w:rsidRDefault="0039793A" w:rsidP="0039793A">
      <w:pPr>
        <w:spacing w:before="120" w:after="120"/>
        <w:jc w:val="center"/>
        <w:rPr>
          <w:i/>
          <w:iCs/>
          <w:sz w:val="48"/>
        </w:rPr>
      </w:pPr>
      <w:r w:rsidRPr="00E26E4A">
        <w:rPr>
          <w:i/>
          <w:iCs/>
          <w:sz w:val="48"/>
          <w:lang w:eastAsia="fr-FR" w:bidi="fr-FR"/>
        </w:rPr>
        <w:t>Fondements, acteurs, formulation</w:t>
      </w:r>
    </w:p>
    <w:p w14:paraId="7B5F4138" w14:textId="77777777" w:rsidR="0039793A" w:rsidRDefault="0039793A" w:rsidP="0039793A">
      <w:pPr>
        <w:spacing w:before="120" w:after="120"/>
        <w:jc w:val="center"/>
        <w:rPr>
          <w:lang w:eastAsia="fr-FR" w:bidi="fr-FR"/>
        </w:rPr>
      </w:pPr>
    </w:p>
    <w:p w14:paraId="105608E4" w14:textId="77777777" w:rsidR="0039793A" w:rsidRDefault="0039793A" w:rsidP="0039793A">
      <w:pPr>
        <w:spacing w:before="120" w:after="120"/>
        <w:jc w:val="center"/>
        <w:rPr>
          <w:lang w:eastAsia="fr-FR" w:bidi="fr-FR"/>
        </w:rPr>
      </w:pPr>
    </w:p>
    <w:p w14:paraId="4F9FDCEE" w14:textId="77777777" w:rsidR="0039793A" w:rsidRDefault="0039793A" w:rsidP="0039793A">
      <w:pPr>
        <w:spacing w:before="120" w:after="120"/>
        <w:jc w:val="center"/>
        <w:rPr>
          <w:lang w:eastAsia="fr-FR" w:bidi="fr-FR"/>
        </w:rPr>
      </w:pPr>
    </w:p>
    <w:p w14:paraId="42EB88F4" w14:textId="77777777" w:rsidR="0039793A" w:rsidRDefault="0039793A" w:rsidP="0039793A">
      <w:pPr>
        <w:spacing w:before="120" w:after="120"/>
        <w:jc w:val="center"/>
        <w:rPr>
          <w:lang w:eastAsia="fr-FR" w:bidi="fr-FR"/>
        </w:rPr>
      </w:pPr>
    </w:p>
    <w:p w14:paraId="60F1C118" w14:textId="77777777" w:rsidR="0039793A" w:rsidRDefault="0039793A" w:rsidP="0039793A">
      <w:pPr>
        <w:spacing w:before="120" w:after="120"/>
        <w:jc w:val="center"/>
        <w:rPr>
          <w:lang w:eastAsia="fr-FR" w:bidi="fr-FR"/>
        </w:rPr>
      </w:pPr>
    </w:p>
    <w:p w14:paraId="3589A85C" w14:textId="77777777" w:rsidR="0039793A" w:rsidRDefault="0039793A" w:rsidP="0039793A">
      <w:pPr>
        <w:spacing w:before="120" w:after="120"/>
        <w:jc w:val="center"/>
        <w:rPr>
          <w:lang w:eastAsia="fr-FR" w:bidi="fr-FR"/>
        </w:rPr>
      </w:pPr>
    </w:p>
    <w:p w14:paraId="7D0CA7D0" w14:textId="77777777" w:rsidR="0039793A" w:rsidRDefault="0039793A" w:rsidP="0039793A">
      <w:pPr>
        <w:spacing w:before="120" w:after="120"/>
        <w:jc w:val="center"/>
        <w:rPr>
          <w:lang w:eastAsia="fr-FR" w:bidi="fr-FR"/>
        </w:rPr>
      </w:pPr>
    </w:p>
    <w:p w14:paraId="698EC0F5" w14:textId="77777777" w:rsidR="0039793A" w:rsidRDefault="0039793A" w:rsidP="0039793A">
      <w:pPr>
        <w:spacing w:before="120" w:after="120"/>
        <w:jc w:val="center"/>
        <w:rPr>
          <w:lang w:eastAsia="fr-FR" w:bidi="fr-FR"/>
        </w:rPr>
      </w:pPr>
    </w:p>
    <w:p w14:paraId="248D7483" w14:textId="77777777" w:rsidR="0039793A" w:rsidRPr="00D2217B" w:rsidRDefault="0039793A" w:rsidP="0039793A">
      <w:pPr>
        <w:spacing w:before="120" w:after="120"/>
        <w:jc w:val="center"/>
      </w:pPr>
      <w:r w:rsidRPr="00D2217B">
        <w:rPr>
          <w:lang w:eastAsia="fr-FR" w:bidi="fr-FR"/>
        </w:rPr>
        <w:t>PRESSES DE SCIENCES PO</w:t>
      </w:r>
    </w:p>
    <w:p w14:paraId="61BB8294" w14:textId="77777777" w:rsidR="0039793A" w:rsidRDefault="0039793A" w:rsidP="0039793A">
      <w:pPr>
        <w:spacing w:before="120" w:after="120"/>
        <w:jc w:val="both"/>
      </w:pPr>
    </w:p>
    <w:p w14:paraId="718D626C" w14:textId="77777777" w:rsidR="0039793A" w:rsidRDefault="0039793A" w:rsidP="0039793A">
      <w:pPr>
        <w:spacing w:before="120" w:after="120"/>
        <w:jc w:val="both"/>
      </w:pPr>
    </w:p>
    <w:p w14:paraId="5805B056" w14:textId="77777777" w:rsidR="0039793A" w:rsidRDefault="0039793A" w:rsidP="0039793A">
      <w:pPr>
        <w:spacing w:before="120" w:after="120"/>
        <w:jc w:val="both"/>
      </w:pPr>
    </w:p>
    <w:p w14:paraId="6D4AAAAE" w14:textId="77777777" w:rsidR="0039793A" w:rsidRDefault="0039793A" w:rsidP="0039793A">
      <w:pPr>
        <w:pStyle w:val="p"/>
      </w:pPr>
      <w:r>
        <w:t>[4]</w:t>
      </w:r>
    </w:p>
    <w:p w14:paraId="6482D470" w14:textId="77777777" w:rsidR="0039793A" w:rsidRDefault="0039793A" w:rsidP="0039793A">
      <w:pPr>
        <w:pStyle w:val="p"/>
      </w:pPr>
      <w:r>
        <w:br w:type="page"/>
        <w:t>[5]</w:t>
      </w:r>
    </w:p>
    <w:p w14:paraId="0A1CB704" w14:textId="77777777" w:rsidR="0039793A" w:rsidRDefault="0039793A">
      <w:pPr>
        <w:jc w:val="both"/>
      </w:pPr>
    </w:p>
    <w:p w14:paraId="0AA5BE44" w14:textId="77777777" w:rsidR="0039793A" w:rsidRPr="00E07116" w:rsidRDefault="0039793A">
      <w:pPr>
        <w:jc w:val="both"/>
      </w:pPr>
    </w:p>
    <w:p w14:paraId="1380F7D2" w14:textId="77777777" w:rsidR="0039793A" w:rsidRPr="00642210" w:rsidRDefault="0039793A" w:rsidP="0039793A">
      <w:pPr>
        <w:spacing w:after="120"/>
        <w:jc w:val="center"/>
      </w:pPr>
      <w:r w:rsidRPr="00642210">
        <w:rPr>
          <w:b/>
        </w:rPr>
        <w:t>La politique étrangère des «États-Unis.</w:t>
      </w:r>
      <w:r w:rsidRPr="00642210">
        <w:rPr>
          <w:b/>
        </w:rPr>
        <w:br/>
      </w:r>
      <w:r w:rsidRPr="00642210">
        <w:rPr>
          <w:i/>
        </w:rPr>
        <w:t>Fondements, acteurs, formulation</w:t>
      </w:r>
    </w:p>
    <w:p w14:paraId="55AFE0D8" w14:textId="77777777" w:rsidR="0039793A" w:rsidRPr="00384B20" w:rsidRDefault="0039793A" w:rsidP="0039793A">
      <w:pPr>
        <w:pStyle w:val="planchest"/>
      </w:pPr>
      <w:bookmarkStart w:id="1" w:name="tdm"/>
      <w:r w:rsidRPr="00384B20">
        <w:t>Table des matières</w:t>
      </w:r>
      <w:bookmarkEnd w:id="1"/>
    </w:p>
    <w:p w14:paraId="5751A917" w14:textId="77777777" w:rsidR="0039793A" w:rsidRPr="00E07116" w:rsidRDefault="0039793A">
      <w:pPr>
        <w:ind w:firstLine="0"/>
      </w:pPr>
    </w:p>
    <w:p w14:paraId="72D0C366" w14:textId="77777777" w:rsidR="0039793A" w:rsidRPr="00E07116" w:rsidRDefault="0039793A">
      <w:pPr>
        <w:ind w:firstLine="0"/>
      </w:pPr>
    </w:p>
    <w:p w14:paraId="4DE51D69" w14:textId="77777777" w:rsidR="0039793A" w:rsidRDefault="0039793A" w:rsidP="0039793A">
      <w:pPr>
        <w:ind w:firstLine="0"/>
        <w:jc w:val="both"/>
        <w:rPr>
          <w:sz w:val="24"/>
        </w:rPr>
      </w:pPr>
      <w:hyperlink w:anchor="Pol_EU_4e_de_couverture" w:history="1">
        <w:r w:rsidRPr="00780CE8">
          <w:rPr>
            <w:rStyle w:val="Hyperlien"/>
            <w:sz w:val="24"/>
          </w:rPr>
          <w:t>Quatrième de couverture</w:t>
        </w:r>
      </w:hyperlink>
    </w:p>
    <w:p w14:paraId="69A61AA3" w14:textId="77777777" w:rsidR="0039793A" w:rsidRPr="0024019E" w:rsidRDefault="0039793A" w:rsidP="0039793A">
      <w:pPr>
        <w:ind w:firstLine="0"/>
        <w:jc w:val="both"/>
        <w:rPr>
          <w:sz w:val="24"/>
        </w:rPr>
      </w:pPr>
      <w:hyperlink w:anchor="Pol_EU_intro" w:history="1">
        <w:r w:rsidRPr="00780CE8">
          <w:rPr>
            <w:rStyle w:val="Hyperlien"/>
            <w:i/>
            <w:iCs/>
            <w:sz w:val="24"/>
          </w:rPr>
          <w:t>Introduction</w:t>
        </w:r>
      </w:hyperlink>
      <w:r>
        <w:rPr>
          <w:sz w:val="24"/>
        </w:rPr>
        <w:t xml:space="preserve"> [9]</w:t>
      </w:r>
    </w:p>
    <w:p w14:paraId="2458C2B9" w14:textId="77777777" w:rsidR="0039793A" w:rsidRPr="001545D9" w:rsidRDefault="0039793A" w:rsidP="0039793A">
      <w:pPr>
        <w:ind w:firstLine="0"/>
        <w:jc w:val="center"/>
        <w:rPr>
          <w:b/>
          <w:i/>
          <w:iCs/>
          <w:color w:val="FF0000"/>
          <w:sz w:val="24"/>
        </w:rPr>
      </w:pPr>
      <w:r w:rsidRPr="001545D9">
        <w:rPr>
          <w:b/>
          <w:i/>
          <w:iCs/>
          <w:color w:val="FF0000"/>
          <w:sz w:val="24"/>
          <w:lang w:eastAsia="fr-FR" w:bidi="fr-FR"/>
        </w:rPr>
        <w:t>Première partie</w:t>
      </w:r>
    </w:p>
    <w:p w14:paraId="7C32EF12" w14:textId="77777777" w:rsidR="0039793A" w:rsidRPr="0024019E" w:rsidRDefault="0039793A" w:rsidP="0039793A">
      <w:pPr>
        <w:ind w:firstLine="0"/>
        <w:jc w:val="center"/>
        <w:rPr>
          <w:sz w:val="24"/>
        </w:rPr>
      </w:pPr>
      <w:hyperlink w:anchor="Pol_EU_pt_1" w:history="1">
        <w:r w:rsidRPr="00780CE8">
          <w:rPr>
            <w:rStyle w:val="Hyperlien"/>
            <w:sz w:val="24"/>
            <w:lang w:eastAsia="fr-FR" w:bidi="fr-FR"/>
          </w:rPr>
          <w:t>Le contexte de la formulation</w:t>
        </w:r>
        <w:r w:rsidRPr="00780CE8">
          <w:rPr>
            <w:rStyle w:val="Hyperlien"/>
            <w:sz w:val="24"/>
            <w:lang w:eastAsia="fr-FR" w:bidi="fr-FR"/>
          </w:rPr>
          <w:br/>
          <w:t>de la politique étrangère</w:t>
        </w:r>
      </w:hyperlink>
      <w:r>
        <w:rPr>
          <w:sz w:val="24"/>
          <w:lang w:eastAsia="fr-FR" w:bidi="fr-FR"/>
        </w:rPr>
        <w:t xml:space="preserve"> [13]</w:t>
      </w:r>
    </w:p>
    <w:p w14:paraId="490A8AC3" w14:textId="77777777" w:rsidR="0039793A" w:rsidRPr="0024019E" w:rsidRDefault="0039793A" w:rsidP="0039793A">
      <w:pPr>
        <w:ind w:firstLine="0"/>
        <w:jc w:val="both"/>
        <w:rPr>
          <w:sz w:val="24"/>
        </w:rPr>
      </w:pPr>
    </w:p>
    <w:p w14:paraId="347A332E" w14:textId="77777777" w:rsidR="0039793A" w:rsidRPr="0024019E" w:rsidRDefault="0039793A" w:rsidP="0039793A">
      <w:pPr>
        <w:ind w:firstLine="0"/>
        <w:jc w:val="both"/>
        <w:rPr>
          <w:sz w:val="24"/>
        </w:rPr>
      </w:pPr>
      <w:r w:rsidRPr="00F15B4E">
        <w:rPr>
          <w:i/>
          <w:iCs/>
          <w:sz w:val="24"/>
        </w:rPr>
        <w:t>Chapitre 1</w:t>
      </w:r>
      <w:r w:rsidRPr="0024019E">
        <w:rPr>
          <w:sz w:val="24"/>
        </w:rPr>
        <w:t xml:space="preserve">. </w:t>
      </w:r>
      <w:hyperlink w:anchor="Pol_EU_pt_1_chap_01" w:history="1">
        <w:r w:rsidRPr="00780CE8">
          <w:rPr>
            <w:rStyle w:val="Hyperlien"/>
            <w:sz w:val="24"/>
          </w:rPr>
          <w:t>LE CADRE CONSTITUTIONNEL</w:t>
        </w:r>
      </w:hyperlink>
      <w:r w:rsidRPr="0024019E">
        <w:rPr>
          <w:sz w:val="24"/>
        </w:rPr>
        <w:t xml:space="preserve"> </w:t>
      </w:r>
      <w:r>
        <w:rPr>
          <w:sz w:val="24"/>
        </w:rPr>
        <w:t>[</w:t>
      </w:r>
      <w:r w:rsidRPr="0024019E">
        <w:rPr>
          <w:sz w:val="24"/>
        </w:rPr>
        <w:t>15</w:t>
      </w:r>
      <w:r>
        <w:rPr>
          <w:sz w:val="24"/>
        </w:rPr>
        <w:t>]</w:t>
      </w:r>
    </w:p>
    <w:p w14:paraId="4F0A4B78" w14:textId="77777777" w:rsidR="0039793A" w:rsidRDefault="0039793A" w:rsidP="0039793A">
      <w:pPr>
        <w:ind w:firstLine="0"/>
        <w:jc w:val="both"/>
        <w:rPr>
          <w:sz w:val="24"/>
        </w:rPr>
      </w:pPr>
    </w:p>
    <w:p w14:paraId="58FE19AD" w14:textId="77777777" w:rsidR="0039793A" w:rsidRPr="0024019E" w:rsidRDefault="0039793A" w:rsidP="0039793A">
      <w:pPr>
        <w:ind w:left="720" w:hanging="360"/>
        <w:jc w:val="both"/>
        <w:rPr>
          <w:sz w:val="24"/>
        </w:rPr>
      </w:pPr>
      <w:hyperlink w:anchor="Pol_EU_pt_1_chap_01_1" w:history="1">
        <w:r w:rsidRPr="009C21B3">
          <w:rPr>
            <w:rStyle w:val="Hyperlien"/>
            <w:sz w:val="24"/>
          </w:rPr>
          <w:t>L’héritage des Pères fondateurs</w:t>
        </w:r>
      </w:hyperlink>
      <w:r>
        <w:rPr>
          <w:sz w:val="24"/>
        </w:rPr>
        <w:t xml:space="preserve"> [16]</w:t>
      </w:r>
    </w:p>
    <w:p w14:paraId="272BEEF2" w14:textId="77777777" w:rsidR="0039793A" w:rsidRPr="0024019E" w:rsidRDefault="0039793A" w:rsidP="0039793A">
      <w:pPr>
        <w:ind w:left="1080" w:hanging="360"/>
        <w:jc w:val="both"/>
        <w:rPr>
          <w:sz w:val="24"/>
        </w:rPr>
      </w:pPr>
      <w:r w:rsidRPr="0024019E">
        <w:rPr>
          <w:sz w:val="24"/>
        </w:rPr>
        <w:t>Les fond</w:t>
      </w:r>
      <w:r>
        <w:rPr>
          <w:sz w:val="24"/>
        </w:rPr>
        <w:t>ements de l’Union [</w:t>
      </w:r>
      <w:r w:rsidRPr="0024019E">
        <w:rPr>
          <w:sz w:val="24"/>
        </w:rPr>
        <w:t>17</w:t>
      </w:r>
      <w:r>
        <w:rPr>
          <w:sz w:val="24"/>
        </w:rPr>
        <w:t>]</w:t>
      </w:r>
    </w:p>
    <w:p w14:paraId="5B7A7F5F" w14:textId="77777777" w:rsidR="0039793A" w:rsidRPr="0024019E" w:rsidRDefault="0039793A" w:rsidP="0039793A">
      <w:pPr>
        <w:ind w:left="1080" w:hanging="360"/>
        <w:jc w:val="both"/>
        <w:rPr>
          <w:sz w:val="24"/>
        </w:rPr>
      </w:pPr>
      <w:r w:rsidRPr="0024019E">
        <w:rPr>
          <w:sz w:val="24"/>
        </w:rPr>
        <w:t>Les compromis de</w:t>
      </w:r>
      <w:r>
        <w:rPr>
          <w:sz w:val="24"/>
        </w:rPr>
        <w:t xml:space="preserve"> la Convention de Philadelphie [</w:t>
      </w:r>
      <w:r w:rsidRPr="0024019E">
        <w:rPr>
          <w:sz w:val="24"/>
        </w:rPr>
        <w:t>20</w:t>
      </w:r>
      <w:r>
        <w:rPr>
          <w:sz w:val="24"/>
        </w:rPr>
        <w:t>]</w:t>
      </w:r>
    </w:p>
    <w:p w14:paraId="057547F7" w14:textId="77777777" w:rsidR="0039793A" w:rsidRPr="0024019E" w:rsidRDefault="0039793A" w:rsidP="0039793A">
      <w:pPr>
        <w:spacing w:before="120"/>
        <w:ind w:left="720" w:hanging="360"/>
        <w:jc w:val="both"/>
        <w:rPr>
          <w:sz w:val="24"/>
        </w:rPr>
      </w:pPr>
      <w:hyperlink w:anchor="Pol_EU_pt_1_chap_01_2" w:history="1">
        <w:r w:rsidRPr="009C21B3">
          <w:rPr>
            <w:rStyle w:val="Hyperlien"/>
            <w:sz w:val="24"/>
          </w:rPr>
          <w:t>Les institutions constitutionnelles de la politique étrangère</w:t>
        </w:r>
      </w:hyperlink>
      <w:r>
        <w:rPr>
          <w:sz w:val="24"/>
        </w:rPr>
        <w:t xml:space="preserve"> [23]</w:t>
      </w:r>
    </w:p>
    <w:p w14:paraId="7F568A25" w14:textId="77777777" w:rsidR="0039793A" w:rsidRPr="0024019E" w:rsidRDefault="0039793A" w:rsidP="0039793A">
      <w:pPr>
        <w:spacing w:before="120"/>
        <w:ind w:left="720" w:hanging="360"/>
        <w:jc w:val="both"/>
        <w:rPr>
          <w:sz w:val="24"/>
        </w:rPr>
      </w:pPr>
      <w:hyperlink w:anchor="Pol_EU_pt_1_chap_01_3" w:history="1">
        <w:r w:rsidRPr="009C21B3">
          <w:rPr>
            <w:rStyle w:val="Hyperlien"/>
            <w:sz w:val="24"/>
          </w:rPr>
          <w:t>Les débats constitutionnels</w:t>
        </w:r>
      </w:hyperlink>
      <w:r>
        <w:rPr>
          <w:sz w:val="24"/>
        </w:rPr>
        <w:t xml:space="preserve"> [</w:t>
      </w:r>
      <w:r w:rsidRPr="0024019E">
        <w:rPr>
          <w:sz w:val="24"/>
        </w:rPr>
        <w:t>27</w:t>
      </w:r>
      <w:r>
        <w:rPr>
          <w:sz w:val="24"/>
        </w:rPr>
        <w:t>]</w:t>
      </w:r>
    </w:p>
    <w:p w14:paraId="35FEAF38" w14:textId="77777777" w:rsidR="0039793A" w:rsidRPr="0024019E" w:rsidRDefault="0039793A" w:rsidP="0039793A">
      <w:pPr>
        <w:ind w:left="1080" w:hanging="360"/>
        <w:jc w:val="both"/>
        <w:rPr>
          <w:sz w:val="24"/>
        </w:rPr>
      </w:pPr>
      <w:r w:rsidRPr="0024019E">
        <w:rPr>
          <w:sz w:val="24"/>
        </w:rPr>
        <w:t>L</w:t>
      </w:r>
      <w:r>
        <w:rPr>
          <w:sz w:val="24"/>
        </w:rPr>
        <w:t>es débats des Pères fondateurs [</w:t>
      </w:r>
      <w:r w:rsidRPr="0024019E">
        <w:rPr>
          <w:sz w:val="24"/>
        </w:rPr>
        <w:t>27</w:t>
      </w:r>
      <w:r>
        <w:rPr>
          <w:sz w:val="24"/>
        </w:rPr>
        <w:t>]</w:t>
      </w:r>
    </w:p>
    <w:p w14:paraId="0694C1E7" w14:textId="77777777" w:rsidR="0039793A" w:rsidRPr="0024019E" w:rsidRDefault="0039793A" w:rsidP="0039793A">
      <w:pPr>
        <w:ind w:left="1080" w:hanging="360"/>
        <w:jc w:val="both"/>
        <w:rPr>
          <w:sz w:val="24"/>
        </w:rPr>
      </w:pPr>
      <w:r w:rsidRPr="0024019E">
        <w:rPr>
          <w:sz w:val="24"/>
        </w:rPr>
        <w:t>La thèse de l’autorité constitutionnelle du Congrès</w:t>
      </w:r>
      <w:r>
        <w:rPr>
          <w:sz w:val="24"/>
        </w:rPr>
        <w:t xml:space="preserve"> [</w:t>
      </w:r>
      <w:r w:rsidRPr="0024019E">
        <w:rPr>
          <w:sz w:val="24"/>
        </w:rPr>
        <w:t>29</w:t>
      </w:r>
      <w:r>
        <w:rPr>
          <w:sz w:val="24"/>
        </w:rPr>
        <w:t>]</w:t>
      </w:r>
    </w:p>
    <w:p w14:paraId="13DF6422" w14:textId="77777777" w:rsidR="0039793A" w:rsidRPr="0024019E" w:rsidRDefault="0039793A" w:rsidP="0039793A">
      <w:pPr>
        <w:ind w:left="1080" w:hanging="360"/>
        <w:jc w:val="both"/>
        <w:rPr>
          <w:sz w:val="24"/>
        </w:rPr>
      </w:pPr>
      <w:r w:rsidRPr="0024019E">
        <w:rPr>
          <w:sz w:val="24"/>
        </w:rPr>
        <w:t>La thèse</w:t>
      </w:r>
      <w:r>
        <w:rPr>
          <w:sz w:val="24"/>
        </w:rPr>
        <w:t xml:space="preserve"> de la suprématie du président [</w:t>
      </w:r>
      <w:r w:rsidRPr="0024019E">
        <w:rPr>
          <w:sz w:val="24"/>
        </w:rPr>
        <w:t>34</w:t>
      </w:r>
      <w:r>
        <w:rPr>
          <w:sz w:val="24"/>
        </w:rPr>
        <w:t>]</w:t>
      </w:r>
    </w:p>
    <w:p w14:paraId="7C111C14" w14:textId="77777777" w:rsidR="0039793A" w:rsidRDefault="0039793A" w:rsidP="0039793A">
      <w:pPr>
        <w:ind w:firstLine="0"/>
        <w:jc w:val="both"/>
        <w:rPr>
          <w:sz w:val="24"/>
        </w:rPr>
      </w:pPr>
    </w:p>
    <w:p w14:paraId="376F2028" w14:textId="77777777" w:rsidR="0039793A" w:rsidRPr="0024019E" w:rsidRDefault="0039793A" w:rsidP="0039793A">
      <w:pPr>
        <w:ind w:firstLine="0"/>
        <w:jc w:val="both"/>
        <w:rPr>
          <w:sz w:val="24"/>
        </w:rPr>
      </w:pPr>
      <w:r w:rsidRPr="00F15B4E">
        <w:rPr>
          <w:i/>
          <w:iCs/>
          <w:sz w:val="24"/>
        </w:rPr>
        <w:t>Chapitre 2</w:t>
      </w:r>
      <w:r w:rsidRPr="0024019E">
        <w:rPr>
          <w:sz w:val="24"/>
        </w:rPr>
        <w:t xml:space="preserve">. </w:t>
      </w:r>
      <w:hyperlink w:anchor="Pol_EU_pt_1_chap_02" w:history="1">
        <w:r w:rsidRPr="00780CE8">
          <w:rPr>
            <w:rStyle w:val="Hyperlien"/>
            <w:sz w:val="24"/>
          </w:rPr>
          <w:t>LE CADRE CULTUREL : LE STYLE NATIONAL</w:t>
        </w:r>
      </w:hyperlink>
      <w:r>
        <w:rPr>
          <w:sz w:val="24"/>
        </w:rPr>
        <w:t xml:space="preserve"> [</w:t>
      </w:r>
      <w:r w:rsidRPr="0024019E">
        <w:rPr>
          <w:sz w:val="24"/>
        </w:rPr>
        <w:t>41</w:t>
      </w:r>
      <w:r>
        <w:rPr>
          <w:sz w:val="24"/>
        </w:rPr>
        <w:t>]</w:t>
      </w:r>
    </w:p>
    <w:p w14:paraId="3D315FCB" w14:textId="77777777" w:rsidR="0039793A" w:rsidRDefault="0039793A" w:rsidP="0039793A">
      <w:pPr>
        <w:ind w:left="720" w:hanging="360"/>
        <w:jc w:val="both"/>
        <w:rPr>
          <w:sz w:val="24"/>
        </w:rPr>
      </w:pPr>
    </w:p>
    <w:p w14:paraId="2A34D09B" w14:textId="77777777" w:rsidR="0039793A" w:rsidRPr="0024019E" w:rsidRDefault="0039793A" w:rsidP="0039793A">
      <w:pPr>
        <w:ind w:left="720" w:hanging="360"/>
        <w:jc w:val="both"/>
        <w:rPr>
          <w:sz w:val="24"/>
        </w:rPr>
      </w:pPr>
      <w:hyperlink w:anchor="Pol_EU_pt_1_chap_02_1" w:history="1">
        <w:r w:rsidRPr="009C21B3">
          <w:rPr>
            <w:rStyle w:val="Hyperlien"/>
            <w:sz w:val="24"/>
          </w:rPr>
          <w:t>Les éléments fondateurs du style national</w:t>
        </w:r>
      </w:hyperlink>
      <w:r>
        <w:rPr>
          <w:sz w:val="24"/>
        </w:rPr>
        <w:t xml:space="preserve"> [</w:t>
      </w:r>
      <w:r w:rsidRPr="0024019E">
        <w:rPr>
          <w:sz w:val="24"/>
        </w:rPr>
        <w:t>43</w:t>
      </w:r>
      <w:r>
        <w:rPr>
          <w:sz w:val="24"/>
        </w:rPr>
        <w:t>]</w:t>
      </w:r>
    </w:p>
    <w:p w14:paraId="47338653" w14:textId="77777777" w:rsidR="0039793A" w:rsidRPr="0024019E" w:rsidRDefault="0039793A" w:rsidP="0039793A">
      <w:pPr>
        <w:ind w:left="1080" w:hanging="360"/>
        <w:jc w:val="both"/>
        <w:rPr>
          <w:sz w:val="24"/>
        </w:rPr>
      </w:pPr>
      <w:r w:rsidRPr="0024019E">
        <w:rPr>
          <w:sz w:val="24"/>
        </w:rPr>
        <w:t>Des éléments historiques</w:t>
      </w:r>
      <w:r>
        <w:rPr>
          <w:sz w:val="24"/>
        </w:rPr>
        <w:t xml:space="preserve"> [</w:t>
      </w:r>
      <w:r w:rsidRPr="0024019E">
        <w:rPr>
          <w:sz w:val="24"/>
        </w:rPr>
        <w:t>43</w:t>
      </w:r>
      <w:r>
        <w:rPr>
          <w:sz w:val="24"/>
        </w:rPr>
        <w:t>]</w:t>
      </w:r>
    </w:p>
    <w:p w14:paraId="1EB50AF3" w14:textId="77777777" w:rsidR="0039793A" w:rsidRPr="0024019E" w:rsidRDefault="0039793A" w:rsidP="0039793A">
      <w:pPr>
        <w:ind w:left="1080" w:hanging="360"/>
        <w:jc w:val="both"/>
        <w:rPr>
          <w:sz w:val="24"/>
        </w:rPr>
      </w:pPr>
      <w:r>
        <w:rPr>
          <w:sz w:val="24"/>
        </w:rPr>
        <w:t>Des éléments politiques [</w:t>
      </w:r>
      <w:r w:rsidRPr="0024019E">
        <w:rPr>
          <w:sz w:val="24"/>
        </w:rPr>
        <w:t>50</w:t>
      </w:r>
      <w:r>
        <w:rPr>
          <w:sz w:val="24"/>
        </w:rPr>
        <w:t>]</w:t>
      </w:r>
    </w:p>
    <w:p w14:paraId="2271DC3A" w14:textId="77777777" w:rsidR="0039793A" w:rsidRPr="0024019E" w:rsidRDefault="0039793A" w:rsidP="0039793A">
      <w:pPr>
        <w:spacing w:before="120"/>
        <w:ind w:left="720" w:hanging="360"/>
        <w:jc w:val="both"/>
        <w:rPr>
          <w:sz w:val="24"/>
        </w:rPr>
      </w:pPr>
      <w:hyperlink w:anchor="Pol_EU_pt_1_chap_02_2" w:history="1">
        <w:r w:rsidRPr="009C21B3">
          <w:rPr>
            <w:rStyle w:val="Hyperlien"/>
            <w:sz w:val="24"/>
          </w:rPr>
          <w:t>Les tendances profondes du style national</w:t>
        </w:r>
      </w:hyperlink>
      <w:r>
        <w:rPr>
          <w:sz w:val="24"/>
        </w:rPr>
        <w:t xml:space="preserve"> [</w:t>
      </w:r>
      <w:r w:rsidRPr="0024019E">
        <w:rPr>
          <w:sz w:val="24"/>
        </w:rPr>
        <w:t>56</w:t>
      </w:r>
      <w:r>
        <w:rPr>
          <w:sz w:val="24"/>
        </w:rPr>
        <w:t>]</w:t>
      </w:r>
    </w:p>
    <w:p w14:paraId="051A6FA5" w14:textId="77777777" w:rsidR="0039793A" w:rsidRPr="0024019E" w:rsidRDefault="0039793A" w:rsidP="0039793A">
      <w:pPr>
        <w:ind w:left="1080" w:hanging="360"/>
        <w:jc w:val="both"/>
        <w:rPr>
          <w:sz w:val="24"/>
        </w:rPr>
      </w:pPr>
      <w:r>
        <w:rPr>
          <w:sz w:val="24"/>
        </w:rPr>
        <w:t>La destinée manifeste [</w:t>
      </w:r>
      <w:r w:rsidRPr="0024019E">
        <w:rPr>
          <w:sz w:val="24"/>
        </w:rPr>
        <w:t>56</w:t>
      </w:r>
      <w:r>
        <w:rPr>
          <w:sz w:val="24"/>
        </w:rPr>
        <w:t>]</w:t>
      </w:r>
    </w:p>
    <w:p w14:paraId="6239C6DC" w14:textId="77777777" w:rsidR="0039793A" w:rsidRPr="0024019E" w:rsidRDefault="0039793A" w:rsidP="0039793A">
      <w:pPr>
        <w:ind w:left="1080" w:hanging="360"/>
        <w:jc w:val="both"/>
        <w:rPr>
          <w:sz w:val="24"/>
        </w:rPr>
      </w:pPr>
      <w:r>
        <w:rPr>
          <w:sz w:val="24"/>
        </w:rPr>
        <w:t>La pensée experte [</w:t>
      </w:r>
      <w:r w:rsidRPr="0024019E">
        <w:rPr>
          <w:sz w:val="24"/>
        </w:rPr>
        <w:t>61</w:t>
      </w:r>
      <w:r>
        <w:rPr>
          <w:sz w:val="24"/>
        </w:rPr>
        <w:t>]</w:t>
      </w:r>
    </w:p>
    <w:p w14:paraId="5D8ECF6B" w14:textId="77777777" w:rsidR="0039793A" w:rsidRPr="0024019E" w:rsidRDefault="0039793A" w:rsidP="0039793A">
      <w:pPr>
        <w:spacing w:before="120"/>
        <w:ind w:left="720" w:hanging="360"/>
        <w:jc w:val="both"/>
        <w:rPr>
          <w:sz w:val="24"/>
        </w:rPr>
      </w:pPr>
      <w:hyperlink w:anchor="Pol_EU_pt_1_chap_02_3" w:history="1">
        <w:r w:rsidRPr="009C21B3">
          <w:rPr>
            <w:rStyle w:val="Hyperlien"/>
            <w:sz w:val="24"/>
          </w:rPr>
          <w:t>L’évolution du style national</w:t>
        </w:r>
      </w:hyperlink>
      <w:r>
        <w:rPr>
          <w:sz w:val="24"/>
        </w:rPr>
        <w:t xml:space="preserve"> [</w:t>
      </w:r>
      <w:r w:rsidRPr="0024019E">
        <w:rPr>
          <w:sz w:val="24"/>
        </w:rPr>
        <w:t>66</w:t>
      </w:r>
      <w:r>
        <w:rPr>
          <w:sz w:val="24"/>
        </w:rPr>
        <w:t>]</w:t>
      </w:r>
    </w:p>
    <w:p w14:paraId="4AB8327B" w14:textId="77777777" w:rsidR="0039793A" w:rsidRPr="0024019E" w:rsidRDefault="0039793A" w:rsidP="0039793A">
      <w:pPr>
        <w:ind w:left="720" w:hanging="360"/>
        <w:jc w:val="both"/>
        <w:rPr>
          <w:sz w:val="24"/>
        </w:rPr>
      </w:pPr>
    </w:p>
    <w:p w14:paraId="17758721" w14:textId="77777777" w:rsidR="0039793A" w:rsidRPr="0024019E" w:rsidRDefault="0039793A" w:rsidP="0039793A">
      <w:pPr>
        <w:ind w:firstLine="0"/>
        <w:jc w:val="both"/>
        <w:rPr>
          <w:sz w:val="24"/>
        </w:rPr>
      </w:pPr>
      <w:r w:rsidRPr="00F15B4E">
        <w:rPr>
          <w:i/>
          <w:iCs/>
          <w:sz w:val="24"/>
        </w:rPr>
        <w:t>Chapitre 3</w:t>
      </w:r>
      <w:r>
        <w:rPr>
          <w:sz w:val="24"/>
        </w:rPr>
        <w:t xml:space="preserve">. </w:t>
      </w:r>
      <w:hyperlink w:anchor="Pol_EU_pt_1_chap_03" w:history="1">
        <w:r w:rsidRPr="00780CE8">
          <w:rPr>
            <w:rStyle w:val="Hyperlien"/>
            <w:sz w:val="24"/>
          </w:rPr>
          <w:t>LE CADRE CONCEPTUEL : LES GRANDS COURANTS DE PENSÉE POLITIQUES</w:t>
        </w:r>
      </w:hyperlink>
      <w:r>
        <w:rPr>
          <w:sz w:val="24"/>
        </w:rPr>
        <w:t xml:space="preserve"> [</w:t>
      </w:r>
      <w:r w:rsidRPr="0024019E">
        <w:rPr>
          <w:sz w:val="24"/>
        </w:rPr>
        <w:t>71</w:t>
      </w:r>
      <w:r>
        <w:rPr>
          <w:sz w:val="24"/>
        </w:rPr>
        <w:t>]</w:t>
      </w:r>
    </w:p>
    <w:p w14:paraId="12CDCCCA" w14:textId="77777777" w:rsidR="0039793A" w:rsidRDefault="0039793A" w:rsidP="0039793A">
      <w:pPr>
        <w:ind w:left="720" w:hanging="360"/>
        <w:jc w:val="both"/>
        <w:rPr>
          <w:sz w:val="24"/>
        </w:rPr>
      </w:pPr>
    </w:p>
    <w:p w14:paraId="7C362604" w14:textId="77777777" w:rsidR="0039793A" w:rsidRPr="0024019E" w:rsidRDefault="0039793A" w:rsidP="0039793A">
      <w:pPr>
        <w:ind w:left="720" w:hanging="360"/>
        <w:jc w:val="both"/>
        <w:rPr>
          <w:sz w:val="24"/>
        </w:rPr>
      </w:pPr>
      <w:hyperlink w:anchor="Pol_EU_pt_1_chap_03_1" w:history="1">
        <w:r w:rsidRPr="009C21B3">
          <w:rPr>
            <w:rStyle w:val="Hyperlien"/>
            <w:sz w:val="24"/>
          </w:rPr>
          <w:t>L’histoire des grands courants de pensée politiques</w:t>
        </w:r>
      </w:hyperlink>
      <w:r>
        <w:rPr>
          <w:sz w:val="24"/>
        </w:rPr>
        <w:t xml:space="preserve"> [</w:t>
      </w:r>
      <w:r w:rsidRPr="0024019E">
        <w:rPr>
          <w:sz w:val="24"/>
        </w:rPr>
        <w:t>73</w:t>
      </w:r>
      <w:r>
        <w:rPr>
          <w:sz w:val="24"/>
        </w:rPr>
        <w:t>]</w:t>
      </w:r>
    </w:p>
    <w:p w14:paraId="445D4FFA" w14:textId="77777777" w:rsidR="0039793A" w:rsidRPr="0024019E" w:rsidRDefault="0039793A" w:rsidP="0039793A">
      <w:pPr>
        <w:ind w:left="1080" w:hanging="360"/>
        <w:jc w:val="both"/>
        <w:rPr>
          <w:sz w:val="24"/>
        </w:rPr>
      </w:pPr>
      <w:r w:rsidRPr="0024019E">
        <w:rPr>
          <w:sz w:val="24"/>
        </w:rPr>
        <w:t>Le débat originel entre Hamilton et Jefferson</w:t>
      </w:r>
      <w:r>
        <w:rPr>
          <w:sz w:val="24"/>
        </w:rPr>
        <w:t xml:space="preserve"> [</w:t>
      </w:r>
      <w:r w:rsidRPr="0024019E">
        <w:rPr>
          <w:sz w:val="24"/>
        </w:rPr>
        <w:t>73</w:t>
      </w:r>
      <w:r>
        <w:rPr>
          <w:sz w:val="24"/>
        </w:rPr>
        <w:t>]</w:t>
      </w:r>
    </w:p>
    <w:p w14:paraId="4AD212A5" w14:textId="77777777" w:rsidR="0039793A" w:rsidRPr="0024019E" w:rsidRDefault="0039793A" w:rsidP="0039793A">
      <w:pPr>
        <w:ind w:left="1080" w:hanging="360"/>
        <w:jc w:val="both"/>
        <w:rPr>
          <w:sz w:val="24"/>
        </w:rPr>
      </w:pPr>
      <w:r w:rsidRPr="0024019E">
        <w:rPr>
          <w:sz w:val="24"/>
        </w:rPr>
        <w:t>L’évolution des courants de pensée politiques de Washington</w:t>
      </w:r>
      <w:r>
        <w:rPr>
          <w:sz w:val="24"/>
        </w:rPr>
        <w:t xml:space="preserve"> </w:t>
      </w:r>
      <w:r w:rsidRPr="0024019E">
        <w:rPr>
          <w:sz w:val="24"/>
        </w:rPr>
        <w:t>à Truman</w:t>
      </w:r>
      <w:r>
        <w:rPr>
          <w:sz w:val="24"/>
        </w:rPr>
        <w:t xml:space="preserve"> [</w:t>
      </w:r>
      <w:r w:rsidRPr="0024019E">
        <w:rPr>
          <w:sz w:val="24"/>
        </w:rPr>
        <w:t>76</w:t>
      </w:r>
      <w:r>
        <w:rPr>
          <w:sz w:val="24"/>
        </w:rPr>
        <w:t>]</w:t>
      </w:r>
    </w:p>
    <w:p w14:paraId="78222233" w14:textId="77777777" w:rsidR="0039793A" w:rsidRPr="0024019E" w:rsidRDefault="0039793A" w:rsidP="0039793A">
      <w:pPr>
        <w:ind w:left="1080" w:hanging="360"/>
        <w:jc w:val="both"/>
        <w:rPr>
          <w:sz w:val="24"/>
        </w:rPr>
      </w:pPr>
      <w:r w:rsidRPr="0024019E">
        <w:rPr>
          <w:sz w:val="24"/>
        </w:rPr>
        <w:t>La typologie historique de W. Russell Mead</w:t>
      </w:r>
      <w:r>
        <w:rPr>
          <w:sz w:val="24"/>
        </w:rPr>
        <w:t xml:space="preserve"> [</w:t>
      </w:r>
      <w:r w:rsidRPr="0024019E">
        <w:rPr>
          <w:sz w:val="24"/>
        </w:rPr>
        <w:t>78</w:t>
      </w:r>
      <w:r>
        <w:rPr>
          <w:sz w:val="24"/>
        </w:rPr>
        <w:t>]</w:t>
      </w:r>
    </w:p>
    <w:p w14:paraId="5086EBB2" w14:textId="77777777" w:rsidR="0039793A" w:rsidRPr="0024019E" w:rsidRDefault="0039793A" w:rsidP="0039793A">
      <w:pPr>
        <w:ind w:left="720" w:hanging="360"/>
        <w:jc w:val="both"/>
        <w:rPr>
          <w:sz w:val="24"/>
        </w:rPr>
      </w:pPr>
      <w:hyperlink w:anchor="Pol_EU_pt_1_chap_03_2" w:history="1">
        <w:r w:rsidRPr="009C21B3">
          <w:rPr>
            <w:rStyle w:val="Hyperlien"/>
            <w:sz w:val="24"/>
          </w:rPr>
          <w:t>Les grands courants de pensée contemporains</w:t>
        </w:r>
      </w:hyperlink>
      <w:r>
        <w:rPr>
          <w:sz w:val="24"/>
        </w:rPr>
        <w:t xml:space="preserve"> [</w:t>
      </w:r>
      <w:r w:rsidRPr="0024019E">
        <w:rPr>
          <w:sz w:val="24"/>
        </w:rPr>
        <w:t>80</w:t>
      </w:r>
      <w:r>
        <w:rPr>
          <w:sz w:val="24"/>
        </w:rPr>
        <w:t>]</w:t>
      </w:r>
    </w:p>
    <w:p w14:paraId="630CFE87" w14:textId="77777777" w:rsidR="0039793A" w:rsidRPr="0024019E" w:rsidRDefault="0039793A" w:rsidP="0039793A">
      <w:pPr>
        <w:ind w:left="1080" w:hanging="360"/>
        <w:jc w:val="both"/>
        <w:rPr>
          <w:sz w:val="24"/>
        </w:rPr>
      </w:pPr>
      <w:r w:rsidRPr="0024019E">
        <w:rPr>
          <w:sz w:val="24"/>
        </w:rPr>
        <w:t>L’isolationnisme</w:t>
      </w:r>
      <w:r>
        <w:rPr>
          <w:sz w:val="24"/>
        </w:rPr>
        <w:t xml:space="preserve"> [</w:t>
      </w:r>
      <w:r w:rsidRPr="0024019E">
        <w:rPr>
          <w:sz w:val="24"/>
        </w:rPr>
        <w:t>81</w:t>
      </w:r>
      <w:r>
        <w:rPr>
          <w:sz w:val="24"/>
        </w:rPr>
        <w:t>]</w:t>
      </w:r>
    </w:p>
    <w:p w14:paraId="048D6C58" w14:textId="77777777" w:rsidR="0039793A" w:rsidRPr="0024019E" w:rsidRDefault="0039793A" w:rsidP="0039793A">
      <w:pPr>
        <w:ind w:left="1080" w:hanging="360"/>
        <w:jc w:val="both"/>
        <w:rPr>
          <w:sz w:val="24"/>
        </w:rPr>
      </w:pPr>
      <w:r w:rsidRPr="0024019E">
        <w:rPr>
          <w:sz w:val="24"/>
        </w:rPr>
        <w:t>L’idéalisme</w:t>
      </w:r>
      <w:r>
        <w:rPr>
          <w:sz w:val="24"/>
        </w:rPr>
        <w:t xml:space="preserve"> [</w:t>
      </w:r>
      <w:r w:rsidRPr="0024019E">
        <w:rPr>
          <w:sz w:val="24"/>
        </w:rPr>
        <w:t>84</w:t>
      </w:r>
      <w:r>
        <w:rPr>
          <w:sz w:val="24"/>
        </w:rPr>
        <w:t>]</w:t>
      </w:r>
    </w:p>
    <w:p w14:paraId="408223A4" w14:textId="77777777" w:rsidR="0039793A" w:rsidRPr="0024019E" w:rsidRDefault="0039793A" w:rsidP="0039793A">
      <w:pPr>
        <w:ind w:left="1080" w:hanging="360"/>
        <w:jc w:val="both"/>
        <w:rPr>
          <w:sz w:val="24"/>
        </w:rPr>
      </w:pPr>
      <w:r w:rsidRPr="0024019E">
        <w:rPr>
          <w:sz w:val="24"/>
        </w:rPr>
        <w:t>Le réalisme</w:t>
      </w:r>
      <w:r>
        <w:rPr>
          <w:sz w:val="24"/>
        </w:rPr>
        <w:t xml:space="preserve"> [</w:t>
      </w:r>
      <w:r w:rsidRPr="0024019E">
        <w:rPr>
          <w:sz w:val="24"/>
        </w:rPr>
        <w:t>90</w:t>
      </w:r>
      <w:r>
        <w:rPr>
          <w:sz w:val="24"/>
        </w:rPr>
        <w:t>]</w:t>
      </w:r>
    </w:p>
    <w:p w14:paraId="5B9E22D8" w14:textId="77777777" w:rsidR="0039793A" w:rsidRPr="0024019E" w:rsidRDefault="0039793A" w:rsidP="0039793A">
      <w:pPr>
        <w:ind w:left="1080" w:hanging="360"/>
        <w:jc w:val="both"/>
        <w:rPr>
          <w:sz w:val="24"/>
        </w:rPr>
      </w:pPr>
      <w:r w:rsidRPr="0024019E">
        <w:rPr>
          <w:sz w:val="24"/>
        </w:rPr>
        <w:t>L'internationalisme libéral</w:t>
      </w:r>
      <w:r>
        <w:rPr>
          <w:sz w:val="24"/>
        </w:rPr>
        <w:t xml:space="preserve"> [</w:t>
      </w:r>
      <w:r w:rsidRPr="0024019E">
        <w:rPr>
          <w:sz w:val="24"/>
        </w:rPr>
        <w:t>94</w:t>
      </w:r>
      <w:r>
        <w:rPr>
          <w:sz w:val="24"/>
        </w:rPr>
        <w:t>]</w:t>
      </w:r>
    </w:p>
    <w:p w14:paraId="5CAB9142" w14:textId="77777777" w:rsidR="0039793A" w:rsidRDefault="0039793A" w:rsidP="0039793A">
      <w:pPr>
        <w:ind w:left="720" w:hanging="360"/>
        <w:jc w:val="both"/>
        <w:rPr>
          <w:sz w:val="24"/>
        </w:rPr>
      </w:pPr>
    </w:p>
    <w:p w14:paraId="3CF0742F" w14:textId="77777777" w:rsidR="0039793A" w:rsidRPr="0024019E" w:rsidRDefault="0039793A" w:rsidP="0039793A">
      <w:pPr>
        <w:ind w:firstLine="0"/>
        <w:jc w:val="both"/>
        <w:rPr>
          <w:sz w:val="24"/>
        </w:rPr>
      </w:pPr>
      <w:r w:rsidRPr="00F15B4E">
        <w:rPr>
          <w:i/>
          <w:iCs/>
          <w:sz w:val="24"/>
        </w:rPr>
        <w:t>Chapitre 4</w:t>
      </w:r>
      <w:r w:rsidRPr="0024019E">
        <w:rPr>
          <w:sz w:val="24"/>
        </w:rPr>
        <w:t xml:space="preserve">. </w:t>
      </w:r>
      <w:hyperlink w:anchor="Pol_EU_pt_1_chap_04" w:history="1">
        <w:r w:rsidRPr="00780CE8">
          <w:rPr>
            <w:rStyle w:val="Hyperlien"/>
            <w:caps/>
            <w:sz w:val="24"/>
          </w:rPr>
          <w:t>Le cadre théorique : LES APPROCHES académiques</w:t>
        </w:r>
      </w:hyperlink>
      <w:r>
        <w:rPr>
          <w:sz w:val="24"/>
        </w:rPr>
        <w:t xml:space="preserve"> [</w:t>
      </w:r>
      <w:r w:rsidRPr="0024019E">
        <w:rPr>
          <w:sz w:val="24"/>
        </w:rPr>
        <w:t>101</w:t>
      </w:r>
      <w:r>
        <w:rPr>
          <w:sz w:val="24"/>
        </w:rPr>
        <w:t>]</w:t>
      </w:r>
    </w:p>
    <w:p w14:paraId="6FA5F56E" w14:textId="77777777" w:rsidR="0039793A" w:rsidRDefault="0039793A" w:rsidP="0039793A">
      <w:pPr>
        <w:ind w:left="720" w:hanging="360"/>
        <w:jc w:val="both"/>
        <w:rPr>
          <w:sz w:val="24"/>
        </w:rPr>
      </w:pPr>
    </w:p>
    <w:p w14:paraId="4CC56C4E" w14:textId="77777777" w:rsidR="0039793A" w:rsidRPr="0024019E" w:rsidRDefault="0039793A" w:rsidP="0039793A">
      <w:pPr>
        <w:ind w:left="720" w:hanging="360"/>
        <w:jc w:val="both"/>
        <w:rPr>
          <w:sz w:val="24"/>
        </w:rPr>
      </w:pPr>
      <w:hyperlink w:anchor="Pol_EU_pt_1_chap_04_1" w:history="1">
        <w:r w:rsidRPr="009C21B3">
          <w:rPr>
            <w:rStyle w:val="Hyperlien"/>
            <w:sz w:val="24"/>
          </w:rPr>
          <w:t>L’unilatéralisme par le contrôle du système international</w:t>
        </w:r>
      </w:hyperlink>
      <w:r>
        <w:rPr>
          <w:sz w:val="24"/>
        </w:rPr>
        <w:t xml:space="preserve"> [</w:t>
      </w:r>
      <w:r w:rsidRPr="0024019E">
        <w:rPr>
          <w:sz w:val="24"/>
        </w:rPr>
        <w:t>102</w:t>
      </w:r>
      <w:r>
        <w:rPr>
          <w:sz w:val="24"/>
        </w:rPr>
        <w:t>]</w:t>
      </w:r>
    </w:p>
    <w:p w14:paraId="4CD8C32D" w14:textId="77777777" w:rsidR="0039793A" w:rsidRPr="0024019E" w:rsidRDefault="0039793A" w:rsidP="0039793A">
      <w:pPr>
        <w:spacing w:before="120"/>
        <w:ind w:left="720" w:hanging="360"/>
        <w:jc w:val="both"/>
        <w:rPr>
          <w:sz w:val="24"/>
        </w:rPr>
      </w:pPr>
      <w:hyperlink w:anchor="Pol_EU_pt_1_chap_04_2" w:history="1">
        <w:r w:rsidRPr="009C21B3">
          <w:rPr>
            <w:rStyle w:val="Hyperlien"/>
            <w:sz w:val="24"/>
          </w:rPr>
          <w:t>Le multilatéralisme par la direction du système international</w:t>
        </w:r>
      </w:hyperlink>
      <w:r>
        <w:rPr>
          <w:sz w:val="24"/>
        </w:rPr>
        <w:t xml:space="preserve"> [</w:t>
      </w:r>
      <w:r w:rsidRPr="0024019E">
        <w:rPr>
          <w:sz w:val="24"/>
        </w:rPr>
        <w:t>109</w:t>
      </w:r>
      <w:r>
        <w:rPr>
          <w:sz w:val="24"/>
        </w:rPr>
        <w:t>]</w:t>
      </w:r>
    </w:p>
    <w:p w14:paraId="32C48332" w14:textId="77777777" w:rsidR="0039793A" w:rsidRPr="0024019E" w:rsidRDefault="0039793A" w:rsidP="0039793A">
      <w:pPr>
        <w:ind w:left="1080" w:hanging="360"/>
        <w:jc w:val="both"/>
        <w:rPr>
          <w:sz w:val="24"/>
        </w:rPr>
      </w:pPr>
      <w:r w:rsidRPr="0024019E">
        <w:rPr>
          <w:sz w:val="24"/>
        </w:rPr>
        <w:t>L’école institutionnaliste</w:t>
      </w:r>
      <w:r>
        <w:rPr>
          <w:sz w:val="24"/>
        </w:rPr>
        <w:t xml:space="preserve"> [</w:t>
      </w:r>
      <w:r w:rsidRPr="0024019E">
        <w:rPr>
          <w:sz w:val="24"/>
        </w:rPr>
        <w:t>110</w:t>
      </w:r>
      <w:r>
        <w:rPr>
          <w:sz w:val="24"/>
        </w:rPr>
        <w:t>]</w:t>
      </w:r>
    </w:p>
    <w:p w14:paraId="37E9D395" w14:textId="77777777" w:rsidR="0039793A" w:rsidRPr="0024019E" w:rsidRDefault="0039793A" w:rsidP="0039793A">
      <w:pPr>
        <w:ind w:left="1080" w:hanging="360"/>
        <w:jc w:val="both"/>
        <w:rPr>
          <w:sz w:val="24"/>
        </w:rPr>
      </w:pPr>
      <w:r w:rsidRPr="0024019E">
        <w:rPr>
          <w:sz w:val="24"/>
        </w:rPr>
        <w:t>L’école équilibriste</w:t>
      </w:r>
      <w:r>
        <w:rPr>
          <w:sz w:val="24"/>
        </w:rPr>
        <w:t xml:space="preserve"> [</w:t>
      </w:r>
      <w:r w:rsidRPr="0024019E">
        <w:rPr>
          <w:sz w:val="24"/>
        </w:rPr>
        <w:t>114</w:t>
      </w:r>
      <w:r>
        <w:rPr>
          <w:sz w:val="24"/>
        </w:rPr>
        <w:t>]</w:t>
      </w:r>
    </w:p>
    <w:p w14:paraId="2066BA5F" w14:textId="77777777" w:rsidR="0039793A" w:rsidRPr="0024019E" w:rsidRDefault="0039793A" w:rsidP="0039793A">
      <w:pPr>
        <w:ind w:left="1080" w:hanging="360"/>
        <w:jc w:val="both"/>
        <w:rPr>
          <w:sz w:val="24"/>
        </w:rPr>
      </w:pPr>
      <w:r w:rsidRPr="0024019E">
        <w:rPr>
          <w:sz w:val="24"/>
        </w:rPr>
        <w:t>L’école idéaliste</w:t>
      </w:r>
      <w:r>
        <w:rPr>
          <w:sz w:val="24"/>
        </w:rPr>
        <w:t xml:space="preserve"> [</w:t>
      </w:r>
      <w:r w:rsidRPr="0024019E">
        <w:rPr>
          <w:sz w:val="24"/>
        </w:rPr>
        <w:t>123</w:t>
      </w:r>
      <w:r>
        <w:rPr>
          <w:sz w:val="24"/>
        </w:rPr>
        <w:t>]</w:t>
      </w:r>
    </w:p>
    <w:p w14:paraId="20088DAE" w14:textId="77777777" w:rsidR="0039793A" w:rsidRPr="0024019E" w:rsidRDefault="0039793A" w:rsidP="0039793A">
      <w:pPr>
        <w:spacing w:before="120"/>
        <w:ind w:left="720" w:hanging="360"/>
        <w:jc w:val="both"/>
        <w:rPr>
          <w:sz w:val="24"/>
        </w:rPr>
      </w:pPr>
      <w:hyperlink w:anchor="Pol_EU_pt_1_chap_04_3" w:history="1">
        <w:r w:rsidRPr="009C21B3">
          <w:rPr>
            <w:rStyle w:val="Hyperlien"/>
            <w:sz w:val="24"/>
          </w:rPr>
          <w:t>Le minimalisme par l’abstention au niveau international</w:t>
        </w:r>
      </w:hyperlink>
      <w:r>
        <w:rPr>
          <w:sz w:val="24"/>
        </w:rPr>
        <w:t xml:space="preserve"> [</w:t>
      </w:r>
      <w:r w:rsidRPr="0024019E">
        <w:rPr>
          <w:sz w:val="24"/>
        </w:rPr>
        <w:t>128</w:t>
      </w:r>
      <w:r>
        <w:rPr>
          <w:sz w:val="24"/>
        </w:rPr>
        <w:t>]</w:t>
      </w:r>
    </w:p>
    <w:p w14:paraId="03300469" w14:textId="77777777" w:rsidR="0039793A" w:rsidRPr="0024019E" w:rsidRDefault="0039793A" w:rsidP="0039793A">
      <w:pPr>
        <w:ind w:left="1080" w:hanging="360"/>
        <w:jc w:val="both"/>
        <w:rPr>
          <w:sz w:val="24"/>
        </w:rPr>
      </w:pPr>
      <w:r w:rsidRPr="0024019E">
        <w:rPr>
          <w:sz w:val="24"/>
        </w:rPr>
        <w:t>L’école souverainiste</w:t>
      </w:r>
      <w:r>
        <w:rPr>
          <w:sz w:val="24"/>
        </w:rPr>
        <w:t xml:space="preserve"> [</w:t>
      </w:r>
      <w:r w:rsidRPr="0024019E">
        <w:rPr>
          <w:sz w:val="24"/>
        </w:rPr>
        <w:t>128</w:t>
      </w:r>
      <w:r>
        <w:rPr>
          <w:sz w:val="24"/>
        </w:rPr>
        <w:t>]</w:t>
      </w:r>
    </w:p>
    <w:p w14:paraId="6425EC76" w14:textId="77777777" w:rsidR="0039793A" w:rsidRPr="0024019E" w:rsidRDefault="0039793A" w:rsidP="0039793A">
      <w:pPr>
        <w:ind w:left="1080" w:hanging="360"/>
        <w:jc w:val="both"/>
        <w:rPr>
          <w:sz w:val="24"/>
        </w:rPr>
      </w:pPr>
      <w:r w:rsidRPr="0024019E">
        <w:rPr>
          <w:sz w:val="24"/>
        </w:rPr>
        <w:t>L’école mondialiste</w:t>
      </w:r>
      <w:r>
        <w:rPr>
          <w:sz w:val="24"/>
        </w:rPr>
        <w:t xml:space="preserve"> [</w:t>
      </w:r>
      <w:r w:rsidRPr="0024019E">
        <w:rPr>
          <w:sz w:val="24"/>
        </w:rPr>
        <w:t>131</w:t>
      </w:r>
      <w:r>
        <w:rPr>
          <w:sz w:val="24"/>
        </w:rPr>
        <w:t>]</w:t>
      </w:r>
    </w:p>
    <w:p w14:paraId="1DED4D2E" w14:textId="77777777" w:rsidR="0039793A" w:rsidRDefault="0039793A" w:rsidP="0039793A">
      <w:pPr>
        <w:ind w:left="1080" w:hanging="360"/>
        <w:jc w:val="both"/>
        <w:rPr>
          <w:sz w:val="24"/>
        </w:rPr>
      </w:pPr>
      <w:r w:rsidRPr="0024019E">
        <w:rPr>
          <w:sz w:val="24"/>
        </w:rPr>
        <w:t>L’école isolationniste antimondialiste</w:t>
      </w:r>
      <w:r>
        <w:rPr>
          <w:sz w:val="24"/>
        </w:rPr>
        <w:t xml:space="preserve"> [</w:t>
      </w:r>
      <w:r w:rsidRPr="0024019E">
        <w:rPr>
          <w:sz w:val="24"/>
        </w:rPr>
        <w:t>136</w:t>
      </w:r>
      <w:r>
        <w:rPr>
          <w:sz w:val="24"/>
        </w:rPr>
        <w:t>]</w:t>
      </w:r>
    </w:p>
    <w:p w14:paraId="33B68DD1" w14:textId="77777777" w:rsidR="0039793A" w:rsidRPr="0024019E" w:rsidRDefault="0039793A" w:rsidP="0039793A">
      <w:pPr>
        <w:ind w:firstLine="0"/>
        <w:jc w:val="both"/>
        <w:rPr>
          <w:sz w:val="24"/>
        </w:rPr>
      </w:pPr>
    </w:p>
    <w:p w14:paraId="7D6B55ED" w14:textId="77777777" w:rsidR="0039793A" w:rsidRPr="001545D9" w:rsidRDefault="0039793A" w:rsidP="0039793A">
      <w:pPr>
        <w:ind w:firstLine="0"/>
        <w:jc w:val="center"/>
        <w:rPr>
          <w:b/>
          <w:i/>
          <w:iCs/>
          <w:color w:val="FF0000"/>
          <w:sz w:val="24"/>
        </w:rPr>
      </w:pPr>
      <w:r w:rsidRPr="001545D9">
        <w:rPr>
          <w:b/>
          <w:i/>
          <w:iCs/>
          <w:color w:val="FF0000"/>
          <w:sz w:val="24"/>
        </w:rPr>
        <w:t>Deuxième partie</w:t>
      </w:r>
    </w:p>
    <w:p w14:paraId="19CC5E7C" w14:textId="77777777" w:rsidR="0039793A" w:rsidRDefault="0039793A" w:rsidP="0039793A">
      <w:pPr>
        <w:ind w:firstLine="0"/>
        <w:jc w:val="center"/>
        <w:rPr>
          <w:sz w:val="24"/>
        </w:rPr>
      </w:pPr>
      <w:hyperlink w:anchor="Pol_EU_pt_2" w:history="1">
        <w:r w:rsidRPr="00780CE8">
          <w:rPr>
            <w:rStyle w:val="Hyperlien"/>
            <w:sz w:val="24"/>
          </w:rPr>
          <w:t>Le pouvoir exécutif</w:t>
        </w:r>
        <w:r w:rsidRPr="00780CE8">
          <w:rPr>
            <w:rStyle w:val="Hyperlien"/>
            <w:sz w:val="24"/>
          </w:rPr>
          <w:br/>
          <w:t>au cœur de l’action internationale</w:t>
        </w:r>
      </w:hyperlink>
      <w:r>
        <w:rPr>
          <w:sz w:val="24"/>
        </w:rPr>
        <w:t xml:space="preserve"> [141]</w:t>
      </w:r>
    </w:p>
    <w:p w14:paraId="5051786A" w14:textId="77777777" w:rsidR="0039793A" w:rsidRPr="0024019E" w:rsidRDefault="0039793A" w:rsidP="0039793A">
      <w:pPr>
        <w:ind w:firstLine="0"/>
        <w:jc w:val="both"/>
        <w:rPr>
          <w:sz w:val="24"/>
        </w:rPr>
      </w:pPr>
    </w:p>
    <w:p w14:paraId="60854B47" w14:textId="77777777" w:rsidR="0039793A" w:rsidRPr="0024019E" w:rsidRDefault="0039793A" w:rsidP="0039793A">
      <w:pPr>
        <w:ind w:firstLine="0"/>
        <w:jc w:val="both"/>
        <w:rPr>
          <w:sz w:val="24"/>
        </w:rPr>
      </w:pPr>
      <w:r w:rsidRPr="00F15B4E">
        <w:rPr>
          <w:i/>
          <w:iCs/>
          <w:sz w:val="24"/>
        </w:rPr>
        <w:t>Chapitre 5</w:t>
      </w:r>
      <w:r w:rsidRPr="0024019E">
        <w:rPr>
          <w:sz w:val="24"/>
        </w:rPr>
        <w:t xml:space="preserve">. </w:t>
      </w:r>
      <w:hyperlink w:anchor="Pol_EU_pt_2_chap_05" w:history="1">
        <w:r w:rsidRPr="000E42B5">
          <w:rPr>
            <w:rStyle w:val="Hyperlien"/>
            <w:caps/>
            <w:sz w:val="24"/>
          </w:rPr>
          <w:t>Une présidence toujours impériale</w:t>
        </w:r>
      </w:hyperlink>
      <w:r>
        <w:rPr>
          <w:sz w:val="24"/>
        </w:rPr>
        <w:t xml:space="preserve"> [</w:t>
      </w:r>
      <w:r w:rsidRPr="0024019E">
        <w:rPr>
          <w:sz w:val="24"/>
        </w:rPr>
        <w:t>143</w:t>
      </w:r>
      <w:r>
        <w:rPr>
          <w:sz w:val="24"/>
        </w:rPr>
        <w:t>]</w:t>
      </w:r>
    </w:p>
    <w:p w14:paraId="74A5DBA6" w14:textId="77777777" w:rsidR="0039793A" w:rsidRDefault="0039793A" w:rsidP="0039793A">
      <w:pPr>
        <w:ind w:left="720" w:hanging="360"/>
        <w:jc w:val="both"/>
        <w:rPr>
          <w:sz w:val="24"/>
        </w:rPr>
      </w:pPr>
    </w:p>
    <w:p w14:paraId="19E86EFC" w14:textId="77777777" w:rsidR="0039793A" w:rsidRPr="0024019E" w:rsidRDefault="0039793A" w:rsidP="0039793A">
      <w:pPr>
        <w:ind w:left="720" w:hanging="360"/>
        <w:jc w:val="both"/>
        <w:rPr>
          <w:sz w:val="24"/>
        </w:rPr>
      </w:pPr>
      <w:hyperlink w:anchor="Pol_EU_pt_2_chap_05_1" w:history="1">
        <w:r w:rsidRPr="009C21B3">
          <w:rPr>
            <w:rStyle w:val="Hyperlien"/>
            <w:sz w:val="24"/>
          </w:rPr>
          <w:t>L’autorité du président en politique étrangère</w:t>
        </w:r>
      </w:hyperlink>
      <w:r>
        <w:rPr>
          <w:sz w:val="24"/>
        </w:rPr>
        <w:t xml:space="preserve"> [146]</w:t>
      </w:r>
    </w:p>
    <w:p w14:paraId="04F680CF" w14:textId="77777777" w:rsidR="0039793A" w:rsidRPr="0024019E" w:rsidRDefault="0039793A" w:rsidP="0039793A">
      <w:pPr>
        <w:ind w:left="1080" w:hanging="360"/>
        <w:jc w:val="both"/>
        <w:rPr>
          <w:sz w:val="24"/>
        </w:rPr>
      </w:pPr>
      <w:r w:rsidRPr="0024019E">
        <w:rPr>
          <w:sz w:val="24"/>
        </w:rPr>
        <w:t>Les pouvoirs formels du président</w:t>
      </w:r>
      <w:r>
        <w:rPr>
          <w:sz w:val="24"/>
        </w:rPr>
        <w:t xml:space="preserve"> [</w:t>
      </w:r>
      <w:r w:rsidRPr="0024019E">
        <w:rPr>
          <w:sz w:val="24"/>
        </w:rPr>
        <w:t>147</w:t>
      </w:r>
      <w:r>
        <w:rPr>
          <w:sz w:val="24"/>
        </w:rPr>
        <w:t>]</w:t>
      </w:r>
    </w:p>
    <w:p w14:paraId="7FB82EB5" w14:textId="77777777" w:rsidR="0039793A" w:rsidRPr="0024019E" w:rsidRDefault="0039793A" w:rsidP="0039793A">
      <w:pPr>
        <w:ind w:left="1080" w:hanging="360"/>
        <w:jc w:val="both"/>
        <w:rPr>
          <w:sz w:val="24"/>
        </w:rPr>
      </w:pPr>
      <w:r w:rsidRPr="0024019E">
        <w:rPr>
          <w:sz w:val="24"/>
        </w:rPr>
        <w:t>La Loi sur les pouvoirs de guerre</w:t>
      </w:r>
      <w:r>
        <w:rPr>
          <w:sz w:val="24"/>
        </w:rPr>
        <w:t xml:space="preserve"> [</w:t>
      </w:r>
      <w:r w:rsidRPr="0024019E">
        <w:rPr>
          <w:sz w:val="24"/>
        </w:rPr>
        <w:t>152</w:t>
      </w:r>
      <w:r>
        <w:rPr>
          <w:sz w:val="24"/>
        </w:rPr>
        <w:t>]</w:t>
      </w:r>
    </w:p>
    <w:p w14:paraId="57E4C7B8" w14:textId="77777777" w:rsidR="0039793A" w:rsidRPr="0024019E" w:rsidRDefault="0039793A" w:rsidP="0039793A">
      <w:pPr>
        <w:ind w:left="1080" w:hanging="360"/>
        <w:jc w:val="both"/>
        <w:rPr>
          <w:sz w:val="24"/>
        </w:rPr>
      </w:pPr>
      <w:r w:rsidRPr="0024019E">
        <w:rPr>
          <w:sz w:val="24"/>
        </w:rPr>
        <w:t>Les pouvoirs informels du président</w:t>
      </w:r>
      <w:r>
        <w:rPr>
          <w:sz w:val="24"/>
        </w:rPr>
        <w:t xml:space="preserve"> [</w:t>
      </w:r>
      <w:r w:rsidRPr="0024019E">
        <w:rPr>
          <w:sz w:val="24"/>
        </w:rPr>
        <w:t>157</w:t>
      </w:r>
      <w:r>
        <w:rPr>
          <w:sz w:val="24"/>
        </w:rPr>
        <w:t>]</w:t>
      </w:r>
    </w:p>
    <w:p w14:paraId="7ECEC252" w14:textId="77777777" w:rsidR="0039793A" w:rsidRPr="0024019E" w:rsidRDefault="0039793A" w:rsidP="0039793A">
      <w:pPr>
        <w:spacing w:before="120"/>
        <w:ind w:left="720" w:hanging="360"/>
        <w:jc w:val="both"/>
        <w:rPr>
          <w:sz w:val="24"/>
        </w:rPr>
      </w:pPr>
      <w:hyperlink w:anchor="Pol_EU_pt_2_chap_05_2" w:history="1">
        <w:r w:rsidRPr="009C21B3">
          <w:rPr>
            <w:rStyle w:val="Hyperlien"/>
            <w:sz w:val="24"/>
          </w:rPr>
          <w:t>L’approche décisionnelle du président en politique étrangère</w:t>
        </w:r>
      </w:hyperlink>
      <w:r>
        <w:rPr>
          <w:sz w:val="24"/>
        </w:rPr>
        <w:t xml:space="preserve"> [</w:t>
      </w:r>
      <w:r w:rsidRPr="0024019E">
        <w:rPr>
          <w:sz w:val="24"/>
        </w:rPr>
        <w:t>163</w:t>
      </w:r>
      <w:r>
        <w:rPr>
          <w:sz w:val="24"/>
        </w:rPr>
        <w:t>]</w:t>
      </w:r>
    </w:p>
    <w:p w14:paraId="5D01B3E1" w14:textId="77777777" w:rsidR="0039793A" w:rsidRPr="0024019E" w:rsidRDefault="0039793A" w:rsidP="0039793A">
      <w:pPr>
        <w:ind w:left="1080" w:hanging="360"/>
        <w:jc w:val="both"/>
        <w:rPr>
          <w:sz w:val="24"/>
        </w:rPr>
      </w:pPr>
      <w:r>
        <w:rPr>
          <w:sz w:val="24"/>
        </w:rPr>
        <w:t>Le style présidentiel [</w:t>
      </w:r>
      <w:r w:rsidRPr="0024019E">
        <w:rPr>
          <w:sz w:val="24"/>
        </w:rPr>
        <w:t>164</w:t>
      </w:r>
      <w:r>
        <w:rPr>
          <w:sz w:val="24"/>
        </w:rPr>
        <w:t>]</w:t>
      </w:r>
    </w:p>
    <w:p w14:paraId="255EB4C1" w14:textId="77777777" w:rsidR="0039793A" w:rsidRPr="0024019E" w:rsidRDefault="0039793A" w:rsidP="0039793A">
      <w:pPr>
        <w:ind w:left="1080" w:hanging="360"/>
        <w:jc w:val="both"/>
        <w:rPr>
          <w:sz w:val="24"/>
        </w:rPr>
      </w:pPr>
      <w:r w:rsidRPr="0024019E">
        <w:rPr>
          <w:sz w:val="24"/>
        </w:rPr>
        <w:t>Les systèmes de gestion</w:t>
      </w:r>
      <w:r>
        <w:rPr>
          <w:sz w:val="24"/>
        </w:rPr>
        <w:t xml:space="preserve"> [</w:t>
      </w:r>
      <w:r w:rsidRPr="0024019E">
        <w:rPr>
          <w:sz w:val="24"/>
        </w:rPr>
        <w:t>171</w:t>
      </w:r>
      <w:r>
        <w:rPr>
          <w:sz w:val="24"/>
        </w:rPr>
        <w:t>]</w:t>
      </w:r>
    </w:p>
    <w:p w14:paraId="3D4906D0" w14:textId="77777777" w:rsidR="0039793A" w:rsidRDefault="0039793A" w:rsidP="0039793A">
      <w:pPr>
        <w:ind w:left="720" w:hanging="360"/>
        <w:jc w:val="both"/>
        <w:rPr>
          <w:sz w:val="24"/>
        </w:rPr>
      </w:pPr>
    </w:p>
    <w:p w14:paraId="359723F8" w14:textId="77777777" w:rsidR="0039793A" w:rsidRPr="0024019E" w:rsidRDefault="0039793A" w:rsidP="0039793A">
      <w:pPr>
        <w:ind w:firstLine="0"/>
        <w:jc w:val="both"/>
        <w:rPr>
          <w:sz w:val="24"/>
        </w:rPr>
      </w:pPr>
      <w:r w:rsidRPr="00F15B4E">
        <w:rPr>
          <w:i/>
          <w:iCs/>
          <w:sz w:val="24"/>
        </w:rPr>
        <w:t>Chapitre 6</w:t>
      </w:r>
      <w:r w:rsidRPr="0024019E">
        <w:rPr>
          <w:sz w:val="24"/>
        </w:rPr>
        <w:t xml:space="preserve">. </w:t>
      </w:r>
      <w:hyperlink w:anchor="Pol_EU_pt_2_chap_06" w:history="1">
        <w:r w:rsidRPr="000E42B5">
          <w:rPr>
            <w:rStyle w:val="Hyperlien"/>
            <w:caps/>
            <w:sz w:val="24"/>
          </w:rPr>
          <w:t>Les</w:t>
        </w:r>
        <w:r w:rsidRPr="000E42B5">
          <w:rPr>
            <w:rStyle w:val="Hyperlien"/>
            <w:sz w:val="24"/>
          </w:rPr>
          <w:t xml:space="preserve"> ACTEURS DU JEU BUREAUCRATIQUE</w:t>
        </w:r>
      </w:hyperlink>
      <w:r>
        <w:rPr>
          <w:sz w:val="24"/>
        </w:rPr>
        <w:t xml:space="preserve"> [</w:t>
      </w:r>
      <w:r w:rsidRPr="0024019E">
        <w:rPr>
          <w:sz w:val="24"/>
        </w:rPr>
        <w:t>177</w:t>
      </w:r>
      <w:r>
        <w:rPr>
          <w:sz w:val="24"/>
        </w:rPr>
        <w:t>]</w:t>
      </w:r>
    </w:p>
    <w:p w14:paraId="024BA2BC" w14:textId="77777777" w:rsidR="0039793A" w:rsidRDefault="0039793A" w:rsidP="0039793A">
      <w:pPr>
        <w:ind w:left="720" w:hanging="360"/>
        <w:jc w:val="both"/>
        <w:rPr>
          <w:sz w:val="24"/>
        </w:rPr>
      </w:pPr>
    </w:p>
    <w:p w14:paraId="2AAEBE45" w14:textId="77777777" w:rsidR="0039793A" w:rsidRPr="0024019E" w:rsidRDefault="0039793A" w:rsidP="0039793A">
      <w:pPr>
        <w:ind w:left="720" w:hanging="360"/>
        <w:jc w:val="both"/>
        <w:rPr>
          <w:sz w:val="24"/>
        </w:rPr>
      </w:pPr>
      <w:hyperlink w:anchor="Pol_EU_pt_2_chap_06_1" w:history="1">
        <w:r w:rsidRPr="009C21B3">
          <w:rPr>
            <w:rStyle w:val="Hyperlien"/>
            <w:sz w:val="24"/>
          </w:rPr>
          <w:t>Le rôle classique de la diplomatie et de la défense</w:t>
        </w:r>
      </w:hyperlink>
      <w:r>
        <w:rPr>
          <w:sz w:val="24"/>
        </w:rPr>
        <w:t xml:space="preserve"> [</w:t>
      </w:r>
      <w:r w:rsidRPr="0024019E">
        <w:rPr>
          <w:sz w:val="24"/>
        </w:rPr>
        <w:t>178</w:t>
      </w:r>
      <w:r>
        <w:rPr>
          <w:sz w:val="24"/>
        </w:rPr>
        <w:t>]</w:t>
      </w:r>
    </w:p>
    <w:p w14:paraId="0CC62AD9" w14:textId="77777777" w:rsidR="0039793A" w:rsidRPr="0024019E" w:rsidRDefault="0039793A" w:rsidP="0039793A">
      <w:pPr>
        <w:ind w:left="1080" w:hanging="360"/>
        <w:jc w:val="both"/>
        <w:rPr>
          <w:sz w:val="24"/>
        </w:rPr>
      </w:pPr>
      <w:r w:rsidRPr="0024019E">
        <w:rPr>
          <w:sz w:val="24"/>
        </w:rPr>
        <w:t>Le Département d’</w:t>
      </w:r>
      <w:r>
        <w:rPr>
          <w:sz w:val="24"/>
        </w:rPr>
        <w:t>État [</w:t>
      </w:r>
      <w:r w:rsidRPr="0024019E">
        <w:rPr>
          <w:sz w:val="24"/>
        </w:rPr>
        <w:t>178</w:t>
      </w:r>
      <w:r>
        <w:rPr>
          <w:sz w:val="24"/>
        </w:rPr>
        <w:t>]</w:t>
      </w:r>
    </w:p>
    <w:p w14:paraId="29667FC7" w14:textId="77777777" w:rsidR="0039793A" w:rsidRPr="0024019E" w:rsidRDefault="0039793A" w:rsidP="0039793A">
      <w:pPr>
        <w:ind w:firstLine="0"/>
        <w:jc w:val="both"/>
        <w:rPr>
          <w:sz w:val="24"/>
        </w:rPr>
      </w:pPr>
      <w:r>
        <w:rPr>
          <w:sz w:val="24"/>
        </w:rPr>
        <w:t>[7]</w:t>
      </w:r>
    </w:p>
    <w:p w14:paraId="5C40D0EE" w14:textId="77777777" w:rsidR="0039793A" w:rsidRPr="0024019E" w:rsidRDefault="0039793A" w:rsidP="0039793A">
      <w:pPr>
        <w:ind w:left="1080" w:hanging="360"/>
        <w:jc w:val="both"/>
        <w:rPr>
          <w:sz w:val="24"/>
        </w:rPr>
      </w:pPr>
      <w:r w:rsidRPr="0024019E">
        <w:rPr>
          <w:sz w:val="24"/>
        </w:rPr>
        <w:t>Le département de la Défense</w:t>
      </w:r>
      <w:r>
        <w:rPr>
          <w:sz w:val="24"/>
        </w:rPr>
        <w:t xml:space="preserve"> [</w:t>
      </w:r>
      <w:r w:rsidRPr="0024019E">
        <w:rPr>
          <w:sz w:val="24"/>
        </w:rPr>
        <w:t>185</w:t>
      </w:r>
      <w:r>
        <w:rPr>
          <w:sz w:val="24"/>
        </w:rPr>
        <w:t>]</w:t>
      </w:r>
    </w:p>
    <w:p w14:paraId="3D9C19EC" w14:textId="77777777" w:rsidR="0039793A" w:rsidRPr="0024019E" w:rsidRDefault="0039793A" w:rsidP="0039793A">
      <w:pPr>
        <w:spacing w:before="120"/>
        <w:ind w:left="720" w:hanging="360"/>
        <w:jc w:val="both"/>
        <w:rPr>
          <w:sz w:val="24"/>
        </w:rPr>
      </w:pPr>
      <w:hyperlink w:anchor="Pol_EU_pt_2_chap_06_2" w:history="1">
        <w:r w:rsidRPr="009C21B3">
          <w:rPr>
            <w:rStyle w:val="Hyperlien"/>
            <w:sz w:val="24"/>
          </w:rPr>
          <w:t>Le rôle repensé des services de renseignement et de la sécurité intérieure</w:t>
        </w:r>
      </w:hyperlink>
      <w:r>
        <w:rPr>
          <w:sz w:val="24"/>
        </w:rPr>
        <w:t xml:space="preserve"> [</w:t>
      </w:r>
      <w:r w:rsidRPr="0024019E">
        <w:rPr>
          <w:sz w:val="24"/>
        </w:rPr>
        <w:t>193</w:t>
      </w:r>
      <w:r>
        <w:rPr>
          <w:sz w:val="24"/>
        </w:rPr>
        <w:t>]</w:t>
      </w:r>
    </w:p>
    <w:p w14:paraId="289B35F2" w14:textId="77777777" w:rsidR="0039793A" w:rsidRPr="0024019E" w:rsidRDefault="0039793A" w:rsidP="0039793A">
      <w:pPr>
        <w:ind w:left="1080" w:hanging="360"/>
        <w:jc w:val="both"/>
        <w:rPr>
          <w:sz w:val="24"/>
        </w:rPr>
      </w:pPr>
      <w:r w:rsidRPr="0024019E">
        <w:rPr>
          <w:sz w:val="24"/>
        </w:rPr>
        <w:t>La communauté du renseignement</w:t>
      </w:r>
      <w:r>
        <w:rPr>
          <w:sz w:val="24"/>
        </w:rPr>
        <w:t xml:space="preserve"> [</w:t>
      </w:r>
      <w:r w:rsidRPr="0024019E">
        <w:rPr>
          <w:sz w:val="24"/>
        </w:rPr>
        <w:t>193</w:t>
      </w:r>
      <w:r>
        <w:rPr>
          <w:sz w:val="24"/>
        </w:rPr>
        <w:t>]</w:t>
      </w:r>
    </w:p>
    <w:p w14:paraId="65715C21" w14:textId="77777777" w:rsidR="0039793A" w:rsidRPr="0024019E" w:rsidRDefault="0039793A" w:rsidP="0039793A">
      <w:pPr>
        <w:ind w:left="1080" w:hanging="360"/>
        <w:jc w:val="both"/>
        <w:rPr>
          <w:sz w:val="24"/>
        </w:rPr>
      </w:pPr>
      <w:r w:rsidRPr="0024019E">
        <w:rPr>
          <w:sz w:val="24"/>
        </w:rPr>
        <w:t>Le département de la Sécurité intérieure</w:t>
      </w:r>
      <w:r>
        <w:rPr>
          <w:sz w:val="24"/>
        </w:rPr>
        <w:t xml:space="preserve"> [</w:t>
      </w:r>
      <w:r w:rsidRPr="0024019E">
        <w:rPr>
          <w:sz w:val="24"/>
        </w:rPr>
        <w:t>201</w:t>
      </w:r>
      <w:r>
        <w:rPr>
          <w:sz w:val="24"/>
        </w:rPr>
        <w:t>]</w:t>
      </w:r>
    </w:p>
    <w:p w14:paraId="48E84850" w14:textId="77777777" w:rsidR="0039793A" w:rsidRPr="0024019E" w:rsidRDefault="0039793A" w:rsidP="0039793A">
      <w:pPr>
        <w:spacing w:before="120"/>
        <w:ind w:left="720" w:hanging="360"/>
        <w:jc w:val="both"/>
        <w:rPr>
          <w:sz w:val="24"/>
        </w:rPr>
      </w:pPr>
      <w:hyperlink w:anchor="Pol_EU_pt_2_chap_06_3" w:history="1">
        <w:r w:rsidRPr="009C21B3">
          <w:rPr>
            <w:rStyle w:val="Hyperlien"/>
            <w:sz w:val="24"/>
          </w:rPr>
          <w:t>Le rôle accru des ministères traditionnels</w:t>
        </w:r>
      </w:hyperlink>
      <w:r>
        <w:rPr>
          <w:sz w:val="24"/>
        </w:rPr>
        <w:t xml:space="preserve"> [</w:t>
      </w:r>
      <w:r w:rsidRPr="0024019E">
        <w:rPr>
          <w:sz w:val="24"/>
        </w:rPr>
        <w:t>203</w:t>
      </w:r>
      <w:r>
        <w:rPr>
          <w:sz w:val="24"/>
        </w:rPr>
        <w:t>]</w:t>
      </w:r>
    </w:p>
    <w:p w14:paraId="122AF53D" w14:textId="77777777" w:rsidR="0039793A" w:rsidRPr="0024019E" w:rsidRDefault="0039793A" w:rsidP="0039793A">
      <w:pPr>
        <w:spacing w:before="120"/>
        <w:ind w:left="720" w:hanging="360"/>
        <w:jc w:val="both"/>
        <w:rPr>
          <w:sz w:val="24"/>
        </w:rPr>
      </w:pPr>
      <w:hyperlink w:anchor="Pol_EU_pt_2_chap_06_4" w:history="1">
        <w:r w:rsidRPr="009C21B3">
          <w:rPr>
            <w:rStyle w:val="Hyperlien"/>
            <w:sz w:val="24"/>
          </w:rPr>
          <w:t>L’impact du jeu bureaucratique sur la prise de décision</w:t>
        </w:r>
      </w:hyperlink>
      <w:r>
        <w:rPr>
          <w:sz w:val="24"/>
        </w:rPr>
        <w:t xml:space="preserve"> [</w:t>
      </w:r>
      <w:r w:rsidRPr="0024019E">
        <w:rPr>
          <w:sz w:val="24"/>
        </w:rPr>
        <w:t>206</w:t>
      </w:r>
      <w:r>
        <w:rPr>
          <w:sz w:val="24"/>
        </w:rPr>
        <w:t>]</w:t>
      </w:r>
    </w:p>
    <w:p w14:paraId="150EE647" w14:textId="77777777" w:rsidR="0039793A" w:rsidRDefault="0039793A" w:rsidP="0039793A">
      <w:pPr>
        <w:ind w:firstLine="0"/>
        <w:jc w:val="both"/>
        <w:rPr>
          <w:sz w:val="24"/>
        </w:rPr>
      </w:pPr>
    </w:p>
    <w:p w14:paraId="77A4DF59" w14:textId="77777777" w:rsidR="0039793A" w:rsidRDefault="0039793A" w:rsidP="0039793A">
      <w:pPr>
        <w:ind w:firstLine="0"/>
        <w:jc w:val="both"/>
        <w:rPr>
          <w:sz w:val="24"/>
        </w:rPr>
      </w:pPr>
    </w:p>
    <w:p w14:paraId="0B1943F5" w14:textId="77777777" w:rsidR="0039793A" w:rsidRDefault="0039793A" w:rsidP="0039793A">
      <w:pPr>
        <w:ind w:firstLine="0"/>
        <w:jc w:val="both"/>
        <w:rPr>
          <w:sz w:val="24"/>
        </w:rPr>
      </w:pPr>
      <w:r w:rsidRPr="00F15B4E">
        <w:rPr>
          <w:i/>
          <w:iCs/>
          <w:sz w:val="24"/>
        </w:rPr>
        <w:t>Chapitre 7</w:t>
      </w:r>
      <w:r w:rsidRPr="0024019E">
        <w:rPr>
          <w:sz w:val="24"/>
        </w:rPr>
        <w:t xml:space="preserve">. </w:t>
      </w:r>
      <w:hyperlink w:anchor="Pol_EU_pt_2_chap_07" w:history="1">
        <w:r w:rsidRPr="000E42B5">
          <w:rPr>
            <w:rStyle w:val="Hyperlien"/>
            <w:sz w:val="24"/>
          </w:rPr>
          <w:t>L’INFLUENCE DU CONSEIL DE SÉCURITÉ NATIONALE</w:t>
        </w:r>
      </w:hyperlink>
      <w:r>
        <w:rPr>
          <w:sz w:val="24"/>
        </w:rPr>
        <w:t xml:space="preserve"> [</w:t>
      </w:r>
      <w:r w:rsidRPr="0024019E">
        <w:rPr>
          <w:sz w:val="24"/>
        </w:rPr>
        <w:t>211</w:t>
      </w:r>
      <w:r>
        <w:rPr>
          <w:sz w:val="24"/>
        </w:rPr>
        <w:t>]</w:t>
      </w:r>
    </w:p>
    <w:p w14:paraId="6350D3C3" w14:textId="77777777" w:rsidR="0039793A" w:rsidRPr="0024019E" w:rsidRDefault="0039793A" w:rsidP="0039793A">
      <w:pPr>
        <w:ind w:left="720" w:hanging="360"/>
        <w:jc w:val="both"/>
        <w:rPr>
          <w:sz w:val="24"/>
        </w:rPr>
      </w:pPr>
    </w:p>
    <w:p w14:paraId="2ED8BDCD" w14:textId="77777777" w:rsidR="0039793A" w:rsidRPr="0024019E" w:rsidRDefault="0039793A" w:rsidP="0039793A">
      <w:pPr>
        <w:ind w:left="720" w:hanging="360"/>
        <w:jc w:val="both"/>
        <w:rPr>
          <w:sz w:val="24"/>
        </w:rPr>
      </w:pPr>
      <w:hyperlink w:anchor="Pol_EU_pt_2_chap_07_1" w:history="1">
        <w:r w:rsidRPr="009C21B3">
          <w:rPr>
            <w:rStyle w:val="Hyperlien"/>
            <w:sz w:val="24"/>
          </w:rPr>
          <w:t>La mise en place du NSC</w:t>
        </w:r>
      </w:hyperlink>
      <w:r>
        <w:rPr>
          <w:sz w:val="24"/>
        </w:rPr>
        <w:t xml:space="preserve"> [</w:t>
      </w:r>
      <w:r w:rsidRPr="0024019E">
        <w:rPr>
          <w:sz w:val="24"/>
        </w:rPr>
        <w:t>212</w:t>
      </w:r>
      <w:r>
        <w:rPr>
          <w:sz w:val="24"/>
        </w:rPr>
        <w:t>]</w:t>
      </w:r>
    </w:p>
    <w:p w14:paraId="4BF632C5" w14:textId="77777777" w:rsidR="0039793A" w:rsidRPr="0024019E" w:rsidRDefault="0039793A" w:rsidP="0039793A">
      <w:pPr>
        <w:ind w:left="1080" w:hanging="360"/>
        <w:jc w:val="both"/>
        <w:rPr>
          <w:sz w:val="24"/>
        </w:rPr>
      </w:pPr>
      <w:r w:rsidRPr="0024019E">
        <w:rPr>
          <w:sz w:val="24"/>
        </w:rPr>
        <w:t>Le contexte de la création du NSC</w:t>
      </w:r>
      <w:r>
        <w:rPr>
          <w:sz w:val="24"/>
        </w:rPr>
        <w:t xml:space="preserve"> [</w:t>
      </w:r>
      <w:r w:rsidRPr="0024019E">
        <w:rPr>
          <w:sz w:val="24"/>
        </w:rPr>
        <w:t>212</w:t>
      </w:r>
      <w:r>
        <w:rPr>
          <w:sz w:val="24"/>
        </w:rPr>
        <w:t>]</w:t>
      </w:r>
    </w:p>
    <w:p w14:paraId="3F068C7A" w14:textId="77777777" w:rsidR="0039793A" w:rsidRPr="0024019E" w:rsidRDefault="0039793A" w:rsidP="0039793A">
      <w:pPr>
        <w:ind w:left="1080" w:hanging="360"/>
        <w:jc w:val="both"/>
        <w:rPr>
          <w:sz w:val="24"/>
        </w:rPr>
      </w:pPr>
      <w:r w:rsidRPr="0024019E">
        <w:rPr>
          <w:sz w:val="24"/>
        </w:rPr>
        <w:t>La structure du NSC</w:t>
      </w:r>
      <w:r>
        <w:rPr>
          <w:sz w:val="24"/>
        </w:rPr>
        <w:t xml:space="preserve"> [</w:t>
      </w:r>
      <w:r w:rsidRPr="0024019E">
        <w:rPr>
          <w:sz w:val="24"/>
        </w:rPr>
        <w:t>215</w:t>
      </w:r>
      <w:r>
        <w:rPr>
          <w:sz w:val="24"/>
        </w:rPr>
        <w:t>]</w:t>
      </w:r>
    </w:p>
    <w:p w14:paraId="79480726" w14:textId="77777777" w:rsidR="0039793A" w:rsidRPr="0024019E" w:rsidRDefault="0039793A" w:rsidP="0039793A">
      <w:pPr>
        <w:ind w:left="720" w:hanging="360"/>
        <w:jc w:val="both"/>
        <w:rPr>
          <w:sz w:val="24"/>
        </w:rPr>
      </w:pPr>
      <w:hyperlink w:anchor="Pol_EU_pt_2_chap_07_2" w:history="1">
        <w:r w:rsidRPr="009C21B3">
          <w:rPr>
            <w:rStyle w:val="Hyperlien"/>
            <w:sz w:val="24"/>
          </w:rPr>
          <w:t>Le processus décisionnel au sein du NSC</w:t>
        </w:r>
      </w:hyperlink>
      <w:r>
        <w:rPr>
          <w:sz w:val="24"/>
        </w:rPr>
        <w:t xml:space="preserve"> [</w:t>
      </w:r>
      <w:r w:rsidRPr="0024019E">
        <w:rPr>
          <w:sz w:val="24"/>
        </w:rPr>
        <w:t>219</w:t>
      </w:r>
      <w:r>
        <w:rPr>
          <w:sz w:val="24"/>
        </w:rPr>
        <w:t>]</w:t>
      </w:r>
    </w:p>
    <w:p w14:paraId="5B472D0C" w14:textId="77777777" w:rsidR="0039793A" w:rsidRPr="0024019E" w:rsidRDefault="0039793A" w:rsidP="0039793A">
      <w:pPr>
        <w:ind w:left="1080" w:hanging="360"/>
        <w:jc w:val="both"/>
        <w:rPr>
          <w:sz w:val="24"/>
        </w:rPr>
      </w:pPr>
      <w:r w:rsidRPr="0024019E">
        <w:rPr>
          <w:sz w:val="24"/>
        </w:rPr>
        <w:t>Le déclin de la procédure formelle du Forum décisionnel</w:t>
      </w:r>
      <w:r>
        <w:rPr>
          <w:sz w:val="24"/>
        </w:rPr>
        <w:t xml:space="preserve"> [</w:t>
      </w:r>
      <w:r w:rsidRPr="0024019E">
        <w:rPr>
          <w:sz w:val="24"/>
        </w:rPr>
        <w:t>219</w:t>
      </w:r>
      <w:r>
        <w:rPr>
          <w:sz w:val="24"/>
        </w:rPr>
        <w:t>]</w:t>
      </w:r>
    </w:p>
    <w:p w14:paraId="54980318" w14:textId="77777777" w:rsidR="0039793A" w:rsidRPr="0024019E" w:rsidRDefault="0039793A" w:rsidP="0039793A">
      <w:pPr>
        <w:ind w:left="1080" w:hanging="360"/>
        <w:jc w:val="both"/>
        <w:rPr>
          <w:sz w:val="24"/>
        </w:rPr>
      </w:pPr>
      <w:r w:rsidRPr="0024019E">
        <w:rPr>
          <w:sz w:val="24"/>
        </w:rPr>
        <w:t>Les étapes du processus décisionnel</w:t>
      </w:r>
      <w:r>
        <w:rPr>
          <w:sz w:val="24"/>
        </w:rPr>
        <w:t xml:space="preserve"> [</w:t>
      </w:r>
      <w:r w:rsidRPr="0024019E">
        <w:rPr>
          <w:sz w:val="24"/>
        </w:rPr>
        <w:t>222</w:t>
      </w:r>
      <w:r>
        <w:rPr>
          <w:sz w:val="24"/>
        </w:rPr>
        <w:t>]</w:t>
      </w:r>
    </w:p>
    <w:p w14:paraId="66BB9279" w14:textId="77777777" w:rsidR="0039793A" w:rsidRPr="0024019E" w:rsidRDefault="0039793A" w:rsidP="0039793A">
      <w:pPr>
        <w:ind w:left="1080" w:hanging="360"/>
        <w:jc w:val="both"/>
        <w:rPr>
          <w:sz w:val="24"/>
        </w:rPr>
      </w:pPr>
      <w:r w:rsidRPr="0024019E">
        <w:rPr>
          <w:sz w:val="24"/>
        </w:rPr>
        <w:t>Le rôle central du conseiller pour la Sécurité nationale</w:t>
      </w:r>
      <w:r>
        <w:rPr>
          <w:sz w:val="24"/>
        </w:rPr>
        <w:t xml:space="preserve"> [</w:t>
      </w:r>
      <w:r w:rsidRPr="0024019E">
        <w:rPr>
          <w:sz w:val="24"/>
        </w:rPr>
        <w:t>224</w:t>
      </w:r>
      <w:r>
        <w:rPr>
          <w:sz w:val="24"/>
        </w:rPr>
        <w:t>]</w:t>
      </w:r>
    </w:p>
    <w:p w14:paraId="44EF153B" w14:textId="77777777" w:rsidR="0039793A" w:rsidRPr="0024019E" w:rsidRDefault="0039793A" w:rsidP="0039793A">
      <w:pPr>
        <w:ind w:left="1080" w:hanging="360"/>
        <w:jc w:val="both"/>
        <w:rPr>
          <w:sz w:val="24"/>
        </w:rPr>
      </w:pPr>
      <w:r w:rsidRPr="0024019E">
        <w:rPr>
          <w:sz w:val="24"/>
        </w:rPr>
        <w:t>L’influence de l’administration du</w:t>
      </w:r>
      <w:r>
        <w:rPr>
          <w:sz w:val="24"/>
        </w:rPr>
        <w:t xml:space="preserve"> </w:t>
      </w:r>
      <w:r w:rsidRPr="0024019E">
        <w:rPr>
          <w:sz w:val="24"/>
        </w:rPr>
        <w:t>NSC</w:t>
      </w:r>
      <w:r>
        <w:rPr>
          <w:sz w:val="24"/>
        </w:rPr>
        <w:t xml:space="preserve"> [</w:t>
      </w:r>
      <w:r w:rsidRPr="0024019E">
        <w:rPr>
          <w:sz w:val="24"/>
        </w:rPr>
        <w:t>229</w:t>
      </w:r>
      <w:r>
        <w:rPr>
          <w:sz w:val="24"/>
        </w:rPr>
        <w:t>]</w:t>
      </w:r>
    </w:p>
    <w:p w14:paraId="230E5A24" w14:textId="77777777" w:rsidR="0039793A" w:rsidRPr="0024019E" w:rsidRDefault="0039793A" w:rsidP="0039793A">
      <w:pPr>
        <w:ind w:left="720" w:hanging="360"/>
        <w:jc w:val="both"/>
        <w:rPr>
          <w:sz w:val="24"/>
        </w:rPr>
      </w:pPr>
      <w:hyperlink w:anchor="Pol_EU_pt_2_chap_07_3" w:history="1">
        <w:r w:rsidRPr="009C21B3">
          <w:rPr>
            <w:rStyle w:val="Hyperlien"/>
            <w:sz w:val="24"/>
          </w:rPr>
          <w:t>L’évolution du NSC dans le jeu de la politique étrangère</w:t>
        </w:r>
      </w:hyperlink>
      <w:r>
        <w:rPr>
          <w:sz w:val="24"/>
        </w:rPr>
        <w:t xml:space="preserve"> [</w:t>
      </w:r>
      <w:r w:rsidRPr="0024019E">
        <w:rPr>
          <w:sz w:val="24"/>
        </w:rPr>
        <w:t>232</w:t>
      </w:r>
      <w:r>
        <w:rPr>
          <w:sz w:val="24"/>
        </w:rPr>
        <w:t>]</w:t>
      </w:r>
    </w:p>
    <w:p w14:paraId="78A4EB85" w14:textId="77777777" w:rsidR="0039793A" w:rsidRPr="0024019E" w:rsidRDefault="0039793A" w:rsidP="0039793A">
      <w:pPr>
        <w:ind w:left="1080" w:hanging="360"/>
        <w:jc w:val="both"/>
        <w:rPr>
          <w:sz w:val="24"/>
        </w:rPr>
      </w:pPr>
      <w:r w:rsidRPr="0024019E">
        <w:rPr>
          <w:sz w:val="24"/>
        </w:rPr>
        <w:t>L’institutionnalisation du NSC</w:t>
      </w:r>
      <w:r>
        <w:rPr>
          <w:sz w:val="24"/>
        </w:rPr>
        <w:t xml:space="preserve"> [</w:t>
      </w:r>
      <w:r w:rsidRPr="0024019E">
        <w:rPr>
          <w:sz w:val="24"/>
        </w:rPr>
        <w:t>233</w:t>
      </w:r>
      <w:r>
        <w:rPr>
          <w:sz w:val="24"/>
        </w:rPr>
        <w:t>]</w:t>
      </w:r>
    </w:p>
    <w:p w14:paraId="69EC425A" w14:textId="77777777" w:rsidR="0039793A" w:rsidRPr="0024019E" w:rsidRDefault="0039793A" w:rsidP="0039793A">
      <w:pPr>
        <w:ind w:left="1080" w:hanging="360"/>
        <w:jc w:val="both"/>
        <w:rPr>
          <w:sz w:val="24"/>
        </w:rPr>
      </w:pPr>
      <w:r w:rsidRPr="0024019E">
        <w:rPr>
          <w:sz w:val="24"/>
        </w:rPr>
        <w:t>La présidentialisation du NSC</w:t>
      </w:r>
      <w:r>
        <w:rPr>
          <w:sz w:val="24"/>
        </w:rPr>
        <w:t xml:space="preserve"> [</w:t>
      </w:r>
      <w:r w:rsidRPr="0024019E">
        <w:rPr>
          <w:sz w:val="24"/>
        </w:rPr>
        <w:t>235</w:t>
      </w:r>
      <w:r>
        <w:rPr>
          <w:sz w:val="24"/>
        </w:rPr>
        <w:t>]</w:t>
      </w:r>
    </w:p>
    <w:p w14:paraId="27BA6C69" w14:textId="77777777" w:rsidR="0039793A" w:rsidRPr="0024019E" w:rsidRDefault="0039793A" w:rsidP="0039793A">
      <w:pPr>
        <w:ind w:left="1080" w:hanging="360"/>
        <w:jc w:val="both"/>
        <w:rPr>
          <w:sz w:val="24"/>
        </w:rPr>
      </w:pPr>
      <w:r w:rsidRPr="0024019E">
        <w:rPr>
          <w:sz w:val="24"/>
        </w:rPr>
        <w:t>L’expansion du NSC</w:t>
      </w:r>
      <w:r>
        <w:rPr>
          <w:sz w:val="24"/>
        </w:rPr>
        <w:t xml:space="preserve"> [</w:t>
      </w:r>
      <w:r w:rsidRPr="0024019E">
        <w:rPr>
          <w:sz w:val="24"/>
        </w:rPr>
        <w:t>237</w:t>
      </w:r>
      <w:r>
        <w:rPr>
          <w:sz w:val="24"/>
        </w:rPr>
        <w:t>]</w:t>
      </w:r>
    </w:p>
    <w:p w14:paraId="35DDB955" w14:textId="77777777" w:rsidR="0039793A" w:rsidRDefault="0039793A" w:rsidP="0039793A">
      <w:pPr>
        <w:ind w:left="1080" w:hanging="360"/>
        <w:jc w:val="both"/>
        <w:rPr>
          <w:sz w:val="24"/>
        </w:rPr>
      </w:pPr>
      <w:r w:rsidRPr="0024019E">
        <w:rPr>
          <w:sz w:val="24"/>
        </w:rPr>
        <w:t>Le repositionnement du NSC</w:t>
      </w:r>
      <w:r>
        <w:rPr>
          <w:sz w:val="24"/>
        </w:rPr>
        <w:t xml:space="preserve"> [</w:t>
      </w:r>
      <w:r w:rsidRPr="0024019E">
        <w:rPr>
          <w:sz w:val="24"/>
        </w:rPr>
        <w:t>242</w:t>
      </w:r>
      <w:r>
        <w:rPr>
          <w:sz w:val="24"/>
        </w:rPr>
        <w:t>]</w:t>
      </w:r>
    </w:p>
    <w:p w14:paraId="161BCCC5" w14:textId="77777777" w:rsidR="0039793A" w:rsidRPr="0024019E" w:rsidRDefault="0039793A" w:rsidP="0039793A">
      <w:pPr>
        <w:ind w:firstLine="0"/>
        <w:jc w:val="both"/>
        <w:rPr>
          <w:sz w:val="24"/>
        </w:rPr>
      </w:pPr>
    </w:p>
    <w:p w14:paraId="438B61B5" w14:textId="77777777" w:rsidR="0039793A" w:rsidRPr="001545D9" w:rsidRDefault="0039793A" w:rsidP="0039793A">
      <w:pPr>
        <w:ind w:firstLine="0"/>
        <w:jc w:val="center"/>
        <w:rPr>
          <w:b/>
          <w:i/>
          <w:iCs/>
          <w:color w:val="FF0000"/>
          <w:sz w:val="24"/>
        </w:rPr>
      </w:pPr>
      <w:r w:rsidRPr="001545D9">
        <w:rPr>
          <w:b/>
          <w:i/>
          <w:iCs/>
          <w:color w:val="FF0000"/>
          <w:sz w:val="24"/>
        </w:rPr>
        <w:t>Troisième partie</w:t>
      </w:r>
    </w:p>
    <w:p w14:paraId="553022D0" w14:textId="77777777" w:rsidR="0039793A" w:rsidRPr="0024019E" w:rsidRDefault="0039793A" w:rsidP="0039793A">
      <w:pPr>
        <w:ind w:firstLine="0"/>
        <w:jc w:val="center"/>
        <w:rPr>
          <w:sz w:val="24"/>
        </w:rPr>
      </w:pPr>
      <w:hyperlink w:anchor="Pol_EU_pt_3" w:history="1">
        <w:r w:rsidRPr="000E42B5">
          <w:rPr>
            <w:rStyle w:val="Hyperlien"/>
            <w:sz w:val="24"/>
          </w:rPr>
          <w:t>Le pouvoir législatif et le poids de la société civile</w:t>
        </w:r>
      </w:hyperlink>
      <w:r>
        <w:rPr>
          <w:sz w:val="24"/>
        </w:rPr>
        <w:t xml:space="preserve"> [247]</w:t>
      </w:r>
    </w:p>
    <w:p w14:paraId="32B45909" w14:textId="77777777" w:rsidR="0039793A" w:rsidRDefault="0039793A" w:rsidP="0039793A">
      <w:pPr>
        <w:ind w:firstLine="0"/>
        <w:jc w:val="both"/>
        <w:rPr>
          <w:sz w:val="24"/>
        </w:rPr>
      </w:pPr>
    </w:p>
    <w:p w14:paraId="4BC86F15" w14:textId="77777777" w:rsidR="0039793A" w:rsidRPr="0024019E" w:rsidRDefault="0039793A" w:rsidP="0039793A">
      <w:pPr>
        <w:ind w:firstLine="0"/>
        <w:jc w:val="both"/>
        <w:rPr>
          <w:sz w:val="24"/>
        </w:rPr>
      </w:pPr>
      <w:r w:rsidRPr="00F15B4E">
        <w:rPr>
          <w:i/>
          <w:iCs/>
          <w:sz w:val="24"/>
        </w:rPr>
        <w:t>Chapitre 8</w:t>
      </w:r>
      <w:r w:rsidRPr="0024019E">
        <w:rPr>
          <w:sz w:val="24"/>
        </w:rPr>
        <w:t xml:space="preserve">. </w:t>
      </w:r>
      <w:hyperlink w:anchor="Pol_EU_pt_3_chap_08" w:history="1">
        <w:r w:rsidRPr="000E42B5">
          <w:rPr>
            <w:rStyle w:val="Hyperlien"/>
            <w:caps/>
            <w:sz w:val="24"/>
          </w:rPr>
          <w:t>Le Congrès</w:t>
        </w:r>
      </w:hyperlink>
      <w:r>
        <w:rPr>
          <w:sz w:val="24"/>
        </w:rPr>
        <w:t xml:space="preserve"> [</w:t>
      </w:r>
      <w:r w:rsidRPr="0024019E">
        <w:rPr>
          <w:sz w:val="24"/>
        </w:rPr>
        <w:t>249</w:t>
      </w:r>
      <w:r>
        <w:rPr>
          <w:sz w:val="24"/>
        </w:rPr>
        <w:t>]</w:t>
      </w:r>
    </w:p>
    <w:p w14:paraId="635A5709" w14:textId="77777777" w:rsidR="0039793A" w:rsidRDefault="0039793A" w:rsidP="0039793A">
      <w:pPr>
        <w:ind w:left="720" w:hanging="360"/>
        <w:jc w:val="both"/>
        <w:rPr>
          <w:sz w:val="24"/>
        </w:rPr>
      </w:pPr>
    </w:p>
    <w:p w14:paraId="1BC9EF61" w14:textId="77777777" w:rsidR="0039793A" w:rsidRPr="0024019E" w:rsidRDefault="0039793A" w:rsidP="0039793A">
      <w:pPr>
        <w:ind w:left="720" w:hanging="360"/>
        <w:jc w:val="both"/>
        <w:rPr>
          <w:sz w:val="24"/>
        </w:rPr>
      </w:pPr>
      <w:hyperlink w:anchor="Pol_EU_pt_3_chap_08_1" w:history="1">
        <w:r w:rsidRPr="009C21B3">
          <w:rPr>
            <w:rStyle w:val="Hyperlien"/>
            <w:sz w:val="24"/>
          </w:rPr>
          <w:t>Les pouvoirs du Congrès</w:t>
        </w:r>
      </w:hyperlink>
      <w:r>
        <w:rPr>
          <w:sz w:val="24"/>
        </w:rPr>
        <w:t xml:space="preserve"> [</w:t>
      </w:r>
      <w:r w:rsidRPr="0024019E">
        <w:rPr>
          <w:sz w:val="24"/>
        </w:rPr>
        <w:t>249</w:t>
      </w:r>
      <w:r>
        <w:rPr>
          <w:sz w:val="24"/>
        </w:rPr>
        <w:t>]</w:t>
      </w:r>
    </w:p>
    <w:p w14:paraId="2CF1206D" w14:textId="77777777" w:rsidR="0039793A" w:rsidRPr="0024019E" w:rsidRDefault="0039793A" w:rsidP="0039793A">
      <w:pPr>
        <w:ind w:left="1080" w:hanging="360"/>
        <w:jc w:val="both"/>
        <w:rPr>
          <w:sz w:val="24"/>
        </w:rPr>
      </w:pPr>
      <w:r w:rsidRPr="0024019E">
        <w:rPr>
          <w:sz w:val="24"/>
        </w:rPr>
        <w:t>Les variations historiques des pouvoirs du Congrès</w:t>
      </w:r>
      <w:r>
        <w:rPr>
          <w:sz w:val="24"/>
        </w:rPr>
        <w:t xml:space="preserve"> [</w:t>
      </w:r>
      <w:r w:rsidRPr="0024019E">
        <w:rPr>
          <w:sz w:val="24"/>
        </w:rPr>
        <w:t>250</w:t>
      </w:r>
      <w:r>
        <w:rPr>
          <w:sz w:val="24"/>
        </w:rPr>
        <w:t>]</w:t>
      </w:r>
    </w:p>
    <w:p w14:paraId="3975B450" w14:textId="77777777" w:rsidR="0039793A" w:rsidRPr="0024019E" w:rsidRDefault="0039793A" w:rsidP="0039793A">
      <w:pPr>
        <w:ind w:left="1080" w:hanging="360"/>
        <w:jc w:val="both"/>
        <w:rPr>
          <w:sz w:val="24"/>
        </w:rPr>
      </w:pPr>
      <w:r w:rsidRPr="0024019E">
        <w:rPr>
          <w:sz w:val="24"/>
        </w:rPr>
        <w:t>Les pouvoirs invisibles du Congrès</w:t>
      </w:r>
      <w:r>
        <w:rPr>
          <w:sz w:val="24"/>
        </w:rPr>
        <w:t xml:space="preserve"> [</w:t>
      </w:r>
      <w:r w:rsidRPr="0024019E">
        <w:rPr>
          <w:sz w:val="24"/>
        </w:rPr>
        <w:t>253</w:t>
      </w:r>
      <w:r>
        <w:rPr>
          <w:sz w:val="24"/>
        </w:rPr>
        <w:t>]</w:t>
      </w:r>
    </w:p>
    <w:p w14:paraId="73933C2C" w14:textId="77777777" w:rsidR="0039793A" w:rsidRPr="0024019E" w:rsidRDefault="0039793A" w:rsidP="0039793A">
      <w:pPr>
        <w:ind w:left="1080" w:hanging="360"/>
        <w:jc w:val="both"/>
        <w:rPr>
          <w:sz w:val="24"/>
        </w:rPr>
      </w:pPr>
      <w:r w:rsidRPr="0024019E">
        <w:rPr>
          <w:sz w:val="24"/>
        </w:rPr>
        <w:t>Les pouvoirs de politique extérieure du Congrès</w:t>
      </w:r>
      <w:r>
        <w:rPr>
          <w:sz w:val="24"/>
        </w:rPr>
        <w:t xml:space="preserve"> [</w:t>
      </w:r>
      <w:r w:rsidRPr="0024019E">
        <w:rPr>
          <w:sz w:val="24"/>
        </w:rPr>
        <w:t>255</w:t>
      </w:r>
      <w:r>
        <w:rPr>
          <w:sz w:val="24"/>
        </w:rPr>
        <w:t>]</w:t>
      </w:r>
    </w:p>
    <w:p w14:paraId="72785F63" w14:textId="77777777" w:rsidR="0039793A" w:rsidRPr="0024019E" w:rsidRDefault="0039793A" w:rsidP="0039793A">
      <w:pPr>
        <w:ind w:left="1080" w:hanging="360"/>
        <w:jc w:val="both"/>
        <w:rPr>
          <w:sz w:val="24"/>
        </w:rPr>
      </w:pPr>
      <w:r w:rsidRPr="0024019E">
        <w:rPr>
          <w:sz w:val="24"/>
        </w:rPr>
        <w:t>Le pouvoir législatif du Congrès</w:t>
      </w:r>
      <w:r>
        <w:rPr>
          <w:sz w:val="24"/>
        </w:rPr>
        <w:t xml:space="preserve"> [</w:t>
      </w:r>
      <w:r w:rsidRPr="0024019E">
        <w:rPr>
          <w:sz w:val="24"/>
        </w:rPr>
        <w:t>263</w:t>
      </w:r>
      <w:r>
        <w:rPr>
          <w:sz w:val="24"/>
        </w:rPr>
        <w:t>]</w:t>
      </w:r>
    </w:p>
    <w:p w14:paraId="0EF05F77" w14:textId="77777777" w:rsidR="0039793A" w:rsidRPr="0024019E" w:rsidRDefault="0039793A" w:rsidP="0039793A">
      <w:pPr>
        <w:spacing w:before="120"/>
        <w:ind w:left="720" w:hanging="360"/>
        <w:jc w:val="both"/>
        <w:rPr>
          <w:sz w:val="24"/>
        </w:rPr>
      </w:pPr>
      <w:hyperlink w:anchor="Pol_EU_pt_3_chap_08_2" w:history="1">
        <w:r w:rsidRPr="009C21B3">
          <w:rPr>
            <w:rStyle w:val="Hyperlien"/>
            <w:sz w:val="24"/>
          </w:rPr>
          <w:t>L’organisation du Congrès</w:t>
        </w:r>
      </w:hyperlink>
      <w:r>
        <w:rPr>
          <w:sz w:val="24"/>
        </w:rPr>
        <w:t xml:space="preserve"> [</w:t>
      </w:r>
      <w:r w:rsidRPr="0024019E">
        <w:rPr>
          <w:sz w:val="24"/>
        </w:rPr>
        <w:t>270</w:t>
      </w:r>
      <w:r>
        <w:rPr>
          <w:sz w:val="24"/>
        </w:rPr>
        <w:t>]</w:t>
      </w:r>
    </w:p>
    <w:p w14:paraId="368B0D81" w14:textId="77777777" w:rsidR="0039793A" w:rsidRPr="0024019E" w:rsidRDefault="0039793A" w:rsidP="0039793A">
      <w:pPr>
        <w:ind w:left="1080" w:hanging="360"/>
        <w:jc w:val="both"/>
        <w:rPr>
          <w:sz w:val="24"/>
        </w:rPr>
      </w:pPr>
      <w:r w:rsidRPr="0024019E">
        <w:rPr>
          <w:sz w:val="24"/>
        </w:rPr>
        <w:t>L’influence du processus de désignation des parlementaires</w:t>
      </w:r>
      <w:r>
        <w:rPr>
          <w:sz w:val="24"/>
        </w:rPr>
        <w:t xml:space="preserve"> [</w:t>
      </w:r>
      <w:r w:rsidRPr="0024019E">
        <w:rPr>
          <w:sz w:val="24"/>
        </w:rPr>
        <w:t>270</w:t>
      </w:r>
      <w:r>
        <w:rPr>
          <w:sz w:val="24"/>
        </w:rPr>
        <w:t>]</w:t>
      </w:r>
    </w:p>
    <w:p w14:paraId="0F91ED53" w14:textId="77777777" w:rsidR="0039793A" w:rsidRPr="0024019E" w:rsidRDefault="0039793A" w:rsidP="0039793A">
      <w:pPr>
        <w:ind w:left="1080" w:hanging="360"/>
        <w:jc w:val="both"/>
        <w:rPr>
          <w:sz w:val="24"/>
        </w:rPr>
      </w:pPr>
      <w:r w:rsidRPr="0024019E">
        <w:rPr>
          <w:sz w:val="24"/>
        </w:rPr>
        <w:t>L’incidence de l’organisation du travail au Congrès</w:t>
      </w:r>
      <w:r>
        <w:rPr>
          <w:sz w:val="24"/>
        </w:rPr>
        <w:t xml:space="preserve"> [</w:t>
      </w:r>
      <w:r w:rsidRPr="0024019E">
        <w:rPr>
          <w:sz w:val="24"/>
        </w:rPr>
        <w:t>274</w:t>
      </w:r>
      <w:r>
        <w:rPr>
          <w:sz w:val="24"/>
        </w:rPr>
        <w:t>]</w:t>
      </w:r>
    </w:p>
    <w:p w14:paraId="6C4A4C5C" w14:textId="77777777" w:rsidR="0039793A" w:rsidRPr="0024019E" w:rsidRDefault="0039793A" w:rsidP="0039793A">
      <w:pPr>
        <w:ind w:left="1080" w:hanging="360"/>
        <w:jc w:val="both"/>
        <w:rPr>
          <w:sz w:val="24"/>
        </w:rPr>
      </w:pPr>
      <w:r w:rsidRPr="0024019E">
        <w:rPr>
          <w:sz w:val="24"/>
        </w:rPr>
        <w:t>L’incidence de la structure partisane sur la politique étrangère</w:t>
      </w:r>
      <w:r>
        <w:rPr>
          <w:sz w:val="24"/>
        </w:rPr>
        <w:t xml:space="preserve"> [</w:t>
      </w:r>
      <w:r w:rsidRPr="0024019E">
        <w:rPr>
          <w:sz w:val="24"/>
        </w:rPr>
        <w:t>279</w:t>
      </w:r>
      <w:r>
        <w:rPr>
          <w:sz w:val="24"/>
        </w:rPr>
        <w:t>]</w:t>
      </w:r>
    </w:p>
    <w:p w14:paraId="79606300" w14:textId="77777777" w:rsidR="0039793A" w:rsidRDefault="0039793A" w:rsidP="0039793A">
      <w:pPr>
        <w:ind w:left="720" w:hanging="360"/>
        <w:jc w:val="both"/>
        <w:rPr>
          <w:sz w:val="24"/>
        </w:rPr>
      </w:pPr>
    </w:p>
    <w:p w14:paraId="01C2E154" w14:textId="77777777" w:rsidR="0039793A" w:rsidRPr="0024019E" w:rsidRDefault="0039793A" w:rsidP="0039793A">
      <w:pPr>
        <w:ind w:firstLine="0"/>
        <w:jc w:val="both"/>
        <w:rPr>
          <w:sz w:val="24"/>
        </w:rPr>
      </w:pPr>
      <w:r w:rsidRPr="00F15B4E">
        <w:rPr>
          <w:i/>
          <w:iCs/>
          <w:sz w:val="24"/>
        </w:rPr>
        <w:t>Chapitre 9</w:t>
      </w:r>
      <w:r w:rsidRPr="0024019E">
        <w:rPr>
          <w:sz w:val="24"/>
        </w:rPr>
        <w:t xml:space="preserve">. </w:t>
      </w:r>
      <w:hyperlink w:anchor="Pol_EU_pt_3_chap_09" w:history="1">
        <w:r w:rsidRPr="000E42B5">
          <w:rPr>
            <w:rStyle w:val="Hyperlien"/>
            <w:caps/>
            <w:sz w:val="24"/>
          </w:rPr>
          <w:t>Le rôle de l’opinion publique</w:t>
        </w:r>
      </w:hyperlink>
      <w:r>
        <w:rPr>
          <w:sz w:val="24"/>
        </w:rPr>
        <w:t xml:space="preserve"> [</w:t>
      </w:r>
      <w:r w:rsidRPr="0024019E">
        <w:rPr>
          <w:sz w:val="24"/>
        </w:rPr>
        <w:t>285</w:t>
      </w:r>
      <w:r>
        <w:rPr>
          <w:sz w:val="24"/>
        </w:rPr>
        <w:t>]</w:t>
      </w:r>
    </w:p>
    <w:p w14:paraId="2C4AFD67" w14:textId="77777777" w:rsidR="0039793A" w:rsidRDefault="0039793A" w:rsidP="0039793A">
      <w:pPr>
        <w:ind w:left="720" w:hanging="360"/>
        <w:jc w:val="both"/>
        <w:rPr>
          <w:sz w:val="24"/>
        </w:rPr>
      </w:pPr>
    </w:p>
    <w:p w14:paraId="53E82080" w14:textId="77777777" w:rsidR="0039793A" w:rsidRPr="0024019E" w:rsidRDefault="0039793A" w:rsidP="0039793A">
      <w:pPr>
        <w:ind w:left="720" w:hanging="360"/>
        <w:jc w:val="both"/>
        <w:rPr>
          <w:sz w:val="24"/>
        </w:rPr>
      </w:pPr>
      <w:hyperlink w:anchor="Pol_EU_pt_3_chap_09_1" w:history="1">
        <w:r w:rsidRPr="009C21B3">
          <w:rPr>
            <w:rStyle w:val="Hyperlien"/>
            <w:sz w:val="24"/>
          </w:rPr>
          <w:t>La perception du monde par l’opinion publique américaine</w:t>
        </w:r>
      </w:hyperlink>
      <w:r>
        <w:rPr>
          <w:sz w:val="24"/>
        </w:rPr>
        <w:t xml:space="preserve"> [</w:t>
      </w:r>
      <w:r w:rsidRPr="0024019E">
        <w:rPr>
          <w:sz w:val="24"/>
        </w:rPr>
        <w:t>286</w:t>
      </w:r>
      <w:r>
        <w:rPr>
          <w:sz w:val="24"/>
        </w:rPr>
        <w:t>]</w:t>
      </w:r>
    </w:p>
    <w:p w14:paraId="0B33B54E" w14:textId="77777777" w:rsidR="0039793A" w:rsidRPr="0024019E" w:rsidRDefault="0039793A" w:rsidP="0039793A">
      <w:pPr>
        <w:ind w:left="1080" w:hanging="360"/>
        <w:jc w:val="both"/>
        <w:rPr>
          <w:sz w:val="24"/>
        </w:rPr>
      </w:pPr>
      <w:r w:rsidRPr="0024019E">
        <w:rPr>
          <w:sz w:val="24"/>
        </w:rPr>
        <w:t>L’apparent isolationnisme de l’opinion publique</w:t>
      </w:r>
      <w:r>
        <w:rPr>
          <w:sz w:val="24"/>
        </w:rPr>
        <w:t xml:space="preserve"> [</w:t>
      </w:r>
      <w:r w:rsidRPr="0024019E">
        <w:rPr>
          <w:sz w:val="24"/>
        </w:rPr>
        <w:t>287</w:t>
      </w:r>
      <w:r>
        <w:rPr>
          <w:sz w:val="24"/>
        </w:rPr>
        <w:t>]</w:t>
      </w:r>
    </w:p>
    <w:p w14:paraId="59BF2CE7" w14:textId="77777777" w:rsidR="0039793A" w:rsidRPr="0024019E" w:rsidRDefault="0039793A" w:rsidP="0039793A">
      <w:pPr>
        <w:ind w:firstLine="0"/>
        <w:jc w:val="both"/>
        <w:rPr>
          <w:sz w:val="24"/>
        </w:rPr>
      </w:pPr>
      <w:r>
        <w:rPr>
          <w:sz w:val="24"/>
        </w:rPr>
        <w:t>[8]</w:t>
      </w:r>
    </w:p>
    <w:p w14:paraId="162A8345" w14:textId="77777777" w:rsidR="0039793A" w:rsidRPr="0024019E" w:rsidRDefault="0039793A" w:rsidP="0039793A">
      <w:pPr>
        <w:ind w:left="1080" w:hanging="360"/>
        <w:jc w:val="both"/>
        <w:rPr>
          <w:sz w:val="24"/>
        </w:rPr>
      </w:pPr>
      <w:r w:rsidRPr="0024019E">
        <w:rPr>
          <w:sz w:val="24"/>
        </w:rPr>
        <w:t>Les clivages d</w:t>
      </w:r>
      <w:r>
        <w:rPr>
          <w:sz w:val="24"/>
        </w:rPr>
        <w:t>e l’opinion publique américaine [295]</w:t>
      </w:r>
    </w:p>
    <w:p w14:paraId="77FAB060" w14:textId="77777777" w:rsidR="0039793A" w:rsidRPr="0024019E" w:rsidRDefault="0039793A" w:rsidP="0039793A">
      <w:pPr>
        <w:spacing w:before="120"/>
        <w:ind w:left="720" w:hanging="360"/>
        <w:jc w:val="both"/>
        <w:rPr>
          <w:sz w:val="24"/>
        </w:rPr>
      </w:pPr>
      <w:hyperlink w:anchor="Pol_EU_pt_3_chap_09_2" w:history="1">
        <w:r w:rsidRPr="009C21B3">
          <w:rPr>
            <w:rStyle w:val="Hyperlien"/>
            <w:sz w:val="24"/>
          </w:rPr>
          <w:t>Un triangle d’influence réciproque : le président, l’opinion publique et les m</w:t>
        </w:r>
        <w:r w:rsidRPr="009C21B3">
          <w:rPr>
            <w:rStyle w:val="Hyperlien"/>
            <w:sz w:val="24"/>
          </w:rPr>
          <w:t>é</w:t>
        </w:r>
        <w:r w:rsidRPr="009C21B3">
          <w:rPr>
            <w:rStyle w:val="Hyperlien"/>
            <w:sz w:val="24"/>
          </w:rPr>
          <w:t>dias</w:t>
        </w:r>
      </w:hyperlink>
      <w:r>
        <w:rPr>
          <w:sz w:val="24"/>
        </w:rPr>
        <w:t xml:space="preserve"> [303]</w:t>
      </w:r>
    </w:p>
    <w:p w14:paraId="674D498F" w14:textId="77777777" w:rsidR="0039793A" w:rsidRPr="0024019E" w:rsidRDefault="0039793A" w:rsidP="0039793A">
      <w:pPr>
        <w:ind w:left="1080" w:hanging="360"/>
        <w:jc w:val="both"/>
        <w:rPr>
          <w:sz w:val="24"/>
        </w:rPr>
      </w:pPr>
      <w:r w:rsidRPr="0024019E">
        <w:rPr>
          <w:sz w:val="24"/>
        </w:rPr>
        <w:t>La couverture médiatique contrast</w:t>
      </w:r>
      <w:r>
        <w:rPr>
          <w:sz w:val="24"/>
        </w:rPr>
        <w:t>ée des affaires internationales [304]</w:t>
      </w:r>
    </w:p>
    <w:p w14:paraId="1B0BE85D" w14:textId="77777777" w:rsidR="0039793A" w:rsidRPr="0024019E" w:rsidRDefault="0039793A" w:rsidP="0039793A">
      <w:pPr>
        <w:ind w:left="1080" w:hanging="360"/>
        <w:jc w:val="both"/>
        <w:rPr>
          <w:sz w:val="24"/>
        </w:rPr>
      </w:pPr>
      <w:r w:rsidRPr="0024019E">
        <w:rPr>
          <w:sz w:val="24"/>
        </w:rPr>
        <w:t>Le rôle des médias dans la gestion président</w:t>
      </w:r>
      <w:r>
        <w:rPr>
          <w:sz w:val="24"/>
        </w:rPr>
        <w:t>ielle de la politique étrangère [306]</w:t>
      </w:r>
    </w:p>
    <w:p w14:paraId="32DE0377" w14:textId="77777777" w:rsidR="0039793A" w:rsidRPr="0024019E" w:rsidRDefault="0039793A" w:rsidP="0039793A">
      <w:pPr>
        <w:ind w:left="1080" w:hanging="360"/>
        <w:jc w:val="both"/>
        <w:rPr>
          <w:sz w:val="24"/>
        </w:rPr>
      </w:pPr>
      <w:r w:rsidRPr="0024019E">
        <w:rPr>
          <w:sz w:val="24"/>
        </w:rPr>
        <w:t>La mobilisation médiatique de l’opinion publique par le président en p</w:t>
      </w:r>
      <w:r w:rsidRPr="0024019E">
        <w:rPr>
          <w:sz w:val="24"/>
        </w:rPr>
        <w:t>é</w:t>
      </w:r>
      <w:r w:rsidRPr="0024019E">
        <w:rPr>
          <w:sz w:val="24"/>
        </w:rPr>
        <w:t>riode de</w:t>
      </w:r>
      <w:r>
        <w:rPr>
          <w:sz w:val="24"/>
        </w:rPr>
        <w:t xml:space="preserve"> guerre [312]</w:t>
      </w:r>
    </w:p>
    <w:p w14:paraId="0A37B13E" w14:textId="77777777" w:rsidR="0039793A" w:rsidRDefault="0039793A" w:rsidP="0039793A">
      <w:pPr>
        <w:ind w:left="720" w:hanging="360"/>
        <w:jc w:val="both"/>
        <w:rPr>
          <w:sz w:val="24"/>
        </w:rPr>
      </w:pPr>
    </w:p>
    <w:p w14:paraId="1597562B" w14:textId="77777777" w:rsidR="0039793A" w:rsidRPr="0024019E" w:rsidRDefault="0039793A" w:rsidP="0039793A">
      <w:pPr>
        <w:ind w:firstLine="0"/>
        <w:jc w:val="both"/>
        <w:rPr>
          <w:sz w:val="24"/>
        </w:rPr>
      </w:pPr>
      <w:r w:rsidRPr="00F15B4E">
        <w:rPr>
          <w:i/>
          <w:iCs/>
          <w:sz w:val="24"/>
        </w:rPr>
        <w:t>Chapitre 10</w:t>
      </w:r>
      <w:r w:rsidRPr="0024019E">
        <w:rPr>
          <w:sz w:val="24"/>
        </w:rPr>
        <w:t xml:space="preserve">. </w:t>
      </w:r>
      <w:hyperlink w:anchor="Pol_EU_pt_3_chap_10" w:history="1">
        <w:r w:rsidRPr="000E42B5">
          <w:rPr>
            <w:rStyle w:val="Hyperlien"/>
            <w:caps/>
            <w:sz w:val="24"/>
          </w:rPr>
          <w:t>La</w:t>
        </w:r>
        <w:r w:rsidRPr="000E42B5">
          <w:rPr>
            <w:rStyle w:val="Hyperlien"/>
            <w:sz w:val="24"/>
          </w:rPr>
          <w:t xml:space="preserve"> SOCIÉTÉ CIVILE ORGANISÉE</w:t>
        </w:r>
      </w:hyperlink>
      <w:r>
        <w:rPr>
          <w:sz w:val="24"/>
        </w:rPr>
        <w:t xml:space="preserve"> [317]</w:t>
      </w:r>
    </w:p>
    <w:p w14:paraId="69D15D66" w14:textId="77777777" w:rsidR="0039793A" w:rsidRDefault="0039793A" w:rsidP="0039793A">
      <w:pPr>
        <w:ind w:left="720" w:hanging="360"/>
        <w:jc w:val="both"/>
        <w:rPr>
          <w:sz w:val="24"/>
        </w:rPr>
      </w:pPr>
    </w:p>
    <w:p w14:paraId="1FF91196" w14:textId="77777777" w:rsidR="0039793A" w:rsidRPr="0024019E" w:rsidRDefault="0039793A" w:rsidP="0039793A">
      <w:pPr>
        <w:ind w:left="720" w:hanging="360"/>
        <w:jc w:val="both"/>
        <w:rPr>
          <w:sz w:val="24"/>
        </w:rPr>
      </w:pPr>
      <w:hyperlink w:anchor="Pol_EU_pt_3_chap_10_1" w:history="1">
        <w:r w:rsidRPr="009C21B3">
          <w:rPr>
            <w:rStyle w:val="Hyperlien"/>
            <w:sz w:val="24"/>
          </w:rPr>
          <w:t>Une société civile dynamique en politique étrangère</w:t>
        </w:r>
      </w:hyperlink>
      <w:r>
        <w:rPr>
          <w:sz w:val="24"/>
        </w:rPr>
        <w:t xml:space="preserve"> [318]</w:t>
      </w:r>
    </w:p>
    <w:p w14:paraId="312460D0" w14:textId="77777777" w:rsidR="0039793A" w:rsidRPr="0024019E" w:rsidRDefault="0039793A" w:rsidP="0039793A">
      <w:pPr>
        <w:ind w:left="1080" w:hanging="360"/>
        <w:jc w:val="both"/>
        <w:rPr>
          <w:sz w:val="24"/>
        </w:rPr>
      </w:pPr>
      <w:r w:rsidRPr="0024019E">
        <w:rPr>
          <w:sz w:val="24"/>
        </w:rPr>
        <w:t>La vitalité du débat</w:t>
      </w:r>
      <w:r>
        <w:rPr>
          <w:sz w:val="24"/>
        </w:rPr>
        <w:t xml:space="preserve"> d’idées en politique étrangère [319]</w:t>
      </w:r>
    </w:p>
    <w:p w14:paraId="5BA2E3AD" w14:textId="77777777" w:rsidR="0039793A" w:rsidRPr="0024019E" w:rsidRDefault="0039793A" w:rsidP="0039793A">
      <w:pPr>
        <w:ind w:left="1080" w:hanging="360"/>
        <w:jc w:val="both"/>
        <w:rPr>
          <w:sz w:val="24"/>
        </w:rPr>
      </w:pPr>
      <w:r w:rsidRPr="0024019E">
        <w:rPr>
          <w:sz w:val="24"/>
        </w:rPr>
        <w:t>L’expre</w:t>
      </w:r>
      <w:r>
        <w:rPr>
          <w:sz w:val="24"/>
        </w:rPr>
        <w:t>ssion des intérêts particuliers [322]</w:t>
      </w:r>
    </w:p>
    <w:p w14:paraId="13055511" w14:textId="77777777" w:rsidR="0039793A" w:rsidRPr="0024019E" w:rsidRDefault="0039793A" w:rsidP="0039793A">
      <w:pPr>
        <w:spacing w:before="120"/>
        <w:ind w:left="720" w:hanging="360"/>
        <w:jc w:val="both"/>
        <w:rPr>
          <w:sz w:val="24"/>
        </w:rPr>
      </w:pPr>
      <w:hyperlink w:anchor="Pol_EU_pt_3_chap_10_2" w:history="1">
        <w:r w:rsidRPr="009C21B3">
          <w:rPr>
            <w:rStyle w:val="Hyperlien"/>
            <w:sz w:val="24"/>
          </w:rPr>
          <w:t>Les moyens d’influence sur la politique étrangère</w:t>
        </w:r>
      </w:hyperlink>
      <w:r>
        <w:rPr>
          <w:sz w:val="24"/>
        </w:rPr>
        <w:t xml:space="preserve"> [328]</w:t>
      </w:r>
    </w:p>
    <w:p w14:paraId="4E9D3242" w14:textId="77777777" w:rsidR="0039793A" w:rsidRPr="0024019E" w:rsidRDefault="0039793A" w:rsidP="0039793A">
      <w:pPr>
        <w:ind w:left="1080" w:hanging="360"/>
        <w:jc w:val="both"/>
        <w:rPr>
          <w:sz w:val="24"/>
        </w:rPr>
      </w:pPr>
      <w:r>
        <w:rPr>
          <w:sz w:val="24"/>
        </w:rPr>
        <w:t>L’influence par le vote [329]</w:t>
      </w:r>
    </w:p>
    <w:p w14:paraId="7F9DF9F2" w14:textId="77777777" w:rsidR="0039793A" w:rsidRPr="0024019E" w:rsidRDefault="0039793A" w:rsidP="0039793A">
      <w:pPr>
        <w:ind w:left="1080" w:hanging="360"/>
        <w:jc w:val="both"/>
        <w:rPr>
          <w:sz w:val="24"/>
        </w:rPr>
      </w:pPr>
      <w:r>
        <w:rPr>
          <w:sz w:val="24"/>
        </w:rPr>
        <w:t>L’influence par l’argent [332]</w:t>
      </w:r>
    </w:p>
    <w:p w14:paraId="6A8AAF4C" w14:textId="77777777" w:rsidR="0039793A" w:rsidRPr="0024019E" w:rsidRDefault="0039793A" w:rsidP="0039793A">
      <w:pPr>
        <w:ind w:left="1080" w:hanging="360"/>
        <w:jc w:val="both"/>
        <w:rPr>
          <w:sz w:val="24"/>
        </w:rPr>
      </w:pPr>
      <w:r w:rsidRPr="0024019E">
        <w:rPr>
          <w:sz w:val="24"/>
        </w:rPr>
        <w:t>L’influence</w:t>
      </w:r>
      <w:r>
        <w:rPr>
          <w:sz w:val="24"/>
        </w:rPr>
        <w:t xml:space="preserve"> par le lobbying contractualisé [335]</w:t>
      </w:r>
    </w:p>
    <w:p w14:paraId="6573F683" w14:textId="77777777" w:rsidR="0039793A" w:rsidRPr="0024019E" w:rsidRDefault="0039793A" w:rsidP="0039793A">
      <w:pPr>
        <w:ind w:left="1080" w:hanging="360"/>
        <w:jc w:val="both"/>
        <w:rPr>
          <w:sz w:val="24"/>
        </w:rPr>
      </w:pPr>
      <w:r w:rsidRPr="0024019E">
        <w:rPr>
          <w:sz w:val="24"/>
        </w:rPr>
        <w:t>La nécessa</w:t>
      </w:r>
      <w:r>
        <w:rPr>
          <w:sz w:val="24"/>
        </w:rPr>
        <w:t>ire cohérence organisationnelle [336]</w:t>
      </w:r>
    </w:p>
    <w:p w14:paraId="2CC4DBC1" w14:textId="77777777" w:rsidR="0039793A" w:rsidRDefault="0039793A" w:rsidP="0039793A">
      <w:pPr>
        <w:ind w:firstLine="0"/>
        <w:jc w:val="both"/>
        <w:rPr>
          <w:sz w:val="24"/>
        </w:rPr>
      </w:pPr>
    </w:p>
    <w:p w14:paraId="172F3EA0" w14:textId="77777777" w:rsidR="0039793A" w:rsidRPr="0024019E" w:rsidRDefault="0039793A" w:rsidP="0039793A">
      <w:pPr>
        <w:spacing w:after="120"/>
        <w:ind w:firstLine="0"/>
        <w:jc w:val="both"/>
        <w:rPr>
          <w:sz w:val="24"/>
        </w:rPr>
      </w:pPr>
      <w:hyperlink w:anchor="Pol_EU_conclusion" w:history="1">
        <w:r w:rsidRPr="000E42B5">
          <w:rPr>
            <w:rStyle w:val="Hyperlien"/>
            <w:i/>
            <w:iCs/>
            <w:sz w:val="24"/>
          </w:rPr>
          <w:t>Conclusion</w:t>
        </w:r>
      </w:hyperlink>
      <w:r>
        <w:rPr>
          <w:sz w:val="24"/>
        </w:rPr>
        <w:t xml:space="preserve"> [345]</w:t>
      </w:r>
    </w:p>
    <w:p w14:paraId="0A824CDB" w14:textId="77777777" w:rsidR="0039793A" w:rsidRPr="0024019E" w:rsidRDefault="0039793A" w:rsidP="0039793A">
      <w:pPr>
        <w:spacing w:after="120"/>
        <w:ind w:firstLine="0"/>
        <w:jc w:val="both"/>
        <w:rPr>
          <w:sz w:val="24"/>
        </w:rPr>
      </w:pPr>
      <w:hyperlink w:anchor="Pol_EU_biblio" w:history="1">
        <w:r w:rsidRPr="000E42B5">
          <w:rPr>
            <w:rStyle w:val="Hyperlien"/>
            <w:i/>
            <w:iCs/>
            <w:sz w:val="24"/>
          </w:rPr>
          <w:t>Bibliographie</w:t>
        </w:r>
      </w:hyperlink>
      <w:r>
        <w:rPr>
          <w:sz w:val="24"/>
        </w:rPr>
        <w:t xml:space="preserve"> [353]</w:t>
      </w:r>
    </w:p>
    <w:p w14:paraId="43CB2109" w14:textId="77777777" w:rsidR="0039793A" w:rsidRPr="0024019E" w:rsidRDefault="0039793A" w:rsidP="0039793A">
      <w:pPr>
        <w:spacing w:after="120"/>
        <w:ind w:firstLine="0"/>
        <w:jc w:val="both"/>
        <w:rPr>
          <w:sz w:val="24"/>
        </w:rPr>
      </w:pPr>
      <w:hyperlink w:anchor="Pol_EU_index_noms" w:history="1">
        <w:r w:rsidRPr="000E42B5">
          <w:rPr>
            <w:rStyle w:val="Hyperlien"/>
            <w:i/>
            <w:iCs/>
            <w:sz w:val="24"/>
          </w:rPr>
          <w:t>Index des noms cités</w:t>
        </w:r>
      </w:hyperlink>
      <w:r>
        <w:rPr>
          <w:sz w:val="24"/>
        </w:rPr>
        <w:t xml:space="preserve"> [365]</w:t>
      </w:r>
    </w:p>
    <w:p w14:paraId="62BF27F1" w14:textId="77777777" w:rsidR="0039793A" w:rsidRPr="0024019E" w:rsidRDefault="0039793A" w:rsidP="0039793A">
      <w:pPr>
        <w:spacing w:after="120"/>
        <w:ind w:firstLine="0"/>
        <w:jc w:val="both"/>
        <w:rPr>
          <w:sz w:val="24"/>
        </w:rPr>
      </w:pPr>
      <w:hyperlink w:anchor="Pol_EU_index_thematique" w:history="1">
        <w:r w:rsidRPr="000E42B5">
          <w:rPr>
            <w:rStyle w:val="Hyperlien"/>
            <w:i/>
            <w:iCs/>
            <w:sz w:val="24"/>
          </w:rPr>
          <w:t>Index thématique</w:t>
        </w:r>
      </w:hyperlink>
      <w:r>
        <w:rPr>
          <w:sz w:val="24"/>
        </w:rPr>
        <w:t xml:space="preserve"> [371]</w:t>
      </w:r>
    </w:p>
    <w:p w14:paraId="5A6C21F0" w14:textId="77777777" w:rsidR="0039793A" w:rsidRPr="00E07116" w:rsidRDefault="0039793A" w:rsidP="0039793A">
      <w:pPr>
        <w:ind w:left="540" w:hanging="540"/>
      </w:pPr>
    </w:p>
    <w:p w14:paraId="015EE8C8" w14:textId="77777777" w:rsidR="0039793A" w:rsidRPr="00E07116" w:rsidRDefault="0039793A" w:rsidP="0039793A">
      <w:pPr>
        <w:ind w:firstLine="0"/>
      </w:pPr>
      <w:r>
        <w:br w:type="page"/>
      </w:r>
      <w:r w:rsidRPr="00E07116">
        <w:t>[</w:t>
      </w:r>
      <w:r>
        <w:t>9</w:t>
      </w:r>
      <w:r w:rsidRPr="00E07116">
        <w:t>]</w:t>
      </w:r>
    </w:p>
    <w:p w14:paraId="3114E60C" w14:textId="77777777" w:rsidR="0039793A" w:rsidRPr="00E07116" w:rsidRDefault="0039793A">
      <w:pPr>
        <w:jc w:val="both"/>
      </w:pPr>
    </w:p>
    <w:p w14:paraId="09CA2657" w14:textId="77777777" w:rsidR="0039793A" w:rsidRPr="00E07116" w:rsidRDefault="0039793A">
      <w:pPr>
        <w:jc w:val="both"/>
      </w:pPr>
    </w:p>
    <w:p w14:paraId="2B2D9DA1" w14:textId="77777777" w:rsidR="0039793A" w:rsidRPr="00E07116" w:rsidRDefault="0039793A">
      <w:pPr>
        <w:jc w:val="both"/>
      </w:pPr>
    </w:p>
    <w:p w14:paraId="1004E64C" w14:textId="77777777" w:rsidR="0039793A" w:rsidRPr="00642210" w:rsidRDefault="0039793A" w:rsidP="0039793A">
      <w:pPr>
        <w:spacing w:after="120"/>
        <w:jc w:val="center"/>
      </w:pPr>
      <w:bookmarkStart w:id="2" w:name="Pol_EU_intro"/>
      <w:r w:rsidRPr="00642210">
        <w:rPr>
          <w:b/>
        </w:rPr>
        <w:t>La politique étrangère des «États-Unis.</w:t>
      </w:r>
      <w:r w:rsidRPr="00642210">
        <w:rPr>
          <w:b/>
        </w:rPr>
        <w:br/>
      </w:r>
      <w:r w:rsidRPr="00642210">
        <w:rPr>
          <w:i/>
        </w:rPr>
        <w:t>Fondements, acteurs, formulation</w:t>
      </w:r>
    </w:p>
    <w:p w14:paraId="2703A14E" w14:textId="77777777" w:rsidR="0039793A" w:rsidRPr="00384B20" w:rsidRDefault="0039793A" w:rsidP="0039793A">
      <w:pPr>
        <w:pStyle w:val="planchest"/>
      </w:pPr>
      <w:r w:rsidRPr="00384B20">
        <w:t>INTRODUCTION</w:t>
      </w:r>
    </w:p>
    <w:bookmarkEnd w:id="2"/>
    <w:p w14:paraId="514FE532" w14:textId="77777777" w:rsidR="0039793A" w:rsidRPr="00E07116" w:rsidRDefault="0039793A">
      <w:pPr>
        <w:jc w:val="both"/>
      </w:pPr>
    </w:p>
    <w:p w14:paraId="011885AC" w14:textId="77777777" w:rsidR="0039793A" w:rsidRPr="00E07116" w:rsidRDefault="0039793A">
      <w:pPr>
        <w:jc w:val="both"/>
      </w:pPr>
    </w:p>
    <w:p w14:paraId="24CCD2D4" w14:textId="77777777" w:rsidR="0039793A" w:rsidRPr="00E07116" w:rsidRDefault="0039793A">
      <w:pPr>
        <w:jc w:val="both"/>
      </w:pPr>
    </w:p>
    <w:p w14:paraId="60C0E376" w14:textId="77777777" w:rsidR="0039793A" w:rsidRPr="00E07116" w:rsidRDefault="0039793A">
      <w:pPr>
        <w:jc w:val="both"/>
      </w:pPr>
    </w:p>
    <w:p w14:paraId="62E3000B" w14:textId="77777777" w:rsidR="0039793A" w:rsidRPr="00E07116" w:rsidRDefault="0039793A">
      <w:pPr>
        <w:jc w:val="both"/>
      </w:pPr>
    </w:p>
    <w:p w14:paraId="398583CF" w14:textId="77777777" w:rsidR="0039793A" w:rsidRPr="00E07116" w:rsidRDefault="0039793A">
      <w:pPr>
        <w:jc w:val="both"/>
      </w:pPr>
    </w:p>
    <w:p w14:paraId="521E5F8F" w14:textId="77777777" w:rsidR="0039793A" w:rsidRPr="00384B20" w:rsidRDefault="0039793A">
      <w:pPr>
        <w:ind w:right="90" w:firstLine="0"/>
        <w:jc w:val="both"/>
        <w:rPr>
          <w:sz w:val="20"/>
        </w:rPr>
      </w:pPr>
      <w:hyperlink w:anchor="tdm" w:history="1">
        <w:r w:rsidRPr="00384B20">
          <w:rPr>
            <w:rStyle w:val="Hyperlien"/>
            <w:sz w:val="20"/>
          </w:rPr>
          <w:t>Retour à la table des matières</w:t>
        </w:r>
      </w:hyperlink>
    </w:p>
    <w:p w14:paraId="7244D61A" w14:textId="77777777" w:rsidR="0039793A" w:rsidRPr="00D2217B" w:rsidRDefault="0039793A" w:rsidP="0039793A">
      <w:pPr>
        <w:spacing w:before="120" w:after="120"/>
        <w:jc w:val="both"/>
      </w:pPr>
      <w:r w:rsidRPr="00D2217B">
        <w:rPr>
          <w:lang w:eastAsia="fr-FR" w:bidi="fr-FR"/>
        </w:rPr>
        <w:t>La politique étrangère des États-Unis est le produit d’une pluralité de mécanismes, d’acteurs et de facteurs. Le principe selon lequel les Amér</w:t>
      </w:r>
      <w:r w:rsidRPr="00D2217B">
        <w:rPr>
          <w:lang w:eastAsia="fr-FR" w:bidi="fr-FR"/>
        </w:rPr>
        <w:t>i</w:t>
      </w:r>
      <w:r w:rsidRPr="00D2217B">
        <w:rPr>
          <w:lang w:eastAsia="fr-FR" w:bidi="fr-FR"/>
        </w:rPr>
        <w:t>cains ne parlent que d’une seule voix — celle du Président - ne saurait occulter le fait, qu’aux États-Unis, le processus d’élaboration de la politique étrangère implique une grande diversité d’acteurs, g</w:t>
      </w:r>
      <w:r w:rsidRPr="00D2217B">
        <w:rPr>
          <w:lang w:eastAsia="fr-FR" w:bidi="fr-FR"/>
        </w:rPr>
        <w:t>é</w:t>
      </w:r>
      <w:r w:rsidRPr="00D2217B">
        <w:rPr>
          <w:lang w:eastAsia="fr-FR" w:bidi="fr-FR"/>
        </w:rPr>
        <w:t>nère d’intenses débats contradictoires et suppose de longs arbitrages. Il faut en ce sens se défier de certaines critiques qui laisseraient pa</w:t>
      </w:r>
      <w:r w:rsidRPr="00D2217B">
        <w:rPr>
          <w:lang w:eastAsia="fr-FR" w:bidi="fr-FR"/>
        </w:rPr>
        <w:t>r</w:t>
      </w:r>
      <w:r w:rsidRPr="00D2217B">
        <w:rPr>
          <w:lang w:eastAsia="fr-FR" w:bidi="fr-FR"/>
        </w:rPr>
        <w:t>fois penser gue la collusion entre le pouvoir politique et la société c</w:t>
      </w:r>
      <w:r w:rsidRPr="00D2217B">
        <w:rPr>
          <w:lang w:eastAsia="fr-FR" w:bidi="fr-FR"/>
        </w:rPr>
        <w:t>i</w:t>
      </w:r>
      <w:r w:rsidRPr="00D2217B">
        <w:rPr>
          <w:lang w:eastAsia="fr-FR" w:bidi="fr-FR"/>
        </w:rPr>
        <w:t>vile aux États-Unis est telle qu’il n’y a pas de débat interne voire que la politique étrangère résulte de sombres complots. Les États-Unis ne forment pas un bloc monolithique. Simplement, les mécanismes de prise de décision sont tels que l’ensemble des termes du débat finit par converger vers la présidence, point focal du processus.</w:t>
      </w:r>
    </w:p>
    <w:p w14:paraId="55D68587" w14:textId="77777777" w:rsidR="0039793A" w:rsidRPr="00D2217B" w:rsidRDefault="0039793A" w:rsidP="0039793A">
      <w:pPr>
        <w:spacing w:before="120" w:after="120"/>
        <w:jc w:val="both"/>
      </w:pPr>
      <w:r w:rsidRPr="00D2217B">
        <w:rPr>
          <w:lang w:eastAsia="fr-FR" w:bidi="fr-FR"/>
        </w:rPr>
        <w:t>La formulation de la politique extérieure amér</w:t>
      </w:r>
      <w:r w:rsidRPr="00D2217B">
        <w:rPr>
          <w:lang w:eastAsia="fr-FR" w:bidi="fr-FR"/>
        </w:rPr>
        <w:t>i</w:t>
      </w:r>
      <w:r w:rsidRPr="00D2217B">
        <w:rPr>
          <w:lang w:eastAsia="fr-FR" w:bidi="fr-FR"/>
        </w:rPr>
        <w:t>caine est d’une telle complexité, qu’elle est dev</w:t>
      </w:r>
      <w:r w:rsidRPr="00D2217B">
        <w:rPr>
          <w:lang w:eastAsia="fr-FR" w:bidi="fr-FR"/>
        </w:rPr>
        <w:t>e</w:t>
      </w:r>
      <w:r w:rsidRPr="00D2217B">
        <w:rPr>
          <w:lang w:eastAsia="fr-FR" w:bidi="fr-FR"/>
        </w:rPr>
        <w:t>nue, en tant que telle, un champ d’études très développé des sciences sociales anglo-saxonnes, part</w:t>
      </w:r>
      <w:r w:rsidRPr="00D2217B">
        <w:rPr>
          <w:lang w:eastAsia="fr-FR" w:bidi="fr-FR"/>
        </w:rPr>
        <w:t>i</w:t>
      </w:r>
      <w:r w:rsidRPr="00D2217B">
        <w:rPr>
          <w:lang w:eastAsia="fr-FR" w:bidi="fr-FR"/>
        </w:rPr>
        <w:t>culièrement de la science politique.</w:t>
      </w:r>
    </w:p>
    <w:p w14:paraId="21CD5D0B" w14:textId="77777777" w:rsidR="0039793A" w:rsidRPr="00D2217B" w:rsidRDefault="0039793A" w:rsidP="0039793A">
      <w:pPr>
        <w:spacing w:before="120" w:after="120"/>
        <w:jc w:val="both"/>
      </w:pPr>
      <w:r w:rsidRPr="00D2217B">
        <w:rPr>
          <w:lang w:eastAsia="fr-FR" w:bidi="fr-FR"/>
        </w:rPr>
        <w:t>Tout d’abord, des manuels classiques en systématisent les méc</w:t>
      </w:r>
      <w:r w:rsidRPr="00D2217B">
        <w:rPr>
          <w:lang w:eastAsia="fr-FR" w:bidi="fr-FR"/>
        </w:rPr>
        <w:t>a</w:t>
      </w:r>
      <w:r w:rsidRPr="00D2217B">
        <w:rPr>
          <w:lang w:eastAsia="fr-FR" w:bidi="fr-FR"/>
        </w:rPr>
        <w:t>nismes pour dresser un panorama complet des fondements, des acteurs de l’élaboration de la politique étrangère des États- Unis</w:t>
      </w:r>
      <w:r w:rsidRPr="00D2217B">
        <w:t> :</w:t>
      </w:r>
      <w:r w:rsidRPr="00D2217B">
        <w:rPr>
          <w:lang w:eastAsia="fr-FR" w:bidi="fr-FR"/>
        </w:rPr>
        <w:t xml:space="preserve"> on ne peut ainsi manquer, dans les années récentes, les écrits de Howard Wiarda, Bruce Je</w:t>
      </w:r>
      <w:r w:rsidRPr="00D2217B">
        <w:rPr>
          <w:lang w:eastAsia="fr-FR" w:bidi="fr-FR"/>
        </w:rPr>
        <w:t>n</w:t>
      </w:r>
      <w:r w:rsidRPr="00D2217B">
        <w:rPr>
          <w:lang w:eastAsia="fr-FR" w:bidi="fr-FR"/>
        </w:rPr>
        <w:t>tleson, Jerel Rosati, de John Rourke, Ralph Carter et Mark Boyer et de Charles Kegley et</w:t>
      </w:r>
      <w:r>
        <w:rPr>
          <w:lang w:eastAsia="fr-FR" w:bidi="fr-FR"/>
        </w:rPr>
        <w:t xml:space="preserve"> </w:t>
      </w:r>
      <w:r>
        <w:t xml:space="preserve">[2] </w:t>
      </w:r>
      <w:r w:rsidRPr="00D2217B">
        <w:rPr>
          <w:lang w:eastAsia="fr-FR" w:bidi="fr-FR"/>
        </w:rPr>
        <w:t>Eugene Wittkopf</w:t>
      </w:r>
      <w:r>
        <w:rPr>
          <w:lang w:eastAsia="fr-FR" w:bidi="fr-FR"/>
        </w:rPr>
        <w:t> </w:t>
      </w:r>
      <w:r>
        <w:rPr>
          <w:rStyle w:val="Appelnotedebasdep"/>
          <w:lang w:eastAsia="fr-FR" w:bidi="fr-FR"/>
        </w:rPr>
        <w:footnoteReference w:id="1"/>
      </w:r>
      <w:r w:rsidRPr="00D2217B">
        <w:rPr>
          <w:lang w:eastAsia="fr-FR" w:bidi="fr-FR"/>
        </w:rPr>
        <w:t>. Dans cette per</w:t>
      </w:r>
      <w:r w:rsidRPr="00D2217B">
        <w:rPr>
          <w:lang w:eastAsia="fr-FR" w:bidi="fr-FR"/>
        </w:rPr>
        <w:t>s</w:t>
      </w:r>
      <w:r w:rsidRPr="00D2217B">
        <w:rPr>
          <w:lang w:eastAsia="fr-FR" w:bidi="fr-FR"/>
        </w:rPr>
        <w:t>pective, la recherche franc</w:t>
      </w:r>
      <w:r w:rsidRPr="00D2217B">
        <w:rPr>
          <w:lang w:eastAsia="fr-FR" w:bidi="fr-FR"/>
        </w:rPr>
        <w:t>o</w:t>
      </w:r>
      <w:r w:rsidRPr="00D2217B">
        <w:rPr>
          <w:lang w:eastAsia="fr-FR" w:bidi="fr-FR"/>
        </w:rPr>
        <w:t>phone n’offre pas d’équivalent.</w:t>
      </w:r>
    </w:p>
    <w:p w14:paraId="5E773008" w14:textId="77777777" w:rsidR="0039793A" w:rsidRPr="00D2217B" w:rsidRDefault="0039793A" w:rsidP="0039793A">
      <w:pPr>
        <w:spacing w:before="120" w:after="120"/>
        <w:jc w:val="both"/>
      </w:pPr>
      <w:r w:rsidRPr="00D2217B">
        <w:rPr>
          <w:lang w:eastAsia="fr-FR" w:bidi="fr-FR"/>
        </w:rPr>
        <w:t>Ensuite, des ouvrages vont aborder des aspects particuliers de la formulation de la politique ext</w:t>
      </w:r>
      <w:r w:rsidRPr="00D2217B">
        <w:rPr>
          <w:lang w:eastAsia="fr-FR" w:bidi="fr-FR"/>
        </w:rPr>
        <w:t>é</w:t>
      </w:r>
      <w:r w:rsidRPr="00D2217B">
        <w:rPr>
          <w:lang w:eastAsia="fr-FR" w:bidi="fr-FR"/>
        </w:rPr>
        <w:t>rieure. Ici encore, il existe des manuels qu’on ne peut éviter, en droit constitutionnel (Louis Henkin et Louis Fischer), sur l’histoire et la culture (M</w:t>
      </w:r>
      <w:r w:rsidRPr="00D2217B">
        <w:rPr>
          <w:lang w:eastAsia="fr-FR" w:bidi="fr-FR"/>
        </w:rPr>
        <w:t>i</w:t>
      </w:r>
      <w:r w:rsidRPr="00D2217B">
        <w:rPr>
          <w:lang w:eastAsia="fr-FR" w:bidi="fr-FR"/>
        </w:rPr>
        <w:t>chael Hunt, Gabriel Kolko et Robert Dallek), sur les courants de pensée politique (Louis Hartz et Walter Russell Mead), sur la présidence (Richard Neustadt, Alexander George et Fred Greenstein), sur les acteurs bureaucratiques (Hedrick Smith et Irving Destler), sur le Conseil de sécurité nationale (John Prados et Amy Zegart), sur le Congrès (Thomas Mann et Thomas Franck), sur l’opinion publique (Bernard Cohen et Eugene Wittkopf) et sur la société civile (Norman Ornstein).</w:t>
      </w:r>
      <w:r>
        <w:rPr>
          <w:lang w:eastAsia="fr-FR" w:bidi="fr-FR"/>
        </w:rPr>
        <w:t> </w:t>
      </w:r>
      <w:r>
        <w:rPr>
          <w:rStyle w:val="Appelnotedebasdep"/>
          <w:lang w:eastAsia="fr-FR" w:bidi="fr-FR"/>
        </w:rPr>
        <w:footnoteReference w:id="2"/>
      </w:r>
    </w:p>
    <w:p w14:paraId="1D7A9639" w14:textId="77777777" w:rsidR="0039793A" w:rsidRDefault="0039793A" w:rsidP="0039793A">
      <w:pPr>
        <w:spacing w:before="120" w:after="120"/>
        <w:jc w:val="both"/>
      </w:pPr>
      <w:r>
        <w:t>[11]</w:t>
      </w:r>
    </w:p>
    <w:p w14:paraId="02E1D118" w14:textId="77777777" w:rsidR="0039793A" w:rsidRPr="00D2217B" w:rsidRDefault="0039793A" w:rsidP="0039793A">
      <w:pPr>
        <w:spacing w:before="120" w:after="120"/>
        <w:jc w:val="both"/>
      </w:pPr>
      <w:r w:rsidRPr="00D2217B">
        <w:rPr>
          <w:lang w:eastAsia="fr-FR" w:bidi="fr-FR"/>
        </w:rPr>
        <w:t>Cela dit, il faut rendre ses mérites à la recherche francophone. Il existe des ouvrages sectoriels sur la politique extérieure américaine. L’actualité a relancé l’intérêt pour l’étude de la politique étra</w:t>
      </w:r>
      <w:r w:rsidRPr="00D2217B">
        <w:rPr>
          <w:lang w:eastAsia="fr-FR" w:bidi="fr-FR"/>
        </w:rPr>
        <w:t>n</w:t>
      </w:r>
      <w:r w:rsidRPr="00D2217B">
        <w:rPr>
          <w:lang w:eastAsia="fr-FR" w:bidi="fr-FR"/>
        </w:rPr>
        <w:t>gère américaine. De nombreuses publications apparaissent d’ailleurs a</w:t>
      </w:r>
      <w:r w:rsidRPr="00D2217B">
        <w:rPr>
          <w:lang w:eastAsia="fr-FR" w:bidi="fr-FR"/>
        </w:rPr>
        <w:t>u</w:t>
      </w:r>
      <w:r w:rsidRPr="00D2217B">
        <w:rPr>
          <w:lang w:eastAsia="fr-FR" w:bidi="fr-FR"/>
        </w:rPr>
        <w:t>jourd’hui pour traiter - pa</w:t>
      </w:r>
      <w:r w:rsidRPr="00D2217B">
        <w:rPr>
          <w:lang w:eastAsia="fr-FR" w:bidi="fr-FR"/>
        </w:rPr>
        <w:t>r</w:t>
      </w:r>
      <w:r w:rsidRPr="00D2217B">
        <w:rPr>
          <w:lang w:eastAsia="fr-FR" w:bidi="fr-FR"/>
        </w:rPr>
        <w:t>fois à chaud - des différentes politiques des États-Unis</w:t>
      </w:r>
      <w:r w:rsidRPr="00D2217B">
        <w:t> :</w:t>
      </w:r>
      <w:r w:rsidRPr="00D2217B">
        <w:rPr>
          <w:lang w:eastAsia="fr-FR" w:bidi="fr-FR"/>
        </w:rPr>
        <w:t xml:space="preserve"> le thème du retour de l’empire américain est devenu p</w:t>
      </w:r>
      <w:r w:rsidRPr="00D2217B">
        <w:rPr>
          <w:lang w:eastAsia="fr-FR" w:bidi="fr-FR"/>
        </w:rPr>
        <w:t>o</w:t>
      </w:r>
      <w:r w:rsidRPr="00D2217B">
        <w:rPr>
          <w:lang w:eastAsia="fr-FR" w:bidi="fr-FR"/>
        </w:rPr>
        <w:t>pulaire</w:t>
      </w:r>
      <w:r>
        <w:rPr>
          <w:lang w:eastAsia="fr-FR" w:bidi="fr-FR"/>
        </w:rPr>
        <w:t> </w:t>
      </w:r>
      <w:r>
        <w:rPr>
          <w:rStyle w:val="Appelnotedebasdep"/>
          <w:lang w:eastAsia="fr-FR" w:bidi="fr-FR"/>
        </w:rPr>
        <w:footnoteReference w:id="3"/>
      </w:r>
      <w:r w:rsidRPr="00D2217B">
        <w:rPr>
          <w:lang w:eastAsia="fr-FR" w:bidi="fr-FR"/>
        </w:rPr>
        <w:t>. Au-delà de cet aspect pur</w:t>
      </w:r>
      <w:r w:rsidRPr="00D2217B">
        <w:rPr>
          <w:lang w:eastAsia="fr-FR" w:bidi="fr-FR"/>
        </w:rPr>
        <w:t>e</w:t>
      </w:r>
      <w:r w:rsidRPr="00D2217B">
        <w:rPr>
          <w:lang w:eastAsia="fr-FR" w:bidi="fr-FR"/>
        </w:rPr>
        <w:t>ment circonstanciel, le monde scientifique franc</w:t>
      </w:r>
      <w:r w:rsidRPr="00D2217B">
        <w:rPr>
          <w:lang w:eastAsia="fr-FR" w:bidi="fr-FR"/>
        </w:rPr>
        <w:t>o</w:t>
      </w:r>
      <w:r w:rsidRPr="00D2217B">
        <w:rPr>
          <w:lang w:eastAsia="fr-FR" w:bidi="fr-FR"/>
        </w:rPr>
        <w:t>phone s’est penché sur les caractéristiques de la politique extérieure américaine, en les étudiant toutefois de façon sp</w:t>
      </w:r>
      <w:r w:rsidRPr="00D2217B">
        <w:rPr>
          <w:lang w:eastAsia="fr-FR" w:bidi="fr-FR"/>
        </w:rPr>
        <w:t>é</w:t>
      </w:r>
      <w:r w:rsidRPr="00D2217B">
        <w:rPr>
          <w:lang w:eastAsia="fr-FR" w:bidi="fr-FR"/>
        </w:rPr>
        <w:t>cifique. Ainsi, s’agissant de l’histoire de la politique étrangère amér</w:t>
      </w:r>
      <w:r w:rsidRPr="00D2217B">
        <w:rPr>
          <w:lang w:eastAsia="fr-FR" w:bidi="fr-FR"/>
        </w:rPr>
        <w:t>i</w:t>
      </w:r>
      <w:r w:rsidRPr="00D2217B">
        <w:rPr>
          <w:lang w:eastAsia="fr-FR" w:bidi="fr-FR"/>
        </w:rPr>
        <w:t>caine, on doit signaler en particulier les belles contributions de Pierre Melandri, André Kaspi, Denise Artaud, Murielle Delaporte et Yves-Henri Nouailhat</w:t>
      </w:r>
      <w:r>
        <w:rPr>
          <w:lang w:eastAsia="fr-FR" w:bidi="fr-FR"/>
        </w:rPr>
        <w:t> </w:t>
      </w:r>
      <w:r>
        <w:rPr>
          <w:rStyle w:val="Appelnotedebasdep"/>
          <w:lang w:eastAsia="fr-FR" w:bidi="fr-FR"/>
        </w:rPr>
        <w:footnoteReference w:id="4"/>
      </w:r>
      <w:r w:rsidRPr="00D2217B">
        <w:rPr>
          <w:lang w:eastAsia="fr-FR" w:bidi="fr-FR"/>
        </w:rPr>
        <w:t>. S’agissant de thèmes précis abordés sous l’angle spécifique de la politique extérieure, il faut relever, entre autres, les ouvrages sur l’influence de l’idéologie (Élise Marienstras</w:t>
      </w:r>
      <w:r>
        <w:rPr>
          <w:lang w:eastAsia="fr-FR" w:bidi="fr-FR"/>
        </w:rPr>
        <w:t> </w:t>
      </w:r>
      <w:r>
        <w:rPr>
          <w:rStyle w:val="Appelnotedebasdep"/>
          <w:lang w:eastAsia="fr-FR" w:bidi="fr-FR"/>
        </w:rPr>
        <w:footnoteReference w:id="5"/>
      </w:r>
      <w:r w:rsidRPr="00D2217B">
        <w:t>),</w:t>
      </w:r>
      <w:r w:rsidRPr="00D2217B">
        <w:rPr>
          <w:lang w:eastAsia="fr-FR" w:bidi="fr-FR"/>
        </w:rPr>
        <w:t xml:space="preserve"> le rôle de la présidence (Marie-France Toinet</w:t>
      </w:r>
      <w:r>
        <w:rPr>
          <w:lang w:eastAsia="fr-FR" w:bidi="fr-FR"/>
        </w:rPr>
        <w:t> </w:t>
      </w:r>
      <w:r>
        <w:rPr>
          <w:rStyle w:val="Appelnotedebasdep"/>
          <w:lang w:eastAsia="fr-FR" w:bidi="fr-FR"/>
        </w:rPr>
        <w:footnoteReference w:id="6"/>
      </w:r>
      <w:r w:rsidRPr="00D2217B">
        <w:rPr>
          <w:lang w:eastAsia="fr-FR" w:bidi="fr-FR"/>
        </w:rPr>
        <w:t>), le rôle du Conseil de sécur</w:t>
      </w:r>
      <w:r w:rsidRPr="00D2217B">
        <w:rPr>
          <w:lang w:eastAsia="fr-FR" w:bidi="fr-FR"/>
        </w:rPr>
        <w:t>i</w:t>
      </w:r>
      <w:r w:rsidRPr="00D2217B">
        <w:rPr>
          <w:lang w:eastAsia="fr-FR" w:bidi="fr-FR"/>
        </w:rPr>
        <w:t>té nationale (Charles-Philippe David</w:t>
      </w:r>
      <w:r>
        <w:rPr>
          <w:lang w:eastAsia="fr-FR" w:bidi="fr-FR"/>
        </w:rPr>
        <w:t> </w:t>
      </w:r>
      <w:r>
        <w:rPr>
          <w:rStyle w:val="Appelnotedebasdep"/>
          <w:lang w:eastAsia="fr-FR" w:bidi="fr-FR"/>
        </w:rPr>
        <w:footnoteReference w:id="7"/>
      </w:r>
      <w:r w:rsidRPr="00D2217B">
        <w:rPr>
          <w:lang w:eastAsia="fr-FR" w:bidi="fr-FR"/>
        </w:rPr>
        <w:t>), l’influence du style national (Stanley Hoffmann</w:t>
      </w:r>
      <w:r>
        <w:rPr>
          <w:lang w:eastAsia="fr-FR" w:bidi="fr-FR"/>
        </w:rPr>
        <w:t> </w:t>
      </w:r>
      <w:r>
        <w:rPr>
          <w:rStyle w:val="Appelnotedebasdep"/>
          <w:lang w:eastAsia="fr-FR" w:bidi="fr-FR"/>
        </w:rPr>
        <w:footnoteReference w:id="8"/>
      </w:r>
      <w:r w:rsidRPr="00D2217B">
        <w:rPr>
          <w:lang w:eastAsia="fr-FR" w:bidi="fr-FR"/>
        </w:rPr>
        <w:t>) ou encore les</w:t>
      </w:r>
      <w:r>
        <w:t xml:space="preserve"> [12] </w:t>
      </w:r>
      <w:r w:rsidRPr="00D2217B">
        <w:rPr>
          <w:lang w:eastAsia="fr-FR" w:bidi="fr-FR"/>
        </w:rPr>
        <w:t>débats sur l’orientation de la politique extérie</w:t>
      </w:r>
      <w:r w:rsidRPr="00D2217B">
        <w:rPr>
          <w:lang w:eastAsia="fr-FR" w:bidi="fr-FR"/>
        </w:rPr>
        <w:t>u</w:t>
      </w:r>
      <w:r w:rsidRPr="00D2217B">
        <w:rPr>
          <w:lang w:eastAsia="fr-FR" w:bidi="fr-FR"/>
        </w:rPr>
        <w:t>re (Pie</w:t>
      </w:r>
      <w:r>
        <w:rPr>
          <w:lang w:eastAsia="fr-FR" w:bidi="fr-FR"/>
        </w:rPr>
        <w:t>rre Hassner et Justin Vaïsse </w:t>
      </w:r>
      <w:r>
        <w:rPr>
          <w:rStyle w:val="Appelnotedebasdep"/>
          <w:lang w:eastAsia="fr-FR" w:bidi="fr-FR"/>
        </w:rPr>
        <w:footnoteReference w:id="9"/>
      </w:r>
      <w:r>
        <w:rPr>
          <w:lang w:eastAsia="fr-FR" w:bidi="fr-FR"/>
        </w:rPr>
        <w:t>).</w:t>
      </w:r>
    </w:p>
    <w:p w14:paraId="2C1F24AA" w14:textId="77777777" w:rsidR="0039793A" w:rsidRPr="00D2217B" w:rsidRDefault="0039793A" w:rsidP="0039793A">
      <w:pPr>
        <w:spacing w:before="120" w:after="120"/>
        <w:jc w:val="both"/>
      </w:pPr>
      <w:r w:rsidRPr="00D2217B">
        <w:rPr>
          <w:lang w:eastAsia="fr-FR" w:bidi="fr-FR"/>
        </w:rPr>
        <w:t>Le présent ouvrage veut offrir une vue d’ensemble et un panorama du processus de fo</w:t>
      </w:r>
      <w:r w:rsidRPr="00D2217B">
        <w:rPr>
          <w:lang w:eastAsia="fr-FR" w:bidi="fr-FR"/>
        </w:rPr>
        <w:t>r</w:t>
      </w:r>
      <w:r w:rsidRPr="00D2217B">
        <w:rPr>
          <w:lang w:eastAsia="fr-FR" w:bidi="fr-FR"/>
        </w:rPr>
        <w:t>mulation de la politique extérieure américaine. Les auteurs ont ici souhaité agréger les différentes a</w:t>
      </w:r>
      <w:r w:rsidRPr="00D2217B">
        <w:rPr>
          <w:lang w:eastAsia="fr-FR" w:bidi="fr-FR"/>
        </w:rPr>
        <w:t>p</w:t>
      </w:r>
      <w:r w:rsidRPr="00D2217B">
        <w:rPr>
          <w:lang w:eastAsia="fr-FR" w:bidi="fr-FR"/>
        </w:rPr>
        <w:t xml:space="preserve">proches pour réaliser une véritable introduction </w:t>
      </w:r>
      <w:r w:rsidRPr="00D2217B">
        <w:t xml:space="preserve">à </w:t>
      </w:r>
      <w:r w:rsidRPr="00D2217B">
        <w:rPr>
          <w:lang w:eastAsia="fr-FR" w:bidi="fr-FR"/>
        </w:rPr>
        <w:t>la politique extérieure américaine, en en étudiant les fondements, les mécanismes et les acteurs. Ce livre con</w:t>
      </w:r>
      <w:r w:rsidRPr="00D2217B">
        <w:rPr>
          <w:lang w:eastAsia="fr-FR" w:bidi="fr-FR"/>
        </w:rPr>
        <w:t>s</w:t>
      </w:r>
      <w:r w:rsidRPr="00D2217B">
        <w:rPr>
          <w:lang w:eastAsia="fr-FR" w:bidi="fr-FR"/>
        </w:rPr>
        <w:t>titue donc un point de départ. L’ambition est de stimuler l’intérêt pour le sujet, et la bibliographie devrait permettre de poursuivre la r</w:t>
      </w:r>
      <w:r w:rsidRPr="00D2217B">
        <w:rPr>
          <w:lang w:eastAsia="fr-FR" w:bidi="fr-FR"/>
        </w:rPr>
        <w:t>é</w:t>
      </w:r>
      <w:r w:rsidRPr="00D2217B">
        <w:rPr>
          <w:lang w:eastAsia="fr-FR" w:bidi="fr-FR"/>
        </w:rPr>
        <w:t xml:space="preserve">flexion. Ce livre est publié sous l’égide de l’Observatoire sur les États-Unis de la Chaire Raoul-Dandurand de l’Université du Québec </w:t>
      </w:r>
      <w:r w:rsidRPr="00D2217B">
        <w:t xml:space="preserve">à </w:t>
      </w:r>
      <w:r w:rsidRPr="00D2217B">
        <w:rPr>
          <w:lang w:eastAsia="fr-FR" w:bidi="fr-FR"/>
        </w:rPr>
        <w:t>Montréal, observatoire auquel sont rattachés les auteurs. Ceux-ci ont signé individuellement les trois parties de ce livre. Ainsi, Louis Bal- thazar expose les fondements de la politique étrangère</w:t>
      </w:r>
      <w:r w:rsidRPr="00D2217B">
        <w:t> :</w:t>
      </w:r>
      <w:r w:rsidRPr="00D2217B">
        <w:rPr>
          <w:lang w:eastAsia="fr-FR" w:bidi="fr-FR"/>
        </w:rPr>
        <w:t xml:space="preserve"> la Constit</w:t>
      </w:r>
      <w:r w:rsidRPr="00D2217B">
        <w:rPr>
          <w:lang w:eastAsia="fr-FR" w:bidi="fr-FR"/>
        </w:rPr>
        <w:t>u</w:t>
      </w:r>
      <w:r w:rsidRPr="00D2217B">
        <w:rPr>
          <w:lang w:eastAsia="fr-FR" w:bidi="fr-FR"/>
        </w:rPr>
        <w:t>tion, le cadre culturel et les grands co</w:t>
      </w:r>
      <w:r w:rsidRPr="00D2217B">
        <w:rPr>
          <w:lang w:eastAsia="fr-FR" w:bidi="fr-FR"/>
        </w:rPr>
        <w:t>u</w:t>
      </w:r>
      <w:r w:rsidRPr="00D2217B">
        <w:rPr>
          <w:lang w:eastAsia="fr-FR" w:bidi="fr-FR"/>
        </w:rPr>
        <w:t>rants de pensée. Charles-Philippe David explique le rôle crucial que remplit le pouvoir exécutif dans la formulation des décisions, notamment le prés</w:t>
      </w:r>
      <w:r w:rsidRPr="00D2217B">
        <w:rPr>
          <w:lang w:eastAsia="fr-FR" w:bidi="fr-FR"/>
        </w:rPr>
        <w:t>i</w:t>
      </w:r>
      <w:r w:rsidRPr="00D2217B">
        <w:rPr>
          <w:lang w:eastAsia="fr-FR" w:bidi="fr-FR"/>
        </w:rPr>
        <w:t>dent, les acteurs bureaucratiques et le Conseil de sécurité nationale. Enfin, Justin Vaï</w:t>
      </w:r>
      <w:r w:rsidRPr="00D2217B">
        <w:rPr>
          <w:lang w:eastAsia="fr-FR" w:bidi="fr-FR"/>
        </w:rPr>
        <w:t>s</w:t>
      </w:r>
      <w:r w:rsidRPr="00D2217B">
        <w:rPr>
          <w:lang w:eastAsia="fr-FR" w:bidi="fr-FR"/>
        </w:rPr>
        <w:t xml:space="preserve">se étudie l’importance du pouvoir législatif ainsi que le poids de la société civile dans l’élaboration de la politique extérieure. Le chapitre 4, portant sur l’influence des approches académiques, a été écrit par David Grondin, chercheur </w:t>
      </w:r>
      <w:r w:rsidRPr="00D2217B">
        <w:t xml:space="preserve">à </w:t>
      </w:r>
      <w:r w:rsidRPr="00D2217B">
        <w:rPr>
          <w:lang w:eastAsia="fr-FR" w:bidi="fr-FR"/>
        </w:rPr>
        <w:t>l’Observatoire sur les États-Unis de la Chaire Raoul- Dandurand. Charles-Philippe David a mené et superv</w:t>
      </w:r>
      <w:r w:rsidRPr="00D2217B">
        <w:rPr>
          <w:lang w:eastAsia="fr-FR" w:bidi="fr-FR"/>
        </w:rPr>
        <w:t>i</w:t>
      </w:r>
      <w:r w:rsidRPr="00D2217B">
        <w:rPr>
          <w:lang w:eastAsia="fr-FR" w:bidi="fr-FR"/>
        </w:rPr>
        <w:t>sé la production et la coordination éditoriales de cet o</w:t>
      </w:r>
      <w:r w:rsidRPr="00D2217B">
        <w:rPr>
          <w:lang w:eastAsia="fr-FR" w:bidi="fr-FR"/>
        </w:rPr>
        <w:t>u</w:t>
      </w:r>
      <w:r w:rsidRPr="00D2217B">
        <w:rPr>
          <w:lang w:eastAsia="fr-FR" w:bidi="fr-FR"/>
        </w:rPr>
        <w:t>vrage.</w:t>
      </w:r>
    </w:p>
    <w:p w14:paraId="41CE6846" w14:textId="77777777" w:rsidR="0039793A" w:rsidRPr="00D2217B" w:rsidRDefault="0039793A" w:rsidP="0039793A">
      <w:pPr>
        <w:spacing w:before="120" w:after="120"/>
        <w:jc w:val="both"/>
      </w:pPr>
      <w:r w:rsidRPr="00D2217B">
        <w:rPr>
          <w:lang w:eastAsia="fr-FR" w:bidi="fr-FR"/>
        </w:rPr>
        <w:t xml:space="preserve">Les auteurs tiennent </w:t>
      </w:r>
      <w:r w:rsidRPr="00D2217B">
        <w:t xml:space="preserve">à </w:t>
      </w:r>
      <w:r w:rsidRPr="00D2217B">
        <w:rPr>
          <w:lang w:eastAsia="fr-FR" w:bidi="fr-FR"/>
        </w:rPr>
        <w:t>remercier celles et ceux qui ont permis la r</w:t>
      </w:r>
      <w:r w:rsidRPr="00D2217B">
        <w:rPr>
          <w:lang w:eastAsia="fr-FR" w:bidi="fr-FR"/>
        </w:rPr>
        <w:t>é</w:t>
      </w:r>
      <w:r w:rsidRPr="00D2217B">
        <w:rPr>
          <w:lang w:eastAsia="fr-FR" w:bidi="fr-FR"/>
        </w:rPr>
        <w:t xml:space="preserve">alisation de cet ouvrage. Tout d’abord, Élisabeth Vallet, chercheure post-doctorale </w:t>
      </w:r>
      <w:r w:rsidRPr="00D2217B">
        <w:t xml:space="preserve">à </w:t>
      </w:r>
      <w:r w:rsidRPr="00D2217B">
        <w:rPr>
          <w:lang w:eastAsia="fr-FR" w:bidi="fr-FR"/>
        </w:rPr>
        <w:t xml:space="preserve">l’Université de Duke et associée </w:t>
      </w:r>
      <w:r w:rsidRPr="00D2217B">
        <w:t xml:space="preserve">à </w:t>
      </w:r>
      <w:r w:rsidRPr="00D2217B">
        <w:rPr>
          <w:lang w:eastAsia="fr-FR" w:bidi="fr-FR"/>
        </w:rPr>
        <w:t>la Chaire Raoul-Dandurand, pour sa collaboration éditoriale</w:t>
      </w:r>
      <w:r w:rsidRPr="00D2217B">
        <w:t> :</w:t>
      </w:r>
      <w:r w:rsidRPr="00D2217B">
        <w:rPr>
          <w:lang w:eastAsia="fr-FR" w:bidi="fr-FR"/>
        </w:rPr>
        <w:t xml:space="preserve"> elle a assuré la cohére</w:t>
      </w:r>
      <w:r w:rsidRPr="00D2217B">
        <w:rPr>
          <w:lang w:eastAsia="fr-FR" w:bidi="fr-FR"/>
        </w:rPr>
        <w:t>n</w:t>
      </w:r>
      <w:r w:rsidRPr="00D2217B">
        <w:rPr>
          <w:lang w:eastAsia="fr-FR" w:bidi="fr-FR"/>
        </w:rPr>
        <w:t>ce d’ensemble du manuscrit en l’adaptant aux besoins d’un m</w:t>
      </w:r>
      <w:r w:rsidRPr="00D2217B">
        <w:rPr>
          <w:lang w:eastAsia="fr-FR" w:bidi="fr-FR"/>
        </w:rPr>
        <w:t>a</w:t>
      </w:r>
      <w:r w:rsidRPr="00D2217B">
        <w:rPr>
          <w:lang w:eastAsia="fr-FR" w:bidi="fr-FR"/>
        </w:rPr>
        <w:t xml:space="preserve">nuel et elle a contribué </w:t>
      </w:r>
      <w:r w:rsidRPr="00D2217B">
        <w:t xml:space="preserve">à </w:t>
      </w:r>
      <w:r w:rsidRPr="00D2217B">
        <w:rPr>
          <w:lang w:eastAsia="fr-FR" w:bidi="fr-FR"/>
        </w:rPr>
        <w:t xml:space="preserve">la présentation du cadre constitutionnel. Ils tiennent également </w:t>
      </w:r>
      <w:r w:rsidRPr="00D2217B">
        <w:t xml:space="preserve">à </w:t>
      </w:r>
      <w:r w:rsidRPr="00D2217B">
        <w:rPr>
          <w:lang w:eastAsia="fr-FR" w:bidi="fr-FR"/>
        </w:rPr>
        <w:t>remercier, de la Chaire Raoul-Dandurand, Sébastien Ba</w:t>
      </w:r>
      <w:r w:rsidRPr="00D2217B">
        <w:rPr>
          <w:lang w:eastAsia="fr-FR" w:bidi="fr-FR"/>
        </w:rPr>
        <w:t>r</w:t>
      </w:r>
      <w:r w:rsidRPr="00D2217B">
        <w:rPr>
          <w:lang w:eastAsia="fr-FR" w:bidi="fr-FR"/>
        </w:rPr>
        <w:t>the pour la confection de la bibliographie et son travail de recherche, Marie-Hélène Cremer, Céline Huy</w:t>
      </w:r>
      <w:r w:rsidRPr="00D2217B">
        <w:rPr>
          <w:lang w:eastAsia="fr-FR" w:bidi="fr-FR"/>
        </w:rPr>
        <w:t>g</w:t>
      </w:r>
      <w:r w:rsidRPr="00D2217B">
        <w:rPr>
          <w:lang w:eastAsia="fr-FR" w:bidi="fr-FR"/>
        </w:rPr>
        <w:t xml:space="preserve">hebaert et Pierre-Louis Malfatto pour la relecture du manuscrit. Enfin, ils souhaitent témoigner leur reconnaissance </w:t>
      </w:r>
      <w:r w:rsidRPr="00D2217B">
        <w:t xml:space="preserve">à </w:t>
      </w:r>
      <w:r w:rsidRPr="00D2217B">
        <w:rPr>
          <w:lang w:eastAsia="fr-FR" w:bidi="fr-FR"/>
        </w:rPr>
        <w:t>Mireille Perche des Presses de Sciences Po.</w:t>
      </w:r>
    </w:p>
    <w:p w14:paraId="26832018" w14:textId="77777777" w:rsidR="0039793A" w:rsidRPr="00E07116" w:rsidRDefault="0039793A" w:rsidP="0039793A">
      <w:pPr>
        <w:pStyle w:val="Normal0"/>
      </w:pPr>
    </w:p>
    <w:p w14:paraId="0F730A52" w14:textId="77777777" w:rsidR="0039793A" w:rsidRPr="00E07116" w:rsidRDefault="0039793A" w:rsidP="0039793A">
      <w:pPr>
        <w:pStyle w:val="p"/>
      </w:pPr>
      <w:r w:rsidRPr="00E07116">
        <w:br w:type="page"/>
        <w:t>[</w:t>
      </w:r>
      <w:r>
        <w:t>13</w:t>
      </w:r>
      <w:r w:rsidRPr="00E07116">
        <w:t>]</w:t>
      </w:r>
    </w:p>
    <w:p w14:paraId="4B5F97D9" w14:textId="77777777" w:rsidR="0039793A" w:rsidRPr="00E07116" w:rsidRDefault="0039793A" w:rsidP="0039793A">
      <w:pPr>
        <w:jc w:val="both"/>
      </w:pPr>
    </w:p>
    <w:p w14:paraId="2D51322E" w14:textId="77777777" w:rsidR="0039793A" w:rsidRPr="00E07116" w:rsidRDefault="0039793A" w:rsidP="0039793A"/>
    <w:p w14:paraId="1EFEDA17" w14:textId="77777777" w:rsidR="0039793A" w:rsidRPr="00E07116" w:rsidRDefault="0039793A" w:rsidP="0039793A">
      <w:pPr>
        <w:jc w:val="both"/>
      </w:pPr>
    </w:p>
    <w:p w14:paraId="320173DB" w14:textId="77777777" w:rsidR="0039793A" w:rsidRPr="00E07116" w:rsidRDefault="0039793A" w:rsidP="0039793A">
      <w:pPr>
        <w:jc w:val="both"/>
      </w:pPr>
    </w:p>
    <w:p w14:paraId="7CC667AE" w14:textId="77777777" w:rsidR="0039793A" w:rsidRPr="00642210" w:rsidRDefault="0039793A" w:rsidP="0039793A">
      <w:pPr>
        <w:spacing w:after="120"/>
        <w:jc w:val="center"/>
      </w:pPr>
      <w:bookmarkStart w:id="3" w:name="Pol_EU_pt_1"/>
      <w:r w:rsidRPr="00642210">
        <w:rPr>
          <w:b/>
        </w:rPr>
        <w:t>La politique étrangère des «États-Unis.</w:t>
      </w:r>
      <w:r w:rsidRPr="00642210">
        <w:rPr>
          <w:b/>
        </w:rPr>
        <w:br/>
      </w:r>
      <w:r w:rsidRPr="00642210">
        <w:rPr>
          <w:i/>
        </w:rPr>
        <w:t>Fondements, acteurs, formulation</w:t>
      </w:r>
    </w:p>
    <w:p w14:paraId="62847738" w14:textId="77777777" w:rsidR="0039793A" w:rsidRPr="00E07116" w:rsidRDefault="0039793A" w:rsidP="0039793A">
      <w:pPr>
        <w:jc w:val="both"/>
      </w:pPr>
    </w:p>
    <w:p w14:paraId="0EDE86AC" w14:textId="77777777" w:rsidR="0039793A" w:rsidRPr="00384B20" w:rsidRDefault="0039793A" w:rsidP="0039793A">
      <w:pPr>
        <w:pStyle w:val="partie"/>
        <w:jc w:val="center"/>
        <w:rPr>
          <w:sz w:val="72"/>
        </w:rPr>
      </w:pPr>
      <w:r w:rsidRPr="00384B20">
        <w:rPr>
          <w:sz w:val="72"/>
        </w:rPr>
        <w:t>Première partie</w:t>
      </w:r>
    </w:p>
    <w:p w14:paraId="09E13A79" w14:textId="77777777" w:rsidR="0039793A" w:rsidRPr="00E07116" w:rsidRDefault="0039793A" w:rsidP="0039793A">
      <w:pPr>
        <w:jc w:val="both"/>
      </w:pPr>
    </w:p>
    <w:p w14:paraId="208CDA19" w14:textId="77777777" w:rsidR="0039793A" w:rsidRPr="00384B20" w:rsidRDefault="0039793A" w:rsidP="0039793A">
      <w:pPr>
        <w:pStyle w:val="Titreniveau2"/>
      </w:pPr>
      <w:r>
        <w:t>LE CONTEXTE</w:t>
      </w:r>
      <w:r>
        <w:br/>
        <w:t>DE LA FORMULATION</w:t>
      </w:r>
      <w:r>
        <w:br/>
        <w:t>DE LA POLITIQUE</w:t>
      </w:r>
      <w:r>
        <w:br/>
        <w:t>ÉTRANGÈRE</w:t>
      </w:r>
    </w:p>
    <w:bookmarkEnd w:id="3"/>
    <w:p w14:paraId="5697B604" w14:textId="77777777" w:rsidR="0039793A" w:rsidRPr="00E07116" w:rsidRDefault="0039793A" w:rsidP="0039793A">
      <w:pPr>
        <w:jc w:val="both"/>
      </w:pPr>
    </w:p>
    <w:p w14:paraId="152E957E" w14:textId="77777777" w:rsidR="0039793A" w:rsidRPr="00E07116" w:rsidRDefault="0039793A" w:rsidP="0039793A">
      <w:pPr>
        <w:jc w:val="both"/>
      </w:pPr>
    </w:p>
    <w:p w14:paraId="3729B4AD" w14:textId="77777777" w:rsidR="0039793A" w:rsidRPr="00C70582" w:rsidRDefault="0039793A" w:rsidP="0039793A">
      <w:pPr>
        <w:spacing w:before="120" w:after="120"/>
        <w:jc w:val="center"/>
        <w:rPr>
          <w:i/>
          <w:iCs/>
        </w:rPr>
      </w:pPr>
      <w:r>
        <w:rPr>
          <w:i/>
          <w:iCs/>
          <w:lang w:eastAsia="fr-FR" w:bidi="fr-FR"/>
        </w:rPr>
        <w:t>Louis BALTHAZAR</w:t>
      </w:r>
    </w:p>
    <w:p w14:paraId="560529A3" w14:textId="77777777" w:rsidR="0039793A" w:rsidRPr="00E07116" w:rsidRDefault="0039793A" w:rsidP="0039793A">
      <w:pPr>
        <w:jc w:val="both"/>
      </w:pPr>
    </w:p>
    <w:p w14:paraId="1F1B356C" w14:textId="77777777" w:rsidR="0039793A" w:rsidRPr="00E07116" w:rsidRDefault="0039793A" w:rsidP="0039793A">
      <w:pPr>
        <w:jc w:val="both"/>
      </w:pPr>
    </w:p>
    <w:p w14:paraId="71DD3697"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w:t>
        </w:r>
        <w:r w:rsidRPr="00384B20">
          <w:rPr>
            <w:rStyle w:val="Hyperlien"/>
            <w:sz w:val="20"/>
          </w:rPr>
          <w:t>i</w:t>
        </w:r>
        <w:r w:rsidRPr="00384B20">
          <w:rPr>
            <w:rStyle w:val="Hyperlien"/>
            <w:sz w:val="20"/>
          </w:rPr>
          <w:t>ères</w:t>
        </w:r>
      </w:hyperlink>
    </w:p>
    <w:p w14:paraId="4E842E33" w14:textId="77777777" w:rsidR="0039793A" w:rsidRPr="00D2217B" w:rsidRDefault="0039793A" w:rsidP="0039793A">
      <w:pPr>
        <w:spacing w:before="120" w:after="120"/>
        <w:jc w:val="both"/>
      </w:pPr>
      <w:r w:rsidRPr="00D2217B">
        <w:rPr>
          <w:lang w:eastAsia="fr-FR" w:bidi="fr-FR"/>
        </w:rPr>
        <w:t>La politique étrangère des États-Unis est une réalité fort complexe. Elle s’enracine dans plus de deux cents ans d’histoire. Aux États-Unis, le poids des traditions politiques, constitutionnelles, cult</w:t>
      </w:r>
      <w:r w:rsidRPr="00D2217B">
        <w:rPr>
          <w:lang w:eastAsia="fr-FR" w:bidi="fr-FR"/>
        </w:rPr>
        <w:t>u</w:t>
      </w:r>
      <w:r w:rsidRPr="00D2217B">
        <w:rPr>
          <w:lang w:eastAsia="fr-FR" w:bidi="fr-FR"/>
        </w:rPr>
        <w:t>relles et idéologiques demeure très lourd. C’est là sans doute un paradoxe. Les États-Unis sont à la fois un pays jeune qui s’est bâti dans un refus de l’histoire ancienne et un pays devenu jaloux de ses propres traditions.</w:t>
      </w:r>
    </w:p>
    <w:p w14:paraId="3FED315F" w14:textId="77777777" w:rsidR="0039793A" w:rsidRPr="00D2217B" w:rsidRDefault="0039793A" w:rsidP="0039793A">
      <w:pPr>
        <w:spacing w:before="120" w:after="120"/>
        <w:jc w:val="both"/>
      </w:pPr>
      <w:r w:rsidRPr="00D2217B">
        <w:rPr>
          <w:lang w:eastAsia="fr-FR" w:bidi="fr-FR"/>
        </w:rPr>
        <w:t>Il importe donc, avant d’en aborder les sources immédiates et d’identifier les lieux de l’élaboration des diverses actions politiques dirigées vers l’extérieur, de se pencher particulièrement sur le conte</w:t>
      </w:r>
      <w:r w:rsidRPr="00D2217B">
        <w:rPr>
          <w:lang w:eastAsia="fr-FR" w:bidi="fr-FR"/>
        </w:rPr>
        <w:t>x</w:t>
      </w:r>
      <w:r w:rsidRPr="00D2217B">
        <w:rPr>
          <w:lang w:eastAsia="fr-FR" w:bidi="fr-FR"/>
        </w:rPr>
        <w:t>te général dans lequel se forme et s’élabore la politique étrangère. D’abord, le cadre constit</w:t>
      </w:r>
      <w:r w:rsidRPr="00D2217B">
        <w:rPr>
          <w:lang w:eastAsia="fr-FR" w:bidi="fr-FR"/>
        </w:rPr>
        <w:t>u</w:t>
      </w:r>
      <w:r w:rsidRPr="00D2217B">
        <w:rPr>
          <w:lang w:eastAsia="fr-FR" w:bidi="fr-FR"/>
        </w:rPr>
        <w:t>tionnel représente en quelque sorte l’ossature institutionnelle, définissant la nature du régime polit</w:t>
      </w:r>
      <w:r w:rsidRPr="00D2217B">
        <w:rPr>
          <w:lang w:eastAsia="fr-FR" w:bidi="fr-FR"/>
        </w:rPr>
        <w:t>i</w:t>
      </w:r>
      <w:r w:rsidRPr="00D2217B">
        <w:rPr>
          <w:lang w:eastAsia="fr-FR" w:bidi="fr-FR"/>
        </w:rPr>
        <w:t>que américain, établissant l’essence des pouvoirs et orchestrant leurs ra</w:t>
      </w:r>
      <w:r w:rsidRPr="00D2217B">
        <w:rPr>
          <w:lang w:eastAsia="fr-FR" w:bidi="fr-FR"/>
        </w:rPr>
        <w:t>p</w:t>
      </w:r>
      <w:r w:rsidRPr="00D2217B">
        <w:rPr>
          <w:lang w:eastAsia="fr-FR" w:bidi="fr-FR"/>
        </w:rPr>
        <w:t>ports. Ensuite, l’histoire et la géographie du Nouveau Monde ont conduit les Américains à concevoir une vision particulière du monde. Ce sont les traits de ce cadre culturel spéc</w:t>
      </w:r>
      <w:r w:rsidRPr="00D2217B">
        <w:rPr>
          <w:lang w:eastAsia="fr-FR" w:bidi="fr-FR"/>
        </w:rPr>
        <w:t>i</w:t>
      </w:r>
      <w:r w:rsidRPr="00D2217B">
        <w:rPr>
          <w:lang w:eastAsia="fr-FR" w:bidi="fr-FR"/>
        </w:rPr>
        <w:t>fique qui viennent influer sur la manière de concevoir et de conduire la politique étrangère. E</w:t>
      </w:r>
      <w:r w:rsidRPr="00D2217B">
        <w:rPr>
          <w:lang w:eastAsia="fr-FR" w:bidi="fr-FR"/>
        </w:rPr>
        <w:t>n</w:t>
      </w:r>
      <w:r w:rsidRPr="00D2217B">
        <w:rPr>
          <w:lang w:eastAsia="fr-FR" w:bidi="fr-FR"/>
        </w:rPr>
        <w:t>fin, les orientations de cette politique donnent lieu à des débats inte</w:t>
      </w:r>
      <w:r w:rsidRPr="00D2217B">
        <w:rPr>
          <w:lang w:eastAsia="fr-FR" w:bidi="fr-FR"/>
        </w:rPr>
        <w:t>n</w:t>
      </w:r>
      <w:r w:rsidRPr="00D2217B">
        <w:rPr>
          <w:lang w:eastAsia="fr-FR" w:bidi="fr-FR"/>
        </w:rPr>
        <w:t>ses parmi les décideurs, les obse</w:t>
      </w:r>
      <w:r w:rsidRPr="00D2217B">
        <w:rPr>
          <w:lang w:eastAsia="fr-FR" w:bidi="fr-FR"/>
        </w:rPr>
        <w:t>r</w:t>
      </w:r>
      <w:r w:rsidRPr="00D2217B">
        <w:rPr>
          <w:lang w:eastAsia="fr-FR" w:bidi="fr-FR"/>
        </w:rPr>
        <w:t>vateurs et l’ensemble des acteurs de la vie politique. Ce cadre conceptuel est le dernier élément déterm</w:t>
      </w:r>
      <w:r w:rsidRPr="00D2217B">
        <w:rPr>
          <w:lang w:eastAsia="fr-FR" w:bidi="fr-FR"/>
        </w:rPr>
        <w:t>i</w:t>
      </w:r>
      <w:r w:rsidRPr="00D2217B">
        <w:rPr>
          <w:lang w:eastAsia="fr-FR" w:bidi="fr-FR"/>
        </w:rPr>
        <w:t>nant du contexte dans lequel est formulée la politique étrangère et constitue le champ de d</w:t>
      </w:r>
      <w:r w:rsidRPr="00D2217B">
        <w:rPr>
          <w:lang w:eastAsia="fr-FR" w:bidi="fr-FR"/>
        </w:rPr>
        <w:t>é</w:t>
      </w:r>
      <w:r w:rsidRPr="00D2217B">
        <w:rPr>
          <w:lang w:eastAsia="fr-FR" w:bidi="fr-FR"/>
        </w:rPr>
        <w:t>bats</w:t>
      </w:r>
      <w:r>
        <w:rPr>
          <w:lang w:eastAsia="fr-FR" w:bidi="fr-FR"/>
        </w:rPr>
        <w:t xml:space="preserve"> </w:t>
      </w:r>
      <w:r>
        <w:t xml:space="preserve">[14] </w:t>
      </w:r>
      <w:r w:rsidRPr="00D2217B">
        <w:rPr>
          <w:lang w:eastAsia="fr-FR" w:bidi="fr-FR"/>
        </w:rPr>
        <w:t>tant dans le domaine politique que dans le m</w:t>
      </w:r>
      <w:r w:rsidRPr="00D2217B">
        <w:rPr>
          <w:lang w:eastAsia="fr-FR" w:bidi="fr-FR"/>
        </w:rPr>
        <w:t>i</w:t>
      </w:r>
      <w:r w:rsidRPr="00D2217B">
        <w:rPr>
          <w:lang w:eastAsia="fr-FR" w:bidi="fr-FR"/>
        </w:rPr>
        <w:t>lieu universitaire et celui de la recherche.</w:t>
      </w:r>
    </w:p>
    <w:p w14:paraId="098BD0FF" w14:textId="77777777" w:rsidR="0039793A" w:rsidRPr="00D2217B" w:rsidRDefault="0039793A" w:rsidP="0039793A">
      <w:pPr>
        <w:spacing w:before="120" w:after="120"/>
        <w:jc w:val="both"/>
      </w:pPr>
      <w:r w:rsidRPr="00D2217B">
        <w:rPr>
          <w:lang w:eastAsia="fr-FR" w:bidi="fr-FR"/>
        </w:rPr>
        <w:t>C’est pour cela que l’on envisagera l’élaboration de la politique étrangère américaine dans ce contexte global que forme la conjonction des cadres constitutionnel, culturel, et conceptuel.</w:t>
      </w:r>
    </w:p>
    <w:p w14:paraId="53DD850D" w14:textId="77777777" w:rsidR="0039793A" w:rsidRPr="00E07116" w:rsidRDefault="0039793A" w:rsidP="0039793A">
      <w:pPr>
        <w:jc w:val="both"/>
      </w:pPr>
    </w:p>
    <w:p w14:paraId="74462953" w14:textId="77777777" w:rsidR="0039793A" w:rsidRPr="00E07116" w:rsidRDefault="0039793A" w:rsidP="0039793A">
      <w:pPr>
        <w:pStyle w:val="p"/>
      </w:pPr>
      <w:r w:rsidRPr="00E07116">
        <w:br w:type="page"/>
        <w:t>[</w:t>
      </w:r>
      <w:r>
        <w:t>15</w:t>
      </w:r>
      <w:r w:rsidRPr="00E07116">
        <w:t>]</w:t>
      </w:r>
    </w:p>
    <w:p w14:paraId="42AC3AAE" w14:textId="77777777" w:rsidR="0039793A" w:rsidRPr="00E07116" w:rsidRDefault="0039793A">
      <w:pPr>
        <w:jc w:val="both"/>
      </w:pPr>
    </w:p>
    <w:p w14:paraId="645403D8" w14:textId="77777777" w:rsidR="0039793A" w:rsidRDefault="0039793A">
      <w:pPr>
        <w:jc w:val="both"/>
      </w:pPr>
    </w:p>
    <w:p w14:paraId="06245F1F" w14:textId="77777777" w:rsidR="0039793A" w:rsidRPr="00E07116" w:rsidRDefault="0039793A">
      <w:pPr>
        <w:jc w:val="both"/>
      </w:pPr>
    </w:p>
    <w:p w14:paraId="3C61E015" w14:textId="77777777" w:rsidR="0039793A" w:rsidRPr="00642210" w:rsidRDefault="0039793A" w:rsidP="0039793A">
      <w:pPr>
        <w:spacing w:after="120"/>
        <w:jc w:val="center"/>
      </w:pPr>
      <w:bookmarkStart w:id="4" w:name="Pol_EU_pt_1_chap_01"/>
      <w:r w:rsidRPr="00642210">
        <w:rPr>
          <w:b/>
        </w:rPr>
        <w:t>La politique étrangère des «États-Unis.</w:t>
      </w:r>
      <w:r w:rsidRPr="00642210">
        <w:rPr>
          <w:b/>
        </w:rPr>
        <w:br/>
      </w:r>
      <w:r w:rsidRPr="00642210">
        <w:rPr>
          <w:i/>
        </w:rPr>
        <w:t>Fondements, acteurs, formulation</w:t>
      </w:r>
    </w:p>
    <w:p w14:paraId="11DE6BD6" w14:textId="77777777" w:rsidR="0039793A" w:rsidRPr="00384B20" w:rsidRDefault="0039793A" w:rsidP="0039793A">
      <w:pPr>
        <w:spacing w:after="120"/>
        <w:ind w:firstLine="0"/>
        <w:jc w:val="center"/>
        <w:rPr>
          <w:color w:val="000080"/>
          <w:sz w:val="24"/>
        </w:rPr>
      </w:pPr>
      <w:r>
        <w:rPr>
          <w:color w:val="000080"/>
          <w:sz w:val="24"/>
        </w:rPr>
        <w:t>PREMIÈRE PARTIE</w:t>
      </w:r>
    </w:p>
    <w:p w14:paraId="1CDB9AEE" w14:textId="77777777" w:rsidR="0039793A" w:rsidRPr="00384B20" w:rsidRDefault="0039793A" w:rsidP="0039793A">
      <w:pPr>
        <w:pStyle w:val="Titreniveau1"/>
      </w:pPr>
      <w:r w:rsidRPr="00384B20">
        <w:t xml:space="preserve">Chapitre </w:t>
      </w:r>
      <w:r>
        <w:t>1</w:t>
      </w:r>
    </w:p>
    <w:p w14:paraId="2FD35A0E" w14:textId="77777777" w:rsidR="0039793A" w:rsidRPr="00E07116" w:rsidRDefault="0039793A" w:rsidP="0039793A">
      <w:pPr>
        <w:pStyle w:val="Titreniveau2"/>
      </w:pPr>
      <w:r>
        <w:t>LE CADRE</w:t>
      </w:r>
      <w:r>
        <w:br/>
        <w:t>CONSTITUTIONNEL</w:t>
      </w:r>
    </w:p>
    <w:bookmarkEnd w:id="4"/>
    <w:p w14:paraId="5A328A66" w14:textId="77777777" w:rsidR="0039793A" w:rsidRPr="00E07116" w:rsidRDefault="0039793A" w:rsidP="0039793A">
      <w:pPr>
        <w:jc w:val="both"/>
        <w:rPr>
          <w:szCs w:val="36"/>
        </w:rPr>
      </w:pPr>
    </w:p>
    <w:p w14:paraId="5FF4578D" w14:textId="77777777" w:rsidR="0039793A" w:rsidRPr="00E07116" w:rsidRDefault="0039793A">
      <w:pPr>
        <w:jc w:val="both"/>
      </w:pPr>
    </w:p>
    <w:p w14:paraId="3BCF96A9" w14:textId="77777777" w:rsidR="0039793A" w:rsidRPr="00E07116" w:rsidRDefault="0039793A">
      <w:pPr>
        <w:jc w:val="both"/>
      </w:pPr>
    </w:p>
    <w:p w14:paraId="25D3B474" w14:textId="77777777" w:rsidR="0039793A" w:rsidRPr="00E07116" w:rsidRDefault="0039793A">
      <w:pPr>
        <w:jc w:val="both"/>
      </w:pPr>
    </w:p>
    <w:p w14:paraId="45BE7E90" w14:textId="77777777" w:rsidR="0039793A" w:rsidRPr="00E07116" w:rsidRDefault="0039793A">
      <w:pPr>
        <w:jc w:val="both"/>
      </w:pPr>
    </w:p>
    <w:p w14:paraId="380A2B89" w14:textId="77777777" w:rsidR="0039793A" w:rsidRPr="00384B20" w:rsidRDefault="0039793A">
      <w:pPr>
        <w:ind w:right="90" w:firstLine="0"/>
        <w:jc w:val="both"/>
        <w:rPr>
          <w:sz w:val="20"/>
        </w:rPr>
      </w:pPr>
      <w:hyperlink w:anchor="tdm" w:history="1">
        <w:r w:rsidRPr="00384B20">
          <w:rPr>
            <w:rStyle w:val="Hyperlien"/>
            <w:sz w:val="20"/>
          </w:rPr>
          <w:t>Retour à la table des matières</w:t>
        </w:r>
      </w:hyperlink>
    </w:p>
    <w:p w14:paraId="7934FCB6" w14:textId="77777777" w:rsidR="0039793A" w:rsidRPr="00D2217B" w:rsidRDefault="0039793A" w:rsidP="0039793A">
      <w:pPr>
        <w:spacing w:before="120" w:after="120"/>
        <w:jc w:val="both"/>
      </w:pPr>
      <w:r w:rsidRPr="00D2217B">
        <w:rPr>
          <w:lang w:eastAsia="fr-FR" w:bidi="fr-FR"/>
        </w:rPr>
        <w:t>Les Américains sont particulièrement fiers de leur Constitution du 17 septembre 1787, qui est à la fois la première et la plus ancienne des constit</w:t>
      </w:r>
      <w:r w:rsidRPr="00D2217B">
        <w:rPr>
          <w:lang w:eastAsia="fr-FR" w:bidi="fr-FR"/>
        </w:rPr>
        <w:t>u</w:t>
      </w:r>
      <w:r w:rsidRPr="00D2217B">
        <w:rPr>
          <w:lang w:eastAsia="fr-FR" w:bidi="fr-FR"/>
        </w:rPr>
        <w:t xml:space="preserve">tions écrites encore en vigueur. Le monde politique américain invoque de façon récurrente les Pères fondateurs </w:t>
      </w:r>
      <w:r w:rsidRPr="00D2217B">
        <w:t>(</w:t>
      </w:r>
      <w:r w:rsidRPr="005A00D1">
        <w:rPr>
          <w:i/>
        </w:rPr>
        <w:t>Founding Fathers</w:t>
      </w:r>
      <w:r w:rsidRPr="00D2217B">
        <w:t>)</w:t>
      </w:r>
      <w:r w:rsidRPr="00D2217B">
        <w:rPr>
          <w:lang w:eastAsia="fr-FR" w:bidi="fr-FR"/>
        </w:rPr>
        <w:t xml:space="preserve"> et la philosophie qui animait les constituants réunis lors de la Conve</w:t>
      </w:r>
      <w:r w:rsidRPr="00D2217B">
        <w:rPr>
          <w:lang w:eastAsia="fr-FR" w:bidi="fr-FR"/>
        </w:rPr>
        <w:t>n</w:t>
      </w:r>
      <w:r w:rsidRPr="00D2217B">
        <w:rPr>
          <w:lang w:eastAsia="fr-FR" w:bidi="fr-FR"/>
        </w:rPr>
        <w:t>tion de Philadelphie. Pour autant, au cours des deux derniers siècles, le contenu du texte constit</w:t>
      </w:r>
      <w:r w:rsidRPr="00D2217B">
        <w:rPr>
          <w:lang w:eastAsia="fr-FR" w:bidi="fr-FR"/>
        </w:rPr>
        <w:t>u</w:t>
      </w:r>
      <w:r w:rsidRPr="00D2217B">
        <w:rPr>
          <w:lang w:eastAsia="fr-FR" w:bidi="fr-FR"/>
        </w:rPr>
        <w:t>tionnel a profondément évolué. D’une part, 27 amendements sont venus modifier, parfois substa</w:t>
      </w:r>
      <w:r w:rsidRPr="00D2217B">
        <w:rPr>
          <w:lang w:eastAsia="fr-FR" w:bidi="fr-FR"/>
        </w:rPr>
        <w:t>n</w:t>
      </w:r>
      <w:r w:rsidRPr="00D2217B">
        <w:rPr>
          <w:lang w:eastAsia="fr-FR" w:bidi="fr-FR"/>
        </w:rPr>
        <w:t>tiellement, les dispositions constitutionnelles relatives à l’organisation des po</w:t>
      </w:r>
      <w:r w:rsidRPr="00D2217B">
        <w:rPr>
          <w:lang w:eastAsia="fr-FR" w:bidi="fr-FR"/>
        </w:rPr>
        <w:t>u</w:t>
      </w:r>
      <w:r w:rsidRPr="00D2217B">
        <w:rPr>
          <w:lang w:eastAsia="fr-FR" w:bidi="fr-FR"/>
        </w:rPr>
        <w:t>voirs publics</w:t>
      </w:r>
      <w:r>
        <w:rPr>
          <w:lang w:eastAsia="fr-FR" w:bidi="fr-FR"/>
        </w:rPr>
        <w:t> </w:t>
      </w:r>
      <w:r>
        <w:rPr>
          <w:rStyle w:val="Appelnotedebasdep"/>
          <w:lang w:eastAsia="fr-FR" w:bidi="fr-FR"/>
        </w:rPr>
        <w:footnoteReference w:id="10"/>
      </w:r>
      <w:r w:rsidRPr="00D2217B">
        <w:rPr>
          <w:lang w:eastAsia="fr-FR" w:bidi="fr-FR"/>
        </w:rPr>
        <w:t xml:space="preserve"> et aux droits de la personne</w:t>
      </w:r>
      <w:r>
        <w:rPr>
          <w:lang w:eastAsia="fr-FR" w:bidi="fr-FR"/>
        </w:rPr>
        <w:t> </w:t>
      </w:r>
      <w:r>
        <w:rPr>
          <w:rStyle w:val="Appelnotedebasdep"/>
          <w:lang w:eastAsia="fr-FR" w:bidi="fr-FR"/>
        </w:rPr>
        <w:footnoteReference w:id="11"/>
      </w:r>
      <w:r w:rsidRPr="00D2217B">
        <w:rPr>
          <w:lang w:eastAsia="fr-FR" w:bidi="fr-FR"/>
        </w:rPr>
        <w:t>.</w:t>
      </w:r>
      <w:r>
        <w:rPr>
          <w:lang w:eastAsia="fr-FR" w:bidi="fr-FR"/>
        </w:rPr>
        <w:t xml:space="preserve"> </w:t>
      </w:r>
      <w:r>
        <w:t xml:space="preserve">[16] </w:t>
      </w:r>
      <w:r w:rsidRPr="00D2217B">
        <w:rPr>
          <w:lang w:eastAsia="fr-FR" w:bidi="fr-FR"/>
        </w:rPr>
        <w:t>D’autre part, la Cour suprême est venue pr</w:t>
      </w:r>
      <w:r w:rsidRPr="00D2217B">
        <w:rPr>
          <w:lang w:eastAsia="fr-FR" w:bidi="fr-FR"/>
        </w:rPr>
        <w:t>o</w:t>
      </w:r>
      <w:r w:rsidRPr="00D2217B">
        <w:rPr>
          <w:lang w:eastAsia="fr-FR" w:bidi="fr-FR"/>
        </w:rPr>
        <w:t>gressivement préciser, définir, parfois considérablement</w:t>
      </w:r>
      <w:r>
        <w:rPr>
          <w:lang w:eastAsia="fr-FR" w:bidi="fr-FR"/>
        </w:rPr>
        <w:t> </w:t>
      </w:r>
      <w:r>
        <w:rPr>
          <w:rStyle w:val="Appelnotedebasdep"/>
          <w:lang w:eastAsia="fr-FR" w:bidi="fr-FR"/>
        </w:rPr>
        <w:footnoteReference w:id="12"/>
      </w:r>
      <w:r w:rsidRPr="00D2217B">
        <w:rPr>
          <w:lang w:eastAsia="fr-FR" w:bidi="fr-FR"/>
        </w:rPr>
        <w:t>, les dispositions de la Charte fondame</w:t>
      </w:r>
      <w:r w:rsidRPr="00D2217B">
        <w:rPr>
          <w:lang w:eastAsia="fr-FR" w:bidi="fr-FR"/>
        </w:rPr>
        <w:t>n</w:t>
      </w:r>
      <w:r w:rsidRPr="00D2217B">
        <w:rPr>
          <w:lang w:eastAsia="fr-FR" w:bidi="fr-FR"/>
        </w:rPr>
        <w:t>tale</w:t>
      </w:r>
      <w:r>
        <w:rPr>
          <w:lang w:eastAsia="fr-FR" w:bidi="fr-FR"/>
        </w:rPr>
        <w:t> </w:t>
      </w:r>
      <w:r>
        <w:rPr>
          <w:rStyle w:val="Appelnotedebasdep"/>
          <w:lang w:eastAsia="fr-FR" w:bidi="fr-FR"/>
        </w:rPr>
        <w:footnoteReference w:id="13"/>
      </w:r>
      <w:r w:rsidRPr="00D2217B">
        <w:rPr>
          <w:lang w:eastAsia="fr-FR" w:bidi="fr-FR"/>
        </w:rPr>
        <w:t>.</w:t>
      </w:r>
    </w:p>
    <w:p w14:paraId="00CFB913" w14:textId="77777777" w:rsidR="0039793A" w:rsidRPr="00D2217B" w:rsidRDefault="0039793A" w:rsidP="0039793A">
      <w:pPr>
        <w:spacing w:before="120" w:after="120"/>
        <w:jc w:val="both"/>
      </w:pPr>
      <w:r w:rsidRPr="00D2217B">
        <w:rPr>
          <w:lang w:eastAsia="fr-FR" w:bidi="fr-FR"/>
        </w:rPr>
        <w:t>Tant en raison de sa longévité que de son év</w:t>
      </w:r>
      <w:r w:rsidRPr="00D2217B">
        <w:rPr>
          <w:lang w:eastAsia="fr-FR" w:bidi="fr-FR"/>
        </w:rPr>
        <w:t>o</w:t>
      </w:r>
      <w:r w:rsidRPr="00D2217B">
        <w:rPr>
          <w:lang w:eastAsia="fr-FR" w:bidi="fr-FR"/>
        </w:rPr>
        <w:t>lution, la Constitution de 1787 représente un des déterminants de la politique étrangère am</w:t>
      </w:r>
      <w:r w:rsidRPr="00D2217B">
        <w:rPr>
          <w:lang w:eastAsia="fr-FR" w:bidi="fr-FR"/>
        </w:rPr>
        <w:t>é</w:t>
      </w:r>
      <w:r w:rsidRPr="00D2217B">
        <w:rPr>
          <w:lang w:eastAsia="fr-FR" w:bidi="fr-FR"/>
        </w:rPr>
        <w:t>ricaine. L’élaboration de cette politique doit donc être e</w:t>
      </w:r>
      <w:r w:rsidRPr="00D2217B">
        <w:rPr>
          <w:lang w:eastAsia="fr-FR" w:bidi="fr-FR"/>
        </w:rPr>
        <w:t>n</w:t>
      </w:r>
      <w:r w:rsidRPr="00D2217B">
        <w:rPr>
          <w:lang w:eastAsia="fr-FR" w:bidi="fr-FR"/>
        </w:rPr>
        <w:t>tendue dans le cadre défini par les constituants de 1787. Cela dit, l’ensemble de ce dispositif const</w:t>
      </w:r>
      <w:r w:rsidRPr="00D2217B">
        <w:rPr>
          <w:lang w:eastAsia="fr-FR" w:bidi="fr-FR"/>
        </w:rPr>
        <w:t>i</w:t>
      </w:r>
      <w:r w:rsidRPr="00D2217B">
        <w:rPr>
          <w:lang w:eastAsia="fr-FR" w:bidi="fr-FR"/>
        </w:rPr>
        <w:t>tutionnel doit être appréhendé plus largement, dans son esprit, ses institutions et sa pratique. Il importe donc de prendre en compte l’héritage des Pères fondateurs pour comprendre l’articulation des in</w:t>
      </w:r>
      <w:r w:rsidRPr="00D2217B">
        <w:rPr>
          <w:lang w:eastAsia="fr-FR" w:bidi="fr-FR"/>
        </w:rPr>
        <w:t>s</w:t>
      </w:r>
      <w:r w:rsidRPr="00D2217B">
        <w:rPr>
          <w:lang w:eastAsia="fr-FR" w:bidi="fr-FR"/>
        </w:rPr>
        <w:t>titutions du régime politique américain en matière de politique étrangère et les débats constitutionnels qui en découlent.</w:t>
      </w:r>
    </w:p>
    <w:p w14:paraId="3BFBB132" w14:textId="77777777" w:rsidR="0039793A" w:rsidRDefault="0039793A" w:rsidP="0039793A">
      <w:pPr>
        <w:spacing w:before="120" w:after="120"/>
        <w:jc w:val="both"/>
        <w:rPr>
          <w:lang w:eastAsia="fr-FR" w:bidi="fr-FR"/>
        </w:rPr>
      </w:pPr>
    </w:p>
    <w:p w14:paraId="41C993D9" w14:textId="77777777" w:rsidR="0039793A" w:rsidRPr="005A00D1" w:rsidRDefault="0039793A" w:rsidP="0039793A">
      <w:pPr>
        <w:pStyle w:val="planche"/>
      </w:pPr>
      <w:bookmarkStart w:id="5" w:name="Pol_EU_pt_1_chap_01_1"/>
      <w:r w:rsidRPr="005A00D1">
        <w:rPr>
          <w:lang w:eastAsia="fr-FR" w:bidi="fr-FR"/>
        </w:rPr>
        <w:t>L’héritage des Pères fondateurs</w:t>
      </w:r>
    </w:p>
    <w:bookmarkEnd w:id="5"/>
    <w:p w14:paraId="6D39B21D" w14:textId="77777777" w:rsidR="0039793A" w:rsidRDefault="0039793A" w:rsidP="0039793A">
      <w:pPr>
        <w:spacing w:before="120" w:after="120"/>
        <w:jc w:val="both"/>
        <w:rPr>
          <w:lang w:eastAsia="fr-FR" w:bidi="fr-FR"/>
        </w:rPr>
      </w:pPr>
    </w:p>
    <w:p w14:paraId="5972EAE9"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8AAC789" w14:textId="77777777" w:rsidR="0039793A" w:rsidRPr="00D2217B" w:rsidRDefault="0039793A" w:rsidP="0039793A">
      <w:pPr>
        <w:spacing w:before="120" w:after="120"/>
        <w:jc w:val="both"/>
      </w:pPr>
      <w:r w:rsidRPr="00D2217B">
        <w:rPr>
          <w:lang w:eastAsia="fr-FR" w:bidi="fr-FR"/>
        </w:rPr>
        <w:t>Certains constitutionnalistes se réfèrent parfois à la doctrine des i</w:t>
      </w:r>
      <w:r w:rsidRPr="00D2217B">
        <w:rPr>
          <w:lang w:eastAsia="fr-FR" w:bidi="fr-FR"/>
        </w:rPr>
        <w:t>n</w:t>
      </w:r>
      <w:r w:rsidRPr="00D2217B">
        <w:rPr>
          <w:lang w:eastAsia="fr-FR" w:bidi="fr-FR"/>
        </w:rPr>
        <w:t>tentions premières</w:t>
      </w:r>
      <w:r>
        <w:rPr>
          <w:lang w:eastAsia="fr-FR" w:bidi="fr-FR"/>
        </w:rPr>
        <w:t> </w:t>
      </w:r>
      <w:r>
        <w:rPr>
          <w:rStyle w:val="Appelnotedebasdep"/>
          <w:lang w:eastAsia="fr-FR" w:bidi="fr-FR"/>
        </w:rPr>
        <w:footnoteReference w:id="14"/>
      </w:r>
      <w:r w:rsidRPr="00D2217B">
        <w:rPr>
          <w:lang w:eastAsia="fr-FR" w:bidi="fr-FR"/>
        </w:rPr>
        <w:t xml:space="preserve"> pour définir le sens des dispositions de la Cha</w:t>
      </w:r>
      <w:r w:rsidRPr="00D2217B">
        <w:rPr>
          <w:lang w:eastAsia="fr-FR" w:bidi="fr-FR"/>
        </w:rPr>
        <w:t>r</w:t>
      </w:r>
      <w:r w:rsidRPr="00D2217B">
        <w:rPr>
          <w:lang w:eastAsia="fr-FR" w:bidi="fr-FR"/>
        </w:rPr>
        <w:t>te fondamentale. Bien que cette lecture, scrupuleusement fidèle aux i</w:t>
      </w:r>
      <w:r w:rsidRPr="00D2217B">
        <w:rPr>
          <w:lang w:eastAsia="fr-FR" w:bidi="fr-FR"/>
        </w:rPr>
        <w:t>n</w:t>
      </w:r>
      <w:r w:rsidRPr="00D2217B">
        <w:rPr>
          <w:lang w:eastAsia="fr-FR" w:bidi="fr-FR"/>
        </w:rPr>
        <w:t>tentions des Pères fondateurs, fasse l’objet d’une controverse doctr</w:t>
      </w:r>
      <w:r w:rsidRPr="00D2217B">
        <w:rPr>
          <w:lang w:eastAsia="fr-FR" w:bidi="fr-FR"/>
        </w:rPr>
        <w:t>i</w:t>
      </w:r>
      <w:r w:rsidRPr="00D2217B">
        <w:rPr>
          <w:lang w:eastAsia="fr-FR" w:bidi="fr-FR"/>
        </w:rPr>
        <w:t>nale</w:t>
      </w:r>
      <w:r>
        <w:rPr>
          <w:lang w:eastAsia="fr-FR" w:bidi="fr-FR"/>
        </w:rPr>
        <w:t> </w:t>
      </w:r>
      <w:r>
        <w:rPr>
          <w:rStyle w:val="Appelnotedebasdep"/>
          <w:lang w:eastAsia="fr-FR" w:bidi="fr-FR"/>
        </w:rPr>
        <w:footnoteReference w:id="15"/>
      </w:r>
      <w:r w:rsidRPr="00D2217B">
        <w:rPr>
          <w:lang w:eastAsia="fr-FR" w:bidi="fr-FR"/>
        </w:rPr>
        <w:t>, elle témoigne du poids de l’Histoire</w:t>
      </w:r>
      <w:r w:rsidRPr="00D2217B">
        <w:t> :</w:t>
      </w:r>
      <w:r w:rsidRPr="00D2217B">
        <w:rPr>
          <w:lang w:eastAsia="fr-FR" w:bidi="fr-FR"/>
        </w:rPr>
        <w:t xml:space="preserve"> en effet, tant les fond</w:t>
      </w:r>
      <w:r w:rsidRPr="00D2217B">
        <w:rPr>
          <w:lang w:eastAsia="fr-FR" w:bidi="fr-FR"/>
        </w:rPr>
        <w:t>e</w:t>
      </w:r>
      <w:r w:rsidRPr="00D2217B">
        <w:rPr>
          <w:lang w:eastAsia="fr-FR" w:bidi="fr-FR"/>
        </w:rPr>
        <w:t>ments de l’Union que les compromis de la Convention de Philade</w:t>
      </w:r>
      <w:r w:rsidRPr="00D2217B">
        <w:rPr>
          <w:lang w:eastAsia="fr-FR" w:bidi="fr-FR"/>
        </w:rPr>
        <w:t>l</w:t>
      </w:r>
      <w:r w:rsidRPr="00D2217B">
        <w:rPr>
          <w:lang w:eastAsia="fr-FR" w:bidi="fr-FR"/>
        </w:rPr>
        <w:t>phie ont une incidence sur l’appréhension contemporaine du régime polit</w:t>
      </w:r>
      <w:r w:rsidRPr="00D2217B">
        <w:rPr>
          <w:lang w:eastAsia="fr-FR" w:bidi="fr-FR"/>
        </w:rPr>
        <w:t>i</w:t>
      </w:r>
      <w:r w:rsidRPr="00D2217B">
        <w:rPr>
          <w:lang w:eastAsia="fr-FR" w:bidi="fr-FR"/>
        </w:rPr>
        <w:t>que américain.</w:t>
      </w:r>
    </w:p>
    <w:p w14:paraId="3AB592E9" w14:textId="77777777" w:rsidR="0039793A" w:rsidRDefault="0039793A" w:rsidP="0039793A">
      <w:pPr>
        <w:spacing w:before="120" w:after="120"/>
        <w:jc w:val="both"/>
      </w:pPr>
      <w:r>
        <w:t>[17]</w:t>
      </w:r>
    </w:p>
    <w:p w14:paraId="62D1BAB3" w14:textId="77777777" w:rsidR="0039793A" w:rsidRPr="00D2217B" w:rsidRDefault="0039793A" w:rsidP="0039793A">
      <w:pPr>
        <w:spacing w:before="120" w:after="120"/>
        <w:jc w:val="both"/>
      </w:pPr>
    </w:p>
    <w:p w14:paraId="22F45EDD" w14:textId="77777777" w:rsidR="0039793A" w:rsidRPr="00D2217B" w:rsidRDefault="0039793A" w:rsidP="0039793A">
      <w:pPr>
        <w:pStyle w:val="a"/>
      </w:pPr>
      <w:r w:rsidRPr="00D2217B">
        <w:t>Les fondements de l’Union</w:t>
      </w:r>
    </w:p>
    <w:p w14:paraId="13E8051A" w14:textId="77777777" w:rsidR="0039793A" w:rsidRDefault="0039793A" w:rsidP="0039793A">
      <w:pPr>
        <w:spacing w:before="120" w:after="120"/>
        <w:jc w:val="both"/>
        <w:rPr>
          <w:lang w:eastAsia="fr-FR" w:bidi="fr-FR"/>
        </w:rPr>
      </w:pPr>
    </w:p>
    <w:p w14:paraId="47186E7E" w14:textId="77777777" w:rsidR="0039793A" w:rsidRPr="00D2217B" w:rsidRDefault="0039793A" w:rsidP="0039793A">
      <w:pPr>
        <w:spacing w:before="120" w:after="120"/>
        <w:jc w:val="both"/>
      </w:pPr>
      <w:r w:rsidRPr="00D2217B">
        <w:rPr>
          <w:lang w:eastAsia="fr-FR" w:bidi="fr-FR"/>
        </w:rPr>
        <w:t>Les États-Unis d’Amérique émergent en deux étapes. Les colonies américaines se dotent d’un Congrès qui adopte en 1776 la Déclaration d’indépendance et, en 1777, les Articles de la Confédération.</w:t>
      </w:r>
    </w:p>
    <w:p w14:paraId="0F53AC85" w14:textId="77777777" w:rsidR="0039793A" w:rsidRDefault="0039793A" w:rsidP="0039793A">
      <w:pPr>
        <w:spacing w:before="120" w:after="120"/>
        <w:jc w:val="both"/>
        <w:rPr>
          <w:lang w:eastAsia="fr-FR" w:bidi="fr-FR"/>
        </w:rPr>
      </w:pPr>
    </w:p>
    <w:p w14:paraId="180E2E81" w14:textId="77777777" w:rsidR="0039793A" w:rsidRPr="000515A4" w:rsidRDefault="0039793A" w:rsidP="0039793A">
      <w:pPr>
        <w:pStyle w:val="b"/>
      </w:pPr>
      <w:r w:rsidRPr="000515A4">
        <w:rPr>
          <w:lang w:eastAsia="fr-FR" w:bidi="fr-FR"/>
        </w:rPr>
        <w:t>La Déclaration d'indépendance</w:t>
      </w:r>
    </w:p>
    <w:p w14:paraId="731AC993" w14:textId="77777777" w:rsidR="0039793A" w:rsidRDefault="0039793A" w:rsidP="0039793A">
      <w:pPr>
        <w:spacing w:before="120" w:after="120"/>
        <w:jc w:val="both"/>
        <w:rPr>
          <w:lang w:eastAsia="fr-FR" w:bidi="fr-FR"/>
        </w:rPr>
      </w:pPr>
    </w:p>
    <w:p w14:paraId="65B40DE0" w14:textId="77777777" w:rsidR="0039793A" w:rsidRPr="00D2217B" w:rsidRDefault="0039793A" w:rsidP="0039793A">
      <w:pPr>
        <w:spacing w:before="120" w:after="120"/>
        <w:jc w:val="both"/>
      </w:pPr>
      <w:r w:rsidRPr="00D2217B">
        <w:rPr>
          <w:lang w:eastAsia="fr-FR" w:bidi="fr-FR"/>
        </w:rPr>
        <w:t>La fin de la guerre de Sept Ans laisse la Grande-Bretagne vict</w:t>
      </w:r>
      <w:r w:rsidRPr="00D2217B">
        <w:rPr>
          <w:lang w:eastAsia="fr-FR" w:bidi="fr-FR"/>
        </w:rPr>
        <w:t>o</w:t>
      </w:r>
      <w:r w:rsidRPr="00D2217B">
        <w:rPr>
          <w:lang w:eastAsia="fr-FR" w:bidi="fr-FR"/>
        </w:rPr>
        <w:t>rieuse financièrement exsangue. Désireuse de renflouer ses caisses et de réaffirmer son contrôle sur son empire colonial, elle accroît sa pression fiscale en mettant en place de nouveaux impôts</w:t>
      </w:r>
      <w:r>
        <w:rPr>
          <w:lang w:eastAsia="fr-FR" w:bidi="fr-FR"/>
        </w:rPr>
        <w:t> </w:t>
      </w:r>
      <w:r>
        <w:rPr>
          <w:rStyle w:val="Appelnotedebasdep"/>
          <w:lang w:eastAsia="fr-FR" w:bidi="fr-FR"/>
        </w:rPr>
        <w:footnoteReference w:id="16"/>
      </w:r>
      <w:r w:rsidRPr="00D2217B">
        <w:rPr>
          <w:lang w:eastAsia="fr-FR" w:bidi="fr-FR"/>
        </w:rPr>
        <w:t>, d’autant plus mal perçus qu’ils sont ét</w:t>
      </w:r>
      <w:r w:rsidRPr="00D2217B">
        <w:rPr>
          <w:lang w:eastAsia="fr-FR" w:bidi="fr-FR"/>
        </w:rPr>
        <w:t>a</w:t>
      </w:r>
      <w:r w:rsidRPr="00D2217B">
        <w:rPr>
          <w:lang w:eastAsia="fr-FR" w:bidi="fr-FR"/>
        </w:rPr>
        <w:t>blis sans que les colonies américaines ne soient consultées</w:t>
      </w:r>
      <w:r>
        <w:rPr>
          <w:lang w:eastAsia="fr-FR" w:bidi="fr-FR"/>
        </w:rPr>
        <w:t> </w:t>
      </w:r>
      <w:r>
        <w:rPr>
          <w:rStyle w:val="Appelnotedebasdep"/>
          <w:lang w:eastAsia="fr-FR" w:bidi="fr-FR"/>
        </w:rPr>
        <w:footnoteReference w:id="17"/>
      </w:r>
      <w:r w:rsidRPr="00D2217B">
        <w:rPr>
          <w:lang w:eastAsia="fr-FR" w:bidi="fr-FR"/>
        </w:rPr>
        <w:t>. Dans un climat de plus en plus délétère, la D</w:t>
      </w:r>
      <w:r w:rsidRPr="00D2217B">
        <w:rPr>
          <w:lang w:eastAsia="fr-FR" w:bidi="fr-FR"/>
        </w:rPr>
        <w:t>é</w:t>
      </w:r>
      <w:r w:rsidRPr="00D2217B">
        <w:rPr>
          <w:lang w:eastAsia="fr-FR" w:bidi="fr-FR"/>
        </w:rPr>
        <w:t>claration d’indépendance rédigée par Thomas Jefferson est adoptée le 4 juillet 1776 par le Congrès formé des représentants des treize col</w:t>
      </w:r>
      <w:r w:rsidRPr="00D2217B">
        <w:rPr>
          <w:lang w:eastAsia="fr-FR" w:bidi="fr-FR"/>
        </w:rPr>
        <w:t>o</w:t>
      </w:r>
      <w:r w:rsidRPr="00D2217B">
        <w:rPr>
          <w:lang w:eastAsia="fr-FR" w:bidi="fr-FR"/>
        </w:rPr>
        <w:t>nies britanniques d’Amérique du Nord. Cette Déclaration constitue une pièce maîtresse de l’anthologie des documents politiques amér</w:t>
      </w:r>
      <w:r w:rsidRPr="00D2217B">
        <w:rPr>
          <w:lang w:eastAsia="fr-FR" w:bidi="fr-FR"/>
        </w:rPr>
        <w:t>i</w:t>
      </w:r>
      <w:r w:rsidRPr="00D2217B">
        <w:rPr>
          <w:lang w:eastAsia="fr-FR" w:bidi="fr-FR"/>
        </w:rPr>
        <w:t>cains. Suscitée par les abus du droit positif anglais, elle comporte une énumération des raisons qui amènent les colonies à se séparer de l’Empire britannique et elle s’inspire des théories du droit naturel en opérant une véritable synthèse de la philosophie libérale de John Lo</w:t>
      </w:r>
      <w:r w:rsidRPr="00D2217B">
        <w:rPr>
          <w:lang w:eastAsia="fr-FR" w:bidi="fr-FR"/>
        </w:rPr>
        <w:t>c</w:t>
      </w:r>
      <w:r w:rsidRPr="00D2217B">
        <w:rPr>
          <w:lang w:eastAsia="fr-FR" w:bidi="fr-FR"/>
        </w:rPr>
        <w:t>ke.</w:t>
      </w:r>
    </w:p>
    <w:p w14:paraId="478545C8" w14:textId="77777777" w:rsidR="0039793A" w:rsidRPr="00D2217B" w:rsidRDefault="0039793A" w:rsidP="0039793A">
      <w:pPr>
        <w:spacing w:before="120" w:after="120"/>
        <w:jc w:val="both"/>
      </w:pPr>
      <w:r w:rsidRPr="00D2217B">
        <w:rPr>
          <w:lang w:eastAsia="fr-FR" w:bidi="fr-FR"/>
        </w:rPr>
        <w:t>Rassemblées dans une union de circonstance, les treize colonies définissent un embryon de pol</w:t>
      </w:r>
      <w:r w:rsidRPr="00D2217B">
        <w:rPr>
          <w:lang w:eastAsia="fr-FR" w:bidi="fr-FR"/>
        </w:rPr>
        <w:t>i</w:t>
      </w:r>
      <w:r w:rsidRPr="00D2217B">
        <w:rPr>
          <w:lang w:eastAsia="fr-FR" w:bidi="fr-FR"/>
        </w:rPr>
        <w:t xml:space="preserve">tique étrangère, s’adressant à </w:t>
      </w:r>
      <w:r w:rsidRPr="00D2217B">
        <w:t>« </w:t>
      </w:r>
      <w:r w:rsidRPr="00D2217B">
        <w:rPr>
          <w:lang w:eastAsia="fr-FR" w:bidi="fr-FR"/>
        </w:rPr>
        <w:t>l’opinion des hommes</w:t>
      </w:r>
      <w:r w:rsidRPr="00D2217B">
        <w:t> »</w:t>
      </w:r>
      <w:r w:rsidRPr="00D2217B">
        <w:rPr>
          <w:lang w:eastAsia="fr-FR" w:bidi="fr-FR"/>
        </w:rPr>
        <w:t>, c’est-à-dire à ce qu’on pourrait qual</w:t>
      </w:r>
      <w:r w:rsidRPr="00D2217B">
        <w:rPr>
          <w:lang w:eastAsia="fr-FR" w:bidi="fr-FR"/>
        </w:rPr>
        <w:t>i</w:t>
      </w:r>
      <w:r w:rsidRPr="00D2217B">
        <w:rPr>
          <w:lang w:eastAsia="fr-FR" w:bidi="fr-FR"/>
        </w:rPr>
        <w:t xml:space="preserve">fier déjà de </w:t>
      </w:r>
      <w:r w:rsidRPr="00D2217B">
        <w:t>« </w:t>
      </w:r>
      <w:r w:rsidRPr="00D2217B">
        <w:rPr>
          <w:lang w:eastAsia="fr-FR" w:bidi="fr-FR"/>
        </w:rPr>
        <w:t>communauté internationale</w:t>
      </w:r>
      <w:r w:rsidRPr="00D2217B">
        <w:t> »</w:t>
      </w:r>
      <w:r w:rsidRPr="00D2217B">
        <w:rPr>
          <w:lang w:eastAsia="fr-FR" w:bidi="fr-FR"/>
        </w:rPr>
        <w:t>, pour défendre le bien-fondé de leur cause</w:t>
      </w:r>
      <w:r>
        <w:rPr>
          <w:lang w:eastAsia="fr-FR" w:bidi="fr-FR"/>
        </w:rPr>
        <w:t> </w:t>
      </w:r>
      <w:r>
        <w:rPr>
          <w:rStyle w:val="Appelnotedebasdep"/>
          <w:lang w:eastAsia="fr-FR" w:bidi="fr-FR"/>
        </w:rPr>
        <w:footnoteReference w:id="18"/>
      </w:r>
      <w:r w:rsidRPr="00D2217B">
        <w:rPr>
          <w:lang w:eastAsia="fr-FR" w:bidi="fr-FR"/>
        </w:rPr>
        <w:t>. En témoigne la formule du préambule à la Déclar</w:t>
      </w:r>
      <w:r w:rsidRPr="00D2217B">
        <w:rPr>
          <w:lang w:eastAsia="fr-FR" w:bidi="fr-FR"/>
        </w:rPr>
        <w:t>a</w:t>
      </w:r>
      <w:r w:rsidRPr="00D2217B">
        <w:rPr>
          <w:lang w:eastAsia="fr-FR" w:bidi="fr-FR"/>
        </w:rPr>
        <w:t>tion</w:t>
      </w:r>
      <w:r w:rsidRPr="00D2217B">
        <w:t> :</w:t>
      </w:r>
      <w:r w:rsidRPr="00D2217B">
        <w:rPr>
          <w:lang w:eastAsia="fr-FR" w:bidi="fr-FR"/>
        </w:rPr>
        <w:t xml:space="preserve"> </w:t>
      </w:r>
      <w:r w:rsidRPr="00D2217B">
        <w:t>« </w:t>
      </w:r>
      <w:r w:rsidRPr="00D2217B">
        <w:rPr>
          <w:lang w:eastAsia="fr-FR" w:bidi="fr-FR"/>
        </w:rPr>
        <w:t>Lorsque, dans le cours des événements humains, un peuple se voit dans la nécessité de rompre les liens politiques qui l’unissent à un autre, et de prendre parmi les puissances de la terre le rang égal et di</w:t>
      </w:r>
      <w:r w:rsidRPr="00D2217B">
        <w:rPr>
          <w:lang w:eastAsia="fr-FR" w:bidi="fr-FR"/>
        </w:rPr>
        <w:t>s</w:t>
      </w:r>
      <w:r w:rsidRPr="00D2217B">
        <w:rPr>
          <w:lang w:eastAsia="fr-FR" w:bidi="fr-FR"/>
        </w:rPr>
        <w:t>tinct auquel les lois de la</w:t>
      </w:r>
      <w:r>
        <w:t xml:space="preserve"> [18] </w:t>
      </w:r>
      <w:r w:rsidRPr="00D2217B">
        <w:rPr>
          <w:lang w:eastAsia="fr-FR" w:bidi="fr-FR"/>
        </w:rPr>
        <w:t>nature et du Dieu de la nature lui do</w:t>
      </w:r>
      <w:r w:rsidRPr="00D2217B">
        <w:rPr>
          <w:lang w:eastAsia="fr-FR" w:bidi="fr-FR"/>
        </w:rPr>
        <w:t>n</w:t>
      </w:r>
      <w:r w:rsidRPr="00D2217B">
        <w:rPr>
          <w:lang w:eastAsia="fr-FR" w:bidi="fr-FR"/>
        </w:rPr>
        <w:t>nent droit, un juste respect de l’opinion des hommes exige qu’il décl</w:t>
      </w:r>
      <w:r w:rsidRPr="00D2217B">
        <w:rPr>
          <w:lang w:eastAsia="fr-FR" w:bidi="fr-FR"/>
        </w:rPr>
        <w:t>a</w:t>
      </w:r>
      <w:r w:rsidRPr="00D2217B">
        <w:rPr>
          <w:lang w:eastAsia="fr-FR" w:bidi="fr-FR"/>
        </w:rPr>
        <w:t>re les causes qui l’ont poussé à cette s</w:t>
      </w:r>
      <w:r w:rsidRPr="00D2217B">
        <w:rPr>
          <w:lang w:eastAsia="fr-FR" w:bidi="fr-FR"/>
        </w:rPr>
        <w:t>é</w:t>
      </w:r>
      <w:r w:rsidRPr="00D2217B">
        <w:rPr>
          <w:lang w:eastAsia="fr-FR" w:bidi="fr-FR"/>
        </w:rPr>
        <w:t>paration</w:t>
      </w:r>
      <w:r>
        <w:rPr>
          <w:lang w:eastAsia="fr-FR" w:bidi="fr-FR"/>
        </w:rPr>
        <w:t> </w:t>
      </w:r>
      <w:r>
        <w:rPr>
          <w:rStyle w:val="Appelnotedebasdep"/>
          <w:lang w:eastAsia="fr-FR" w:bidi="fr-FR"/>
        </w:rPr>
        <w:footnoteReference w:id="19"/>
      </w:r>
      <w:r>
        <w:rPr>
          <w:lang w:eastAsia="fr-FR" w:bidi="fr-FR"/>
        </w:rPr>
        <w:t>.</w:t>
      </w:r>
      <w:r w:rsidRPr="00D2217B">
        <w:t> »</w:t>
      </w:r>
    </w:p>
    <w:p w14:paraId="5ED2E9B6" w14:textId="77777777" w:rsidR="0039793A" w:rsidRPr="00D2217B" w:rsidRDefault="0039793A" w:rsidP="0039793A">
      <w:pPr>
        <w:spacing w:before="120" w:after="120"/>
        <w:jc w:val="both"/>
      </w:pPr>
      <w:r w:rsidRPr="00D2217B">
        <w:rPr>
          <w:lang w:eastAsia="fr-FR" w:bidi="fr-FR"/>
        </w:rPr>
        <w:t>La première partie de la Déclaration est un vér</w:t>
      </w:r>
      <w:r w:rsidRPr="00D2217B">
        <w:rPr>
          <w:lang w:eastAsia="fr-FR" w:bidi="fr-FR"/>
        </w:rPr>
        <w:t>i</w:t>
      </w:r>
      <w:r w:rsidRPr="00D2217B">
        <w:rPr>
          <w:lang w:eastAsia="fr-FR" w:bidi="fr-FR"/>
        </w:rPr>
        <w:t>table compendium de philosophie politique libér</w:t>
      </w:r>
      <w:r w:rsidRPr="00D2217B">
        <w:rPr>
          <w:lang w:eastAsia="fr-FR" w:bidi="fr-FR"/>
        </w:rPr>
        <w:t>a</w:t>
      </w:r>
      <w:r w:rsidRPr="00D2217B">
        <w:rPr>
          <w:lang w:eastAsia="fr-FR" w:bidi="fr-FR"/>
        </w:rPr>
        <w:t>le inspiré de John Locke. Elle proclame les droits inaliénables des hommes à l’égalité, la vie, la libe</w:t>
      </w:r>
      <w:r w:rsidRPr="00D2217B">
        <w:rPr>
          <w:lang w:eastAsia="fr-FR" w:bidi="fr-FR"/>
        </w:rPr>
        <w:t>r</w:t>
      </w:r>
      <w:r w:rsidRPr="00D2217B">
        <w:rPr>
          <w:lang w:eastAsia="fr-FR" w:bidi="fr-FR"/>
        </w:rPr>
        <w:t>té et la recherche du bonheur, et la nécessité que le pouvoir des gouvernants n’émane que du conse</w:t>
      </w:r>
      <w:r w:rsidRPr="00D2217B">
        <w:rPr>
          <w:lang w:eastAsia="fr-FR" w:bidi="fr-FR"/>
        </w:rPr>
        <w:t>n</w:t>
      </w:r>
      <w:r w:rsidRPr="00D2217B">
        <w:rPr>
          <w:lang w:eastAsia="fr-FR" w:bidi="fr-FR"/>
        </w:rPr>
        <w:t>tement des gouvernés. Elle affirme également l’existence du droit des gouvernés à s’insurger contre un gouvern</w:t>
      </w:r>
      <w:r w:rsidRPr="00D2217B">
        <w:rPr>
          <w:lang w:eastAsia="fr-FR" w:bidi="fr-FR"/>
        </w:rPr>
        <w:t>e</w:t>
      </w:r>
      <w:r w:rsidRPr="00D2217B">
        <w:rPr>
          <w:lang w:eastAsia="fr-FR" w:bidi="fr-FR"/>
        </w:rPr>
        <w:t>ment qui ne respecterait pas ces principes</w:t>
      </w:r>
      <w:r>
        <w:rPr>
          <w:lang w:eastAsia="fr-FR" w:bidi="fr-FR"/>
        </w:rPr>
        <w:t> </w:t>
      </w:r>
      <w:r>
        <w:rPr>
          <w:rStyle w:val="Appelnotedebasdep"/>
          <w:lang w:eastAsia="fr-FR" w:bidi="fr-FR"/>
        </w:rPr>
        <w:footnoteReference w:id="20"/>
      </w:r>
      <w:r w:rsidRPr="00D2217B">
        <w:rPr>
          <w:lang w:eastAsia="fr-FR" w:bidi="fr-FR"/>
        </w:rPr>
        <w:t>. Il importe de le soul</w:t>
      </w:r>
      <w:r w:rsidRPr="00D2217B">
        <w:rPr>
          <w:lang w:eastAsia="fr-FR" w:bidi="fr-FR"/>
        </w:rPr>
        <w:t>i</w:t>
      </w:r>
      <w:r w:rsidRPr="00D2217B">
        <w:rPr>
          <w:lang w:eastAsia="fr-FR" w:bidi="fr-FR"/>
        </w:rPr>
        <w:t>gner, la Déclaration d’indépendance américaine s’inscrit dans la trad</w:t>
      </w:r>
      <w:r w:rsidRPr="00D2217B">
        <w:rPr>
          <w:lang w:eastAsia="fr-FR" w:bidi="fr-FR"/>
        </w:rPr>
        <w:t>i</w:t>
      </w:r>
      <w:r w:rsidRPr="00D2217B">
        <w:rPr>
          <w:lang w:eastAsia="fr-FR" w:bidi="fr-FR"/>
        </w:rPr>
        <w:t>tion britannique des droits de la personne, i</w:t>
      </w:r>
      <w:r w:rsidRPr="00D2217B">
        <w:rPr>
          <w:lang w:eastAsia="fr-FR" w:bidi="fr-FR"/>
        </w:rPr>
        <w:t>s</w:t>
      </w:r>
      <w:r w:rsidRPr="00D2217B">
        <w:rPr>
          <w:lang w:eastAsia="fr-FR" w:bidi="fr-FR"/>
        </w:rPr>
        <w:t xml:space="preserve">sue de la Grande Charte de 1215 </w:t>
      </w:r>
      <w:r w:rsidRPr="00D2217B">
        <w:t>(</w:t>
      </w:r>
      <w:r w:rsidRPr="0093616A">
        <w:rPr>
          <w:i/>
          <w:iCs/>
        </w:rPr>
        <w:t>Magna Carta</w:t>
      </w:r>
      <w:r w:rsidRPr="00D2217B">
        <w:rPr>
          <w:lang w:eastAsia="fr-FR" w:bidi="fr-FR"/>
        </w:rPr>
        <w:t xml:space="preserve">) et de la Déclaration des droits de 1689 </w:t>
      </w:r>
      <w:r>
        <w:t>(</w:t>
      </w:r>
      <w:r w:rsidRPr="0093616A">
        <w:rPr>
          <w:i/>
          <w:iCs/>
        </w:rPr>
        <w:t>Bill of Rig</w:t>
      </w:r>
      <w:r w:rsidRPr="0093616A">
        <w:rPr>
          <w:i/>
          <w:iCs/>
        </w:rPr>
        <w:t>h</w:t>
      </w:r>
      <w:r w:rsidRPr="0093616A">
        <w:rPr>
          <w:i/>
          <w:iCs/>
        </w:rPr>
        <w:t>ts</w:t>
      </w:r>
      <w:r w:rsidRPr="00D2217B">
        <w:t xml:space="preserve">). </w:t>
      </w:r>
      <w:r w:rsidRPr="00D2217B">
        <w:rPr>
          <w:lang w:eastAsia="fr-FR" w:bidi="fr-FR"/>
        </w:rPr>
        <w:t>C’est plus contre la tyrannie d’un roi que les Américains construisent leur indépendance que contre la Grande-Bretagne et sa culture politique</w:t>
      </w:r>
      <w:r w:rsidRPr="00D2217B">
        <w:t> :</w:t>
      </w:r>
      <w:r w:rsidRPr="00D2217B">
        <w:rPr>
          <w:lang w:eastAsia="fr-FR" w:bidi="fr-FR"/>
        </w:rPr>
        <w:t xml:space="preserve"> la révolution américaine est donc dépourvue de r</w:t>
      </w:r>
      <w:r w:rsidRPr="00D2217B">
        <w:rPr>
          <w:lang w:eastAsia="fr-FR" w:bidi="fr-FR"/>
        </w:rPr>
        <w:t>a</w:t>
      </w:r>
      <w:r w:rsidRPr="00D2217B">
        <w:rPr>
          <w:lang w:eastAsia="fr-FR" w:bidi="fr-FR"/>
        </w:rPr>
        <w:t>dicalisme et d’un véritable esprit de rupture. La Déclaration souligne d’ailleurs que l’opposition aux Britanniques est toute circonstancielle</w:t>
      </w:r>
      <w:r w:rsidRPr="00D2217B">
        <w:t> :</w:t>
      </w:r>
      <w:r w:rsidRPr="00D2217B">
        <w:rPr>
          <w:lang w:eastAsia="fr-FR" w:bidi="fr-FR"/>
        </w:rPr>
        <w:t xml:space="preserve"> </w:t>
      </w:r>
      <w:r w:rsidRPr="00D2217B">
        <w:t>« </w:t>
      </w:r>
      <w:r w:rsidRPr="00D2217B">
        <w:rPr>
          <w:lang w:eastAsia="fr-FR" w:bidi="fr-FR"/>
        </w:rPr>
        <w:t>Nous devons, comme nous le faisons pour le re</w:t>
      </w:r>
      <w:r w:rsidRPr="00D2217B">
        <w:rPr>
          <w:lang w:eastAsia="fr-FR" w:bidi="fr-FR"/>
        </w:rPr>
        <w:t>s</w:t>
      </w:r>
      <w:r w:rsidRPr="00D2217B">
        <w:rPr>
          <w:lang w:eastAsia="fr-FR" w:bidi="fr-FR"/>
        </w:rPr>
        <w:t>te de l’humanité, les considérer, dans la guerre comme des ennemis, dans la paix comme des amis.</w:t>
      </w:r>
      <w:r w:rsidRPr="00D2217B">
        <w:t> »</w:t>
      </w:r>
      <w:r w:rsidRPr="00D2217B">
        <w:rPr>
          <w:lang w:eastAsia="fr-FR" w:bidi="fr-FR"/>
        </w:rPr>
        <w:t xml:space="preserve"> Voilà qui explique que les </w:t>
      </w:r>
      <w:r>
        <w:rPr>
          <w:lang w:eastAsia="fr-FR" w:bidi="fr-FR"/>
        </w:rPr>
        <w:t>État</w:t>
      </w:r>
      <w:r w:rsidRPr="00D2217B">
        <w:rPr>
          <w:lang w:eastAsia="fr-FR" w:bidi="fr-FR"/>
        </w:rPr>
        <w:t>s-Unis, une fois la guerre terminée, rétablissent rapidement leurs relations avec l’ancienne m</w:t>
      </w:r>
      <w:r w:rsidRPr="00D2217B">
        <w:rPr>
          <w:lang w:eastAsia="fr-FR" w:bidi="fr-FR"/>
        </w:rPr>
        <w:t>é</w:t>
      </w:r>
      <w:r w:rsidRPr="00D2217B">
        <w:rPr>
          <w:lang w:eastAsia="fr-FR" w:bidi="fr-FR"/>
        </w:rPr>
        <w:t>tropole, relations qui deviendront par la suite nettement privilégiées.</w:t>
      </w:r>
    </w:p>
    <w:p w14:paraId="5C5CE613" w14:textId="77777777" w:rsidR="0039793A" w:rsidRPr="00D2217B" w:rsidRDefault="0039793A" w:rsidP="0039793A">
      <w:pPr>
        <w:spacing w:before="120" w:after="120"/>
        <w:jc w:val="both"/>
      </w:pPr>
      <w:r w:rsidRPr="00D2217B">
        <w:rPr>
          <w:lang w:eastAsia="fr-FR" w:bidi="fr-FR"/>
        </w:rPr>
        <w:t>Dans ce contexte de rejet de la tyrannie et de promotion du princ</w:t>
      </w:r>
      <w:r w:rsidRPr="00D2217B">
        <w:rPr>
          <w:lang w:eastAsia="fr-FR" w:bidi="fr-FR"/>
        </w:rPr>
        <w:t>i</w:t>
      </w:r>
      <w:r w:rsidRPr="00D2217B">
        <w:rPr>
          <w:lang w:eastAsia="fr-FR" w:bidi="fr-FR"/>
        </w:rPr>
        <w:t xml:space="preserve">pe de </w:t>
      </w:r>
      <w:r w:rsidRPr="00D2217B">
        <w:t>« </w:t>
      </w:r>
      <w:r w:rsidRPr="00D2217B">
        <w:rPr>
          <w:lang w:eastAsia="fr-FR" w:bidi="fr-FR"/>
        </w:rPr>
        <w:t>consentement des gouvernés</w:t>
      </w:r>
      <w:r w:rsidRPr="00D2217B">
        <w:t> »</w:t>
      </w:r>
      <w:r w:rsidRPr="00D2217B">
        <w:rPr>
          <w:lang w:eastAsia="fr-FR" w:bidi="fr-FR"/>
        </w:rPr>
        <w:t>, c’est une assemblée de repr</w:t>
      </w:r>
      <w:r w:rsidRPr="00D2217B">
        <w:rPr>
          <w:lang w:eastAsia="fr-FR" w:bidi="fr-FR"/>
        </w:rPr>
        <w:t>é</w:t>
      </w:r>
      <w:r w:rsidRPr="00D2217B">
        <w:rPr>
          <w:lang w:eastAsia="fr-FR" w:bidi="fr-FR"/>
        </w:rPr>
        <w:t>sentants qui proclame l’indépendance, qui déclare la guerre à la Gra</w:t>
      </w:r>
      <w:r w:rsidRPr="00D2217B">
        <w:rPr>
          <w:lang w:eastAsia="fr-FR" w:bidi="fr-FR"/>
        </w:rPr>
        <w:t>n</w:t>
      </w:r>
      <w:r w:rsidRPr="00D2217B">
        <w:rPr>
          <w:lang w:eastAsia="fr-FR" w:bidi="fr-FR"/>
        </w:rPr>
        <w:t xml:space="preserve">de-Bretagne et qui contracte une alliance avec la France, puis avec l’Espagne. C’est enfin elle qui consacre l’union des treize </w:t>
      </w:r>
      <w:r>
        <w:rPr>
          <w:lang w:eastAsia="fr-FR" w:bidi="fr-FR"/>
        </w:rPr>
        <w:t>État</w:t>
      </w:r>
      <w:r w:rsidRPr="00D2217B">
        <w:rPr>
          <w:lang w:eastAsia="fr-FR" w:bidi="fr-FR"/>
        </w:rPr>
        <w:t xml:space="preserve">s en adoptant les </w:t>
      </w:r>
      <w:r w:rsidRPr="00D2217B">
        <w:t>« </w:t>
      </w:r>
      <w:r w:rsidRPr="00D2217B">
        <w:rPr>
          <w:lang w:eastAsia="fr-FR" w:bidi="fr-FR"/>
        </w:rPr>
        <w:t>Articles de la Confédération</w:t>
      </w:r>
      <w:r w:rsidRPr="00D2217B">
        <w:t> »</w:t>
      </w:r>
      <w:r w:rsidRPr="00D2217B">
        <w:rPr>
          <w:lang w:eastAsia="fr-FR" w:bidi="fr-FR"/>
        </w:rPr>
        <w:t>.</w:t>
      </w:r>
    </w:p>
    <w:p w14:paraId="72F34383" w14:textId="77777777" w:rsidR="0039793A" w:rsidRDefault="0039793A" w:rsidP="0039793A">
      <w:pPr>
        <w:spacing w:before="120" w:after="120"/>
        <w:jc w:val="both"/>
      </w:pPr>
      <w:r>
        <w:t>[19]</w:t>
      </w:r>
    </w:p>
    <w:p w14:paraId="7971E5E8" w14:textId="77777777" w:rsidR="0039793A" w:rsidRDefault="0039793A" w:rsidP="0039793A">
      <w:pPr>
        <w:spacing w:before="120" w:after="120"/>
        <w:jc w:val="both"/>
      </w:pPr>
    </w:p>
    <w:p w14:paraId="218DF616" w14:textId="77777777" w:rsidR="0039793A" w:rsidRPr="00642FA3" w:rsidRDefault="0039793A" w:rsidP="0039793A">
      <w:pPr>
        <w:pStyle w:val="b"/>
      </w:pPr>
      <w:r w:rsidRPr="00642FA3">
        <w:rPr>
          <w:lang w:eastAsia="fr-FR" w:bidi="fr-FR"/>
        </w:rPr>
        <w:t>Les articles de la Confédération</w:t>
      </w:r>
    </w:p>
    <w:p w14:paraId="5E2666C2" w14:textId="77777777" w:rsidR="0039793A" w:rsidRDefault="0039793A" w:rsidP="0039793A">
      <w:pPr>
        <w:spacing w:before="120" w:after="120"/>
        <w:jc w:val="both"/>
        <w:rPr>
          <w:lang w:eastAsia="fr-FR" w:bidi="fr-FR"/>
        </w:rPr>
      </w:pPr>
    </w:p>
    <w:p w14:paraId="0241063C" w14:textId="77777777" w:rsidR="0039793A" w:rsidRPr="00D2217B" w:rsidRDefault="0039793A" w:rsidP="0039793A">
      <w:pPr>
        <w:spacing w:before="120" w:after="120"/>
        <w:jc w:val="both"/>
      </w:pPr>
      <w:r w:rsidRPr="00D2217B">
        <w:rPr>
          <w:lang w:eastAsia="fr-FR" w:bidi="fr-FR"/>
        </w:rPr>
        <w:t xml:space="preserve">À la suite de leur accession à l’indépendance, les treize </w:t>
      </w:r>
      <w:r>
        <w:rPr>
          <w:lang w:eastAsia="fr-FR" w:bidi="fr-FR"/>
        </w:rPr>
        <w:t>État</w:t>
      </w:r>
      <w:r w:rsidRPr="00D2217B">
        <w:rPr>
          <w:lang w:eastAsia="fr-FR" w:bidi="fr-FR"/>
        </w:rPr>
        <w:t>s so</w:t>
      </w:r>
      <w:r w:rsidRPr="00D2217B">
        <w:rPr>
          <w:lang w:eastAsia="fr-FR" w:bidi="fr-FR"/>
        </w:rPr>
        <w:t>u</w:t>
      </w:r>
      <w:r w:rsidRPr="00D2217B">
        <w:rPr>
          <w:lang w:eastAsia="fr-FR" w:bidi="fr-FR"/>
        </w:rPr>
        <w:t>verains se dotent chacun d’une constitution propre et d’un système de gouvern</w:t>
      </w:r>
      <w:r w:rsidRPr="00D2217B">
        <w:rPr>
          <w:lang w:eastAsia="fr-FR" w:bidi="fr-FR"/>
        </w:rPr>
        <w:t>e</w:t>
      </w:r>
      <w:r w:rsidRPr="00D2217B">
        <w:rPr>
          <w:lang w:eastAsia="fr-FR" w:bidi="fr-FR"/>
        </w:rPr>
        <w:t xml:space="preserve">ment élaboré. Dans le même temps, le Congrès adopte, le 15 novembre 1777, les </w:t>
      </w:r>
      <w:r w:rsidRPr="00D2217B">
        <w:t>« </w:t>
      </w:r>
      <w:r w:rsidRPr="00D2217B">
        <w:rPr>
          <w:lang w:eastAsia="fr-FR" w:bidi="fr-FR"/>
        </w:rPr>
        <w:t>Articles de la Confédération</w:t>
      </w:r>
      <w:r w:rsidRPr="00D2217B">
        <w:t> »</w:t>
      </w:r>
      <w:r w:rsidRPr="00D2217B">
        <w:rPr>
          <w:lang w:eastAsia="fr-FR" w:bidi="fr-FR"/>
        </w:rPr>
        <w:t xml:space="preserve"> établissant une union confédérale entre les États</w:t>
      </w:r>
      <w:r>
        <w:rPr>
          <w:lang w:eastAsia="fr-FR" w:bidi="fr-FR"/>
        </w:rPr>
        <w:t> </w:t>
      </w:r>
      <w:r>
        <w:rPr>
          <w:rStyle w:val="Appelnotedebasdep"/>
          <w:lang w:eastAsia="fr-FR" w:bidi="fr-FR"/>
        </w:rPr>
        <w:footnoteReference w:id="21"/>
      </w:r>
      <w:r>
        <w:rPr>
          <w:lang w:eastAsia="fr-FR" w:bidi="fr-FR"/>
        </w:rPr>
        <w:t>.</w:t>
      </w:r>
      <w:r w:rsidRPr="00D2217B">
        <w:rPr>
          <w:lang w:eastAsia="fr-FR" w:bidi="fr-FR"/>
        </w:rPr>
        <w:t xml:space="preserve"> Puisque, par définition, une conf</w:t>
      </w:r>
      <w:r w:rsidRPr="00D2217B">
        <w:rPr>
          <w:lang w:eastAsia="fr-FR" w:bidi="fr-FR"/>
        </w:rPr>
        <w:t>é</w:t>
      </w:r>
      <w:r w:rsidRPr="00D2217B">
        <w:rPr>
          <w:lang w:eastAsia="fr-FR" w:bidi="fr-FR"/>
        </w:rPr>
        <w:t xml:space="preserve">dération est une association d’États, les treize États signataires demeurent </w:t>
      </w:r>
      <w:r w:rsidRPr="00D2217B">
        <w:t>« </w:t>
      </w:r>
      <w:r w:rsidRPr="00D2217B">
        <w:rPr>
          <w:lang w:eastAsia="fr-FR" w:bidi="fr-FR"/>
        </w:rPr>
        <w:t>souverains, libres et ind</w:t>
      </w:r>
      <w:r w:rsidRPr="00D2217B">
        <w:rPr>
          <w:lang w:eastAsia="fr-FR" w:bidi="fr-FR"/>
        </w:rPr>
        <w:t>é</w:t>
      </w:r>
      <w:r w:rsidRPr="00D2217B">
        <w:rPr>
          <w:lang w:eastAsia="fr-FR" w:bidi="fr-FR"/>
        </w:rPr>
        <w:t>pendants</w:t>
      </w:r>
      <w:r w:rsidRPr="00D2217B">
        <w:t> »</w:t>
      </w:r>
      <w:r w:rsidRPr="00D2217B">
        <w:rPr>
          <w:lang w:eastAsia="fr-FR" w:bidi="fr-FR"/>
        </w:rPr>
        <w:t xml:space="preserve"> et conservent les pouvoirs qu’ils n’ont pas expressément transférés à la structure conf</w:t>
      </w:r>
      <w:r w:rsidRPr="00D2217B">
        <w:rPr>
          <w:lang w:eastAsia="fr-FR" w:bidi="fr-FR"/>
        </w:rPr>
        <w:t>é</w:t>
      </w:r>
      <w:r w:rsidRPr="00D2217B">
        <w:rPr>
          <w:lang w:eastAsia="fr-FR" w:bidi="fr-FR"/>
        </w:rPr>
        <w:t>dérale</w:t>
      </w:r>
      <w:r>
        <w:rPr>
          <w:lang w:eastAsia="fr-FR" w:bidi="fr-FR"/>
        </w:rPr>
        <w:t> </w:t>
      </w:r>
      <w:r>
        <w:rPr>
          <w:rStyle w:val="Appelnotedebasdep"/>
          <w:lang w:eastAsia="fr-FR" w:bidi="fr-FR"/>
        </w:rPr>
        <w:footnoteReference w:id="22"/>
      </w:r>
      <w:r w:rsidRPr="00D2217B">
        <w:rPr>
          <w:lang w:eastAsia="fr-FR" w:bidi="fr-FR"/>
        </w:rPr>
        <w:t>. Le Congrès confédéral, qui est la seule institution de la Confédération</w:t>
      </w:r>
      <w:r>
        <w:rPr>
          <w:lang w:eastAsia="fr-FR" w:bidi="fr-FR"/>
        </w:rPr>
        <w:t> </w:t>
      </w:r>
      <w:r>
        <w:rPr>
          <w:rStyle w:val="Appelnotedebasdep"/>
          <w:lang w:eastAsia="fr-FR" w:bidi="fr-FR"/>
        </w:rPr>
        <w:footnoteReference w:id="23"/>
      </w:r>
      <w:r w:rsidRPr="00D2217B">
        <w:rPr>
          <w:lang w:eastAsia="fr-FR" w:bidi="fr-FR"/>
        </w:rPr>
        <w:t>, acquiert ainsi le pouvoir de mener la politique étrang</w:t>
      </w:r>
      <w:r w:rsidRPr="00D2217B">
        <w:rPr>
          <w:lang w:eastAsia="fr-FR" w:bidi="fr-FR"/>
        </w:rPr>
        <w:t>è</w:t>
      </w:r>
      <w:r w:rsidRPr="00D2217B">
        <w:rPr>
          <w:lang w:eastAsia="fr-FR" w:bidi="fr-FR"/>
        </w:rPr>
        <w:t>re de l’union. C’est donc lui qui va, au besoin, conduire la guerre et ce sont ses représentants qui négocieront et signeront des traités internati</w:t>
      </w:r>
      <w:r w:rsidRPr="00D2217B">
        <w:rPr>
          <w:lang w:eastAsia="fr-FR" w:bidi="fr-FR"/>
        </w:rPr>
        <w:t>o</w:t>
      </w:r>
      <w:r w:rsidRPr="00D2217B">
        <w:rPr>
          <w:lang w:eastAsia="fr-FR" w:bidi="fr-FR"/>
        </w:rPr>
        <w:t>naux. Pour autant, le Congrès n’obtient pas le pouvoir de lever l’impôt pour financer sa politique étrangère. Les États reco</w:t>
      </w:r>
      <w:r w:rsidRPr="00D2217B">
        <w:rPr>
          <w:lang w:eastAsia="fr-FR" w:bidi="fr-FR"/>
        </w:rPr>
        <w:t>u</w:t>
      </w:r>
      <w:r w:rsidRPr="00D2217B">
        <w:rPr>
          <w:lang w:eastAsia="fr-FR" w:bidi="fr-FR"/>
        </w:rPr>
        <w:t>rent à l’emprunt, puis à l’émission de monnaie et, tandis que le climat économique se détériore, mènent des politiques indépendantes et pa</w:t>
      </w:r>
      <w:r w:rsidRPr="00D2217B">
        <w:rPr>
          <w:lang w:eastAsia="fr-FR" w:bidi="fr-FR"/>
        </w:rPr>
        <w:t>r</w:t>
      </w:r>
      <w:r w:rsidRPr="00D2217B">
        <w:rPr>
          <w:lang w:eastAsia="fr-FR" w:bidi="fr-FR"/>
        </w:rPr>
        <w:t>fois contradictoires que le Congrès n’a pas le pouvoir d’arbitrer. Fa</w:t>
      </w:r>
      <w:r w:rsidRPr="00D2217B">
        <w:rPr>
          <w:lang w:eastAsia="fr-FR" w:bidi="fr-FR"/>
        </w:rPr>
        <w:t>i</w:t>
      </w:r>
      <w:r w:rsidRPr="00D2217B">
        <w:rPr>
          <w:lang w:eastAsia="fr-FR" w:bidi="fr-FR"/>
        </w:rPr>
        <w:t>sant le constat d’une union en dél</w:t>
      </w:r>
      <w:r w:rsidRPr="00D2217B">
        <w:rPr>
          <w:lang w:eastAsia="fr-FR" w:bidi="fr-FR"/>
        </w:rPr>
        <w:t>i</w:t>
      </w:r>
      <w:r w:rsidRPr="00D2217B">
        <w:rPr>
          <w:lang w:eastAsia="fr-FR" w:bidi="fr-FR"/>
        </w:rPr>
        <w:t>quescence, Washington, Hamilton, Jay et Madison - parmi les Pères fondateurs - décident de pousser plus avant l’intégration. L’assemblée constituante qui se réunit à Philade</w:t>
      </w:r>
      <w:r w:rsidRPr="00D2217B">
        <w:rPr>
          <w:lang w:eastAsia="fr-FR" w:bidi="fr-FR"/>
        </w:rPr>
        <w:t>l</w:t>
      </w:r>
      <w:r w:rsidRPr="00D2217B">
        <w:rPr>
          <w:lang w:eastAsia="fr-FR" w:bidi="fr-FR"/>
        </w:rPr>
        <w:t>phie au mois de mai 1787 n’est pourtant pas unanime. Elle est part</w:t>
      </w:r>
      <w:r w:rsidRPr="00D2217B">
        <w:rPr>
          <w:lang w:eastAsia="fr-FR" w:bidi="fr-FR"/>
        </w:rPr>
        <w:t>a</w:t>
      </w:r>
      <w:r w:rsidRPr="00D2217B">
        <w:rPr>
          <w:lang w:eastAsia="fr-FR" w:bidi="fr-FR"/>
        </w:rPr>
        <w:t>gée autour de la div</w:t>
      </w:r>
      <w:r w:rsidRPr="00D2217B">
        <w:rPr>
          <w:lang w:eastAsia="fr-FR" w:bidi="fr-FR"/>
        </w:rPr>
        <w:t>i</w:t>
      </w:r>
      <w:r w:rsidRPr="00D2217B">
        <w:rPr>
          <w:lang w:eastAsia="fr-FR" w:bidi="fr-FR"/>
        </w:rPr>
        <w:t>sion — horizontale et verticale - du pouvoir et ne pourra aboutir qu’en concédant des co</w:t>
      </w:r>
      <w:r w:rsidRPr="00D2217B">
        <w:rPr>
          <w:lang w:eastAsia="fr-FR" w:bidi="fr-FR"/>
        </w:rPr>
        <w:t>m</w:t>
      </w:r>
      <w:r w:rsidRPr="00D2217B">
        <w:rPr>
          <w:lang w:eastAsia="fr-FR" w:bidi="fr-FR"/>
        </w:rPr>
        <w:t>promis.</w:t>
      </w:r>
    </w:p>
    <w:p w14:paraId="1398D28A" w14:textId="77777777" w:rsidR="0039793A" w:rsidRPr="00D2217B" w:rsidRDefault="0039793A" w:rsidP="0039793A">
      <w:pPr>
        <w:spacing w:before="120" w:after="120"/>
        <w:jc w:val="both"/>
      </w:pPr>
      <w:r>
        <w:t>[20]</w:t>
      </w:r>
    </w:p>
    <w:p w14:paraId="68D1A816" w14:textId="77777777" w:rsidR="0039793A" w:rsidRDefault="0039793A" w:rsidP="0039793A">
      <w:pPr>
        <w:spacing w:before="120" w:after="120"/>
        <w:jc w:val="both"/>
        <w:rPr>
          <w:lang w:eastAsia="fr-FR" w:bidi="fr-FR"/>
        </w:rPr>
      </w:pPr>
    </w:p>
    <w:p w14:paraId="4E2A4E6D" w14:textId="77777777" w:rsidR="0039793A" w:rsidRPr="00D2217B" w:rsidRDefault="0039793A" w:rsidP="0039793A">
      <w:pPr>
        <w:pStyle w:val="a"/>
      </w:pPr>
      <w:r w:rsidRPr="00D2217B">
        <w:t>Les compr</w:t>
      </w:r>
      <w:r>
        <w:t>omis</w:t>
      </w:r>
      <w:r>
        <w:br/>
      </w:r>
      <w:r w:rsidRPr="00D2217B">
        <w:t>de la Convention de Philade</w:t>
      </w:r>
      <w:r w:rsidRPr="00D2217B">
        <w:t>l</w:t>
      </w:r>
      <w:r w:rsidRPr="00D2217B">
        <w:t>phie</w:t>
      </w:r>
    </w:p>
    <w:p w14:paraId="480F7DCB" w14:textId="77777777" w:rsidR="0039793A" w:rsidRDefault="0039793A" w:rsidP="0039793A">
      <w:pPr>
        <w:spacing w:before="120" w:after="120"/>
        <w:jc w:val="both"/>
        <w:rPr>
          <w:lang w:eastAsia="fr-FR" w:bidi="fr-FR"/>
        </w:rPr>
      </w:pPr>
    </w:p>
    <w:p w14:paraId="1559B88E" w14:textId="77777777" w:rsidR="0039793A" w:rsidRPr="00D2217B" w:rsidRDefault="0039793A" w:rsidP="0039793A">
      <w:pPr>
        <w:spacing w:before="120" w:after="120"/>
        <w:jc w:val="both"/>
      </w:pPr>
      <w:r w:rsidRPr="00D2217B">
        <w:rPr>
          <w:lang w:eastAsia="fr-FR" w:bidi="fr-FR"/>
        </w:rPr>
        <w:t>Tandis que certains constituants insistent sur la nécessité d’un gouvernement central fort, pour d’autres, un tel dessein est susceptible de dévaloriser leur appartenance à un État régional qu’ils e</w:t>
      </w:r>
      <w:r w:rsidRPr="00D2217B">
        <w:rPr>
          <w:lang w:eastAsia="fr-FR" w:bidi="fr-FR"/>
        </w:rPr>
        <w:t>s</w:t>
      </w:r>
      <w:r w:rsidRPr="00D2217B">
        <w:rPr>
          <w:lang w:eastAsia="fr-FR" w:bidi="fr-FR"/>
        </w:rPr>
        <w:t>timent primordiale</w:t>
      </w:r>
      <w:r w:rsidRPr="00D2217B">
        <w:t> :</w:t>
      </w:r>
      <w:r w:rsidRPr="00D2217B">
        <w:rPr>
          <w:lang w:eastAsia="fr-FR" w:bidi="fr-FR"/>
        </w:rPr>
        <w:t xml:space="preserve"> foncièrement attachés à leur État d’origine, ils n’entendent pas en sacrifier l’autonomie pour se soumettre à un go</w:t>
      </w:r>
      <w:r w:rsidRPr="00D2217B">
        <w:rPr>
          <w:lang w:eastAsia="fr-FR" w:bidi="fr-FR"/>
        </w:rPr>
        <w:t>u</w:t>
      </w:r>
      <w:r w:rsidRPr="00D2217B">
        <w:rPr>
          <w:lang w:eastAsia="fr-FR" w:bidi="fr-FR"/>
        </w:rPr>
        <w:t>vernement central qui ne peut que leur rappeler celui de la métropole. Il faut dire que tous, y compris les t</w:t>
      </w:r>
      <w:r w:rsidRPr="00D2217B">
        <w:rPr>
          <w:lang w:eastAsia="fr-FR" w:bidi="fr-FR"/>
        </w:rPr>
        <w:t>e</w:t>
      </w:r>
      <w:r w:rsidRPr="00D2217B">
        <w:rPr>
          <w:lang w:eastAsia="fr-FR" w:bidi="fr-FR"/>
        </w:rPr>
        <w:t>nants d’un pouvoir central fort, sont, dans la droite ligne de la philosophie libérale lockéenne, habités par la crainte de l’autorité politique. Voilà pou</w:t>
      </w:r>
      <w:r w:rsidRPr="00D2217B">
        <w:rPr>
          <w:lang w:eastAsia="fr-FR" w:bidi="fr-FR"/>
        </w:rPr>
        <w:t>r</w:t>
      </w:r>
      <w:r w:rsidRPr="00D2217B">
        <w:rPr>
          <w:lang w:eastAsia="fr-FR" w:bidi="fr-FR"/>
        </w:rPr>
        <w:t>quoi la Convention de Philadelphie ne pouvait réussir autrement qu’en opérant deux co</w:t>
      </w:r>
      <w:r w:rsidRPr="00D2217B">
        <w:rPr>
          <w:lang w:eastAsia="fr-FR" w:bidi="fr-FR"/>
        </w:rPr>
        <w:t>m</w:t>
      </w:r>
      <w:r w:rsidRPr="00D2217B">
        <w:rPr>
          <w:lang w:eastAsia="fr-FR" w:bidi="fr-FR"/>
        </w:rPr>
        <w:t>promis, l’un entre un pouvoir central nécessaire et des pouvoirs l</w:t>
      </w:r>
      <w:r w:rsidRPr="00D2217B">
        <w:rPr>
          <w:lang w:eastAsia="fr-FR" w:bidi="fr-FR"/>
        </w:rPr>
        <w:t>o</w:t>
      </w:r>
      <w:r w:rsidRPr="00D2217B">
        <w:rPr>
          <w:lang w:eastAsia="fr-FR" w:bidi="fr-FR"/>
        </w:rPr>
        <w:t>caux considérables, et l’autre entre le pouvoir exécutif et les pouvoirs législatif et jud</w:t>
      </w:r>
      <w:r w:rsidRPr="00D2217B">
        <w:rPr>
          <w:lang w:eastAsia="fr-FR" w:bidi="fr-FR"/>
        </w:rPr>
        <w:t>i</w:t>
      </w:r>
      <w:r w:rsidRPr="00D2217B">
        <w:rPr>
          <w:lang w:eastAsia="fr-FR" w:bidi="fr-FR"/>
        </w:rPr>
        <w:t>ciaire.</w:t>
      </w:r>
    </w:p>
    <w:p w14:paraId="2E09D0F7" w14:textId="77777777" w:rsidR="0039793A" w:rsidRDefault="0039793A" w:rsidP="0039793A">
      <w:pPr>
        <w:spacing w:before="120" w:after="120"/>
        <w:jc w:val="both"/>
        <w:rPr>
          <w:lang w:eastAsia="fr-FR" w:bidi="fr-FR"/>
        </w:rPr>
      </w:pPr>
    </w:p>
    <w:p w14:paraId="49A2621B" w14:textId="77777777" w:rsidR="0039793A" w:rsidRPr="0098456F" w:rsidRDefault="0039793A" w:rsidP="0039793A">
      <w:pPr>
        <w:pStyle w:val="b"/>
      </w:pPr>
      <w:r w:rsidRPr="0098456F">
        <w:rPr>
          <w:lang w:eastAsia="fr-FR" w:bidi="fr-FR"/>
        </w:rPr>
        <w:t>La mise en place du fédéralisme à l'américaine</w:t>
      </w:r>
    </w:p>
    <w:p w14:paraId="759A7F7F" w14:textId="77777777" w:rsidR="0039793A" w:rsidRDefault="0039793A" w:rsidP="0039793A">
      <w:pPr>
        <w:spacing w:before="120" w:after="120"/>
        <w:jc w:val="both"/>
        <w:rPr>
          <w:lang w:eastAsia="fr-FR" w:bidi="fr-FR"/>
        </w:rPr>
      </w:pPr>
    </w:p>
    <w:p w14:paraId="431A153C" w14:textId="77777777" w:rsidR="0039793A" w:rsidRPr="00D2217B" w:rsidRDefault="0039793A" w:rsidP="0039793A">
      <w:pPr>
        <w:spacing w:before="120" w:after="120"/>
        <w:jc w:val="both"/>
      </w:pPr>
      <w:r w:rsidRPr="00D2217B">
        <w:rPr>
          <w:lang w:eastAsia="fr-FR" w:bidi="fr-FR"/>
        </w:rPr>
        <w:t>Le premier compromis réside dans la nécessité d’un gouvernement central fort et le maintien de l’autonomie des entités politiques que constituent déjà les treize États. Si ce premier accommod</w:t>
      </w:r>
      <w:r w:rsidRPr="00D2217B">
        <w:rPr>
          <w:lang w:eastAsia="fr-FR" w:bidi="fr-FR"/>
        </w:rPr>
        <w:t>e</w:t>
      </w:r>
      <w:r w:rsidRPr="00D2217B">
        <w:rPr>
          <w:lang w:eastAsia="fr-FR" w:bidi="fr-FR"/>
        </w:rPr>
        <w:t>ment ne paraît pas déterminant du point de vue de la politique étrangère, il a tout de même deux inc</w:t>
      </w:r>
      <w:r w:rsidRPr="00D2217B">
        <w:rPr>
          <w:lang w:eastAsia="fr-FR" w:bidi="fr-FR"/>
        </w:rPr>
        <w:t>i</w:t>
      </w:r>
      <w:r w:rsidRPr="00D2217B">
        <w:rPr>
          <w:lang w:eastAsia="fr-FR" w:bidi="fr-FR"/>
        </w:rPr>
        <w:t>dences</w:t>
      </w:r>
      <w:r w:rsidRPr="00D2217B">
        <w:t> :</w:t>
      </w:r>
    </w:p>
    <w:p w14:paraId="5AAD806D" w14:textId="77777777" w:rsidR="0039793A" w:rsidRPr="00D2217B" w:rsidRDefault="0039793A" w:rsidP="0039793A">
      <w:pPr>
        <w:spacing w:before="120" w:after="120"/>
        <w:jc w:val="both"/>
      </w:pPr>
      <w:r w:rsidRPr="00D2217B">
        <w:rPr>
          <w:lang w:eastAsia="fr-FR" w:bidi="fr-FR"/>
        </w:rPr>
        <w:t>D’une part, il doit permettre de prendre la m</w:t>
      </w:r>
      <w:r w:rsidRPr="00D2217B">
        <w:rPr>
          <w:lang w:eastAsia="fr-FR" w:bidi="fr-FR"/>
        </w:rPr>
        <w:t>e</w:t>
      </w:r>
      <w:r w:rsidRPr="00D2217B">
        <w:rPr>
          <w:lang w:eastAsia="fr-FR" w:bidi="fr-FR"/>
        </w:rPr>
        <w:t>sure du fédéralisme à l’américaine</w:t>
      </w:r>
      <w:r w:rsidRPr="00D2217B">
        <w:t> :</w:t>
      </w:r>
      <w:r w:rsidRPr="00D2217B">
        <w:rPr>
          <w:lang w:eastAsia="fr-FR" w:bidi="fr-FR"/>
        </w:rPr>
        <w:t xml:space="preserve"> il n’est guère possible d’ignorer le rôle considérable des États fédérés au sein de la fédération. Leur antériorité leur confère une légitimité particulière, fonde leurs compétences de principe et leurs aspirations à une décentralisation accrue. Le partage des pouvoirs qui en résulte explique ainsi leur poids dans les dimensions internes de la politique fédérale de d</w:t>
      </w:r>
      <w:r w:rsidRPr="00D2217B">
        <w:rPr>
          <w:lang w:eastAsia="fr-FR" w:bidi="fr-FR"/>
        </w:rPr>
        <w:t>é</w:t>
      </w:r>
      <w:r w:rsidRPr="00D2217B">
        <w:rPr>
          <w:lang w:eastAsia="fr-FR" w:bidi="fr-FR"/>
        </w:rPr>
        <w:t>fense et de diplomatie, comme par exemple la répartition des bases militaires sur le territoire. Des orientations pe</w:t>
      </w:r>
      <w:r w:rsidRPr="00D2217B">
        <w:rPr>
          <w:lang w:eastAsia="fr-FR" w:bidi="fr-FR"/>
        </w:rPr>
        <w:t>u</w:t>
      </w:r>
      <w:r w:rsidRPr="00D2217B">
        <w:rPr>
          <w:lang w:eastAsia="fr-FR" w:bidi="fr-FR"/>
        </w:rPr>
        <w:t>vent dépendre directement de la force et de l’organisation de certains groupes locaux. C’est ainsi que la politique du gouvernement amér</w:t>
      </w:r>
      <w:r w:rsidRPr="00D2217B">
        <w:rPr>
          <w:lang w:eastAsia="fr-FR" w:bidi="fr-FR"/>
        </w:rPr>
        <w:t>i</w:t>
      </w:r>
      <w:r w:rsidRPr="00D2217B">
        <w:rPr>
          <w:lang w:eastAsia="fr-FR" w:bidi="fr-FR"/>
        </w:rPr>
        <w:t>cain envers Cuba trouve des racines en Flor</w:t>
      </w:r>
      <w:r w:rsidRPr="00D2217B">
        <w:rPr>
          <w:lang w:eastAsia="fr-FR" w:bidi="fr-FR"/>
        </w:rPr>
        <w:t>i</w:t>
      </w:r>
      <w:r w:rsidRPr="00D2217B">
        <w:rPr>
          <w:lang w:eastAsia="fr-FR" w:bidi="fr-FR"/>
        </w:rPr>
        <w:t>de, tandis que la politique commerciale avec le Canada est fortement influencée par les États fro</w:t>
      </w:r>
      <w:r w:rsidRPr="00D2217B">
        <w:rPr>
          <w:lang w:eastAsia="fr-FR" w:bidi="fr-FR"/>
        </w:rPr>
        <w:t>n</w:t>
      </w:r>
      <w:r w:rsidRPr="00D2217B">
        <w:rPr>
          <w:lang w:eastAsia="fr-FR" w:bidi="fr-FR"/>
        </w:rPr>
        <w:t>taliers, au Nord.</w:t>
      </w:r>
    </w:p>
    <w:p w14:paraId="4D24C970" w14:textId="77777777" w:rsidR="0039793A" w:rsidRPr="00D2217B" w:rsidRDefault="0039793A" w:rsidP="0039793A">
      <w:pPr>
        <w:spacing w:before="120" w:after="120"/>
        <w:jc w:val="both"/>
      </w:pPr>
      <w:r w:rsidRPr="00D2217B">
        <w:rPr>
          <w:lang w:eastAsia="fr-FR" w:bidi="fr-FR"/>
        </w:rPr>
        <w:t>D’autre part, tout ce qui n’est pas attribué expressément au go</w:t>
      </w:r>
      <w:r w:rsidRPr="00D2217B">
        <w:rPr>
          <w:lang w:eastAsia="fr-FR" w:bidi="fr-FR"/>
        </w:rPr>
        <w:t>u</w:t>
      </w:r>
      <w:r w:rsidRPr="00D2217B">
        <w:rPr>
          <w:lang w:eastAsia="fr-FR" w:bidi="fr-FR"/>
        </w:rPr>
        <w:t>vernement fédéral relève de la compétence des États. Or, la section 10 de l’article I du texte constitutionnel établit clairement que seul l’État fédéral pourra conclure des traités, former des alliances ou des conf</w:t>
      </w:r>
      <w:r w:rsidRPr="00D2217B">
        <w:rPr>
          <w:lang w:eastAsia="fr-FR" w:bidi="fr-FR"/>
        </w:rPr>
        <w:t>é</w:t>
      </w:r>
      <w:r w:rsidRPr="00D2217B">
        <w:rPr>
          <w:lang w:eastAsia="fr-FR" w:bidi="fr-FR"/>
        </w:rPr>
        <w:t>dérations</w:t>
      </w:r>
      <w:r>
        <w:rPr>
          <w:lang w:eastAsia="fr-FR" w:bidi="fr-FR"/>
        </w:rPr>
        <w:t>. De cette disposition, le cons</w:t>
      </w:r>
      <w:r w:rsidRPr="00D2217B">
        <w:rPr>
          <w:lang w:eastAsia="fr-FR" w:bidi="fr-FR"/>
        </w:rPr>
        <w:t>titutionnaliste</w:t>
      </w:r>
      <w:r>
        <w:t xml:space="preserve"> [21]</w:t>
      </w:r>
      <w:r w:rsidRPr="00D2217B">
        <w:rPr>
          <w:lang w:eastAsia="fr-FR" w:bidi="fr-FR"/>
        </w:rPr>
        <w:t xml:space="preserve"> Bernard Schwartz en déduisait que le fédéralisme américain - et les affront</w:t>
      </w:r>
      <w:r w:rsidRPr="00D2217B">
        <w:rPr>
          <w:lang w:eastAsia="fr-FR" w:bidi="fr-FR"/>
        </w:rPr>
        <w:t>e</w:t>
      </w:r>
      <w:r w:rsidRPr="00D2217B">
        <w:rPr>
          <w:lang w:eastAsia="fr-FR" w:bidi="fr-FR"/>
        </w:rPr>
        <w:t xml:space="preserve">ments qui en résultent - </w:t>
      </w:r>
      <w:r w:rsidRPr="00D2217B">
        <w:t>« </w:t>
      </w:r>
      <w:r w:rsidRPr="00D2217B">
        <w:rPr>
          <w:lang w:eastAsia="fr-FR" w:bidi="fr-FR"/>
        </w:rPr>
        <w:t>s’arrête sur nos côtes. Dans les affaires i</w:t>
      </w:r>
      <w:r w:rsidRPr="00D2217B">
        <w:rPr>
          <w:lang w:eastAsia="fr-FR" w:bidi="fr-FR"/>
        </w:rPr>
        <w:t>n</w:t>
      </w:r>
      <w:r w:rsidRPr="00D2217B">
        <w:rPr>
          <w:lang w:eastAsia="fr-FR" w:bidi="fr-FR"/>
        </w:rPr>
        <w:t>ternationales, il n’y a plus d’</w:t>
      </w:r>
      <w:r>
        <w:rPr>
          <w:lang w:eastAsia="fr-FR" w:bidi="fr-FR"/>
        </w:rPr>
        <w:t>État</w:t>
      </w:r>
      <w:r w:rsidRPr="00D2217B">
        <w:rPr>
          <w:lang w:eastAsia="fr-FR" w:bidi="fr-FR"/>
        </w:rPr>
        <w:t>s</w:t>
      </w:r>
      <w:r w:rsidRPr="00D2217B">
        <w:t> ;</w:t>
      </w:r>
      <w:r w:rsidRPr="00D2217B">
        <w:rPr>
          <w:lang w:eastAsia="fr-FR" w:bidi="fr-FR"/>
        </w:rPr>
        <w:t xml:space="preserve"> il n’y subsiste qu’une seule n</w:t>
      </w:r>
      <w:r w:rsidRPr="00D2217B">
        <w:rPr>
          <w:lang w:eastAsia="fr-FR" w:bidi="fr-FR"/>
        </w:rPr>
        <w:t>a</w:t>
      </w:r>
      <w:r w:rsidRPr="00D2217B">
        <w:rPr>
          <w:lang w:eastAsia="fr-FR" w:bidi="fr-FR"/>
        </w:rPr>
        <w:t>tion</w:t>
      </w:r>
      <w:r>
        <w:rPr>
          <w:lang w:eastAsia="fr-FR" w:bidi="fr-FR"/>
        </w:rPr>
        <w:t> </w:t>
      </w:r>
      <w:r>
        <w:rPr>
          <w:rStyle w:val="Appelnotedebasdep"/>
          <w:lang w:eastAsia="fr-FR" w:bidi="fr-FR"/>
        </w:rPr>
        <w:footnoteReference w:id="24"/>
      </w:r>
      <w:r w:rsidRPr="00D2217B">
        <w:t> »</w:t>
      </w:r>
      <w:r w:rsidRPr="00D2217B">
        <w:rPr>
          <w:lang w:eastAsia="fr-FR" w:bidi="fr-FR"/>
        </w:rPr>
        <w:t>. Dans la pratique cependant, en raison des incidences intern</w:t>
      </w:r>
      <w:r w:rsidRPr="00D2217B">
        <w:rPr>
          <w:lang w:eastAsia="fr-FR" w:bidi="fr-FR"/>
        </w:rPr>
        <w:t>a</w:t>
      </w:r>
      <w:r w:rsidRPr="00D2217B">
        <w:rPr>
          <w:lang w:eastAsia="fr-FR" w:bidi="fr-FR"/>
        </w:rPr>
        <w:t>tionales croissantes de certains éléments de politique intérieure (il s’agit le plus souvent de jumelages ou de mi</w:t>
      </w:r>
      <w:r w:rsidRPr="00D2217B">
        <w:rPr>
          <w:lang w:eastAsia="fr-FR" w:bidi="fr-FR"/>
        </w:rPr>
        <w:t>s</w:t>
      </w:r>
      <w:r w:rsidRPr="00D2217B">
        <w:rPr>
          <w:lang w:eastAsia="fr-FR" w:bidi="fr-FR"/>
        </w:rPr>
        <w:t>sions commerciales, et parfois de prises de position politiques à l’égard des entreprises inte</w:t>
      </w:r>
      <w:r w:rsidRPr="00D2217B">
        <w:rPr>
          <w:lang w:eastAsia="fr-FR" w:bidi="fr-FR"/>
        </w:rPr>
        <w:t>r</w:t>
      </w:r>
      <w:r w:rsidRPr="00D2217B">
        <w:rPr>
          <w:lang w:eastAsia="fr-FR" w:bidi="fr-FR"/>
        </w:rPr>
        <w:t>venant sur leur territoire</w:t>
      </w:r>
      <w:r>
        <w:rPr>
          <w:lang w:eastAsia="fr-FR" w:bidi="fr-FR"/>
        </w:rPr>
        <w:t> </w:t>
      </w:r>
      <w:r>
        <w:rPr>
          <w:rStyle w:val="Appelnotedebasdep"/>
          <w:lang w:eastAsia="fr-FR" w:bidi="fr-FR"/>
        </w:rPr>
        <w:footnoteReference w:id="25"/>
      </w:r>
      <w:r w:rsidRPr="00D2217B">
        <w:rPr>
          <w:lang w:eastAsia="fr-FR" w:bidi="fr-FR"/>
        </w:rPr>
        <w:t>), des questions touchant à la politique i</w:t>
      </w:r>
      <w:r w:rsidRPr="00D2217B">
        <w:rPr>
          <w:lang w:eastAsia="fr-FR" w:bidi="fr-FR"/>
        </w:rPr>
        <w:t>n</w:t>
      </w:r>
      <w:r w:rsidRPr="00D2217B">
        <w:rPr>
          <w:lang w:eastAsia="fr-FR" w:bidi="fr-FR"/>
        </w:rPr>
        <w:t>ternationale</w:t>
      </w:r>
      <w:r>
        <w:rPr>
          <w:lang w:eastAsia="fr-FR" w:bidi="fr-FR"/>
        </w:rPr>
        <w:t> </w:t>
      </w:r>
      <w:r>
        <w:rPr>
          <w:rStyle w:val="Appelnotedebasdep"/>
          <w:lang w:eastAsia="fr-FR" w:bidi="fr-FR"/>
        </w:rPr>
        <w:footnoteReference w:id="26"/>
      </w:r>
      <w:r w:rsidRPr="00D2217B">
        <w:rPr>
          <w:lang w:eastAsia="fr-FR" w:bidi="fr-FR"/>
        </w:rPr>
        <w:t xml:space="preserve"> et à l’étendue des po</w:t>
      </w:r>
      <w:r w:rsidRPr="00D2217B">
        <w:rPr>
          <w:lang w:eastAsia="fr-FR" w:bidi="fr-FR"/>
        </w:rPr>
        <w:t>u</w:t>
      </w:r>
      <w:r w:rsidRPr="00D2217B">
        <w:rPr>
          <w:lang w:eastAsia="fr-FR" w:bidi="fr-FR"/>
        </w:rPr>
        <w:t xml:space="preserve">voirs des </w:t>
      </w:r>
      <w:r>
        <w:rPr>
          <w:lang w:eastAsia="fr-FR" w:bidi="fr-FR"/>
        </w:rPr>
        <w:t>État</w:t>
      </w:r>
      <w:r w:rsidRPr="00D2217B">
        <w:rPr>
          <w:lang w:eastAsia="fr-FR" w:bidi="fr-FR"/>
        </w:rPr>
        <w:t>s font parfois l’objet de désaccords</w:t>
      </w:r>
      <w:r>
        <w:rPr>
          <w:lang w:eastAsia="fr-FR" w:bidi="fr-FR"/>
        </w:rPr>
        <w:t> </w:t>
      </w:r>
      <w:r>
        <w:rPr>
          <w:rStyle w:val="Appelnotedebasdep"/>
          <w:lang w:eastAsia="fr-FR" w:bidi="fr-FR"/>
        </w:rPr>
        <w:footnoteReference w:id="27"/>
      </w:r>
      <w:r w:rsidRPr="00D2217B">
        <w:t>.</w:t>
      </w:r>
    </w:p>
    <w:p w14:paraId="1750A07C" w14:textId="77777777" w:rsidR="0039793A" w:rsidRDefault="0039793A" w:rsidP="0039793A">
      <w:pPr>
        <w:spacing w:before="120" w:after="120"/>
        <w:jc w:val="both"/>
        <w:rPr>
          <w:lang w:eastAsia="fr-FR" w:bidi="fr-FR"/>
        </w:rPr>
      </w:pPr>
    </w:p>
    <w:p w14:paraId="0B2983E0" w14:textId="77777777" w:rsidR="0039793A" w:rsidRPr="0098456F" w:rsidRDefault="0039793A" w:rsidP="0039793A">
      <w:pPr>
        <w:pStyle w:val="b"/>
      </w:pPr>
      <w:r w:rsidRPr="0098456F">
        <w:rPr>
          <w:lang w:eastAsia="fr-FR" w:bidi="fr-FR"/>
        </w:rPr>
        <w:t>La mise en place d'une séparation des pouvoirs</w:t>
      </w:r>
    </w:p>
    <w:p w14:paraId="52B4DF26" w14:textId="77777777" w:rsidR="0039793A" w:rsidRDefault="0039793A" w:rsidP="0039793A">
      <w:pPr>
        <w:spacing w:before="120" w:after="120"/>
        <w:jc w:val="both"/>
        <w:rPr>
          <w:lang w:eastAsia="fr-FR" w:bidi="fr-FR"/>
        </w:rPr>
      </w:pPr>
    </w:p>
    <w:p w14:paraId="7FE1862C" w14:textId="77777777" w:rsidR="0039793A" w:rsidRPr="00D2217B" w:rsidRDefault="0039793A" w:rsidP="0039793A">
      <w:pPr>
        <w:spacing w:before="120" w:after="120"/>
        <w:jc w:val="both"/>
      </w:pPr>
      <w:r w:rsidRPr="00D2217B">
        <w:rPr>
          <w:lang w:eastAsia="fr-FR" w:bidi="fr-FR"/>
        </w:rPr>
        <w:t xml:space="preserve">Le second compromis est celui qui confère un caractère tout à fait particulier et original à la politique étrangère des </w:t>
      </w:r>
      <w:r>
        <w:rPr>
          <w:lang w:eastAsia="fr-FR" w:bidi="fr-FR"/>
        </w:rPr>
        <w:t>État</w:t>
      </w:r>
      <w:r w:rsidRPr="00D2217B">
        <w:rPr>
          <w:lang w:eastAsia="fr-FR" w:bidi="fr-FR"/>
        </w:rPr>
        <w:t>s-Unis. Il consi</w:t>
      </w:r>
      <w:r w:rsidRPr="00D2217B">
        <w:rPr>
          <w:lang w:eastAsia="fr-FR" w:bidi="fr-FR"/>
        </w:rPr>
        <w:t>s</w:t>
      </w:r>
      <w:r w:rsidRPr="00D2217B">
        <w:rPr>
          <w:lang w:eastAsia="fr-FR" w:bidi="fr-FR"/>
        </w:rPr>
        <w:t>te en la mise sur pied d’un pouvoir exécutif auquel fera contr</w:t>
      </w:r>
      <w:r w:rsidRPr="00D2217B">
        <w:rPr>
          <w:lang w:eastAsia="fr-FR" w:bidi="fr-FR"/>
        </w:rPr>
        <w:t>e</w:t>
      </w:r>
      <w:r w:rsidRPr="00D2217B">
        <w:rPr>
          <w:lang w:eastAsia="fr-FR" w:bidi="fr-FR"/>
        </w:rPr>
        <w:t>poids, consentement des gouvernés oblige, le pouvoir primordial du Congrès.</w:t>
      </w:r>
    </w:p>
    <w:p w14:paraId="09E5503B" w14:textId="77777777" w:rsidR="0039793A" w:rsidRPr="00D2217B" w:rsidRDefault="0039793A" w:rsidP="0039793A">
      <w:pPr>
        <w:spacing w:before="120" w:after="120"/>
        <w:jc w:val="both"/>
      </w:pPr>
      <w:r w:rsidRPr="00D2217B">
        <w:rPr>
          <w:lang w:eastAsia="fr-FR" w:bidi="fr-FR"/>
        </w:rPr>
        <w:t>Conformément à la philosophie que Monte</w:t>
      </w:r>
      <w:r w:rsidRPr="00D2217B">
        <w:rPr>
          <w:lang w:eastAsia="fr-FR" w:bidi="fr-FR"/>
        </w:rPr>
        <w:t>s</w:t>
      </w:r>
      <w:r w:rsidRPr="00D2217B">
        <w:rPr>
          <w:lang w:eastAsia="fr-FR" w:bidi="fr-FR"/>
        </w:rPr>
        <w:t xml:space="preserve">quieu a développée dans </w:t>
      </w:r>
      <w:r w:rsidRPr="00642FA3">
        <w:rPr>
          <w:i/>
        </w:rPr>
        <w:t>L’Esprit des lois</w:t>
      </w:r>
      <w:r w:rsidRPr="00D2217B">
        <w:rPr>
          <w:lang w:eastAsia="fr-FR" w:bidi="fr-FR"/>
        </w:rPr>
        <w:t>, les con</w:t>
      </w:r>
      <w:r w:rsidRPr="00D2217B">
        <w:rPr>
          <w:lang w:eastAsia="fr-FR" w:bidi="fr-FR"/>
        </w:rPr>
        <w:t>s</w:t>
      </w:r>
      <w:r w:rsidRPr="00D2217B">
        <w:rPr>
          <w:lang w:eastAsia="fr-FR" w:bidi="fr-FR"/>
        </w:rPr>
        <w:t>tituants ont cherché, en distinguant les pouvoirs et les compétences, à prévenir la tyrannie</w:t>
      </w:r>
      <w:r>
        <w:rPr>
          <w:lang w:eastAsia="fr-FR" w:bidi="fr-FR"/>
        </w:rPr>
        <w:t> </w:t>
      </w:r>
      <w:r>
        <w:rPr>
          <w:rStyle w:val="Appelnotedebasdep"/>
          <w:lang w:eastAsia="fr-FR" w:bidi="fr-FR"/>
        </w:rPr>
        <w:footnoteReference w:id="28"/>
      </w:r>
      <w:r w:rsidRPr="00D2217B">
        <w:rPr>
          <w:lang w:eastAsia="fr-FR" w:bidi="fr-FR"/>
        </w:rPr>
        <w:t>. Madison rés</w:t>
      </w:r>
      <w:r w:rsidRPr="00D2217B">
        <w:rPr>
          <w:lang w:eastAsia="fr-FR" w:bidi="fr-FR"/>
        </w:rPr>
        <w:t>u</w:t>
      </w:r>
      <w:r w:rsidRPr="00D2217B">
        <w:rPr>
          <w:lang w:eastAsia="fr-FR" w:bidi="fr-FR"/>
        </w:rPr>
        <w:t>me bien la pensée des Fondateurs en ces termes</w:t>
      </w:r>
      <w:r w:rsidRPr="00D2217B">
        <w:t> :</w:t>
      </w:r>
      <w:r w:rsidRPr="00D2217B">
        <w:rPr>
          <w:lang w:eastAsia="fr-FR" w:bidi="fr-FR"/>
        </w:rPr>
        <w:t xml:space="preserve"> </w:t>
      </w:r>
      <w:r w:rsidRPr="00D2217B">
        <w:t>« </w:t>
      </w:r>
      <w:r w:rsidRPr="00D2217B">
        <w:rPr>
          <w:lang w:eastAsia="fr-FR" w:bidi="fr-FR"/>
        </w:rPr>
        <w:t>Le maintien de la liberté exige la séparation des trois grands départements du po</w:t>
      </w:r>
      <w:r w:rsidRPr="00D2217B">
        <w:rPr>
          <w:lang w:eastAsia="fr-FR" w:bidi="fr-FR"/>
        </w:rPr>
        <w:t>u</w:t>
      </w:r>
      <w:r w:rsidRPr="00D2217B">
        <w:rPr>
          <w:lang w:eastAsia="fr-FR" w:bidi="fr-FR"/>
        </w:rPr>
        <w:t>voir</w:t>
      </w:r>
      <w:r>
        <w:rPr>
          <w:lang w:eastAsia="fr-FR" w:bidi="fr-FR"/>
        </w:rPr>
        <w:t> </w:t>
      </w:r>
      <w:r>
        <w:rPr>
          <w:rStyle w:val="Appelnotedebasdep"/>
          <w:lang w:eastAsia="fr-FR" w:bidi="fr-FR"/>
        </w:rPr>
        <w:footnoteReference w:id="29"/>
      </w:r>
      <w:r w:rsidRPr="00D2217B">
        <w:rPr>
          <w:lang w:eastAsia="fr-FR" w:bidi="fr-FR"/>
        </w:rPr>
        <w:t>.</w:t>
      </w:r>
      <w:r w:rsidRPr="00D2217B">
        <w:t> »</w:t>
      </w:r>
      <w:r w:rsidRPr="00D2217B">
        <w:rPr>
          <w:lang w:eastAsia="fr-FR" w:bidi="fr-FR"/>
        </w:rPr>
        <w:t xml:space="preserve"> D’ailleurs, des sept articles que comporte la Con</w:t>
      </w:r>
      <w:r w:rsidRPr="00D2217B">
        <w:rPr>
          <w:lang w:eastAsia="fr-FR" w:bidi="fr-FR"/>
        </w:rPr>
        <w:t>s</w:t>
      </w:r>
      <w:r w:rsidRPr="00D2217B">
        <w:rPr>
          <w:lang w:eastAsia="fr-FR" w:bidi="fr-FR"/>
        </w:rPr>
        <w:t>titution, les trois premiers sont de loin les plus longs et les plus importants</w:t>
      </w:r>
      <w:r w:rsidRPr="00D2217B">
        <w:t> :</w:t>
      </w:r>
      <w:r w:rsidRPr="00D2217B">
        <w:rPr>
          <w:lang w:eastAsia="fr-FR" w:bidi="fr-FR"/>
        </w:rPr>
        <w:t xml:space="preserve"> ils traitent, dans l’ordre, des</w:t>
      </w:r>
      <w:r>
        <w:t xml:space="preserve"> [22] </w:t>
      </w:r>
      <w:r w:rsidRPr="00D2217B">
        <w:rPr>
          <w:lang w:eastAsia="fr-FR" w:bidi="fr-FR"/>
        </w:rPr>
        <w:t>pouvoirs législatif, exécutif et judicia</w:t>
      </w:r>
      <w:r w:rsidRPr="00D2217B">
        <w:rPr>
          <w:lang w:eastAsia="fr-FR" w:bidi="fr-FR"/>
        </w:rPr>
        <w:t>i</w:t>
      </w:r>
      <w:r w:rsidRPr="00D2217B">
        <w:rPr>
          <w:lang w:eastAsia="fr-FR" w:bidi="fr-FR"/>
        </w:rPr>
        <w:t>re. Le premier d’entre eux établit donc les pouvoirs du Congrès. Il faut y voir là le poids de l’Histoire car, aux yeux des Pères fondateurs, le pouvoir fédéral est d’abord celui du Congrès avant d’être celui du pr</w:t>
      </w:r>
      <w:r w:rsidRPr="00D2217B">
        <w:rPr>
          <w:lang w:eastAsia="fr-FR" w:bidi="fr-FR"/>
        </w:rPr>
        <w:t>é</w:t>
      </w:r>
      <w:r w:rsidRPr="00D2217B">
        <w:rPr>
          <w:lang w:eastAsia="fr-FR" w:bidi="fr-FR"/>
        </w:rPr>
        <w:t>sident. C’est là sans doute un ordre qu’on inverse volontiers a</w:t>
      </w:r>
      <w:r w:rsidRPr="00D2217B">
        <w:rPr>
          <w:lang w:eastAsia="fr-FR" w:bidi="fr-FR"/>
        </w:rPr>
        <w:t>u</w:t>
      </w:r>
      <w:r w:rsidRPr="00D2217B">
        <w:rPr>
          <w:lang w:eastAsia="fr-FR" w:bidi="fr-FR"/>
        </w:rPr>
        <w:t>jourd’hui. Le pouvoir du Congrès n’en demeure pas moins fondame</w:t>
      </w:r>
      <w:r w:rsidRPr="00D2217B">
        <w:rPr>
          <w:lang w:eastAsia="fr-FR" w:bidi="fr-FR"/>
        </w:rPr>
        <w:t>n</w:t>
      </w:r>
      <w:r w:rsidRPr="00D2217B">
        <w:rPr>
          <w:lang w:eastAsia="fr-FR" w:bidi="fr-FR"/>
        </w:rPr>
        <w:t>tal, en raison notamment de ses prérogatives de contrôle. En effet, les constituants ont établi une division horizontale du pouvoir entre le Législatif, l’Exécutif et le Judiciaire, en attribuant à chacun respect</w:t>
      </w:r>
      <w:r w:rsidRPr="00D2217B">
        <w:rPr>
          <w:lang w:eastAsia="fr-FR" w:bidi="fr-FR"/>
        </w:rPr>
        <w:t>i</w:t>
      </w:r>
      <w:r w:rsidRPr="00D2217B">
        <w:rPr>
          <w:lang w:eastAsia="fr-FR" w:bidi="fr-FR"/>
        </w:rPr>
        <w:t>vement le pouvoir de légif</w:t>
      </w:r>
      <w:r w:rsidRPr="00D2217B">
        <w:rPr>
          <w:lang w:eastAsia="fr-FR" w:bidi="fr-FR"/>
        </w:rPr>
        <w:t>é</w:t>
      </w:r>
      <w:r w:rsidRPr="00D2217B">
        <w:rPr>
          <w:lang w:eastAsia="fr-FR" w:bidi="fr-FR"/>
        </w:rPr>
        <w:t>rer, d’exécuter ou d’interpréter l’application de la loi.</w:t>
      </w:r>
    </w:p>
    <w:p w14:paraId="3D439FDB" w14:textId="77777777" w:rsidR="0039793A" w:rsidRPr="00D2217B" w:rsidRDefault="0039793A" w:rsidP="0039793A">
      <w:pPr>
        <w:spacing w:before="120" w:after="120"/>
        <w:jc w:val="both"/>
      </w:pPr>
      <w:r w:rsidRPr="00D2217B">
        <w:rPr>
          <w:lang w:eastAsia="fr-FR" w:bidi="fr-FR"/>
        </w:rPr>
        <w:t>La Constitution met en place une structure bicamérale, gage de s</w:t>
      </w:r>
      <w:r w:rsidRPr="00D2217B">
        <w:rPr>
          <w:lang w:eastAsia="fr-FR" w:bidi="fr-FR"/>
        </w:rPr>
        <w:t>a</w:t>
      </w:r>
      <w:r w:rsidRPr="00D2217B">
        <w:rPr>
          <w:lang w:eastAsia="fr-FR" w:bidi="fr-FR"/>
        </w:rPr>
        <w:t>gesse</w:t>
      </w:r>
      <w:r w:rsidRPr="00D2217B">
        <w:t> :</w:t>
      </w:r>
      <w:r w:rsidRPr="00D2217B">
        <w:rPr>
          <w:lang w:eastAsia="fr-FR" w:bidi="fr-FR"/>
        </w:rPr>
        <w:t xml:space="preserve"> le Congrès comprend donc d’une part le Sénat, dont les me</w:t>
      </w:r>
      <w:r w:rsidRPr="00D2217B">
        <w:rPr>
          <w:lang w:eastAsia="fr-FR" w:bidi="fr-FR"/>
        </w:rPr>
        <w:t>m</w:t>
      </w:r>
      <w:r w:rsidRPr="00D2217B">
        <w:rPr>
          <w:lang w:eastAsia="fr-FR" w:bidi="fr-FR"/>
        </w:rPr>
        <w:t xml:space="preserve">bres sont désignés pour six ans par les assemblées des </w:t>
      </w:r>
      <w:r>
        <w:rPr>
          <w:lang w:eastAsia="fr-FR" w:bidi="fr-FR"/>
        </w:rPr>
        <w:t>État</w:t>
      </w:r>
      <w:r w:rsidRPr="00D2217B">
        <w:rPr>
          <w:lang w:eastAsia="fr-FR" w:bidi="fr-FR"/>
        </w:rPr>
        <w:t>s (il faudra attendre le 17</w:t>
      </w:r>
      <w:r w:rsidRPr="00D2217B">
        <w:rPr>
          <w:vertAlign w:val="superscript"/>
          <w:lang w:eastAsia="fr-FR" w:bidi="fr-FR"/>
        </w:rPr>
        <w:t>e</w:t>
      </w:r>
      <w:r w:rsidRPr="00D2217B">
        <w:rPr>
          <w:lang w:eastAsia="fr-FR" w:bidi="fr-FR"/>
        </w:rPr>
        <w:t xml:space="preserve"> amendement de 1913 pour que leur soit appliqué le su</w:t>
      </w:r>
      <w:r w:rsidRPr="00D2217B">
        <w:rPr>
          <w:lang w:eastAsia="fr-FR" w:bidi="fr-FR"/>
        </w:rPr>
        <w:t>f</w:t>
      </w:r>
      <w:r w:rsidRPr="00D2217B">
        <w:rPr>
          <w:lang w:eastAsia="fr-FR" w:bidi="fr-FR"/>
        </w:rPr>
        <w:t>frage universel direct) et d’autre part la Chambre des représentants, dont les membres sont élus tous les deux ans au suffr</w:t>
      </w:r>
      <w:r w:rsidRPr="00D2217B">
        <w:rPr>
          <w:lang w:eastAsia="fr-FR" w:bidi="fr-FR"/>
        </w:rPr>
        <w:t>a</w:t>
      </w:r>
      <w:r w:rsidRPr="00D2217B">
        <w:rPr>
          <w:lang w:eastAsia="fr-FR" w:bidi="fr-FR"/>
        </w:rPr>
        <w:t xml:space="preserve">ge universel direct. Il y a deux sénateurs par </w:t>
      </w:r>
      <w:r>
        <w:rPr>
          <w:lang w:eastAsia="fr-FR" w:bidi="fr-FR"/>
        </w:rPr>
        <w:t>État</w:t>
      </w:r>
      <w:r w:rsidRPr="00D2217B">
        <w:rPr>
          <w:lang w:eastAsia="fr-FR" w:bidi="fr-FR"/>
        </w:rPr>
        <w:t xml:space="preserve"> fédéré, tandis que le nombre de représentants est fonction de la population de chaque État. C’est au Congrès qu’il appartient de légiférer.</w:t>
      </w:r>
    </w:p>
    <w:p w14:paraId="665865C7" w14:textId="77777777" w:rsidR="0039793A" w:rsidRPr="00D2217B" w:rsidRDefault="0039793A" w:rsidP="0039793A">
      <w:pPr>
        <w:spacing w:before="120" w:after="120"/>
        <w:jc w:val="both"/>
      </w:pPr>
      <w:r w:rsidRPr="00D2217B">
        <w:rPr>
          <w:lang w:eastAsia="fr-FR" w:bidi="fr-FR"/>
        </w:rPr>
        <w:t>Le pouvoir exécutif revient au président qui cumule les fonctions de chef d’</w:t>
      </w:r>
      <w:r>
        <w:rPr>
          <w:lang w:eastAsia="fr-FR" w:bidi="fr-FR"/>
        </w:rPr>
        <w:t>État</w:t>
      </w:r>
      <w:r w:rsidRPr="00D2217B">
        <w:rPr>
          <w:lang w:eastAsia="fr-FR" w:bidi="fr-FR"/>
        </w:rPr>
        <w:t xml:space="preserve"> et de chef de gouvernement. Il est à la tête d’une adm</w:t>
      </w:r>
      <w:r w:rsidRPr="00D2217B">
        <w:rPr>
          <w:lang w:eastAsia="fr-FR" w:bidi="fr-FR"/>
        </w:rPr>
        <w:t>i</w:t>
      </w:r>
      <w:r w:rsidRPr="00D2217B">
        <w:rPr>
          <w:lang w:eastAsia="fr-FR" w:bidi="fr-FR"/>
        </w:rPr>
        <w:t xml:space="preserve">nistration dont une grande partie des postes, surtout dans la haute fonction publique, est attribuée en vertu du </w:t>
      </w:r>
      <w:r w:rsidRPr="00500FCF">
        <w:rPr>
          <w:i/>
          <w:iCs/>
        </w:rPr>
        <w:t>Spoils System</w:t>
      </w:r>
      <w:r w:rsidRPr="00D2217B">
        <w:t>.</w:t>
      </w:r>
      <w:r w:rsidRPr="00D2217B">
        <w:rPr>
          <w:lang w:eastAsia="fr-FR" w:bidi="fr-FR"/>
        </w:rPr>
        <w:t xml:space="preserve"> Des centa</w:t>
      </w:r>
      <w:r w:rsidRPr="00D2217B">
        <w:rPr>
          <w:lang w:eastAsia="fr-FR" w:bidi="fr-FR"/>
        </w:rPr>
        <w:t>i</w:t>
      </w:r>
      <w:r w:rsidRPr="00D2217B">
        <w:rPr>
          <w:lang w:eastAsia="fr-FR" w:bidi="fr-FR"/>
        </w:rPr>
        <w:t>nes de fonctionnaires arrivent donc et repartent avec le président. Il est élu, pour quatre ans, au suffrage universel indirect, par un collège de grands électeurs. Il est en princ</w:t>
      </w:r>
      <w:r w:rsidRPr="00D2217B">
        <w:rPr>
          <w:lang w:eastAsia="fr-FR" w:bidi="fr-FR"/>
        </w:rPr>
        <w:t>i</w:t>
      </w:r>
      <w:r w:rsidRPr="00D2217B">
        <w:rPr>
          <w:lang w:eastAsia="fr-FR" w:bidi="fr-FR"/>
        </w:rPr>
        <w:t>pe chargé de l’exécution des lois.</w:t>
      </w:r>
    </w:p>
    <w:p w14:paraId="68457F99" w14:textId="77777777" w:rsidR="0039793A" w:rsidRPr="00D2217B" w:rsidRDefault="0039793A" w:rsidP="0039793A">
      <w:pPr>
        <w:spacing w:before="120" w:after="120"/>
        <w:jc w:val="both"/>
      </w:pPr>
      <w:r w:rsidRPr="00D2217B">
        <w:rPr>
          <w:lang w:eastAsia="fr-FR" w:bidi="fr-FR"/>
        </w:rPr>
        <w:t>La Constitution met en place un système jur</w:t>
      </w:r>
      <w:r w:rsidRPr="00D2217B">
        <w:rPr>
          <w:lang w:eastAsia="fr-FR" w:bidi="fr-FR"/>
        </w:rPr>
        <w:t>i</w:t>
      </w:r>
      <w:r w:rsidRPr="00D2217B">
        <w:rPr>
          <w:lang w:eastAsia="fr-FR" w:bidi="fr-FR"/>
        </w:rPr>
        <w:t>dictionnel fédéral qui vient se superposer en quelque sorte aux appareils juridictionnels f</w:t>
      </w:r>
      <w:r w:rsidRPr="00D2217B">
        <w:rPr>
          <w:lang w:eastAsia="fr-FR" w:bidi="fr-FR"/>
        </w:rPr>
        <w:t>é</w:t>
      </w:r>
      <w:r w:rsidRPr="00D2217B">
        <w:rPr>
          <w:lang w:eastAsia="fr-FR" w:bidi="fr-FR"/>
        </w:rPr>
        <w:t>dérés. La Cour suprême est au sommet de ces deux systèmes. Comp</w:t>
      </w:r>
      <w:r w:rsidRPr="00D2217B">
        <w:rPr>
          <w:lang w:eastAsia="fr-FR" w:bidi="fr-FR"/>
        </w:rPr>
        <w:t>o</w:t>
      </w:r>
      <w:r w:rsidRPr="00D2217B">
        <w:rPr>
          <w:lang w:eastAsia="fr-FR" w:bidi="fr-FR"/>
        </w:rPr>
        <w:t>sée de neuf membres nommés à vie, elle a su faire preuve d’une gra</w:t>
      </w:r>
      <w:r w:rsidRPr="00D2217B">
        <w:rPr>
          <w:lang w:eastAsia="fr-FR" w:bidi="fr-FR"/>
        </w:rPr>
        <w:t>n</w:t>
      </w:r>
      <w:r w:rsidRPr="00D2217B">
        <w:rPr>
          <w:lang w:eastAsia="fr-FR" w:bidi="fr-FR"/>
        </w:rPr>
        <w:t>de indépendance, orientant la politique fédérale dans un sens ou dans un autre selon que sa composition faisait d’elle une institution plus libérale ou au contraire plus conservatrice</w:t>
      </w:r>
      <w:r>
        <w:rPr>
          <w:lang w:eastAsia="fr-FR" w:bidi="fr-FR"/>
        </w:rPr>
        <w:t> </w:t>
      </w:r>
      <w:r>
        <w:rPr>
          <w:rStyle w:val="Appelnotedebasdep"/>
          <w:lang w:eastAsia="fr-FR" w:bidi="fr-FR"/>
        </w:rPr>
        <w:footnoteReference w:id="30"/>
      </w:r>
      <w:r w:rsidRPr="00D2217B">
        <w:rPr>
          <w:lang w:eastAsia="fr-FR" w:bidi="fr-FR"/>
        </w:rPr>
        <w:t>. Depuis l’arrêt Marbury contre Madison de 1803, il lui appartient de veiller à la constitutionn</w:t>
      </w:r>
      <w:r w:rsidRPr="00D2217B">
        <w:rPr>
          <w:lang w:eastAsia="fr-FR" w:bidi="fr-FR"/>
        </w:rPr>
        <w:t>a</w:t>
      </w:r>
      <w:r>
        <w:rPr>
          <w:lang w:eastAsia="fr-FR" w:bidi="fr-FR"/>
        </w:rPr>
        <w:t>lité des lois.</w:t>
      </w:r>
    </w:p>
    <w:p w14:paraId="4D3CF788" w14:textId="77777777" w:rsidR="0039793A" w:rsidRDefault="0039793A" w:rsidP="0039793A">
      <w:pPr>
        <w:spacing w:before="120" w:after="120"/>
        <w:jc w:val="both"/>
      </w:pPr>
      <w:r>
        <w:br w:type="page"/>
        <w:t>[23]</w:t>
      </w:r>
    </w:p>
    <w:p w14:paraId="36F10C46" w14:textId="77777777" w:rsidR="0039793A" w:rsidRDefault="0039793A" w:rsidP="0039793A">
      <w:pPr>
        <w:spacing w:before="120" w:after="120"/>
        <w:jc w:val="both"/>
      </w:pPr>
      <w:r>
        <w:t>À l'inverse d'un régime parlementaire (système de séparation so</w:t>
      </w:r>
      <w:r>
        <w:t>u</w:t>
      </w:r>
      <w:r>
        <w:t>ple des pouvoirs), le président ne peut pas dissoudre les deux cha</w:t>
      </w:r>
      <w:r>
        <w:t>m</w:t>
      </w:r>
      <w:r>
        <w:t>bres, qui elles-mêmes ne peuvent pas renverser le gouvernement. Il s'agit donc d'un système de séparation stricte des pouvoirs (régime dit présidentiel). Pour la rendre opérationnelle, cette séparation est asso</w:t>
      </w:r>
      <w:r>
        <w:t>r</w:t>
      </w:r>
      <w:r>
        <w:t>tie d'un système de poids et de contrepoids (</w:t>
      </w:r>
      <w:r w:rsidRPr="006039AE">
        <w:rPr>
          <w:i/>
        </w:rPr>
        <w:t>Checks and Balances</w:t>
      </w:r>
      <w:r>
        <w:t>) : il faut, conformément à la philosophie de Montesquieu que « le po</w:t>
      </w:r>
      <w:r>
        <w:t>u</w:t>
      </w:r>
      <w:r>
        <w:t>voir arrête le pouvoir ». Par des mécanismes de contrepoids, le po</w:t>
      </w:r>
      <w:r>
        <w:t>u</w:t>
      </w:r>
      <w:r>
        <w:t>voir législatif et le pouvoir exécutif s'empêchent mutuellement d'exercer toute forme de tyrannie.</w:t>
      </w:r>
    </w:p>
    <w:p w14:paraId="5870BA89" w14:textId="77777777" w:rsidR="0039793A" w:rsidRDefault="0039793A" w:rsidP="0039793A">
      <w:pPr>
        <w:spacing w:before="120" w:after="120"/>
        <w:jc w:val="both"/>
      </w:pPr>
    </w:p>
    <w:p w14:paraId="77B10331" w14:textId="77777777" w:rsidR="0039793A" w:rsidRPr="006039AE" w:rsidRDefault="0039793A" w:rsidP="0039793A">
      <w:pPr>
        <w:pStyle w:val="planche"/>
      </w:pPr>
      <w:bookmarkStart w:id="6" w:name="Pol_EU_pt_1_chap_01_2"/>
      <w:r w:rsidRPr="006039AE">
        <w:t>Les institutions constitutionnelles</w:t>
      </w:r>
      <w:r>
        <w:br/>
      </w:r>
      <w:r w:rsidRPr="006039AE">
        <w:t>de la politique étrangère</w:t>
      </w:r>
    </w:p>
    <w:bookmarkEnd w:id="6"/>
    <w:p w14:paraId="5CD45E71" w14:textId="77777777" w:rsidR="0039793A" w:rsidRDefault="0039793A" w:rsidP="0039793A">
      <w:pPr>
        <w:spacing w:before="120" w:after="120"/>
        <w:jc w:val="both"/>
      </w:pPr>
    </w:p>
    <w:p w14:paraId="5A3807C4"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28EC791" w14:textId="77777777" w:rsidR="0039793A" w:rsidRPr="00D2217B" w:rsidRDefault="0039793A" w:rsidP="0039793A">
      <w:pPr>
        <w:spacing w:before="120" w:after="120"/>
        <w:jc w:val="both"/>
      </w:pPr>
      <w:r>
        <w:t>En matière de politique étrangère, la répartition des pouvoirs prend un caractère particulier. Tandis qu'en ce qui a trait à la politique int</w:t>
      </w:r>
      <w:r>
        <w:t>é</w:t>
      </w:r>
      <w:r>
        <w:t>rieure, la Constitution établit un partage assez rigoureux et conforme à une répartition « naturelle</w:t>
      </w:r>
      <w:r>
        <w:rPr>
          <w:lang w:eastAsia="fr-FR" w:bidi="fr-FR"/>
        </w:rPr>
        <w:t> </w:t>
      </w:r>
      <w:r>
        <w:rPr>
          <w:rStyle w:val="Appelnotedebasdep"/>
          <w:lang w:eastAsia="fr-FR" w:bidi="fr-FR"/>
        </w:rPr>
        <w:footnoteReference w:id="31"/>
      </w:r>
      <w:r>
        <w:t> » des pouvoirs, en matière de politique étrangère, elle impose un mécanisme plus complexe, fondé sur la complémentarité du pouvoir exécutif et du pouvoir législatif. Elle les a ainsi invités à lutter pour pouvoir disposer « du privilège de diriger la politique étrangère</w:t>
      </w:r>
      <w:r>
        <w:rPr>
          <w:lang w:eastAsia="fr-FR" w:bidi="fr-FR"/>
        </w:rPr>
        <w:t> </w:t>
      </w:r>
      <w:r>
        <w:rPr>
          <w:rStyle w:val="Appelnotedebasdep"/>
          <w:lang w:eastAsia="fr-FR" w:bidi="fr-FR"/>
        </w:rPr>
        <w:footnoteReference w:id="32"/>
      </w:r>
      <w:r>
        <w:t xml:space="preserve"> ». Dans ce qui s'avère un partenariat obligé, c'est cependant au Congrès que le texte constitutionnel confère en principe le rôle prépondérant</w:t>
      </w:r>
      <w:r>
        <w:rPr>
          <w:lang w:eastAsia="fr-FR" w:bidi="fr-FR"/>
        </w:rPr>
        <w:t> </w:t>
      </w:r>
      <w:r>
        <w:rPr>
          <w:rStyle w:val="Appelnotedebasdep"/>
          <w:lang w:eastAsia="fr-FR" w:bidi="fr-FR"/>
        </w:rPr>
        <w:footnoteReference w:id="33"/>
      </w:r>
      <w:r>
        <w:t>. En effet, à l'inverse de la tradition d</w:t>
      </w:r>
      <w:r>
        <w:t>i</w:t>
      </w:r>
      <w:r>
        <w:t>plomatique européenne, la conception d'un gouvernement fondé sur le consentement des gouvernés conduit les constituants à accorder beaucoup de pouvoir aux législateurs dans la formulation de la polit</w:t>
      </w:r>
      <w:r>
        <w:t>i</w:t>
      </w:r>
      <w:r>
        <w:t>que extérieure : c'était là une innovation dont seule la France révolutio</w:t>
      </w:r>
      <w:r>
        <w:t>n</w:t>
      </w:r>
      <w:r>
        <w:t xml:space="preserve">naire a brièvement — [24] </w:t>
      </w:r>
      <w:r w:rsidRPr="00D2217B">
        <w:rPr>
          <w:lang w:eastAsia="fr-FR" w:bidi="fr-FR"/>
        </w:rPr>
        <w:t>entre 1792 et 1795 — fait l’expérience. Il faut noter cependant, avec Louis Henkin, que la mise en place de l’institution présidentielle correspond au besoin d’un Exécutif et aux insuffisances croissantes d’une diplomatie trop dispersée</w:t>
      </w:r>
      <w:r>
        <w:rPr>
          <w:lang w:eastAsia="fr-FR" w:bidi="fr-FR"/>
        </w:rPr>
        <w:t> </w:t>
      </w:r>
      <w:r>
        <w:rPr>
          <w:rStyle w:val="Appelnotedebasdep"/>
          <w:lang w:eastAsia="fr-FR" w:bidi="fr-FR"/>
        </w:rPr>
        <w:footnoteReference w:id="34"/>
      </w:r>
      <w:r>
        <w:rPr>
          <w:lang w:eastAsia="fr-FR" w:bidi="fr-FR"/>
        </w:rPr>
        <w:t>.</w:t>
      </w:r>
      <w:r w:rsidRPr="00D2217B">
        <w:rPr>
          <w:lang w:eastAsia="fr-FR" w:bidi="fr-FR"/>
        </w:rPr>
        <w:t xml:space="preserve"> En mati</w:t>
      </w:r>
      <w:r w:rsidRPr="00D2217B">
        <w:rPr>
          <w:lang w:eastAsia="fr-FR" w:bidi="fr-FR"/>
        </w:rPr>
        <w:t>è</w:t>
      </w:r>
      <w:r w:rsidRPr="00D2217B">
        <w:rPr>
          <w:lang w:eastAsia="fr-FR" w:bidi="fr-FR"/>
        </w:rPr>
        <w:t>re de politique étrangère, peu importe que certains pouvoirs aient une connotation plus exécut</w:t>
      </w:r>
      <w:r w:rsidRPr="00D2217B">
        <w:rPr>
          <w:lang w:eastAsia="fr-FR" w:bidi="fr-FR"/>
        </w:rPr>
        <w:t>i</w:t>
      </w:r>
      <w:r w:rsidRPr="00D2217B">
        <w:rPr>
          <w:lang w:eastAsia="fr-FR" w:bidi="fr-FR"/>
        </w:rPr>
        <w:t>ve ou plus législative. C’est indépendamment de cette perception qu’ils sont dévolus soit au président, soit au Congrès, soit encore, aux deux conjoint</w:t>
      </w:r>
      <w:r w:rsidRPr="00D2217B">
        <w:rPr>
          <w:lang w:eastAsia="fr-FR" w:bidi="fr-FR"/>
        </w:rPr>
        <w:t>e</w:t>
      </w:r>
      <w:r w:rsidRPr="00D2217B">
        <w:rPr>
          <w:lang w:eastAsia="fr-FR" w:bidi="fr-FR"/>
        </w:rPr>
        <w:t>ment.</w:t>
      </w:r>
    </w:p>
    <w:p w14:paraId="2A8AC597" w14:textId="77777777" w:rsidR="0039793A" w:rsidRPr="00D2217B" w:rsidRDefault="0039793A" w:rsidP="0039793A">
      <w:pPr>
        <w:spacing w:before="120" w:after="120"/>
        <w:jc w:val="both"/>
      </w:pPr>
      <w:r w:rsidRPr="00D2217B">
        <w:rPr>
          <w:lang w:eastAsia="fr-FR" w:bidi="fr-FR"/>
        </w:rPr>
        <w:t>S</w:t>
      </w:r>
      <w:r>
        <w:rPr>
          <w:lang w:eastAsia="fr-FR" w:bidi="fr-FR"/>
        </w:rPr>
        <w:t>elon la section 8 de l’article 1</w:t>
      </w:r>
      <w:r w:rsidRPr="000E644B">
        <w:rPr>
          <w:vertAlign w:val="superscript"/>
          <w:lang w:eastAsia="fr-FR" w:bidi="fr-FR"/>
        </w:rPr>
        <w:t>er</w:t>
      </w:r>
      <w:r>
        <w:rPr>
          <w:lang w:eastAsia="fr-FR" w:bidi="fr-FR"/>
        </w:rPr>
        <w:t xml:space="preserve"> </w:t>
      </w:r>
      <w:r w:rsidRPr="00D2217B">
        <w:rPr>
          <w:lang w:eastAsia="fr-FR" w:bidi="fr-FR"/>
        </w:rPr>
        <w:t>de la Constit</w:t>
      </w:r>
      <w:r w:rsidRPr="00D2217B">
        <w:rPr>
          <w:lang w:eastAsia="fr-FR" w:bidi="fr-FR"/>
        </w:rPr>
        <w:t>u</w:t>
      </w:r>
      <w:r w:rsidRPr="00D2217B">
        <w:rPr>
          <w:lang w:eastAsia="fr-FR" w:bidi="fr-FR"/>
        </w:rPr>
        <w:t>tion, le Congrès se voit conférer l’essentiel des pouvoirs en matière de politique étrang</w:t>
      </w:r>
      <w:r w:rsidRPr="00D2217B">
        <w:rPr>
          <w:lang w:eastAsia="fr-FR" w:bidi="fr-FR"/>
        </w:rPr>
        <w:t>è</w:t>
      </w:r>
      <w:r w:rsidRPr="00D2217B">
        <w:rPr>
          <w:lang w:eastAsia="fr-FR" w:bidi="fr-FR"/>
        </w:rPr>
        <w:t>re</w:t>
      </w:r>
      <w:r>
        <w:rPr>
          <w:lang w:eastAsia="fr-FR" w:bidi="fr-FR"/>
        </w:rPr>
        <w:t> </w:t>
      </w:r>
      <w:r>
        <w:rPr>
          <w:rStyle w:val="Appelnotedebasdep"/>
          <w:lang w:eastAsia="fr-FR" w:bidi="fr-FR"/>
        </w:rPr>
        <w:footnoteReference w:id="35"/>
      </w:r>
      <w:r w:rsidRPr="00D2217B">
        <w:rPr>
          <w:lang w:eastAsia="fr-FR" w:bidi="fr-FR"/>
        </w:rPr>
        <w:t>. C’est en effet au Congrès qu’il appartient</w:t>
      </w:r>
      <w:r w:rsidRPr="00D2217B">
        <w:t> :</w:t>
      </w:r>
    </w:p>
    <w:p w14:paraId="28CB0960" w14:textId="77777777" w:rsidR="0039793A" w:rsidRDefault="0039793A" w:rsidP="0039793A">
      <w:pPr>
        <w:ind w:left="1080" w:hanging="360"/>
        <w:jc w:val="both"/>
        <w:rPr>
          <w:lang w:eastAsia="fr-FR" w:bidi="fr-FR"/>
        </w:rPr>
      </w:pPr>
    </w:p>
    <w:p w14:paraId="10336159"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d’assurer une défense commune</w:t>
      </w:r>
      <w:r w:rsidRPr="00D2217B">
        <w:t> ;</w:t>
      </w:r>
    </w:p>
    <w:p w14:paraId="1E2A5306"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de réglementer le commerce avec les nations étrangères</w:t>
      </w:r>
      <w:r w:rsidRPr="00D2217B">
        <w:t> ;</w:t>
      </w:r>
    </w:p>
    <w:p w14:paraId="58BFCFCA"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de définir et punir les crimes commis en haute mer et les o</w:t>
      </w:r>
      <w:r w:rsidRPr="00D2217B">
        <w:rPr>
          <w:lang w:eastAsia="fr-FR" w:bidi="fr-FR"/>
        </w:rPr>
        <w:t>f</w:t>
      </w:r>
      <w:r w:rsidRPr="00D2217B">
        <w:rPr>
          <w:lang w:eastAsia="fr-FR" w:bidi="fr-FR"/>
        </w:rPr>
        <w:t>fe</w:t>
      </w:r>
      <w:r w:rsidRPr="00D2217B">
        <w:rPr>
          <w:lang w:eastAsia="fr-FR" w:bidi="fr-FR"/>
        </w:rPr>
        <w:t>n</w:t>
      </w:r>
      <w:r w:rsidRPr="00D2217B">
        <w:rPr>
          <w:lang w:eastAsia="fr-FR" w:bidi="fr-FR"/>
        </w:rPr>
        <w:t>ses contre la loi des nations</w:t>
      </w:r>
      <w:r w:rsidRPr="00D2217B">
        <w:t> ;</w:t>
      </w:r>
    </w:p>
    <w:p w14:paraId="51936494"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de lever et d’entretenir les armées et la marine de guerre</w:t>
      </w:r>
      <w:r w:rsidRPr="00D2217B">
        <w:t> ;</w:t>
      </w:r>
    </w:p>
    <w:p w14:paraId="1E8666B2"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de déclarer la guerre.</w:t>
      </w:r>
    </w:p>
    <w:p w14:paraId="251E87D8" w14:textId="77777777" w:rsidR="0039793A" w:rsidRDefault="0039793A" w:rsidP="0039793A">
      <w:pPr>
        <w:ind w:left="1080" w:hanging="360"/>
        <w:jc w:val="both"/>
        <w:rPr>
          <w:lang w:eastAsia="fr-FR" w:bidi="fr-FR"/>
        </w:rPr>
      </w:pPr>
    </w:p>
    <w:p w14:paraId="1F4E2065" w14:textId="77777777" w:rsidR="0039793A" w:rsidRPr="00D2217B" w:rsidRDefault="0039793A" w:rsidP="0039793A">
      <w:pPr>
        <w:spacing w:before="120" w:after="120"/>
        <w:jc w:val="both"/>
      </w:pPr>
      <w:r w:rsidRPr="00D2217B">
        <w:rPr>
          <w:lang w:eastAsia="fr-FR" w:bidi="fr-FR"/>
        </w:rPr>
        <w:t>Il faut ajouter à cela les pouvoirs généraux du Congrès qui ont une incidence en matière de pol</w:t>
      </w:r>
      <w:r w:rsidRPr="00D2217B">
        <w:rPr>
          <w:lang w:eastAsia="fr-FR" w:bidi="fr-FR"/>
        </w:rPr>
        <w:t>i</w:t>
      </w:r>
      <w:r w:rsidRPr="00D2217B">
        <w:rPr>
          <w:lang w:eastAsia="fr-FR" w:bidi="fr-FR"/>
        </w:rPr>
        <w:t>tique étrangère, à savoir le pouvoir de proposer et de voter les lois, le pouvoir de dépenser</w:t>
      </w:r>
      <w:r>
        <w:rPr>
          <w:lang w:eastAsia="fr-FR" w:bidi="fr-FR"/>
        </w:rPr>
        <w:t> </w:t>
      </w:r>
      <w:r>
        <w:rPr>
          <w:rStyle w:val="Appelnotedebasdep"/>
          <w:lang w:eastAsia="fr-FR" w:bidi="fr-FR"/>
        </w:rPr>
        <w:footnoteReference w:id="36"/>
      </w:r>
      <w:r w:rsidRPr="00D2217B">
        <w:rPr>
          <w:lang w:eastAsia="fr-FR" w:bidi="fr-FR"/>
        </w:rPr>
        <w:t xml:space="preserve"> et le pouvoir d’enquête</w:t>
      </w:r>
      <w:r>
        <w:rPr>
          <w:lang w:eastAsia="fr-FR" w:bidi="fr-FR"/>
        </w:rPr>
        <w:t> </w:t>
      </w:r>
      <w:r>
        <w:rPr>
          <w:rStyle w:val="Appelnotedebasdep"/>
          <w:lang w:eastAsia="fr-FR" w:bidi="fr-FR"/>
        </w:rPr>
        <w:footnoteReference w:id="37"/>
      </w:r>
      <w:r w:rsidRPr="00D2217B">
        <w:rPr>
          <w:lang w:eastAsia="fr-FR" w:bidi="fr-FR"/>
        </w:rPr>
        <w:t>.</w:t>
      </w:r>
    </w:p>
    <w:p w14:paraId="133D7BA4" w14:textId="77777777" w:rsidR="0039793A" w:rsidRPr="00D2217B" w:rsidRDefault="0039793A" w:rsidP="0039793A">
      <w:pPr>
        <w:spacing w:before="120" w:after="120"/>
        <w:jc w:val="both"/>
      </w:pPr>
      <w:r w:rsidRPr="00D2217B">
        <w:rPr>
          <w:lang w:eastAsia="fr-FR" w:bidi="fr-FR"/>
        </w:rPr>
        <w:t>En vertu des sections 2 et 3 de l’article II de la Constitution, le pr</w:t>
      </w:r>
      <w:r w:rsidRPr="00D2217B">
        <w:rPr>
          <w:lang w:eastAsia="fr-FR" w:bidi="fr-FR"/>
        </w:rPr>
        <w:t>é</w:t>
      </w:r>
      <w:r w:rsidRPr="00D2217B">
        <w:rPr>
          <w:lang w:eastAsia="fr-FR" w:bidi="fr-FR"/>
        </w:rPr>
        <w:t>sident est investi d’un certain nombre de fonctions</w:t>
      </w:r>
      <w:r w:rsidRPr="00D2217B">
        <w:t> :</w:t>
      </w:r>
    </w:p>
    <w:p w14:paraId="38BCF7DA" w14:textId="77777777" w:rsidR="0039793A" w:rsidRDefault="0039793A" w:rsidP="0039793A">
      <w:pPr>
        <w:spacing w:before="120" w:after="120"/>
        <w:jc w:val="both"/>
        <w:rPr>
          <w:lang w:eastAsia="fr-FR" w:bidi="fr-FR"/>
        </w:rPr>
      </w:pPr>
    </w:p>
    <w:p w14:paraId="447D45A7" w14:textId="77777777" w:rsidR="0039793A" w:rsidRPr="00D2217B" w:rsidRDefault="0039793A" w:rsidP="0039793A">
      <w:pPr>
        <w:ind w:left="1080" w:hanging="360"/>
        <w:jc w:val="both"/>
        <w:rPr>
          <w:lang w:eastAsia="fr-FR" w:bidi="fr-FR"/>
        </w:rPr>
      </w:pPr>
      <w:r>
        <w:rPr>
          <w:lang w:eastAsia="fr-FR" w:bidi="fr-FR"/>
        </w:rPr>
        <w:t>-</w:t>
      </w:r>
      <w:r>
        <w:rPr>
          <w:lang w:eastAsia="fr-FR" w:bidi="fr-FR"/>
        </w:rPr>
        <w:tab/>
      </w:r>
      <w:r w:rsidRPr="00D2217B">
        <w:rPr>
          <w:lang w:eastAsia="fr-FR" w:bidi="fr-FR"/>
        </w:rPr>
        <w:t>il est commandant en chef des armées et de la marine ;</w:t>
      </w:r>
    </w:p>
    <w:p w14:paraId="14E6013F" w14:textId="77777777" w:rsidR="0039793A" w:rsidRPr="00D2217B" w:rsidRDefault="0039793A" w:rsidP="0039793A">
      <w:pPr>
        <w:ind w:left="1080" w:hanging="360"/>
        <w:jc w:val="both"/>
        <w:rPr>
          <w:lang w:eastAsia="fr-FR" w:bidi="fr-FR"/>
        </w:rPr>
      </w:pPr>
      <w:r>
        <w:rPr>
          <w:lang w:eastAsia="fr-FR" w:bidi="fr-FR"/>
        </w:rPr>
        <w:t>-</w:t>
      </w:r>
      <w:r>
        <w:rPr>
          <w:lang w:eastAsia="fr-FR" w:bidi="fr-FR"/>
        </w:rPr>
        <w:tab/>
      </w:r>
      <w:r w:rsidRPr="00D2217B">
        <w:rPr>
          <w:lang w:eastAsia="fr-FR" w:bidi="fr-FR"/>
        </w:rPr>
        <w:t>il a le pouvoir de conclure les traités ;</w:t>
      </w:r>
    </w:p>
    <w:p w14:paraId="56CA7EBD"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il nomme les ambassadeurs et consuls et les ambassadeurs étra</w:t>
      </w:r>
      <w:r w:rsidRPr="00D2217B">
        <w:rPr>
          <w:lang w:eastAsia="fr-FR" w:bidi="fr-FR"/>
        </w:rPr>
        <w:t>n</w:t>
      </w:r>
      <w:r w:rsidRPr="00D2217B">
        <w:rPr>
          <w:lang w:eastAsia="fr-FR" w:bidi="fr-FR"/>
        </w:rPr>
        <w:t>gers sont accrédités auprès de lui.</w:t>
      </w:r>
    </w:p>
    <w:p w14:paraId="316D02FC" w14:textId="77777777" w:rsidR="0039793A" w:rsidRDefault="0039793A" w:rsidP="0039793A">
      <w:pPr>
        <w:spacing w:before="120" w:after="120"/>
        <w:jc w:val="both"/>
        <w:rPr>
          <w:lang w:eastAsia="fr-FR" w:bidi="fr-FR"/>
        </w:rPr>
      </w:pPr>
    </w:p>
    <w:p w14:paraId="3E184DB8" w14:textId="77777777" w:rsidR="0039793A" w:rsidRPr="00D2217B" w:rsidRDefault="0039793A" w:rsidP="0039793A">
      <w:pPr>
        <w:spacing w:before="120" w:after="120"/>
        <w:jc w:val="both"/>
      </w:pPr>
      <w:r w:rsidRPr="00D2217B">
        <w:rPr>
          <w:lang w:eastAsia="fr-FR" w:bidi="fr-FR"/>
        </w:rPr>
        <w:t>On notera cependant que l’exercice de ces po</w:t>
      </w:r>
      <w:r w:rsidRPr="00D2217B">
        <w:rPr>
          <w:lang w:eastAsia="fr-FR" w:bidi="fr-FR"/>
        </w:rPr>
        <w:t>u</w:t>
      </w:r>
      <w:r w:rsidRPr="00D2217B">
        <w:rPr>
          <w:lang w:eastAsia="fr-FR" w:bidi="fr-FR"/>
        </w:rPr>
        <w:t>voirs est limité par la nécessaire intervention du Congrès. Ainsi</w:t>
      </w:r>
      <w:r w:rsidRPr="00D2217B">
        <w:t> :</w:t>
      </w:r>
    </w:p>
    <w:p w14:paraId="456A7352" w14:textId="77777777" w:rsidR="0039793A" w:rsidRDefault="0039793A" w:rsidP="0039793A">
      <w:pPr>
        <w:ind w:left="1080" w:hanging="360"/>
        <w:jc w:val="both"/>
        <w:rPr>
          <w:lang w:eastAsia="fr-FR" w:bidi="fr-FR"/>
        </w:rPr>
      </w:pPr>
    </w:p>
    <w:p w14:paraId="1FD6E4B6"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si le président négocie les traités, c’est au Sénat qu’il appa</w:t>
      </w:r>
      <w:r w:rsidRPr="00D2217B">
        <w:rPr>
          <w:lang w:eastAsia="fr-FR" w:bidi="fr-FR"/>
        </w:rPr>
        <w:t>r</w:t>
      </w:r>
      <w:r w:rsidRPr="00D2217B">
        <w:rPr>
          <w:lang w:eastAsia="fr-FR" w:bidi="fr-FR"/>
        </w:rPr>
        <w:t>tient de les ratifier, à la majorité des deux tiers</w:t>
      </w:r>
      <w:r w:rsidRPr="00D2217B">
        <w:t> ;</w:t>
      </w:r>
    </w:p>
    <w:p w14:paraId="1210DE61" w14:textId="77777777" w:rsidR="0039793A" w:rsidRPr="00D2217B" w:rsidRDefault="0039793A" w:rsidP="0039793A">
      <w:pPr>
        <w:ind w:left="1080" w:hanging="360"/>
        <w:jc w:val="both"/>
      </w:pPr>
      <w:r>
        <w:rPr>
          <w:lang w:eastAsia="fr-FR" w:bidi="fr-FR"/>
        </w:rPr>
        <w:t>-</w:t>
      </w:r>
      <w:r>
        <w:rPr>
          <w:lang w:eastAsia="fr-FR" w:bidi="fr-FR"/>
        </w:rPr>
        <w:tab/>
      </w:r>
      <w:r w:rsidRPr="00D2217B">
        <w:rPr>
          <w:lang w:eastAsia="fr-FR" w:bidi="fr-FR"/>
        </w:rPr>
        <w:t>les nominations sont en général subordonnées à la confirm</w:t>
      </w:r>
      <w:r w:rsidRPr="00D2217B">
        <w:rPr>
          <w:lang w:eastAsia="fr-FR" w:bidi="fr-FR"/>
        </w:rPr>
        <w:t>a</w:t>
      </w:r>
      <w:r w:rsidRPr="00D2217B">
        <w:rPr>
          <w:lang w:eastAsia="fr-FR" w:bidi="fr-FR"/>
        </w:rPr>
        <w:t>tion du Sénat, à la majorité simple.</w:t>
      </w:r>
    </w:p>
    <w:p w14:paraId="2C2FF4EC" w14:textId="77777777" w:rsidR="0039793A" w:rsidRDefault="0039793A" w:rsidP="0039793A">
      <w:pPr>
        <w:spacing w:before="120" w:after="120"/>
        <w:jc w:val="both"/>
      </w:pPr>
    </w:p>
    <w:p w14:paraId="46D3D8BA" w14:textId="77777777" w:rsidR="0039793A" w:rsidRDefault="0039793A" w:rsidP="0039793A">
      <w:pPr>
        <w:spacing w:before="120" w:after="120"/>
        <w:jc w:val="both"/>
      </w:pPr>
      <w:r>
        <w:t>[25]</w:t>
      </w:r>
    </w:p>
    <w:p w14:paraId="482E2CFD" w14:textId="77777777" w:rsidR="0039793A" w:rsidRPr="00D2217B" w:rsidRDefault="0039793A" w:rsidP="0039793A">
      <w:pPr>
        <w:spacing w:before="120" w:after="120"/>
        <w:jc w:val="both"/>
      </w:pPr>
      <w:r w:rsidRPr="00D2217B">
        <w:rPr>
          <w:lang w:eastAsia="fr-FR" w:bidi="fr-FR"/>
        </w:rPr>
        <w:t>Le déséquilibre paraît, à la seule lumière du texte constitutionnel, patent. Le président est cha</w:t>
      </w:r>
      <w:r w:rsidRPr="00D2217B">
        <w:rPr>
          <w:lang w:eastAsia="fr-FR" w:bidi="fr-FR"/>
        </w:rPr>
        <w:t>r</w:t>
      </w:r>
      <w:r w:rsidRPr="00D2217B">
        <w:rPr>
          <w:lang w:eastAsia="fr-FR" w:bidi="fr-FR"/>
        </w:rPr>
        <w:t>gé de l’application de la loi</w:t>
      </w:r>
      <w:r w:rsidRPr="00D2217B">
        <w:t> :</w:t>
      </w:r>
      <w:r w:rsidRPr="00D2217B">
        <w:rPr>
          <w:lang w:eastAsia="fr-FR" w:bidi="fr-FR"/>
        </w:rPr>
        <w:t xml:space="preserve"> il assume en somme le gouvernement du pays et notamment la conduite de la pol</w:t>
      </w:r>
      <w:r w:rsidRPr="00D2217B">
        <w:rPr>
          <w:lang w:eastAsia="fr-FR" w:bidi="fr-FR"/>
        </w:rPr>
        <w:t>i</w:t>
      </w:r>
      <w:r w:rsidRPr="00D2217B">
        <w:rPr>
          <w:lang w:eastAsia="fr-FR" w:bidi="fr-FR"/>
        </w:rPr>
        <w:t xml:space="preserve">tique étrangère. Sa politique demeure constamment assujettie à l’avis, à l’approbation et, </w:t>
      </w:r>
      <w:r w:rsidRPr="00D2217B">
        <w:t>a posteriori</w:t>
      </w:r>
      <w:r w:rsidRPr="00D2217B">
        <w:rPr>
          <w:lang w:eastAsia="fr-FR" w:bidi="fr-FR"/>
        </w:rPr>
        <w:t>, au contrôle du Congrès (notamment du Sénat) et les moyens financiers de sa politique dépendent également du bon vouloir du Congrès (vote de la loi de finances). Les Pères fo</w:t>
      </w:r>
      <w:r w:rsidRPr="00D2217B">
        <w:rPr>
          <w:lang w:eastAsia="fr-FR" w:bidi="fr-FR"/>
        </w:rPr>
        <w:t>n</w:t>
      </w:r>
      <w:r w:rsidRPr="00D2217B">
        <w:rPr>
          <w:lang w:eastAsia="fr-FR" w:bidi="fr-FR"/>
        </w:rPr>
        <w:t xml:space="preserve">dateurs entendaient créer </w:t>
      </w:r>
      <w:r w:rsidRPr="00D2217B">
        <w:t>« </w:t>
      </w:r>
      <w:r w:rsidRPr="00D2217B">
        <w:rPr>
          <w:lang w:eastAsia="fr-FR" w:bidi="fr-FR"/>
        </w:rPr>
        <w:t>deux branches vigoureuses, actives et combatives en leur octroyant, dans le domaine de la politique étrang</w:t>
      </w:r>
      <w:r w:rsidRPr="00D2217B">
        <w:rPr>
          <w:lang w:eastAsia="fr-FR" w:bidi="fr-FR"/>
        </w:rPr>
        <w:t>è</w:t>
      </w:r>
      <w:r w:rsidRPr="00D2217B">
        <w:rPr>
          <w:lang w:eastAsia="fr-FR" w:bidi="fr-FR"/>
        </w:rPr>
        <w:t>re, des rôles significatifs se chevauchant l’un l’autre</w:t>
      </w:r>
      <w:r>
        <w:rPr>
          <w:lang w:eastAsia="fr-FR" w:bidi="fr-FR"/>
        </w:rPr>
        <w:t> </w:t>
      </w:r>
      <w:r>
        <w:rPr>
          <w:rStyle w:val="Appelnotedebasdep"/>
          <w:lang w:eastAsia="fr-FR" w:bidi="fr-FR"/>
        </w:rPr>
        <w:footnoteReference w:id="38"/>
      </w:r>
      <w:r w:rsidRPr="00D2217B">
        <w:t> »</w:t>
      </w:r>
      <w:r w:rsidRPr="00D2217B">
        <w:rPr>
          <w:lang w:eastAsia="fr-FR" w:bidi="fr-FR"/>
        </w:rPr>
        <w:t>. Cette co</w:t>
      </w:r>
      <w:r w:rsidRPr="00D2217B">
        <w:rPr>
          <w:lang w:eastAsia="fr-FR" w:bidi="fr-FR"/>
        </w:rPr>
        <w:t>m</w:t>
      </w:r>
      <w:r w:rsidRPr="00D2217B">
        <w:rPr>
          <w:lang w:eastAsia="fr-FR" w:bidi="fr-FR"/>
        </w:rPr>
        <w:t xml:space="preserve">pétition a conduit, </w:t>
      </w:r>
      <w:r w:rsidRPr="00D2217B">
        <w:t>de facto</w:t>
      </w:r>
      <w:r w:rsidRPr="00D2217B">
        <w:rPr>
          <w:lang w:eastAsia="fr-FR" w:bidi="fr-FR"/>
        </w:rPr>
        <w:t>, à un rééquilibrage des pouvoirs. En fo</w:t>
      </w:r>
      <w:r w:rsidRPr="00D2217B">
        <w:rPr>
          <w:lang w:eastAsia="fr-FR" w:bidi="fr-FR"/>
        </w:rPr>
        <w:t>n</w:t>
      </w:r>
      <w:r w:rsidRPr="00D2217B">
        <w:rPr>
          <w:lang w:eastAsia="fr-FR" w:bidi="fr-FR"/>
        </w:rPr>
        <w:t>dant sa légitimité sur son rôle de commandant en chef des armées, le prés</w:t>
      </w:r>
      <w:r w:rsidRPr="00D2217B">
        <w:rPr>
          <w:lang w:eastAsia="fr-FR" w:bidi="fr-FR"/>
        </w:rPr>
        <w:t>i</w:t>
      </w:r>
      <w:r w:rsidRPr="00D2217B">
        <w:rPr>
          <w:lang w:eastAsia="fr-FR" w:bidi="fr-FR"/>
        </w:rPr>
        <w:t xml:space="preserve">dent a accru sa prégnance sur la politique étrangère, en </w:t>
      </w:r>
      <w:r w:rsidRPr="00D2217B">
        <w:t>« </w:t>
      </w:r>
      <w:r w:rsidRPr="00D2217B">
        <w:rPr>
          <w:lang w:eastAsia="fr-FR" w:bidi="fr-FR"/>
        </w:rPr>
        <w:t>s’appuyant sur le pouvoir exécutif général que la Constitution lui confère mais qu’elle ne définit et ne limite jamais</w:t>
      </w:r>
      <w:r>
        <w:rPr>
          <w:lang w:eastAsia="fr-FR" w:bidi="fr-FR"/>
        </w:rPr>
        <w:t> </w:t>
      </w:r>
      <w:r>
        <w:rPr>
          <w:rStyle w:val="Appelnotedebasdep"/>
          <w:lang w:eastAsia="fr-FR" w:bidi="fr-FR"/>
        </w:rPr>
        <w:footnoteReference w:id="39"/>
      </w:r>
      <w:r w:rsidRPr="00D2217B">
        <w:t> »</w:t>
      </w:r>
      <w:r w:rsidRPr="00D2217B">
        <w:rPr>
          <w:lang w:eastAsia="fr-FR" w:bidi="fr-FR"/>
        </w:rPr>
        <w:t>. Le président ut</w:t>
      </w:r>
      <w:r w:rsidRPr="00D2217B">
        <w:rPr>
          <w:lang w:eastAsia="fr-FR" w:bidi="fr-FR"/>
        </w:rPr>
        <w:t>i</w:t>
      </w:r>
      <w:r w:rsidRPr="00D2217B">
        <w:rPr>
          <w:lang w:eastAsia="fr-FR" w:bidi="fr-FR"/>
        </w:rPr>
        <w:t>lise tout d’abord des outils dont le dote la Constitution (tel que son droit de veto ou son droit de message</w:t>
      </w:r>
      <w:r>
        <w:rPr>
          <w:lang w:eastAsia="fr-FR" w:bidi="fr-FR"/>
        </w:rPr>
        <w:t> </w:t>
      </w:r>
      <w:r>
        <w:rPr>
          <w:rStyle w:val="Appelnotedebasdep"/>
          <w:lang w:eastAsia="fr-FR" w:bidi="fr-FR"/>
        </w:rPr>
        <w:footnoteReference w:id="40"/>
      </w:r>
      <w:r w:rsidRPr="00D2217B">
        <w:rPr>
          <w:lang w:eastAsia="fr-FR" w:bidi="fr-FR"/>
        </w:rPr>
        <w:t>). Il bénéficie ensuite de l’avantage d’être un</w:t>
      </w:r>
      <w:r>
        <w:rPr>
          <w:lang w:eastAsia="fr-FR" w:bidi="fr-FR"/>
        </w:rPr>
        <w:t> </w:t>
      </w:r>
      <w:r>
        <w:rPr>
          <w:rStyle w:val="Appelnotedebasdep"/>
          <w:lang w:eastAsia="fr-FR" w:bidi="fr-FR"/>
        </w:rPr>
        <w:footnoteReference w:id="41"/>
      </w:r>
      <w:r w:rsidRPr="00D2217B">
        <w:rPr>
          <w:lang w:eastAsia="fr-FR" w:bidi="fr-FR"/>
        </w:rPr>
        <w:t>, contra</w:t>
      </w:r>
      <w:r w:rsidRPr="00D2217B">
        <w:rPr>
          <w:lang w:eastAsia="fr-FR" w:bidi="fr-FR"/>
        </w:rPr>
        <w:t>i</w:t>
      </w:r>
      <w:r w:rsidRPr="00D2217B">
        <w:rPr>
          <w:lang w:eastAsia="fr-FR" w:bidi="fr-FR"/>
        </w:rPr>
        <w:t>rement au Congrès qui se perd parfois dans des conjonctures partisanes. En ce sens, il est devenu plus pr</w:t>
      </w:r>
      <w:r w:rsidRPr="00D2217B">
        <w:rPr>
          <w:lang w:eastAsia="fr-FR" w:bidi="fr-FR"/>
        </w:rPr>
        <w:t>é</w:t>
      </w:r>
      <w:r w:rsidRPr="00D2217B">
        <w:rPr>
          <w:lang w:eastAsia="fr-FR" w:bidi="fr-FR"/>
        </w:rPr>
        <w:t>sent dans la procédure législative (la Constitution ne l’interdisant pas formellement, le prés</w:t>
      </w:r>
      <w:r w:rsidRPr="00D2217B">
        <w:rPr>
          <w:lang w:eastAsia="fr-FR" w:bidi="fr-FR"/>
        </w:rPr>
        <w:t>i</w:t>
      </w:r>
      <w:r w:rsidRPr="00D2217B">
        <w:rPr>
          <w:lang w:eastAsia="fr-FR" w:bidi="fr-FR"/>
        </w:rPr>
        <w:t>dent a développé un pouvoir indirect d’initiative des lois et du budget) par le biais d’une concert</w:t>
      </w:r>
      <w:r w:rsidRPr="00D2217B">
        <w:rPr>
          <w:lang w:eastAsia="fr-FR" w:bidi="fr-FR"/>
        </w:rPr>
        <w:t>a</w:t>
      </w:r>
      <w:r w:rsidRPr="00D2217B">
        <w:rPr>
          <w:lang w:eastAsia="fr-FR" w:bidi="fr-FR"/>
        </w:rPr>
        <w:t>tion permanente avec le Congrès. Il a su enfin d</w:t>
      </w:r>
      <w:r w:rsidRPr="00D2217B">
        <w:rPr>
          <w:lang w:eastAsia="fr-FR" w:bidi="fr-FR"/>
        </w:rPr>
        <w:t>é</w:t>
      </w:r>
      <w:r w:rsidRPr="00D2217B">
        <w:rPr>
          <w:lang w:eastAsia="fr-FR" w:bidi="fr-FR"/>
        </w:rPr>
        <w:t>velopper des outils de contournement</w:t>
      </w:r>
      <w:r>
        <w:t xml:space="preserve"> [26] </w:t>
      </w:r>
      <w:r w:rsidRPr="00D2217B">
        <w:rPr>
          <w:lang w:eastAsia="fr-FR" w:bidi="fr-FR"/>
        </w:rPr>
        <w:t xml:space="preserve">du Congrès (les accords en forme simplifiée - </w:t>
      </w:r>
      <w:r w:rsidRPr="007843FD">
        <w:rPr>
          <w:i/>
          <w:iCs/>
        </w:rPr>
        <w:t>executive agre</w:t>
      </w:r>
      <w:r w:rsidRPr="007843FD">
        <w:rPr>
          <w:i/>
          <w:iCs/>
        </w:rPr>
        <w:t>e</w:t>
      </w:r>
      <w:r w:rsidRPr="007843FD">
        <w:rPr>
          <w:i/>
          <w:iCs/>
        </w:rPr>
        <w:t>ments</w:t>
      </w:r>
      <w:r w:rsidRPr="00D2217B">
        <w:t xml:space="preserve"> </w:t>
      </w:r>
      <w:r w:rsidRPr="00D2217B">
        <w:rPr>
          <w:lang w:eastAsia="fr-FR" w:bidi="fr-FR"/>
        </w:rPr>
        <w:t>— qui sont des accords i</w:t>
      </w:r>
      <w:r w:rsidRPr="00D2217B">
        <w:rPr>
          <w:lang w:eastAsia="fr-FR" w:bidi="fr-FR"/>
        </w:rPr>
        <w:t>n</w:t>
      </w:r>
      <w:r w:rsidRPr="00D2217B">
        <w:rPr>
          <w:lang w:eastAsia="fr-FR" w:bidi="fr-FR"/>
        </w:rPr>
        <w:t>ternationaux non subordonnés à l’approbation sénatoriale, et les débats sémantiques autour de la n</w:t>
      </w:r>
      <w:r w:rsidRPr="00D2217B">
        <w:rPr>
          <w:lang w:eastAsia="fr-FR" w:bidi="fr-FR"/>
        </w:rPr>
        <w:t>o</w:t>
      </w:r>
      <w:r w:rsidRPr="00D2217B">
        <w:rPr>
          <w:lang w:eastAsia="fr-FR" w:bidi="fr-FR"/>
        </w:rPr>
        <w:t xml:space="preserve">tion de guerre). Il a aussi fréquemment invoqué ce qu’on appelle le </w:t>
      </w:r>
      <w:r w:rsidRPr="00D2217B">
        <w:t>« </w:t>
      </w:r>
      <w:r w:rsidRPr="00D2217B">
        <w:rPr>
          <w:lang w:eastAsia="fr-FR" w:bidi="fr-FR"/>
        </w:rPr>
        <w:t>privilège de l’Exécutif</w:t>
      </w:r>
      <w:r w:rsidRPr="00D2217B">
        <w:t> »</w:t>
      </w:r>
      <w:r w:rsidRPr="00D2217B">
        <w:rPr>
          <w:lang w:eastAsia="fr-FR" w:bidi="fr-FR"/>
        </w:rPr>
        <w:t>, c’est-à-dire la faculté de refuser de co</w:t>
      </w:r>
      <w:r w:rsidRPr="00D2217B">
        <w:rPr>
          <w:lang w:eastAsia="fr-FR" w:bidi="fr-FR"/>
        </w:rPr>
        <w:t>m</w:t>
      </w:r>
      <w:r w:rsidRPr="00D2217B">
        <w:rPr>
          <w:lang w:eastAsia="fr-FR" w:bidi="fr-FR"/>
        </w:rPr>
        <w:t>muniquer des informations liées à l’exercice de son pouvoir exécutif.</w:t>
      </w:r>
    </w:p>
    <w:p w14:paraId="2E80C273" w14:textId="77777777" w:rsidR="0039793A" w:rsidRPr="00D2217B" w:rsidRDefault="0039793A" w:rsidP="0039793A">
      <w:pPr>
        <w:spacing w:before="120" w:after="120"/>
        <w:jc w:val="both"/>
      </w:pPr>
      <w:r w:rsidRPr="00D2217B">
        <w:rPr>
          <w:lang w:eastAsia="fr-FR" w:bidi="fr-FR"/>
        </w:rPr>
        <w:t>En vertu de la section 2 de l’article III, il appartient au pouvoir j</w:t>
      </w:r>
      <w:r w:rsidRPr="00D2217B">
        <w:rPr>
          <w:lang w:eastAsia="fr-FR" w:bidi="fr-FR"/>
        </w:rPr>
        <w:t>u</w:t>
      </w:r>
      <w:r w:rsidRPr="00D2217B">
        <w:rPr>
          <w:lang w:eastAsia="fr-FR" w:bidi="fr-FR"/>
        </w:rPr>
        <w:t>diciaire de s’assurer de la const</w:t>
      </w:r>
      <w:r w:rsidRPr="00D2217B">
        <w:rPr>
          <w:lang w:eastAsia="fr-FR" w:bidi="fr-FR"/>
        </w:rPr>
        <w:t>i</w:t>
      </w:r>
      <w:r w:rsidRPr="00D2217B">
        <w:rPr>
          <w:lang w:eastAsia="fr-FR" w:bidi="fr-FR"/>
        </w:rPr>
        <w:t>tutionnalité des actes et du respect de la séparation des pouvoirs. S’agissant de l’observance de la constit</w:t>
      </w:r>
      <w:r w:rsidRPr="00D2217B">
        <w:rPr>
          <w:lang w:eastAsia="fr-FR" w:bidi="fr-FR"/>
        </w:rPr>
        <w:t>u</w:t>
      </w:r>
      <w:r w:rsidRPr="00D2217B">
        <w:rPr>
          <w:lang w:eastAsia="fr-FR" w:bidi="fr-FR"/>
        </w:rPr>
        <w:t>tion en matière de politique extérieure, le pouvoir judiciaire n’a que rarement tranché, s’abritant bien souvent derrière la dimension polit</w:t>
      </w:r>
      <w:r w:rsidRPr="00D2217B">
        <w:rPr>
          <w:lang w:eastAsia="fr-FR" w:bidi="fr-FR"/>
        </w:rPr>
        <w:t>i</w:t>
      </w:r>
      <w:r w:rsidRPr="00D2217B">
        <w:rPr>
          <w:lang w:eastAsia="fr-FR" w:bidi="fr-FR"/>
        </w:rPr>
        <w:t xml:space="preserve">que des conflits entre le législatif et l’exécutif. La doctrine de la </w:t>
      </w:r>
      <w:r w:rsidRPr="00D2217B">
        <w:t>« </w:t>
      </w:r>
      <w:r w:rsidRPr="00D2217B">
        <w:rPr>
          <w:lang w:eastAsia="fr-FR" w:bidi="fr-FR"/>
        </w:rPr>
        <w:t>question politique</w:t>
      </w:r>
      <w:r w:rsidRPr="00D2217B">
        <w:t> »</w:t>
      </w:r>
      <w:r w:rsidRPr="00D2217B">
        <w:rPr>
          <w:lang w:eastAsia="fr-FR" w:bidi="fr-FR"/>
        </w:rPr>
        <w:t xml:space="preserve"> a été vivement critiquée par certains qui, parce qu’elle venait le plus souvent conforter les positions présidentielles, y ont vu un acte d’allégeance du pouvoir judiciaire. Les choses sont to</w:t>
      </w:r>
      <w:r w:rsidRPr="00D2217B">
        <w:rPr>
          <w:lang w:eastAsia="fr-FR" w:bidi="fr-FR"/>
        </w:rPr>
        <w:t>u</w:t>
      </w:r>
      <w:r w:rsidRPr="00D2217B">
        <w:rPr>
          <w:lang w:eastAsia="fr-FR" w:bidi="fr-FR"/>
        </w:rPr>
        <w:t>tefois plus complexes</w:t>
      </w:r>
      <w:r w:rsidRPr="00D2217B">
        <w:t> :</w:t>
      </w:r>
      <w:r w:rsidRPr="00D2217B">
        <w:rPr>
          <w:lang w:eastAsia="fr-FR" w:bidi="fr-FR"/>
        </w:rPr>
        <w:t xml:space="preserve"> c’est bien souvent</w:t>
      </w:r>
      <w:r>
        <w:rPr>
          <w:lang w:eastAsia="fr-FR" w:bidi="fr-FR"/>
        </w:rPr>
        <w:t> </w:t>
      </w:r>
      <w:r>
        <w:rPr>
          <w:rStyle w:val="Appelnotedebasdep"/>
          <w:lang w:eastAsia="fr-FR" w:bidi="fr-FR"/>
        </w:rPr>
        <w:footnoteReference w:id="42"/>
      </w:r>
      <w:r w:rsidRPr="00D2217B">
        <w:rPr>
          <w:lang w:eastAsia="fr-FR" w:bidi="fr-FR"/>
        </w:rPr>
        <w:t xml:space="preserve"> parce que le Congrès n’a pas épuisé tous les moyens en sa possession que le judiciaire refuse de trancher. S’il le faisait, il agirait dès lors en lieu et place du Congrès et renforcerait l’accusation de gouvernement des juges.</w:t>
      </w:r>
    </w:p>
    <w:p w14:paraId="1CB075C5" w14:textId="77777777" w:rsidR="0039793A" w:rsidRPr="00D2217B" w:rsidRDefault="0039793A" w:rsidP="0039793A">
      <w:pPr>
        <w:spacing w:before="120" w:after="120"/>
        <w:jc w:val="both"/>
      </w:pPr>
      <w:r w:rsidRPr="00D2217B">
        <w:rPr>
          <w:lang w:eastAsia="fr-FR" w:bidi="fr-FR"/>
        </w:rPr>
        <w:t>En fait, la distribution des pouvoirs demeure floue à plusieurs égards et engendre une zone grise de pouvoirs concurrents. Le juge Robert H. Jac</w:t>
      </w:r>
      <w:r w:rsidRPr="00D2217B">
        <w:rPr>
          <w:lang w:eastAsia="fr-FR" w:bidi="fr-FR"/>
        </w:rPr>
        <w:t>k</w:t>
      </w:r>
      <w:r w:rsidRPr="00D2217B">
        <w:rPr>
          <w:lang w:eastAsia="fr-FR" w:bidi="fr-FR"/>
        </w:rPr>
        <w:t>son écrivait en 1954</w:t>
      </w:r>
      <w:r w:rsidRPr="00D2217B">
        <w:t> :</w:t>
      </w:r>
      <w:r w:rsidRPr="00D2217B">
        <w:rPr>
          <w:lang w:eastAsia="fr-FR" w:bidi="fr-FR"/>
        </w:rPr>
        <w:t xml:space="preserve"> </w:t>
      </w:r>
      <w:r w:rsidRPr="00D2217B">
        <w:t>« </w:t>
      </w:r>
      <w:r w:rsidRPr="00D2217B">
        <w:rPr>
          <w:lang w:eastAsia="fr-FR" w:bidi="fr-FR"/>
        </w:rPr>
        <w:t>Il existe une zone de clair-obscur dans laquelle [le président] et le Congrès peuvent posséder une autorité partagée ou dans laquelle la distribution est incertaine</w:t>
      </w:r>
      <w:r>
        <w:rPr>
          <w:lang w:eastAsia="fr-FR" w:bidi="fr-FR"/>
        </w:rPr>
        <w:t> </w:t>
      </w:r>
      <w:r>
        <w:rPr>
          <w:rStyle w:val="Appelnotedebasdep"/>
          <w:lang w:eastAsia="fr-FR" w:bidi="fr-FR"/>
        </w:rPr>
        <w:footnoteReference w:id="43"/>
      </w:r>
      <w:r w:rsidRPr="00D2217B">
        <w:rPr>
          <w:lang w:eastAsia="fr-FR" w:bidi="fr-FR"/>
        </w:rPr>
        <w:t>.</w:t>
      </w:r>
      <w:r w:rsidRPr="00D2217B">
        <w:t> »</w:t>
      </w:r>
      <w:r w:rsidRPr="00D2217B">
        <w:rPr>
          <w:lang w:eastAsia="fr-FR" w:bidi="fr-FR"/>
        </w:rPr>
        <w:t xml:space="preserve"> La Constitution ne donne guère d’indication sur des que</w:t>
      </w:r>
      <w:r w:rsidRPr="00D2217B">
        <w:rPr>
          <w:lang w:eastAsia="fr-FR" w:bidi="fr-FR"/>
        </w:rPr>
        <w:t>s</w:t>
      </w:r>
      <w:r w:rsidRPr="00D2217B">
        <w:rPr>
          <w:lang w:eastAsia="fr-FR" w:bidi="fr-FR"/>
        </w:rPr>
        <w:t>tions comme le déploiement des forces armées, l’usage des accords en forme simpl</w:t>
      </w:r>
      <w:r w:rsidRPr="00D2217B">
        <w:rPr>
          <w:lang w:eastAsia="fr-FR" w:bidi="fr-FR"/>
        </w:rPr>
        <w:t>i</w:t>
      </w:r>
      <w:r w:rsidRPr="00D2217B">
        <w:rPr>
          <w:lang w:eastAsia="fr-FR" w:bidi="fr-FR"/>
        </w:rPr>
        <w:t>fiée, le pouvoir de mettre un terme à un traité, la maîtrise du feu n</w:t>
      </w:r>
      <w:r w:rsidRPr="00D2217B">
        <w:rPr>
          <w:lang w:eastAsia="fr-FR" w:bidi="fr-FR"/>
        </w:rPr>
        <w:t>u</w:t>
      </w:r>
      <w:r w:rsidRPr="00D2217B">
        <w:rPr>
          <w:lang w:eastAsia="fr-FR" w:bidi="fr-FR"/>
        </w:rPr>
        <w:t>cléaire, la mise en place et le contrôle des opérations secrètes, le priv</w:t>
      </w:r>
      <w:r w:rsidRPr="00D2217B">
        <w:rPr>
          <w:lang w:eastAsia="fr-FR" w:bidi="fr-FR"/>
        </w:rPr>
        <w:t>i</w:t>
      </w:r>
      <w:r w:rsidRPr="00D2217B">
        <w:rPr>
          <w:lang w:eastAsia="fr-FR" w:bidi="fr-FR"/>
        </w:rPr>
        <w:t>lège de l’Exécutif et la portée exacte du contrôle de la politique étra</w:t>
      </w:r>
      <w:r w:rsidRPr="00D2217B">
        <w:rPr>
          <w:lang w:eastAsia="fr-FR" w:bidi="fr-FR"/>
        </w:rPr>
        <w:t>n</w:t>
      </w:r>
      <w:r w:rsidRPr="00D2217B">
        <w:rPr>
          <w:lang w:eastAsia="fr-FR" w:bidi="fr-FR"/>
        </w:rPr>
        <w:t>gère par l’intermédiaire du pouvoir de dépenser du Congrès. C’est là l’objet des débats constitutio</w:t>
      </w:r>
      <w:r w:rsidRPr="00D2217B">
        <w:rPr>
          <w:lang w:eastAsia="fr-FR" w:bidi="fr-FR"/>
        </w:rPr>
        <w:t>n</w:t>
      </w:r>
      <w:r w:rsidRPr="00D2217B">
        <w:rPr>
          <w:lang w:eastAsia="fr-FR" w:bidi="fr-FR"/>
        </w:rPr>
        <w:t>nels sur les attributions des pouvoirs.</w:t>
      </w:r>
    </w:p>
    <w:p w14:paraId="38A2BEB0" w14:textId="77777777" w:rsidR="0039793A" w:rsidRDefault="0039793A" w:rsidP="0039793A">
      <w:pPr>
        <w:spacing w:before="120" w:after="120"/>
        <w:jc w:val="both"/>
      </w:pPr>
      <w:r>
        <w:t>[27]</w:t>
      </w:r>
    </w:p>
    <w:p w14:paraId="567A41A6" w14:textId="77777777" w:rsidR="0039793A" w:rsidRPr="00D2217B" w:rsidRDefault="0039793A" w:rsidP="0039793A">
      <w:pPr>
        <w:spacing w:before="120" w:after="120"/>
        <w:jc w:val="both"/>
      </w:pPr>
    </w:p>
    <w:p w14:paraId="2B3563BC" w14:textId="77777777" w:rsidR="0039793A" w:rsidRPr="007843FD" w:rsidRDefault="0039793A" w:rsidP="0039793A">
      <w:pPr>
        <w:pStyle w:val="planche"/>
      </w:pPr>
      <w:bookmarkStart w:id="7" w:name="Pol_EU_pt_1_chap_01_3"/>
      <w:r w:rsidRPr="007843FD">
        <w:rPr>
          <w:lang w:eastAsia="fr-FR" w:bidi="fr-FR"/>
        </w:rPr>
        <w:t>Les débats constitutionnels</w:t>
      </w:r>
    </w:p>
    <w:bookmarkEnd w:id="7"/>
    <w:p w14:paraId="3A3FE263" w14:textId="77777777" w:rsidR="0039793A" w:rsidRDefault="0039793A" w:rsidP="0039793A">
      <w:pPr>
        <w:spacing w:before="120" w:after="120"/>
        <w:jc w:val="both"/>
        <w:rPr>
          <w:lang w:eastAsia="fr-FR" w:bidi="fr-FR"/>
        </w:rPr>
      </w:pPr>
    </w:p>
    <w:p w14:paraId="3FDCC78E"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3E07964" w14:textId="77777777" w:rsidR="0039793A" w:rsidRPr="00D2217B" w:rsidRDefault="0039793A" w:rsidP="0039793A">
      <w:pPr>
        <w:spacing w:before="120" w:after="120"/>
        <w:jc w:val="both"/>
      </w:pPr>
      <w:r w:rsidRPr="00D2217B">
        <w:rPr>
          <w:lang w:eastAsia="fr-FR" w:bidi="fr-FR"/>
        </w:rPr>
        <w:t>Déjà, au cours des réunions de la Convention puis durant le débat généralisé sur la ratification de la Constitution, les arguments contr</w:t>
      </w:r>
      <w:r w:rsidRPr="00D2217B">
        <w:rPr>
          <w:lang w:eastAsia="fr-FR" w:bidi="fr-FR"/>
        </w:rPr>
        <w:t>a</w:t>
      </w:r>
      <w:r w:rsidRPr="00D2217B">
        <w:rPr>
          <w:lang w:eastAsia="fr-FR" w:bidi="fr-FR"/>
        </w:rPr>
        <w:t>dictoires se multiplient. Ils expliquent les variations de l’équilibre des pouvoirs et apportent un éclairage intéressant sur les débats conte</w:t>
      </w:r>
      <w:r w:rsidRPr="00D2217B">
        <w:rPr>
          <w:lang w:eastAsia="fr-FR" w:bidi="fr-FR"/>
        </w:rPr>
        <w:t>m</w:t>
      </w:r>
      <w:r w:rsidRPr="00D2217B">
        <w:rPr>
          <w:lang w:eastAsia="fr-FR" w:bidi="fr-FR"/>
        </w:rPr>
        <w:t>porains.</w:t>
      </w:r>
    </w:p>
    <w:p w14:paraId="259DACE6" w14:textId="77777777" w:rsidR="0039793A" w:rsidRDefault="0039793A" w:rsidP="0039793A">
      <w:pPr>
        <w:spacing w:before="120" w:after="120"/>
        <w:jc w:val="both"/>
        <w:rPr>
          <w:lang w:eastAsia="fr-FR" w:bidi="fr-FR"/>
        </w:rPr>
      </w:pPr>
    </w:p>
    <w:p w14:paraId="2CFEB68B" w14:textId="77777777" w:rsidR="0039793A" w:rsidRPr="00D2217B" w:rsidRDefault="0039793A" w:rsidP="0039793A">
      <w:pPr>
        <w:pStyle w:val="a"/>
      </w:pPr>
      <w:r w:rsidRPr="00D2217B">
        <w:t>Les débats des Pères fondateurs</w:t>
      </w:r>
    </w:p>
    <w:p w14:paraId="42ADB4CF" w14:textId="77777777" w:rsidR="0039793A" w:rsidRDefault="0039793A" w:rsidP="0039793A">
      <w:pPr>
        <w:spacing w:before="120" w:after="120"/>
        <w:jc w:val="both"/>
        <w:rPr>
          <w:lang w:eastAsia="fr-FR" w:bidi="fr-FR"/>
        </w:rPr>
      </w:pPr>
    </w:p>
    <w:p w14:paraId="1CFE3986" w14:textId="77777777" w:rsidR="0039793A" w:rsidRPr="00D2217B" w:rsidRDefault="0039793A" w:rsidP="0039793A">
      <w:pPr>
        <w:spacing w:before="120" w:after="120"/>
        <w:jc w:val="both"/>
      </w:pPr>
      <w:r w:rsidRPr="00D2217B">
        <w:rPr>
          <w:lang w:eastAsia="fr-FR" w:bidi="fr-FR"/>
        </w:rPr>
        <w:t xml:space="preserve">Les </w:t>
      </w:r>
      <w:r w:rsidRPr="007843FD">
        <w:rPr>
          <w:i/>
          <w:iCs/>
        </w:rPr>
        <w:t>Federalist Papers</w:t>
      </w:r>
      <w:r w:rsidRPr="00D2217B">
        <w:rPr>
          <w:lang w:eastAsia="fr-FR" w:bidi="fr-FR"/>
        </w:rPr>
        <w:t xml:space="preserve"> appartiennent désormais à la littérature pol</w:t>
      </w:r>
      <w:r w:rsidRPr="00D2217B">
        <w:rPr>
          <w:lang w:eastAsia="fr-FR" w:bidi="fr-FR"/>
        </w:rPr>
        <w:t>i</w:t>
      </w:r>
      <w:r w:rsidRPr="00D2217B">
        <w:rPr>
          <w:lang w:eastAsia="fr-FR" w:bidi="fr-FR"/>
        </w:rPr>
        <w:t>tique classique. Ce sont là 85 articles parus notamment dans les jou</w:t>
      </w:r>
      <w:r w:rsidRPr="00D2217B">
        <w:rPr>
          <w:lang w:eastAsia="fr-FR" w:bidi="fr-FR"/>
        </w:rPr>
        <w:t>r</w:t>
      </w:r>
      <w:r w:rsidRPr="00D2217B">
        <w:rPr>
          <w:lang w:eastAsia="fr-FR" w:bidi="fr-FR"/>
        </w:rPr>
        <w:t>naux de New York et faisant état de débats et d’arguments contradi</w:t>
      </w:r>
      <w:r w:rsidRPr="00D2217B">
        <w:rPr>
          <w:lang w:eastAsia="fr-FR" w:bidi="fr-FR"/>
        </w:rPr>
        <w:t>c</w:t>
      </w:r>
      <w:r w:rsidRPr="00D2217B">
        <w:rPr>
          <w:lang w:eastAsia="fr-FR" w:bidi="fr-FR"/>
        </w:rPr>
        <w:t>toires au moment de l’adoption puis de la ratification du texte const</w:t>
      </w:r>
      <w:r w:rsidRPr="00D2217B">
        <w:rPr>
          <w:lang w:eastAsia="fr-FR" w:bidi="fr-FR"/>
        </w:rPr>
        <w:t>i</w:t>
      </w:r>
      <w:r w:rsidRPr="00D2217B">
        <w:rPr>
          <w:lang w:eastAsia="fr-FR" w:bidi="fr-FR"/>
        </w:rPr>
        <w:t>tutionnel. Alexander Hamilton (premier secrétaire au Trésor), James Madison (président de 1809 à 1817) et John Jay (premier juge en chef de la Cour suprême) écrivent sous le pseudonyme de Publius. La grande thématique des trente premiers articles concerne la n</w:t>
      </w:r>
      <w:r w:rsidRPr="00D2217B">
        <w:rPr>
          <w:lang w:eastAsia="fr-FR" w:bidi="fr-FR"/>
        </w:rPr>
        <w:t>é</w:t>
      </w:r>
      <w:r w:rsidRPr="00D2217B">
        <w:rPr>
          <w:lang w:eastAsia="fr-FR" w:bidi="fr-FR"/>
        </w:rPr>
        <w:t>cessité de mettre en œuvre une politique étrangère unifiée et efficace tandis que les États-Unis se se</w:t>
      </w:r>
      <w:r w:rsidRPr="00D2217B">
        <w:rPr>
          <w:lang w:eastAsia="fr-FR" w:bidi="fr-FR"/>
        </w:rPr>
        <w:t>n</w:t>
      </w:r>
      <w:r w:rsidRPr="00D2217B">
        <w:rPr>
          <w:lang w:eastAsia="fr-FR" w:bidi="fr-FR"/>
        </w:rPr>
        <w:t>tent menacés par les Britanniques au nord-ouest, par les Espagnols au sud et par les Amérindiens dans les terr</w:t>
      </w:r>
      <w:r w:rsidRPr="00D2217B">
        <w:rPr>
          <w:lang w:eastAsia="fr-FR" w:bidi="fr-FR"/>
        </w:rPr>
        <w:t>i</w:t>
      </w:r>
      <w:r w:rsidRPr="00D2217B">
        <w:rPr>
          <w:lang w:eastAsia="fr-FR" w:bidi="fr-FR"/>
        </w:rPr>
        <w:t>toires convoités de l’ouest.</w:t>
      </w:r>
    </w:p>
    <w:p w14:paraId="5FF198BA" w14:textId="77777777" w:rsidR="0039793A" w:rsidRPr="00D2217B" w:rsidRDefault="0039793A" w:rsidP="0039793A">
      <w:pPr>
        <w:spacing w:before="120" w:after="120"/>
        <w:jc w:val="both"/>
      </w:pPr>
      <w:r w:rsidRPr="00D2217B">
        <w:rPr>
          <w:lang w:eastAsia="fr-FR" w:bidi="fr-FR"/>
        </w:rPr>
        <w:t>Hamilton revient incessamment sur l’importance d’un pouvoir clair et décisif en mati</w:t>
      </w:r>
      <w:r w:rsidRPr="00D2217B">
        <w:rPr>
          <w:lang w:eastAsia="fr-FR" w:bidi="fr-FR"/>
        </w:rPr>
        <w:t>è</w:t>
      </w:r>
      <w:r w:rsidRPr="00D2217B">
        <w:rPr>
          <w:lang w:eastAsia="fr-FR" w:bidi="fr-FR"/>
        </w:rPr>
        <w:t xml:space="preserve">re de négociations internationales et d’interventions militaires. Il déplore que les États-Unis n’aient </w:t>
      </w:r>
      <w:r w:rsidRPr="00D2217B">
        <w:t>« </w:t>
      </w:r>
      <w:r w:rsidRPr="00D2217B">
        <w:rPr>
          <w:lang w:eastAsia="fr-FR" w:bidi="fr-FR"/>
        </w:rPr>
        <w:t>ni troupes, ni Trésor, ni gouvern</w:t>
      </w:r>
      <w:r w:rsidRPr="00D2217B">
        <w:rPr>
          <w:lang w:eastAsia="fr-FR" w:bidi="fr-FR"/>
        </w:rPr>
        <w:t>e</w:t>
      </w:r>
      <w:r w:rsidRPr="00D2217B">
        <w:rPr>
          <w:lang w:eastAsia="fr-FR" w:bidi="fr-FR"/>
        </w:rPr>
        <w:t>ment</w:t>
      </w:r>
      <w:r>
        <w:rPr>
          <w:lang w:eastAsia="fr-FR" w:bidi="fr-FR"/>
        </w:rPr>
        <w:t> </w:t>
      </w:r>
      <w:r>
        <w:rPr>
          <w:rStyle w:val="Appelnotedebasdep"/>
          <w:lang w:eastAsia="fr-FR" w:bidi="fr-FR"/>
        </w:rPr>
        <w:footnoteReference w:id="44"/>
      </w:r>
      <w:r w:rsidRPr="00D2217B">
        <w:t> »</w:t>
      </w:r>
      <w:r w:rsidRPr="00D2217B">
        <w:rPr>
          <w:lang w:eastAsia="fr-FR" w:bidi="fr-FR"/>
        </w:rPr>
        <w:t>. Consacrant un article entier au véritable pouvoir du chef de l’Exécutif</w:t>
      </w:r>
      <w:r>
        <w:rPr>
          <w:lang w:eastAsia="fr-FR" w:bidi="fr-FR"/>
        </w:rPr>
        <w:t> </w:t>
      </w:r>
      <w:r>
        <w:rPr>
          <w:rStyle w:val="Appelnotedebasdep"/>
          <w:lang w:eastAsia="fr-FR" w:bidi="fr-FR"/>
        </w:rPr>
        <w:footnoteReference w:id="45"/>
      </w:r>
      <w:r w:rsidRPr="00D2217B">
        <w:rPr>
          <w:lang w:eastAsia="fr-FR" w:bidi="fr-FR"/>
        </w:rPr>
        <w:t>, il insiste sur la n</w:t>
      </w:r>
      <w:r w:rsidRPr="00D2217B">
        <w:rPr>
          <w:lang w:eastAsia="fr-FR" w:bidi="fr-FR"/>
        </w:rPr>
        <w:t>é</w:t>
      </w:r>
      <w:r w:rsidRPr="00D2217B">
        <w:rPr>
          <w:lang w:eastAsia="fr-FR" w:bidi="fr-FR"/>
        </w:rPr>
        <w:t>cessité que ce pouvoir soit réel et significatif. S</w:t>
      </w:r>
      <w:r w:rsidRPr="00D2217B">
        <w:rPr>
          <w:lang w:eastAsia="fr-FR" w:bidi="fr-FR"/>
        </w:rPr>
        <w:t>e</w:t>
      </w:r>
      <w:r w:rsidRPr="00D2217B">
        <w:rPr>
          <w:lang w:eastAsia="fr-FR" w:bidi="fr-FR"/>
        </w:rPr>
        <w:t>lon Jay, le monocéphalisme de l’Exécutif est en ce sens un atout</w:t>
      </w:r>
      <w:r>
        <w:rPr>
          <w:lang w:eastAsia="fr-FR" w:bidi="fr-FR"/>
        </w:rPr>
        <w:t> </w:t>
      </w:r>
      <w:r>
        <w:rPr>
          <w:rStyle w:val="Appelnotedebasdep"/>
          <w:lang w:eastAsia="fr-FR" w:bidi="fr-FR"/>
        </w:rPr>
        <w:footnoteReference w:id="46"/>
      </w:r>
      <w:r w:rsidRPr="00D2217B">
        <w:rPr>
          <w:lang w:eastAsia="fr-FR" w:bidi="fr-FR"/>
        </w:rPr>
        <w:t>. Hamilton s’emploie cepe</w:t>
      </w:r>
      <w:r w:rsidRPr="00D2217B">
        <w:rPr>
          <w:lang w:eastAsia="fr-FR" w:bidi="fr-FR"/>
        </w:rPr>
        <w:t>n</w:t>
      </w:r>
      <w:r w:rsidRPr="00D2217B">
        <w:rPr>
          <w:lang w:eastAsia="fr-FR" w:bidi="fr-FR"/>
        </w:rPr>
        <w:t>dant à expliquer qu’il ne s’agit en aucune façon de réinstaurer la mona</w:t>
      </w:r>
      <w:r w:rsidRPr="00D2217B">
        <w:rPr>
          <w:lang w:eastAsia="fr-FR" w:bidi="fr-FR"/>
        </w:rPr>
        <w:t>r</w:t>
      </w:r>
      <w:r w:rsidRPr="00D2217B">
        <w:rPr>
          <w:lang w:eastAsia="fr-FR" w:bidi="fr-FR"/>
        </w:rPr>
        <w:t>chie</w:t>
      </w:r>
      <w:r w:rsidRPr="00D2217B">
        <w:t> :</w:t>
      </w:r>
      <w:r w:rsidRPr="00D2217B">
        <w:rPr>
          <w:lang w:eastAsia="fr-FR" w:bidi="fr-FR"/>
        </w:rPr>
        <w:t xml:space="preserve"> </w:t>
      </w:r>
      <w:r w:rsidRPr="00D2217B">
        <w:t>« </w:t>
      </w:r>
      <w:r w:rsidRPr="00D2217B">
        <w:rPr>
          <w:lang w:eastAsia="fr-FR" w:bidi="fr-FR"/>
        </w:rPr>
        <w:t xml:space="preserve">le président des États sera commandant en chef [...]. </w:t>
      </w:r>
      <w:r>
        <w:rPr>
          <w:lang w:eastAsia="fr-FR" w:bidi="fr-FR"/>
        </w:rPr>
        <w:t>À</w:t>
      </w:r>
      <w:r w:rsidRPr="00D2217B">
        <w:rPr>
          <w:lang w:eastAsia="fr-FR" w:bidi="fr-FR"/>
        </w:rPr>
        <w:t xml:space="preserve"> cet égard, son autorité sera nominalement identique à celle du roi de Grande- Bretagne</w:t>
      </w:r>
      <w:r w:rsidRPr="00D2217B">
        <w:t> ;</w:t>
      </w:r>
      <w:r w:rsidRPr="00D2217B">
        <w:rPr>
          <w:lang w:eastAsia="fr-FR" w:bidi="fr-FR"/>
        </w:rPr>
        <w:t xml:space="preserve"> mais, en réalité, elle est bien moindre</w:t>
      </w:r>
      <w:r>
        <w:rPr>
          <w:lang w:eastAsia="fr-FR" w:bidi="fr-FR"/>
        </w:rPr>
        <w:t> </w:t>
      </w:r>
      <w:r>
        <w:rPr>
          <w:rStyle w:val="Appelnotedebasdep"/>
          <w:lang w:eastAsia="fr-FR" w:bidi="fr-FR"/>
        </w:rPr>
        <w:footnoteReference w:id="47"/>
      </w:r>
      <w:r w:rsidRPr="00D2217B">
        <w:t> »</w:t>
      </w:r>
      <w:r w:rsidRPr="00D2217B">
        <w:rPr>
          <w:lang w:eastAsia="fr-FR" w:bidi="fr-FR"/>
        </w:rPr>
        <w:t>, n</w:t>
      </w:r>
      <w:r w:rsidRPr="00D2217B">
        <w:rPr>
          <w:lang w:eastAsia="fr-FR" w:bidi="fr-FR"/>
        </w:rPr>
        <w:t>o</w:t>
      </w:r>
      <w:r w:rsidRPr="00D2217B">
        <w:rPr>
          <w:lang w:eastAsia="fr-FR" w:bidi="fr-FR"/>
        </w:rPr>
        <w:t>tamment parce qu’il n’a pas le pouvoir de déclarer la guerre et de l</w:t>
      </w:r>
      <w:r w:rsidRPr="00D2217B">
        <w:rPr>
          <w:lang w:eastAsia="fr-FR" w:bidi="fr-FR"/>
        </w:rPr>
        <w:t>e</w:t>
      </w:r>
      <w:r w:rsidRPr="00D2217B">
        <w:rPr>
          <w:lang w:eastAsia="fr-FR" w:bidi="fr-FR"/>
        </w:rPr>
        <w:t>ver et d’entretenir les troupes. Deux amendements, particulièrement</w:t>
      </w:r>
      <w:r>
        <w:t xml:space="preserve"> [28] </w:t>
      </w:r>
      <w:r w:rsidRPr="00D2217B">
        <w:rPr>
          <w:lang w:eastAsia="fr-FR" w:bidi="fr-FR"/>
        </w:rPr>
        <w:t>révélateurs du souci d’efficacité de la politique étrangère, sont apportés avant la signature du texte constitutionnel. D’une part, Mad</w:t>
      </w:r>
      <w:r w:rsidRPr="00D2217B">
        <w:rPr>
          <w:lang w:eastAsia="fr-FR" w:bidi="fr-FR"/>
        </w:rPr>
        <w:t>i</w:t>
      </w:r>
      <w:r w:rsidRPr="00D2217B">
        <w:rPr>
          <w:lang w:eastAsia="fr-FR" w:bidi="fr-FR"/>
        </w:rPr>
        <w:t xml:space="preserve">son obtient qu’à la première formulation du pouvoir du Congrès de </w:t>
      </w:r>
      <w:r w:rsidRPr="00D2217B">
        <w:t>« </w:t>
      </w:r>
      <w:r w:rsidRPr="00D2217B">
        <w:rPr>
          <w:lang w:eastAsia="fr-FR" w:bidi="fr-FR"/>
        </w:rPr>
        <w:t>faire la guerre</w:t>
      </w:r>
      <w:r w:rsidRPr="00D2217B">
        <w:t> »</w:t>
      </w:r>
      <w:r w:rsidRPr="00D2217B">
        <w:rPr>
          <w:lang w:eastAsia="fr-FR" w:bidi="fr-FR"/>
        </w:rPr>
        <w:t xml:space="preserve"> soit substituée la formule </w:t>
      </w:r>
      <w:r w:rsidRPr="00D2217B">
        <w:t>« </w:t>
      </w:r>
      <w:r w:rsidRPr="00D2217B">
        <w:rPr>
          <w:lang w:eastAsia="fr-FR" w:bidi="fr-FR"/>
        </w:rPr>
        <w:t>déclarer la guerre</w:t>
      </w:r>
      <w:r w:rsidRPr="00D2217B">
        <w:t> »</w:t>
      </w:r>
      <w:r w:rsidRPr="00D2217B">
        <w:rPr>
          <w:lang w:eastAsia="fr-FR" w:bidi="fr-FR"/>
        </w:rPr>
        <w:t xml:space="preserve">. La nuance est d’importance et confère </w:t>
      </w:r>
      <w:r w:rsidRPr="00D2217B">
        <w:t xml:space="preserve">de </w:t>
      </w:r>
      <w:r w:rsidRPr="00D2217B">
        <w:rPr>
          <w:rStyle w:val="Corpsdutexte295ptItalique"/>
        </w:rPr>
        <w:t>facto</w:t>
      </w:r>
      <w:r w:rsidRPr="00D2217B">
        <w:t xml:space="preserve"> </w:t>
      </w:r>
      <w:r w:rsidRPr="00D2217B">
        <w:rPr>
          <w:lang w:eastAsia="fr-FR" w:bidi="fr-FR"/>
        </w:rPr>
        <w:t>au président la conduite effect</w:t>
      </w:r>
      <w:r w:rsidRPr="00D2217B">
        <w:rPr>
          <w:lang w:eastAsia="fr-FR" w:bidi="fr-FR"/>
        </w:rPr>
        <w:t>i</w:t>
      </w:r>
      <w:r w:rsidRPr="00D2217B">
        <w:rPr>
          <w:lang w:eastAsia="fr-FR" w:bidi="fr-FR"/>
        </w:rPr>
        <w:t>ve de la guerre</w:t>
      </w:r>
      <w:r>
        <w:rPr>
          <w:lang w:eastAsia="fr-FR" w:bidi="fr-FR"/>
        </w:rPr>
        <w:t> </w:t>
      </w:r>
      <w:r>
        <w:rPr>
          <w:rStyle w:val="Appelnotedebasdep"/>
          <w:lang w:eastAsia="fr-FR" w:bidi="fr-FR"/>
        </w:rPr>
        <w:footnoteReference w:id="48"/>
      </w:r>
      <w:r w:rsidRPr="00D2217B">
        <w:rPr>
          <w:lang w:eastAsia="fr-FR" w:bidi="fr-FR"/>
        </w:rPr>
        <w:t>. D’autre part, dix jours avant l’ajournement de la Convention, les constituants choisissent, contrairement à ce que prévoyait la disposition originale, de confier la responsabilité de n</w:t>
      </w:r>
      <w:r w:rsidRPr="00D2217B">
        <w:rPr>
          <w:lang w:eastAsia="fr-FR" w:bidi="fr-FR"/>
        </w:rPr>
        <w:t>é</w:t>
      </w:r>
      <w:r w:rsidRPr="00D2217B">
        <w:rPr>
          <w:lang w:eastAsia="fr-FR" w:bidi="fr-FR"/>
        </w:rPr>
        <w:t>gocier un traité au président plutôt qu’au Sénat dont le pouvoir est re</w:t>
      </w:r>
      <w:r w:rsidRPr="00D2217B">
        <w:rPr>
          <w:lang w:eastAsia="fr-FR" w:bidi="fr-FR"/>
        </w:rPr>
        <w:t>s</w:t>
      </w:r>
      <w:r w:rsidRPr="00D2217B">
        <w:rPr>
          <w:lang w:eastAsia="fr-FR" w:bidi="fr-FR"/>
        </w:rPr>
        <w:t>treint aux avis et à la r</w:t>
      </w:r>
      <w:r w:rsidRPr="00D2217B">
        <w:rPr>
          <w:lang w:eastAsia="fr-FR" w:bidi="fr-FR"/>
        </w:rPr>
        <w:t>a</w:t>
      </w:r>
      <w:r w:rsidRPr="00D2217B">
        <w:rPr>
          <w:lang w:eastAsia="fr-FR" w:bidi="fr-FR"/>
        </w:rPr>
        <w:t>tification</w:t>
      </w:r>
      <w:r>
        <w:rPr>
          <w:lang w:eastAsia="fr-FR" w:bidi="fr-FR"/>
        </w:rPr>
        <w:t> </w:t>
      </w:r>
      <w:r>
        <w:rPr>
          <w:rStyle w:val="Appelnotedebasdep"/>
          <w:lang w:eastAsia="fr-FR" w:bidi="fr-FR"/>
        </w:rPr>
        <w:footnoteReference w:id="49"/>
      </w:r>
      <w:r w:rsidRPr="00D2217B">
        <w:rPr>
          <w:lang w:eastAsia="fr-FR" w:bidi="fr-FR"/>
        </w:rPr>
        <w:t>. De fait, dès les premières années du gouvernement Washington, la pratique quotidienne de la politique étrangère s’avère comporter bien plus d’objets que ce qu’on avait pr</w:t>
      </w:r>
      <w:r w:rsidRPr="00D2217B">
        <w:rPr>
          <w:lang w:eastAsia="fr-FR" w:bidi="fr-FR"/>
        </w:rPr>
        <w:t>é</w:t>
      </w:r>
      <w:r w:rsidRPr="00D2217B">
        <w:rPr>
          <w:lang w:eastAsia="fr-FR" w:bidi="fr-FR"/>
        </w:rPr>
        <w:t>vu explicit</w:t>
      </w:r>
      <w:r w:rsidRPr="00D2217B">
        <w:rPr>
          <w:lang w:eastAsia="fr-FR" w:bidi="fr-FR"/>
        </w:rPr>
        <w:t>e</w:t>
      </w:r>
      <w:r w:rsidRPr="00D2217B">
        <w:rPr>
          <w:lang w:eastAsia="fr-FR" w:bidi="fr-FR"/>
        </w:rPr>
        <w:t>ment dans la Constitution.</w:t>
      </w:r>
    </w:p>
    <w:p w14:paraId="527D099C" w14:textId="77777777" w:rsidR="0039793A" w:rsidRPr="00D2217B" w:rsidRDefault="0039793A" w:rsidP="0039793A">
      <w:pPr>
        <w:spacing w:before="120" w:after="120"/>
        <w:jc w:val="both"/>
      </w:pPr>
      <w:r w:rsidRPr="00D2217B">
        <w:rPr>
          <w:lang w:eastAsia="fr-FR" w:bidi="fr-FR"/>
        </w:rPr>
        <w:t>Hamilton n’en apporte pas moins un bémol à son apologie du po</w:t>
      </w:r>
      <w:r w:rsidRPr="00D2217B">
        <w:rPr>
          <w:lang w:eastAsia="fr-FR" w:bidi="fr-FR"/>
        </w:rPr>
        <w:t>u</w:t>
      </w:r>
      <w:r w:rsidRPr="00D2217B">
        <w:rPr>
          <w:lang w:eastAsia="fr-FR" w:bidi="fr-FR"/>
        </w:rPr>
        <w:t>voir exécutif. Il voit dans l’obligation de ratification des traités par les deux tiers du Sénat une protection contre une dérive propre à la nature humaine</w:t>
      </w:r>
      <w:r w:rsidRPr="00D2217B">
        <w:t> :</w:t>
      </w:r>
      <w:r w:rsidRPr="00D2217B">
        <w:rPr>
          <w:lang w:eastAsia="fr-FR" w:bidi="fr-FR"/>
        </w:rPr>
        <w:t xml:space="preserve"> il ne serait pas sage pour </w:t>
      </w:r>
      <w:r w:rsidRPr="00D2217B">
        <w:t>« </w:t>
      </w:r>
      <w:r w:rsidRPr="00D2217B">
        <w:rPr>
          <w:lang w:eastAsia="fr-FR" w:bidi="fr-FR"/>
        </w:rPr>
        <w:t>une nation de remettre des int</w:t>
      </w:r>
      <w:r w:rsidRPr="00D2217B">
        <w:rPr>
          <w:lang w:eastAsia="fr-FR" w:bidi="fr-FR"/>
        </w:rPr>
        <w:t>é</w:t>
      </w:r>
      <w:r w:rsidRPr="00D2217B">
        <w:rPr>
          <w:lang w:eastAsia="fr-FR" w:bidi="fr-FR"/>
        </w:rPr>
        <w:t>rêts d’une nature si délicate et si importante que ceux qui concernent ses rapports avec le reste du monde à la seule disposition d’un magi</w:t>
      </w:r>
      <w:r w:rsidRPr="00D2217B">
        <w:rPr>
          <w:lang w:eastAsia="fr-FR" w:bidi="fr-FR"/>
        </w:rPr>
        <w:t>s</w:t>
      </w:r>
      <w:r w:rsidRPr="00D2217B">
        <w:rPr>
          <w:lang w:eastAsia="fr-FR" w:bidi="fr-FR"/>
        </w:rPr>
        <w:t xml:space="preserve">trat créé et entouré comme le serait un président des </w:t>
      </w:r>
      <w:r>
        <w:rPr>
          <w:lang w:eastAsia="fr-FR" w:bidi="fr-FR"/>
        </w:rPr>
        <w:t>État</w:t>
      </w:r>
      <w:r w:rsidRPr="00D2217B">
        <w:rPr>
          <w:lang w:eastAsia="fr-FR" w:bidi="fr-FR"/>
        </w:rPr>
        <w:t>s-Unis</w:t>
      </w:r>
      <w:r>
        <w:rPr>
          <w:lang w:eastAsia="fr-FR" w:bidi="fr-FR"/>
        </w:rPr>
        <w:t> </w:t>
      </w:r>
      <w:r>
        <w:rPr>
          <w:rStyle w:val="Appelnotedebasdep"/>
          <w:lang w:eastAsia="fr-FR" w:bidi="fr-FR"/>
        </w:rPr>
        <w:footnoteReference w:id="50"/>
      </w:r>
      <w:r w:rsidRPr="00D2217B">
        <w:t> »</w:t>
      </w:r>
      <w:r w:rsidRPr="00D2217B">
        <w:rPr>
          <w:lang w:eastAsia="fr-FR" w:bidi="fr-FR"/>
        </w:rPr>
        <w:t>. Même le pouvoir présidentiel de nommer les a</w:t>
      </w:r>
      <w:r w:rsidRPr="00D2217B">
        <w:rPr>
          <w:lang w:eastAsia="fr-FR" w:bidi="fr-FR"/>
        </w:rPr>
        <w:t>m</w:t>
      </w:r>
      <w:r w:rsidRPr="00D2217B">
        <w:rPr>
          <w:lang w:eastAsia="fr-FR" w:bidi="fr-FR"/>
        </w:rPr>
        <w:t>bassadeurs est dans cette perspective réduit à son aspect le plus symbolique</w:t>
      </w:r>
      <w:r w:rsidRPr="00D2217B">
        <w:t> :</w:t>
      </w:r>
      <w:r w:rsidRPr="00D2217B">
        <w:rPr>
          <w:lang w:eastAsia="fr-FR" w:bidi="fr-FR"/>
        </w:rPr>
        <w:t xml:space="preserve"> pour Hami</w:t>
      </w:r>
      <w:r w:rsidRPr="00D2217B">
        <w:rPr>
          <w:lang w:eastAsia="fr-FR" w:bidi="fr-FR"/>
        </w:rPr>
        <w:t>l</w:t>
      </w:r>
      <w:r w:rsidRPr="00D2217B">
        <w:rPr>
          <w:lang w:eastAsia="fr-FR" w:bidi="fr-FR"/>
        </w:rPr>
        <w:t xml:space="preserve">ton, c’est </w:t>
      </w:r>
      <w:r w:rsidRPr="00D2217B">
        <w:t>« </w:t>
      </w:r>
      <w:r w:rsidRPr="00D2217B">
        <w:rPr>
          <w:lang w:eastAsia="fr-FR" w:bidi="fr-FR"/>
        </w:rPr>
        <w:t>beaucoup plus une affaire de dignité que d’autorité</w:t>
      </w:r>
      <w:r>
        <w:rPr>
          <w:lang w:eastAsia="fr-FR" w:bidi="fr-FR"/>
        </w:rPr>
        <w:t> </w:t>
      </w:r>
      <w:r>
        <w:rPr>
          <w:rStyle w:val="Appelnotedebasdep"/>
          <w:lang w:eastAsia="fr-FR" w:bidi="fr-FR"/>
        </w:rPr>
        <w:footnoteReference w:id="51"/>
      </w:r>
      <w:r w:rsidRPr="00D2217B">
        <w:t> ».</w:t>
      </w:r>
    </w:p>
    <w:p w14:paraId="21E6910C" w14:textId="77777777" w:rsidR="0039793A" w:rsidRPr="00D2217B" w:rsidRDefault="0039793A" w:rsidP="0039793A">
      <w:pPr>
        <w:spacing w:before="120" w:after="120"/>
        <w:jc w:val="both"/>
      </w:pPr>
      <w:r w:rsidRPr="00D2217B">
        <w:rPr>
          <w:lang w:eastAsia="fr-FR" w:bidi="fr-FR"/>
        </w:rPr>
        <w:t>Les événements des premières années de go</w:t>
      </w:r>
      <w:r w:rsidRPr="00D2217B">
        <w:rPr>
          <w:lang w:eastAsia="fr-FR" w:bidi="fr-FR"/>
        </w:rPr>
        <w:t>u</w:t>
      </w:r>
      <w:r w:rsidRPr="00D2217B">
        <w:rPr>
          <w:lang w:eastAsia="fr-FR" w:bidi="fr-FR"/>
        </w:rPr>
        <w:t>vernement conduisent Madison à se prononcer très vivement sur les pouvoirs de guerre du président. Dès 1793, en effet, tandis que la population amér</w:t>
      </w:r>
      <w:r w:rsidRPr="00D2217B">
        <w:rPr>
          <w:lang w:eastAsia="fr-FR" w:bidi="fr-FR"/>
        </w:rPr>
        <w:t>i</w:t>
      </w:r>
      <w:r w:rsidRPr="00D2217B">
        <w:rPr>
          <w:lang w:eastAsia="fr-FR" w:bidi="fr-FR"/>
        </w:rPr>
        <w:t>caine est partagée sur la Révolution française, qu’Hamilton, secrétaire au Tr</w:t>
      </w:r>
      <w:r w:rsidRPr="00D2217B">
        <w:rPr>
          <w:lang w:eastAsia="fr-FR" w:bidi="fr-FR"/>
        </w:rPr>
        <w:t>é</w:t>
      </w:r>
      <w:r w:rsidRPr="00D2217B">
        <w:rPr>
          <w:lang w:eastAsia="fr-FR" w:bidi="fr-FR"/>
        </w:rPr>
        <w:t>sor, se prononce résolument en faveur de la Grande-Bretagne et que Jefferson, secrétaire d’</w:t>
      </w:r>
      <w:r>
        <w:rPr>
          <w:lang w:eastAsia="fr-FR" w:bidi="fr-FR"/>
        </w:rPr>
        <w:t>État</w:t>
      </w:r>
      <w:r w:rsidRPr="00D2217B">
        <w:rPr>
          <w:lang w:eastAsia="fr-FR" w:bidi="fr-FR"/>
        </w:rPr>
        <w:t>, soutient ouvertement l’alliance avec la France, Washington</w:t>
      </w:r>
      <w:r>
        <w:t xml:space="preserve"> [29] </w:t>
      </w:r>
      <w:r w:rsidRPr="00D2217B">
        <w:rPr>
          <w:lang w:eastAsia="fr-FR" w:bidi="fr-FR"/>
        </w:rPr>
        <w:t>prend la décision - sans consulter le Congrès et nonobstant le traité franco-américain de 1778 - de proclamer la ne</w:t>
      </w:r>
      <w:r w:rsidRPr="00D2217B">
        <w:rPr>
          <w:lang w:eastAsia="fr-FR" w:bidi="fr-FR"/>
        </w:rPr>
        <w:t>u</w:t>
      </w:r>
      <w:r w:rsidRPr="00D2217B">
        <w:rPr>
          <w:lang w:eastAsia="fr-FR" w:bidi="fr-FR"/>
        </w:rPr>
        <w:t>tralité des États-Unis dans le conflit opposant la France à la Grande-Bretagne. Le débat qui s’ensuit est vigoureux. Selon Hamilton, le pouvoir du Congrès de déclarer la guerre et de consentir à la ratific</w:t>
      </w:r>
      <w:r w:rsidRPr="00D2217B">
        <w:rPr>
          <w:lang w:eastAsia="fr-FR" w:bidi="fr-FR"/>
        </w:rPr>
        <w:t>a</w:t>
      </w:r>
      <w:r w:rsidRPr="00D2217B">
        <w:rPr>
          <w:lang w:eastAsia="fr-FR" w:bidi="fr-FR"/>
        </w:rPr>
        <w:t>tion des traités ne s’applique pas, puisqu’il ne s’agit là que d’interpréter un traité. À l’inverse, Madison, membre de la Chambre des représentants, reproche publiquement au président d’avoir outr</w:t>
      </w:r>
      <w:r w:rsidRPr="00D2217B">
        <w:rPr>
          <w:lang w:eastAsia="fr-FR" w:bidi="fr-FR"/>
        </w:rPr>
        <w:t>e</w:t>
      </w:r>
      <w:r w:rsidRPr="00D2217B">
        <w:rPr>
          <w:lang w:eastAsia="fr-FR" w:bidi="fr-FR"/>
        </w:rPr>
        <w:t>passé ses pouvoirs const</w:t>
      </w:r>
      <w:r w:rsidRPr="00D2217B">
        <w:rPr>
          <w:lang w:eastAsia="fr-FR" w:bidi="fr-FR"/>
        </w:rPr>
        <w:t>i</w:t>
      </w:r>
      <w:r w:rsidRPr="00D2217B">
        <w:rPr>
          <w:lang w:eastAsia="fr-FR" w:bidi="fr-FR"/>
        </w:rPr>
        <w:t>tutionnels</w:t>
      </w:r>
      <w:r w:rsidRPr="00D2217B">
        <w:t> :</w:t>
      </w:r>
      <w:r w:rsidRPr="00D2217B">
        <w:rPr>
          <w:lang w:eastAsia="fr-FR" w:bidi="fr-FR"/>
        </w:rPr>
        <w:t xml:space="preserve"> selon lui, le pouvoir exécutif n’avait aucun droit de déte</w:t>
      </w:r>
      <w:r w:rsidRPr="00D2217B">
        <w:rPr>
          <w:lang w:eastAsia="fr-FR" w:bidi="fr-FR"/>
        </w:rPr>
        <w:t>r</w:t>
      </w:r>
      <w:r w:rsidRPr="00D2217B">
        <w:rPr>
          <w:lang w:eastAsia="fr-FR" w:bidi="fr-FR"/>
        </w:rPr>
        <w:t>miner lui-même si oui ou non il devait y avoir déclaration de gue</w:t>
      </w:r>
      <w:r w:rsidRPr="00D2217B">
        <w:rPr>
          <w:lang w:eastAsia="fr-FR" w:bidi="fr-FR"/>
        </w:rPr>
        <w:t>r</w:t>
      </w:r>
      <w:r w:rsidRPr="00D2217B">
        <w:rPr>
          <w:lang w:eastAsia="fr-FR" w:bidi="fr-FR"/>
        </w:rPr>
        <w:t>re</w:t>
      </w:r>
      <w:r>
        <w:rPr>
          <w:lang w:eastAsia="fr-FR" w:bidi="fr-FR"/>
        </w:rPr>
        <w:t> </w:t>
      </w:r>
      <w:r>
        <w:rPr>
          <w:rStyle w:val="Appelnotedebasdep"/>
          <w:lang w:eastAsia="fr-FR" w:bidi="fr-FR"/>
        </w:rPr>
        <w:footnoteReference w:id="52"/>
      </w:r>
      <w:r w:rsidRPr="00D2217B">
        <w:rPr>
          <w:lang w:eastAsia="fr-FR" w:bidi="fr-FR"/>
        </w:rPr>
        <w:t>.</w:t>
      </w:r>
    </w:p>
    <w:p w14:paraId="25573800" w14:textId="77777777" w:rsidR="0039793A" w:rsidRPr="00D2217B" w:rsidRDefault="0039793A" w:rsidP="0039793A">
      <w:pPr>
        <w:spacing w:before="120" w:after="120"/>
        <w:jc w:val="both"/>
      </w:pPr>
      <w:r w:rsidRPr="00D2217B">
        <w:rPr>
          <w:lang w:eastAsia="fr-FR" w:bidi="fr-FR"/>
        </w:rPr>
        <w:t>Le document de 1787 est donc sujet à des inte</w:t>
      </w:r>
      <w:r w:rsidRPr="00D2217B">
        <w:rPr>
          <w:lang w:eastAsia="fr-FR" w:bidi="fr-FR"/>
        </w:rPr>
        <w:t>r</w:t>
      </w:r>
      <w:r w:rsidRPr="00D2217B">
        <w:rPr>
          <w:lang w:eastAsia="fr-FR" w:bidi="fr-FR"/>
        </w:rPr>
        <w:t>prétations diverses</w:t>
      </w:r>
      <w:r w:rsidRPr="00D2217B">
        <w:t> :</w:t>
      </w:r>
      <w:r w:rsidRPr="00D2217B">
        <w:rPr>
          <w:lang w:eastAsia="fr-FR" w:bidi="fr-FR"/>
        </w:rPr>
        <w:t xml:space="preserve"> il laisse entières de nombreuses incertitudes. La période contempora</w:t>
      </w:r>
      <w:r w:rsidRPr="00D2217B">
        <w:rPr>
          <w:lang w:eastAsia="fr-FR" w:bidi="fr-FR"/>
        </w:rPr>
        <w:t>i</w:t>
      </w:r>
      <w:r w:rsidRPr="00D2217B">
        <w:rPr>
          <w:lang w:eastAsia="fr-FR" w:bidi="fr-FR"/>
        </w:rPr>
        <w:t>ne voit perdurer ces débats vivaces entre les partisans de l’autorité constitutionnelle du Congrès et les tenants de la suprématie du po</w:t>
      </w:r>
      <w:r w:rsidRPr="00D2217B">
        <w:rPr>
          <w:lang w:eastAsia="fr-FR" w:bidi="fr-FR"/>
        </w:rPr>
        <w:t>u</w:t>
      </w:r>
      <w:r w:rsidRPr="00D2217B">
        <w:rPr>
          <w:lang w:eastAsia="fr-FR" w:bidi="fr-FR"/>
        </w:rPr>
        <w:t>voir présidentiel.</w:t>
      </w:r>
    </w:p>
    <w:p w14:paraId="1E0C2C26" w14:textId="77777777" w:rsidR="0039793A" w:rsidRDefault="0039793A" w:rsidP="0039793A">
      <w:pPr>
        <w:spacing w:before="120" w:after="120"/>
        <w:jc w:val="both"/>
        <w:rPr>
          <w:lang w:eastAsia="fr-FR" w:bidi="fr-FR"/>
        </w:rPr>
      </w:pPr>
    </w:p>
    <w:p w14:paraId="5406609B" w14:textId="77777777" w:rsidR="0039793A" w:rsidRPr="00D2217B" w:rsidRDefault="0039793A" w:rsidP="0039793A">
      <w:pPr>
        <w:pStyle w:val="a"/>
      </w:pPr>
      <w:r w:rsidRPr="00D2217B">
        <w:t>La thèse de l’autorité constitutionnelle du Congrès</w:t>
      </w:r>
    </w:p>
    <w:p w14:paraId="13B4F9FF" w14:textId="77777777" w:rsidR="0039793A" w:rsidRDefault="0039793A" w:rsidP="0039793A">
      <w:pPr>
        <w:spacing w:before="120" w:after="120"/>
        <w:jc w:val="both"/>
        <w:rPr>
          <w:lang w:eastAsia="fr-FR" w:bidi="fr-FR"/>
        </w:rPr>
      </w:pPr>
    </w:p>
    <w:p w14:paraId="20E75D64" w14:textId="77777777" w:rsidR="0039793A" w:rsidRPr="00D2217B" w:rsidRDefault="0039793A" w:rsidP="0039793A">
      <w:pPr>
        <w:spacing w:before="120" w:after="120"/>
        <w:jc w:val="both"/>
      </w:pPr>
      <w:r w:rsidRPr="00D2217B">
        <w:rPr>
          <w:lang w:eastAsia="fr-FR" w:bidi="fr-FR"/>
        </w:rPr>
        <w:t xml:space="preserve">Tout au long du </w:t>
      </w:r>
      <w:r w:rsidRPr="00D2217B">
        <w:t>XIX</w:t>
      </w:r>
      <w:r w:rsidRPr="00D2217B">
        <w:rPr>
          <w:vertAlign w:val="superscript"/>
        </w:rPr>
        <w:t>e</w:t>
      </w:r>
      <w:r>
        <w:rPr>
          <w:vertAlign w:val="superscript"/>
        </w:rPr>
        <w:t xml:space="preserve"> </w:t>
      </w:r>
      <w:r w:rsidRPr="00D2217B">
        <w:rPr>
          <w:lang w:eastAsia="fr-FR" w:bidi="fr-FR"/>
        </w:rPr>
        <w:t>siècle, la politique amér</w:t>
      </w:r>
      <w:r w:rsidRPr="00D2217B">
        <w:rPr>
          <w:lang w:eastAsia="fr-FR" w:bidi="fr-FR"/>
        </w:rPr>
        <w:t>i</w:t>
      </w:r>
      <w:r w:rsidRPr="00D2217B">
        <w:rPr>
          <w:lang w:eastAsia="fr-FR" w:bidi="fr-FR"/>
        </w:rPr>
        <w:t>caine, fidèle en cela aux instructions du premier président dans son message d’adieu, d</w:t>
      </w:r>
      <w:r w:rsidRPr="00D2217B">
        <w:rPr>
          <w:lang w:eastAsia="fr-FR" w:bidi="fr-FR"/>
        </w:rPr>
        <w:t>e</w:t>
      </w:r>
      <w:r w:rsidRPr="00D2217B">
        <w:rPr>
          <w:lang w:eastAsia="fr-FR" w:bidi="fr-FR"/>
        </w:rPr>
        <w:t xml:space="preserve">meure bien loin des </w:t>
      </w:r>
      <w:r w:rsidRPr="00D2217B">
        <w:t>« </w:t>
      </w:r>
      <w:r w:rsidRPr="00D2217B">
        <w:rPr>
          <w:lang w:eastAsia="fr-FR" w:bidi="fr-FR"/>
        </w:rPr>
        <w:t>vicissitudes</w:t>
      </w:r>
      <w:r w:rsidRPr="00D2217B">
        <w:t> »</w:t>
      </w:r>
      <w:r w:rsidRPr="00D2217B">
        <w:rPr>
          <w:lang w:eastAsia="fr-FR" w:bidi="fr-FR"/>
        </w:rPr>
        <w:t xml:space="preserve"> des relations internation</w:t>
      </w:r>
      <w:r w:rsidRPr="00D2217B">
        <w:rPr>
          <w:lang w:eastAsia="fr-FR" w:bidi="fr-FR"/>
        </w:rPr>
        <w:t>a</w:t>
      </w:r>
      <w:r w:rsidRPr="00D2217B">
        <w:rPr>
          <w:lang w:eastAsia="fr-FR" w:bidi="fr-FR"/>
        </w:rPr>
        <w:t>les en Europe. Le pouvoir exécutif, peu confronté à des questions de polit</w:t>
      </w:r>
      <w:r w:rsidRPr="00D2217B">
        <w:rPr>
          <w:lang w:eastAsia="fr-FR" w:bidi="fr-FR"/>
        </w:rPr>
        <w:t>i</w:t>
      </w:r>
      <w:r w:rsidRPr="00D2217B">
        <w:rPr>
          <w:lang w:eastAsia="fr-FR" w:bidi="fr-FR"/>
        </w:rPr>
        <w:t>que étrangère, reste somme toute assez respectueux des prérogatives du Congrès</w:t>
      </w:r>
      <w:r>
        <w:rPr>
          <w:lang w:eastAsia="fr-FR" w:bidi="fr-FR"/>
        </w:rPr>
        <w:t> </w:t>
      </w:r>
      <w:r>
        <w:rPr>
          <w:rStyle w:val="Appelnotedebasdep"/>
          <w:lang w:eastAsia="fr-FR" w:bidi="fr-FR"/>
        </w:rPr>
        <w:footnoteReference w:id="53"/>
      </w:r>
      <w:r w:rsidRPr="00D2217B">
        <w:rPr>
          <w:lang w:eastAsia="fr-FR" w:bidi="fr-FR"/>
        </w:rPr>
        <w:t>. Le fait que la balance des pouvoirs penche vers le Congrès a d’ailleurs pu conduire à qualifier le régime politique amér</w:t>
      </w:r>
      <w:r w:rsidRPr="00D2217B">
        <w:rPr>
          <w:lang w:eastAsia="fr-FR" w:bidi="fr-FR"/>
        </w:rPr>
        <w:t>i</w:t>
      </w:r>
      <w:r w:rsidRPr="00D2217B">
        <w:rPr>
          <w:lang w:eastAsia="fr-FR" w:bidi="fr-FR"/>
        </w:rPr>
        <w:t xml:space="preserve">cain, durant cette période, de </w:t>
      </w:r>
      <w:r w:rsidRPr="00D2217B">
        <w:t>« </w:t>
      </w:r>
      <w:r w:rsidRPr="00D2217B">
        <w:rPr>
          <w:lang w:eastAsia="fr-FR" w:bidi="fr-FR"/>
        </w:rPr>
        <w:t>régime congressionnel</w:t>
      </w:r>
      <w:r>
        <w:rPr>
          <w:lang w:eastAsia="fr-FR" w:bidi="fr-FR"/>
        </w:rPr>
        <w:t> </w:t>
      </w:r>
      <w:r>
        <w:rPr>
          <w:rStyle w:val="Appelnotedebasdep"/>
          <w:lang w:eastAsia="fr-FR" w:bidi="fr-FR"/>
        </w:rPr>
        <w:footnoteReference w:id="54"/>
      </w:r>
      <w:r w:rsidRPr="00D2217B">
        <w:t> »</w:t>
      </w:r>
      <w:r w:rsidRPr="00D2217B">
        <w:rPr>
          <w:lang w:eastAsia="fr-FR" w:bidi="fr-FR"/>
        </w:rPr>
        <w:t>. Ceci vient conforter les défenseurs des pouvoirs du Congrès qui s’appuient sur l’intention évidente des Fond</w:t>
      </w:r>
      <w:r w:rsidRPr="00D2217B">
        <w:rPr>
          <w:lang w:eastAsia="fr-FR" w:bidi="fr-FR"/>
        </w:rPr>
        <w:t>a</w:t>
      </w:r>
      <w:r w:rsidRPr="00D2217B">
        <w:rPr>
          <w:lang w:eastAsia="fr-FR" w:bidi="fr-FR"/>
        </w:rPr>
        <w:t>teurs de ne pas confier le champ des relations i</w:t>
      </w:r>
      <w:r w:rsidRPr="00D2217B">
        <w:rPr>
          <w:lang w:eastAsia="fr-FR" w:bidi="fr-FR"/>
        </w:rPr>
        <w:t>n</w:t>
      </w:r>
      <w:r w:rsidRPr="00D2217B">
        <w:rPr>
          <w:lang w:eastAsia="fr-FR" w:bidi="fr-FR"/>
        </w:rPr>
        <w:t>ternationales à une seule entité, toujours tentée par l’arbitraire.</w:t>
      </w:r>
    </w:p>
    <w:p w14:paraId="66F6902E" w14:textId="77777777" w:rsidR="0039793A" w:rsidRDefault="0039793A" w:rsidP="0039793A">
      <w:pPr>
        <w:spacing w:before="120" w:after="120"/>
        <w:jc w:val="both"/>
      </w:pPr>
      <w:r>
        <w:t>[30]</w:t>
      </w:r>
    </w:p>
    <w:p w14:paraId="1C062029" w14:textId="77777777" w:rsidR="0039793A" w:rsidRPr="00D2217B" w:rsidRDefault="0039793A" w:rsidP="0039793A">
      <w:pPr>
        <w:spacing w:before="120" w:after="120"/>
        <w:jc w:val="both"/>
      </w:pPr>
      <w:r w:rsidRPr="00D2217B">
        <w:rPr>
          <w:lang w:eastAsia="fr-FR" w:bidi="fr-FR"/>
        </w:rPr>
        <w:t>L’argument majeur</w:t>
      </w:r>
      <w:r w:rsidRPr="00D2217B">
        <w:t> :</w:t>
      </w:r>
      <w:r w:rsidRPr="00D2217B">
        <w:rPr>
          <w:lang w:eastAsia="fr-FR" w:bidi="fr-FR"/>
        </w:rPr>
        <w:t xml:space="preserve"> aussi complexes que soient les questions i</w:t>
      </w:r>
      <w:r w:rsidRPr="00D2217B">
        <w:rPr>
          <w:lang w:eastAsia="fr-FR" w:bidi="fr-FR"/>
        </w:rPr>
        <w:t>n</w:t>
      </w:r>
      <w:r w:rsidRPr="00D2217B">
        <w:rPr>
          <w:lang w:eastAsia="fr-FR" w:bidi="fr-FR"/>
        </w:rPr>
        <w:t>ternationales, elles doivent être soumises à la délibération et à la déc</w:t>
      </w:r>
      <w:r w:rsidRPr="00D2217B">
        <w:rPr>
          <w:lang w:eastAsia="fr-FR" w:bidi="fr-FR"/>
        </w:rPr>
        <w:t>i</w:t>
      </w:r>
      <w:r w:rsidRPr="00D2217B">
        <w:rPr>
          <w:lang w:eastAsia="fr-FR" w:bidi="fr-FR"/>
        </w:rPr>
        <w:t>sion des représentants du peuple</w:t>
      </w:r>
      <w:r>
        <w:rPr>
          <w:lang w:eastAsia="fr-FR" w:bidi="fr-FR"/>
        </w:rPr>
        <w:t> </w:t>
      </w:r>
      <w:r>
        <w:rPr>
          <w:rStyle w:val="Appelnotedebasdep"/>
          <w:lang w:eastAsia="fr-FR" w:bidi="fr-FR"/>
        </w:rPr>
        <w:footnoteReference w:id="55"/>
      </w:r>
      <w:r w:rsidRPr="00D2217B">
        <w:t> :</w:t>
      </w:r>
      <w:r w:rsidRPr="00D2217B">
        <w:rPr>
          <w:lang w:eastAsia="fr-FR" w:bidi="fr-FR"/>
        </w:rPr>
        <w:t xml:space="preserve"> il ne serait pas sage de confier les rapports de la République avec le reste du monde à un seul magi</w:t>
      </w:r>
      <w:r w:rsidRPr="00D2217B">
        <w:rPr>
          <w:lang w:eastAsia="fr-FR" w:bidi="fr-FR"/>
        </w:rPr>
        <w:t>s</w:t>
      </w:r>
      <w:r w:rsidRPr="00D2217B">
        <w:rPr>
          <w:lang w:eastAsia="fr-FR" w:bidi="fr-FR"/>
        </w:rPr>
        <w:t>trat</w:t>
      </w:r>
      <w:r>
        <w:rPr>
          <w:lang w:eastAsia="fr-FR" w:bidi="fr-FR"/>
        </w:rPr>
        <w:t> </w:t>
      </w:r>
      <w:r>
        <w:rPr>
          <w:rStyle w:val="Appelnotedebasdep"/>
          <w:lang w:eastAsia="fr-FR" w:bidi="fr-FR"/>
        </w:rPr>
        <w:footnoteReference w:id="56"/>
      </w:r>
      <w:r w:rsidRPr="00D2217B">
        <w:rPr>
          <w:lang w:eastAsia="fr-FR" w:bidi="fr-FR"/>
        </w:rPr>
        <w:t>. La personnification du pouvoir présidentiel conduit à toutes les suspicions</w:t>
      </w:r>
      <w:r w:rsidRPr="00D2217B">
        <w:t> :</w:t>
      </w:r>
      <w:r w:rsidRPr="00D2217B">
        <w:rPr>
          <w:lang w:eastAsia="fr-FR" w:bidi="fr-FR"/>
        </w:rPr>
        <w:t xml:space="preserve"> on reproche encore aux présidents de se servir de la pol</w:t>
      </w:r>
      <w:r w:rsidRPr="00D2217B">
        <w:rPr>
          <w:lang w:eastAsia="fr-FR" w:bidi="fr-FR"/>
        </w:rPr>
        <w:t>i</w:t>
      </w:r>
      <w:r w:rsidRPr="00D2217B">
        <w:rPr>
          <w:lang w:eastAsia="fr-FR" w:bidi="fr-FR"/>
        </w:rPr>
        <w:t>tique étrangère à des fins partisanes, de favoriser des intérêts partic</w:t>
      </w:r>
      <w:r w:rsidRPr="00D2217B">
        <w:rPr>
          <w:lang w:eastAsia="fr-FR" w:bidi="fr-FR"/>
        </w:rPr>
        <w:t>u</w:t>
      </w:r>
      <w:r w:rsidRPr="00D2217B">
        <w:rPr>
          <w:lang w:eastAsia="fr-FR" w:bidi="fr-FR"/>
        </w:rPr>
        <w:t>liers plutôt que l’intérêt général</w:t>
      </w:r>
      <w:r>
        <w:rPr>
          <w:lang w:eastAsia="fr-FR" w:bidi="fr-FR"/>
        </w:rPr>
        <w:t> </w:t>
      </w:r>
      <w:r>
        <w:rPr>
          <w:rStyle w:val="Appelnotedebasdep"/>
          <w:lang w:eastAsia="fr-FR" w:bidi="fr-FR"/>
        </w:rPr>
        <w:footnoteReference w:id="57"/>
      </w:r>
      <w:r w:rsidRPr="00D2217B">
        <w:rPr>
          <w:lang w:eastAsia="fr-FR" w:bidi="fr-FR"/>
        </w:rPr>
        <w:t>. Les défenseurs de l’autorité const</w:t>
      </w:r>
      <w:r w:rsidRPr="00D2217B">
        <w:rPr>
          <w:lang w:eastAsia="fr-FR" w:bidi="fr-FR"/>
        </w:rPr>
        <w:t>i</w:t>
      </w:r>
      <w:r w:rsidRPr="00D2217B">
        <w:rPr>
          <w:lang w:eastAsia="fr-FR" w:bidi="fr-FR"/>
        </w:rPr>
        <w:t>tutio</w:t>
      </w:r>
      <w:r w:rsidRPr="00D2217B">
        <w:rPr>
          <w:lang w:eastAsia="fr-FR" w:bidi="fr-FR"/>
        </w:rPr>
        <w:t>n</w:t>
      </w:r>
      <w:r w:rsidRPr="00D2217B">
        <w:rPr>
          <w:lang w:eastAsia="fr-FR" w:bidi="fr-FR"/>
        </w:rPr>
        <w:t>nelle du Congrès ajoutent d’ailleurs qu’il suffit de s’en tenir à la lect</w:t>
      </w:r>
      <w:r w:rsidRPr="00D2217B">
        <w:rPr>
          <w:lang w:eastAsia="fr-FR" w:bidi="fr-FR"/>
        </w:rPr>
        <w:t>u</w:t>
      </w:r>
      <w:r w:rsidRPr="00D2217B">
        <w:rPr>
          <w:lang w:eastAsia="fr-FR" w:bidi="fr-FR"/>
        </w:rPr>
        <w:t>re littérale de la Constitution</w:t>
      </w:r>
      <w:r w:rsidRPr="00D2217B">
        <w:t> :</w:t>
      </w:r>
      <w:r w:rsidRPr="00D2217B">
        <w:rPr>
          <w:lang w:eastAsia="fr-FR" w:bidi="fr-FR"/>
        </w:rPr>
        <w:t xml:space="preserve"> même si le texte fondamental est toujours sujet à interprétation, il n’en demeure pas moins très explic</w:t>
      </w:r>
      <w:r w:rsidRPr="00D2217B">
        <w:rPr>
          <w:lang w:eastAsia="fr-FR" w:bidi="fr-FR"/>
        </w:rPr>
        <w:t>i</w:t>
      </w:r>
      <w:r w:rsidRPr="00D2217B">
        <w:rPr>
          <w:lang w:eastAsia="fr-FR" w:bidi="fr-FR"/>
        </w:rPr>
        <w:t>te, par exemple en ce qui a trait au pouvoir formel du Congrès de d</w:t>
      </w:r>
      <w:r w:rsidRPr="00D2217B">
        <w:rPr>
          <w:lang w:eastAsia="fr-FR" w:bidi="fr-FR"/>
        </w:rPr>
        <w:t>é</w:t>
      </w:r>
      <w:r w:rsidRPr="00D2217B">
        <w:rPr>
          <w:lang w:eastAsia="fr-FR" w:bidi="fr-FR"/>
        </w:rPr>
        <w:t>clarer la gue</w:t>
      </w:r>
      <w:r w:rsidRPr="00D2217B">
        <w:rPr>
          <w:lang w:eastAsia="fr-FR" w:bidi="fr-FR"/>
        </w:rPr>
        <w:t>r</w:t>
      </w:r>
      <w:r w:rsidRPr="00D2217B">
        <w:rPr>
          <w:lang w:eastAsia="fr-FR" w:bidi="fr-FR"/>
        </w:rPr>
        <w:t>re, de lever et d’entretenir les armées et d’autoriser toutes les dépenses publiques</w:t>
      </w:r>
      <w:r>
        <w:rPr>
          <w:lang w:eastAsia="fr-FR" w:bidi="fr-FR"/>
        </w:rPr>
        <w:t> </w:t>
      </w:r>
      <w:r>
        <w:rPr>
          <w:rStyle w:val="Appelnotedebasdep"/>
          <w:lang w:eastAsia="fr-FR" w:bidi="fr-FR"/>
        </w:rPr>
        <w:footnoteReference w:id="58"/>
      </w:r>
      <w:r w:rsidRPr="00D2217B">
        <w:rPr>
          <w:lang w:eastAsia="fr-FR" w:bidi="fr-FR"/>
        </w:rPr>
        <w:t>.</w:t>
      </w:r>
    </w:p>
    <w:p w14:paraId="320C8A81" w14:textId="77777777" w:rsidR="0039793A" w:rsidRPr="00D2217B" w:rsidRDefault="0039793A" w:rsidP="0039793A">
      <w:pPr>
        <w:spacing w:before="120" w:after="120"/>
        <w:jc w:val="both"/>
      </w:pPr>
      <w:r w:rsidRPr="00D2217B">
        <w:rPr>
          <w:lang w:eastAsia="fr-FR" w:bidi="fr-FR"/>
        </w:rPr>
        <w:t>Dans la pratique, le principe de séparation des pouvoirs, qui occ</w:t>
      </w:r>
      <w:r w:rsidRPr="00D2217B">
        <w:rPr>
          <w:lang w:eastAsia="fr-FR" w:bidi="fr-FR"/>
        </w:rPr>
        <w:t>a</w:t>
      </w:r>
      <w:r w:rsidRPr="00D2217B">
        <w:rPr>
          <w:lang w:eastAsia="fr-FR" w:bidi="fr-FR"/>
        </w:rPr>
        <w:t>sionne des lenteurs et des lou</w:t>
      </w:r>
      <w:r w:rsidRPr="00D2217B">
        <w:rPr>
          <w:lang w:eastAsia="fr-FR" w:bidi="fr-FR"/>
        </w:rPr>
        <w:t>r</w:t>
      </w:r>
      <w:r w:rsidRPr="00D2217B">
        <w:rPr>
          <w:lang w:eastAsia="fr-FR" w:bidi="fr-FR"/>
        </w:rPr>
        <w:t>deurs, assure des actions retardées mais réfléchies. En effet, le processus de consultation et de conse</w:t>
      </w:r>
      <w:r w:rsidRPr="00D2217B">
        <w:rPr>
          <w:lang w:eastAsia="fr-FR" w:bidi="fr-FR"/>
        </w:rPr>
        <w:t>n</w:t>
      </w:r>
      <w:r w:rsidRPr="00D2217B">
        <w:rPr>
          <w:lang w:eastAsia="fr-FR" w:bidi="fr-FR"/>
        </w:rPr>
        <w:t>tement du Sénat est long et fastidieux mais il se</w:t>
      </w:r>
      <w:r w:rsidRPr="00D2217B">
        <w:rPr>
          <w:lang w:eastAsia="fr-FR" w:bidi="fr-FR"/>
        </w:rPr>
        <w:t>m</w:t>
      </w:r>
      <w:r w:rsidRPr="00D2217B">
        <w:rPr>
          <w:lang w:eastAsia="fr-FR" w:bidi="fr-FR"/>
        </w:rPr>
        <w:t xml:space="preserve">ble bien que les Fondateurs l’aient voulu ainsi pour rendre précisément la ratification d’un traité plus difficile et plus solennelle. </w:t>
      </w:r>
      <w:r w:rsidRPr="00D2217B">
        <w:t>« </w:t>
      </w:r>
      <w:r w:rsidRPr="00D2217B">
        <w:rPr>
          <w:lang w:eastAsia="fr-FR" w:bidi="fr-FR"/>
        </w:rPr>
        <w:t>Plus il y aura de difficultés à concl</w:t>
      </w:r>
      <w:r w:rsidRPr="00D2217B">
        <w:rPr>
          <w:lang w:eastAsia="fr-FR" w:bidi="fr-FR"/>
        </w:rPr>
        <w:t>u</w:t>
      </w:r>
      <w:r w:rsidRPr="00D2217B">
        <w:rPr>
          <w:lang w:eastAsia="fr-FR" w:bidi="fr-FR"/>
        </w:rPr>
        <w:t>re des traités, disait Gouverneur Morris à Philadelphie en 1787, plus la valeur qu’on leur accordera sera grande</w:t>
      </w:r>
      <w:r>
        <w:rPr>
          <w:lang w:eastAsia="fr-FR" w:bidi="fr-FR"/>
        </w:rPr>
        <w:t> </w:t>
      </w:r>
      <w:r>
        <w:rPr>
          <w:rStyle w:val="Appelnotedebasdep"/>
          <w:lang w:eastAsia="fr-FR" w:bidi="fr-FR"/>
        </w:rPr>
        <w:footnoteReference w:id="59"/>
      </w:r>
      <w:r w:rsidRPr="00D2217B">
        <w:t> »</w:t>
      </w:r>
      <w:r w:rsidRPr="00D2217B">
        <w:rPr>
          <w:lang w:eastAsia="fr-FR" w:bidi="fr-FR"/>
        </w:rPr>
        <w:t>,</w:t>
      </w:r>
      <w:r>
        <w:t xml:space="preserve"> [31] </w:t>
      </w:r>
      <w:r w:rsidRPr="00D2217B">
        <w:rPr>
          <w:lang w:eastAsia="fr-FR" w:bidi="fr-FR"/>
        </w:rPr>
        <w:t xml:space="preserve">et plus on limitera le nombre de </w:t>
      </w:r>
      <w:r w:rsidRPr="00D2217B">
        <w:t>« </w:t>
      </w:r>
      <w:r w:rsidRPr="00D2217B">
        <w:rPr>
          <w:lang w:eastAsia="fr-FR" w:bidi="fr-FR"/>
        </w:rPr>
        <w:t>conventions contraignantes</w:t>
      </w:r>
      <w:r>
        <w:rPr>
          <w:lang w:eastAsia="fr-FR" w:bidi="fr-FR"/>
        </w:rPr>
        <w:t> </w:t>
      </w:r>
      <w:r>
        <w:rPr>
          <w:rStyle w:val="Appelnotedebasdep"/>
          <w:lang w:eastAsia="fr-FR" w:bidi="fr-FR"/>
        </w:rPr>
        <w:footnoteReference w:id="60"/>
      </w:r>
      <w:r w:rsidRPr="00D2217B">
        <w:t> »</w:t>
      </w:r>
      <w:r w:rsidRPr="00D2217B">
        <w:rPr>
          <w:lang w:eastAsia="fr-FR" w:bidi="fr-FR"/>
        </w:rPr>
        <w:t>. Le format même du S</w:t>
      </w:r>
      <w:r w:rsidRPr="00D2217B">
        <w:rPr>
          <w:lang w:eastAsia="fr-FR" w:bidi="fr-FR"/>
        </w:rPr>
        <w:t>é</w:t>
      </w:r>
      <w:r w:rsidRPr="00D2217B">
        <w:rPr>
          <w:lang w:eastAsia="fr-FR" w:bidi="fr-FR"/>
        </w:rPr>
        <w:t>nat, petite assemblée élue au suffrage universel indirect pour une lo</w:t>
      </w:r>
      <w:r w:rsidRPr="00D2217B">
        <w:rPr>
          <w:lang w:eastAsia="fr-FR" w:bidi="fr-FR"/>
        </w:rPr>
        <w:t>n</w:t>
      </w:r>
      <w:r w:rsidRPr="00D2217B">
        <w:rPr>
          <w:lang w:eastAsia="fr-FR" w:bidi="fr-FR"/>
        </w:rPr>
        <w:t>gue période de six ans, était propice à faire de lui une sorte de comité de sages à même, selon Hamilton, de conseiller le président tout le long du processus de la politique étrangère. Dans ce</w:t>
      </w:r>
      <w:r w:rsidRPr="00D2217B">
        <w:rPr>
          <w:lang w:eastAsia="fr-FR" w:bidi="fr-FR"/>
        </w:rPr>
        <w:t>t</w:t>
      </w:r>
      <w:r w:rsidRPr="00D2217B">
        <w:rPr>
          <w:lang w:eastAsia="fr-FR" w:bidi="fr-FR"/>
        </w:rPr>
        <w:t>te optique, il est donc peu logique que le rôle du Sénat soit réduit à son simple conse</w:t>
      </w:r>
      <w:r w:rsidRPr="00D2217B">
        <w:rPr>
          <w:lang w:eastAsia="fr-FR" w:bidi="fr-FR"/>
        </w:rPr>
        <w:t>n</w:t>
      </w:r>
      <w:r w:rsidRPr="00D2217B">
        <w:rPr>
          <w:lang w:eastAsia="fr-FR" w:bidi="fr-FR"/>
        </w:rPr>
        <w:t>tement</w:t>
      </w:r>
      <w:r>
        <w:rPr>
          <w:lang w:eastAsia="fr-FR" w:bidi="fr-FR"/>
        </w:rPr>
        <w:t> </w:t>
      </w:r>
      <w:r>
        <w:rPr>
          <w:rStyle w:val="Appelnotedebasdep"/>
          <w:lang w:eastAsia="fr-FR" w:bidi="fr-FR"/>
        </w:rPr>
        <w:footnoteReference w:id="61"/>
      </w:r>
      <w:r w:rsidRPr="00D2217B">
        <w:rPr>
          <w:lang w:eastAsia="fr-FR" w:bidi="fr-FR"/>
        </w:rPr>
        <w:t>. L’expertise des commissions sénatori</w:t>
      </w:r>
      <w:r w:rsidRPr="00D2217B">
        <w:rPr>
          <w:lang w:eastAsia="fr-FR" w:bidi="fr-FR"/>
        </w:rPr>
        <w:t>a</w:t>
      </w:r>
      <w:r w:rsidRPr="00D2217B">
        <w:rPr>
          <w:lang w:eastAsia="fr-FR" w:bidi="fr-FR"/>
        </w:rPr>
        <w:t>les, parfois auréolée d’une plus grande continuité que celle des organes du pouvoir exéc</w:t>
      </w:r>
      <w:r w:rsidRPr="00D2217B">
        <w:rPr>
          <w:lang w:eastAsia="fr-FR" w:bidi="fr-FR"/>
        </w:rPr>
        <w:t>u</w:t>
      </w:r>
      <w:r w:rsidRPr="00D2217B">
        <w:rPr>
          <w:lang w:eastAsia="fr-FR" w:bidi="fr-FR"/>
        </w:rPr>
        <w:t>tif, va dans ce sens.</w:t>
      </w:r>
    </w:p>
    <w:p w14:paraId="262A46E3" w14:textId="77777777" w:rsidR="0039793A" w:rsidRPr="00D2217B" w:rsidRDefault="0039793A" w:rsidP="0039793A">
      <w:pPr>
        <w:spacing w:before="120" w:after="120"/>
        <w:jc w:val="both"/>
      </w:pPr>
      <w:r w:rsidRPr="00D2217B">
        <w:rPr>
          <w:lang w:eastAsia="fr-FR" w:bidi="fr-FR"/>
        </w:rPr>
        <w:t xml:space="preserve">À quelques reprises d’ailleurs, le Congrès a marqué son pré carré et redéfini son champ de compétences. Ainsi, pour contrer la pratique des accords internationaux en forme simplifiée </w:t>
      </w:r>
      <w:r w:rsidRPr="00D2217B">
        <w:t>(</w:t>
      </w:r>
      <w:r w:rsidRPr="00F03160">
        <w:rPr>
          <w:i/>
          <w:iCs/>
        </w:rPr>
        <w:t>Ex</w:t>
      </w:r>
      <w:r w:rsidRPr="00F03160">
        <w:rPr>
          <w:i/>
          <w:iCs/>
        </w:rPr>
        <w:t>e</w:t>
      </w:r>
      <w:r w:rsidRPr="00F03160">
        <w:rPr>
          <w:i/>
          <w:iCs/>
        </w:rPr>
        <w:t>cutive agréments</w:t>
      </w:r>
      <w:r w:rsidRPr="00D2217B">
        <w:t>)</w:t>
      </w:r>
      <w:r w:rsidRPr="00D2217B">
        <w:rPr>
          <w:lang w:eastAsia="fr-FR" w:bidi="fr-FR"/>
        </w:rPr>
        <w:t xml:space="preserve"> qui permet de </w:t>
      </w:r>
      <w:r w:rsidRPr="00D2217B">
        <w:t>« </w:t>
      </w:r>
      <w:r w:rsidRPr="00D2217B">
        <w:rPr>
          <w:lang w:eastAsia="fr-FR" w:bidi="fr-FR"/>
        </w:rPr>
        <w:t>court-circuiter</w:t>
      </w:r>
      <w:r w:rsidRPr="00D2217B">
        <w:t> »</w:t>
      </w:r>
      <w:r w:rsidRPr="00D2217B">
        <w:rPr>
          <w:lang w:eastAsia="fr-FR" w:bidi="fr-FR"/>
        </w:rPr>
        <w:t xml:space="preserve"> le Sénat, la loi </w:t>
      </w:r>
      <w:r w:rsidRPr="00D2217B">
        <w:t>Case</w:t>
      </w:r>
      <w:r>
        <w:rPr>
          <w:lang w:eastAsia="fr-FR" w:bidi="fr-FR"/>
        </w:rPr>
        <w:t> </w:t>
      </w:r>
      <w:r>
        <w:rPr>
          <w:rStyle w:val="Appelnotedebasdep"/>
          <w:lang w:eastAsia="fr-FR" w:bidi="fr-FR"/>
        </w:rPr>
        <w:footnoteReference w:id="62"/>
      </w:r>
      <w:r w:rsidRPr="00D2217B">
        <w:rPr>
          <w:lang w:eastAsia="fr-FR" w:bidi="fr-FR"/>
        </w:rPr>
        <w:t xml:space="preserve"> a été adoptée aux fins de contraindre le secrétaire d’</w:t>
      </w:r>
      <w:r>
        <w:rPr>
          <w:lang w:eastAsia="fr-FR" w:bidi="fr-FR"/>
        </w:rPr>
        <w:t>État</w:t>
      </w:r>
      <w:r w:rsidRPr="00D2217B">
        <w:rPr>
          <w:lang w:eastAsia="fr-FR" w:bidi="fr-FR"/>
        </w:rPr>
        <w:t xml:space="preserve"> à transmettre les accords exécutifs dans les soixante jours suivant leur conclusion. Ce texte lui concède cependant suffisamment de souplesse puisque, d’une part, le mode de transmission est allégé si l’accord requiert le secret diplom</w:t>
      </w:r>
      <w:r w:rsidRPr="00D2217B">
        <w:rPr>
          <w:lang w:eastAsia="fr-FR" w:bidi="fr-FR"/>
        </w:rPr>
        <w:t>a</w:t>
      </w:r>
      <w:r w:rsidRPr="00D2217B">
        <w:rPr>
          <w:lang w:eastAsia="fr-FR" w:bidi="fr-FR"/>
        </w:rPr>
        <w:t>tique et d’autre part, ces dispos</w:t>
      </w:r>
      <w:r w:rsidRPr="00D2217B">
        <w:rPr>
          <w:lang w:eastAsia="fr-FR" w:bidi="fr-FR"/>
        </w:rPr>
        <w:t>i</w:t>
      </w:r>
      <w:r w:rsidRPr="00D2217B">
        <w:rPr>
          <w:lang w:eastAsia="fr-FR" w:bidi="fr-FR"/>
        </w:rPr>
        <w:t>tions ne concernent pas les simples ententes (</w:t>
      </w:r>
      <w:r w:rsidRPr="00F03160">
        <w:rPr>
          <w:i/>
          <w:iCs/>
        </w:rPr>
        <w:t>u</w:t>
      </w:r>
      <w:r w:rsidRPr="00F03160">
        <w:rPr>
          <w:i/>
          <w:iCs/>
        </w:rPr>
        <w:t>n</w:t>
      </w:r>
      <w:r w:rsidRPr="00F03160">
        <w:rPr>
          <w:i/>
          <w:iCs/>
        </w:rPr>
        <w:t>derstandings</w:t>
      </w:r>
      <w:r w:rsidRPr="00D2217B">
        <w:rPr>
          <w:lang w:eastAsia="fr-FR" w:bidi="fr-FR"/>
        </w:rPr>
        <w:t>)</w:t>
      </w:r>
      <w:r>
        <w:rPr>
          <w:lang w:eastAsia="fr-FR" w:bidi="fr-FR"/>
        </w:rPr>
        <w:t> </w:t>
      </w:r>
      <w:r>
        <w:rPr>
          <w:rStyle w:val="Appelnotedebasdep"/>
          <w:lang w:eastAsia="fr-FR" w:bidi="fr-FR"/>
        </w:rPr>
        <w:footnoteReference w:id="63"/>
      </w:r>
      <w:r w:rsidRPr="00D2217B">
        <w:rPr>
          <w:lang w:eastAsia="fr-FR" w:bidi="fr-FR"/>
        </w:rPr>
        <w:t>.</w:t>
      </w:r>
    </w:p>
    <w:p w14:paraId="3EEE4C01" w14:textId="77777777" w:rsidR="0039793A" w:rsidRPr="00D2217B" w:rsidRDefault="0039793A" w:rsidP="0039793A">
      <w:pPr>
        <w:spacing w:before="120" w:after="120"/>
        <w:jc w:val="both"/>
      </w:pPr>
      <w:r w:rsidRPr="00D2217B">
        <w:rPr>
          <w:lang w:eastAsia="fr-FR" w:bidi="fr-FR"/>
        </w:rPr>
        <w:t>Aux défenseurs d’un pouvoir présidentiel fort en cas de crise, les tenants des pouvoirs majeurs du Congrès répondent que la structure du régime pol</w:t>
      </w:r>
      <w:r w:rsidRPr="00D2217B">
        <w:rPr>
          <w:lang w:eastAsia="fr-FR" w:bidi="fr-FR"/>
        </w:rPr>
        <w:t>i</w:t>
      </w:r>
      <w:r w:rsidRPr="00D2217B">
        <w:rPr>
          <w:lang w:eastAsia="fr-FR" w:bidi="fr-FR"/>
        </w:rPr>
        <w:t>tique a su laisser la latitude nécessaire au chef de l’Exécutif en périodes exceptionnelles, comme en témoigne le ralli</w:t>
      </w:r>
      <w:r w:rsidRPr="00D2217B">
        <w:rPr>
          <w:lang w:eastAsia="fr-FR" w:bidi="fr-FR"/>
        </w:rPr>
        <w:t>e</w:t>
      </w:r>
      <w:r w:rsidRPr="00D2217B">
        <w:rPr>
          <w:lang w:eastAsia="fr-FR" w:bidi="fr-FR"/>
        </w:rPr>
        <w:t>ment du Congrès lors des att</w:t>
      </w:r>
      <w:r w:rsidRPr="00D2217B">
        <w:rPr>
          <w:lang w:eastAsia="fr-FR" w:bidi="fr-FR"/>
        </w:rPr>
        <w:t>a</w:t>
      </w:r>
      <w:r w:rsidRPr="00D2217B">
        <w:rPr>
          <w:lang w:eastAsia="fr-FR" w:bidi="fr-FR"/>
        </w:rPr>
        <w:t>ques de Pearl Harbor e</w:t>
      </w:r>
      <w:r>
        <w:rPr>
          <w:lang w:eastAsia="fr-FR" w:bidi="fr-FR"/>
        </w:rPr>
        <w:t>n 1941 et du 11 septembre 2001 </w:t>
      </w:r>
      <w:r>
        <w:rPr>
          <w:rStyle w:val="Appelnotedebasdep"/>
          <w:lang w:eastAsia="fr-FR" w:bidi="fr-FR"/>
        </w:rPr>
        <w:footnoteReference w:id="64"/>
      </w:r>
      <w:r w:rsidRPr="00D2217B">
        <w:rPr>
          <w:lang w:eastAsia="fr-FR" w:bidi="fr-FR"/>
        </w:rPr>
        <w:t xml:space="preserve"> Les exemples de limitation du pouvoir pr</w:t>
      </w:r>
      <w:r w:rsidRPr="00D2217B">
        <w:rPr>
          <w:lang w:eastAsia="fr-FR" w:bidi="fr-FR"/>
        </w:rPr>
        <w:t>é</w:t>
      </w:r>
      <w:r w:rsidRPr="00D2217B">
        <w:rPr>
          <w:lang w:eastAsia="fr-FR" w:bidi="fr-FR"/>
        </w:rPr>
        <w:t xml:space="preserve">sidentiel par le Congrès </w:t>
      </w:r>
      <w:r>
        <w:rPr>
          <w:lang w:eastAsia="fr-FR" w:bidi="fr-FR"/>
        </w:rPr>
        <w:t>—</w:t>
      </w:r>
      <w:r w:rsidRPr="00D2217B">
        <w:rPr>
          <w:lang w:eastAsia="fr-FR" w:bidi="fr-FR"/>
        </w:rPr>
        <w:t xml:space="preserve"> par </w:t>
      </w:r>
      <w:r>
        <w:rPr>
          <w:lang w:eastAsia="fr-FR" w:bidi="fr-FR"/>
        </w:rPr>
        <w:t>exemple, dans le conflit vietna</w:t>
      </w:r>
      <w:r w:rsidRPr="00D2217B">
        <w:rPr>
          <w:lang w:eastAsia="fr-FR" w:bidi="fr-FR"/>
        </w:rPr>
        <w:t>mien</w:t>
      </w:r>
      <w:r>
        <w:t xml:space="preserve"> [32]</w:t>
      </w:r>
      <w:r w:rsidRPr="00D2217B">
        <w:rPr>
          <w:lang w:eastAsia="fr-FR" w:bidi="fr-FR"/>
        </w:rPr>
        <w:t xml:space="preserve"> sous Nixon, dans le cadre de la politique menée au Nic</w:t>
      </w:r>
      <w:r w:rsidRPr="00D2217B">
        <w:rPr>
          <w:lang w:eastAsia="fr-FR" w:bidi="fr-FR"/>
        </w:rPr>
        <w:t>a</w:t>
      </w:r>
      <w:r w:rsidRPr="00D2217B">
        <w:rPr>
          <w:lang w:eastAsia="fr-FR" w:bidi="fr-FR"/>
        </w:rPr>
        <w:t xml:space="preserve">ragua sous Reagan </w:t>
      </w:r>
      <w:r>
        <w:rPr>
          <w:lang w:eastAsia="fr-FR" w:bidi="fr-FR"/>
        </w:rPr>
        <w:t>—</w:t>
      </w:r>
      <w:r w:rsidRPr="00D2217B">
        <w:rPr>
          <w:lang w:eastAsia="fr-FR" w:bidi="fr-FR"/>
        </w:rPr>
        <w:t xml:space="preserve"> ou encore d’obstruction catégorique - comme dans les refus infl</w:t>
      </w:r>
      <w:r w:rsidRPr="00D2217B">
        <w:rPr>
          <w:lang w:eastAsia="fr-FR" w:bidi="fr-FR"/>
        </w:rPr>
        <w:t>i</w:t>
      </w:r>
      <w:r w:rsidRPr="00D2217B">
        <w:rPr>
          <w:lang w:eastAsia="fr-FR" w:bidi="fr-FR"/>
        </w:rPr>
        <w:t>gés à Carter et à Clinton — sont fondés sur une v</w:t>
      </w:r>
      <w:r w:rsidRPr="00D2217B">
        <w:rPr>
          <w:lang w:eastAsia="fr-FR" w:bidi="fr-FR"/>
        </w:rPr>
        <w:t>o</w:t>
      </w:r>
      <w:r w:rsidRPr="00D2217B">
        <w:rPr>
          <w:lang w:eastAsia="fr-FR" w:bidi="fr-FR"/>
        </w:rPr>
        <w:t>lonté de limiter l’exercice d’un pouvoir qui n’est pas en conformité avec l’opinion populaire. C’est ainsi que l’on a pu faire valoir que les restrictions i</w:t>
      </w:r>
      <w:r w:rsidRPr="00D2217B">
        <w:rPr>
          <w:lang w:eastAsia="fr-FR" w:bidi="fr-FR"/>
        </w:rPr>
        <w:t>m</w:t>
      </w:r>
      <w:r w:rsidRPr="00D2217B">
        <w:rPr>
          <w:lang w:eastAsia="fr-FR" w:bidi="fr-FR"/>
        </w:rPr>
        <w:t>posées au président Bush, à l’occasion du vote sur la rés</w:t>
      </w:r>
      <w:r w:rsidRPr="00D2217B">
        <w:rPr>
          <w:lang w:eastAsia="fr-FR" w:bidi="fr-FR"/>
        </w:rPr>
        <w:t>o</w:t>
      </w:r>
      <w:r w:rsidRPr="00D2217B">
        <w:rPr>
          <w:lang w:eastAsia="fr-FR" w:bidi="fr-FR"/>
        </w:rPr>
        <w:t>lution d’octobre 2002</w:t>
      </w:r>
      <w:r>
        <w:rPr>
          <w:lang w:eastAsia="fr-FR" w:bidi="fr-FR"/>
        </w:rPr>
        <w:t> </w:t>
      </w:r>
      <w:r>
        <w:rPr>
          <w:rStyle w:val="Appelnotedebasdep"/>
          <w:lang w:eastAsia="fr-FR" w:bidi="fr-FR"/>
        </w:rPr>
        <w:footnoteReference w:id="65"/>
      </w:r>
      <w:r w:rsidRPr="00D2217B">
        <w:rPr>
          <w:lang w:eastAsia="fr-FR" w:bidi="fr-FR"/>
        </w:rPr>
        <w:t xml:space="preserve"> autorisant une intervention militaire en Irak, v</w:t>
      </w:r>
      <w:r w:rsidRPr="00D2217B">
        <w:rPr>
          <w:lang w:eastAsia="fr-FR" w:bidi="fr-FR"/>
        </w:rPr>
        <w:t>i</w:t>
      </w:r>
      <w:r w:rsidRPr="00D2217B">
        <w:rPr>
          <w:lang w:eastAsia="fr-FR" w:bidi="fr-FR"/>
        </w:rPr>
        <w:t>saient à prév</w:t>
      </w:r>
      <w:r w:rsidRPr="00D2217B">
        <w:rPr>
          <w:lang w:eastAsia="fr-FR" w:bidi="fr-FR"/>
        </w:rPr>
        <w:t>e</w:t>
      </w:r>
      <w:r w:rsidRPr="00D2217B">
        <w:rPr>
          <w:lang w:eastAsia="fr-FR" w:bidi="fr-FR"/>
        </w:rPr>
        <w:t>nir un exercice exorbitant du pouvoir exécutif</w:t>
      </w:r>
      <w:r>
        <w:rPr>
          <w:lang w:eastAsia="fr-FR" w:bidi="fr-FR"/>
        </w:rPr>
        <w:t> </w:t>
      </w:r>
      <w:r>
        <w:rPr>
          <w:rStyle w:val="Appelnotedebasdep"/>
          <w:lang w:eastAsia="fr-FR" w:bidi="fr-FR"/>
        </w:rPr>
        <w:footnoteReference w:id="66"/>
      </w:r>
      <w:r w:rsidRPr="00D2217B">
        <w:rPr>
          <w:lang w:eastAsia="fr-FR" w:bidi="fr-FR"/>
        </w:rPr>
        <w:t>. À ce titre, explique Louis Henkin, et contrairement à certaines asse</w:t>
      </w:r>
      <w:r w:rsidRPr="00D2217B">
        <w:rPr>
          <w:lang w:eastAsia="fr-FR" w:bidi="fr-FR"/>
        </w:rPr>
        <w:t>r</w:t>
      </w:r>
      <w:r w:rsidRPr="00D2217B">
        <w:rPr>
          <w:lang w:eastAsia="fr-FR" w:bidi="fr-FR"/>
        </w:rPr>
        <w:t xml:space="preserve">tions, le feu nucléaire ne rend pas les pouvoirs de guerre du Congrès obsolètes. En effet, </w:t>
      </w:r>
      <w:r w:rsidRPr="00D2217B">
        <w:t>« </w:t>
      </w:r>
      <w:r w:rsidRPr="00D2217B">
        <w:rPr>
          <w:lang w:eastAsia="fr-FR" w:bidi="fr-FR"/>
        </w:rPr>
        <w:t>si nous prenons la Constitution au sérieux, écrit-il, il n’est pas déraisonnable de conclure que la ra</w:t>
      </w:r>
      <w:r w:rsidRPr="00D2217B">
        <w:rPr>
          <w:lang w:eastAsia="fr-FR" w:bidi="fr-FR"/>
        </w:rPr>
        <w:t>i</w:t>
      </w:r>
      <w:r w:rsidRPr="00D2217B">
        <w:rPr>
          <w:lang w:eastAsia="fr-FR" w:bidi="fr-FR"/>
        </w:rPr>
        <w:t xml:space="preserve">son originelle de laisser les pouvoirs de guerre au Congrès s’applique </w:t>
      </w:r>
      <w:r w:rsidRPr="00F03160">
        <w:rPr>
          <w:i/>
          <w:iCs/>
        </w:rPr>
        <w:t>a fortiori</w:t>
      </w:r>
      <w:r w:rsidRPr="00D2217B">
        <w:rPr>
          <w:lang w:eastAsia="fr-FR" w:bidi="fr-FR"/>
        </w:rPr>
        <w:t xml:space="preserve"> à un conflit n</w:t>
      </w:r>
      <w:r w:rsidRPr="00D2217B">
        <w:rPr>
          <w:lang w:eastAsia="fr-FR" w:bidi="fr-FR"/>
        </w:rPr>
        <w:t>u</w:t>
      </w:r>
      <w:r w:rsidRPr="00D2217B">
        <w:rPr>
          <w:lang w:eastAsia="fr-FR" w:bidi="fr-FR"/>
        </w:rPr>
        <w:t>cléaire</w:t>
      </w:r>
      <w:r>
        <w:rPr>
          <w:lang w:eastAsia="fr-FR" w:bidi="fr-FR"/>
        </w:rPr>
        <w:t> </w:t>
      </w:r>
      <w:r>
        <w:rPr>
          <w:rStyle w:val="Appelnotedebasdep"/>
          <w:lang w:eastAsia="fr-FR" w:bidi="fr-FR"/>
        </w:rPr>
        <w:footnoteReference w:id="67"/>
      </w:r>
      <w:r w:rsidRPr="00D2217B">
        <w:t> »</w:t>
      </w:r>
      <w:r w:rsidRPr="00D2217B">
        <w:rPr>
          <w:lang w:eastAsia="fr-FR" w:bidi="fr-FR"/>
        </w:rPr>
        <w:t>.</w:t>
      </w:r>
    </w:p>
    <w:p w14:paraId="56E69E86" w14:textId="77777777" w:rsidR="0039793A" w:rsidRPr="00D2217B" w:rsidRDefault="0039793A" w:rsidP="0039793A">
      <w:pPr>
        <w:spacing w:before="120" w:after="120"/>
        <w:jc w:val="both"/>
      </w:pPr>
      <w:r w:rsidRPr="00D2217B">
        <w:rPr>
          <w:lang w:eastAsia="fr-FR" w:bidi="fr-FR"/>
        </w:rPr>
        <w:t>Le bourbier vietnamien suscite d’ailleurs un remarquable sursaut du Congrès, qui s’attelle à revitaliser ses pouvoirs constitutionnels en matière de politique étrangère et de défense nationale. C’est ainsi qu’en avril 1970, les sénateurs Frank Church (démocrate) et Sherman Cooper (républicain) introduisent et obtiennent le vote d’un amend</w:t>
      </w:r>
      <w:r w:rsidRPr="00D2217B">
        <w:rPr>
          <w:lang w:eastAsia="fr-FR" w:bidi="fr-FR"/>
        </w:rPr>
        <w:t>e</w:t>
      </w:r>
      <w:r w:rsidRPr="00D2217B">
        <w:rPr>
          <w:lang w:eastAsia="fr-FR" w:bidi="fr-FR"/>
        </w:rPr>
        <w:t>ment au programme de dépenses militaires pour interdire le financ</w:t>
      </w:r>
      <w:r w:rsidRPr="00D2217B">
        <w:rPr>
          <w:lang w:eastAsia="fr-FR" w:bidi="fr-FR"/>
        </w:rPr>
        <w:t>e</w:t>
      </w:r>
      <w:r w:rsidRPr="00D2217B">
        <w:rPr>
          <w:lang w:eastAsia="fr-FR" w:bidi="fr-FR"/>
        </w:rPr>
        <w:t>ment de toute opération terrestre au Cambodge. La même année, la résolution du golfe de Tonkin est abrogée par le Sénat. En 1972, la loi Case est adoptée. On notera cependant que cette loi a été contestée par les présidents et n’a été que partiellement observée. Le point d’orgue est sans doute atteint lorsqu’en octobre 1973, à la suite d’intenses a</w:t>
      </w:r>
      <w:r w:rsidRPr="00D2217B">
        <w:rPr>
          <w:lang w:eastAsia="fr-FR" w:bidi="fr-FR"/>
        </w:rPr>
        <w:t>u</w:t>
      </w:r>
      <w:r w:rsidRPr="00D2217B">
        <w:rPr>
          <w:lang w:eastAsia="fr-FR" w:bidi="fr-FR"/>
        </w:rPr>
        <w:t>ditions des commissions des Affaires étrangères des deux Chambres sur les pouvoirs de guerre, le Congrès adopte une loi qui tend à limiter substantiellement les pouvoirs du président et à restaurer les pouvoirs constitutionnels du Congrès</w:t>
      </w:r>
      <w:r w:rsidRPr="00D2217B">
        <w:t> :</w:t>
      </w:r>
      <w:r w:rsidRPr="00D2217B">
        <w:rPr>
          <w:lang w:eastAsia="fr-FR" w:bidi="fr-FR"/>
        </w:rPr>
        <w:t xml:space="preserve"> le </w:t>
      </w:r>
      <w:r w:rsidRPr="00F03160">
        <w:rPr>
          <w:i/>
          <w:iCs/>
        </w:rPr>
        <w:t>War</w:t>
      </w:r>
      <w:r>
        <w:rPr>
          <w:i/>
          <w:iCs/>
        </w:rPr>
        <w:t xml:space="preserve"> </w:t>
      </w:r>
      <w:r w:rsidRPr="00472C8A">
        <w:rPr>
          <w:i/>
          <w:iCs/>
        </w:rPr>
        <w:t>Powers Act</w:t>
      </w:r>
      <w:r>
        <w:rPr>
          <w:lang w:eastAsia="fr-FR" w:bidi="fr-FR"/>
        </w:rPr>
        <w:t> </w:t>
      </w:r>
      <w:r>
        <w:rPr>
          <w:rStyle w:val="Appelnotedebasdep"/>
          <w:lang w:eastAsia="fr-FR" w:bidi="fr-FR"/>
        </w:rPr>
        <w:footnoteReference w:id="68"/>
      </w:r>
      <w:r>
        <w:rPr>
          <w:lang w:eastAsia="fr-FR" w:bidi="fr-FR"/>
        </w:rPr>
        <w:t>.</w:t>
      </w:r>
      <w:r>
        <w:t xml:space="preserve"> [33]</w:t>
      </w:r>
      <w:r w:rsidRPr="00D2217B">
        <w:rPr>
          <w:lang w:eastAsia="fr-FR" w:bidi="fr-FR"/>
        </w:rPr>
        <w:t xml:space="preserve"> En 1974, à la faveur d’un amendement au programme d’aide à l’étranger, deux d</w:t>
      </w:r>
      <w:r w:rsidRPr="00D2217B">
        <w:rPr>
          <w:lang w:eastAsia="fr-FR" w:bidi="fr-FR"/>
        </w:rPr>
        <w:t>é</w:t>
      </w:r>
      <w:r w:rsidRPr="00D2217B">
        <w:rPr>
          <w:lang w:eastAsia="fr-FR" w:bidi="fr-FR"/>
        </w:rPr>
        <w:t>mocrates, le sénateur Harold Hughes et le représentant Léo Ryan pr</w:t>
      </w:r>
      <w:r w:rsidRPr="00D2217B">
        <w:rPr>
          <w:lang w:eastAsia="fr-FR" w:bidi="fr-FR"/>
        </w:rPr>
        <w:t>o</w:t>
      </w:r>
      <w:r w:rsidRPr="00D2217B">
        <w:rPr>
          <w:lang w:eastAsia="fr-FR" w:bidi="fr-FR"/>
        </w:rPr>
        <w:t>posent et obtiennent que toute action secrète conduite ou command</w:t>
      </w:r>
      <w:r w:rsidRPr="00D2217B">
        <w:rPr>
          <w:lang w:eastAsia="fr-FR" w:bidi="fr-FR"/>
        </w:rPr>
        <w:t>i</w:t>
      </w:r>
      <w:r w:rsidRPr="00D2217B">
        <w:rPr>
          <w:lang w:eastAsia="fr-FR" w:bidi="fr-FR"/>
        </w:rPr>
        <w:t>tée par l’Agence centrale du renseign</w:t>
      </w:r>
      <w:r w:rsidRPr="00D2217B">
        <w:rPr>
          <w:lang w:eastAsia="fr-FR" w:bidi="fr-FR"/>
        </w:rPr>
        <w:t>e</w:t>
      </w:r>
      <w:r w:rsidRPr="00D2217B">
        <w:rPr>
          <w:lang w:eastAsia="fr-FR" w:bidi="fr-FR"/>
        </w:rPr>
        <w:t>ment (CIA) soit rapportée aux commissions des Appropriations et des Forces armées de chaque Chambre. En 1977, à la suite du ra</w:t>
      </w:r>
      <w:r w:rsidRPr="00D2217B">
        <w:rPr>
          <w:lang w:eastAsia="fr-FR" w:bidi="fr-FR"/>
        </w:rPr>
        <w:t>p</w:t>
      </w:r>
      <w:r w:rsidRPr="00D2217B">
        <w:rPr>
          <w:lang w:eastAsia="fr-FR" w:bidi="fr-FR"/>
        </w:rPr>
        <w:t>port de la Commission d’enquête présidée par le sénateur Frank Church</w:t>
      </w:r>
      <w:r>
        <w:rPr>
          <w:lang w:eastAsia="fr-FR" w:bidi="fr-FR"/>
        </w:rPr>
        <w:t> </w:t>
      </w:r>
      <w:r>
        <w:rPr>
          <w:rStyle w:val="Appelnotedebasdep"/>
          <w:lang w:eastAsia="fr-FR" w:bidi="fr-FR"/>
        </w:rPr>
        <w:footnoteReference w:id="69"/>
      </w:r>
      <w:r w:rsidRPr="00D2217B">
        <w:rPr>
          <w:lang w:eastAsia="fr-FR" w:bidi="fr-FR"/>
        </w:rPr>
        <w:t>, qui contenait quelques rév</w:t>
      </w:r>
      <w:r w:rsidRPr="00D2217B">
        <w:rPr>
          <w:lang w:eastAsia="fr-FR" w:bidi="fr-FR"/>
        </w:rPr>
        <w:t>é</w:t>
      </w:r>
      <w:r w:rsidRPr="00D2217B">
        <w:rPr>
          <w:lang w:eastAsia="fr-FR" w:bidi="fr-FR"/>
        </w:rPr>
        <w:t>lations scandaleuses sur les a</w:t>
      </w:r>
      <w:r w:rsidRPr="00D2217B">
        <w:rPr>
          <w:lang w:eastAsia="fr-FR" w:bidi="fr-FR"/>
        </w:rPr>
        <w:t>c</w:t>
      </w:r>
      <w:r w:rsidRPr="00D2217B">
        <w:rPr>
          <w:lang w:eastAsia="fr-FR" w:bidi="fr-FR"/>
        </w:rPr>
        <w:t>tivités de la CIA, deux commissions spéciales ont été créées, au Sénat et à la Chambre des représentants, sur les activités de rense</w:t>
      </w:r>
      <w:r w:rsidRPr="00D2217B">
        <w:rPr>
          <w:lang w:eastAsia="fr-FR" w:bidi="fr-FR"/>
        </w:rPr>
        <w:t>i</w:t>
      </w:r>
      <w:r w:rsidRPr="00D2217B">
        <w:rPr>
          <w:lang w:eastAsia="fr-FR" w:bidi="fr-FR"/>
        </w:rPr>
        <w:t>gnement. En janvier 1991, après s’être refusé à consulter le Sénat sur l’intervention militaire en Irak, le prés</w:t>
      </w:r>
      <w:r w:rsidRPr="00D2217B">
        <w:rPr>
          <w:lang w:eastAsia="fr-FR" w:bidi="fr-FR"/>
        </w:rPr>
        <w:t>i</w:t>
      </w:r>
      <w:r w:rsidRPr="00D2217B">
        <w:rPr>
          <w:lang w:eastAsia="fr-FR" w:bidi="fr-FR"/>
        </w:rPr>
        <w:t>dent George H. Bush présente, par courtoisie selon lui, une résolution de dernière m</w:t>
      </w:r>
      <w:r w:rsidRPr="00D2217B">
        <w:rPr>
          <w:lang w:eastAsia="fr-FR" w:bidi="fr-FR"/>
        </w:rPr>
        <w:t>i</w:t>
      </w:r>
      <w:r w:rsidRPr="00D2217B">
        <w:rPr>
          <w:lang w:eastAsia="fr-FR" w:bidi="fr-FR"/>
        </w:rPr>
        <w:t>nute au Sénat qui était placé plus ou moins devant le fait accompli. Il n’en demeure pas moins que Bush aura consulté le Sénat. Par la suite, le Congrès, dom</w:t>
      </w:r>
      <w:r w:rsidRPr="00D2217B">
        <w:rPr>
          <w:lang w:eastAsia="fr-FR" w:bidi="fr-FR"/>
        </w:rPr>
        <w:t>i</w:t>
      </w:r>
      <w:r w:rsidRPr="00D2217B">
        <w:rPr>
          <w:lang w:eastAsia="fr-FR" w:bidi="fr-FR"/>
        </w:rPr>
        <w:t>né par les Républicains de 1995 à 2001, s’oppose directement au président démocrate, Bill Clinton dont la p</w:t>
      </w:r>
      <w:r w:rsidRPr="00D2217B">
        <w:rPr>
          <w:lang w:eastAsia="fr-FR" w:bidi="fr-FR"/>
        </w:rPr>
        <w:t>o</w:t>
      </w:r>
      <w:r w:rsidRPr="00D2217B">
        <w:rPr>
          <w:lang w:eastAsia="fr-FR" w:bidi="fr-FR"/>
        </w:rPr>
        <w:t>litique, jugée trop libérale et internationaliste, est résolument e</w:t>
      </w:r>
      <w:r w:rsidRPr="00D2217B">
        <w:rPr>
          <w:lang w:eastAsia="fr-FR" w:bidi="fr-FR"/>
        </w:rPr>
        <w:t>n</w:t>
      </w:r>
      <w:r w:rsidRPr="00D2217B">
        <w:rPr>
          <w:lang w:eastAsia="fr-FR" w:bidi="fr-FR"/>
        </w:rPr>
        <w:t>travée.</w:t>
      </w:r>
    </w:p>
    <w:p w14:paraId="685C648D" w14:textId="77777777" w:rsidR="0039793A" w:rsidRPr="00D2217B" w:rsidRDefault="0039793A" w:rsidP="0039793A">
      <w:pPr>
        <w:spacing w:before="120" w:after="120"/>
        <w:jc w:val="both"/>
      </w:pPr>
      <w:r w:rsidRPr="00D2217B">
        <w:rPr>
          <w:lang w:eastAsia="fr-FR" w:bidi="fr-FR"/>
        </w:rPr>
        <w:t>Le pouvoir économique du Congrès est déte</w:t>
      </w:r>
      <w:r w:rsidRPr="00D2217B">
        <w:rPr>
          <w:lang w:eastAsia="fr-FR" w:bidi="fr-FR"/>
        </w:rPr>
        <w:t>r</w:t>
      </w:r>
      <w:r w:rsidRPr="00D2217B">
        <w:rPr>
          <w:lang w:eastAsia="fr-FR" w:bidi="fr-FR"/>
        </w:rPr>
        <w:t>minant. Le président doit implorer constamment le Congrès pour faire entériner ses projets de libre-échange ou de simple libéralisation des échanges comme</w:t>
      </w:r>
      <w:r w:rsidRPr="00D2217B">
        <w:rPr>
          <w:lang w:eastAsia="fr-FR" w:bidi="fr-FR"/>
        </w:rPr>
        <w:t>r</w:t>
      </w:r>
      <w:r w:rsidRPr="00D2217B">
        <w:rPr>
          <w:lang w:eastAsia="fr-FR" w:bidi="fr-FR"/>
        </w:rPr>
        <w:t xml:space="preserve">ciaux. Il cherche le plus souvent à obtenir le </w:t>
      </w:r>
      <w:r w:rsidRPr="00472C8A">
        <w:rPr>
          <w:i/>
          <w:iCs/>
        </w:rPr>
        <w:t>fast track</w:t>
      </w:r>
      <w:r w:rsidRPr="00D2217B">
        <w:rPr>
          <w:lang w:eastAsia="fr-FR" w:bidi="fr-FR"/>
        </w:rPr>
        <w:t xml:space="preserve"> ou voie rapide, c’est-à-dire la liberté de soumettre un projet au Congrès sans qu’il puisse être amendé. On sait que des amendements successifs revie</w:t>
      </w:r>
      <w:r w:rsidRPr="00D2217B">
        <w:rPr>
          <w:lang w:eastAsia="fr-FR" w:bidi="fr-FR"/>
        </w:rPr>
        <w:t>n</w:t>
      </w:r>
      <w:r w:rsidRPr="00D2217B">
        <w:rPr>
          <w:lang w:eastAsia="fr-FR" w:bidi="fr-FR"/>
        </w:rPr>
        <w:t>nent souvent à renvoyer un projet aux calendes grecques.</w:t>
      </w:r>
    </w:p>
    <w:p w14:paraId="3B8A6850" w14:textId="77777777" w:rsidR="0039793A" w:rsidRDefault="0039793A" w:rsidP="0039793A">
      <w:pPr>
        <w:spacing w:before="120" w:after="120"/>
        <w:jc w:val="both"/>
        <w:rPr>
          <w:lang w:eastAsia="fr-FR" w:bidi="fr-FR"/>
        </w:rPr>
      </w:pPr>
      <w:r w:rsidRPr="00D2217B">
        <w:rPr>
          <w:lang w:eastAsia="fr-FR" w:bidi="fr-FR"/>
        </w:rPr>
        <w:t xml:space="preserve">La préservation des pouvoirs constitutionnels du Congrès se fonde sur la contestation des dérives de la </w:t>
      </w:r>
      <w:r w:rsidRPr="00D2217B">
        <w:t>« </w:t>
      </w:r>
      <w:r w:rsidRPr="00D2217B">
        <w:rPr>
          <w:lang w:eastAsia="fr-FR" w:bidi="fr-FR"/>
        </w:rPr>
        <w:t>présidence impériale</w:t>
      </w:r>
      <w:r>
        <w:rPr>
          <w:lang w:eastAsia="fr-FR" w:bidi="fr-FR"/>
        </w:rPr>
        <w:t> </w:t>
      </w:r>
      <w:r>
        <w:rPr>
          <w:rStyle w:val="Appelnotedebasdep"/>
          <w:lang w:eastAsia="fr-FR" w:bidi="fr-FR"/>
        </w:rPr>
        <w:footnoteReference w:id="70"/>
      </w:r>
      <w:r w:rsidRPr="00D2217B">
        <w:t> »</w:t>
      </w:r>
      <w:r w:rsidRPr="00D2217B">
        <w:rPr>
          <w:lang w:eastAsia="fr-FR" w:bidi="fr-FR"/>
        </w:rPr>
        <w:t xml:space="preserve"> qui a marqué les années 1970. Ces arguments sont</w:t>
      </w:r>
      <w:r>
        <w:t xml:space="preserve"> [34] </w:t>
      </w:r>
      <w:r w:rsidRPr="00D2217B">
        <w:rPr>
          <w:lang w:eastAsia="fr-FR" w:bidi="fr-FR"/>
        </w:rPr>
        <w:t>cependant loin de venir à bout de la thèse de la prééminence du pouvoir exécutif qui s’inscrit dans une longue tradition, sans cesse confortée par la pratique présidentielle tout au long du XX</w:t>
      </w:r>
      <w:r w:rsidRPr="00D2217B">
        <w:rPr>
          <w:vertAlign w:val="superscript"/>
          <w:lang w:eastAsia="fr-FR" w:bidi="fr-FR"/>
        </w:rPr>
        <w:t>e</w:t>
      </w:r>
      <w:r w:rsidRPr="00D2217B">
        <w:rPr>
          <w:lang w:eastAsia="fr-FR" w:bidi="fr-FR"/>
        </w:rPr>
        <w:t xml:space="preserve"> siècle.</w:t>
      </w:r>
    </w:p>
    <w:p w14:paraId="47D09EE7" w14:textId="77777777" w:rsidR="0039793A" w:rsidRDefault="0039793A" w:rsidP="0039793A">
      <w:pPr>
        <w:spacing w:before="120" w:after="120"/>
        <w:jc w:val="both"/>
      </w:pPr>
    </w:p>
    <w:p w14:paraId="296CD597" w14:textId="77777777" w:rsidR="0039793A" w:rsidRPr="00D2217B" w:rsidRDefault="0039793A" w:rsidP="0039793A">
      <w:pPr>
        <w:spacing w:before="120" w:after="120"/>
        <w:jc w:val="both"/>
      </w:pPr>
    </w:p>
    <w:p w14:paraId="4F4ADB3F" w14:textId="77777777" w:rsidR="0039793A" w:rsidRPr="00D2217B" w:rsidRDefault="0039793A" w:rsidP="0039793A">
      <w:pPr>
        <w:pStyle w:val="a"/>
      </w:pPr>
      <w:r w:rsidRPr="00D2217B">
        <w:t>La thèse de la suprématie du président</w:t>
      </w:r>
    </w:p>
    <w:p w14:paraId="05C9CE1E" w14:textId="77777777" w:rsidR="0039793A" w:rsidRDefault="0039793A" w:rsidP="0039793A">
      <w:pPr>
        <w:spacing w:before="120" w:after="120"/>
        <w:jc w:val="both"/>
        <w:rPr>
          <w:lang w:eastAsia="fr-FR" w:bidi="fr-FR"/>
        </w:rPr>
      </w:pPr>
    </w:p>
    <w:p w14:paraId="29F4FA4A" w14:textId="77777777" w:rsidR="0039793A" w:rsidRPr="00D2217B" w:rsidRDefault="0039793A" w:rsidP="0039793A">
      <w:pPr>
        <w:spacing w:before="120" w:after="120"/>
        <w:jc w:val="both"/>
      </w:pPr>
      <w:r w:rsidRPr="00D2217B">
        <w:rPr>
          <w:lang w:eastAsia="fr-FR" w:bidi="fr-FR"/>
        </w:rPr>
        <w:t>L’histoire politique américaine s’infléchit à la fin du XIX</w:t>
      </w:r>
      <w:r w:rsidRPr="00D2217B">
        <w:rPr>
          <w:vertAlign w:val="superscript"/>
          <w:lang w:eastAsia="fr-FR" w:bidi="fr-FR"/>
        </w:rPr>
        <w:t>e</w:t>
      </w:r>
      <w:r w:rsidRPr="00D2217B">
        <w:rPr>
          <w:lang w:eastAsia="fr-FR" w:bidi="fr-FR"/>
        </w:rPr>
        <w:t xml:space="preserve"> siècle, lorsque le président acquiert petit à petit une autorité accrue et renve</w:t>
      </w:r>
      <w:r w:rsidRPr="00D2217B">
        <w:rPr>
          <w:lang w:eastAsia="fr-FR" w:bidi="fr-FR"/>
        </w:rPr>
        <w:t>r</w:t>
      </w:r>
      <w:r w:rsidRPr="00D2217B">
        <w:rPr>
          <w:lang w:eastAsia="fr-FR" w:bidi="fr-FR"/>
        </w:rPr>
        <w:t>se le pa</w:t>
      </w:r>
      <w:r w:rsidRPr="00D2217B">
        <w:rPr>
          <w:lang w:eastAsia="fr-FR" w:bidi="fr-FR"/>
        </w:rPr>
        <w:t>r</w:t>
      </w:r>
      <w:r w:rsidRPr="00D2217B">
        <w:rPr>
          <w:lang w:eastAsia="fr-FR" w:bidi="fr-FR"/>
        </w:rPr>
        <w:t>tage des pouvoirs à son profit.</w:t>
      </w:r>
    </w:p>
    <w:p w14:paraId="3632B4DC" w14:textId="77777777" w:rsidR="0039793A" w:rsidRPr="00D2217B" w:rsidRDefault="0039793A" w:rsidP="0039793A">
      <w:pPr>
        <w:spacing w:before="120" w:after="120"/>
        <w:jc w:val="both"/>
      </w:pPr>
      <w:r w:rsidRPr="00D2217B">
        <w:rPr>
          <w:lang w:eastAsia="fr-FR" w:bidi="fr-FR"/>
        </w:rPr>
        <w:t>Sous William McKinley (1897-1901) les États-Unis chaussent les bottes d’une grande puissance en déclarant la guerre à l’Espagne et en établissant rapidement un empire. Le Congrès joue alors un rôle ne</w:t>
      </w:r>
      <w:r w:rsidRPr="00D2217B">
        <w:rPr>
          <w:lang w:eastAsia="fr-FR" w:bidi="fr-FR"/>
        </w:rPr>
        <w:t>t</w:t>
      </w:r>
      <w:r w:rsidRPr="00D2217B">
        <w:rPr>
          <w:lang w:eastAsia="fr-FR" w:bidi="fr-FR"/>
        </w:rPr>
        <w:t>tement mineur</w:t>
      </w:r>
      <w:r w:rsidRPr="00D2217B">
        <w:t> :</w:t>
      </w:r>
      <w:r w:rsidRPr="00D2217B">
        <w:rPr>
          <w:lang w:eastAsia="fr-FR" w:bidi="fr-FR"/>
        </w:rPr>
        <w:t xml:space="preserve"> il entérine les décisions présidentielles. La pratique du président Théodore Roosevelt (1901-1908) accroît d’ailleurs cette perspective. C’est dans ces conditions que Wo</w:t>
      </w:r>
      <w:r w:rsidRPr="00D2217B">
        <w:rPr>
          <w:lang w:eastAsia="fr-FR" w:bidi="fr-FR"/>
        </w:rPr>
        <w:t>o</w:t>
      </w:r>
      <w:r w:rsidRPr="00D2217B">
        <w:rPr>
          <w:lang w:eastAsia="fr-FR" w:bidi="fr-FR"/>
        </w:rPr>
        <w:t>drow Wilson (1913-1920) mène le pays durant la première guerre mondiale et promeut une politique de paix internationale sans même consulter le Sénat. C</w:t>
      </w:r>
      <w:r w:rsidRPr="00D2217B">
        <w:rPr>
          <w:lang w:eastAsia="fr-FR" w:bidi="fr-FR"/>
        </w:rPr>
        <w:t>e</w:t>
      </w:r>
      <w:r w:rsidRPr="00D2217B">
        <w:rPr>
          <w:lang w:eastAsia="fr-FR" w:bidi="fr-FR"/>
        </w:rPr>
        <w:t>la lui vaudra un célèbre camouflet lorsqu’il s’agira de faire ratifier le traité de Versailles et la participation à la Société des Nations qu’il avait lui-même conçue. Cela ne suffit cependant pas à modifier l’ordre des choses, car Franklin Roosevelt profite de son immense popularité pour diriger la politique étrangère sans égard pour le Congrès pl</w:t>
      </w:r>
      <w:r w:rsidRPr="00D2217B">
        <w:rPr>
          <w:lang w:eastAsia="fr-FR" w:bidi="fr-FR"/>
        </w:rPr>
        <w:t>u</w:t>
      </w:r>
      <w:r w:rsidRPr="00D2217B">
        <w:rPr>
          <w:lang w:eastAsia="fr-FR" w:bidi="fr-FR"/>
        </w:rPr>
        <w:t>tôt isolationniste. En 1936, le juge George Suthe</w:t>
      </w:r>
      <w:r w:rsidRPr="00D2217B">
        <w:rPr>
          <w:lang w:eastAsia="fr-FR" w:bidi="fr-FR"/>
        </w:rPr>
        <w:t>r</w:t>
      </w:r>
      <w:r w:rsidRPr="00D2217B">
        <w:rPr>
          <w:lang w:eastAsia="fr-FR" w:bidi="fr-FR"/>
        </w:rPr>
        <w:t xml:space="preserve">land, rapportant pour la Cour suprême dans l’affaire </w:t>
      </w:r>
      <w:r w:rsidRPr="00472C8A">
        <w:rPr>
          <w:i/>
          <w:iCs/>
        </w:rPr>
        <w:t>United-States v. Curtiss-Wright</w:t>
      </w:r>
      <w:r w:rsidRPr="00D2217B">
        <w:rPr>
          <w:lang w:eastAsia="fr-FR" w:bidi="fr-FR"/>
        </w:rPr>
        <w:t xml:space="preserve"> viendra l’appuyer</w:t>
      </w:r>
      <w:r w:rsidRPr="00D2217B">
        <w:t> :</w:t>
      </w:r>
      <w:r w:rsidRPr="00D2217B">
        <w:rPr>
          <w:lang w:eastAsia="fr-FR" w:bidi="fr-FR"/>
        </w:rPr>
        <w:t xml:space="preserve"> reprenant l’expression de Marshall pour lequel le président agit comme </w:t>
      </w:r>
      <w:r w:rsidRPr="00D2217B">
        <w:t>« </w:t>
      </w:r>
      <w:r w:rsidRPr="00D2217B">
        <w:rPr>
          <w:lang w:eastAsia="fr-FR" w:bidi="fr-FR"/>
        </w:rPr>
        <w:t>le seul organe de la nation dans les affaires extérie</w:t>
      </w:r>
      <w:r w:rsidRPr="00D2217B">
        <w:rPr>
          <w:lang w:eastAsia="fr-FR" w:bidi="fr-FR"/>
        </w:rPr>
        <w:t>u</w:t>
      </w:r>
      <w:r w:rsidRPr="00D2217B">
        <w:rPr>
          <w:lang w:eastAsia="fr-FR" w:bidi="fr-FR"/>
        </w:rPr>
        <w:t>res</w:t>
      </w:r>
      <w:r>
        <w:rPr>
          <w:lang w:eastAsia="fr-FR" w:bidi="fr-FR"/>
        </w:rPr>
        <w:t> </w:t>
      </w:r>
      <w:r>
        <w:rPr>
          <w:rStyle w:val="Appelnotedebasdep"/>
          <w:lang w:eastAsia="fr-FR" w:bidi="fr-FR"/>
        </w:rPr>
        <w:footnoteReference w:id="71"/>
      </w:r>
      <w:r w:rsidRPr="00D2217B">
        <w:t> »</w:t>
      </w:r>
      <w:r w:rsidRPr="00D2217B">
        <w:rPr>
          <w:lang w:eastAsia="fr-FR" w:bidi="fr-FR"/>
        </w:rPr>
        <w:t>, S</w:t>
      </w:r>
      <w:r w:rsidRPr="00D2217B">
        <w:rPr>
          <w:lang w:eastAsia="fr-FR" w:bidi="fr-FR"/>
        </w:rPr>
        <w:t>u</w:t>
      </w:r>
      <w:r w:rsidRPr="00D2217B">
        <w:rPr>
          <w:lang w:eastAsia="fr-FR" w:bidi="fr-FR"/>
        </w:rPr>
        <w:t>therland écrit</w:t>
      </w:r>
      <w:r w:rsidRPr="00D2217B">
        <w:t> :</w:t>
      </w:r>
      <w:r w:rsidRPr="00D2217B">
        <w:rPr>
          <w:lang w:eastAsia="fr-FR" w:bidi="fr-FR"/>
        </w:rPr>
        <w:t xml:space="preserve"> </w:t>
      </w:r>
      <w:r w:rsidRPr="00D2217B">
        <w:t>« </w:t>
      </w:r>
      <w:r w:rsidRPr="00D2217B">
        <w:rPr>
          <w:lang w:eastAsia="fr-FR" w:bidi="fr-FR"/>
        </w:rPr>
        <w:t>Dans ce vaste domaine extérieur, avec ses problèmes importants, compliqués, dél</w:t>
      </w:r>
      <w:r w:rsidRPr="00D2217B">
        <w:rPr>
          <w:lang w:eastAsia="fr-FR" w:bidi="fr-FR"/>
        </w:rPr>
        <w:t>i</w:t>
      </w:r>
      <w:r w:rsidRPr="00D2217B">
        <w:rPr>
          <w:lang w:eastAsia="fr-FR" w:bidi="fr-FR"/>
        </w:rPr>
        <w:t>cats et divers, seul le président a le pouvoir de parler ou d’écouter comme</w:t>
      </w:r>
      <w:r>
        <w:rPr>
          <w:lang w:eastAsia="fr-FR" w:bidi="fr-FR"/>
        </w:rPr>
        <w:t xml:space="preserve"> </w:t>
      </w:r>
      <w:r>
        <w:t xml:space="preserve">[35] </w:t>
      </w:r>
      <w:r w:rsidRPr="00D2217B">
        <w:rPr>
          <w:lang w:eastAsia="fr-FR" w:bidi="fr-FR"/>
        </w:rPr>
        <w:t>représentant de la n</w:t>
      </w:r>
      <w:r w:rsidRPr="00D2217B">
        <w:rPr>
          <w:lang w:eastAsia="fr-FR" w:bidi="fr-FR"/>
        </w:rPr>
        <w:t>a</w:t>
      </w:r>
      <w:r w:rsidRPr="00D2217B">
        <w:rPr>
          <w:lang w:eastAsia="fr-FR" w:bidi="fr-FR"/>
        </w:rPr>
        <w:t>tion... Le Sénat ne peut pas s’ingérer et le Congrès même demeure impui</w:t>
      </w:r>
      <w:r w:rsidRPr="00D2217B">
        <w:rPr>
          <w:lang w:eastAsia="fr-FR" w:bidi="fr-FR"/>
        </w:rPr>
        <w:t>s</w:t>
      </w:r>
      <w:r w:rsidRPr="00D2217B">
        <w:rPr>
          <w:lang w:eastAsia="fr-FR" w:bidi="fr-FR"/>
        </w:rPr>
        <w:t>sant...</w:t>
      </w:r>
      <w:r>
        <w:rPr>
          <w:lang w:eastAsia="fr-FR" w:bidi="fr-FR"/>
        </w:rPr>
        <w:t> </w:t>
      </w:r>
      <w:r>
        <w:rPr>
          <w:rStyle w:val="Appelnotedebasdep"/>
          <w:lang w:eastAsia="fr-FR" w:bidi="fr-FR"/>
        </w:rPr>
        <w:footnoteReference w:id="72"/>
      </w:r>
      <w:r w:rsidRPr="00D2217B">
        <w:t> »</w:t>
      </w:r>
      <w:r w:rsidRPr="00D2217B">
        <w:rPr>
          <w:lang w:eastAsia="fr-FR" w:bidi="fr-FR"/>
        </w:rPr>
        <w:t xml:space="preserve"> En effet, c’est le président Truman, seul, qui décide d’utiliser l’arme nucléaire en 1945. En 1947, au moment de lancer sa doctrine d’intervention internationale en temps de paix qui devait donner lieu à la politique de l’endiguement, Truman consulte les chefs de partis au Congrès, et particulièrement le leader de la majorité au Sénat, le sénateur républicain Arthur Vande</w:t>
      </w:r>
      <w:r w:rsidRPr="00D2217B">
        <w:rPr>
          <w:lang w:eastAsia="fr-FR" w:bidi="fr-FR"/>
        </w:rPr>
        <w:t>n</w:t>
      </w:r>
      <w:r w:rsidRPr="00D2217B">
        <w:rPr>
          <w:lang w:eastAsia="fr-FR" w:bidi="fr-FR"/>
        </w:rPr>
        <w:t>berg. Ce dernier accorde son soutien au président. Cet appui d’un leader du parti opposé e</w:t>
      </w:r>
      <w:r w:rsidRPr="00D2217B">
        <w:rPr>
          <w:lang w:eastAsia="fr-FR" w:bidi="fr-FR"/>
        </w:rPr>
        <w:t>n</w:t>
      </w:r>
      <w:r w:rsidRPr="00D2217B">
        <w:rPr>
          <w:lang w:eastAsia="fr-FR" w:bidi="fr-FR"/>
        </w:rPr>
        <w:t xml:space="preserve">gendre une période de consensus </w:t>
      </w:r>
      <w:r w:rsidRPr="0019625E">
        <w:rPr>
          <w:i/>
          <w:iCs/>
        </w:rPr>
        <w:t>bipartisan</w:t>
      </w:r>
      <w:r w:rsidRPr="00D2217B">
        <w:t>,</w:t>
      </w:r>
      <w:r w:rsidRPr="00D2217B">
        <w:rPr>
          <w:lang w:eastAsia="fr-FR" w:bidi="fr-FR"/>
        </w:rPr>
        <w:t xml:space="preserve"> assez proche du </w:t>
      </w:r>
      <w:r w:rsidRPr="00D2217B">
        <w:t>« </w:t>
      </w:r>
      <w:r w:rsidRPr="00D2217B">
        <w:rPr>
          <w:lang w:eastAsia="fr-FR" w:bidi="fr-FR"/>
        </w:rPr>
        <w:t>fait m</w:t>
      </w:r>
      <w:r w:rsidRPr="00D2217B">
        <w:rPr>
          <w:lang w:eastAsia="fr-FR" w:bidi="fr-FR"/>
        </w:rPr>
        <w:t>a</w:t>
      </w:r>
      <w:r w:rsidRPr="00D2217B">
        <w:rPr>
          <w:lang w:eastAsia="fr-FR" w:bidi="fr-FR"/>
        </w:rPr>
        <w:t>joritaire</w:t>
      </w:r>
      <w:r w:rsidRPr="00D2217B">
        <w:t> »</w:t>
      </w:r>
      <w:r w:rsidRPr="00D2217B">
        <w:rPr>
          <w:lang w:eastAsia="fr-FR" w:bidi="fr-FR"/>
        </w:rPr>
        <w:t xml:space="preserve"> à la française, pour tout ce qui concerne la politique étrangère, les grandes stratégies de di</w:t>
      </w:r>
      <w:r w:rsidRPr="00D2217B">
        <w:rPr>
          <w:lang w:eastAsia="fr-FR" w:bidi="fr-FR"/>
        </w:rPr>
        <w:t>s</w:t>
      </w:r>
      <w:r w:rsidRPr="00D2217B">
        <w:rPr>
          <w:lang w:eastAsia="fr-FR" w:bidi="fr-FR"/>
        </w:rPr>
        <w:t xml:space="preserve">suasion et de défense nationale. Ainsi, </w:t>
      </w:r>
      <w:r w:rsidRPr="00D2217B">
        <w:t>« </w:t>
      </w:r>
      <w:r w:rsidRPr="00D2217B">
        <w:rPr>
          <w:lang w:eastAsia="fr-FR" w:bidi="fr-FR"/>
        </w:rPr>
        <w:t>la menace soviétique a constitué un puissant facteur de prés</w:t>
      </w:r>
      <w:r w:rsidRPr="00D2217B">
        <w:rPr>
          <w:lang w:eastAsia="fr-FR" w:bidi="fr-FR"/>
        </w:rPr>
        <w:t>i</w:t>
      </w:r>
      <w:r w:rsidRPr="00D2217B">
        <w:rPr>
          <w:lang w:eastAsia="fr-FR" w:bidi="fr-FR"/>
        </w:rPr>
        <w:t>dentialisation du régime</w:t>
      </w:r>
      <w:r>
        <w:rPr>
          <w:lang w:eastAsia="fr-FR" w:bidi="fr-FR"/>
        </w:rPr>
        <w:t> </w:t>
      </w:r>
      <w:r>
        <w:rPr>
          <w:rStyle w:val="Appelnotedebasdep"/>
          <w:lang w:eastAsia="fr-FR" w:bidi="fr-FR"/>
        </w:rPr>
        <w:footnoteReference w:id="73"/>
      </w:r>
      <w:r w:rsidRPr="00D2217B">
        <w:t> »</w:t>
      </w:r>
      <w:r w:rsidRPr="00D2217B">
        <w:rPr>
          <w:lang w:eastAsia="fr-FR" w:bidi="fr-FR"/>
        </w:rPr>
        <w:t>. Dans ce conte</w:t>
      </w:r>
      <w:r w:rsidRPr="00D2217B">
        <w:rPr>
          <w:lang w:eastAsia="fr-FR" w:bidi="fr-FR"/>
        </w:rPr>
        <w:t>x</w:t>
      </w:r>
      <w:r w:rsidRPr="00D2217B">
        <w:rPr>
          <w:lang w:eastAsia="fr-FR" w:bidi="fr-FR"/>
        </w:rPr>
        <w:t>te, John F. Kennedy ne croit pas bon de consulter le Sénat avant d’expédier des conseillers militaires puis des troupes au Vietnam. A la suite de cette décision, le président Johnson obtient facilement, en 1964, l’autorisation de mener une intervention qui est une véritable guerre sans en porter le nom. Richard Nixon engage par la suite des négociations tout en poursu</w:t>
      </w:r>
      <w:r w:rsidRPr="00D2217B">
        <w:rPr>
          <w:lang w:eastAsia="fr-FR" w:bidi="fr-FR"/>
        </w:rPr>
        <w:t>i</w:t>
      </w:r>
      <w:r w:rsidRPr="00D2217B">
        <w:rPr>
          <w:lang w:eastAsia="fr-FR" w:bidi="fr-FR"/>
        </w:rPr>
        <w:t>vant des attaques aériennes en I</w:t>
      </w:r>
      <w:r w:rsidRPr="00D2217B">
        <w:rPr>
          <w:lang w:eastAsia="fr-FR" w:bidi="fr-FR"/>
        </w:rPr>
        <w:t>n</w:t>
      </w:r>
      <w:r w:rsidRPr="00D2217B">
        <w:rPr>
          <w:lang w:eastAsia="fr-FR" w:bidi="fr-FR"/>
        </w:rPr>
        <w:t>dochine sans faire grand cas du Congrès. George W. Bush, que l’on présumait faible, se révèle, après le 11 septembre 2001, un véritable comma</w:t>
      </w:r>
      <w:r w:rsidRPr="00D2217B">
        <w:rPr>
          <w:lang w:eastAsia="fr-FR" w:bidi="fr-FR"/>
        </w:rPr>
        <w:t>n</w:t>
      </w:r>
      <w:r w:rsidRPr="00D2217B">
        <w:rPr>
          <w:lang w:eastAsia="fr-FR" w:bidi="fr-FR"/>
        </w:rPr>
        <w:t>dant en chef, que suit le Congrès. Fait intéressant, cependant, la rés</w:t>
      </w:r>
      <w:r w:rsidRPr="00D2217B">
        <w:rPr>
          <w:lang w:eastAsia="fr-FR" w:bidi="fr-FR"/>
        </w:rPr>
        <w:t>o</w:t>
      </w:r>
      <w:r w:rsidRPr="00D2217B">
        <w:rPr>
          <w:lang w:eastAsia="fr-FR" w:bidi="fr-FR"/>
        </w:rPr>
        <w:t>lution qu’adopte le Congrès en octobre 2002 pour autoriser le prés</w:t>
      </w:r>
      <w:r w:rsidRPr="00D2217B">
        <w:rPr>
          <w:lang w:eastAsia="fr-FR" w:bidi="fr-FR"/>
        </w:rPr>
        <w:t>i</w:t>
      </w:r>
      <w:r w:rsidRPr="00D2217B">
        <w:rPr>
          <w:lang w:eastAsia="fr-FR" w:bidi="fr-FR"/>
        </w:rPr>
        <w:t>dent à utiliser la force militaire contre l’Irak se conforme en tout point à la loi des pouvoirs de guerre de 1973</w:t>
      </w:r>
      <w:r>
        <w:rPr>
          <w:lang w:eastAsia="fr-FR" w:bidi="fr-FR"/>
        </w:rPr>
        <w:t> </w:t>
      </w:r>
      <w:r>
        <w:rPr>
          <w:rStyle w:val="Appelnotedebasdep"/>
          <w:lang w:eastAsia="fr-FR" w:bidi="fr-FR"/>
        </w:rPr>
        <w:footnoteReference w:id="74"/>
      </w:r>
      <w:r w:rsidRPr="00D2217B">
        <w:rPr>
          <w:lang w:eastAsia="fr-FR" w:bidi="fr-FR"/>
        </w:rPr>
        <w:t>. Elle en est peut-être la seule véritable applic</w:t>
      </w:r>
      <w:r w:rsidRPr="00D2217B">
        <w:rPr>
          <w:lang w:eastAsia="fr-FR" w:bidi="fr-FR"/>
        </w:rPr>
        <w:t>a</w:t>
      </w:r>
      <w:r w:rsidRPr="00D2217B">
        <w:rPr>
          <w:lang w:eastAsia="fr-FR" w:bidi="fr-FR"/>
        </w:rPr>
        <w:t>tion.</w:t>
      </w:r>
    </w:p>
    <w:p w14:paraId="52513CCE" w14:textId="77777777" w:rsidR="0039793A" w:rsidRPr="00D2217B" w:rsidRDefault="0039793A" w:rsidP="0039793A">
      <w:pPr>
        <w:spacing w:before="120" w:after="120"/>
        <w:jc w:val="both"/>
      </w:pPr>
      <w:r w:rsidRPr="00D2217B">
        <w:rPr>
          <w:lang w:eastAsia="fr-FR" w:bidi="fr-FR"/>
        </w:rPr>
        <w:t>Les tenants de la concentration du pouvoir en matière de politique étrangère dans la personne du président s’appuient sur deux éléments</w:t>
      </w:r>
      <w:r w:rsidRPr="00D2217B">
        <w:t> :</w:t>
      </w:r>
      <w:r w:rsidRPr="00D2217B">
        <w:rPr>
          <w:lang w:eastAsia="fr-FR" w:bidi="fr-FR"/>
        </w:rPr>
        <w:t xml:space="preserve"> d’un côté, ils se fondent sur la tradition constitutionnelle des régimes politiques européens, de l’autre ils affi</w:t>
      </w:r>
      <w:r w:rsidRPr="00D2217B">
        <w:rPr>
          <w:lang w:eastAsia="fr-FR" w:bidi="fr-FR"/>
        </w:rPr>
        <w:t>r</w:t>
      </w:r>
      <w:r w:rsidRPr="00D2217B">
        <w:rPr>
          <w:lang w:eastAsia="fr-FR" w:bidi="fr-FR"/>
        </w:rPr>
        <w:t>ment l’obsolescence d’un texte constitutionnel b</w:t>
      </w:r>
      <w:r w:rsidRPr="00D2217B">
        <w:rPr>
          <w:lang w:eastAsia="fr-FR" w:bidi="fr-FR"/>
        </w:rPr>
        <w:t>i</w:t>
      </w:r>
      <w:r w:rsidRPr="00D2217B">
        <w:rPr>
          <w:lang w:eastAsia="fr-FR" w:bidi="fr-FR"/>
        </w:rPr>
        <w:t>centenaire,</w:t>
      </w:r>
      <w:r>
        <w:rPr>
          <w:lang w:eastAsia="fr-FR" w:bidi="fr-FR"/>
        </w:rPr>
        <w:t xml:space="preserve"> </w:t>
      </w:r>
      <w:r>
        <w:t xml:space="preserve">[36] </w:t>
      </w:r>
      <w:r w:rsidRPr="00D2217B">
        <w:rPr>
          <w:lang w:eastAsia="fr-FR" w:bidi="fr-FR"/>
        </w:rPr>
        <w:t>édicté à une époque où la politique étrangère américaine se rédu</w:t>
      </w:r>
      <w:r w:rsidRPr="00D2217B">
        <w:rPr>
          <w:lang w:eastAsia="fr-FR" w:bidi="fr-FR"/>
        </w:rPr>
        <w:t>i</w:t>
      </w:r>
      <w:r w:rsidRPr="00D2217B">
        <w:rPr>
          <w:lang w:eastAsia="fr-FR" w:bidi="fr-FR"/>
        </w:rPr>
        <w:t>sait à sa portion congrue. Ils invoquent la nécessaire corrélation entre le statut de superpuissance et l’existence d’un Exécutif fort, capable de prendre des engagements et de s’assurer une grande crédibilité. La portée des décisions de politique étrangère est telle qu’il paraît irresponsable d’en laisser l’élaboration à 535 lég</w:t>
      </w:r>
      <w:r w:rsidRPr="00D2217B">
        <w:rPr>
          <w:lang w:eastAsia="fr-FR" w:bidi="fr-FR"/>
        </w:rPr>
        <w:t>i</w:t>
      </w:r>
      <w:r w:rsidRPr="00D2217B">
        <w:rPr>
          <w:lang w:eastAsia="fr-FR" w:bidi="fr-FR"/>
        </w:rPr>
        <w:t>slateurs dont les intérêts locaux prévalent d’ailleurs so</w:t>
      </w:r>
      <w:r w:rsidRPr="00D2217B">
        <w:rPr>
          <w:lang w:eastAsia="fr-FR" w:bidi="fr-FR"/>
        </w:rPr>
        <w:t>u</w:t>
      </w:r>
      <w:r w:rsidRPr="00D2217B">
        <w:rPr>
          <w:lang w:eastAsia="fr-FR" w:bidi="fr-FR"/>
        </w:rPr>
        <w:t>vent. Sans doute, le président doit-il, de temps à autre, s’adresser au Congrès et gagner l’adhésion de ses membres à ses politiques. Cela ne doit pas occulter son aptitude à mener la politique étrangère dans l’intérêt n</w:t>
      </w:r>
      <w:r w:rsidRPr="00D2217B">
        <w:rPr>
          <w:lang w:eastAsia="fr-FR" w:bidi="fr-FR"/>
        </w:rPr>
        <w:t>a</w:t>
      </w:r>
      <w:r w:rsidRPr="00D2217B">
        <w:rPr>
          <w:lang w:eastAsia="fr-FR" w:bidi="fr-FR"/>
        </w:rPr>
        <w:t>tional qu’il est le seul à r</w:t>
      </w:r>
      <w:r w:rsidRPr="00D2217B">
        <w:rPr>
          <w:lang w:eastAsia="fr-FR" w:bidi="fr-FR"/>
        </w:rPr>
        <w:t>e</w:t>
      </w:r>
      <w:r w:rsidRPr="00D2217B">
        <w:rPr>
          <w:lang w:eastAsia="fr-FR" w:bidi="fr-FR"/>
        </w:rPr>
        <w:t>présenter vraiment.</w:t>
      </w:r>
    </w:p>
    <w:p w14:paraId="11967F5C" w14:textId="77777777" w:rsidR="0039793A" w:rsidRPr="00D2217B" w:rsidRDefault="0039793A" w:rsidP="0039793A">
      <w:pPr>
        <w:spacing w:before="120" w:after="120"/>
        <w:jc w:val="both"/>
      </w:pPr>
      <w:r w:rsidRPr="00D2217B">
        <w:rPr>
          <w:lang w:eastAsia="fr-FR" w:bidi="fr-FR"/>
        </w:rPr>
        <w:t xml:space="preserve">Pour Bernard Schwartz, les Pères fondateurs n’entendaient pas opérer un véritable partage du pouvoir mais bien une division entre le </w:t>
      </w:r>
      <w:r w:rsidRPr="00D2217B">
        <w:t>pouvoir</w:t>
      </w:r>
      <w:r w:rsidRPr="00D2217B">
        <w:rPr>
          <w:lang w:eastAsia="fr-FR" w:bidi="fr-FR"/>
        </w:rPr>
        <w:t xml:space="preserve"> du président et les </w:t>
      </w:r>
      <w:r w:rsidRPr="0019625E">
        <w:rPr>
          <w:i/>
          <w:iCs/>
        </w:rPr>
        <w:t>responsabilités</w:t>
      </w:r>
      <w:r w:rsidRPr="00D2217B">
        <w:rPr>
          <w:lang w:eastAsia="fr-FR" w:bidi="fr-FR"/>
        </w:rPr>
        <w:t xml:space="preserve"> du Congrès</w:t>
      </w:r>
      <w:r>
        <w:rPr>
          <w:lang w:eastAsia="fr-FR" w:bidi="fr-FR"/>
        </w:rPr>
        <w:t> </w:t>
      </w:r>
      <w:r>
        <w:rPr>
          <w:rStyle w:val="Appelnotedebasdep"/>
          <w:lang w:eastAsia="fr-FR" w:bidi="fr-FR"/>
        </w:rPr>
        <w:footnoteReference w:id="75"/>
      </w:r>
      <w:r>
        <w:rPr>
          <w:lang w:eastAsia="fr-FR" w:bidi="fr-FR"/>
        </w:rPr>
        <w:t>.</w:t>
      </w:r>
      <w:r w:rsidRPr="00D2217B">
        <w:rPr>
          <w:lang w:eastAsia="fr-FR" w:bidi="fr-FR"/>
        </w:rPr>
        <w:t xml:space="preserve"> Il appa</w:t>
      </w:r>
      <w:r w:rsidRPr="00D2217B">
        <w:rPr>
          <w:lang w:eastAsia="fr-FR" w:bidi="fr-FR"/>
        </w:rPr>
        <w:t>r</w:t>
      </w:r>
      <w:r w:rsidRPr="00D2217B">
        <w:rPr>
          <w:lang w:eastAsia="fr-FR" w:bidi="fr-FR"/>
        </w:rPr>
        <w:t>tient donc aux législateurs de contrôler et de borner l’exercice du po</w:t>
      </w:r>
      <w:r w:rsidRPr="00D2217B">
        <w:rPr>
          <w:lang w:eastAsia="fr-FR" w:bidi="fr-FR"/>
        </w:rPr>
        <w:t>u</w:t>
      </w:r>
      <w:r w:rsidRPr="00D2217B">
        <w:rPr>
          <w:lang w:eastAsia="fr-FR" w:bidi="fr-FR"/>
        </w:rPr>
        <w:t>voir par l’Exécutif, mais leur rôle demeure subordonné à celui du prés</w:t>
      </w:r>
      <w:r w:rsidRPr="00D2217B">
        <w:rPr>
          <w:lang w:eastAsia="fr-FR" w:bidi="fr-FR"/>
        </w:rPr>
        <w:t>i</w:t>
      </w:r>
      <w:r w:rsidRPr="00D2217B">
        <w:rPr>
          <w:lang w:eastAsia="fr-FR" w:bidi="fr-FR"/>
        </w:rPr>
        <w:t>dent. Ils n’exercent pas un véritable pouvoir mais assument des re</w:t>
      </w:r>
      <w:r w:rsidRPr="00D2217B">
        <w:rPr>
          <w:lang w:eastAsia="fr-FR" w:bidi="fr-FR"/>
        </w:rPr>
        <w:t>s</w:t>
      </w:r>
      <w:r w:rsidRPr="00D2217B">
        <w:rPr>
          <w:lang w:eastAsia="fr-FR" w:bidi="fr-FR"/>
        </w:rPr>
        <w:t>ponsabilités en regard du pouvoir. En substance, selon Schwartz, la Maison-Blanche contrôle les instruments de la politique étrangère, le Congrès décide des fonds nécessaires à cette politique. Le pouvoir du président de recevoir les ambassadeurs ne suppose-t-il pas celui de les accréditer, de reconnaître des partenaires diplomat</w:t>
      </w:r>
      <w:r w:rsidRPr="00D2217B">
        <w:rPr>
          <w:lang w:eastAsia="fr-FR" w:bidi="fr-FR"/>
        </w:rPr>
        <w:t>i</w:t>
      </w:r>
      <w:r w:rsidRPr="00D2217B">
        <w:rPr>
          <w:lang w:eastAsia="fr-FR" w:bidi="fr-FR"/>
        </w:rPr>
        <w:t>ques et d’établir des relations appropriées avec eux, ce qui constitue l’essentiel de la politique étrangère</w:t>
      </w:r>
      <w:r w:rsidRPr="00D2217B">
        <w:t> ?</w:t>
      </w:r>
      <w:r w:rsidRPr="00D2217B">
        <w:rPr>
          <w:lang w:eastAsia="fr-FR" w:bidi="fr-FR"/>
        </w:rPr>
        <w:t xml:space="preserve"> En conséquence, le président est le véritable d</w:t>
      </w:r>
      <w:r w:rsidRPr="00D2217B">
        <w:rPr>
          <w:lang w:eastAsia="fr-FR" w:bidi="fr-FR"/>
        </w:rPr>
        <w:t>é</w:t>
      </w:r>
      <w:r w:rsidRPr="00D2217B">
        <w:rPr>
          <w:lang w:eastAsia="fr-FR" w:bidi="fr-FR"/>
        </w:rPr>
        <w:t>positaire du pouvoir en ce domaine.</w:t>
      </w:r>
    </w:p>
    <w:p w14:paraId="55A09BB3" w14:textId="77777777" w:rsidR="0039793A" w:rsidRDefault="0039793A" w:rsidP="0039793A">
      <w:pPr>
        <w:spacing w:before="120" w:after="120"/>
        <w:jc w:val="both"/>
        <w:rPr>
          <w:lang w:eastAsia="fr-FR" w:bidi="fr-FR"/>
        </w:rPr>
      </w:pPr>
      <w:r w:rsidRPr="00D2217B">
        <w:rPr>
          <w:lang w:eastAsia="fr-FR" w:bidi="fr-FR"/>
        </w:rPr>
        <w:t>Le président est toujours autorisé, sur la base de la légitime défe</w:t>
      </w:r>
      <w:r w:rsidRPr="00D2217B">
        <w:rPr>
          <w:lang w:eastAsia="fr-FR" w:bidi="fr-FR"/>
        </w:rPr>
        <w:t>n</w:t>
      </w:r>
      <w:r w:rsidRPr="00D2217B">
        <w:rPr>
          <w:lang w:eastAsia="fr-FR" w:bidi="fr-FR"/>
        </w:rPr>
        <w:t>se, à déployer des troupes et à les engager au combat. Cette respons</w:t>
      </w:r>
      <w:r w:rsidRPr="00D2217B">
        <w:rPr>
          <w:lang w:eastAsia="fr-FR" w:bidi="fr-FR"/>
        </w:rPr>
        <w:t>a</w:t>
      </w:r>
      <w:r w:rsidRPr="00D2217B">
        <w:rPr>
          <w:lang w:eastAsia="fr-FR" w:bidi="fr-FR"/>
        </w:rPr>
        <w:t>bilité peut aller jusqu’à nécessiter l’envoi de forces spéciales en cas d’urgence. Jefferson fondait déjà les prérogat</w:t>
      </w:r>
      <w:r w:rsidRPr="00D2217B">
        <w:rPr>
          <w:lang w:eastAsia="fr-FR" w:bidi="fr-FR"/>
        </w:rPr>
        <w:t>i</w:t>
      </w:r>
      <w:r w:rsidRPr="00D2217B">
        <w:rPr>
          <w:lang w:eastAsia="fr-FR" w:bidi="fr-FR"/>
        </w:rPr>
        <w:t>ves d’urgence sur l’approche de John Locke et non sur la Constitution. Abraham Li</w:t>
      </w:r>
      <w:r w:rsidRPr="00D2217B">
        <w:rPr>
          <w:lang w:eastAsia="fr-FR" w:bidi="fr-FR"/>
        </w:rPr>
        <w:t>n</w:t>
      </w:r>
      <w:r w:rsidRPr="00D2217B">
        <w:rPr>
          <w:lang w:eastAsia="fr-FR" w:bidi="fr-FR"/>
        </w:rPr>
        <w:t>coln et Franklin Roosevelt ont eu recours à cette doctrine en lui r</w:t>
      </w:r>
      <w:r w:rsidRPr="00D2217B">
        <w:rPr>
          <w:lang w:eastAsia="fr-FR" w:bidi="fr-FR"/>
        </w:rPr>
        <w:t>e</w:t>
      </w:r>
      <w:r w:rsidRPr="00D2217B">
        <w:rPr>
          <w:lang w:eastAsia="fr-FR" w:bidi="fr-FR"/>
        </w:rPr>
        <w:t>connaissant toutefois un caractère temporaire et exceptionnel</w:t>
      </w:r>
      <w:r>
        <w:rPr>
          <w:lang w:eastAsia="fr-FR" w:bidi="fr-FR"/>
        </w:rPr>
        <w:t> </w:t>
      </w:r>
      <w:r>
        <w:rPr>
          <w:rStyle w:val="Appelnotedebasdep"/>
          <w:lang w:eastAsia="fr-FR" w:bidi="fr-FR"/>
        </w:rPr>
        <w:footnoteReference w:id="76"/>
      </w:r>
      <w:r w:rsidRPr="00D2217B">
        <w:rPr>
          <w:lang w:eastAsia="fr-FR" w:bidi="fr-FR"/>
        </w:rPr>
        <w:t xml:space="preserve">. Un nombre considérable d’interventions militaires américaines n’ont pas été soumises à la consultation du Congrès parce qu’elles n’ont pas été dénommées </w:t>
      </w:r>
      <w:r w:rsidRPr="00D2217B">
        <w:t>«</w:t>
      </w:r>
      <w:r w:rsidRPr="00D2217B">
        <w:rPr>
          <w:lang w:eastAsia="fr-FR" w:bidi="fr-FR"/>
        </w:rPr>
        <w:t>guerres</w:t>
      </w:r>
      <w:r w:rsidRPr="00D2217B">
        <w:t> »</w:t>
      </w:r>
      <w:r w:rsidRPr="00D2217B">
        <w:rPr>
          <w:lang w:eastAsia="fr-FR" w:bidi="fr-FR"/>
        </w:rPr>
        <w:t>.</w:t>
      </w:r>
    </w:p>
    <w:p w14:paraId="0D821379" w14:textId="77777777" w:rsidR="0039793A" w:rsidRPr="00D2217B" w:rsidRDefault="0039793A" w:rsidP="0039793A">
      <w:pPr>
        <w:spacing w:before="120" w:after="120"/>
        <w:jc w:val="both"/>
      </w:pPr>
      <w:r>
        <w:t>[37]</w:t>
      </w:r>
    </w:p>
    <w:p w14:paraId="5231BC95" w14:textId="77777777" w:rsidR="0039793A" w:rsidRPr="00D2217B" w:rsidRDefault="0039793A" w:rsidP="0039793A">
      <w:pPr>
        <w:spacing w:before="120" w:after="120"/>
        <w:jc w:val="both"/>
      </w:pPr>
      <w:r w:rsidRPr="00D2217B">
        <w:rPr>
          <w:lang w:eastAsia="fr-FR" w:bidi="fr-FR"/>
        </w:rPr>
        <w:t>On a distingué entre un acte de guerre et un état de guerre, ce de</w:t>
      </w:r>
      <w:r w:rsidRPr="00D2217B">
        <w:rPr>
          <w:lang w:eastAsia="fr-FR" w:bidi="fr-FR"/>
        </w:rPr>
        <w:t>r</w:t>
      </w:r>
      <w:r w:rsidRPr="00D2217B">
        <w:rPr>
          <w:lang w:eastAsia="fr-FR" w:bidi="fr-FR"/>
        </w:rPr>
        <w:t>nier ne pouvant survenir que lor</w:t>
      </w:r>
      <w:r w:rsidRPr="00D2217B">
        <w:rPr>
          <w:lang w:eastAsia="fr-FR" w:bidi="fr-FR"/>
        </w:rPr>
        <w:t>s</w:t>
      </w:r>
      <w:r w:rsidRPr="00D2217B">
        <w:rPr>
          <w:lang w:eastAsia="fr-FR" w:bidi="fr-FR"/>
        </w:rPr>
        <w:t xml:space="preserve">que deux États sont engagés l’un contre l’autre. Dans le cas d’interventions américaines contre des États faibles incapables de mener une véritable guerre contre les États-Unis, on a pu arguer qu’il ne s’agissait pas vraiment de guerre mais </w:t>
      </w:r>
      <w:r w:rsidRPr="00D2217B">
        <w:t>« </w:t>
      </w:r>
      <w:r w:rsidRPr="00D2217B">
        <w:rPr>
          <w:lang w:eastAsia="fr-FR" w:bidi="fr-FR"/>
        </w:rPr>
        <w:t>d’intervention armée</w:t>
      </w:r>
      <w:r>
        <w:rPr>
          <w:lang w:eastAsia="fr-FR" w:bidi="fr-FR"/>
        </w:rPr>
        <w:t> </w:t>
      </w:r>
      <w:r>
        <w:rPr>
          <w:rStyle w:val="Appelnotedebasdep"/>
          <w:lang w:eastAsia="fr-FR" w:bidi="fr-FR"/>
        </w:rPr>
        <w:footnoteReference w:id="77"/>
      </w:r>
      <w:r w:rsidRPr="00D2217B">
        <w:t> »</w:t>
      </w:r>
      <w:r w:rsidRPr="00D2217B">
        <w:rPr>
          <w:lang w:eastAsia="fr-FR" w:bidi="fr-FR"/>
        </w:rPr>
        <w:t>. Le nucléaire est assurément un autre fa</w:t>
      </w:r>
      <w:r w:rsidRPr="00D2217B">
        <w:rPr>
          <w:lang w:eastAsia="fr-FR" w:bidi="fr-FR"/>
        </w:rPr>
        <w:t>c</w:t>
      </w:r>
      <w:r w:rsidRPr="00D2217B">
        <w:rPr>
          <w:lang w:eastAsia="fr-FR" w:bidi="fr-FR"/>
        </w:rPr>
        <w:t xml:space="preserve">teur conséquent de la </w:t>
      </w:r>
      <w:r w:rsidRPr="00D2217B">
        <w:t>« </w:t>
      </w:r>
      <w:r w:rsidRPr="00D2217B">
        <w:rPr>
          <w:lang w:eastAsia="fr-FR" w:bidi="fr-FR"/>
        </w:rPr>
        <w:t>présidentialisation</w:t>
      </w:r>
      <w:r w:rsidRPr="00D2217B">
        <w:t> »</w:t>
      </w:r>
      <w:r w:rsidRPr="00D2217B">
        <w:rPr>
          <w:lang w:eastAsia="fr-FR" w:bidi="fr-FR"/>
        </w:rPr>
        <w:t xml:space="preserve"> du régime</w:t>
      </w:r>
      <w:r>
        <w:rPr>
          <w:lang w:eastAsia="fr-FR" w:bidi="fr-FR"/>
        </w:rPr>
        <w:t> </w:t>
      </w:r>
      <w:r>
        <w:rPr>
          <w:rStyle w:val="Appelnotedebasdep"/>
          <w:lang w:eastAsia="fr-FR" w:bidi="fr-FR"/>
        </w:rPr>
        <w:footnoteReference w:id="78"/>
      </w:r>
      <w:r w:rsidRPr="00D2217B">
        <w:rPr>
          <w:lang w:eastAsia="fr-FR" w:bidi="fr-FR"/>
        </w:rPr>
        <w:t>, puisque, selon un schéma identique aux autres puissances nucléa</w:t>
      </w:r>
      <w:r w:rsidRPr="00D2217B">
        <w:rPr>
          <w:lang w:eastAsia="fr-FR" w:bidi="fr-FR"/>
        </w:rPr>
        <w:t>i</w:t>
      </w:r>
      <w:r w:rsidRPr="00D2217B">
        <w:rPr>
          <w:lang w:eastAsia="fr-FR" w:bidi="fr-FR"/>
        </w:rPr>
        <w:t>res, l’utilisation en est concentrée dans les mains de l’Exécutif. Il est év</w:t>
      </w:r>
      <w:r w:rsidRPr="00D2217B">
        <w:rPr>
          <w:lang w:eastAsia="fr-FR" w:bidi="fr-FR"/>
        </w:rPr>
        <w:t>i</w:t>
      </w:r>
      <w:r w:rsidRPr="00D2217B">
        <w:rPr>
          <w:lang w:eastAsia="fr-FR" w:bidi="fr-FR"/>
        </w:rPr>
        <w:t>dent que seul le président est en mesure de décider d’utiliser l’arme nucléaire dans le cas d’une attaque ennemie, ou d’une menace imm</w:t>
      </w:r>
      <w:r w:rsidRPr="00D2217B">
        <w:rPr>
          <w:lang w:eastAsia="fr-FR" w:bidi="fr-FR"/>
        </w:rPr>
        <w:t>i</w:t>
      </w:r>
      <w:r w:rsidRPr="00D2217B">
        <w:rPr>
          <w:lang w:eastAsia="fr-FR" w:bidi="fr-FR"/>
        </w:rPr>
        <w:t xml:space="preserve">nente justifiant une attaque dite </w:t>
      </w:r>
      <w:r w:rsidRPr="00D2217B">
        <w:t>« </w:t>
      </w:r>
      <w:r w:rsidRPr="00D2217B">
        <w:rPr>
          <w:lang w:eastAsia="fr-FR" w:bidi="fr-FR"/>
        </w:rPr>
        <w:t>préemptive</w:t>
      </w:r>
      <w:r w:rsidRPr="00D2217B">
        <w:t> »</w:t>
      </w:r>
      <w:r w:rsidRPr="00D2217B">
        <w:rPr>
          <w:lang w:eastAsia="fr-FR" w:bidi="fr-FR"/>
        </w:rPr>
        <w:t>. De telles conjonctures nécessitent des réactions tellement rapides qu’elles excluent tout r</w:t>
      </w:r>
      <w:r w:rsidRPr="00D2217B">
        <w:rPr>
          <w:lang w:eastAsia="fr-FR" w:bidi="fr-FR"/>
        </w:rPr>
        <w:t>e</w:t>
      </w:r>
      <w:r w:rsidRPr="00D2217B">
        <w:rPr>
          <w:lang w:eastAsia="fr-FR" w:bidi="fr-FR"/>
        </w:rPr>
        <w:t xml:space="preserve">cours légal à une autre instance que l’Exécutif. En conséquence, le pouvoir nucléaire ne peut être aisément assujetti au cadre juridique classique et de fait, </w:t>
      </w:r>
      <w:r w:rsidRPr="00D2217B">
        <w:t>« </w:t>
      </w:r>
      <w:r w:rsidRPr="00D2217B">
        <w:rPr>
          <w:lang w:eastAsia="fr-FR" w:bidi="fr-FR"/>
        </w:rPr>
        <w:t>l’atome est devenu une no</w:t>
      </w:r>
      <w:r w:rsidRPr="00D2217B">
        <w:rPr>
          <w:lang w:eastAsia="fr-FR" w:bidi="fr-FR"/>
        </w:rPr>
        <w:t>u</w:t>
      </w:r>
      <w:r w:rsidRPr="00D2217B">
        <w:rPr>
          <w:lang w:eastAsia="fr-FR" w:bidi="fr-FR"/>
        </w:rPr>
        <w:t>velle source du droit constitutionnel</w:t>
      </w:r>
      <w:r>
        <w:rPr>
          <w:lang w:eastAsia="fr-FR" w:bidi="fr-FR"/>
        </w:rPr>
        <w:t> </w:t>
      </w:r>
      <w:r>
        <w:rPr>
          <w:rStyle w:val="Appelnotedebasdep"/>
          <w:lang w:eastAsia="fr-FR" w:bidi="fr-FR"/>
        </w:rPr>
        <w:footnoteReference w:id="79"/>
      </w:r>
      <w:r w:rsidRPr="00D2217B">
        <w:t> »</w:t>
      </w:r>
      <w:r w:rsidRPr="00D2217B">
        <w:rPr>
          <w:lang w:eastAsia="fr-FR" w:bidi="fr-FR"/>
        </w:rPr>
        <w:t>.</w:t>
      </w:r>
    </w:p>
    <w:p w14:paraId="591C7FBC" w14:textId="77777777" w:rsidR="0039793A" w:rsidRPr="00D2217B" w:rsidRDefault="0039793A" w:rsidP="0039793A">
      <w:pPr>
        <w:spacing w:before="120" w:after="120"/>
        <w:jc w:val="both"/>
      </w:pPr>
      <w:r w:rsidRPr="00D2217B">
        <w:rPr>
          <w:lang w:eastAsia="fr-FR" w:bidi="fr-FR"/>
        </w:rPr>
        <w:t>Enfin, même le pouvoir fondamental du Congrès d’autoriser les dépenses perd de son sens et de sa portée s’agissant de systèmes d’armements de plus en plus sophistiqués. La véritable teneur de ces derniers doit être tenue secrète et ils s’inscrivent dans une stratégie complexe que seul le Conseil de sécurité nationale est en mesure d’évaluer. De surcroît, il existe en matière de d</w:t>
      </w:r>
      <w:r w:rsidRPr="00D2217B">
        <w:rPr>
          <w:lang w:eastAsia="fr-FR" w:bidi="fr-FR"/>
        </w:rPr>
        <w:t>é</w:t>
      </w:r>
      <w:r w:rsidRPr="00D2217B">
        <w:rPr>
          <w:lang w:eastAsia="fr-FR" w:bidi="fr-FR"/>
        </w:rPr>
        <w:t>fense nationale une étroite connexion entre l’intérêt propre des parlementaires (par exe</w:t>
      </w:r>
      <w:r w:rsidRPr="00D2217B">
        <w:rPr>
          <w:lang w:eastAsia="fr-FR" w:bidi="fr-FR"/>
        </w:rPr>
        <w:t>m</w:t>
      </w:r>
      <w:r w:rsidRPr="00D2217B">
        <w:rPr>
          <w:lang w:eastAsia="fr-FR" w:bidi="fr-FR"/>
        </w:rPr>
        <w:t>ple dans le but de promouvoir leur circonscription électorale) et leur vote. Il en va autrement en matière d’aide à l’étranger où les reto</w:t>
      </w:r>
      <w:r w:rsidRPr="00D2217B">
        <w:rPr>
          <w:lang w:eastAsia="fr-FR" w:bidi="fr-FR"/>
        </w:rPr>
        <w:t>m</w:t>
      </w:r>
      <w:r w:rsidRPr="00D2217B">
        <w:rPr>
          <w:lang w:eastAsia="fr-FR" w:bidi="fr-FR"/>
        </w:rPr>
        <w:t>bées locales sont à peu près absentes. L’initiative de ces pr</w:t>
      </w:r>
      <w:r w:rsidRPr="00D2217B">
        <w:rPr>
          <w:lang w:eastAsia="fr-FR" w:bidi="fr-FR"/>
        </w:rPr>
        <w:t>o</w:t>
      </w:r>
      <w:r w:rsidRPr="00D2217B">
        <w:rPr>
          <w:lang w:eastAsia="fr-FR" w:bidi="fr-FR"/>
        </w:rPr>
        <w:t>grammes provient invariablement du président qui s’est vu ref</w:t>
      </w:r>
      <w:r>
        <w:rPr>
          <w:lang w:eastAsia="fr-FR" w:bidi="fr-FR"/>
        </w:rPr>
        <w:t>user des fonds à plu</w:t>
      </w:r>
      <w:r w:rsidRPr="00D2217B">
        <w:rPr>
          <w:lang w:eastAsia="fr-FR" w:bidi="fr-FR"/>
        </w:rPr>
        <w:t>sieurs</w:t>
      </w:r>
      <w:r>
        <w:t xml:space="preserve"> [38]</w:t>
      </w:r>
      <w:r w:rsidRPr="00D2217B">
        <w:rPr>
          <w:lang w:eastAsia="fr-FR" w:bidi="fr-FR"/>
        </w:rPr>
        <w:t xml:space="preserve"> reprises</w:t>
      </w:r>
      <w:r>
        <w:rPr>
          <w:lang w:eastAsia="fr-FR" w:bidi="fr-FR"/>
        </w:rPr>
        <w:t> </w:t>
      </w:r>
      <w:r>
        <w:rPr>
          <w:rStyle w:val="Appelnotedebasdep"/>
          <w:lang w:eastAsia="fr-FR" w:bidi="fr-FR"/>
        </w:rPr>
        <w:footnoteReference w:id="80"/>
      </w:r>
      <w:r w:rsidRPr="00D2217B">
        <w:rPr>
          <w:lang w:eastAsia="fr-FR" w:bidi="fr-FR"/>
        </w:rPr>
        <w:t>. L’absence de vision d’ensemble et d’une juste perception de l’intérêt national de la part du Congrès consacre l’anachronisme des contrôles législatifs quand il s’agit de concevoir l’ordre international.</w:t>
      </w:r>
    </w:p>
    <w:p w14:paraId="355D46CF" w14:textId="77777777" w:rsidR="0039793A" w:rsidRPr="00D2217B" w:rsidRDefault="0039793A" w:rsidP="0039793A">
      <w:pPr>
        <w:spacing w:before="120" w:after="120"/>
        <w:jc w:val="both"/>
      </w:pPr>
      <w:r w:rsidRPr="00D2217B">
        <w:rPr>
          <w:lang w:eastAsia="fr-FR" w:bidi="fr-FR"/>
        </w:rPr>
        <w:t>En somme, la politique étrangère n’a de sens que si le président est celui qui dirige, le Congrès étant réduit à légiférer pour le moyen ou le long terme. Il est évident que seul le président peut r</w:t>
      </w:r>
      <w:r w:rsidRPr="00D2217B">
        <w:rPr>
          <w:lang w:eastAsia="fr-FR" w:bidi="fr-FR"/>
        </w:rPr>
        <w:t>é</w:t>
      </w:r>
      <w:r w:rsidRPr="00D2217B">
        <w:rPr>
          <w:lang w:eastAsia="fr-FR" w:bidi="fr-FR"/>
        </w:rPr>
        <w:t xml:space="preserve">pondre </w:t>
      </w:r>
      <w:r w:rsidRPr="00D2217B">
        <w:t>« </w:t>
      </w:r>
      <w:r w:rsidRPr="00D2217B">
        <w:rPr>
          <w:lang w:eastAsia="fr-FR" w:bidi="fr-FR"/>
        </w:rPr>
        <w:t>aux besoins d’expertise, de secret, de c</w:t>
      </w:r>
      <w:r w:rsidRPr="00D2217B">
        <w:rPr>
          <w:lang w:eastAsia="fr-FR" w:bidi="fr-FR"/>
        </w:rPr>
        <w:t>é</w:t>
      </w:r>
      <w:r w:rsidRPr="00D2217B">
        <w:rPr>
          <w:lang w:eastAsia="fr-FR" w:bidi="fr-FR"/>
        </w:rPr>
        <w:t>lérité, d’efficacité</w:t>
      </w:r>
      <w:r w:rsidRPr="00D2217B">
        <w:t> »</w:t>
      </w:r>
      <w:r w:rsidRPr="00D2217B">
        <w:rPr>
          <w:lang w:eastAsia="fr-FR" w:bidi="fr-FR"/>
        </w:rPr>
        <w:t xml:space="preserve"> qui sont au cœur de la pratique de la politique étrangère. Le Congrès ne peut qu’</w:t>
      </w:r>
      <w:r w:rsidRPr="00D2217B">
        <w:t>« </w:t>
      </w:r>
      <w:r w:rsidRPr="00D2217B">
        <w:rPr>
          <w:lang w:eastAsia="fr-FR" w:bidi="fr-FR"/>
        </w:rPr>
        <w:t>offrir des jugements de valeur à long terme plus vastes, plus tempérés, plus délibérés, plus prudents</w:t>
      </w:r>
      <w:r>
        <w:rPr>
          <w:lang w:eastAsia="fr-FR" w:bidi="fr-FR"/>
        </w:rPr>
        <w:t> </w:t>
      </w:r>
      <w:r>
        <w:rPr>
          <w:rStyle w:val="Appelnotedebasdep"/>
          <w:lang w:eastAsia="fr-FR" w:bidi="fr-FR"/>
        </w:rPr>
        <w:footnoteReference w:id="81"/>
      </w:r>
      <w:r w:rsidRPr="00D2217B">
        <w:t> »</w:t>
      </w:r>
      <w:r w:rsidRPr="00D2217B">
        <w:rPr>
          <w:lang w:eastAsia="fr-FR" w:bidi="fr-FR"/>
        </w:rPr>
        <w:t xml:space="preserve">. Le plus souvent, le Congrès intervient </w:t>
      </w:r>
      <w:r w:rsidRPr="00AA0D1D">
        <w:rPr>
          <w:i/>
          <w:iCs/>
        </w:rPr>
        <w:t>a posteriori</w:t>
      </w:r>
      <w:r w:rsidRPr="00D2217B">
        <w:rPr>
          <w:lang w:eastAsia="fr-FR" w:bidi="fr-FR"/>
        </w:rPr>
        <w:t xml:space="preserve"> pour corriger les effets non souhait</w:t>
      </w:r>
      <w:r w:rsidRPr="00D2217B">
        <w:rPr>
          <w:lang w:eastAsia="fr-FR" w:bidi="fr-FR"/>
        </w:rPr>
        <w:t>a</w:t>
      </w:r>
      <w:r w:rsidRPr="00D2217B">
        <w:rPr>
          <w:lang w:eastAsia="fr-FR" w:bidi="fr-FR"/>
        </w:rPr>
        <w:t>bles d’une politique. La plupart des auteurs reco</w:t>
      </w:r>
      <w:r w:rsidRPr="00D2217B">
        <w:rPr>
          <w:lang w:eastAsia="fr-FR" w:bidi="fr-FR"/>
        </w:rPr>
        <w:t>n</w:t>
      </w:r>
      <w:r w:rsidRPr="00D2217B">
        <w:rPr>
          <w:lang w:eastAsia="fr-FR" w:bidi="fr-FR"/>
        </w:rPr>
        <w:t>naissent que le Congrès n’a guère d’autre choix que de porter ses jugements sur la politique étrangère une fois qu’ont été prises les grandes déc</w:t>
      </w:r>
      <w:r w:rsidRPr="00D2217B">
        <w:rPr>
          <w:lang w:eastAsia="fr-FR" w:bidi="fr-FR"/>
        </w:rPr>
        <w:t>i</w:t>
      </w:r>
      <w:r w:rsidRPr="00D2217B">
        <w:rPr>
          <w:lang w:eastAsia="fr-FR" w:bidi="fr-FR"/>
        </w:rPr>
        <w:t>sions. Pour Tocqueville, le primat du Congrès était affaire de circonstances</w:t>
      </w:r>
      <w:r w:rsidRPr="00D2217B">
        <w:t> :</w:t>
      </w:r>
      <w:r w:rsidRPr="00D2217B">
        <w:rPr>
          <w:lang w:eastAsia="fr-FR" w:bidi="fr-FR"/>
        </w:rPr>
        <w:t xml:space="preserve"> </w:t>
      </w:r>
      <w:r w:rsidRPr="00D2217B">
        <w:t>« </w:t>
      </w:r>
      <w:r w:rsidRPr="00D2217B">
        <w:rPr>
          <w:lang w:eastAsia="fr-FR" w:bidi="fr-FR"/>
        </w:rPr>
        <w:t>Si la vie de l’Union était sans cesse menacée, si ces grands intérêts se trouvaient, un jour, mêlés à ceux d’autres peuples puissants, on ve</w:t>
      </w:r>
      <w:r w:rsidRPr="00D2217B">
        <w:rPr>
          <w:lang w:eastAsia="fr-FR" w:bidi="fr-FR"/>
        </w:rPr>
        <w:t>r</w:t>
      </w:r>
      <w:r w:rsidRPr="00D2217B">
        <w:rPr>
          <w:lang w:eastAsia="fr-FR" w:bidi="fr-FR"/>
        </w:rPr>
        <w:t>rait le pouvoir exécutif grandir dans l’opinion par ce qu’on attendrait de lui et par ce qu’il exécuterait</w:t>
      </w:r>
      <w:r>
        <w:rPr>
          <w:lang w:eastAsia="fr-FR" w:bidi="fr-FR"/>
        </w:rPr>
        <w:t> </w:t>
      </w:r>
      <w:r>
        <w:rPr>
          <w:rStyle w:val="Appelnotedebasdep"/>
          <w:lang w:eastAsia="fr-FR" w:bidi="fr-FR"/>
        </w:rPr>
        <w:footnoteReference w:id="82"/>
      </w:r>
      <w:r w:rsidRPr="00D2217B">
        <w:rPr>
          <w:lang w:eastAsia="fr-FR" w:bidi="fr-FR"/>
        </w:rPr>
        <w:t>.</w:t>
      </w:r>
      <w:r w:rsidRPr="00D2217B">
        <w:t> »</w:t>
      </w:r>
    </w:p>
    <w:p w14:paraId="5672422C" w14:textId="77777777" w:rsidR="0039793A" w:rsidRPr="00D37729" w:rsidRDefault="0039793A" w:rsidP="0039793A">
      <w:pPr>
        <w:spacing w:before="120" w:after="120"/>
        <w:jc w:val="both"/>
      </w:pPr>
      <w:r w:rsidRPr="00D2217B">
        <w:rPr>
          <w:lang w:eastAsia="fr-FR" w:bidi="fr-FR"/>
        </w:rPr>
        <w:t>Ainsi, pour comprendre cette préoccupation constante et particuli</w:t>
      </w:r>
      <w:r w:rsidRPr="00D2217B">
        <w:rPr>
          <w:lang w:eastAsia="fr-FR" w:bidi="fr-FR"/>
        </w:rPr>
        <w:t>è</w:t>
      </w:r>
      <w:r w:rsidRPr="00D2217B">
        <w:rPr>
          <w:lang w:eastAsia="fr-FR" w:bidi="fr-FR"/>
        </w:rPr>
        <w:t>rement propre au système politique américain de limiter le pouvoir et de bien mettre en œuvre des contrepoids efficaces, il est nécessaire de retourner aux origines. Il faut pre</w:t>
      </w:r>
      <w:r w:rsidRPr="00D2217B">
        <w:rPr>
          <w:lang w:eastAsia="fr-FR" w:bidi="fr-FR"/>
        </w:rPr>
        <w:t>n</w:t>
      </w:r>
      <w:r>
        <w:rPr>
          <w:lang w:eastAsia="fr-FR" w:bidi="fr-FR"/>
        </w:rPr>
        <w:t>dre cons</w:t>
      </w:r>
      <w:r w:rsidRPr="00D2217B">
        <w:rPr>
          <w:lang w:eastAsia="fr-FR" w:bidi="fr-FR"/>
        </w:rPr>
        <w:t>cience</w:t>
      </w:r>
      <w:r>
        <w:rPr>
          <w:lang w:eastAsia="fr-FR" w:bidi="fr-FR"/>
        </w:rPr>
        <w:t xml:space="preserve"> </w:t>
      </w:r>
      <w:r>
        <w:t>[39]</w:t>
      </w:r>
      <w:r w:rsidRPr="00D2217B">
        <w:rPr>
          <w:lang w:eastAsia="fr-FR" w:bidi="fr-FR"/>
        </w:rPr>
        <w:t xml:space="preserve"> du caractère profondément libéral de la Déclaration d’indépendance de 1776, de l’importance primordiale qu’elle attache au </w:t>
      </w:r>
      <w:r w:rsidRPr="00D2217B">
        <w:t>« </w:t>
      </w:r>
      <w:r w:rsidRPr="00D2217B">
        <w:rPr>
          <w:lang w:eastAsia="fr-FR" w:bidi="fr-FR"/>
        </w:rPr>
        <w:t>consentement des go</w:t>
      </w:r>
      <w:r w:rsidRPr="00D2217B">
        <w:rPr>
          <w:lang w:eastAsia="fr-FR" w:bidi="fr-FR"/>
        </w:rPr>
        <w:t>u</w:t>
      </w:r>
      <w:r w:rsidRPr="00D2217B">
        <w:rPr>
          <w:lang w:eastAsia="fr-FR" w:bidi="fr-FR"/>
        </w:rPr>
        <w:t>vernés</w:t>
      </w:r>
      <w:r w:rsidRPr="00D2217B">
        <w:t> »</w:t>
      </w:r>
      <w:r w:rsidRPr="00D2217B">
        <w:rPr>
          <w:lang w:eastAsia="fr-FR" w:bidi="fr-FR"/>
        </w:rPr>
        <w:t>. Aussi, quels que soient le prestige du président et son po</w:t>
      </w:r>
      <w:r w:rsidRPr="00D2217B">
        <w:rPr>
          <w:lang w:eastAsia="fr-FR" w:bidi="fr-FR"/>
        </w:rPr>
        <w:t>u</w:t>
      </w:r>
      <w:r w:rsidRPr="00D2217B">
        <w:rPr>
          <w:lang w:eastAsia="fr-FR" w:bidi="fr-FR"/>
        </w:rPr>
        <w:t>voir réel, la Constitution l’oblige constamment à se préoccuper des membres du Congrès, voir à les courtiser quot</w:t>
      </w:r>
      <w:r w:rsidRPr="00D2217B">
        <w:rPr>
          <w:lang w:eastAsia="fr-FR" w:bidi="fr-FR"/>
        </w:rPr>
        <w:t>i</w:t>
      </w:r>
      <w:r w:rsidRPr="00D2217B">
        <w:rPr>
          <w:lang w:eastAsia="fr-FR" w:bidi="fr-FR"/>
        </w:rPr>
        <w:t xml:space="preserve">diennement. C’est pourquoi on a qualifié les présidents qui ont réussi, de </w:t>
      </w:r>
      <w:r w:rsidRPr="00D37729">
        <w:rPr>
          <w:i/>
          <w:iCs/>
        </w:rPr>
        <w:t>great persu</w:t>
      </w:r>
      <w:r w:rsidRPr="00D37729">
        <w:rPr>
          <w:i/>
          <w:iCs/>
        </w:rPr>
        <w:t>a</w:t>
      </w:r>
      <w:r w:rsidRPr="00D37729">
        <w:rPr>
          <w:i/>
          <w:iCs/>
        </w:rPr>
        <w:t>ders</w:t>
      </w:r>
      <w:r w:rsidRPr="00D2217B">
        <w:rPr>
          <w:lang w:eastAsia="fr-FR" w:bidi="fr-FR"/>
        </w:rPr>
        <w:t>, de grands agents de persuasion. Car finalement, le poids respe</w:t>
      </w:r>
      <w:r w:rsidRPr="00D2217B">
        <w:rPr>
          <w:lang w:eastAsia="fr-FR" w:bidi="fr-FR"/>
        </w:rPr>
        <w:t>c</w:t>
      </w:r>
      <w:r w:rsidRPr="00D2217B">
        <w:rPr>
          <w:lang w:eastAsia="fr-FR" w:bidi="fr-FR"/>
        </w:rPr>
        <w:t>tif du pouvoir législatif et du pouvoir exécutif dépend tout autant des relations qu’ils e</w:t>
      </w:r>
      <w:r w:rsidRPr="00D2217B">
        <w:rPr>
          <w:lang w:eastAsia="fr-FR" w:bidi="fr-FR"/>
        </w:rPr>
        <w:t>n</w:t>
      </w:r>
      <w:r w:rsidRPr="00D2217B">
        <w:rPr>
          <w:lang w:eastAsia="fr-FR" w:bidi="fr-FR"/>
        </w:rPr>
        <w:t>tretiennent que des compétences dont ils sont dotés par le texte constitutionnel</w:t>
      </w:r>
      <w:r>
        <w:rPr>
          <w:lang w:eastAsia="fr-FR" w:bidi="fr-FR"/>
        </w:rPr>
        <w:t> </w:t>
      </w:r>
      <w:r>
        <w:rPr>
          <w:rStyle w:val="Appelnotedebasdep"/>
          <w:lang w:eastAsia="fr-FR" w:bidi="fr-FR"/>
        </w:rPr>
        <w:footnoteReference w:id="83"/>
      </w:r>
      <w:r w:rsidRPr="00D2217B">
        <w:rPr>
          <w:lang w:eastAsia="fr-FR" w:bidi="fr-FR"/>
        </w:rPr>
        <w:t>. Sans doute l’interprétation de la Const</w:t>
      </w:r>
      <w:r w:rsidRPr="00D2217B">
        <w:rPr>
          <w:lang w:eastAsia="fr-FR" w:bidi="fr-FR"/>
        </w:rPr>
        <w:t>i</w:t>
      </w:r>
      <w:r w:rsidRPr="00D2217B">
        <w:rPr>
          <w:lang w:eastAsia="fr-FR" w:bidi="fr-FR"/>
        </w:rPr>
        <w:t>tution a-t-elle consid</w:t>
      </w:r>
      <w:r w:rsidRPr="00D2217B">
        <w:rPr>
          <w:lang w:eastAsia="fr-FR" w:bidi="fr-FR"/>
        </w:rPr>
        <w:t>é</w:t>
      </w:r>
      <w:r w:rsidRPr="00D2217B">
        <w:rPr>
          <w:lang w:eastAsia="fr-FR" w:bidi="fr-FR"/>
        </w:rPr>
        <w:t>rablement évolué depuis 1787. Du régime congressionnel, l’exercice du pouvoir a glissé vers un régime prés</w:t>
      </w:r>
      <w:r w:rsidRPr="00D2217B">
        <w:rPr>
          <w:lang w:eastAsia="fr-FR" w:bidi="fr-FR"/>
        </w:rPr>
        <w:t>i</w:t>
      </w:r>
      <w:r w:rsidRPr="00D2217B">
        <w:rPr>
          <w:lang w:eastAsia="fr-FR" w:bidi="fr-FR"/>
        </w:rPr>
        <w:t>dentiel. Le président s’est progressiv</w:t>
      </w:r>
      <w:r w:rsidRPr="00D2217B">
        <w:rPr>
          <w:lang w:eastAsia="fr-FR" w:bidi="fr-FR"/>
        </w:rPr>
        <w:t>e</w:t>
      </w:r>
      <w:r w:rsidRPr="00D2217B">
        <w:rPr>
          <w:lang w:eastAsia="fr-FR" w:bidi="fr-FR"/>
        </w:rPr>
        <w:t>ment affirmé comme l’acteur central du processus de formulation de la politique étrangère. D’ailleurs, suivant les époques, les présidents ont plus ou moins tenu compte des pouvoirs du Congrès. Ils se sont peu adressés au Sénat pour lui demander son avis, mais ils se sont le plus souvent sentis obligés de s’assurer de son consentement. Il est évident que le partage des pouvoirs évolue avec les styles présidentiels et les circonstances. Il est tout aussi patent que la balance penche vers le pr</w:t>
      </w:r>
      <w:r w:rsidRPr="00D2217B">
        <w:rPr>
          <w:lang w:eastAsia="fr-FR" w:bidi="fr-FR"/>
        </w:rPr>
        <w:t>é</w:t>
      </w:r>
      <w:r w:rsidRPr="00D2217B">
        <w:rPr>
          <w:lang w:eastAsia="fr-FR" w:bidi="fr-FR"/>
        </w:rPr>
        <w:t>sident dont les atouts - parfois extra-juridiques — sont indéniables. Pour autant, le Congrès conserve un rôle déterminant, quoi qu’il s’agisse moins pour lui de formuler la politique étrangère que d’en contrôler rigoureus</w:t>
      </w:r>
      <w:r w:rsidRPr="00D2217B">
        <w:rPr>
          <w:lang w:eastAsia="fr-FR" w:bidi="fr-FR"/>
        </w:rPr>
        <w:t>e</w:t>
      </w:r>
      <w:r w:rsidRPr="00D2217B">
        <w:rPr>
          <w:lang w:eastAsia="fr-FR" w:bidi="fr-FR"/>
        </w:rPr>
        <w:t xml:space="preserve">ment l’application. </w:t>
      </w:r>
    </w:p>
    <w:p w14:paraId="78617D0E" w14:textId="77777777" w:rsidR="0039793A" w:rsidRDefault="0039793A" w:rsidP="0039793A">
      <w:pPr>
        <w:pStyle w:val="p"/>
      </w:pPr>
      <w:r>
        <w:t>[40]</w:t>
      </w:r>
    </w:p>
    <w:p w14:paraId="4F077194" w14:textId="77777777" w:rsidR="0039793A" w:rsidRPr="00D2217B" w:rsidRDefault="0039793A" w:rsidP="0039793A">
      <w:pPr>
        <w:pStyle w:val="p"/>
      </w:pPr>
      <w:r w:rsidRPr="00D2217B">
        <w:br w:type="page"/>
      </w:r>
      <w:r w:rsidR="008818C9" w:rsidRPr="00D2217B">
        <w:rPr>
          <w:noProof/>
          <w:lang w:bidi="fr-FR"/>
        </w:rPr>
        <mc:AlternateContent>
          <mc:Choice Requires="wps">
            <w:drawing>
              <wp:anchor distT="0" distB="0" distL="63500" distR="63500" simplePos="0" relativeHeight="251656704" behindDoc="0" locked="0" layoutInCell="1" allowOverlap="1" wp14:anchorId="6BBFB09B" wp14:editId="33E72D36">
                <wp:simplePos x="0" y="0"/>
                <wp:positionH relativeFrom="margin">
                  <wp:posOffset>-15875</wp:posOffset>
                </wp:positionH>
                <wp:positionV relativeFrom="paragraph">
                  <wp:posOffset>7151370</wp:posOffset>
                </wp:positionV>
                <wp:extent cx="276860" cy="2044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8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C5A3" w14:textId="77777777" w:rsidR="0039793A" w:rsidRDefault="0039793A" w:rsidP="0039793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FB09B" id="_x0000_t202" coordsize="21600,21600" o:spt="202" path="m,l,21600r21600,l21600,xe">
                <v:stroke joinstyle="miter"/>
                <v:path gradientshapeok="t" o:connecttype="rect"/>
              </v:shapetype>
              <v:shape id="Text Box 3" o:spid="_x0000_s1026" type="#_x0000_t202" style="position:absolute;margin-left:-1.25pt;margin-top:563.1pt;width:21.8pt;height:16.1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" filled="f" stroked="f">
                <v:path arrowok="t"/>
                <v:textbox style="mso-fit-shape-to-text:t" inset="0,0,0,0">
                  <w:txbxContent>
                    <w:p w14:paraId="7B63C5A3" w14:textId="77777777" w:rsidR="0039793A" w:rsidRDefault="0039793A" w:rsidP="0039793A"/>
                  </w:txbxContent>
                </v:textbox>
                <w10:wrap anchorx="margin"/>
              </v:shape>
            </w:pict>
          </mc:Fallback>
        </mc:AlternateContent>
      </w:r>
      <w:r>
        <w:t>[41]</w:t>
      </w:r>
    </w:p>
    <w:p w14:paraId="6B9D1F64" w14:textId="77777777" w:rsidR="0039793A" w:rsidRPr="00E07116" w:rsidRDefault="0039793A" w:rsidP="0039793A">
      <w:pPr>
        <w:jc w:val="both"/>
      </w:pPr>
    </w:p>
    <w:p w14:paraId="05CA3D5D" w14:textId="77777777" w:rsidR="0039793A" w:rsidRDefault="0039793A" w:rsidP="0039793A">
      <w:pPr>
        <w:jc w:val="both"/>
      </w:pPr>
    </w:p>
    <w:p w14:paraId="3AA0B9FB" w14:textId="77777777" w:rsidR="0039793A" w:rsidRPr="00E07116" w:rsidRDefault="0039793A" w:rsidP="0039793A">
      <w:pPr>
        <w:jc w:val="both"/>
      </w:pPr>
    </w:p>
    <w:p w14:paraId="430B9791" w14:textId="77777777" w:rsidR="0039793A" w:rsidRPr="00642210" w:rsidRDefault="0039793A" w:rsidP="0039793A">
      <w:pPr>
        <w:spacing w:after="120"/>
        <w:jc w:val="center"/>
      </w:pPr>
      <w:bookmarkStart w:id="8" w:name="Pol_EU_pt_1_chap_02"/>
      <w:r w:rsidRPr="00642210">
        <w:rPr>
          <w:b/>
        </w:rPr>
        <w:t>La politique étrangère des «États-Unis.</w:t>
      </w:r>
      <w:r w:rsidRPr="00642210">
        <w:rPr>
          <w:b/>
        </w:rPr>
        <w:br/>
      </w:r>
      <w:r w:rsidRPr="00642210">
        <w:rPr>
          <w:i/>
        </w:rPr>
        <w:t>Fondements, acteurs, formulation</w:t>
      </w:r>
    </w:p>
    <w:p w14:paraId="2EC27729" w14:textId="77777777" w:rsidR="0039793A" w:rsidRPr="00384B20" w:rsidRDefault="0039793A" w:rsidP="0039793A">
      <w:pPr>
        <w:spacing w:after="120"/>
        <w:ind w:firstLine="0"/>
        <w:jc w:val="center"/>
        <w:rPr>
          <w:color w:val="000080"/>
          <w:sz w:val="24"/>
        </w:rPr>
      </w:pPr>
      <w:r>
        <w:rPr>
          <w:color w:val="000080"/>
          <w:sz w:val="24"/>
        </w:rPr>
        <w:t>PREMIÈRE PARTIE</w:t>
      </w:r>
    </w:p>
    <w:p w14:paraId="75621F6E" w14:textId="77777777" w:rsidR="0039793A" w:rsidRPr="00384B20" w:rsidRDefault="0039793A" w:rsidP="0039793A">
      <w:pPr>
        <w:pStyle w:val="Titreniveau1"/>
      </w:pPr>
      <w:r w:rsidRPr="00384B20">
        <w:t xml:space="preserve">Chapitre </w:t>
      </w:r>
      <w:r>
        <w:t>2</w:t>
      </w:r>
    </w:p>
    <w:p w14:paraId="505CC05D" w14:textId="77777777" w:rsidR="0039793A" w:rsidRPr="00E07116" w:rsidRDefault="0039793A" w:rsidP="0039793A">
      <w:pPr>
        <w:pStyle w:val="Titreniveau2"/>
      </w:pPr>
      <w:r>
        <w:t>LE CADRE CULTUREL :</w:t>
      </w:r>
      <w:r>
        <w:br/>
        <w:t>LE STYLE NATIONAL</w:t>
      </w:r>
    </w:p>
    <w:bookmarkEnd w:id="8"/>
    <w:p w14:paraId="114C7DF0" w14:textId="77777777" w:rsidR="0039793A" w:rsidRPr="00E07116" w:rsidRDefault="0039793A" w:rsidP="0039793A">
      <w:pPr>
        <w:jc w:val="both"/>
        <w:rPr>
          <w:szCs w:val="36"/>
        </w:rPr>
      </w:pPr>
    </w:p>
    <w:p w14:paraId="3E8824F9" w14:textId="77777777" w:rsidR="0039793A" w:rsidRPr="00E07116" w:rsidRDefault="0039793A" w:rsidP="0039793A">
      <w:pPr>
        <w:jc w:val="both"/>
      </w:pPr>
    </w:p>
    <w:p w14:paraId="07FF348F" w14:textId="77777777" w:rsidR="0039793A" w:rsidRPr="00E07116" w:rsidRDefault="0039793A" w:rsidP="0039793A">
      <w:pPr>
        <w:jc w:val="both"/>
      </w:pPr>
    </w:p>
    <w:p w14:paraId="64900C17" w14:textId="77777777" w:rsidR="0039793A" w:rsidRPr="00E07116" w:rsidRDefault="0039793A" w:rsidP="0039793A">
      <w:pPr>
        <w:jc w:val="both"/>
      </w:pPr>
    </w:p>
    <w:p w14:paraId="052CCCC3"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2B818BA" w14:textId="77777777" w:rsidR="0039793A" w:rsidRPr="00D2217B" w:rsidRDefault="0039793A" w:rsidP="0039793A">
      <w:pPr>
        <w:spacing w:before="120" w:after="120"/>
        <w:jc w:val="both"/>
      </w:pPr>
      <w:r w:rsidRPr="00D2217B">
        <w:rPr>
          <w:lang w:eastAsia="fr-FR" w:bidi="fr-FR"/>
        </w:rPr>
        <w:t>Stanley Hoffmann a déjà fort bien défini et analysé le style nati</w:t>
      </w:r>
      <w:r w:rsidRPr="00D2217B">
        <w:rPr>
          <w:lang w:eastAsia="fr-FR" w:bidi="fr-FR"/>
        </w:rPr>
        <w:t>o</w:t>
      </w:r>
      <w:r w:rsidRPr="00D2217B">
        <w:rPr>
          <w:lang w:eastAsia="fr-FR" w:bidi="fr-FR"/>
        </w:rPr>
        <w:t>nal américain dans une perspect</w:t>
      </w:r>
      <w:r w:rsidRPr="00D2217B">
        <w:rPr>
          <w:lang w:eastAsia="fr-FR" w:bidi="fr-FR"/>
        </w:rPr>
        <w:t>i</w:t>
      </w:r>
      <w:r w:rsidRPr="00D2217B">
        <w:rPr>
          <w:lang w:eastAsia="fr-FR" w:bidi="fr-FR"/>
        </w:rPr>
        <w:t>ve de relations internationales</w:t>
      </w:r>
      <w:r>
        <w:rPr>
          <w:lang w:eastAsia="fr-FR" w:bidi="fr-FR"/>
        </w:rPr>
        <w:t> </w:t>
      </w:r>
      <w:r>
        <w:rPr>
          <w:rStyle w:val="Appelnotedebasdep"/>
          <w:lang w:eastAsia="fr-FR" w:bidi="fr-FR"/>
        </w:rPr>
        <w:footnoteReference w:id="84"/>
      </w:r>
      <w:r w:rsidRPr="00D2217B">
        <w:rPr>
          <w:lang w:eastAsia="fr-FR" w:bidi="fr-FR"/>
        </w:rPr>
        <w:t xml:space="preserve">. Il faut d’abord distinguer le </w:t>
      </w:r>
      <w:r w:rsidRPr="00D2217B">
        <w:t>« </w:t>
      </w:r>
      <w:r w:rsidRPr="00D2217B">
        <w:rPr>
          <w:lang w:eastAsia="fr-FR" w:bidi="fr-FR"/>
        </w:rPr>
        <w:t>style national</w:t>
      </w:r>
      <w:r w:rsidRPr="00D2217B">
        <w:t> »</w:t>
      </w:r>
      <w:r w:rsidRPr="00D2217B">
        <w:rPr>
          <w:lang w:eastAsia="fr-FR" w:bidi="fr-FR"/>
        </w:rPr>
        <w:t xml:space="preserve"> de la notion plutôt statique de </w:t>
      </w:r>
      <w:r w:rsidRPr="00D2217B">
        <w:t>« </w:t>
      </w:r>
      <w:r w:rsidRPr="00D2217B">
        <w:rPr>
          <w:lang w:eastAsia="fr-FR" w:bidi="fr-FR"/>
        </w:rPr>
        <w:t>caractère national</w:t>
      </w:r>
      <w:r>
        <w:rPr>
          <w:lang w:eastAsia="fr-FR" w:bidi="fr-FR"/>
        </w:rPr>
        <w:t> </w:t>
      </w:r>
      <w:r>
        <w:rPr>
          <w:rStyle w:val="Appelnotedebasdep"/>
          <w:lang w:eastAsia="fr-FR" w:bidi="fr-FR"/>
        </w:rPr>
        <w:footnoteReference w:id="85"/>
      </w:r>
      <w:r w:rsidRPr="00D2217B">
        <w:t> »</w:t>
      </w:r>
      <w:r w:rsidRPr="00D2217B">
        <w:rPr>
          <w:lang w:eastAsia="fr-FR" w:bidi="fr-FR"/>
        </w:rPr>
        <w:t>. Le style national, de même que la perso</w:t>
      </w:r>
      <w:r w:rsidRPr="00D2217B">
        <w:rPr>
          <w:lang w:eastAsia="fr-FR" w:bidi="fr-FR"/>
        </w:rPr>
        <w:t>n</w:t>
      </w:r>
      <w:r w:rsidRPr="00D2217B">
        <w:rPr>
          <w:lang w:eastAsia="fr-FR" w:bidi="fr-FR"/>
        </w:rPr>
        <w:t>nalité d’un individu, est une notion dynamique, évolutive. Ce n’est pas une donnée immuable</w:t>
      </w:r>
      <w:r w:rsidRPr="00D2217B">
        <w:t> :</w:t>
      </w:r>
      <w:r w:rsidRPr="00D2217B">
        <w:rPr>
          <w:lang w:eastAsia="fr-FR" w:bidi="fr-FR"/>
        </w:rPr>
        <w:t xml:space="preserve"> il est susceptible d’être modifié par son environnement social et par l’évolution des sociétés. Il n’en demeure pas moins remarquablement persistant à travers les époques dans ses aspects généraux et se transmet à travers des environnements diff</w:t>
      </w:r>
      <w:r w:rsidRPr="00D2217B">
        <w:rPr>
          <w:lang w:eastAsia="fr-FR" w:bidi="fr-FR"/>
        </w:rPr>
        <w:t>é</w:t>
      </w:r>
      <w:r w:rsidRPr="00D2217B">
        <w:rPr>
          <w:lang w:eastAsia="fr-FR" w:bidi="fr-FR"/>
        </w:rPr>
        <w:t>rents. Il nous permet d’établir des liens entre les premiers Américains</w:t>
      </w:r>
      <w:r>
        <w:t xml:space="preserve"> </w:t>
      </w:r>
      <w:r w:rsidRPr="003B68B8">
        <w:rPr>
          <w:lang w:eastAsia="fr-FR" w:bidi="fr-FR"/>
        </w:rPr>
        <w:t>[42]</w:t>
      </w:r>
      <w:r>
        <w:rPr>
          <w:lang w:eastAsia="fr-FR" w:bidi="fr-FR"/>
        </w:rPr>
        <w:t xml:space="preserve"> </w:t>
      </w:r>
      <w:r w:rsidRPr="00D2217B">
        <w:rPr>
          <w:lang w:eastAsia="fr-FR" w:bidi="fr-FR"/>
        </w:rPr>
        <w:t>et ceux d’aujourd’hui. Il faut ensuite rappeler qu’un tel concept est une construction de l’esprit projetée sur la réalité. Comme tout modèle explicatif, il comporte des simplifications et des généralis</w:t>
      </w:r>
      <w:r w:rsidRPr="00D2217B">
        <w:rPr>
          <w:lang w:eastAsia="fr-FR" w:bidi="fr-FR"/>
        </w:rPr>
        <w:t>a</w:t>
      </w:r>
      <w:r w:rsidRPr="00D2217B">
        <w:rPr>
          <w:lang w:eastAsia="fr-FR" w:bidi="fr-FR"/>
        </w:rPr>
        <w:t>tions commodes. Il nous permet de comprendre les actions et réa</w:t>
      </w:r>
      <w:r w:rsidRPr="00D2217B">
        <w:rPr>
          <w:lang w:eastAsia="fr-FR" w:bidi="fr-FR"/>
        </w:rPr>
        <w:t>c</w:t>
      </w:r>
      <w:r w:rsidRPr="00D2217B">
        <w:rPr>
          <w:lang w:eastAsia="fr-FR" w:bidi="fr-FR"/>
        </w:rPr>
        <w:t>tions des pe</w:t>
      </w:r>
      <w:r w:rsidRPr="00D2217B">
        <w:rPr>
          <w:lang w:eastAsia="fr-FR" w:bidi="fr-FR"/>
        </w:rPr>
        <w:t>r</w:t>
      </w:r>
      <w:r w:rsidRPr="00D2217B">
        <w:rPr>
          <w:lang w:eastAsia="fr-FR" w:bidi="fr-FR"/>
        </w:rPr>
        <w:t>sonnes dans le temps et l’espace, mais il ne saurait rendre compte de tous les détails. Enfin, cette notion ne se présente en auc</w:t>
      </w:r>
      <w:r w:rsidRPr="00D2217B">
        <w:rPr>
          <w:lang w:eastAsia="fr-FR" w:bidi="fr-FR"/>
        </w:rPr>
        <w:t>u</w:t>
      </w:r>
      <w:r w:rsidRPr="00D2217B">
        <w:rPr>
          <w:lang w:eastAsia="fr-FR" w:bidi="fr-FR"/>
        </w:rPr>
        <w:t>ne façon comme étant l’explication ultime et exclusive des compo</w:t>
      </w:r>
      <w:r w:rsidRPr="00D2217B">
        <w:rPr>
          <w:lang w:eastAsia="fr-FR" w:bidi="fr-FR"/>
        </w:rPr>
        <w:t>r</w:t>
      </w:r>
      <w:r w:rsidRPr="00D2217B">
        <w:rPr>
          <w:lang w:eastAsia="fr-FR" w:bidi="fr-FR"/>
        </w:rPr>
        <w:t>tements.</w:t>
      </w:r>
    </w:p>
    <w:p w14:paraId="0B9960C7" w14:textId="77777777" w:rsidR="0039793A" w:rsidRPr="00D2217B" w:rsidRDefault="0039793A" w:rsidP="0039793A">
      <w:pPr>
        <w:spacing w:before="120" w:after="120"/>
        <w:jc w:val="both"/>
      </w:pPr>
      <w:r w:rsidRPr="00D2217B">
        <w:rPr>
          <w:lang w:eastAsia="fr-FR" w:bidi="fr-FR"/>
        </w:rPr>
        <w:t>On peut apporter bien des objections à ce type d’analyse. D’abord, est-il légitime d’assimiler la culture des élites responsables des déc</w:t>
      </w:r>
      <w:r w:rsidRPr="00D2217B">
        <w:rPr>
          <w:lang w:eastAsia="fr-FR" w:bidi="fr-FR"/>
        </w:rPr>
        <w:t>i</w:t>
      </w:r>
      <w:r w:rsidRPr="00D2217B">
        <w:rPr>
          <w:lang w:eastAsia="fr-FR" w:bidi="fr-FR"/>
        </w:rPr>
        <w:t>sions de politique étrangère à celle de l’ensemble de la p</w:t>
      </w:r>
      <w:r w:rsidRPr="00D2217B">
        <w:rPr>
          <w:lang w:eastAsia="fr-FR" w:bidi="fr-FR"/>
        </w:rPr>
        <w:t>o</w:t>
      </w:r>
      <w:r w:rsidRPr="00D2217B">
        <w:rPr>
          <w:lang w:eastAsia="fr-FR" w:bidi="fr-FR"/>
        </w:rPr>
        <w:t>pulation</w:t>
      </w:r>
      <w:r w:rsidRPr="00D2217B">
        <w:t> ?</w:t>
      </w:r>
      <w:r w:rsidRPr="00D2217B">
        <w:rPr>
          <w:lang w:eastAsia="fr-FR" w:bidi="fr-FR"/>
        </w:rPr>
        <w:t xml:space="preserve"> On peut sans doute constater d’immenses différences entre les r</w:t>
      </w:r>
      <w:r w:rsidRPr="00D2217B">
        <w:rPr>
          <w:lang w:eastAsia="fr-FR" w:bidi="fr-FR"/>
        </w:rPr>
        <w:t>é</w:t>
      </w:r>
      <w:r w:rsidRPr="00D2217B">
        <w:rPr>
          <w:lang w:eastAsia="fr-FR" w:bidi="fr-FR"/>
        </w:rPr>
        <w:t>flexes culturels d’un niveau de la société à</w:t>
      </w:r>
      <w:r w:rsidRPr="00D2217B">
        <w:rPr>
          <w:vertAlign w:val="superscript"/>
        </w:rPr>
        <w:t xml:space="preserve"> </w:t>
      </w:r>
      <w:r w:rsidRPr="00D2217B">
        <w:rPr>
          <w:lang w:eastAsia="fr-FR" w:bidi="fr-FR"/>
        </w:rPr>
        <w:t>l’autre. On pourrait même aller jusqu’à dire que les diplomates de pays distincts se ressemblent davantage les uns aux autres qu’ils ne s’apparentent à la culture pop</w:t>
      </w:r>
      <w:r w:rsidRPr="00D2217B">
        <w:rPr>
          <w:lang w:eastAsia="fr-FR" w:bidi="fr-FR"/>
        </w:rPr>
        <w:t>u</w:t>
      </w:r>
      <w:r w:rsidRPr="00D2217B">
        <w:rPr>
          <w:lang w:eastAsia="fr-FR" w:bidi="fr-FR"/>
        </w:rPr>
        <w:t>laire de leurs pays d’origine. Pourtant, à bien des égards, le compo</w:t>
      </w:r>
      <w:r w:rsidRPr="00D2217B">
        <w:rPr>
          <w:lang w:eastAsia="fr-FR" w:bidi="fr-FR"/>
        </w:rPr>
        <w:t>r</w:t>
      </w:r>
      <w:r w:rsidRPr="00D2217B">
        <w:rPr>
          <w:lang w:eastAsia="fr-FR" w:bidi="fr-FR"/>
        </w:rPr>
        <w:t>tement d’un diplomate amér</w:t>
      </w:r>
      <w:r w:rsidRPr="00D2217B">
        <w:rPr>
          <w:lang w:eastAsia="fr-FR" w:bidi="fr-FR"/>
        </w:rPr>
        <w:t>i</w:t>
      </w:r>
      <w:r w:rsidRPr="00D2217B">
        <w:rPr>
          <w:lang w:eastAsia="fr-FR" w:bidi="fr-FR"/>
        </w:rPr>
        <w:t>cain, pour ne mentionner que le cas qui nous intéresse, demeure profondément différent de celui de ses hom</w:t>
      </w:r>
      <w:r w:rsidRPr="00D2217B">
        <w:rPr>
          <w:lang w:eastAsia="fr-FR" w:bidi="fr-FR"/>
        </w:rPr>
        <w:t>o</w:t>
      </w:r>
      <w:r>
        <w:rPr>
          <w:lang w:eastAsia="fr-FR" w:bidi="fr-FR"/>
        </w:rPr>
        <w:t>logues étrangers</w:t>
      </w:r>
      <w:r w:rsidRPr="00D2217B">
        <w:rPr>
          <w:lang w:eastAsia="fr-FR" w:bidi="fr-FR"/>
        </w:rPr>
        <w:t>.</w:t>
      </w:r>
      <w:r>
        <w:rPr>
          <w:lang w:eastAsia="fr-FR" w:bidi="fr-FR"/>
        </w:rPr>
        <w:t> </w:t>
      </w:r>
      <w:r>
        <w:rPr>
          <w:rStyle w:val="Appelnotedebasdep"/>
          <w:lang w:eastAsia="fr-FR" w:bidi="fr-FR"/>
        </w:rPr>
        <w:footnoteReference w:id="86"/>
      </w:r>
      <w:r w:rsidRPr="00D2217B">
        <w:rPr>
          <w:lang w:eastAsia="fr-FR" w:bidi="fr-FR"/>
        </w:rPr>
        <w:t xml:space="preserve"> De plus, tout particulièrement aux États-Unis, comme d’ailleurs dans plusieurs autres démocraties, la culture pop</w:t>
      </w:r>
      <w:r w:rsidRPr="00D2217B">
        <w:rPr>
          <w:lang w:eastAsia="fr-FR" w:bidi="fr-FR"/>
        </w:rPr>
        <w:t>u</w:t>
      </w:r>
      <w:r w:rsidRPr="00D2217B">
        <w:rPr>
          <w:lang w:eastAsia="fr-FR" w:bidi="fr-FR"/>
        </w:rPr>
        <w:t>laire est celle qui donne le ton et à laquelle on cherche à se conformer pour rendre compte d’actions polit</w:t>
      </w:r>
      <w:r w:rsidRPr="00D2217B">
        <w:rPr>
          <w:lang w:eastAsia="fr-FR" w:bidi="fr-FR"/>
        </w:rPr>
        <w:t>i</w:t>
      </w:r>
      <w:r w:rsidRPr="00D2217B">
        <w:rPr>
          <w:lang w:eastAsia="fr-FR" w:bidi="fr-FR"/>
        </w:rPr>
        <w:t>ques.</w:t>
      </w:r>
    </w:p>
    <w:p w14:paraId="16227788" w14:textId="77777777" w:rsidR="0039793A" w:rsidRPr="00D2217B" w:rsidRDefault="0039793A" w:rsidP="0039793A">
      <w:pPr>
        <w:spacing w:before="120" w:after="120"/>
        <w:jc w:val="both"/>
      </w:pPr>
      <w:r w:rsidRPr="00D2217B">
        <w:rPr>
          <w:lang w:eastAsia="fr-FR" w:bidi="fr-FR"/>
        </w:rPr>
        <w:t>Le diplomate cherche souvent à offrir à ses concitoyens, avec plus ou moins de sincérité, l’image d’un serviteur de son pays. On pourrait encore mettre en doute la continuité de ce style en soulignant les écarts considérables entre les obje</w:t>
      </w:r>
      <w:r w:rsidRPr="00D2217B">
        <w:rPr>
          <w:lang w:eastAsia="fr-FR" w:bidi="fr-FR"/>
        </w:rPr>
        <w:t>c</w:t>
      </w:r>
      <w:r w:rsidRPr="00D2217B">
        <w:rPr>
          <w:lang w:eastAsia="fr-FR" w:bidi="fr-FR"/>
        </w:rPr>
        <w:t>tifs de la politique étrangère d’un siècle à l’autre, d’une génération à l’autre.</w:t>
      </w:r>
    </w:p>
    <w:p w14:paraId="43504997" w14:textId="77777777" w:rsidR="0039793A" w:rsidRPr="00D2217B" w:rsidRDefault="0039793A" w:rsidP="0039793A">
      <w:pPr>
        <w:spacing w:before="120" w:after="120"/>
        <w:jc w:val="both"/>
      </w:pPr>
      <w:r w:rsidRPr="00D2217B">
        <w:rPr>
          <w:lang w:eastAsia="fr-FR" w:bidi="fr-FR"/>
        </w:rPr>
        <w:t>Il reste pourtant que le cadre culturel représente une conjonction de facteurs influant considérabl</w:t>
      </w:r>
      <w:r w:rsidRPr="00D2217B">
        <w:rPr>
          <w:lang w:eastAsia="fr-FR" w:bidi="fr-FR"/>
        </w:rPr>
        <w:t>e</w:t>
      </w:r>
      <w:r w:rsidRPr="00D2217B">
        <w:rPr>
          <w:lang w:eastAsia="fr-FR" w:bidi="fr-FR"/>
        </w:rPr>
        <w:t>ment sur l’élaboration de la politique étrangère. On assiste d’ailleurs, depuis la fin de la guerre froide, à un renouveau des études fondées sur la culture et</w:t>
      </w:r>
      <w:r w:rsidR="008818C9" w:rsidRPr="00D2217B">
        <w:rPr>
          <w:noProof/>
          <w:lang w:bidi="fr-FR"/>
        </w:rPr>
        <mc:AlternateContent>
          <mc:Choice Requires="wps">
            <w:drawing>
              <wp:anchor distT="0" distB="0" distL="63500" distR="63500" simplePos="0" relativeHeight="251657728" behindDoc="1" locked="0" layoutInCell="1" allowOverlap="1" wp14:anchorId="46BE30AE" wp14:editId="095E68AB">
                <wp:simplePos x="0" y="0"/>
                <wp:positionH relativeFrom="margin">
                  <wp:posOffset>-158750</wp:posOffset>
                </wp:positionH>
                <wp:positionV relativeFrom="margin">
                  <wp:posOffset>-7620</wp:posOffset>
                </wp:positionV>
                <wp:extent cx="157480" cy="12700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4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3762" w14:textId="77777777" w:rsidR="0039793A" w:rsidRDefault="0039793A" w:rsidP="0039793A">
                            <w:pPr>
                              <w:spacing w:line="200" w:lineRule="exact"/>
                            </w:pPr>
                            <w:r>
                              <w:rPr>
                                <w:color w:val="000000"/>
                                <w:vertAlign w:val="superscript"/>
                                <w:lang w:val="fr-FR" w:eastAsia="fr-FR" w:bidi="fr-FR"/>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BE30AE" id="Text Box 4" o:spid="_x0000_s1027" type="#_x0000_t202" style="position:absolute;left:0;text-align:left;margin-left:-12.5pt;margin-top:-.6pt;width:12.4pt;height:10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" filled="f" stroked="f">
                <v:path arrowok="t"/>
                <v:textbox style="mso-fit-shape-to-text:t" inset="0,0,0,0">
                  <w:txbxContent>
                    <w:p w14:paraId="08B03762" w14:textId="77777777" w:rsidR="0039793A" w:rsidRDefault="0039793A" w:rsidP="0039793A">
                      <w:pPr>
                        <w:spacing w:line="200" w:lineRule="exact"/>
                      </w:pPr>
                      <w:r>
                        <w:rPr>
                          <w:color w:val="000000"/>
                          <w:vertAlign w:val="superscript"/>
                          <w:lang w:val="fr-FR" w:eastAsia="fr-FR" w:bidi="fr-FR"/>
                        </w:rPr>
                        <w:t>w</w:t>
                      </w:r>
                    </w:p>
                  </w:txbxContent>
                </v:textbox>
                <w10:wrap type="topAndBottom" anchorx="margin" anchory="margin"/>
              </v:shape>
            </w:pict>
          </mc:Fallback>
        </mc:AlternateContent>
      </w:r>
      <w:r>
        <w:t xml:space="preserve"> [43] </w:t>
      </w:r>
      <w:r w:rsidRPr="00D2217B">
        <w:rPr>
          <w:lang w:eastAsia="fr-FR" w:bidi="fr-FR"/>
        </w:rPr>
        <w:t>sur l’identité dans la théorie des relations inte</w:t>
      </w:r>
      <w:r w:rsidRPr="00D2217B">
        <w:rPr>
          <w:lang w:eastAsia="fr-FR" w:bidi="fr-FR"/>
        </w:rPr>
        <w:t>r</w:t>
      </w:r>
      <w:r w:rsidRPr="00D2217B">
        <w:rPr>
          <w:lang w:eastAsia="fr-FR" w:bidi="fr-FR"/>
        </w:rPr>
        <w:t>nationales</w:t>
      </w:r>
      <w:r>
        <w:rPr>
          <w:lang w:eastAsia="fr-FR" w:bidi="fr-FR"/>
        </w:rPr>
        <w:t> </w:t>
      </w:r>
      <w:r>
        <w:rPr>
          <w:rStyle w:val="Appelnotedebasdep"/>
          <w:lang w:eastAsia="fr-FR" w:bidi="fr-FR"/>
        </w:rPr>
        <w:footnoteReference w:id="87"/>
      </w:r>
      <w:r>
        <w:rPr>
          <w:lang w:eastAsia="fr-FR" w:bidi="fr-FR"/>
        </w:rPr>
        <w:t>.</w:t>
      </w:r>
      <w:r w:rsidRPr="00D2217B">
        <w:rPr>
          <w:lang w:eastAsia="fr-FR" w:bidi="fr-FR"/>
        </w:rPr>
        <w:t xml:space="preserve"> Outre la géographie et la position géostratégique des États-Unis qui jouent un rôle déterm</w:t>
      </w:r>
      <w:r w:rsidRPr="00D2217B">
        <w:rPr>
          <w:lang w:eastAsia="fr-FR" w:bidi="fr-FR"/>
        </w:rPr>
        <w:t>i</w:t>
      </w:r>
      <w:r w:rsidRPr="00D2217B">
        <w:rPr>
          <w:lang w:eastAsia="fr-FR" w:bidi="fr-FR"/>
        </w:rPr>
        <w:t>nant</w:t>
      </w:r>
      <w:r>
        <w:rPr>
          <w:lang w:eastAsia="fr-FR" w:bidi="fr-FR"/>
        </w:rPr>
        <w:t> </w:t>
      </w:r>
      <w:r>
        <w:rPr>
          <w:rStyle w:val="Appelnotedebasdep"/>
          <w:lang w:eastAsia="fr-FR" w:bidi="fr-FR"/>
        </w:rPr>
        <w:footnoteReference w:id="88"/>
      </w:r>
      <w:r w:rsidRPr="00D2217B">
        <w:rPr>
          <w:lang w:eastAsia="fr-FR" w:bidi="fr-FR"/>
        </w:rPr>
        <w:t>, des éléments essentiels sont venus fonder le style national et expliquent tant ses tendances profondes que son év</w:t>
      </w:r>
      <w:r w:rsidRPr="00D2217B">
        <w:rPr>
          <w:lang w:eastAsia="fr-FR" w:bidi="fr-FR"/>
        </w:rPr>
        <w:t>o</w:t>
      </w:r>
      <w:r w:rsidRPr="00D2217B">
        <w:rPr>
          <w:lang w:eastAsia="fr-FR" w:bidi="fr-FR"/>
        </w:rPr>
        <w:t>lution.</w:t>
      </w:r>
    </w:p>
    <w:p w14:paraId="7A23EDA2" w14:textId="77777777" w:rsidR="0039793A" w:rsidRDefault="0039793A" w:rsidP="0039793A">
      <w:pPr>
        <w:spacing w:before="120" w:after="120"/>
        <w:jc w:val="both"/>
        <w:rPr>
          <w:lang w:eastAsia="fr-FR" w:bidi="fr-FR"/>
        </w:rPr>
      </w:pPr>
    </w:p>
    <w:p w14:paraId="4F606081" w14:textId="77777777" w:rsidR="0039793A" w:rsidRPr="007A775B" w:rsidRDefault="0039793A" w:rsidP="0039793A">
      <w:pPr>
        <w:pStyle w:val="planche"/>
      </w:pPr>
      <w:bookmarkStart w:id="9" w:name="Pol_EU_pt_1_chap_02_1"/>
      <w:r w:rsidRPr="007A775B">
        <w:rPr>
          <w:lang w:eastAsia="fr-FR" w:bidi="fr-FR"/>
        </w:rPr>
        <w:t>Les éléments fondateurs du style national</w:t>
      </w:r>
    </w:p>
    <w:bookmarkEnd w:id="9"/>
    <w:p w14:paraId="3F630A0F" w14:textId="77777777" w:rsidR="0039793A" w:rsidRPr="00977237" w:rsidRDefault="0039793A" w:rsidP="0039793A">
      <w:pPr>
        <w:jc w:val="both"/>
        <w:rPr>
          <w:sz w:val="20"/>
          <w:lang w:eastAsia="fr-FR" w:bidi="fr-FR"/>
        </w:rPr>
      </w:pPr>
    </w:p>
    <w:p w14:paraId="5585A914"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03B456FC" w14:textId="77777777" w:rsidR="0039793A" w:rsidRPr="00D2217B" w:rsidRDefault="0039793A" w:rsidP="0039793A">
      <w:pPr>
        <w:spacing w:before="120" w:after="120"/>
        <w:jc w:val="both"/>
      </w:pPr>
      <w:r w:rsidRPr="00D2217B">
        <w:rPr>
          <w:lang w:eastAsia="fr-FR" w:bidi="fr-FR"/>
        </w:rPr>
        <w:t>L’étude du style national américain impose de se pencher sur ce qui constitue les fondements de ces traits spécifiques qui vont venir s’imprimer dans le processus d’élaboration de la politique étrangère. Des éléments historiques, directement liés à la découverte du Nouveau Monde, des éléments politiques, au nombre desquels le legs de Wa</w:t>
      </w:r>
      <w:r w:rsidRPr="00D2217B">
        <w:rPr>
          <w:lang w:eastAsia="fr-FR" w:bidi="fr-FR"/>
        </w:rPr>
        <w:t>s</w:t>
      </w:r>
      <w:r w:rsidRPr="00D2217B">
        <w:rPr>
          <w:lang w:eastAsia="fr-FR" w:bidi="fr-FR"/>
        </w:rPr>
        <w:t>hington, constituent les fondements du style national américain.</w:t>
      </w:r>
    </w:p>
    <w:p w14:paraId="3879B88C" w14:textId="77777777" w:rsidR="0039793A" w:rsidRDefault="0039793A" w:rsidP="0039793A">
      <w:pPr>
        <w:spacing w:before="120" w:after="120"/>
        <w:jc w:val="both"/>
        <w:rPr>
          <w:lang w:eastAsia="fr-FR" w:bidi="fr-FR"/>
        </w:rPr>
      </w:pPr>
    </w:p>
    <w:p w14:paraId="30A992C6" w14:textId="77777777" w:rsidR="0039793A" w:rsidRPr="00D2217B" w:rsidRDefault="0039793A" w:rsidP="0039793A">
      <w:pPr>
        <w:pStyle w:val="a"/>
      </w:pPr>
      <w:r w:rsidRPr="00D2217B">
        <w:t>Des éléments historiques</w:t>
      </w:r>
    </w:p>
    <w:p w14:paraId="74708D71" w14:textId="77777777" w:rsidR="0039793A" w:rsidRPr="00977237" w:rsidRDefault="0039793A" w:rsidP="0039793A">
      <w:pPr>
        <w:jc w:val="both"/>
        <w:rPr>
          <w:sz w:val="20"/>
          <w:lang w:eastAsia="fr-FR" w:bidi="fr-FR"/>
        </w:rPr>
      </w:pPr>
    </w:p>
    <w:p w14:paraId="1CEF2E40" w14:textId="77777777" w:rsidR="0039793A" w:rsidRPr="00D2217B" w:rsidRDefault="0039793A" w:rsidP="0039793A">
      <w:pPr>
        <w:spacing w:before="120" w:after="120"/>
        <w:jc w:val="both"/>
      </w:pPr>
      <w:r w:rsidRPr="00D2217B">
        <w:rPr>
          <w:lang w:eastAsia="fr-FR" w:bidi="fr-FR"/>
        </w:rPr>
        <w:t>La colonisation de l’Amérique du Nord par les Britanniques date de 1607, avec l’établissement de Jamestown en Virginie. Tous les hi</w:t>
      </w:r>
      <w:r w:rsidRPr="00D2217B">
        <w:rPr>
          <w:lang w:eastAsia="fr-FR" w:bidi="fr-FR"/>
        </w:rPr>
        <w:t>s</w:t>
      </w:r>
      <w:r w:rsidRPr="00D2217B">
        <w:rPr>
          <w:lang w:eastAsia="fr-FR" w:bidi="fr-FR"/>
        </w:rPr>
        <w:t xml:space="preserve">toriens s’accordent cependant pour conférer une grande signification, une valeur quasi mythique au voyage du </w:t>
      </w:r>
      <w:r w:rsidRPr="007A775B">
        <w:rPr>
          <w:i/>
          <w:iCs/>
        </w:rPr>
        <w:t>Mayflower</w:t>
      </w:r>
      <w:r w:rsidRPr="00D2217B">
        <w:t> :</w:t>
      </w:r>
      <w:r w:rsidRPr="00D2217B">
        <w:rPr>
          <w:lang w:eastAsia="fr-FR" w:bidi="fr-FR"/>
        </w:rPr>
        <w:t xml:space="preserve"> en 1620, les p</w:t>
      </w:r>
      <w:r w:rsidRPr="00D2217B">
        <w:rPr>
          <w:lang w:eastAsia="fr-FR" w:bidi="fr-FR"/>
        </w:rPr>
        <w:t>u</w:t>
      </w:r>
      <w:r w:rsidRPr="00D2217B">
        <w:rPr>
          <w:lang w:eastAsia="fr-FR" w:bidi="fr-FR"/>
        </w:rPr>
        <w:t>ritains, dits aussi pèlerins, abordent le cap Cod dans le Massach</w:t>
      </w:r>
      <w:r w:rsidRPr="00D2217B">
        <w:rPr>
          <w:lang w:eastAsia="fr-FR" w:bidi="fr-FR"/>
        </w:rPr>
        <w:t>u</w:t>
      </w:r>
      <w:r w:rsidRPr="00D2217B">
        <w:rPr>
          <w:lang w:eastAsia="fr-FR" w:bidi="fr-FR"/>
        </w:rPr>
        <w:t>setts. En quête de liberté, ils fuient l’intolérance et la répression religieuse en Grande-Bretagne. Ils sont animés par une grande foi, une redéco</w:t>
      </w:r>
      <w:r w:rsidRPr="00D2217B">
        <w:rPr>
          <w:lang w:eastAsia="fr-FR" w:bidi="fr-FR"/>
        </w:rPr>
        <w:t>u</w:t>
      </w:r>
      <w:r w:rsidRPr="00D2217B">
        <w:rPr>
          <w:lang w:eastAsia="fr-FR" w:bidi="fr-FR"/>
        </w:rPr>
        <w:t xml:space="preserve">verte de la </w:t>
      </w:r>
      <w:r w:rsidRPr="00D2217B">
        <w:t>« </w:t>
      </w:r>
      <w:r w:rsidRPr="00D2217B">
        <w:rPr>
          <w:lang w:eastAsia="fr-FR" w:bidi="fr-FR"/>
        </w:rPr>
        <w:t>pureté</w:t>
      </w:r>
      <w:r w:rsidRPr="00D2217B">
        <w:t> »</w:t>
      </w:r>
      <w:r w:rsidRPr="00D2217B">
        <w:rPr>
          <w:lang w:eastAsia="fr-FR" w:bidi="fr-FR"/>
        </w:rPr>
        <w:t xml:space="preserve"> de l’idéal évangélique chrétien et une opposition déterminée au système hiérarchique du christianisme existant en A</w:t>
      </w:r>
      <w:r w:rsidRPr="00D2217B">
        <w:rPr>
          <w:lang w:eastAsia="fr-FR" w:bidi="fr-FR"/>
        </w:rPr>
        <w:t>n</w:t>
      </w:r>
      <w:r w:rsidRPr="00D2217B">
        <w:rPr>
          <w:lang w:eastAsia="fr-FR" w:bidi="fr-FR"/>
        </w:rPr>
        <w:t xml:space="preserve">gleterre, même après la Réforme religieuse. </w:t>
      </w:r>
      <w:r>
        <w:rPr>
          <w:lang w:eastAsia="fr-FR" w:bidi="fr-FR"/>
        </w:rPr>
        <w:t>À</w:t>
      </w:r>
      <w:r w:rsidRPr="00D2217B">
        <w:rPr>
          <w:lang w:eastAsia="fr-FR" w:bidi="fr-FR"/>
        </w:rPr>
        <w:t xml:space="preserve"> observer la façon dont ils conçoivent et vivent leur religion, on distingue déjà les traits cara</w:t>
      </w:r>
      <w:r w:rsidRPr="00D2217B">
        <w:rPr>
          <w:lang w:eastAsia="fr-FR" w:bidi="fr-FR"/>
        </w:rPr>
        <w:t>c</w:t>
      </w:r>
      <w:r w:rsidRPr="00D2217B">
        <w:rPr>
          <w:lang w:eastAsia="fr-FR" w:bidi="fr-FR"/>
        </w:rPr>
        <w:t>téristiques qui vont f</w:t>
      </w:r>
      <w:r w:rsidRPr="00D2217B">
        <w:rPr>
          <w:lang w:eastAsia="fr-FR" w:bidi="fr-FR"/>
        </w:rPr>
        <w:t>a</w:t>
      </w:r>
      <w:r w:rsidRPr="00D2217B">
        <w:rPr>
          <w:lang w:eastAsia="fr-FR" w:bidi="fr-FR"/>
        </w:rPr>
        <w:t>çonner toute l’histoire des États-Unis, voire même la politique étrangère de ce pays.</w:t>
      </w:r>
    </w:p>
    <w:p w14:paraId="1ECE0D04" w14:textId="77777777" w:rsidR="0039793A" w:rsidRDefault="0039793A" w:rsidP="0039793A">
      <w:pPr>
        <w:spacing w:before="120" w:after="120"/>
        <w:jc w:val="both"/>
      </w:pPr>
      <w:r>
        <w:t>[44]</w:t>
      </w:r>
    </w:p>
    <w:p w14:paraId="61D61C08" w14:textId="77777777" w:rsidR="0039793A" w:rsidRDefault="0039793A" w:rsidP="0039793A">
      <w:pPr>
        <w:spacing w:before="120" w:after="120"/>
        <w:jc w:val="both"/>
      </w:pPr>
    </w:p>
    <w:p w14:paraId="6DFE46FB" w14:textId="77777777" w:rsidR="0039793A" w:rsidRPr="007A775B" w:rsidRDefault="0039793A" w:rsidP="0039793A">
      <w:pPr>
        <w:pStyle w:val="b"/>
      </w:pPr>
      <w:r w:rsidRPr="007A775B">
        <w:rPr>
          <w:lang w:eastAsia="fr-FR" w:bidi="fr-FR"/>
        </w:rPr>
        <w:t>Le fondamentalisme</w:t>
      </w:r>
    </w:p>
    <w:p w14:paraId="4EF5F07C" w14:textId="77777777" w:rsidR="0039793A" w:rsidRDefault="0039793A" w:rsidP="0039793A">
      <w:pPr>
        <w:spacing w:before="120" w:after="120"/>
        <w:jc w:val="both"/>
        <w:rPr>
          <w:lang w:eastAsia="fr-FR" w:bidi="fr-FR"/>
        </w:rPr>
      </w:pPr>
    </w:p>
    <w:p w14:paraId="4C17B510" w14:textId="77777777" w:rsidR="0039793A" w:rsidRPr="00D2217B" w:rsidRDefault="0039793A" w:rsidP="0039793A">
      <w:pPr>
        <w:spacing w:before="120" w:after="120"/>
        <w:jc w:val="both"/>
      </w:pPr>
      <w:r w:rsidRPr="00D2217B">
        <w:rPr>
          <w:lang w:eastAsia="fr-FR" w:bidi="fr-FR"/>
        </w:rPr>
        <w:t xml:space="preserve">Ils sont d’abord ce qu’on dénomme aujourd’hui des </w:t>
      </w:r>
      <w:r w:rsidRPr="00D2217B">
        <w:t>« </w:t>
      </w:r>
      <w:r w:rsidRPr="00D2217B">
        <w:rPr>
          <w:lang w:eastAsia="fr-FR" w:bidi="fr-FR"/>
        </w:rPr>
        <w:t>fondamentalistes</w:t>
      </w:r>
      <w:r w:rsidRPr="00D2217B">
        <w:t> »</w:t>
      </w:r>
      <w:r w:rsidRPr="00D2217B">
        <w:rPr>
          <w:lang w:eastAsia="fr-FR" w:bidi="fr-FR"/>
        </w:rPr>
        <w:t xml:space="preserve"> c’est-à-dire des croyants qui se sentent autorisés à interpréter les écrits religieux tels qu’ils s’offrent à eux sans se so</w:t>
      </w:r>
      <w:r w:rsidRPr="00D2217B">
        <w:rPr>
          <w:lang w:eastAsia="fr-FR" w:bidi="fr-FR"/>
        </w:rPr>
        <w:t>u</w:t>
      </w:r>
      <w:r w:rsidRPr="00D2217B">
        <w:rPr>
          <w:lang w:eastAsia="fr-FR" w:bidi="fr-FR"/>
        </w:rPr>
        <w:t>cier de les situer dans un contexte historique propre et de les co</w:t>
      </w:r>
      <w:r w:rsidRPr="00D2217B">
        <w:rPr>
          <w:lang w:eastAsia="fr-FR" w:bidi="fr-FR"/>
        </w:rPr>
        <w:t>m</w:t>
      </w:r>
      <w:r w:rsidRPr="00D2217B">
        <w:rPr>
          <w:lang w:eastAsia="fr-FR" w:bidi="fr-FR"/>
        </w:rPr>
        <w:t>prendre dans une perspective évolutive. Ils se pensent directement inspirés par Dieu et prédestinés à une mission très spéciale. Ils comp</w:t>
      </w:r>
      <w:r w:rsidRPr="00D2217B">
        <w:rPr>
          <w:lang w:eastAsia="fr-FR" w:bidi="fr-FR"/>
        </w:rPr>
        <w:t>a</w:t>
      </w:r>
      <w:r w:rsidRPr="00D2217B">
        <w:rPr>
          <w:lang w:eastAsia="fr-FR" w:bidi="fr-FR"/>
        </w:rPr>
        <w:t>rent volontiers leur épopée vers le Nouveau Monde à l’exode du pe</w:t>
      </w:r>
      <w:r w:rsidRPr="00D2217B">
        <w:rPr>
          <w:lang w:eastAsia="fr-FR" w:bidi="fr-FR"/>
        </w:rPr>
        <w:t>u</w:t>
      </w:r>
      <w:r w:rsidRPr="00D2217B">
        <w:rPr>
          <w:lang w:eastAsia="fr-FR" w:bidi="fr-FR"/>
        </w:rPr>
        <w:t xml:space="preserve">ple élu. Les expressions de </w:t>
      </w:r>
      <w:r w:rsidRPr="00D2217B">
        <w:t>« </w:t>
      </w:r>
      <w:r w:rsidRPr="00D2217B">
        <w:rPr>
          <w:lang w:eastAsia="fr-FR" w:bidi="fr-FR"/>
        </w:rPr>
        <w:t>Terre promise</w:t>
      </w:r>
      <w:r w:rsidRPr="00D2217B">
        <w:t> »</w:t>
      </w:r>
      <w:r w:rsidRPr="00D2217B">
        <w:rPr>
          <w:lang w:eastAsia="fr-FR" w:bidi="fr-FR"/>
        </w:rPr>
        <w:t xml:space="preserve"> et de </w:t>
      </w:r>
      <w:r w:rsidRPr="00D2217B">
        <w:t>« </w:t>
      </w:r>
      <w:r w:rsidRPr="00D2217B">
        <w:rPr>
          <w:lang w:eastAsia="fr-FR" w:bidi="fr-FR"/>
        </w:rPr>
        <w:t>nouvelle Jérus</w:t>
      </w:r>
      <w:r w:rsidRPr="00D2217B">
        <w:rPr>
          <w:lang w:eastAsia="fr-FR" w:bidi="fr-FR"/>
        </w:rPr>
        <w:t>a</w:t>
      </w:r>
      <w:r w:rsidRPr="00D2217B">
        <w:rPr>
          <w:lang w:eastAsia="fr-FR" w:bidi="fr-FR"/>
        </w:rPr>
        <w:t>lem</w:t>
      </w:r>
      <w:r w:rsidRPr="00D2217B">
        <w:t> »</w:t>
      </w:r>
      <w:r w:rsidRPr="00D2217B">
        <w:rPr>
          <w:lang w:eastAsia="fr-FR" w:bidi="fr-FR"/>
        </w:rPr>
        <w:t xml:space="preserve"> reviennent d’ailleurs souvent dans leurs récits. Les premiers éléments du style national sont donc un sentiment très profond d’être l’objet de la bénédiction divine, d’une supériorité morale qui s’appliquera à leur conception sociale, et un idéalisme profondément ancré s’apparentant à un véritable messianisme. Les pèlerins sont pe</w:t>
      </w:r>
      <w:r w:rsidRPr="00D2217B">
        <w:rPr>
          <w:lang w:eastAsia="fr-FR" w:bidi="fr-FR"/>
        </w:rPr>
        <w:t>r</w:t>
      </w:r>
      <w:r w:rsidRPr="00D2217B">
        <w:rPr>
          <w:lang w:eastAsia="fr-FR" w:bidi="fr-FR"/>
        </w:rPr>
        <w:t xml:space="preserve">suadés qu’ils vont </w:t>
      </w:r>
      <w:r w:rsidRPr="00D2217B">
        <w:t>« </w:t>
      </w:r>
      <w:r w:rsidRPr="00D2217B">
        <w:rPr>
          <w:lang w:eastAsia="fr-FR" w:bidi="fr-FR"/>
        </w:rPr>
        <w:t>recommencer le Monde</w:t>
      </w:r>
      <w:r w:rsidRPr="00D2217B">
        <w:t> »</w:t>
      </w:r>
      <w:r w:rsidRPr="00D2217B">
        <w:rPr>
          <w:lang w:eastAsia="fr-FR" w:bidi="fr-FR"/>
        </w:rPr>
        <w:t>, refaire l’Histoire</w:t>
      </w:r>
      <w:r>
        <w:rPr>
          <w:lang w:eastAsia="fr-FR" w:bidi="fr-FR"/>
        </w:rPr>
        <w:t> </w:t>
      </w:r>
      <w:r>
        <w:rPr>
          <w:rStyle w:val="Appelnotedebasdep"/>
          <w:lang w:eastAsia="fr-FR" w:bidi="fr-FR"/>
        </w:rPr>
        <w:footnoteReference w:id="89"/>
      </w:r>
      <w:r>
        <w:rPr>
          <w:lang w:eastAsia="fr-FR" w:bidi="fr-FR"/>
        </w:rPr>
        <w:t>.</w:t>
      </w:r>
      <w:r w:rsidRPr="00D2217B">
        <w:rPr>
          <w:lang w:eastAsia="fr-FR" w:bidi="fr-FR"/>
        </w:rPr>
        <w:t xml:space="preserve"> A</w:t>
      </w:r>
      <w:r w:rsidRPr="00D2217B">
        <w:rPr>
          <w:lang w:eastAsia="fr-FR" w:bidi="fr-FR"/>
        </w:rPr>
        <w:t>u</w:t>
      </w:r>
      <w:r w:rsidRPr="00D2217B">
        <w:rPr>
          <w:lang w:eastAsia="fr-FR" w:bidi="fr-FR"/>
        </w:rPr>
        <w:t>jourd’hui encore, on ne comprendra le discours américain et l’état d’esprit des élites, comme de l’ensemble de la population aux États-Unis, que si l’on tient compte de cette conscience d’un exceptionn</w:t>
      </w:r>
      <w:r w:rsidRPr="00D2217B">
        <w:rPr>
          <w:lang w:eastAsia="fr-FR" w:bidi="fr-FR"/>
        </w:rPr>
        <w:t>a</w:t>
      </w:r>
      <w:r w:rsidRPr="00D2217B">
        <w:rPr>
          <w:lang w:eastAsia="fr-FR" w:bidi="fr-FR"/>
        </w:rPr>
        <w:t>lisme moral qui n’est plus sans doute reliée au mythe de l’élection d</w:t>
      </w:r>
      <w:r w:rsidRPr="00D2217B">
        <w:rPr>
          <w:lang w:eastAsia="fr-FR" w:bidi="fr-FR"/>
        </w:rPr>
        <w:t>i</w:t>
      </w:r>
      <w:r w:rsidRPr="00D2217B">
        <w:rPr>
          <w:lang w:eastAsia="fr-FR" w:bidi="fr-FR"/>
        </w:rPr>
        <w:t>vine, mais selon laquelle le pays d’Amérique s’est vu confier une mi</w:t>
      </w:r>
      <w:r w:rsidRPr="00D2217B">
        <w:rPr>
          <w:lang w:eastAsia="fr-FR" w:bidi="fr-FR"/>
        </w:rPr>
        <w:t>s</w:t>
      </w:r>
      <w:r w:rsidRPr="00D2217B">
        <w:rPr>
          <w:lang w:eastAsia="fr-FR" w:bidi="fr-FR"/>
        </w:rPr>
        <w:t>sion particulière. Sans doute y a-t-il une grande part de rhétorique dans les innombrables références religieuses des discours des prés</w:t>
      </w:r>
      <w:r w:rsidRPr="00D2217B">
        <w:rPr>
          <w:lang w:eastAsia="fr-FR" w:bidi="fr-FR"/>
        </w:rPr>
        <w:t>i</w:t>
      </w:r>
      <w:r w:rsidRPr="00D2217B">
        <w:rPr>
          <w:lang w:eastAsia="fr-FR" w:bidi="fr-FR"/>
        </w:rPr>
        <w:t>dents américains, quasiment obligées et incontournables</w:t>
      </w:r>
      <w:r>
        <w:rPr>
          <w:lang w:eastAsia="fr-FR" w:bidi="fr-FR"/>
        </w:rPr>
        <w:t> </w:t>
      </w:r>
      <w:r>
        <w:rPr>
          <w:rStyle w:val="Appelnotedebasdep"/>
          <w:lang w:eastAsia="fr-FR" w:bidi="fr-FR"/>
        </w:rPr>
        <w:footnoteReference w:id="90"/>
      </w:r>
      <w:r w:rsidRPr="00D2217B">
        <w:rPr>
          <w:lang w:eastAsia="fr-FR" w:bidi="fr-FR"/>
        </w:rPr>
        <w:t>. D’ailleurs, les présidents américains, de quelque parti ou tendance qu’ils soient, font grand état de leur foi. Ronald Reagan, empruntant indirectement cette terminologie à l’évangile selon Saint Matthieu, évoquait fr</w:t>
      </w:r>
      <w:r w:rsidRPr="00D2217B">
        <w:rPr>
          <w:lang w:eastAsia="fr-FR" w:bidi="fr-FR"/>
        </w:rPr>
        <w:t>é</w:t>
      </w:r>
      <w:r w:rsidRPr="00D2217B">
        <w:rPr>
          <w:lang w:eastAsia="fr-FR" w:bidi="fr-FR"/>
        </w:rPr>
        <w:t xml:space="preserve">quemment l’image de la </w:t>
      </w:r>
      <w:r w:rsidRPr="00D2217B">
        <w:t>« </w:t>
      </w:r>
      <w:r w:rsidRPr="00D2217B">
        <w:rPr>
          <w:lang w:eastAsia="fr-FR" w:bidi="fr-FR"/>
        </w:rPr>
        <w:t>ville qui brille sur la montagne</w:t>
      </w:r>
      <w:r w:rsidRPr="00D2217B">
        <w:t> »</w:t>
      </w:r>
      <w:r w:rsidRPr="00D2217B">
        <w:rPr>
          <w:lang w:eastAsia="fr-FR" w:bidi="fr-FR"/>
        </w:rPr>
        <w:t xml:space="preserve"> </w:t>
      </w:r>
      <w:r w:rsidRPr="00D2217B">
        <w:t>(</w:t>
      </w:r>
      <w:r w:rsidRPr="007A775B">
        <w:rPr>
          <w:i/>
          <w:iCs/>
        </w:rPr>
        <w:t>City shi</w:t>
      </w:r>
      <w:r w:rsidRPr="007A775B">
        <w:rPr>
          <w:i/>
          <w:iCs/>
        </w:rPr>
        <w:t>r</w:t>
      </w:r>
      <w:r w:rsidRPr="007A775B">
        <w:rPr>
          <w:i/>
          <w:iCs/>
        </w:rPr>
        <w:t>ting on the Hill</w:t>
      </w:r>
      <w:r w:rsidRPr="00D2217B">
        <w:t>)</w:t>
      </w:r>
      <w:r>
        <w:rPr>
          <w:lang w:eastAsia="fr-FR" w:bidi="fr-FR"/>
        </w:rPr>
        <w:t xml:space="preserve"> pour caractériser la civili</w:t>
      </w:r>
      <w:r w:rsidRPr="00D2217B">
        <w:rPr>
          <w:lang w:eastAsia="fr-FR" w:bidi="fr-FR"/>
        </w:rPr>
        <w:t>sation</w:t>
      </w:r>
      <w:r>
        <w:t xml:space="preserve"> [45]</w:t>
      </w:r>
      <w:r w:rsidRPr="00D2217B">
        <w:rPr>
          <w:lang w:eastAsia="fr-FR" w:bidi="fr-FR"/>
        </w:rPr>
        <w:t xml:space="preserve"> américaine. Jimmy Carter et George W. Bush, quoique très différents l’un de l’autre se disent tous deux </w:t>
      </w:r>
      <w:r w:rsidRPr="00D2217B">
        <w:t>« </w:t>
      </w:r>
      <w:r w:rsidRPr="007A775B">
        <w:rPr>
          <w:i/>
          <w:iCs/>
        </w:rPr>
        <w:t>born again christians</w:t>
      </w:r>
      <w:r w:rsidRPr="00D2217B">
        <w:t> »</w:t>
      </w:r>
      <w:r w:rsidRPr="00D2217B">
        <w:rPr>
          <w:lang w:eastAsia="fr-FR" w:bidi="fr-FR"/>
        </w:rPr>
        <w:t xml:space="preserve"> (régén</w:t>
      </w:r>
      <w:r w:rsidRPr="00D2217B">
        <w:rPr>
          <w:lang w:eastAsia="fr-FR" w:bidi="fr-FR"/>
        </w:rPr>
        <w:t>é</w:t>
      </w:r>
      <w:r w:rsidRPr="00D2217B">
        <w:rPr>
          <w:lang w:eastAsia="fr-FR" w:bidi="fr-FR"/>
        </w:rPr>
        <w:t>rés)</w:t>
      </w:r>
      <w:r w:rsidRPr="00D2217B">
        <w:t> :</w:t>
      </w:r>
      <w:r w:rsidRPr="00D2217B">
        <w:rPr>
          <w:lang w:eastAsia="fr-FR" w:bidi="fr-FR"/>
        </w:rPr>
        <w:t xml:space="preserve"> ils ont retrouvé la foi tardivement.</w:t>
      </w:r>
    </w:p>
    <w:p w14:paraId="448A15DB" w14:textId="77777777" w:rsidR="0039793A" w:rsidRDefault="0039793A" w:rsidP="0039793A">
      <w:pPr>
        <w:spacing w:before="120" w:after="120"/>
        <w:jc w:val="both"/>
        <w:rPr>
          <w:lang w:eastAsia="fr-FR" w:bidi="fr-FR"/>
        </w:rPr>
      </w:pPr>
    </w:p>
    <w:p w14:paraId="007553BF" w14:textId="77777777" w:rsidR="0039793A" w:rsidRPr="007A775B" w:rsidRDefault="0039793A" w:rsidP="0039793A">
      <w:pPr>
        <w:pStyle w:val="b"/>
      </w:pPr>
      <w:r w:rsidRPr="007A775B">
        <w:rPr>
          <w:lang w:eastAsia="fr-FR" w:bidi="fr-FR"/>
        </w:rPr>
        <w:t>L’individualisme</w:t>
      </w:r>
    </w:p>
    <w:p w14:paraId="301A6A0E" w14:textId="77777777" w:rsidR="0039793A" w:rsidRDefault="0039793A" w:rsidP="0039793A">
      <w:pPr>
        <w:spacing w:before="120" w:after="120"/>
        <w:jc w:val="both"/>
        <w:rPr>
          <w:lang w:eastAsia="fr-FR" w:bidi="fr-FR"/>
        </w:rPr>
      </w:pPr>
    </w:p>
    <w:p w14:paraId="00636040" w14:textId="77777777" w:rsidR="0039793A" w:rsidRPr="00D2217B" w:rsidRDefault="0039793A" w:rsidP="0039793A">
      <w:pPr>
        <w:spacing w:before="120" w:after="120"/>
        <w:jc w:val="both"/>
      </w:pPr>
      <w:r w:rsidRPr="00D2217B">
        <w:rPr>
          <w:lang w:eastAsia="fr-FR" w:bidi="fr-FR"/>
        </w:rPr>
        <w:t>Le puritanisme des Pèlerins engendre également d’autres caract</w:t>
      </w:r>
      <w:r w:rsidRPr="00D2217B">
        <w:rPr>
          <w:lang w:eastAsia="fr-FR" w:bidi="fr-FR"/>
        </w:rPr>
        <w:t>é</w:t>
      </w:r>
      <w:r w:rsidRPr="00D2217B">
        <w:rPr>
          <w:lang w:eastAsia="fr-FR" w:bidi="fr-FR"/>
        </w:rPr>
        <w:t>ristiques notamment l’individualisme. Puisque les Puritains rejettent toute autorité religieuse temporelle</w:t>
      </w:r>
      <w:r>
        <w:rPr>
          <w:lang w:eastAsia="fr-FR" w:bidi="fr-FR"/>
        </w:rPr>
        <w:t> </w:t>
      </w:r>
      <w:r>
        <w:rPr>
          <w:rStyle w:val="Appelnotedebasdep"/>
          <w:lang w:eastAsia="fr-FR" w:bidi="fr-FR"/>
        </w:rPr>
        <w:footnoteReference w:id="91"/>
      </w:r>
      <w:r>
        <w:rPr>
          <w:lang w:eastAsia="fr-FR" w:bidi="fr-FR"/>
        </w:rPr>
        <w:t>,</w:t>
      </w:r>
      <w:r w:rsidRPr="00D2217B">
        <w:rPr>
          <w:lang w:eastAsia="fr-FR" w:bidi="fr-FR"/>
        </w:rPr>
        <w:t xml:space="preserve"> ils ne peuvent que s’en remettre à leurs rapports personnels avec la divinité et à leur conscience indiv</w:t>
      </w:r>
      <w:r w:rsidRPr="00D2217B">
        <w:rPr>
          <w:lang w:eastAsia="fr-FR" w:bidi="fr-FR"/>
        </w:rPr>
        <w:t>i</w:t>
      </w:r>
      <w:r w:rsidRPr="00D2217B">
        <w:rPr>
          <w:lang w:eastAsia="fr-FR" w:bidi="fr-FR"/>
        </w:rPr>
        <w:t>duelle. Le p</w:t>
      </w:r>
      <w:r w:rsidRPr="00D2217B">
        <w:rPr>
          <w:lang w:eastAsia="fr-FR" w:bidi="fr-FR"/>
        </w:rPr>
        <w:t>u</w:t>
      </w:r>
      <w:r w:rsidRPr="00D2217B">
        <w:rPr>
          <w:lang w:eastAsia="fr-FR" w:bidi="fr-FR"/>
        </w:rPr>
        <w:t>ritanisme aura donc suscité un sens profond de l’autonomie individuelle qui prédispose déjà à la philosophie libérale. L’autonomie individuelle n’exclut pas pour autant le communautari</w:t>
      </w:r>
      <w:r w:rsidRPr="00D2217B">
        <w:rPr>
          <w:lang w:eastAsia="fr-FR" w:bidi="fr-FR"/>
        </w:rPr>
        <w:t>s</w:t>
      </w:r>
      <w:r w:rsidRPr="00D2217B">
        <w:rPr>
          <w:lang w:eastAsia="fr-FR" w:bidi="fr-FR"/>
        </w:rPr>
        <w:t>me mais la communauté puritaine est volontaire et choisie. En d’autres termes, si on ne peut choisir d’appartenir ou non à la comm</w:t>
      </w:r>
      <w:r w:rsidRPr="00D2217B">
        <w:rPr>
          <w:lang w:eastAsia="fr-FR" w:bidi="fr-FR"/>
        </w:rPr>
        <w:t>u</w:t>
      </w:r>
      <w:r w:rsidRPr="00D2217B">
        <w:rPr>
          <w:lang w:eastAsia="fr-FR" w:bidi="fr-FR"/>
        </w:rPr>
        <w:t>nauté médiévale et d’être soumis à la loi naturelle, la communauté l</w:t>
      </w:r>
      <w:r w:rsidRPr="00D2217B">
        <w:rPr>
          <w:lang w:eastAsia="fr-FR" w:bidi="fr-FR"/>
        </w:rPr>
        <w:t>i</w:t>
      </w:r>
      <w:r w:rsidRPr="00D2217B">
        <w:rPr>
          <w:lang w:eastAsia="fr-FR" w:bidi="fr-FR"/>
        </w:rPr>
        <w:t>bérale, par contre, résulte d’un contrat auquel on adhère librement, volontairement. Les Pèlerins américains se constituent d’ailleurs s</w:t>
      </w:r>
      <w:r w:rsidRPr="00D2217B">
        <w:rPr>
          <w:lang w:eastAsia="fr-FR" w:bidi="fr-FR"/>
        </w:rPr>
        <w:t>o</w:t>
      </w:r>
      <w:r w:rsidRPr="00D2217B">
        <w:rPr>
          <w:lang w:eastAsia="fr-FR" w:bidi="fr-FR"/>
        </w:rPr>
        <w:t xml:space="preserve">lennellement en communauté à bord du </w:t>
      </w:r>
      <w:r w:rsidRPr="007A775B">
        <w:rPr>
          <w:i/>
          <w:iCs/>
        </w:rPr>
        <w:t>Mayflower</w:t>
      </w:r>
      <w:r w:rsidRPr="00D2217B">
        <w:rPr>
          <w:lang w:eastAsia="fr-FR" w:bidi="fr-FR"/>
        </w:rPr>
        <w:t xml:space="preserve"> par un contrat en bonne et due forme, le fameux </w:t>
      </w:r>
      <w:r w:rsidRPr="007A775B">
        <w:rPr>
          <w:i/>
          <w:iCs/>
        </w:rPr>
        <w:t>Covenant</w:t>
      </w:r>
      <w:r w:rsidRPr="00D2217B">
        <w:rPr>
          <w:lang w:eastAsia="fr-FR" w:bidi="fr-FR"/>
        </w:rPr>
        <w:t xml:space="preserve"> validé par la signature de chacun des colons. Les Américains n’ont jamais dérogé à leur foi pr</w:t>
      </w:r>
      <w:r w:rsidRPr="00D2217B">
        <w:rPr>
          <w:lang w:eastAsia="fr-FR" w:bidi="fr-FR"/>
        </w:rPr>
        <w:t>o</w:t>
      </w:r>
      <w:r w:rsidRPr="00D2217B">
        <w:rPr>
          <w:lang w:eastAsia="fr-FR" w:bidi="fr-FR"/>
        </w:rPr>
        <w:t>fonde dans les vertus premières de l’individu. Encore ici, le discours officiel, même quand il s’agit de rallier l’ensemble des citoyens à une cause de politique étrangère, est rempli de références à la grandeur de l’individu et à sa primauté. Quand des présidents comme Ronald Re</w:t>
      </w:r>
      <w:r w:rsidRPr="00D2217B">
        <w:rPr>
          <w:lang w:eastAsia="fr-FR" w:bidi="fr-FR"/>
        </w:rPr>
        <w:t>a</w:t>
      </w:r>
      <w:r w:rsidRPr="00D2217B">
        <w:rPr>
          <w:lang w:eastAsia="fr-FR" w:bidi="fr-FR"/>
        </w:rPr>
        <w:t>gan ou George W. Bush parlent de diminuer le fardeau fiscal pour re</w:t>
      </w:r>
      <w:r w:rsidRPr="00D2217B">
        <w:rPr>
          <w:lang w:eastAsia="fr-FR" w:bidi="fr-FR"/>
        </w:rPr>
        <w:t>s</w:t>
      </w:r>
      <w:r w:rsidRPr="00D2217B">
        <w:rPr>
          <w:lang w:eastAsia="fr-FR" w:bidi="fr-FR"/>
        </w:rPr>
        <w:t>tituer l’argent aux citoyens qui le feront fructifier mieux que to</w:t>
      </w:r>
      <w:r w:rsidRPr="00D2217B">
        <w:rPr>
          <w:lang w:eastAsia="fr-FR" w:bidi="fr-FR"/>
        </w:rPr>
        <w:t>u</w:t>
      </w:r>
      <w:r w:rsidRPr="00D2217B">
        <w:rPr>
          <w:lang w:eastAsia="fr-FR" w:bidi="fr-FR"/>
        </w:rPr>
        <w:t>te agence gouvernementale, ils ne peuvent que recevoir un accueil fav</w:t>
      </w:r>
      <w:r w:rsidRPr="00D2217B">
        <w:rPr>
          <w:lang w:eastAsia="fr-FR" w:bidi="fr-FR"/>
        </w:rPr>
        <w:t>o</w:t>
      </w:r>
      <w:r w:rsidRPr="00D2217B">
        <w:rPr>
          <w:lang w:eastAsia="fr-FR" w:bidi="fr-FR"/>
        </w:rPr>
        <w:t>rable. Les présidents ont également pris l’habitude de célébrer dans leurs discours les vertus de certains individus, souvent méconnus du public, qui ont accompli des actions héroïques. Tous répètent à l’envi</w:t>
      </w:r>
      <w:r w:rsidRPr="00D2217B">
        <w:t> :</w:t>
      </w:r>
      <w:r w:rsidRPr="00D2217B">
        <w:rPr>
          <w:lang w:eastAsia="fr-FR" w:bidi="fr-FR"/>
        </w:rPr>
        <w:t xml:space="preserve"> ce sont les ind</w:t>
      </w:r>
      <w:r w:rsidRPr="00D2217B">
        <w:rPr>
          <w:lang w:eastAsia="fr-FR" w:bidi="fr-FR"/>
        </w:rPr>
        <w:t>i</w:t>
      </w:r>
      <w:r w:rsidRPr="00D2217B">
        <w:rPr>
          <w:lang w:eastAsia="fr-FR" w:bidi="fr-FR"/>
        </w:rPr>
        <w:t>vidus qui ont fait la grandeur de la nation.</w:t>
      </w:r>
    </w:p>
    <w:p w14:paraId="7F7028F6" w14:textId="77777777" w:rsidR="0039793A" w:rsidRDefault="0039793A" w:rsidP="0039793A">
      <w:pPr>
        <w:spacing w:before="120" w:after="120"/>
        <w:jc w:val="both"/>
      </w:pPr>
      <w:r>
        <w:t>[46]</w:t>
      </w:r>
    </w:p>
    <w:p w14:paraId="0CE06649" w14:textId="77777777" w:rsidR="0039793A" w:rsidRDefault="0039793A" w:rsidP="0039793A">
      <w:pPr>
        <w:spacing w:before="120" w:after="120"/>
        <w:jc w:val="both"/>
      </w:pPr>
    </w:p>
    <w:p w14:paraId="17C0C0FC" w14:textId="77777777" w:rsidR="0039793A" w:rsidRPr="007A775B" w:rsidRDefault="0039793A" w:rsidP="0039793A">
      <w:pPr>
        <w:pStyle w:val="b"/>
      </w:pPr>
      <w:r w:rsidRPr="007A775B">
        <w:rPr>
          <w:lang w:eastAsia="fr-FR" w:bidi="fr-FR"/>
        </w:rPr>
        <w:t>Un libéralisme historique</w:t>
      </w:r>
    </w:p>
    <w:p w14:paraId="58B83B71" w14:textId="77777777" w:rsidR="0039793A" w:rsidRDefault="0039793A" w:rsidP="0039793A">
      <w:pPr>
        <w:spacing w:before="120" w:after="120"/>
        <w:jc w:val="both"/>
        <w:rPr>
          <w:lang w:eastAsia="fr-FR" w:bidi="fr-FR"/>
        </w:rPr>
      </w:pPr>
    </w:p>
    <w:p w14:paraId="2ECD4B39" w14:textId="77777777" w:rsidR="0039793A" w:rsidRPr="00D2217B" w:rsidRDefault="0039793A" w:rsidP="0039793A">
      <w:pPr>
        <w:spacing w:before="120" w:after="120"/>
        <w:jc w:val="both"/>
      </w:pPr>
      <w:r w:rsidRPr="00D2217B">
        <w:rPr>
          <w:lang w:eastAsia="fr-FR" w:bidi="fr-FR"/>
        </w:rPr>
        <w:t>C’est une philosophie libérale qui s’implante en sol américain et s’affirme à mesure que progresse la colonisation. Cette philosophie triomphe dans la Déclaration d’indépendance et dans la Constit</w:t>
      </w:r>
      <w:r w:rsidRPr="00D2217B">
        <w:rPr>
          <w:lang w:eastAsia="fr-FR" w:bidi="fr-FR"/>
        </w:rPr>
        <w:t>u</w:t>
      </w:r>
      <w:r w:rsidRPr="00D2217B">
        <w:rPr>
          <w:lang w:eastAsia="fr-FR" w:bidi="fr-FR"/>
        </w:rPr>
        <w:t>tion. Elle deviendra la caractéristique essentielle qui reliera les Américains entre eux. Dans un ouvrage classique, publié en 1955, Louis Hartz démontre que ce libéralisme issu des origines est te</w:t>
      </w:r>
      <w:r w:rsidRPr="00D2217B">
        <w:rPr>
          <w:lang w:eastAsia="fr-FR" w:bidi="fr-FR"/>
        </w:rPr>
        <w:t>l</w:t>
      </w:r>
      <w:r w:rsidRPr="00D2217B">
        <w:rPr>
          <w:lang w:eastAsia="fr-FR" w:bidi="fr-FR"/>
        </w:rPr>
        <w:t>lement peu contesté aux États-Unis qu’il en devient une sorte d’idéologie nation</w:t>
      </w:r>
      <w:r w:rsidRPr="00D2217B">
        <w:rPr>
          <w:lang w:eastAsia="fr-FR" w:bidi="fr-FR"/>
        </w:rPr>
        <w:t>a</w:t>
      </w:r>
      <w:r w:rsidRPr="00D2217B">
        <w:rPr>
          <w:lang w:eastAsia="fr-FR" w:bidi="fr-FR"/>
        </w:rPr>
        <w:t>le (ce qui expl</w:t>
      </w:r>
      <w:r w:rsidRPr="00D2217B">
        <w:rPr>
          <w:lang w:eastAsia="fr-FR" w:bidi="fr-FR"/>
        </w:rPr>
        <w:t>i</w:t>
      </w:r>
      <w:r w:rsidRPr="00D2217B">
        <w:rPr>
          <w:lang w:eastAsia="fr-FR" w:bidi="fr-FR"/>
        </w:rPr>
        <w:t xml:space="preserve">querait qu’on y trouve si peu de traces d’autres grandes idéologies sociales, tels l’aristocratie et le socialisme). Hartz attribue cette situation au retrait géographique et psychologique des États- Unis par rapport aux grands débats idéologiques européens, à cette dialectique européenne qui fait s’affronter ces conceptions durant des siècles. Ainsi l’Américain est devenu tellement libéral que le terme même a perdu son sens initial aux États- Unis. Ce mot doit se traduire par </w:t>
      </w:r>
      <w:r w:rsidRPr="00A93E36">
        <w:rPr>
          <w:i/>
          <w:iCs/>
        </w:rPr>
        <w:t>loyal American</w:t>
      </w:r>
      <w:r w:rsidRPr="00D2217B">
        <w:rPr>
          <w:lang w:eastAsia="fr-FR" w:bidi="fr-FR"/>
        </w:rPr>
        <w:t xml:space="preserve"> tandis que l’emploi du mot </w:t>
      </w:r>
      <w:r w:rsidRPr="00A93E36">
        <w:rPr>
          <w:i/>
          <w:iCs/>
        </w:rPr>
        <w:t>liberal</w:t>
      </w:r>
      <w:r w:rsidRPr="00D2217B">
        <w:t>,</w:t>
      </w:r>
      <w:r w:rsidRPr="00D2217B">
        <w:rPr>
          <w:lang w:eastAsia="fr-FR" w:bidi="fr-FR"/>
        </w:rPr>
        <w:t xml:space="preserve"> en ce qu’il est fréquemment utilisé par opposition à </w:t>
      </w:r>
      <w:r w:rsidRPr="00A93E36">
        <w:rPr>
          <w:i/>
          <w:iCs/>
        </w:rPr>
        <w:t>conservative</w:t>
      </w:r>
      <w:r w:rsidRPr="00D2217B">
        <w:t>,</w:t>
      </w:r>
      <w:r w:rsidRPr="00D2217B">
        <w:rPr>
          <w:lang w:eastAsia="fr-FR" w:bidi="fr-FR"/>
        </w:rPr>
        <w:t xml:space="preserve"> signifie </w:t>
      </w:r>
      <w:r w:rsidRPr="00D2217B">
        <w:t>« </w:t>
      </w:r>
      <w:r w:rsidRPr="00D2217B">
        <w:rPr>
          <w:lang w:eastAsia="fr-FR" w:bidi="fr-FR"/>
        </w:rPr>
        <w:t>progressiste</w:t>
      </w:r>
      <w:r w:rsidRPr="00D2217B">
        <w:t> »</w:t>
      </w:r>
      <w:r w:rsidRPr="00D2217B">
        <w:rPr>
          <w:lang w:eastAsia="fr-FR" w:bidi="fr-FR"/>
        </w:rPr>
        <w:t xml:space="preserve"> ou </w:t>
      </w:r>
      <w:r w:rsidRPr="00D2217B">
        <w:t>« </w:t>
      </w:r>
      <w:r>
        <w:rPr>
          <w:lang w:eastAsia="fr-FR" w:bidi="fr-FR"/>
        </w:rPr>
        <w:t>social-</w:t>
      </w:r>
      <w:r w:rsidRPr="00D2217B">
        <w:rPr>
          <w:lang w:eastAsia="fr-FR" w:bidi="fr-FR"/>
        </w:rPr>
        <w:t>démocrate</w:t>
      </w:r>
      <w:r w:rsidRPr="00D2217B">
        <w:t> »</w:t>
      </w:r>
      <w:r w:rsidRPr="00D2217B">
        <w:rPr>
          <w:lang w:eastAsia="fr-FR" w:bidi="fr-FR"/>
        </w:rPr>
        <w:t>. On peut aller jusqu’à dire que le libéralisme initial est constitutif du nationalisme américain. Ce lib</w:t>
      </w:r>
      <w:r w:rsidRPr="00D2217B">
        <w:rPr>
          <w:lang w:eastAsia="fr-FR" w:bidi="fr-FR"/>
        </w:rPr>
        <w:t>é</w:t>
      </w:r>
      <w:r w:rsidRPr="00D2217B">
        <w:rPr>
          <w:lang w:eastAsia="fr-FR" w:bidi="fr-FR"/>
        </w:rPr>
        <w:t>ralisme américain (toujours entendu dans ce sens premier qui n’est plus en vigueur aujourd’hui), soit sous sa forme conservatrice, soit sous une forme plus progressiste visant à corriger les lacunes et inju</w:t>
      </w:r>
      <w:r w:rsidRPr="00D2217B">
        <w:rPr>
          <w:lang w:eastAsia="fr-FR" w:bidi="fr-FR"/>
        </w:rPr>
        <w:t>s</w:t>
      </w:r>
      <w:r w:rsidRPr="00D2217B">
        <w:rPr>
          <w:lang w:eastAsia="fr-FR" w:bidi="fr-FR"/>
        </w:rPr>
        <w:t>tices propres au libéralisme traditionnel, se retrouve dans toutes les grandes orientations de politique étrangère américaine. De Théodore Ro</w:t>
      </w:r>
      <w:r w:rsidRPr="00D2217B">
        <w:rPr>
          <w:lang w:eastAsia="fr-FR" w:bidi="fr-FR"/>
        </w:rPr>
        <w:t>o</w:t>
      </w:r>
      <w:r w:rsidRPr="00D2217B">
        <w:rPr>
          <w:lang w:eastAsia="fr-FR" w:bidi="fr-FR"/>
        </w:rPr>
        <w:t>sevelt à George W. Bush, en passant par Wilson, Franklin D. Roosevelt, Kennedy, Carter, Reagan et Clinton, le libéralisme, c’est-à-dire la promotion des libertés fondamentales, est toujours au cœur des grandes politiques des États-Unis. Qu’on che</w:t>
      </w:r>
      <w:r w:rsidRPr="00D2217B">
        <w:rPr>
          <w:lang w:eastAsia="fr-FR" w:bidi="fr-FR"/>
        </w:rPr>
        <w:t>r</w:t>
      </w:r>
      <w:r w:rsidRPr="00D2217B">
        <w:rPr>
          <w:lang w:eastAsia="fr-FR" w:bidi="fr-FR"/>
        </w:rPr>
        <w:t>che à promouvoir un ordre international fondé sur les droits de la personne et la liberté pol</w:t>
      </w:r>
      <w:r w:rsidRPr="00D2217B">
        <w:rPr>
          <w:lang w:eastAsia="fr-FR" w:bidi="fr-FR"/>
        </w:rPr>
        <w:t>i</w:t>
      </w:r>
      <w:r w:rsidRPr="00D2217B">
        <w:rPr>
          <w:lang w:eastAsia="fr-FR" w:bidi="fr-FR"/>
        </w:rPr>
        <w:t>tique ou qu’on vise davantage à mettre de l’avant le libéralisme éc</w:t>
      </w:r>
      <w:r w:rsidRPr="00D2217B">
        <w:rPr>
          <w:lang w:eastAsia="fr-FR" w:bidi="fr-FR"/>
        </w:rPr>
        <w:t>o</w:t>
      </w:r>
      <w:r w:rsidRPr="00D2217B">
        <w:rPr>
          <w:lang w:eastAsia="fr-FR" w:bidi="fr-FR"/>
        </w:rPr>
        <w:t>nomique et les initiatives individuelles, la politique étrangère des États-Unis se veut toujours libérale, même au moment où le libérali</w:t>
      </w:r>
      <w:r w:rsidRPr="00D2217B">
        <w:rPr>
          <w:lang w:eastAsia="fr-FR" w:bidi="fr-FR"/>
        </w:rPr>
        <w:t>s</w:t>
      </w:r>
      <w:r w:rsidRPr="00D2217B">
        <w:rPr>
          <w:lang w:eastAsia="fr-FR" w:bidi="fr-FR"/>
        </w:rPr>
        <w:t>me est trahi par des intérêts mesquins, ce qui n’est d’ailleurs jamais avoué. Par exemple, jamais le discours officiel ne fera allusion aux grands intérêts économiques qui sous-tendent certaines polit</w:t>
      </w:r>
      <w:r w:rsidRPr="00D2217B">
        <w:rPr>
          <w:lang w:eastAsia="fr-FR" w:bidi="fr-FR"/>
        </w:rPr>
        <w:t>i</w:t>
      </w:r>
      <w:r w:rsidRPr="00D2217B">
        <w:rPr>
          <w:lang w:eastAsia="fr-FR" w:bidi="fr-FR"/>
        </w:rPr>
        <w:t>ques. Ce libéralisme traditionnel se décompose, à l’ère contemporaine, en deux formes, l’une polit</w:t>
      </w:r>
      <w:r w:rsidRPr="00D2217B">
        <w:rPr>
          <w:lang w:eastAsia="fr-FR" w:bidi="fr-FR"/>
        </w:rPr>
        <w:t>i</w:t>
      </w:r>
      <w:r w:rsidRPr="00D2217B">
        <w:rPr>
          <w:lang w:eastAsia="fr-FR" w:bidi="fr-FR"/>
        </w:rPr>
        <w:t>que et l’autre économique.</w:t>
      </w:r>
    </w:p>
    <w:p w14:paraId="14CB9623" w14:textId="77777777" w:rsidR="0039793A" w:rsidRDefault="0039793A" w:rsidP="0039793A">
      <w:pPr>
        <w:spacing w:before="120" w:after="120"/>
        <w:jc w:val="both"/>
      </w:pPr>
      <w:r>
        <w:t>[47]</w:t>
      </w:r>
    </w:p>
    <w:p w14:paraId="614B7AAE" w14:textId="77777777" w:rsidR="0039793A" w:rsidRPr="00D2217B" w:rsidRDefault="0039793A" w:rsidP="0039793A">
      <w:pPr>
        <w:spacing w:before="120" w:after="120"/>
        <w:jc w:val="both"/>
      </w:pPr>
      <w:r w:rsidRPr="00D2217B">
        <w:rPr>
          <w:lang w:eastAsia="fr-FR" w:bidi="fr-FR"/>
        </w:rPr>
        <w:t>Il est clair que, dès le départ, les colons amér</w:t>
      </w:r>
      <w:r w:rsidRPr="00D2217B">
        <w:rPr>
          <w:lang w:eastAsia="fr-FR" w:bidi="fr-FR"/>
        </w:rPr>
        <w:t>i</w:t>
      </w:r>
      <w:r w:rsidRPr="00D2217B">
        <w:rPr>
          <w:lang w:eastAsia="fr-FR" w:bidi="fr-FR"/>
        </w:rPr>
        <w:t>cains sont animés du désir de s’organiser eux-mêmes. Réfutant les abus du pouvoir polit</w:t>
      </w:r>
      <w:r w:rsidRPr="00D2217B">
        <w:rPr>
          <w:lang w:eastAsia="fr-FR" w:bidi="fr-FR"/>
        </w:rPr>
        <w:t>i</w:t>
      </w:r>
      <w:r w:rsidRPr="00D2217B">
        <w:rPr>
          <w:lang w:eastAsia="fr-FR" w:bidi="fr-FR"/>
        </w:rPr>
        <w:t>que e</w:t>
      </w:r>
      <w:r w:rsidRPr="00D2217B">
        <w:rPr>
          <w:lang w:eastAsia="fr-FR" w:bidi="fr-FR"/>
        </w:rPr>
        <w:t>u</w:t>
      </w:r>
      <w:r w:rsidRPr="00D2217B">
        <w:rPr>
          <w:lang w:eastAsia="fr-FR" w:bidi="fr-FR"/>
        </w:rPr>
        <w:t>ropéen, ils tendent à demeurer sceptiques quant aux vertus des programmes gouvernementaux. Cette tendance se renforce au cours des années qui précèdent la Révolution et se maintient au moment même où l’on éprouve la nécessité de se doter d’un gouvernement central. La Constitution repose sur un système de poids et contrepoids qui établit un frein permanent à l’hégémonie du pouvoir de l’État. Ici encore, le discours présidentiel et la fo</w:t>
      </w:r>
      <w:r w:rsidRPr="00D2217B">
        <w:rPr>
          <w:lang w:eastAsia="fr-FR" w:bidi="fr-FR"/>
        </w:rPr>
        <w:t>r</w:t>
      </w:r>
      <w:r w:rsidRPr="00D2217B">
        <w:rPr>
          <w:lang w:eastAsia="fr-FR" w:bidi="fr-FR"/>
        </w:rPr>
        <w:t>mulation même des politiques nationales sont marqués par cette attitude. Les Américains appréhe</w:t>
      </w:r>
      <w:r w:rsidRPr="00D2217B">
        <w:rPr>
          <w:lang w:eastAsia="fr-FR" w:bidi="fr-FR"/>
        </w:rPr>
        <w:t>n</w:t>
      </w:r>
      <w:r w:rsidRPr="00D2217B">
        <w:rPr>
          <w:lang w:eastAsia="fr-FR" w:bidi="fr-FR"/>
        </w:rPr>
        <w:t>dent généralement l’interventionnisme étatique et les grands pr</w:t>
      </w:r>
      <w:r w:rsidRPr="00D2217B">
        <w:rPr>
          <w:lang w:eastAsia="fr-FR" w:bidi="fr-FR"/>
        </w:rPr>
        <w:t>o</w:t>
      </w:r>
      <w:r w:rsidRPr="00D2217B">
        <w:rPr>
          <w:lang w:eastAsia="fr-FR" w:bidi="fr-FR"/>
        </w:rPr>
        <w:t>grammes de solidarité sociale. Cela se traduit dans le vocabulaire p</w:t>
      </w:r>
      <w:r w:rsidRPr="00D2217B">
        <w:rPr>
          <w:lang w:eastAsia="fr-FR" w:bidi="fr-FR"/>
        </w:rPr>
        <w:t>o</w:t>
      </w:r>
      <w:r w:rsidRPr="00D2217B">
        <w:rPr>
          <w:lang w:eastAsia="fr-FR" w:bidi="fr-FR"/>
        </w:rPr>
        <w:t xml:space="preserve">pulaire, les mots de </w:t>
      </w:r>
      <w:r w:rsidRPr="00D2217B">
        <w:t>« </w:t>
      </w:r>
      <w:r w:rsidRPr="00D2217B">
        <w:rPr>
          <w:lang w:eastAsia="fr-FR" w:bidi="fr-FR"/>
        </w:rPr>
        <w:t>politique</w:t>
      </w:r>
      <w:r w:rsidRPr="00D2217B">
        <w:t> »</w:t>
      </w:r>
      <w:r w:rsidRPr="00D2217B">
        <w:rPr>
          <w:lang w:eastAsia="fr-FR" w:bidi="fr-FR"/>
        </w:rPr>
        <w:t xml:space="preserve"> et de </w:t>
      </w:r>
      <w:r w:rsidRPr="00D2217B">
        <w:t>« </w:t>
      </w:r>
      <w:r w:rsidRPr="00D2217B">
        <w:rPr>
          <w:lang w:eastAsia="fr-FR" w:bidi="fr-FR"/>
        </w:rPr>
        <w:t>politiciens</w:t>
      </w:r>
      <w:r w:rsidRPr="00D2217B">
        <w:t> »</w:t>
      </w:r>
      <w:r w:rsidRPr="00D2217B">
        <w:rPr>
          <w:lang w:eastAsia="fr-FR" w:bidi="fr-FR"/>
        </w:rPr>
        <w:t xml:space="preserve"> ayant une conn</w:t>
      </w:r>
      <w:r w:rsidRPr="00D2217B">
        <w:rPr>
          <w:lang w:eastAsia="fr-FR" w:bidi="fr-FR"/>
        </w:rPr>
        <w:t>o</w:t>
      </w:r>
      <w:r w:rsidRPr="00D2217B">
        <w:rPr>
          <w:lang w:eastAsia="fr-FR" w:bidi="fr-FR"/>
        </w:rPr>
        <w:t>tation péjorative. On en est venu à un point où un candidat à la présidence se targue d’avoir peu d’expérience politique (en faisant exception toutefois du niveau local — celui de l’État fédéré ou de la municipalité - où l’on prétend être plus près de la population)</w:t>
      </w:r>
      <w:r w:rsidRPr="00D2217B">
        <w:t> :</w:t>
      </w:r>
      <w:r w:rsidRPr="00D2217B">
        <w:rPr>
          <w:lang w:eastAsia="fr-FR" w:bidi="fr-FR"/>
        </w:rPr>
        <w:t xml:space="preserve"> ainsi, durant le dernier quart du </w:t>
      </w:r>
      <w:r w:rsidRPr="00D2217B">
        <w:t>XX</w:t>
      </w:r>
      <w:r w:rsidRPr="00D2217B">
        <w:rPr>
          <w:vertAlign w:val="superscript"/>
        </w:rPr>
        <w:t>e</w:t>
      </w:r>
      <w:r w:rsidRPr="00D2217B">
        <w:t xml:space="preserve"> </w:t>
      </w:r>
      <w:r w:rsidRPr="00D2217B">
        <w:rPr>
          <w:lang w:eastAsia="fr-FR" w:bidi="fr-FR"/>
        </w:rPr>
        <w:t>siècle, la plupart des présidents n’ont jamais occupé une fonction élective au niveau fédéral avant leur éle</w:t>
      </w:r>
      <w:r w:rsidRPr="00D2217B">
        <w:rPr>
          <w:lang w:eastAsia="fr-FR" w:bidi="fr-FR"/>
        </w:rPr>
        <w:t>c</w:t>
      </w:r>
      <w:r w:rsidRPr="00D2217B">
        <w:rPr>
          <w:lang w:eastAsia="fr-FR" w:bidi="fr-FR"/>
        </w:rPr>
        <w:t>tion à la tête des États-Unis. Jimmy Carter, Ronald Reagan, Bill Cli</w:t>
      </w:r>
      <w:r w:rsidRPr="00D2217B">
        <w:rPr>
          <w:lang w:eastAsia="fr-FR" w:bidi="fr-FR"/>
        </w:rPr>
        <w:t>n</w:t>
      </w:r>
      <w:r w:rsidRPr="00D2217B">
        <w:rPr>
          <w:lang w:eastAsia="fr-FR" w:bidi="fr-FR"/>
        </w:rPr>
        <w:t>ton et George W. Bush sont tous d’anciens gouverneurs d’États. Par</w:t>
      </w:r>
      <w:r w:rsidRPr="00D2217B">
        <w:rPr>
          <w:lang w:eastAsia="fr-FR" w:bidi="fr-FR"/>
        </w:rPr>
        <w:t>a</w:t>
      </w:r>
      <w:r w:rsidRPr="00D2217B">
        <w:rPr>
          <w:lang w:eastAsia="fr-FR" w:bidi="fr-FR"/>
        </w:rPr>
        <w:t>doxalement, les dirigeants politiques se targuent le plus souvent de réduire la taille du gouvernement alors même qu’ils sont parvenus au pouvoir. Si l’ordre politique n’est guère valorisé au niveau de la n</w:t>
      </w:r>
      <w:r w:rsidRPr="00D2217B">
        <w:rPr>
          <w:lang w:eastAsia="fr-FR" w:bidi="fr-FR"/>
        </w:rPr>
        <w:t>a</w:t>
      </w:r>
      <w:r w:rsidRPr="00D2217B">
        <w:rPr>
          <w:lang w:eastAsia="fr-FR" w:bidi="fr-FR"/>
        </w:rPr>
        <w:t>tion, il n’en va pas différemment sur le plan international. Cela se tr</w:t>
      </w:r>
      <w:r w:rsidRPr="00D2217B">
        <w:rPr>
          <w:lang w:eastAsia="fr-FR" w:bidi="fr-FR"/>
        </w:rPr>
        <w:t>a</w:t>
      </w:r>
      <w:r w:rsidRPr="00D2217B">
        <w:rPr>
          <w:lang w:eastAsia="fr-FR" w:bidi="fr-FR"/>
        </w:rPr>
        <w:t>duit naturellement par une tendance à dévaloriser les solutions dipl</w:t>
      </w:r>
      <w:r w:rsidRPr="00D2217B">
        <w:rPr>
          <w:lang w:eastAsia="fr-FR" w:bidi="fr-FR"/>
        </w:rPr>
        <w:t>o</w:t>
      </w:r>
      <w:r w:rsidRPr="00D2217B">
        <w:rPr>
          <w:lang w:eastAsia="fr-FR" w:bidi="fr-FR"/>
        </w:rPr>
        <w:t>matiques et la pratique de la diplomatie. Sans doute ne s’agit-il pas ici d’une règle générale. On compte plusieurs diplomates américains de grand talent et, depuis George Washington, on peut parler d’une d</w:t>
      </w:r>
      <w:r w:rsidRPr="00D2217B">
        <w:rPr>
          <w:lang w:eastAsia="fr-FR" w:bidi="fr-FR"/>
        </w:rPr>
        <w:t>i</w:t>
      </w:r>
      <w:r w:rsidRPr="00D2217B">
        <w:rPr>
          <w:lang w:eastAsia="fr-FR" w:bidi="fr-FR"/>
        </w:rPr>
        <w:t>plomatie américaine active. Il faudra cependant attendre 1924 pour que soit constitué un véritable service diplomatique aux États-Unis. La carrière diplomatique n’est pas particulièrement prisée</w:t>
      </w:r>
      <w:r w:rsidRPr="00D2217B">
        <w:t> :</w:t>
      </w:r>
      <w:r w:rsidRPr="00D2217B">
        <w:rPr>
          <w:lang w:eastAsia="fr-FR" w:bidi="fr-FR"/>
        </w:rPr>
        <w:t xml:space="preserve"> les postes d’ambassadeurs les plus prest</w:t>
      </w:r>
      <w:r w:rsidRPr="00D2217B">
        <w:rPr>
          <w:lang w:eastAsia="fr-FR" w:bidi="fr-FR"/>
        </w:rPr>
        <w:t>i</w:t>
      </w:r>
      <w:r w:rsidRPr="00D2217B">
        <w:rPr>
          <w:lang w:eastAsia="fr-FR" w:bidi="fr-FR"/>
        </w:rPr>
        <w:t>gieux sont attribués à des personnes bien vues du régime et sans grande expérience politique plutôt qu’aux diplomates chevronnés et le budget du D</w:t>
      </w:r>
      <w:r w:rsidRPr="00D2217B">
        <w:rPr>
          <w:lang w:eastAsia="fr-FR" w:bidi="fr-FR"/>
        </w:rPr>
        <w:t>é</w:t>
      </w:r>
      <w:r w:rsidRPr="00D2217B">
        <w:rPr>
          <w:lang w:eastAsia="fr-FR" w:bidi="fr-FR"/>
        </w:rPr>
        <w:t>partement d’État compte pour à peine le dixième de celui du département de la Défense. Dans les milieux conservateurs surtout, la tendance la plus forte consiste à déprécier les négociations et les tract</w:t>
      </w:r>
      <w:r>
        <w:rPr>
          <w:lang w:eastAsia="fr-FR" w:bidi="fr-FR"/>
        </w:rPr>
        <w:t>ations diplomatiques qui ne do</w:t>
      </w:r>
      <w:r>
        <w:rPr>
          <w:lang w:eastAsia="fr-FR" w:bidi="fr-FR"/>
        </w:rPr>
        <w:t>n</w:t>
      </w:r>
      <w:r w:rsidRPr="00D2217B">
        <w:rPr>
          <w:lang w:eastAsia="fr-FR" w:bidi="fr-FR"/>
        </w:rPr>
        <w:t>nent</w:t>
      </w:r>
      <w:r>
        <w:t xml:space="preserve"> [48]</w:t>
      </w:r>
      <w:r w:rsidRPr="00D2217B">
        <w:rPr>
          <w:lang w:eastAsia="fr-FR" w:bidi="fr-FR"/>
        </w:rPr>
        <w:t xml:space="preserve"> jamais de résultats spectaculaires, et à valoriser plutôt la s</w:t>
      </w:r>
      <w:r w:rsidRPr="00D2217B">
        <w:rPr>
          <w:lang w:eastAsia="fr-FR" w:bidi="fr-FR"/>
        </w:rPr>
        <w:t>o</w:t>
      </w:r>
      <w:r w:rsidRPr="00D2217B">
        <w:rPr>
          <w:lang w:eastAsia="fr-FR" w:bidi="fr-FR"/>
        </w:rPr>
        <w:t>lution militaire décisive et rad</w:t>
      </w:r>
      <w:r w:rsidRPr="00D2217B">
        <w:rPr>
          <w:lang w:eastAsia="fr-FR" w:bidi="fr-FR"/>
        </w:rPr>
        <w:t>i</w:t>
      </w:r>
      <w:r w:rsidRPr="00D2217B">
        <w:rPr>
          <w:lang w:eastAsia="fr-FR" w:bidi="fr-FR"/>
        </w:rPr>
        <w:t>cale.</w:t>
      </w:r>
    </w:p>
    <w:p w14:paraId="27AE475E" w14:textId="77777777" w:rsidR="0039793A" w:rsidRPr="00D2217B" w:rsidRDefault="0039793A" w:rsidP="0039793A">
      <w:pPr>
        <w:spacing w:before="120" w:after="120"/>
        <w:jc w:val="both"/>
      </w:pPr>
      <w:r w:rsidRPr="00D2217B">
        <w:rPr>
          <w:lang w:eastAsia="fr-FR" w:bidi="fr-FR"/>
        </w:rPr>
        <w:t>L’autre caractéristique issue du libéralisme classique est le poids des impératifs économiques. En raison du succès des entreprises éc</w:t>
      </w:r>
      <w:r w:rsidRPr="00D2217B">
        <w:rPr>
          <w:lang w:eastAsia="fr-FR" w:bidi="fr-FR"/>
        </w:rPr>
        <w:t>o</w:t>
      </w:r>
      <w:r w:rsidRPr="00D2217B">
        <w:rPr>
          <w:lang w:eastAsia="fr-FR" w:bidi="fr-FR"/>
        </w:rPr>
        <w:t>nomiques des colons américains et de l’économie nationale mise sur pied par Alexander Hamilton au temps de l’indépendance, les Amér</w:t>
      </w:r>
      <w:r w:rsidRPr="00D2217B">
        <w:rPr>
          <w:lang w:eastAsia="fr-FR" w:bidi="fr-FR"/>
        </w:rPr>
        <w:t>i</w:t>
      </w:r>
      <w:r w:rsidRPr="00D2217B">
        <w:rPr>
          <w:lang w:eastAsia="fr-FR" w:bidi="fr-FR"/>
        </w:rPr>
        <w:t>cains acquièrent progressivement la conviction que leur puissance r</w:t>
      </w:r>
      <w:r w:rsidRPr="00D2217B">
        <w:rPr>
          <w:lang w:eastAsia="fr-FR" w:bidi="fr-FR"/>
        </w:rPr>
        <w:t>e</w:t>
      </w:r>
      <w:r w:rsidRPr="00D2217B">
        <w:rPr>
          <w:lang w:eastAsia="fr-FR" w:bidi="fr-FR"/>
        </w:rPr>
        <w:t>pose essentiellement sur leur richesse. Cette certitude contribue c</w:t>
      </w:r>
      <w:r w:rsidRPr="00D2217B">
        <w:rPr>
          <w:lang w:eastAsia="fr-FR" w:bidi="fr-FR"/>
        </w:rPr>
        <w:t>e</w:t>
      </w:r>
      <w:r w:rsidRPr="00D2217B">
        <w:rPr>
          <w:lang w:eastAsia="fr-FR" w:bidi="fr-FR"/>
        </w:rPr>
        <w:t>pendant à occulter d’autres él</w:t>
      </w:r>
      <w:r w:rsidRPr="00D2217B">
        <w:rPr>
          <w:lang w:eastAsia="fr-FR" w:bidi="fr-FR"/>
        </w:rPr>
        <w:t>é</w:t>
      </w:r>
      <w:r w:rsidRPr="00D2217B">
        <w:rPr>
          <w:lang w:eastAsia="fr-FR" w:bidi="fr-FR"/>
        </w:rPr>
        <w:t>ments importants tels l’ordre politique, les cond</w:t>
      </w:r>
      <w:r w:rsidRPr="00D2217B">
        <w:rPr>
          <w:lang w:eastAsia="fr-FR" w:bidi="fr-FR"/>
        </w:rPr>
        <w:t>i</w:t>
      </w:r>
      <w:r w:rsidRPr="00D2217B">
        <w:rPr>
          <w:lang w:eastAsia="fr-FR" w:bidi="fr-FR"/>
        </w:rPr>
        <w:t>tionnements culturels, qui ont pu aussi concourir aux succès et, à l’occasion, aux déboires de la politique américaine. Ainsi la pol</w:t>
      </w:r>
      <w:r w:rsidRPr="00D2217B">
        <w:rPr>
          <w:lang w:eastAsia="fr-FR" w:bidi="fr-FR"/>
        </w:rPr>
        <w:t>i</w:t>
      </w:r>
      <w:r w:rsidRPr="00D2217B">
        <w:rPr>
          <w:lang w:eastAsia="fr-FR" w:bidi="fr-FR"/>
        </w:rPr>
        <w:t>tique impériale de la porte ouverte</w:t>
      </w:r>
      <w:r>
        <w:rPr>
          <w:lang w:eastAsia="fr-FR" w:bidi="fr-FR"/>
        </w:rPr>
        <w:t> </w:t>
      </w:r>
      <w:r>
        <w:rPr>
          <w:rStyle w:val="Appelnotedebasdep"/>
          <w:lang w:eastAsia="fr-FR" w:bidi="fr-FR"/>
        </w:rPr>
        <w:footnoteReference w:id="92"/>
      </w:r>
      <w:r>
        <w:rPr>
          <w:lang w:eastAsia="fr-FR" w:bidi="fr-FR"/>
        </w:rPr>
        <w:t>,</w:t>
      </w:r>
      <w:r w:rsidRPr="00D2217B">
        <w:rPr>
          <w:lang w:eastAsia="fr-FR" w:bidi="fr-FR"/>
        </w:rPr>
        <w:t xml:space="preserve"> annoncée par le secrétaire d’</w:t>
      </w:r>
      <w:r>
        <w:rPr>
          <w:lang w:eastAsia="fr-FR" w:bidi="fr-FR"/>
        </w:rPr>
        <w:t>État</w:t>
      </w:r>
      <w:r w:rsidRPr="00D2217B">
        <w:rPr>
          <w:lang w:eastAsia="fr-FR" w:bidi="fr-FR"/>
        </w:rPr>
        <w:t xml:space="preserve"> John Hay sous la présidence de McKinley à la fin du XIX</w:t>
      </w:r>
      <w:r w:rsidRPr="00D2217B">
        <w:rPr>
          <w:vertAlign w:val="superscript"/>
          <w:lang w:eastAsia="fr-FR" w:bidi="fr-FR"/>
        </w:rPr>
        <w:t>e</w:t>
      </w:r>
      <w:r>
        <w:rPr>
          <w:vertAlign w:val="superscript"/>
          <w:lang w:eastAsia="fr-FR" w:bidi="fr-FR"/>
        </w:rPr>
        <w:t xml:space="preserve"> </w:t>
      </w:r>
      <w:r w:rsidRPr="00D2217B">
        <w:rPr>
          <w:lang w:eastAsia="fr-FR" w:bidi="fr-FR"/>
        </w:rPr>
        <w:t>siècle, v</w:t>
      </w:r>
      <w:r w:rsidRPr="00D2217B">
        <w:rPr>
          <w:lang w:eastAsia="fr-FR" w:bidi="fr-FR"/>
        </w:rPr>
        <w:t>i</w:t>
      </w:r>
      <w:r w:rsidRPr="00D2217B">
        <w:rPr>
          <w:lang w:eastAsia="fr-FR" w:bidi="fr-FR"/>
        </w:rPr>
        <w:t>sait surtout à favoriser la présence des investisseurs américains en Asie. Le président Howard Taft a cru bon de concentrer toute sa d</w:t>
      </w:r>
      <w:r w:rsidRPr="00D2217B">
        <w:rPr>
          <w:lang w:eastAsia="fr-FR" w:bidi="fr-FR"/>
        </w:rPr>
        <w:t>i</w:t>
      </w:r>
      <w:r w:rsidRPr="00D2217B">
        <w:rPr>
          <w:lang w:eastAsia="fr-FR" w:bidi="fr-FR"/>
        </w:rPr>
        <w:t>plomatie sur la force du dollar américain</w:t>
      </w:r>
      <w:r>
        <w:rPr>
          <w:lang w:eastAsia="fr-FR" w:bidi="fr-FR"/>
        </w:rPr>
        <w:t> </w:t>
      </w:r>
      <w:r>
        <w:rPr>
          <w:rStyle w:val="Appelnotedebasdep"/>
          <w:lang w:eastAsia="fr-FR" w:bidi="fr-FR"/>
        </w:rPr>
        <w:footnoteReference w:id="93"/>
      </w:r>
      <w:r w:rsidRPr="00D2217B">
        <w:rPr>
          <w:lang w:eastAsia="fr-FR" w:bidi="fr-FR"/>
        </w:rPr>
        <w:t>. Très souvent par la su</w:t>
      </w:r>
      <w:r w:rsidRPr="00D2217B">
        <w:rPr>
          <w:lang w:eastAsia="fr-FR" w:bidi="fr-FR"/>
        </w:rPr>
        <w:t>i</w:t>
      </w:r>
      <w:r w:rsidRPr="00D2217B">
        <w:rPr>
          <w:lang w:eastAsia="fr-FR" w:bidi="fr-FR"/>
        </w:rPr>
        <w:t xml:space="preserve">te, les responsables américains ont voulu </w:t>
      </w:r>
      <w:r w:rsidRPr="00D2217B">
        <w:t>« </w:t>
      </w:r>
      <w:r w:rsidRPr="00D2217B">
        <w:rPr>
          <w:lang w:eastAsia="fr-FR" w:bidi="fr-FR"/>
        </w:rPr>
        <w:t>acheter</w:t>
      </w:r>
      <w:r w:rsidRPr="00D2217B">
        <w:t> »</w:t>
      </w:r>
      <w:r w:rsidRPr="00D2217B">
        <w:rPr>
          <w:lang w:eastAsia="fr-FR" w:bidi="fr-FR"/>
        </w:rPr>
        <w:t xml:space="preserve"> la paix ou d’autres avantages</w:t>
      </w:r>
      <w:r>
        <w:rPr>
          <w:lang w:eastAsia="fr-FR" w:bidi="fr-FR"/>
        </w:rPr>
        <w:t> </w:t>
      </w:r>
      <w:r>
        <w:rPr>
          <w:rStyle w:val="Appelnotedebasdep"/>
          <w:lang w:eastAsia="fr-FR" w:bidi="fr-FR"/>
        </w:rPr>
        <w:footnoteReference w:id="94"/>
      </w:r>
      <w:r w:rsidRPr="00D2217B">
        <w:rPr>
          <w:lang w:eastAsia="fr-FR" w:bidi="fr-FR"/>
        </w:rPr>
        <w:t>. Une telle approche a pu aboutir à de véritables succès, comme dans le cas du programme de reconstruction eur</w:t>
      </w:r>
      <w:r w:rsidRPr="00D2217B">
        <w:rPr>
          <w:lang w:eastAsia="fr-FR" w:bidi="fr-FR"/>
        </w:rPr>
        <w:t>o</w:t>
      </w:r>
      <w:r w:rsidRPr="00D2217B">
        <w:rPr>
          <w:lang w:eastAsia="fr-FR" w:bidi="fr-FR"/>
        </w:rPr>
        <w:t>péenne lancé en 1947</w:t>
      </w:r>
      <w:r>
        <w:rPr>
          <w:lang w:eastAsia="fr-FR" w:bidi="fr-FR"/>
        </w:rPr>
        <w:t> </w:t>
      </w:r>
      <w:r>
        <w:rPr>
          <w:rStyle w:val="Appelnotedebasdep"/>
          <w:lang w:eastAsia="fr-FR" w:bidi="fr-FR"/>
        </w:rPr>
        <w:footnoteReference w:id="95"/>
      </w:r>
      <w:r w:rsidRPr="00D2217B">
        <w:rPr>
          <w:lang w:eastAsia="fr-FR" w:bidi="fr-FR"/>
        </w:rPr>
        <w:t xml:space="preserve">. </w:t>
      </w:r>
      <w:r>
        <w:rPr>
          <w:lang w:eastAsia="fr-FR" w:bidi="fr-FR"/>
        </w:rPr>
        <w:t>À</w:t>
      </w:r>
      <w:r w:rsidRPr="00D2217B">
        <w:rPr>
          <w:lang w:eastAsia="fr-FR" w:bidi="fr-FR"/>
        </w:rPr>
        <w:t xml:space="preserve"> l’inverse, elle a pu</w:t>
      </w:r>
      <w:r>
        <w:t xml:space="preserve"> [49] </w:t>
      </w:r>
      <w:r w:rsidRPr="00D2217B">
        <w:rPr>
          <w:lang w:eastAsia="fr-FR" w:bidi="fr-FR"/>
        </w:rPr>
        <w:t>parfois se heurter à des obst</w:t>
      </w:r>
      <w:r w:rsidRPr="00D2217B">
        <w:rPr>
          <w:lang w:eastAsia="fr-FR" w:bidi="fr-FR"/>
        </w:rPr>
        <w:t>a</w:t>
      </w:r>
      <w:r w:rsidRPr="00D2217B">
        <w:rPr>
          <w:lang w:eastAsia="fr-FR" w:bidi="fr-FR"/>
        </w:rPr>
        <w:t>cles. Ainsi, le président Lyndon Johnson a cru, pendant un temps, r</w:t>
      </w:r>
      <w:r w:rsidRPr="00D2217B">
        <w:rPr>
          <w:lang w:eastAsia="fr-FR" w:bidi="fr-FR"/>
        </w:rPr>
        <w:t>é</w:t>
      </w:r>
      <w:r w:rsidRPr="00D2217B">
        <w:rPr>
          <w:lang w:eastAsia="fr-FR" w:bidi="fr-FR"/>
        </w:rPr>
        <w:t>gler la question du Vietnam du Sud avec un co</w:t>
      </w:r>
      <w:r w:rsidRPr="00D2217B">
        <w:rPr>
          <w:lang w:eastAsia="fr-FR" w:bidi="fr-FR"/>
        </w:rPr>
        <w:t>û</w:t>
      </w:r>
      <w:r w:rsidRPr="00D2217B">
        <w:rPr>
          <w:lang w:eastAsia="fr-FR" w:bidi="fr-FR"/>
        </w:rPr>
        <w:t>teux programme d’infrastructures. Quarante ans plus tard, plusieurs s’étonnent, aux États-Unis, de ce qu’on ait été si peu sens</w:t>
      </w:r>
      <w:r w:rsidRPr="00D2217B">
        <w:rPr>
          <w:lang w:eastAsia="fr-FR" w:bidi="fr-FR"/>
        </w:rPr>
        <w:t>i</w:t>
      </w:r>
      <w:r w:rsidRPr="00D2217B">
        <w:rPr>
          <w:lang w:eastAsia="fr-FR" w:bidi="fr-FR"/>
        </w:rPr>
        <w:t>ble, en Afghanistan et au Pakistan, à la récompense offerte par George W. Bush à celui qui l</w:t>
      </w:r>
      <w:r w:rsidRPr="00D2217B">
        <w:rPr>
          <w:lang w:eastAsia="fr-FR" w:bidi="fr-FR"/>
        </w:rPr>
        <w:t>i</w:t>
      </w:r>
      <w:r w:rsidRPr="00D2217B">
        <w:rPr>
          <w:lang w:eastAsia="fr-FR" w:bidi="fr-FR"/>
        </w:rPr>
        <w:t>vrerait Oussama Ben Laden</w:t>
      </w:r>
      <w:r>
        <w:rPr>
          <w:lang w:eastAsia="fr-FR" w:bidi="fr-FR"/>
        </w:rPr>
        <w:t> </w:t>
      </w:r>
      <w:r>
        <w:rPr>
          <w:rStyle w:val="Appelnotedebasdep"/>
          <w:lang w:eastAsia="fr-FR" w:bidi="fr-FR"/>
        </w:rPr>
        <w:footnoteReference w:id="96"/>
      </w:r>
      <w:r w:rsidRPr="00D2217B">
        <w:rPr>
          <w:lang w:eastAsia="fr-FR" w:bidi="fr-FR"/>
        </w:rPr>
        <w:t>.</w:t>
      </w:r>
    </w:p>
    <w:p w14:paraId="63F4B90A" w14:textId="77777777" w:rsidR="0039793A" w:rsidRPr="00977237" w:rsidRDefault="0039793A" w:rsidP="0039793A">
      <w:pPr>
        <w:jc w:val="both"/>
        <w:rPr>
          <w:sz w:val="20"/>
          <w:lang w:eastAsia="fr-FR" w:bidi="fr-FR"/>
        </w:rPr>
      </w:pPr>
    </w:p>
    <w:p w14:paraId="3E6B90F2" w14:textId="77777777" w:rsidR="0039793A" w:rsidRPr="00A93E36" w:rsidRDefault="0039793A" w:rsidP="0039793A">
      <w:pPr>
        <w:pStyle w:val="b"/>
      </w:pPr>
      <w:r w:rsidRPr="00A93E36">
        <w:rPr>
          <w:lang w:eastAsia="fr-FR" w:bidi="fr-FR"/>
        </w:rPr>
        <w:t>Le rejet de l’histoire</w:t>
      </w:r>
    </w:p>
    <w:p w14:paraId="3FA4655D" w14:textId="77777777" w:rsidR="0039793A" w:rsidRPr="00977237" w:rsidRDefault="0039793A" w:rsidP="0039793A">
      <w:pPr>
        <w:jc w:val="both"/>
        <w:rPr>
          <w:sz w:val="20"/>
          <w:lang w:eastAsia="fr-FR" w:bidi="fr-FR"/>
        </w:rPr>
      </w:pPr>
    </w:p>
    <w:p w14:paraId="20D16546" w14:textId="77777777" w:rsidR="0039793A" w:rsidRPr="00D2217B" w:rsidRDefault="0039793A" w:rsidP="0039793A">
      <w:pPr>
        <w:spacing w:before="120" w:after="120"/>
        <w:jc w:val="both"/>
      </w:pPr>
      <w:r w:rsidRPr="00D2217B">
        <w:rPr>
          <w:lang w:eastAsia="fr-FR" w:bidi="fr-FR"/>
        </w:rPr>
        <w:t xml:space="preserve">Si l’on considère le voyage du </w:t>
      </w:r>
      <w:r w:rsidRPr="00A93E36">
        <w:rPr>
          <w:i/>
          <w:iCs/>
        </w:rPr>
        <w:t>Mayflower</w:t>
      </w:r>
      <w:r w:rsidRPr="00D2217B">
        <w:rPr>
          <w:lang w:eastAsia="fr-FR" w:bidi="fr-FR"/>
        </w:rPr>
        <w:t xml:space="preserve"> comme un modèle, comme un événement fond</w:t>
      </w:r>
      <w:r w:rsidRPr="00D2217B">
        <w:rPr>
          <w:lang w:eastAsia="fr-FR" w:bidi="fr-FR"/>
        </w:rPr>
        <w:t>a</w:t>
      </w:r>
      <w:r w:rsidRPr="00D2217B">
        <w:rPr>
          <w:lang w:eastAsia="fr-FR" w:bidi="fr-FR"/>
        </w:rPr>
        <w:t>teur de la nation américaine, on y trouve encore une attitude bien définie et fort révélatrice</w:t>
      </w:r>
      <w:r w:rsidRPr="00D2217B">
        <w:t> :</w:t>
      </w:r>
      <w:r w:rsidRPr="00D2217B">
        <w:rPr>
          <w:lang w:eastAsia="fr-FR" w:bidi="fr-FR"/>
        </w:rPr>
        <w:t xml:space="preserve"> les pèlerins tou</w:t>
      </w:r>
      <w:r w:rsidRPr="00D2217B">
        <w:rPr>
          <w:lang w:eastAsia="fr-FR" w:bidi="fr-FR"/>
        </w:rPr>
        <w:t>r</w:t>
      </w:r>
      <w:r w:rsidRPr="00D2217B">
        <w:rPr>
          <w:lang w:eastAsia="fr-FR" w:bidi="fr-FR"/>
        </w:rPr>
        <w:t>nent le dos à l’Europe</w:t>
      </w:r>
      <w:r>
        <w:rPr>
          <w:lang w:eastAsia="fr-FR" w:bidi="fr-FR"/>
        </w:rPr>
        <w:t> </w:t>
      </w:r>
      <w:r>
        <w:rPr>
          <w:rStyle w:val="Appelnotedebasdep"/>
          <w:lang w:eastAsia="fr-FR" w:bidi="fr-FR"/>
        </w:rPr>
        <w:footnoteReference w:id="97"/>
      </w:r>
      <w:r w:rsidRPr="00D2217B">
        <w:rPr>
          <w:lang w:eastAsia="fr-FR" w:bidi="fr-FR"/>
        </w:rPr>
        <w:t xml:space="preserve"> et ont le regard tourné vers l’Ouest. L’Europe représente à leurs yeux la décadence, la perversité, la dom</w:t>
      </w:r>
      <w:r w:rsidRPr="00D2217B">
        <w:rPr>
          <w:lang w:eastAsia="fr-FR" w:bidi="fr-FR"/>
        </w:rPr>
        <w:t>i</w:t>
      </w:r>
      <w:r w:rsidRPr="00D2217B">
        <w:rPr>
          <w:lang w:eastAsia="fr-FR" w:bidi="fr-FR"/>
        </w:rPr>
        <w:t>nation et les inégalités sociales, un monde sans espoir. Le fait que ce</w:t>
      </w:r>
      <w:r w:rsidRPr="00D2217B">
        <w:rPr>
          <w:lang w:eastAsia="fr-FR" w:bidi="fr-FR"/>
        </w:rPr>
        <w:t>t</w:t>
      </w:r>
      <w:r w:rsidRPr="00D2217B">
        <w:rPr>
          <w:lang w:eastAsia="fr-FR" w:bidi="fr-FR"/>
        </w:rPr>
        <w:t>te attitude se soit perpétuée, que les vagues de colonisation et d’immigration u</w:t>
      </w:r>
      <w:r w:rsidRPr="00D2217B">
        <w:rPr>
          <w:lang w:eastAsia="fr-FR" w:bidi="fr-FR"/>
        </w:rPr>
        <w:t>l</w:t>
      </w:r>
      <w:r w:rsidRPr="00D2217B">
        <w:rPr>
          <w:lang w:eastAsia="fr-FR" w:bidi="fr-FR"/>
        </w:rPr>
        <w:t>térieures aient répété cette expérience permet de comprendre que pe</w:t>
      </w:r>
      <w:r w:rsidRPr="00D2217B">
        <w:rPr>
          <w:lang w:eastAsia="fr-FR" w:bidi="fr-FR"/>
        </w:rPr>
        <w:t>r</w:t>
      </w:r>
      <w:r w:rsidRPr="00D2217B">
        <w:rPr>
          <w:lang w:eastAsia="fr-FR" w:bidi="fr-FR"/>
        </w:rPr>
        <w:t>dure cette vision plutôt négative de l’Europe, tant chez les dirigeants que dans l’ensemble de la population. Il faut tout</w:t>
      </w:r>
      <w:r w:rsidRPr="00D2217B">
        <w:rPr>
          <w:lang w:eastAsia="fr-FR" w:bidi="fr-FR"/>
        </w:rPr>
        <w:t>e</w:t>
      </w:r>
      <w:r w:rsidRPr="00D2217B">
        <w:rPr>
          <w:lang w:eastAsia="fr-FR" w:bidi="fr-FR"/>
        </w:rPr>
        <w:t>fois mentionner la place privilégiée et paradoxale qu’occupe la Gra</w:t>
      </w:r>
      <w:r w:rsidRPr="00D2217B">
        <w:rPr>
          <w:lang w:eastAsia="fr-FR" w:bidi="fr-FR"/>
        </w:rPr>
        <w:t>n</w:t>
      </w:r>
      <w:r w:rsidRPr="00D2217B">
        <w:rPr>
          <w:lang w:eastAsia="fr-FR" w:bidi="fr-FR"/>
        </w:rPr>
        <w:t>de-Bretagne. Bien que les États-Unis se soient construits contre l’Empire britann</w:t>
      </w:r>
      <w:r w:rsidRPr="00D2217B">
        <w:rPr>
          <w:lang w:eastAsia="fr-FR" w:bidi="fr-FR"/>
        </w:rPr>
        <w:t>i</w:t>
      </w:r>
      <w:r w:rsidRPr="00D2217B">
        <w:rPr>
          <w:lang w:eastAsia="fr-FR" w:bidi="fr-FR"/>
        </w:rPr>
        <w:t>que, ils en sont aujourd’hui toujours très proches. En témoignent d’ailleurs les termes de la Déclar</w:t>
      </w:r>
      <w:r w:rsidRPr="00D2217B">
        <w:rPr>
          <w:lang w:eastAsia="fr-FR" w:bidi="fr-FR"/>
        </w:rPr>
        <w:t>a</w:t>
      </w:r>
      <w:r w:rsidRPr="00D2217B">
        <w:rPr>
          <w:lang w:eastAsia="fr-FR" w:bidi="fr-FR"/>
        </w:rPr>
        <w:t>tion d’indépendance nullement dirigés contre la tradition britannique comme telle, mais bien contre la tyrannie d’un roi. La suite de l’histoire a montré que, le plus souvent, les Amér</w:t>
      </w:r>
      <w:r w:rsidRPr="00D2217B">
        <w:rPr>
          <w:lang w:eastAsia="fr-FR" w:bidi="fr-FR"/>
        </w:rPr>
        <w:t>i</w:t>
      </w:r>
      <w:r w:rsidRPr="00D2217B">
        <w:rPr>
          <w:lang w:eastAsia="fr-FR" w:bidi="fr-FR"/>
        </w:rPr>
        <w:t>cains se sont tro</w:t>
      </w:r>
      <w:r w:rsidRPr="00D2217B">
        <w:rPr>
          <w:lang w:eastAsia="fr-FR" w:bidi="fr-FR"/>
        </w:rPr>
        <w:t>u</w:t>
      </w:r>
      <w:r w:rsidRPr="00D2217B">
        <w:rPr>
          <w:lang w:eastAsia="fr-FR" w:bidi="fr-FR"/>
        </w:rPr>
        <w:t>vés plus à l’aise avec l’ancienne métropole qu’avec les pays du continent européen. Ce rejet de l’Europe s’étend évide</w:t>
      </w:r>
      <w:r w:rsidRPr="00D2217B">
        <w:rPr>
          <w:lang w:eastAsia="fr-FR" w:bidi="fr-FR"/>
        </w:rPr>
        <w:t>m</w:t>
      </w:r>
      <w:r w:rsidRPr="00D2217B">
        <w:rPr>
          <w:lang w:eastAsia="fr-FR" w:bidi="fr-FR"/>
        </w:rPr>
        <w:t>ment à son histoire, jugée peu susceptible d’inspirer le progrès de l’Amérique et de fournir des leçons. Bien plus, c’est l’ensemble de l’Histoire</w:t>
      </w:r>
      <w:r>
        <w:t xml:space="preserve"> [50] </w:t>
      </w:r>
      <w:r w:rsidRPr="00D2217B">
        <w:rPr>
          <w:lang w:eastAsia="fr-FR" w:bidi="fr-FR"/>
        </w:rPr>
        <w:t xml:space="preserve">qu’on a tendance à rejeter, ce qui correspond bien à l’idéal messianique de </w:t>
      </w:r>
      <w:r w:rsidRPr="00D2217B">
        <w:t>« </w:t>
      </w:r>
      <w:r w:rsidRPr="00D2217B">
        <w:rPr>
          <w:lang w:eastAsia="fr-FR" w:bidi="fr-FR"/>
        </w:rPr>
        <w:t>re-fonder le Mo</w:t>
      </w:r>
      <w:r w:rsidRPr="00D2217B">
        <w:rPr>
          <w:lang w:eastAsia="fr-FR" w:bidi="fr-FR"/>
        </w:rPr>
        <w:t>n</w:t>
      </w:r>
      <w:r w:rsidRPr="00D2217B">
        <w:rPr>
          <w:lang w:eastAsia="fr-FR" w:bidi="fr-FR"/>
        </w:rPr>
        <w:t>de</w:t>
      </w:r>
      <w:r w:rsidRPr="00D2217B">
        <w:t> »</w:t>
      </w:r>
      <w:r w:rsidRPr="00D2217B">
        <w:rPr>
          <w:lang w:eastAsia="fr-FR" w:bidi="fr-FR"/>
        </w:rPr>
        <w:t>, de réécrire l’Histoire. Non pas que les États-Unis aient renoncé à toute l’histoire universelle, mais les responsables américains accordent peu de crédit général</w:t>
      </w:r>
      <w:r w:rsidRPr="00D2217B">
        <w:rPr>
          <w:lang w:eastAsia="fr-FR" w:bidi="fr-FR"/>
        </w:rPr>
        <w:t>e</w:t>
      </w:r>
      <w:r w:rsidRPr="00D2217B">
        <w:rPr>
          <w:lang w:eastAsia="fr-FR" w:bidi="fr-FR"/>
        </w:rPr>
        <w:t xml:space="preserve">ment aux </w:t>
      </w:r>
      <w:r w:rsidRPr="00D2217B">
        <w:t>« </w:t>
      </w:r>
      <w:r w:rsidRPr="00D2217B">
        <w:rPr>
          <w:lang w:eastAsia="fr-FR" w:bidi="fr-FR"/>
        </w:rPr>
        <w:t>leçons de l’Histoire</w:t>
      </w:r>
      <w:r w:rsidRPr="00D2217B">
        <w:t> »</w:t>
      </w:r>
      <w:r w:rsidRPr="00D2217B">
        <w:rPr>
          <w:lang w:eastAsia="fr-FR" w:bidi="fr-FR"/>
        </w:rPr>
        <w:t>. Il faut noter d’ailleurs que la futur</w:t>
      </w:r>
      <w:r w:rsidRPr="00D2217B">
        <w:rPr>
          <w:lang w:eastAsia="fr-FR" w:bidi="fr-FR"/>
        </w:rPr>
        <w:t>o</w:t>
      </w:r>
      <w:r w:rsidRPr="00D2217B">
        <w:rPr>
          <w:lang w:eastAsia="fr-FR" w:bidi="fr-FR"/>
        </w:rPr>
        <w:t>logie est plus répandue aux États-Unis qu’ailleurs et que les scie</w:t>
      </w:r>
      <w:r w:rsidRPr="00D2217B">
        <w:rPr>
          <w:lang w:eastAsia="fr-FR" w:bidi="fr-FR"/>
        </w:rPr>
        <w:t>n</w:t>
      </w:r>
      <w:r w:rsidRPr="00D2217B">
        <w:rPr>
          <w:lang w:eastAsia="fr-FR" w:bidi="fr-FR"/>
        </w:rPr>
        <w:t>ces sociales sont nettement plus orientées vers les études empiriques et quantitatives que vers la sociologie historique. Cela est vrai de la pol</w:t>
      </w:r>
      <w:r w:rsidRPr="00D2217B">
        <w:rPr>
          <w:lang w:eastAsia="fr-FR" w:bidi="fr-FR"/>
        </w:rPr>
        <w:t>i</w:t>
      </w:r>
      <w:r w:rsidRPr="00D2217B">
        <w:rPr>
          <w:lang w:eastAsia="fr-FR" w:bidi="fr-FR"/>
        </w:rPr>
        <w:t xml:space="preserve">tique étrangère qui se veut le plus souvent axée sur la </w:t>
      </w:r>
      <w:r w:rsidRPr="00D2217B">
        <w:t>« </w:t>
      </w:r>
      <w:r w:rsidRPr="00D2217B">
        <w:rPr>
          <w:lang w:eastAsia="fr-FR" w:bidi="fr-FR"/>
        </w:rPr>
        <w:t>stabilité</w:t>
      </w:r>
      <w:r w:rsidRPr="00D2217B">
        <w:t> »</w:t>
      </w:r>
      <w:r w:rsidRPr="00D2217B">
        <w:rPr>
          <w:lang w:eastAsia="fr-FR" w:bidi="fr-FR"/>
        </w:rPr>
        <w:t xml:space="preserve"> mais qui s’inspire fort peu de préc</w:t>
      </w:r>
      <w:r w:rsidRPr="00D2217B">
        <w:rPr>
          <w:lang w:eastAsia="fr-FR" w:bidi="fr-FR"/>
        </w:rPr>
        <w:t>é</w:t>
      </w:r>
      <w:r w:rsidRPr="00D2217B">
        <w:rPr>
          <w:lang w:eastAsia="fr-FR" w:bidi="fr-FR"/>
        </w:rPr>
        <w:t>dents tirés de l’histoire universelle, à l’exception toutefois de ceux de l’histoire américaine</w:t>
      </w:r>
      <w:r>
        <w:rPr>
          <w:lang w:eastAsia="fr-FR" w:bidi="fr-FR"/>
        </w:rPr>
        <w:t> </w:t>
      </w:r>
      <w:r>
        <w:rPr>
          <w:rStyle w:val="Appelnotedebasdep"/>
          <w:lang w:eastAsia="fr-FR" w:bidi="fr-FR"/>
        </w:rPr>
        <w:footnoteReference w:id="98"/>
      </w:r>
      <w:r>
        <w:rPr>
          <w:lang w:eastAsia="fr-FR" w:bidi="fr-FR"/>
        </w:rPr>
        <w:t>.</w:t>
      </w:r>
    </w:p>
    <w:p w14:paraId="1C26E2A8" w14:textId="77777777" w:rsidR="0039793A" w:rsidRDefault="0039793A" w:rsidP="0039793A">
      <w:pPr>
        <w:spacing w:before="120" w:after="120"/>
        <w:jc w:val="both"/>
        <w:rPr>
          <w:lang w:eastAsia="fr-FR" w:bidi="fr-FR"/>
        </w:rPr>
      </w:pPr>
    </w:p>
    <w:p w14:paraId="1AD211AA" w14:textId="77777777" w:rsidR="0039793A" w:rsidRPr="00D2217B" w:rsidRDefault="0039793A" w:rsidP="0039793A">
      <w:pPr>
        <w:pStyle w:val="a"/>
      </w:pPr>
      <w:r w:rsidRPr="00D2217B">
        <w:t>Des éléments politiques</w:t>
      </w:r>
    </w:p>
    <w:p w14:paraId="07FC56F1" w14:textId="77777777" w:rsidR="0039793A" w:rsidRDefault="0039793A" w:rsidP="0039793A">
      <w:pPr>
        <w:spacing w:before="120" w:after="120"/>
        <w:jc w:val="both"/>
        <w:rPr>
          <w:lang w:eastAsia="fr-FR" w:bidi="fr-FR"/>
        </w:rPr>
      </w:pPr>
    </w:p>
    <w:p w14:paraId="76A00728" w14:textId="77777777" w:rsidR="0039793A" w:rsidRPr="00D2217B" w:rsidRDefault="0039793A" w:rsidP="0039793A">
      <w:pPr>
        <w:spacing w:before="120" w:after="120"/>
        <w:jc w:val="both"/>
      </w:pPr>
      <w:r w:rsidRPr="00D2217B">
        <w:rPr>
          <w:lang w:eastAsia="fr-FR" w:bidi="fr-FR"/>
        </w:rPr>
        <w:t>Les Américains recourent volontiers à des év</w:t>
      </w:r>
      <w:r w:rsidRPr="00D2217B">
        <w:rPr>
          <w:lang w:eastAsia="fr-FR" w:bidi="fr-FR"/>
        </w:rPr>
        <w:t>é</w:t>
      </w:r>
      <w:r w:rsidRPr="00D2217B">
        <w:rPr>
          <w:lang w:eastAsia="fr-FR" w:bidi="fr-FR"/>
        </w:rPr>
        <w:t xml:space="preserve">nements significatifs de leur histoire devenus, à l’instar de l’épopée du </w:t>
      </w:r>
      <w:r w:rsidRPr="00084602">
        <w:rPr>
          <w:i/>
          <w:iCs/>
        </w:rPr>
        <w:t>Mayflower</w:t>
      </w:r>
      <w:r w:rsidRPr="00D2217B">
        <w:rPr>
          <w:lang w:eastAsia="fr-FR" w:bidi="fr-FR"/>
        </w:rPr>
        <w:t>, des m</w:t>
      </w:r>
      <w:r w:rsidRPr="00D2217B">
        <w:rPr>
          <w:lang w:eastAsia="fr-FR" w:bidi="fr-FR"/>
        </w:rPr>
        <w:t>y</w:t>
      </w:r>
      <w:r w:rsidRPr="00D2217B">
        <w:rPr>
          <w:lang w:eastAsia="fr-FR" w:bidi="fr-FR"/>
        </w:rPr>
        <w:t>thes fondateurs. Ils se réfèrent tout naturellement à de grands doc</w:t>
      </w:r>
      <w:r w:rsidRPr="00D2217B">
        <w:rPr>
          <w:lang w:eastAsia="fr-FR" w:bidi="fr-FR"/>
        </w:rPr>
        <w:t>u</w:t>
      </w:r>
      <w:r w:rsidRPr="00D2217B">
        <w:rPr>
          <w:lang w:eastAsia="fr-FR" w:bidi="fr-FR"/>
        </w:rPr>
        <w:t>ments historiques comme la Déclaration d’indépendance et la Const</w:t>
      </w:r>
      <w:r w:rsidRPr="00D2217B">
        <w:rPr>
          <w:lang w:eastAsia="fr-FR" w:bidi="fr-FR"/>
        </w:rPr>
        <w:t>i</w:t>
      </w:r>
      <w:r w:rsidRPr="00D2217B">
        <w:rPr>
          <w:lang w:eastAsia="fr-FR" w:bidi="fr-FR"/>
        </w:rPr>
        <w:t>tution, mais aussi à une anthologie de discours importants, comme l’adresse de Lincoln à Gettysburg</w:t>
      </w:r>
      <w:r>
        <w:rPr>
          <w:lang w:eastAsia="fr-FR" w:bidi="fr-FR"/>
        </w:rPr>
        <w:t> </w:t>
      </w:r>
      <w:r>
        <w:rPr>
          <w:rStyle w:val="Appelnotedebasdep"/>
          <w:lang w:eastAsia="fr-FR" w:bidi="fr-FR"/>
        </w:rPr>
        <w:footnoteReference w:id="99"/>
      </w:r>
      <w:r w:rsidRPr="00D2217B">
        <w:rPr>
          <w:lang w:eastAsia="fr-FR" w:bidi="fr-FR"/>
        </w:rPr>
        <w:t>.</w:t>
      </w:r>
    </w:p>
    <w:p w14:paraId="743F7ECB" w14:textId="77777777" w:rsidR="0039793A" w:rsidRDefault="0039793A" w:rsidP="0039793A">
      <w:pPr>
        <w:spacing w:before="120" w:after="120"/>
        <w:jc w:val="both"/>
      </w:pPr>
      <w:r>
        <w:t>[51]</w:t>
      </w:r>
    </w:p>
    <w:p w14:paraId="42F015ED" w14:textId="77777777" w:rsidR="0039793A" w:rsidRPr="00D2217B" w:rsidRDefault="0039793A" w:rsidP="0039793A">
      <w:pPr>
        <w:spacing w:before="120" w:after="120"/>
        <w:jc w:val="both"/>
      </w:pPr>
      <w:r w:rsidRPr="00D2217B">
        <w:rPr>
          <w:lang w:eastAsia="fr-FR" w:bidi="fr-FR"/>
        </w:rPr>
        <w:t>Parmi ces discours, il en est un qui constitue une sorte de testament du Père fondateur, le pr</w:t>
      </w:r>
      <w:r w:rsidRPr="00D2217B">
        <w:rPr>
          <w:lang w:eastAsia="fr-FR" w:bidi="fr-FR"/>
        </w:rPr>
        <w:t>e</w:t>
      </w:r>
      <w:r w:rsidRPr="00D2217B">
        <w:rPr>
          <w:lang w:eastAsia="fr-FR" w:bidi="fr-FR"/>
        </w:rPr>
        <w:t>mier président, George Washington</w:t>
      </w:r>
      <w:r w:rsidRPr="00D2217B">
        <w:t> :</w:t>
      </w:r>
      <w:r w:rsidRPr="00D2217B">
        <w:rPr>
          <w:lang w:eastAsia="fr-FR" w:bidi="fr-FR"/>
        </w:rPr>
        <w:t xml:space="preserve"> il s’agit du message d’adieu qu’il a adressé à la nation à l’automne de 1796, après avoir annoncé qu’il ne solliciterait pas un troisième mandat (ce qui est d’ailleurs devenu une tradition, brisée une seule fois par Fra</w:t>
      </w:r>
      <w:r w:rsidRPr="00D2217B">
        <w:rPr>
          <w:lang w:eastAsia="fr-FR" w:bidi="fr-FR"/>
        </w:rPr>
        <w:t>n</w:t>
      </w:r>
      <w:r w:rsidRPr="00D2217B">
        <w:rPr>
          <w:lang w:eastAsia="fr-FR" w:bidi="fr-FR"/>
        </w:rPr>
        <w:t>klin Roosevelt et entérinée par la suite par un amendement constit</w:t>
      </w:r>
      <w:r w:rsidRPr="00D2217B">
        <w:rPr>
          <w:lang w:eastAsia="fr-FR" w:bidi="fr-FR"/>
        </w:rPr>
        <w:t>u</w:t>
      </w:r>
      <w:r w:rsidRPr="00D2217B">
        <w:rPr>
          <w:lang w:eastAsia="fr-FR" w:bidi="fr-FR"/>
        </w:rPr>
        <w:t>tionnel). Ce message est particulièrement révélateur du style national en ce qui a trait à la politique étrangère.</w:t>
      </w:r>
    </w:p>
    <w:p w14:paraId="0F85F965" w14:textId="77777777" w:rsidR="0039793A" w:rsidRDefault="0039793A" w:rsidP="0039793A">
      <w:pPr>
        <w:spacing w:before="120" w:after="120"/>
        <w:jc w:val="both"/>
        <w:rPr>
          <w:lang w:eastAsia="fr-FR" w:bidi="fr-FR"/>
        </w:rPr>
      </w:pPr>
      <w:r>
        <w:rPr>
          <w:lang w:eastAsia="fr-FR" w:bidi="fr-FR"/>
        </w:rPr>
        <w:br w:type="page"/>
      </w:r>
    </w:p>
    <w:p w14:paraId="21BD586E" w14:textId="77777777" w:rsidR="0039793A" w:rsidRPr="00084602" w:rsidRDefault="0039793A" w:rsidP="0039793A">
      <w:pPr>
        <w:pStyle w:val="b"/>
      </w:pPr>
      <w:r w:rsidRPr="00084602">
        <w:rPr>
          <w:lang w:eastAsia="fr-FR" w:bidi="fr-FR"/>
        </w:rPr>
        <w:t>L’isolationnisme</w:t>
      </w:r>
    </w:p>
    <w:p w14:paraId="77F64B66" w14:textId="77777777" w:rsidR="0039793A" w:rsidRDefault="0039793A" w:rsidP="0039793A">
      <w:pPr>
        <w:spacing w:before="120" w:after="120"/>
        <w:jc w:val="both"/>
        <w:rPr>
          <w:lang w:eastAsia="fr-FR" w:bidi="fr-FR"/>
        </w:rPr>
      </w:pPr>
    </w:p>
    <w:p w14:paraId="3EB78749" w14:textId="77777777" w:rsidR="0039793A" w:rsidRPr="00D2217B" w:rsidRDefault="0039793A" w:rsidP="0039793A">
      <w:pPr>
        <w:spacing w:before="120" w:after="120"/>
        <w:jc w:val="both"/>
      </w:pPr>
      <w:r w:rsidRPr="00D2217B">
        <w:rPr>
          <w:lang w:eastAsia="fr-FR" w:bidi="fr-FR"/>
        </w:rPr>
        <w:t>Le second mandat présidentiel de Washington (1793-1797) avait été particulièrement dense en matière de politique étrangère. Il avait notamment donné lieu à d’intenses débats autour de la politique à su</w:t>
      </w:r>
      <w:r w:rsidRPr="00D2217B">
        <w:rPr>
          <w:lang w:eastAsia="fr-FR" w:bidi="fr-FR"/>
        </w:rPr>
        <w:t>i</w:t>
      </w:r>
      <w:r w:rsidRPr="00D2217B">
        <w:rPr>
          <w:lang w:eastAsia="fr-FR" w:bidi="fr-FR"/>
        </w:rPr>
        <w:t>vre à l’égard des grandes puissances e</w:t>
      </w:r>
      <w:r w:rsidRPr="00D2217B">
        <w:rPr>
          <w:lang w:eastAsia="fr-FR" w:bidi="fr-FR"/>
        </w:rPr>
        <w:t>u</w:t>
      </w:r>
      <w:r w:rsidRPr="00D2217B">
        <w:rPr>
          <w:lang w:eastAsia="fr-FR" w:bidi="fr-FR"/>
        </w:rPr>
        <w:t>ropéennes, la France et la Grande-Bretagne. Tandis que la France demeurait un allié en raison de l’alliance conclue au moment de la Révolution, des relations avaient été maintenues avec la Grande-Bretagne. Au moment où l’évolution de la France se faisait incertaine et inquiétante, il apparai</w:t>
      </w:r>
      <w:r w:rsidRPr="00D2217B">
        <w:rPr>
          <w:lang w:eastAsia="fr-FR" w:bidi="fr-FR"/>
        </w:rPr>
        <w:t>s</w:t>
      </w:r>
      <w:r w:rsidRPr="00D2217B">
        <w:rPr>
          <w:lang w:eastAsia="fr-FR" w:bidi="fr-FR"/>
        </w:rPr>
        <w:t>sait nécessaire pour certains, dont le secrétaire au Tr</w:t>
      </w:r>
      <w:r w:rsidRPr="00D2217B">
        <w:rPr>
          <w:lang w:eastAsia="fr-FR" w:bidi="fr-FR"/>
        </w:rPr>
        <w:t>é</w:t>
      </w:r>
      <w:r w:rsidRPr="00D2217B">
        <w:rPr>
          <w:lang w:eastAsia="fr-FR" w:bidi="fr-FR"/>
        </w:rPr>
        <w:t>sor, Alexander Hamilton, de se rapprocher de l’ancienne mère patrie et de s’éloigner de la Fra</w:t>
      </w:r>
      <w:r w:rsidRPr="00D2217B">
        <w:rPr>
          <w:lang w:eastAsia="fr-FR" w:bidi="fr-FR"/>
        </w:rPr>
        <w:t>n</w:t>
      </w:r>
      <w:r w:rsidRPr="00D2217B">
        <w:rPr>
          <w:lang w:eastAsia="fr-FR" w:bidi="fr-FR"/>
        </w:rPr>
        <w:t>ce. Le traité de Jay (1794), portant sur les rapports entre les États-Unis et la colonie britannique du Canada, visait à rétablir de bonnes relations avec la Grande-Bretagne après les querelles territ</w:t>
      </w:r>
      <w:r w:rsidRPr="00D2217B">
        <w:rPr>
          <w:lang w:eastAsia="fr-FR" w:bidi="fr-FR"/>
        </w:rPr>
        <w:t>o</w:t>
      </w:r>
      <w:r w:rsidRPr="00D2217B">
        <w:rPr>
          <w:lang w:eastAsia="fr-FR" w:bidi="fr-FR"/>
        </w:rPr>
        <w:t>riales du Nord-Ouest. Il sera ratifié, non sans mal</w:t>
      </w:r>
      <w:r w:rsidRPr="00D2217B">
        <w:t> :</w:t>
      </w:r>
      <w:r>
        <w:rPr>
          <w:lang w:eastAsia="fr-FR" w:bidi="fr-FR"/>
        </w:rPr>
        <w:t xml:space="preserve"> si H</w:t>
      </w:r>
      <w:r w:rsidRPr="00D2217B">
        <w:rPr>
          <w:lang w:eastAsia="fr-FR" w:bidi="fr-FR"/>
        </w:rPr>
        <w:t>a</w:t>
      </w:r>
      <w:r w:rsidRPr="00D2217B">
        <w:rPr>
          <w:lang w:eastAsia="fr-FR" w:bidi="fr-FR"/>
        </w:rPr>
        <w:t>milton le croit nécessaire, Jefferson par contre s’y oppose farouchement. En effet, si la Grande-Bretagne accepte de se retirer du nord-ouest du pays et d’accorder des compensations aux armateurs américains a</w:t>
      </w:r>
      <w:r>
        <w:rPr>
          <w:lang w:eastAsia="fr-FR" w:bidi="fr-FR"/>
        </w:rPr>
        <w:t>yant sou</w:t>
      </w:r>
      <w:r>
        <w:rPr>
          <w:lang w:eastAsia="fr-FR" w:bidi="fr-FR"/>
        </w:rPr>
        <w:t>f</w:t>
      </w:r>
      <w:r>
        <w:rPr>
          <w:lang w:eastAsia="fr-FR" w:bidi="fr-FR"/>
        </w:rPr>
        <w:t>fert du conflit anglo-</w:t>
      </w:r>
      <w:r w:rsidRPr="00D2217B">
        <w:rPr>
          <w:lang w:eastAsia="fr-FR" w:bidi="fr-FR"/>
        </w:rPr>
        <w:t>français</w:t>
      </w:r>
      <w:r>
        <w:rPr>
          <w:lang w:eastAsia="fr-FR" w:bidi="fr-FR"/>
        </w:rPr>
        <w:t> </w:t>
      </w:r>
      <w:r>
        <w:rPr>
          <w:rStyle w:val="Appelnotedebasdep"/>
          <w:lang w:eastAsia="fr-FR" w:bidi="fr-FR"/>
        </w:rPr>
        <w:footnoteReference w:id="100"/>
      </w:r>
      <w:r>
        <w:rPr>
          <w:lang w:eastAsia="fr-FR" w:bidi="fr-FR"/>
        </w:rPr>
        <w:t>,</w:t>
      </w:r>
      <w:r w:rsidRPr="00D2217B">
        <w:rPr>
          <w:lang w:eastAsia="fr-FR" w:bidi="fr-FR"/>
        </w:rPr>
        <w:t xml:space="preserve"> il reste que les concessions comme</w:t>
      </w:r>
      <w:r w:rsidRPr="00D2217B">
        <w:rPr>
          <w:lang w:eastAsia="fr-FR" w:bidi="fr-FR"/>
        </w:rPr>
        <w:t>r</w:t>
      </w:r>
      <w:r w:rsidRPr="00D2217B">
        <w:rPr>
          <w:lang w:eastAsia="fr-FR" w:bidi="fr-FR"/>
        </w:rPr>
        <w:t>ciales consenties par les États-Unis sont telles quelles sont perçues comme une véritable abdication au profit de l’ancienne puissance c</w:t>
      </w:r>
      <w:r w:rsidRPr="00D2217B">
        <w:rPr>
          <w:lang w:eastAsia="fr-FR" w:bidi="fr-FR"/>
        </w:rPr>
        <w:t>o</w:t>
      </w:r>
      <w:r w:rsidRPr="00D2217B">
        <w:rPr>
          <w:lang w:eastAsia="fr-FR" w:bidi="fr-FR"/>
        </w:rPr>
        <w:t>loniale. Washin</w:t>
      </w:r>
      <w:r w:rsidRPr="00D2217B">
        <w:rPr>
          <w:lang w:eastAsia="fr-FR" w:bidi="fr-FR"/>
        </w:rPr>
        <w:t>g</w:t>
      </w:r>
      <w:r w:rsidRPr="00D2217B">
        <w:rPr>
          <w:lang w:eastAsia="fr-FR" w:bidi="fr-FR"/>
        </w:rPr>
        <w:t>ton, toujours soucieux de préserver l’unité de la jeune République, entend alors rallier l’ensemble de ses compatriotes à une grande orientation de politique étrangère.</w:t>
      </w:r>
    </w:p>
    <w:p w14:paraId="21CDBF7B" w14:textId="77777777" w:rsidR="0039793A" w:rsidRPr="00D2217B" w:rsidRDefault="0039793A" w:rsidP="0039793A">
      <w:pPr>
        <w:spacing w:before="120" w:after="120"/>
        <w:jc w:val="both"/>
      </w:pPr>
      <w:r w:rsidRPr="00D2217B">
        <w:rPr>
          <w:lang w:eastAsia="fr-FR" w:bidi="fr-FR"/>
        </w:rPr>
        <w:t>Selon les termes de Washington</w:t>
      </w:r>
      <w:r w:rsidRPr="00D2217B">
        <w:t> :</w:t>
      </w:r>
    </w:p>
    <w:p w14:paraId="6D37A1DB" w14:textId="77777777" w:rsidR="0039793A" w:rsidRPr="00D2217B" w:rsidRDefault="0039793A" w:rsidP="0039793A">
      <w:pPr>
        <w:spacing w:before="120" w:after="120"/>
        <w:jc w:val="both"/>
      </w:pPr>
      <w:r>
        <w:t>[52]</w:t>
      </w:r>
    </w:p>
    <w:p w14:paraId="0A49360A" w14:textId="77777777" w:rsidR="0039793A" w:rsidRDefault="0039793A" w:rsidP="0039793A">
      <w:pPr>
        <w:pStyle w:val="Grillecouleur-Accent1"/>
      </w:pPr>
      <w:r w:rsidRPr="00D2217B">
        <w:t>« </w:t>
      </w:r>
      <w:r w:rsidRPr="00D2217B">
        <w:rPr>
          <w:lang w:eastAsia="fr-FR" w:bidi="fr-FR"/>
        </w:rPr>
        <w:t>La grande règle de conduite vis-à-vis des n</w:t>
      </w:r>
      <w:r w:rsidRPr="00D2217B">
        <w:rPr>
          <w:lang w:eastAsia="fr-FR" w:bidi="fr-FR"/>
        </w:rPr>
        <w:t>a</w:t>
      </w:r>
      <w:r w:rsidRPr="00D2217B">
        <w:rPr>
          <w:lang w:eastAsia="fr-FR" w:bidi="fr-FR"/>
        </w:rPr>
        <w:t>tions étrangères est, en étendant nos relations commerciales, de n’avoir avec elles qu’aussi peu de liens politiques que possible. [...]. L’Europe a toute une série d’intérêts de premier plan qui ne nous concernent pas ou qui ne nous touchent que de très loin [...]. Pourquoi, en entremêlant notre destinée à celle d’une partie quelconque de l’Europe, empêtrer notre paix et notre prospérité dans les rets de l’ambition, de la rivalité, des int</w:t>
      </w:r>
      <w:r w:rsidRPr="00D2217B">
        <w:rPr>
          <w:lang w:eastAsia="fr-FR" w:bidi="fr-FR"/>
        </w:rPr>
        <w:t>é</w:t>
      </w:r>
      <w:r w:rsidRPr="00D2217B">
        <w:rPr>
          <w:lang w:eastAsia="fr-FR" w:bidi="fr-FR"/>
        </w:rPr>
        <w:t>rêts, des passions ou des caprices européens</w:t>
      </w:r>
      <w:r w:rsidRPr="00D2217B">
        <w:t> ?</w:t>
      </w:r>
      <w:r w:rsidRPr="00D2217B">
        <w:rPr>
          <w:lang w:eastAsia="fr-FR" w:bidi="fr-FR"/>
        </w:rPr>
        <w:t xml:space="preserve"> Notre véritable politique doit être d’éviter les alliances pe</w:t>
      </w:r>
      <w:r w:rsidRPr="00D2217B">
        <w:rPr>
          <w:lang w:eastAsia="fr-FR" w:bidi="fr-FR"/>
        </w:rPr>
        <w:t>r</w:t>
      </w:r>
      <w:r w:rsidRPr="00D2217B">
        <w:rPr>
          <w:lang w:eastAsia="fr-FR" w:bidi="fr-FR"/>
        </w:rPr>
        <w:t>manentes avec quelque partie que ce soit du monde étranger, pour autant que nous ayons a</w:t>
      </w:r>
      <w:r w:rsidRPr="00D2217B">
        <w:rPr>
          <w:lang w:eastAsia="fr-FR" w:bidi="fr-FR"/>
        </w:rPr>
        <w:t>c</w:t>
      </w:r>
      <w:r w:rsidRPr="00D2217B">
        <w:rPr>
          <w:lang w:eastAsia="fr-FR" w:bidi="fr-FR"/>
        </w:rPr>
        <w:t>tuellement la liberté d’agir ainsi</w:t>
      </w:r>
      <w:r w:rsidRPr="00D2217B">
        <w:t> ;</w:t>
      </w:r>
      <w:r w:rsidRPr="00D2217B">
        <w:rPr>
          <w:lang w:eastAsia="fr-FR" w:bidi="fr-FR"/>
        </w:rPr>
        <w:t xml:space="preserve"> car qu’on ne me croit pas capable d’encourager l’infidélité aux e</w:t>
      </w:r>
      <w:r w:rsidRPr="00D2217B">
        <w:rPr>
          <w:lang w:eastAsia="fr-FR" w:bidi="fr-FR"/>
        </w:rPr>
        <w:t>n</w:t>
      </w:r>
      <w:r w:rsidRPr="00D2217B">
        <w:rPr>
          <w:lang w:eastAsia="fr-FR" w:bidi="fr-FR"/>
        </w:rPr>
        <w:t>gagements existants</w:t>
      </w:r>
      <w:r>
        <w:rPr>
          <w:lang w:eastAsia="fr-FR" w:bidi="fr-FR"/>
        </w:rPr>
        <w:t> </w:t>
      </w:r>
      <w:r>
        <w:rPr>
          <w:rStyle w:val="Appelnotedebasdep"/>
          <w:lang w:eastAsia="fr-FR" w:bidi="fr-FR"/>
        </w:rPr>
        <w:footnoteReference w:id="101"/>
      </w:r>
      <w:r w:rsidRPr="00D2217B">
        <w:rPr>
          <w:lang w:eastAsia="fr-FR" w:bidi="fr-FR"/>
        </w:rPr>
        <w:t>.</w:t>
      </w:r>
      <w:r w:rsidRPr="00D2217B">
        <w:t> »</w:t>
      </w:r>
    </w:p>
    <w:p w14:paraId="35AACB44" w14:textId="77777777" w:rsidR="0039793A" w:rsidRPr="00D2217B" w:rsidRDefault="0039793A" w:rsidP="0039793A">
      <w:pPr>
        <w:pStyle w:val="Grillecouleur-Accent1"/>
      </w:pPr>
    </w:p>
    <w:p w14:paraId="7444BAEE" w14:textId="77777777" w:rsidR="0039793A" w:rsidRPr="00D2217B" w:rsidRDefault="0039793A" w:rsidP="0039793A">
      <w:pPr>
        <w:spacing w:before="120" w:after="120"/>
        <w:jc w:val="both"/>
      </w:pPr>
      <w:r w:rsidRPr="00D2217B">
        <w:rPr>
          <w:lang w:eastAsia="fr-FR" w:bidi="fr-FR"/>
        </w:rPr>
        <w:t>Ces consignes ont été souvent interprétées par les historiens et commentateurs comme un vérit</w:t>
      </w:r>
      <w:r w:rsidRPr="00D2217B">
        <w:rPr>
          <w:lang w:eastAsia="fr-FR" w:bidi="fr-FR"/>
        </w:rPr>
        <w:t>a</w:t>
      </w:r>
      <w:r w:rsidRPr="00D2217B">
        <w:rPr>
          <w:lang w:eastAsia="fr-FR" w:bidi="fr-FR"/>
        </w:rPr>
        <w:t>ble programme isolationniste, une nette volonté américaine de ne pas participer à la politique internati</w:t>
      </w:r>
      <w:r w:rsidRPr="00D2217B">
        <w:rPr>
          <w:lang w:eastAsia="fr-FR" w:bidi="fr-FR"/>
        </w:rPr>
        <w:t>o</w:t>
      </w:r>
      <w:r w:rsidRPr="00D2217B">
        <w:rPr>
          <w:lang w:eastAsia="fr-FR" w:bidi="fr-FR"/>
        </w:rPr>
        <w:t>nale qui se jouait alors essentiellement en Europe. Selon cette inte</w:t>
      </w:r>
      <w:r w:rsidRPr="00D2217B">
        <w:rPr>
          <w:lang w:eastAsia="fr-FR" w:bidi="fr-FR"/>
        </w:rPr>
        <w:t>r</w:t>
      </w:r>
      <w:r w:rsidRPr="00D2217B">
        <w:rPr>
          <w:lang w:eastAsia="fr-FR" w:bidi="fr-FR"/>
        </w:rPr>
        <w:t>prétation, encore défendue aujourd’hui par une minorité</w:t>
      </w:r>
      <w:r>
        <w:rPr>
          <w:lang w:eastAsia="fr-FR" w:bidi="fr-FR"/>
        </w:rPr>
        <w:t> </w:t>
      </w:r>
      <w:r>
        <w:rPr>
          <w:rStyle w:val="Appelnotedebasdep"/>
          <w:lang w:eastAsia="fr-FR" w:bidi="fr-FR"/>
        </w:rPr>
        <w:footnoteReference w:id="102"/>
      </w:r>
      <w:r w:rsidRPr="00D2217B">
        <w:rPr>
          <w:lang w:eastAsia="fr-FR" w:bidi="fr-FR"/>
        </w:rPr>
        <w:t>, les États-Unis ont tout à gagner à demeurer à l’écart de la diplomatie europée</w:t>
      </w:r>
      <w:r w:rsidRPr="00D2217B">
        <w:rPr>
          <w:lang w:eastAsia="fr-FR" w:bidi="fr-FR"/>
        </w:rPr>
        <w:t>n</w:t>
      </w:r>
      <w:r w:rsidRPr="00D2217B">
        <w:rPr>
          <w:lang w:eastAsia="fr-FR" w:bidi="fr-FR"/>
        </w:rPr>
        <w:t>ne et, en général, des affaires inte</w:t>
      </w:r>
      <w:r w:rsidRPr="00D2217B">
        <w:rPr>
          <w:lang w:eastAsia="fr-FR" w:bidi="fr-FR"/>
        </w:rPr>
        <w:t>r</w:t>
      </w:r>
      <w:r w:rsidRPr="00D2217B">
        <w:rPr>
          <w:lang w:eastAsia="fr-FR" w:bidi="fr-FR"/>
        </w:rPr>
        <w:t>nationales. Ils doivent plutôt se concentrer sur les affaires proprement américaines, dans l’hémisphère occidental. On a vu dans la doctrine de Monroe de 1823</w:t>
      </w:r>
      <w:r>
        <w:rPr>
          <w:lang w:eastAsia="fr-FR" w:bidi="fr-FR"/>
        </w:rPr>
        <w:t> </w:t>
      </w:r>
      <w:r>
        <w:rPr>
          <w:rStyle w:val="Appelnotedebasdep"/>
          <w:lang w:eastAsia="fr-FR" w:bidi="fr-FR"/>
        </w:rPr>
        <w:footnoteReference w:id="103"/>
      </w:r>
      <w:r w:rsidRPr="00D2217B">
        <w:rPr>
          <w:lang w:eastAsia="fr-FR" w:bidi="fr-FR"/>
        </w:rPr>
        <w:t xml:space="preserve"> un coro</w:t>
      </w:r>
      <w:r w:rsidRPr="00D2217B">
        <w:rPr>
          <w:lang w:eastAsia="fr-FR" w:bidi="fr-FR"/>
        </w:rPr>
        <w:t>l</w:t>
      </w:r>
      <w:r w:rsidRPr="00D2217B">
        <w:rPr>
          <w:lang w:eastAsia="fr-FR" w:bidi="fr-FR"/>
        </w:rPr>
        <w:t>laire de cette politique</w:t>
      </w:r>
      <w:r w:rsidRPr="00D2217B">
        <w:t> :</w:t>
      </w:r>
      <w:r w:rsidRPr="00D2217B">
        <w:rPr>
          <w:lang w:eastAsia="fr-FR" w:bidi="fr-FR"/>
        </w:rPr>
        <w:t xml:space="preserve"> une mise en demeure</w:t>
      </w:r>
      <w:r>
        <w:rPr>
          <w:lang w:eastAsia="fr-FR" w:bidi="fr-FR"/>
        </w:rPr>
        <w:t> </w:t>
      </w:r>
      <w:r>
        <w:rPr>
          <w:rStyle w:val="Appelnotedebasdep"/>
          <w:lang w:eastAsia="fr-FR" w:bidi="fr-FR"/>
        </w:rPr>
        <w:footnoteReference w:id="104"/>
      </w:r>
      <w:r w:rsidRPr="00D2217B">
        <w:rPr>
          <w:lang w:eastAsia="fr-FR" w:bidi="fr-FR"/>
        </w:rPr>
        <w:t xml:space="preserve"> aux puissances eur</w:t>
      </w:r>
      <w:r w:rsidRPr="00D2217B">
        <w:rPr>
          <w:lang w:eastAsia="fr-FR" w:bidi="fr-FR"/>
        </w:rPr>
        <w:t>o</w:t>
      </w:r>
      <w:r w:rsidRPr="00D2217B">
        <w:rPr>
          <w:lang w:eastAsia="fr-FR" w:bidi="fr-FR"/>
        </w:rPr>
        <w:t>péennes d’observer la réciproque, de garder leurs distances par rapport au continent américain. Il est clair que les États-Unis ont dévié à pl</w:t>
      </w:r>
      <w:r w:rsidRPr="00D2217B">
        <w:rPr>
          <w:lang w:eastAsia="fr-FR" w:bidi="fr-FR"/>
        </w:rPr>
        <w:t>u</w:t>
      </w:r>
      <w:r w:rsidRPr="00D2217B">
        <w:rPr>
          <w:lang w:eastAsia="fr-FR" w:bidi="fr-FR"/>
        </w:rPr>
        <w:t>sieurs repr</w:t>
      </w:r>
      <w:r w:rsidRPr="00D2217B">
        <w:rPr>
          <w:lang w:eastAsia="fr-FR" w:bidi="fr-FR"/>
        </w:rPr>
        <w:t>i</w:t>
      </w:r>
      <w:r w:rsidRPr="00D2217B">
        <w:rPr>
          <w:lang w:eastAsia="fr-FR" w:bidi="fr-FR"/>
        </w:rPr>
        <w:t xml:space="preserve">ses, du moins au </w:t>
      </w:r>
      <w:r w:rsidRPr="00D2217B">
        <w:t>XX</w:t>
      </w:r>
      <w:r w:rsidRPr="00D2217B">
        <w:rPr>
          <w:vertAlign w:val="superscript"/>
        </w:rPr>
        <w:t>e</w:t>
      </w:r>
      <w:r w:rsidRPr="00D2217B">
        <w:t xml:space="preserve"> </w:t>
      </w:r>
      <w:r w:rsidRPr="00D2217B">
        <w:rPr>
          <w:lang w:eastAsia="fr-FR" w:bidi="fr-FR"/>
        </w:rPr>
        <w:t>siècle, du mot d’ordre du Père</w:t>
      </w:r>
      <w:r>
        <w:t xml:space="preserve"> [53] </w:t>
      </w:r>
      <w:r w:rsidRPr="00D2217B">
        <w:rPr>
          <w:lang w:eastAsia="fr-FR" w:bidi="fr-FR"/>
        </w:rPr>
        <w:t>fondateur</w:t>
      </w:r>
      <w:r w:rsidRPr="00D2217B">
        <w:t> :</w:t>
      </w:r>
      <w:r w:rsidRPr="00D2217B">
        <w:rPr>
          <w:lang w:eastAsia="fr-FR" w:bidi="fr-FR"/>
        </w:rPr>
        <w:t xml:space="preserve"> d’abord en déclarant la guerre à l’Espagne en 1898</w:t>
      </w:r>
      <w:r>
        <w:rPr>
          <w:lang w:eastAsia="fr-FR" w:bidi="fr-FR"/>
        </w:rPr>
        <w:t> </w:t>
      </w:r>
      <w:r>
        <w:rPr>
          <w:rStyle w:val="Appelnotedebasdep"/>
          <w:lang w:eastAsia="fr-FR" w:bidi="fr-FR"/>
        </w:rPr>
        <w:footnoteReference w:id="105"/>
      </w:r>
      <w:r w:rsidRPr="00D2217B">
        <w:t xml:space="preserve">, </w:t>
      </w:r>
      <w:r w:rsidRPr="00D2217B">
        <w:rPr>
          <w:lang w:eastAsia="fr-FR" w:bidi="fr-FR"/>
        </w:rPr>
        <w:t>ensuite en construisant un véritable empire politique devant durer au moins une dizaine d’années</w:t>
      </w:r>
      <w:r>
        <w:rPr>
          <w:lang w:eastAsia="fr-FR" w:bidi="fr-FR"/>
        </w:rPr>
        <w:t> </w:t>
      </w:r>
      <w:r>
        <w:rPr>
          <w:rStyle w:val="Appelnotedebasdep"/>
          <w:lang w:eastAsia="fr-FR" w:bidi="fr-FR"/>
        </w:rPr>
        <w:footnoteReference w:id="106"/>
      </w:r>
      <w:r w:rsidRPr="00D2217B">
        <w:rPr>
          <w:lang w:eastAsia="fr-FR" w:bidi="fr-FR"/>
        </w:rPr>
        <w:t>, puis en déclarant la guerre à l’Allemagne en 1917 et en proposant une organ</w:t>
      </w:r>
      <w:r w:rsidRPr="00D2217B">
        <w:rPr>
          <w:lang w:eastAsia="fr-FR" w:bidi="fr-FR"/>
        </w:rPr>
        <w:t>i</w:t>
      </w:r>
      <w:r w:rsidRPr="00D2217B">
        <w:rPr>
          <w:lang w:eastAsia="fr-FR" w:bidi="fr-FR"/>
        </w:rPr>
        <w:t>sation internationale en 1919, enfin en s’engageant contre le Japon et l’Allemagne en 1941 et surtout en mettant en œuvre un immense réseau d’alliances</w:t>
      </w:r>
      <w:r>
        <w:rPr>
          <w:lang w:eastAsia="fr-FR" w:bidi="fr-FR"/>
        </w:rPr>
        <w:t> </w:t>
      </w:r>
      <w:r>
        <w:rPr>
          <w:rStyle w:val="Appelnotedebasdep"/>
          <w:lang w:eastAsia="fr-FR" w:bidi="fr-FR"/>
        </w:rPr>
        <w:footnoteReference w:id="107"/>
      </w:r>
      <w:r w:rsidRPr="00D2217B">
        <w:rPr>
          <w:lang w:eastAsia="fr-FR" w:bidi="fr-FR"/>
        </w:rPr>
        <w:t xml:space="preserve"> (dont une alliance proprement eur</w:t>
      </w:r>
      <w:r w:rsidRPr="00D2217B">
        <w:rPr>
          <w:lang w:eastAsia="fr-FR" w:bidi="fr-FR"/>
        </w:rPr>
        <w:t>o</w:t>
      </w:r>
      <w:r w:rsidRPr="00D2217B">
        <w:rPr>
          <w:lang w:eastAsia="fr-FR" w:bidi="fr-FR"/>
        </w:rPr>
        <w:t xml:space="preserve">péenne, </w:t>
      </w:r>
      <w:r w:rsidRPr="00D2217B">
        <w:t xml:space="preserve">l’OTAN) </w:t>
      </w:r>
      <w:r w:rsidRPr="00D2217B">
        <w:rPr>
          <w:lang w:eastAsia="fr-FR" w:bidi="fr-FR"/>
        </w:rPr>
        <w:t>durant la guerre froide. Il est possible d’affiner l’analyse du message en utilisant les données du style national américain. Ainsi, Washington enjoint ses concitoyens et ses succe</w:t>
      </w:r>
      <w:r w:rsidRPr="00D2217B">
        <w:rPr>
          <w:lang w:eastAsia="fr-FR" w:bidi="fr-FR"/>
        </w:rPr>
        <w:t>s</w:t>
      </w:r>
      <w:r w:rsidRPr="00D2217B">
        <w:rPr>
          <w:lang w:eastAsia="fr-FR" w:bidi="fr-FR"/>
        </w:rPr>
        <w:t xml:space="preserve">seurs à n’avoir avec les nations étrangères </w:t>
      </w:r>
      <w:r w:rsidRPr="00D2217B">
        <w:t>« </w:t>
      </w:r>
      <w:r w:rsidRPr="00D2217B">
        <w:rPr>
          <w:lang w:eastAsia="fr-FR" w:bidi="fr-FR"/>
        </w:rPr>
        <w:t xml:space="preserve">qu’aussi peu de liens </w:t>
      </w:r>
      <w:r w:rsidRPr="000E22D8">
        <w:rPr>
          <w:i/>
          <w:iCs/>
        </w:rPr>
        <w:t>politiques</w:t>
      </w:r>
      <w:r w:rsidRPr="00D2217B">
        <w:rPr>
          <w:lang w:eastAsia="fr-FR" w:bidi="fr-FR"/>
        </w:rPr>
        <w:t xml:space="preserve"> que possible.</w:t>
      </w:r>
      <w:r w:rsidRPr="00D2217B">
        <w:t> »</w:t>
      </w:r>
      <w:r w:rsidRPr="00D2217B">
        <w:rPr>
          <w:lang w:eastAsia="fr-FR" w:bidi="fr-FR"/>
        </w:rPr>
        <w:t xml:space="preserve"> Le premier président était assez clairvoyant pour prendre conscience de la nécessité d’une politique étrangère était nécessaire</w:t>
      </w:r>
      <w:r w:rsidRPr="00D2217B">
        <w:t> :</w:t>
      </w:r>
      <w:r w:rsidRPr="00D2217B">
        <w:rPr>
          <w:lang w:eastAsia="fr-FR" w:bidi="fr-FR"/>
        </w:rPr>
        <w:t xml:space="preserve"> la diplomatie, la politique étra</w:t>
      </w:r>
      <w:r w:rsidRPr="00D2217B">
        <w:rPr>
          <w:lang w:eastAsia="fr-FR" w:bidi="fr-FR"/>
        </w:rPr>
        <w:t>n</w:t>
      </w:r>
      <w:r w:rsidRPr="00D2217B">
        <w:rPr>
          <w:lang w:eastAsia="fr-FR" w:bidi="fr-FR"/>
        </w:rPr>
        <w:t>gère, comme la politique interne, forment un mal nécessaire. On pou</w:t>
      </w:r>
      <w:r w:rsidRPr="00D2217B">
        <w:rPr>
          <w:lang w:eastAsia="fr-FR" w:bidi="fr-FR"/>
        </w:rPr>
        <w:t>r</w:t>
      </w:r>
      <w:r w:rsidRPr="00D2217B">
        <w:rPr>
          <w:lang w:eastAsia="fr-FR" w:bidi="fr-FR"/>
        </w:rPr>
        <w:t>rait en conclure que le programme proposé consiste à éviter de s’embourber dans la politique internationale</w:t>
      </w:r>
      <w:r w:rsidRPr="00D2217B">
        <w:t> :</w:t>
      </w:r>
      <w:r w:rsidRPr="00D2217B">
        <w:rPr>
          <w:lang w:eastAsia="fr-FR" w:bidi="fr-FR"/>
        </w:rPr>
        <w:t xml:space="preserve"> s’il devient nécessaire d’y participer, il importe que le pays conserve sa marge de manœuvre, la plus grande liberté possible par rapport au système i</w:t>
      </w:r>
      <w:r w:rsidRPr="00D2217B">
        <w:rPr>
          <w:lang w:eastAsia="fr-FR" w:bidi="fr-FR"/>
        </w:rPr>
        <w:t>n</w:t>
      </w:r>
      <w:r w:rsidRPr="00D2217B">
        <w:rPr>
          <w:lang w:eastAsia="fr-FR" w:bidi="fr-FR"/>
        </w:rPr>
        <w:t>ternational, en d’autres termes sa souveraineté a</w:t>
      </w:r>
      <w:r w:rsidRPr="00D2217B">
        <w:rPr>
          <w:lang w:eastAsia="fr-FR" w:bidi="fr-FR"/>
        </w:rPr>
        <w:t>b</w:t>
      </w:r>
      <w:r w:rsidRPr="00D2217B">
        <w:rPr>
          <w:lang w:eastAsia="fr-FR" w:bidi="fr-FR"/>
        </w:rPr>
        <w:t>solue. Ce sont là des préceptes que la diplomatie américaine a bien souvent observés.</w:t>
      </w:r>
    </w:p>
    <w:p w14:paraId="0BC42464" w14:textId="77777777" w:rsidR="0039793A" w:rsidRPr="00D2217B" w:rsidRDefault="0039793A" w:rsidP="0039793A">
      <w:pPr>
        <w:spacing w:before="120" w:after="120"/>
        <w:jc w:val="both"/>
      </w:pPr>
      <w:r w:rsidRPr="00D2217B">
        <w:rPr>
          <w:lang w:eastAsia="fr-FR" w:bidi="fr-FR"/>
        </w:rPr>
        <w:t>Cela est d’autant plus remarquable que cette même phrase compo</w:t>
      </w:r>
      <w:r w:rsidRPr="00D2217B">
        <w:rPr>
          <w:lang w:eastAsia="fr-FR" w:bidi="fr-FR"/>
        </w:rPr>
        <w:t>r</w:t>
      </w:r>
      <w:r w:rsidRPr="00D2217B">
        <w:rPr>
          <w:lang w:eastAsia="fr-FR" w:bidi="fr-FR"/>
        </w:rPr>
        <w:t>te une sorte de réserve</w:t>
      </w:r>
      <w:r w:rsidRPr="00D2217B">
        <w:t> :</w:t>
      </w:r>
      <w:r w:rsidRPr="00D2217B">
        <w:rPr>
          <w:lang w:eastAsia="fr-FR" w:bidi="fr-FR"/>
        </w:rPr>
        <w:t xml:space="preserve"> tout en se gardant de développer des relations politiques, il s’agit d’étendre les </w:t>
      </w:r>
      <w:r w:rsidRPr="00D2217B">
        <w:t>« </w:t>
      </w:r>
      <w:r w:rsidRPr="00D2217B">
        <w:rPr>
          <w:lang w:eastAsia="fr-FR" w:bidi="fr-FR"/>
        </w:rPr>
        <w:t>relations commerci</w:t>
      </w:r>
      <w:r w:rsidRPr="00D2217B">
        <w:rPr>
          <w:lang w:eastAsia="fr-FR" w:bidi="fr-FR"/>
        </w:rPr>
        <w:t>a</w:t>
      </w:r>
      <w:r w:rsidRPr="00D2217B">
        <w:rPr>
          <w:lang w:eastAsia="fr-FR" w:bidi="fr-FR"/>
        </w:rPr>
        <w:t>les</w:t>
      </w:r>
      <w:r w:rsidRPr="00D2217B">
        <w:t> »</w:t>
      </w:r>
      <w:r w:rsidRPr="00D2217B">
        <w:rPr>
          <w:lang w:eastAsia="fr-FR" w:bidi="fr-FR"/>
        </w:rPr>
        <w:t>. Aussi l’isolationnisme, entendu comme un retrait des activités internation</w:t>
      </w:r>
      <w:r w:rsidRPr="00D2217B">
        <w:rPr>
          <w:lang w:eastAsia="fr-FR" w:bidi="fr-FR"/>
        </w:rPr>
        <w:t>a</w:t>
      </w:r>
      <w:r w:rsidRPr="00D2217B">
        <w:rPr>
          <w:lang w:eastAsia="fr-FR" w:bidi="fr-FR"/>
        </w:rPr>
        <w:t>les, ne sera-t-il le plus souvent pas appliqué au domaine économ</w:t>
      </w:r>
      <w:r w:rsidRPr="00D2217B">
        <w:rPr>
          <w:lang w:eastAsia="fr-FR" w:bidi="fr-FR"/>
        </w:rPr>
        <w:t>i</w:t>
      </w:r>
      <w:r>
        <w:rPr>
          <w:lang w:eastAsia="fr-FR" w:bidi="fr-FR"/>
        </w:rPr>
        <w:t>que. En effet, tout en entrete</w:t>
      </w:r>
      <w:r w:rsidRPr="00D2217B">
        <w:rPr>
          <w:lang w:eastAsia="fr-FR" w:bidi="fr-FR"/>
        </w:rPr>
        <w:t>nant</w:t>
      </w:r>
      <w:r>
        <w:t xml:space="preserve"> [54]</w:t>
      </w:r>
      <w:r w:rsidRPr="00D2217B">
        <w:rPr>
          <w:lang w:eastAsia="fr-FR" w:bidi="fr-FR"/>
        </w:rPr>
        <w:t xml:space="preserve"> aussi peu de relations politiques que possible avec les autres nations, les États-Unis étendront leurs rel</w:t>
      </w:r>
      <w:r w:rsidRPr="00D2217B">
        <w:rPr>
          <w:lang w:eastAsia="fr-FR" w:bidi="fr-FR"/>
        </w:rPr>
        <w:t>a</w:t>
      </w:r>
      <w:r w:rsidRPr="00D2217B">
        <w:rPr>
          <w:lang w:eastAsia="fr-FR" w:bidi="fr-FR"/>
        </w:rPr>
        <w:t>tions commerciales à travers le monde. Cette dimension économique est donc un élément essentiel et récurrent de la politique étrangère am</w:t>
      </w:r>
      <w:r w:rsidRPr="00D2217B">
        <w:rPr>
          <w:lang w:eastAsia="fr-FR" w:bidi="fr-FR"/>
        </w:rPr>
        <w:t>é</w:t>
      </w:r>
      <w:r w:rsidRPr="00D2217B">
        <w:rPr>
          <w:lang w:eastAsia="fr-FR" w:bidi="fr-FR"/>
        </w:rPr>
        <w:t>ricaine. Les propos de Washington sont également empreints d’une attitude plutôt négative à l’égard de l’Europe et du type de d</w:t>
      </w:r>
      <w:r w:rsidRPr="00D2217B">
        <w:rPr>
          <w:lang w:eastAsia="fr-FR" w:bidi="fr-FR"/>
        </w:rPr>
        <w:t>i</w:t>
      </w:r>
      <w:r w:rsidRPr="00D2217B">
        <w:rPr>
          <w:lang w:eastAsia="fr-FR" w:bidi="fr-FR"/>
        </w:rPr>
        <w:t>plomatie qui s’y pratique. Wa</w:t>
      </w:r>
      <w:r w:rsidRPr="00D2217B">
        <w:rPr>
          <w:lang w:eastAsia="fr-FR" w:bidi="fr-FR"/>
        </w:rPr>
        <w:t>s</w:t>
      </w:r>
      <w:r w:rsidRPr="00D2217B">
        <w:rPr>
          <w:lang w:eastAsia="fr-FR" w:bidi="fr-FR"/>
        </w:rPr>
        <w:t>hington note d’abord sur un ton neutre que les intérêts des Eur</w:t>
      </w:r>
      <w:r w:rsidRPr="00D2217B">
        <w:rPr>
          <w:lang w:eastAsia="fr-FR" w:bidi="fr-FR"/>
        </w:rPr>
        <w:t>o</w:t>
      </w:r>
      <w:r w:rsidRPr="00D2217B">
        <w:rPr>
          <w:lang w:eastAsia="fr-FR" w:bidi="fr-FR"/>
        </w:rPr>
        <w:t xml:space="preserve">péens ne concernent pas l’Amérique et ne la </w:t>
      </w:r>
      <w:r w:rsidRPr="00D2217B">
        <w:t>« </w:t>
      </w:r>
      <w:r w:rsidRPr="00D2217B">
        <w:rPr>
          <w:lang w:eastAsia="fr-FR" w:bidi="fr-FR"/>
        </w:rPr>
        <w:t>touchent que de très loin</w:t>
      </w:r>
      <w:r w:rsidRPr="00D2217B">
        <w:t> »</w:t>
      </w:r>
      <w:r w:rsidRPr="00D2217B">
        <w:rPr>
          <w:lang w:eastAsia="fr-FR" w:bidi="fr-FR"/>
        </w:rPr>
        <w:t>. Il se fait ensuite plus spécifique et met en garde ses concitoyens contre les travers de la diplomatie europée</w:t>
      </w:r>
      <w:r w:rsidRPr="00D2217B">
        <w:rPr>
          <w:lang w:eastAsia="fr-FR" w:bidi="fr-FR"/>
        </w:rPr>
        <w:t>n</w:t>
      </w:r>
      <w:r w:rsidRPr="00D2217B">
        <w:rPr>
          <w:lang w:eastAsia="fr-FR" w:bidi="fr-FR"/>
        </w:rPr>
        <w:t>ne</w:t>
      </w:r>
      <w:r w:rsidRPr="00D2217B">
        <w:t> :</w:t>
      </w:r>
      <w:r w:rsidRPr="00D2217B">
        <w:rPr>
          <w:lang w:eastAsia="fr-FR" w:bidi="fr-FR"/>
        </w:rPr>
        <w:t xml:space="preserve"> </w:t>
      </w:r>
      <w:r w:rsidRPr="00D2217B">
        <w:t>« </w:t>
      </w:r>
      <w:r w:rsidRPr="00D2217B">
        <w:rPr>
          <w:lang w:eastAsia="fr-FR" w:bidi="fr-FR"/>
        </w:rPr>
        <w:t>les rets de l’ambition, de la rivalité, des intérêts, des passions ou des caprices eur</w:t>
      </w:r>
      <w:r w:rsidRPr="00D2217B">
        <w:rPr>
          <w:lang w:eastAsia="fr-FR" w:bidi="fr-FR"/>
        </w:rPr>
        <w:t>o</w:t>
      </w:r>
      <w:r w:rsidRPr="00D2217B">
        <w:rPr>
          <w:lang w:eastAsia="fr-FR" w:bidi="fr-FR"/>
        </w:rPr>
        <w:t>péens</w:t>
      </w:r>
      <w:r w:rsidRPr="00D2217B">
        <w:t> »</w:t>
      </w:r>
      <w:r w:rsidRPr="00D2217B">
        <w:rPr>
          <w:lang w:eastAsia="fr-FR" w:bidi="fr-FR"/>
        </w:rPr>
        <w:t>. Voilà bien le rejet de toute une tradition de politique étrangère fondée sur la puissance et sur la raison d’État. Les États-Unis d’Amérique, fondés sur une morale politique nouvelle j</w:t>
      </w:r>
      <w:r w:rsidRPr="00D2217B">
        <w:rPr>
          <w:lang w:eastAsia="fr-FR" w:bidi="fr-FR"/>
        </w:rPr>
        <w:t>a</w:t>
      </w:r>
      <w:r w:rsidRPr="00D2217B">
        <w:rPr>
          <w:lang w:eastAsia="fr-FR" w:bidi="fr-FR"/>
        </w:rPr>
        <w:t>mais encore mise en œuvre, sur un grand idéal hum</w:t>
      </w:r>
      <w:r w:rsidRPr="00D2217B">
        <w:rPr>
          <w:lang w:eastAsia="fr-FR" w:bidi="fr-FR"/>
        </w:rPr>
        <w:t>a</w:t>
      </w:r>
      <w:r w:rsidRPr="00D2217B">
        <w:rPr>
          <w:lang w:eastAsia="fr-FR" w:bidi="fr-FR"/>
        </w:rPr>
        <w:t xml:space="preserve">niste, sur le </w:t>
      </w:r>
      <w:r w:rsidRPr="00D2217B">
        <w:t>« </w:t>
      </w:r>
      <w:r w:rsidRPr="00D2217B">
        <w:rPr>
          <w:lang w:eastAsia="fr-FR" w:bidi="fr-FR"/>
        </w:rPr>
        <w:t>recommencement du monde</w:t>
      </w:r>
      <w:r w:rsidRPr="00D2217B">
        <w:t> »</w:t>
      </w:r>
      <w:r w:rsidRPr="00D2217B">
        <w:rPr>
          <w:lang w:eastAsia="fr-FR" w:bidi="fr-FR"/>
        </w:rPr>
        <w:t>, s’appliqueront à transcender cette politique traditionnelle de jeux de puissance, de rivalités et de dup</w:t>
      </w:r>
      <w:r w:rsidRPr="00D2217B">
        <w:rPr>
          <w:lang w:eastAsia="fr-FR" w:bidi="fr-FR"/>
        </w:rPr>
        <w:t>e</w:t>
      </w:r>
      <w:r w:rsidRPr="00D2217B">
        <w:rPr>
          <w:lang w:eastAsia="fr-FR" w:bidi="fr-FR"/>
        </w:rPr>
        <w:t>ries. Alors même que Woodrow Wilson s’engage sur la scène intern</w:t>
      </w:r>
      <w:r w:rsidRPr="00D2217B">
        <w:rPr>
          <w:lang w:eastAsia="fr-FR" w:bidi="fr-FR"/>
        </w:rPr>
        <w:t>a</w:t>
      </w:r>
      <w:r w:rsidRPr="00D2217B">
        <w:rPr>
          <w:lang w:eastAsia="fr-FR" w:bidi="fr-FR"/>
        </w:rPr>
        <w:t>tionale, au cœur m</w:t>
      </w:r>
      <w:r w:rsidRPr="00D2217B">
        <w:rPr>
          <w:lang w:eastAsia="fr-FR" w:bidi="fr-FR"/>
        </w:rPr>
        <w:t>ê</w:t>
      </w:r>
      <w:r w:rsidRPr="00D2217B">
        <w:rPr>
          <w:lang w:eastAsia="fr-FR" w:bidi="fr-FR"/>
        </w:rPr>
        <w:t>me du système européen au moment de la paix de Versailles, il cherche encore, fidèle à l’idéal américain, à faire oublier une histoire européenne rejetée d</w:t>
      </w:r>
      <w:r w:rsidRPr="00D2217B">
        <w:rPr>
          <w:lang w:eastAsia="fr-FR" w:bidi="fr-FR"/>
        </w:rPr>
        <w:t>e</w:t>
      </w:r>
      <w:r w:rsidRPr="00D2217B">
        <w:rPr>
          <w:lang w:eastAsia="fr-FR" w:bidi="fr-FR"/>
        </w:rPr>
        <w:t>puis longtemps par les Américains.</w:t>
      </w:r>
    </w:p>
    <w:p w14:paraId="7EB4C167" w14:textId="77777777" w:rsidR="0039793A" w:rsidRDefault="0039793A" w:rsidP="0039793A">
      <w:pPr>
        <w:spacing w:before="120" w:after="120"/>
        <w:jc w:val="both"/>
        <w:rPr>
          <w:lang w:eastAsia="fr-FR" w:bidi="fr-FR"/>
        </w:rPr>
      </w:pPr>
    </w:p>
    <w:p w14:paraId="776C8BA5" w14:textId="77777777" w:rsidR="0039793A" w:rsidRPr="000E22D8" w:rsidRDefault="0039793A" w:rsidP="0039793A">
      <w:pPr>
        <w:pStyle w:val="b"/>
      </w:pPr>
      <w:r w:rsidRPr="000E22D8">
        <w:rPr>
          <w:lang w:eastAsia="fr-FR" w:bidi="fr-FR"/>
        </w:rPr>
        <w:t>Le souverainisme</w:t>
      </w:r>
    </w:p>
    <w:p w14:paraId="1A362344" w14:textId="77777777" w:rsidR="0039793A" w:rsidRDefault="0039793A" w:rsidP="0039793A">
      <w:pPr>
        <w:spacing w:before="120" w:after="120"/>
        <w:jc w:val="both"/>
        <w:rPr>
          <w:lang w:eastAsia="fr-FR" w:bidi="fr-FR"/>
        </w:rPr>
      </w:pPr>
    </w:p>
    <w:p w14:paraId="29F3B7F4" w14:textId="77777777" w:rsidR="0039793A" w:rsidRPr="00D2217B" w:rsidRDefault="0039793A" w:rsidP="0039793A">
      <w:pPr>
        <w:spacing w:before="120" w:after="120"/>
        <w:jc w:val="both"/>
      </w:pPr>
      <w:r w:rsidRPr="00D2217B">
        <w:rPr>
          <w:lang w:eastAsia="fr-FR" w:bidi="fr-FR"/>
        </w:rPr>
        <w:t>On pourrait voir dans les propos de Washington une affirmation de la pureté de l’Amérique. Il e</w:t>
      </w:r>
      <w:r w:rsidRPr="00D2217B">
        <w:rPr>
          <w:lang w:eastAsia="fr-FR" w:bidi="fr-FR"/>
        </w:rPr>
        <w:t>n</w:t>
      </w:r>
      <w:r w:rsidRPr="00D2217B">
        <w:rPr>
          <w:lang w:eastAsia="fr-FR" w:bidi="fr-FR"/>
        </w:rPr>
        <w:t xml:space="preserve">joint ses concitoyens à ne pas se laisser </w:t>
      </w:r>
      <w:r w:rsidRPr="00D2217B">
        <w:t>« </w:t>
      </w:r>
      <w:r w:rsidRPr="00D2217B">
        <w:rPr>
          <w:lang w:eastAsia="fr-FR" w:bidi="fr-FR"/>
        </w:rPr>
        <w:t>contaminer</w:t>
      </w:r>
      <w:r w:rsidRPr="00D2217B">
        <w:t> »</w:t>
      </w:r>
      <w:r w:rsidRPr="00D2217B">
        <w:rPr>
          <w:lang w:eastAsia="fr-FR" w:bidi="fr-FR"/>
        </w:rPr>
        <w:t xml:space="preserve"> par un monde extérieur </w:t>
      </w:r>
      <w:r w:rsidRPr="00D2217B">
        <w:t>« </w:t>
      </w:r>
      <w:r w:rsidRPr="00D2217B">
        <w:rPr>
          <w:lang w:eastAsia="fr-FR" w:bidi="fr-FR"/>
        </w:rPr>
        <w:t>impur</w:t>
      </w:r>
      <w:r w:rsidRPr="00D2217B">
        <w:t> »</w:t>
      </w:r>
      <w:r w:rsidRPr="00D2217B">
        <w:rPr>
          <w:lang w:eastAsia="fr-FR" w:bidi="fr-FR"/>
        </w:rPr>
        <w:t>. Il affirme d’ailleurs dans ce même message, et sur une note rousseauiste, que les vertus républicaines doivent être préservées de la menace extérie</w:t>
      </w:r>
      <w:r w:rsidRPr="00D2217B">
        <w:rPr>
          <w:lang w:eastAsia="fr-FR" w:bidi="fr-FR"/>
        </w:rPr>
        <w:t>u</w:t>
      </w:r>
      <w:r w:rsidRPr="00D2217B">
        <w:rPr>
          <w:lang w:eastAsia="fr-FR" w:bidi="fr-FR"/>
        </w:rPr>
        <w:t>re</w:t>
      </w:r>
      <w:r w:rsidRPr="00D2217B">
        <w:t> :</w:t>
      </w:r>
      <w:r w:rsidRPr="00D2217B">
        <w:rPr>
          <w:lang w:eastAsia="fr-FR" w:bidi="fr-FR"/>
        </w:rPr>
        <w:t xml:space="preserve"> </w:t>
      </w:r>
      <w:r w:rsidRPr="00D2217B">
        <w:t>« </w:t>
      </w:r>
      <w:r w:rsidRPr="00D2217B">
        <w:rPr>
          <w:lang w:eastAsia="fr-FR" w:bidi="fr-FR"/>
        </w:rPr>
        <w:t xml:space="preserve">Contre les artifices insidieux de l’influence étrangère, l’esprit jaloux d’un peuple libre doit être </w:t>
      </w:r>
      <w:r w:rsidRPr="000E22D8">
        <w:rPr>
          <w:i/>
          <w:iCs/>
        </w:rPr>
        <w:t>constamment</w:t>
      </w:r>
      <w:r w:rsidRPr="00D2217B">
        <w:rPr>
          <w:lang w:eastAsia="fr-FR" w:bidi="fr-FR"/>
        </w:rPr>
        <w:t xml:space="preserve"> en éveil, l’histoire et l’expérience prouvant que l’influence étrangère est un des e</w:t>
      </w:r>
      <w:r w:rsidRPr="00D2217B">
        <w:rPr>
          <w:lang w:eastAsia="fr-FR" w:bidi="fr-FR"/>
        </w:rPr>
        <w:t>n</w:t>
      </w:r>
      <w:r w:rsidRPr="00D2217B">
        <w:rPr>
          <w:lang w:eastAsia="fr-FR" w:bidi="fr-FR"/>
        </w:rPr>
        <w:t>nemis les plus funestes du gouvernement républ</w:t>
      </w:r>
      <w:r w:rsidRPr="00D2217B">
        <w:rPr>
          <w:lang w:eastAsia="fr-FR" w:bidi="fr-FR"/>
        </w:rPr>
        <w:t>i</w:t>
      </w:r>
      <w:r w:rsidRPr="00D2217B">
        <w:rPr>
          <w:lang w:eastAsia="fr-FR" w:bidi="fr-FR"/>
        </w:rPr>
        <w:t>cain</w:t>
      </w:r>
      <w:r>
        <w:rPr>
          <w:lang w:eastAsia="fr-FR" w:bidi="fr-FR"/>
        </w:rPr>
        <w:t> </w:t>
      </w:r>
      <w:r>
        <w:rPr>
          <w:rStyle w:val="Appelnotedebasdep"/>
          <w:lang w:eastAsia="fr-FR" w:bidi="fr-FR"/>
        </w:rPr>
        <w:footnoteReference w:id="108"/>
      </w:r>
      <w:r w:rsidRPr="00D2217B">
        <w:t>. »</w:t>
      </w:r>
      <w:r w:rsidRPr="00D2217B">
        <w:rPr>
          <w:lang w:eastAsia="fr-FR" w:bidi="fr-FR"/>
        </w:rPr>
        <w:t xml:space="preserve"> C’est là un premier effet de cette con</w:t>
      </w:r>
      <w:r w:rsidRPr="00D2217B">
        <w:rPr>
          <w:lang w:eastAsia="fr-FR" w:bidi="fr-FR"/>
        </w:rPr>
        <w:t>s</w:t>
      </w:r>
      <w:r w:rsidRPr="00D2217B">
        <w:rPr>
          <w:lang w:eastAsia="fr-FR" w:bidi="fr-FR"/>
        </w:rPr>
        <w:t>cience de constituer une humanité nouvelle. Avec le temps, cependant, un second effet tout aussi r</w:t>
      </w:r>
      <w:r w:rsidRPr="00D2217B">
        <w:rPr>
          <w:lang w:eastAsia="fr-FR" w:bidi="fr-FR"/>
        </w:rPr>
        <w:t>é</w:t>
      </w:r>
      <w:r w:rsidRPr="00D2217B">
        <w:rPr>
          <w:lang w:eastAsia="fr-FR" w:bidi="fr-FR"/>
        </w:rPr>
        <w:t xml:space="preserve">vélateur peut se traduire dans un comportement missionnaire. On pourrait dire que les </w:t>
      </w:r>
      <w:r w:rsidRPr="00D2217B">
        <w:t>« </w:t>
      </w:r>
      <w:r w:rsidRPr="00D2217B">
        <w:rPr>
          <w:lang w:eastAsia="fr-FR" w:bidi="fr-FR"/>
        </w:rPr>
        <w:t>purs</w:t>
      </w:r>
      <w:r w:rsidRPr="00D2217B">
        <w:t> »</w:t>
      </w:r>
      <w:r w:rsidRPr="00D2217B">
        <w:rPr>
          <w:lang w:eastAsia="fr-FR" w:bidi="fr-FR"/>
        </w:rPr>
        <w:t xml:space="preserve"> Américains sont demeurés à l’écart du monde tout au</w:t>
      </w:r>
      <w:r>
        <w:t xml:space="preserve"> [55] </w:t>
      </w:r>
      <w:r w:rsidRPr="00D2217B">
        <w:rPr>
          <w:lang w:eastAsia="fr-FR" w:bidi="fr-FR"/>
        </w:rPr>
        <w:t>long du XIX</w:t>
      </w:r>
      <w:r w:rsidRPr="00D2217B">
        <w:rPr>
          <w:vertAlign w:val="superscript"/>
          <w:lang w:eastAsia="fr-FR" w:bidi="fr-FR"/>
        </w:rPr>
        <w:t>e</w:t>
      </w:r>
      <w:r w:rsidRPr="00D2217B">
        <w:rPr>
          <w:lang w:eastAsia="fr-FR" w:bidi="fr-FR"/>
        </w:rPr>
        <w:t xml:space="preserve"> siècle, tandis qu’ils se sont donné au cours du XX</w:t>
      </w:r>
      <w:r w:rsidRPr="00D2217B">
        <w:rPr>
          <w:vertAlign w:val="superscript"/>
          <w:lang w:eastAsia="fr-FR" w:bidi="fr-FR"/>
        </w:rPr>
        <w:t>e</w:t>
      </w:r>
      <w:r w:rsidRPr="00D2217B">
        <w:rPr>
          <w:lang w:eastAsia="fr-FR" w:bidi="fr-FR"/>
        </w:rPr>
        <w:t xml:space="preserve"> siècle (à l’exception toutefois de l’Entre-deux-guerres) la mission de convertir le monde.</w:t>
      </w:r>
    </w:p>
    <w:p w14:paraId="05E4D3BA" w14:textId="77777777" w:rsidR="0039793A" w:rsidRPr="00D2217B" w:rsidRDefault="0039793A" w:rsidP="0039793A">
      <w:pPr>
        <w:spacing w:before="120" w:after="120"/>
        <w:jc w:val="both"/>
      </w:pPr>
      <w:r w:rsidRPr="00D2217B">
        <w:rPr>
          <w:lang w:eastAsia="fr-FR" w:bidi="fr-FR"/>
        </w:rPr>
        <w:t xml:space="preserve">En tout état de cause, les </w:t>
      </w:r>
      <w:r>
        <w:rPr>
          <w:lang w:eastAsia="fr-FR" w:bidi="fr-FR"/>
        </w:rPr>
        <w:t>État</w:t>
      </w:r>
      <w:r w:rsidRPr="00D2217B">
        <w:rPr>
          <w:lang w:eastAsia="fr-FR" w:bidi="fr-FR"/>
        </w:rPr>
        <w:t>s-Unis sont demeurés fidèles à la r</w:t>
      </w:r>
      <w:r w:rsidRPr="00D2217B">
        <w:rPr>
          <w:lang w:eastAsia="fr-FR" w:bidi="fr-FR"/>
        </w:rPr>
        <w:t>è</w:t>
      </w:r>
      <w:r w:rsidRPr="00D2217B">
        <w:rPr>
          <w:lang w:eastAsia="fr-FR" w:bidi="fr-FR"/>
        </w:rPr>
        <w:t>gle de Washington en matière d’alliances. Cela est vrai, tout au moins, si on e</w:t>
      </w:r>
      <w:r w:rsidRPr="00D2217B">
        <w:rPr>
          <w:lang w:eastAsia="fr-FR" w:bidi="fr-FR"/>
        </w:rPr>
        <w:t>n</w:t>
      </w:r>
      <w:r w:rsidRPr="00D2217B">
        <w:rPr>
          <w:lang w:eastAsia="fr-FR" w:bidi="fr-FR"/>
        </w:rPr>
        <w:t xml:space="preserve">tend l’expression </w:t>
      </w:r>
      <w:r w:rsidRPr="00D2217B">
        <w:t>« </w:t>
      </w:r>
      <w:r w:rsidRPr="00D2217B">
        <w:rPr>
          <w:lang w:eastAsia="fr-FR" w:bidi="fr-FR"/>
        </w:rPr>
        <w:t>alliances permanentes</w:t>
      </w:r>
      <w:r w:rsidRPr="00D2217B">
        <w:t> »</w:t>
      </w:r>
      <w:r w:rsidRPr="00D2217B">
        <w:rPr>
          <w:lang w:eastAsia="fr-FR" w:bidi="fr-FR"/>
        </w:rPr>
        <w:t xml:space="preserve"> au sens d’alliances contraignantes altérant la souv</w:t>
      </w:r>
      <w:r w:rsidRPr="00D2217B">
        <w:rPr>
          <w:lang w:eastAsia="fr-FR" w:bidi="fr-FR"/>
        </w:rPr>
        <w:t>e</w:t>
      </w:r>
      <w:r w:rsidRPr="00D2217B">
        <w:rPr>
          <w:lang w:eastAsia="fr-FR" w:bidi="fr-FR"/>
        </w:rPr>
        <w:t xml:space="preserve">raineté américaine. En effet, les </w:t>
      </w:r>
      <w:r>
        <w:rPr>
          <w:lang w:eastAsia="fr-FR" w:bidi="fr-FR"/>
        </w:rPr>
        <w:t>État</w:t>
      </w:r>
      <w:r w:rsidRPr="00D2217B">
        <w:rPr>
          <w:lang w:eastAsia="fr-FR" w:bidi="fr-FR"/>
        </w:rPr>
        <w:t>s-Unis n’ont jamais été membres d’une alliance qu’ils n’ont pas contr</w:t>
      </w:r>
      <w:r w:rsidRPr="00D2217B">
        <w:rPr>
          <w:lang w:eastAsia="fr-FR" w:bidi="fr-FR"/>
        </w:rPr>
        <w:t>ô</w:t>
      </w:r>
      <w:r w:rsidRPr="00D2217B">
        <w:rPr>
          <w:lang w:eastAsia="fr-FR" w:bidi="fr-FR"/>
        </w:rPr>
        <w:t>lée.</w:t>
      </w:r>
    </w:p>
    <w:p w14:paraId="369B3002" w14:textId="77777777" w:rsidR="0039793A" w:rsidRPr="00D2217B" w:rsidRDefault="0039793A" w:rsidP="0039793A">
      <w:pPr>
        <w:spacing w:before="120" w:after="120"/>
        <w:jc w:val="both"/>
      </w:pPr>
      <w:r w:rsidRPr="00D2217B">
        <w:rPr>
          <w:lang w:eastAsia="fr-FR" w:bidi="fr-FR"/>
        </w:rPr>
        <w:t>Pour l’historien Burton Ira Kaufman, ce message d’adieu n’est a</w:t>
      </w:r>
      <w:r w:rsidRPr="00D2217B">
        <w:rPr>
          <w:lang w:eastAsia="fr-FR" w:bidi="fr-FR"/>
        </w:rPr>
        <w:t>u</w:t>
      </w:r>
      <w:r w:rsidRPr="00D2217B">
        <w:rPr>
          <w:lang w:eastAsia="fr-FR" w:bidi="fr-FR"/>
        </w:rPr>
        <w:t>tre qu’un énoncé impérial. S</w:t>
      </w:r>
      <w:r w:rsidRPr="00D2217B">
        <w:rPr>
          <w:lang w:eastAsia="fr-FR" w:bidi="fr-FR"/>
        </w:rPr>
        <w:t>e</w:t>
      </w:r>
      <w:r w:rsidRPr="00D2217B">
        <w:rPr>
          <w:lang w:eastAsia="fr-FR" w:bidi="fr-FR"/>
        </w:rPr>
        <w:t>lon lui, Washington était demeuré un grand adm</w:t>
      </w:r>
      <w:r w:rsidRPr="00D2217B">
        <w:rPr>
          <w:lang w:eastAsia="fr-FR" w:bidi="fr-FR"/>
        </w:rPr>
        <w:t>i</w:t>
      </w:r>
      <w:r w:rsidRPr="00D2217B">
        <w:rPr>
          <w:lang w:eastAsia="fr-FR" w:bidi="fr-FR"/>
        </w:rPr>
        <w:t>rateur du système impérial britannique et n’aurait eu d’autre ambition que de créer un système se</w:t>
      </w:r>
      <w:r w:rsidRPr="00D2217B">
        <w:rPr>
          <w:lang w:eastAsia="fr-FR" w:bidi="fr-FR"/>
        </w:rPr>
        <w:t>m</w:t>
      </w:r>
      <w:r w:rsidRPr="00D2217B">
        <w:rPr>
          <w:lang w:eastAsia="fr-FR" w:bidi="fr-FR"/>
        </w:rPr>
        <w:t xml:space="preserve">blable en Amérique. En d’autres termes, les </w:t>
      </w:r>
      <w:r>
        <w:rPr>
          <w:lang w:eastAsia="fr-FR" w:bidi="fr-FR"/>
        </w:rPr>
        <w:t>État</w:t>
      </w:r>
      <w:r w:rsidRPr="00D2217B">
        <w:rPr>
          <w:lang w:eastAsia="fr-FR" w:bidi="fr-FR"/>
        </w:rPr>
        <w:t>s-Unis auraient acquis leur indépendance, pour Washington, Hamilton et les membres du Parti f</w:t>
      </w:r>
      <w:r w:rsidRPr="00D2217B">
        <w:rPr>
          <w:lang w:eastAsia="fr-FR" w:bidi="fr-FR"/>
        </w:rPr>
        <w:t>é</w:t>
      </w:r>
      <w:r w:rsidRPr="00D2217B">
        <w:rPr>
          <w:lang w:eastAsia="fr-FR" w:bidi="fr-FR"/>
        </w:rPr>
        <w:t>déraliste, en vue de prendre la relève de l’Empire. Selon Kaufman, la substitution de la Constitution aux articles de la Confédération de 1777 n’aurait eu d’autre sens que d’établir les bases de cet emp</w:t>
      </w:r>
      <w:r w:rsidRPr="00D2217B">
        <w:rPr>
          <w:lang w:eastAsia="fr-FR" w:bidi="fr-FR"/>
        </w:rPr>
        <w:t>i</w:t>
      </w:r>
      <w:r w:rsidRPr="00D2217B">
        <w:rPr>
          <w:lang w:eastAsia="fr-FR" w:bidi="fr-FR"/>
        </w:rPr>
        <w:t>re. Dans une lettre aux marchands de Philadelphie en 1783, Washington écrivait</w:t>
      </w:r>
      <w:r w:rsidRPr="00D2217B">
        <w:t> :</w:t>
      </w:r>
      <w:r w:rsidRPr="00D2217B">
        <w:rPr>
          <w:lang w:eastAsia="fr-FR" w:bidi="fr-FR"/>
        </w:rPr>
        <w:t xml:space="preserve"> </w:t>
      </w:r>
      <w:r w:rsidRPr="00D2217B">
        <w:t>« </w:t>
      </w:r>
      <w:r w:rsidRPr="00D2217B">
        <w:rPr>
          <w:lang w:eastAsia="fr-FR" w:bidi="fr-FR"/>
        </w:rPr>
        <w:t>Nous pouvons nous flatter déjà que le jour n’est pas loin où un sage et juste système politique sera adopté par ch</w:t>
      </w:r>
      <w:r w:rsidRPr="00D2217B">
        <w:rPr>
          <w:lang w:eastAsia="fr-FR" w:bidi="fr-FR"/>
        </w:rPr>
        <w:t>a</w:t>
      </w:r>
      <w:r w:rsidRPr="00D2217B">
        <w:rPr>
          <w:lang w:eastAsia="fr-FR" w:bidi="fr-FR"/>
        </w:rPr>
        <w:t xml:space="preserve">cun des </w:t>
      </w:r>
      <w:r>
        <w:rPr>
          <w:lang w:eastAsia="fr-FR" w:bidi="fr-FR"/>
        </w:rPr>
        <w:t>État</w:t>
      </w:r>
      <w:r w:rsidRPr="00D2217B">
        <w:rPr>
          <w:lang w:eastAsia="fr-FR" w:bidi="fr-FR"/>
        </w:rPr>
        <w:t>s de cette Union</w:t>
      </w:r>
      <w:r w:rsidRPr="00D2217B">
        <w:t> :</w:t>
      </w:r>
      <w:r w:rsidRPr="00D2217B">
        <w:rPr>
          <w:lang w:eastAsia="fr-FR" w:bidi="fr-FR"/>
        </w:rPr>
        <w:t xml:space="preserve"> alors [...] les vertus du commerce seront répandues et notre Empire nouvellement formé sera appuyé</w:t>
      </w:r>
      <w:r>
        <w:rPr>
          <w:lang w:eastAsia="fr-FR" w:bidi="fr-FR"/>
        </w:rPr>
        <w:t> </w:t>
      </w:r>
      <w:r>
        <w:rPr>
          <w:rStyle w:val="Appelnotedebasdep"/>
          <w:lang w:eastAsia="fr-FR" w:bidi="fr-FR"/>
        </w:rPr>
        <w:footnoteReference w:id="109"/>
      </w:r>
      <w:r w:rsidRPr="00D2217B">
        <w:t> »</w:t>
      </w:r>
      <w:r w:rsidRPr="00D2217B">
        <w:rPr>
          <w:lang w:eastAsia="fr-FR" w:bidi="fr-FR"/>
        </w:rPr>
        <w:t xml:space="preserve"> Dès le début de son mandat, le premier président aurait imaginé l’Amérique devenir </w:t>
      </w:r>
      <w:r w:rsidRPr="00D2217B">
        <w:t>« </w:t>
      </w:r>
      <w:r w:rsidRPr="00D2217B">
        <w:rPr>
          <w:lang w:eastAsia="fr-FR" w:bidi="fr-FR"/>
        </w:rPr>
        <w:t>l’entrepôt et le grenier du monde</w:t>
      </w:r>
      <w:r>
        <w:rPr>
          <w:lang w:eastAsia="fr-FR" w:bidi="fr-FR"/>
        </w:rPr>
        <w:t> </w:t>
      </w:r>
      <w:r>
        <w:rPr>
          <w:rStyle w:val="Appelnotedebasdep"/>
          <w:lang w:eastAsia="fr-FR" w:bidi="fr-FR"/>
        </w:rPr>
        <w:footnoteReference w:id="110"/>
      </w:r>
      <w:r w:rsidRPr="00D2217B">
        <w:t> »</w:t>
      </w:r>
      <w:r w:rsidRPr="00D2217B">
        <w:rPr>
          <w:lang w:eastAsia="fr-FR" w:bidi="fr-FR"/>
        </w:rPr>
        <w:t xml:space="preserve">. Il envisageait déjà l’immensité du territoire qui allait conférer des avantages exceptionnels aux </w:t>
      </w:r>
      <w:r>
        <w:rPr>
          <w:lang w:eastAsia="fr-FR" w:bidi="fr-FR"/>
        </w:rPr>
        <w:t>État</w:t>
      </w:r>
      <w:r w:rsidRPr="00D2217B">
        <w:rPr>
          <w:lang w:eastAsia="fr-FR" w:bidi="fr-FR"/>
        </w:rPr>
        <w:t>s-Unis</w:t>
      </w:r>
      <w:r w:rsidRPr="00D2217B">
        <w:t> :</w:t>
      </w:r>
      <w:r w:rsidRPr="00D2217B">
        <w:rPr>
          <w:lang w:eastAsia="fr-FR" w:bidi="fr-FR"/>
        </w:rPr>
        <w:t xml:space="preserve"> </w:t>
      </w:r>
      <w:r w:rsidRPr="00D2217B">
        <w:t>« </w:t>
      </w:r>
      <w:r w:rsidRPr="00D2217B">
        <w:rPr>
          <w:lang w:eastAsia="fr-FR" w:bidi="fr-FR"/>
        </w:rPr>
        <w:t>Les circonstances naturelles, politiques et morales de notre empire nai</w:t>
      </w:r>
      <w:r w:rsidRPr="00D2217B">
        <w:rPr>
          <w:lang w:eastAsia="fr-FR" w:bidi="fr-FR"/>
        </w:rPr>
        <w:t>s</w:t>
      </w:r>
      <w:r w:rsidRPr="00D2217B">
        <w:rPr>
          <w:lang w:eastAsia="fr-FR" w:bidi="fr-FR"/>
        </w:rPr>
        <w:t>sant justifient l’anticipation</w:t>
      </w:r>
      <w:r>
        <w:rPr>
          <w:lang w:eastAsia="fr-FR" w:bidi="fr-FR"/>
        </w:rPr>
        <w:t> </w:t>
      </w:r>
      <w:r>
        <w:rPr>
          <w:rStyle w:val="Appelnotedebasdep"/>
          <w:lang w:eastAsia="fr-FR" w:bidi="fr-FR"/>
        </w:rPr>
        <w:footnoteReference w:id="111"/>
      </w:r>
      <w:r w:rsidRPr="00D2217B">
        <w:rPr>
          <w:lang w:eastAsia="fr-FR" w:bidi="fr-FR"/>
        </w:rPr>
        <w:t>.</w:t>
      </w:r>
      <w:r w:rsidRPr="00D2217B">
        <w:t> »</w:t>
      </w:r>
      <w:r w:rsidRPr="00D2217B">
        <w:rPr>
          <w:lang w:eastAsia="fr-FR" w:bidi="fr-FR"/>
        </w:rPr>
        <w:t xml:space="preserve"> Il considérait son pays béni par la Prov</w:t>
      </w:r>
      <w:r w:rsidRPr="00D2217B">
        <w:rPr>
          <w:lang w:eastAsia="fr-FR" w:bidi="fr-FR"/>
        </w:rPr>
        <w:t>i</w:t>
      </w:r>
      <w:r w:rsidRPr="00D2217B">
        <w:rPr>
          <w:lang w:eastAsia="fr-FR" w:bidi="fr-FR"/>
        </w:rPr>
        <w:t>dence, en comparaison des nations européennes en proie à la tourme</w:t>
      </w:r>
      <w:r w:rsidRPr="00D2217B">
        <w:rPr>
          <w:lang w:eastAsia="fr-FR" w:bidi="fr-FR"/>
        </w:rPr>
        <w:t>n</w:t>
      </w:r>
      <w:r w:rsidRPr="00D2217B">
        <w:rPr>
          <w:lang w:eastAsia="fr-FR" w:bidi="fr-FR"/>
        </w:rPr>
        <w:t>te. Dans cette perspective, selon Kaufman, Washington se rendait compte qu’il fallait du temps à cet empire pour se développer et</w:t>
      </w:r>
      <w:r>
        <w:t xml:space="preserve"> [56] </w:t>
      </w:r>
      <w:r w:rsidRPr="00D2217B">
        <w:rPr>
          <w:lang w:eastAsia="fr-FR" w:bidi="fr-FR"/>
        </w:rPr>
        <w:t>vraiment prendre la relève de la Grande-Bretagne. Selon toute une école d’historiens am</w:t>
      </w:r>
      <w:r w:rsidRPr="00D2217B">
        <w:rPr>
          <w:lang w:eastAsia="fr-FR" w:bidi="fr-FR"/>
        </w:rPr>
        <w:t>é</w:t>
      </w:r>
      <w:r w:rsidRPr="00D2217B">
        <w:rPr>
          <w:lang w:eastAsia="fr-FR" w:bidi="fr-FR"/>
        </w:rPr>
        <w:t xml:space="preserve">ricains dits </w:t>
      </w:r>
      <w:r w:rsidRPr="00D2217B">
        <w:t>« </w:t>
      </w:r>
      <w:r w:rsidRPr="00D2217B">
        <w:rPr>
          <w:lang w:eastAsia="fr-FR" w:bidi="fr-FR"/>
        </w:rPr>
        <w:t>révisionnistes</w:t>
      </w:r>
      <w:r>
        <w:rPr>
          <w:lang w:eastAsia="fr-FR" w:bidi="fr-FR"/>
        </w:rPr>
        <w:t> </w:t>
      </w:r>
      <w:r>
        <w:rPr>
          <w:rStyle w:val="Appelnotedebasdep"/>
          <w:lang w:eastAsia="fr-FR" w:bidi="fr-FR"/>
        </w:rPr>
        <w:footnoteReference w:id="112"/>
      </w:r>
      <w:r w:rsidRPr="00D2217B">
        <w:t> »</w:t>
      </w:r>
      <w:r w:rsidRPr="00D2217B">
        <w:rPr>
          <w:lang w:eastAsia="fr-FR" w:bidi="fr-FR"/>
        </w:rPr>
        <w:t xml:space="preserve">, l’isolationnisme du </w:t>
      </w:r>
      <w:r w:rsidRPr="00D2217B">
        <w:t>XIX</w:t>
      </w:r>
      <w:r w:rsidRPr="00D2217B">
        <w:rPr>
          <w:vertAlign w:val="superscript"/>
        </w:rPr>
        <w:t>e</w:t>
      </w:r>
      <w:r w:rsidRPr="00D2217B">
        <w:t xml:space="preserve"> </w:t>
      </w:r>
      <w:r w:rsidRPr="00D2217B">
        <w:rPr>
          <w:lang w:eastAsia="fr-FR" w:bidi="fr-FR"/>
        </w:rPr>
        <w:t>siècle n’était qu’une préparation en vue de fonder l’Empire américain dès 1898. Quel que soit le bien-fondé de cette thèse, il est certain que l’expansionnisme a caractérisé le premier siècle de la R</w:t>
      </w:r>
      <w:r w:rsidRPr="00D2217B">
        <w:rPr>
          <w:lang w:eastAsia="fr-FR" w:bidi="fr-FR"/>
        </w:rPr>
        <w:t>é</w:t>
      </w:r>
      <w:r w:rsidRPr="00D2217B">
        <w:rPr>
          <w:lang w:eastAsia="fr-FR" w:bidi="fr-FR"/>
        </w:rPr>
        <w:t>publique américaine. Cet expansionnisme s’est réalisé sous le signe d’une mission provide</w:t>
      </w:r>
      <w:r w:rsidRPr="00D2217B">
        <w:rPr>
          <w:lang w:eastAsia="fr-FR" w:bidi="fr-FR"/>
        </w:rPr>
        <w:t>n</w:t>
      </w:r>
      <w:r w:rsidRPr="00D2217B">
        <w:rPr>
          <w:lang w:eastAsia="fr-FR" w:bidi="fr-FR"/>
        </w:rPr>
        <w:t>tielle et d’un exceptionnalisme qui caractérise e</w:t>
      </w:r>
      <w:r w:rsidRPr="00D2217B">
        <w:rPr>
          <w:lang w:eastAsia="fr-FR" w:bidi="fr-FR"/>
        </w:rPr>
        <w:t>n</w:t>
      </w:r>
      <w:r w:rsidRPr="00D2217B">
        <w:rPr>
          <w:lang w:eastAsia="fr-FR" w:bidi="fr-FR"/>
        </w:rPr>
        <w:t>core la politique étrangère des États-Unis.</w:t>
      </w:r>
    </w:p>
    <w:p w14:paraId="7A8D815C" w14:textId="77777777" w:rsidR="0039793A" w:rsidRDefault="0039793A" w:rsidP="0039793A">
      <w:pPr>
        <w:spacing w:before="120" w:after="120"/>
        <w:jc w:val="both"/>
        <w:rPr>
          <w:lang w:eastAsia="fr-FR" w:bidi="fr-FR"/>
        </w:rPr>
      </w:pPr>
    </w:p>
    <w:p w14:paraId="21A88EF3" w14:textId="77777777" w:rsidR="0039793A" w:rsidRPr="000B574C" w:rsidRDefault="0039793A" w:rsidP="0039793A">
      <w:pPr>
        <w:pStyle w:val="planche"/>
      </w:pPr>
      <w:bookmarkStart w:id="10" w:name="Pol_EU_pt_1_chap_02_2"/>
      <w:r w:rsidRPr="000B574C">
        <w:rPr>
          <w:lang w:eastAsia="fr-FR" w:bidi="fr-FR"/>
        </w:rPr>
        <w:t>Les tendances profondes du style national</w:t>
      </w:r>
    </w:p>
    <w:bookmarkEnd w:id="10"/>
    <w:p w14:paraId="5A80C2BD" w14:textId="77777777" w:rsidR="0039793A" w:rsidRDefault="0039793A" w:rsidP="0039793A">
      <w:pPr>
        <w:spacing w:before="120" w:after="120"/>
        <w:jc w:val="both"/>
        <w:rPr>
          <w:lang w:eastAsia="fr-FR" w:bidi="fr-FR"/>
        </w:rPr>
      </w:pPr>
    </w:p>
    <w:p w14:paraId="18BBAAEC"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7298E68A" w14:textId="77777777" w:rsidR="0039793A" w:rsidRPr="00D2217B" w:rsidRDefault="0039793A" w:rsidP="0039793A">
      <w:pPr>
        <w:spacing w:before="120" w:after="120"/>
        <w:jc w:val="both"/>
      </w:pPr>
      <w:r w:rsidRPr="00D2217B">
        <w:rPr>
          <w:lang w:eastAsia="fr-FR" w:bidi="fr-FR"/>
        </w:rPr>
        <w:t>Le style national s’articule autour de deux grandes tendances, pr</w:t>
      </w:r>
      <w:r w:rsidRPr="00D2217B">
        <w:rPr>
          <w:lang w:eastAsia="fr-FR" w:bidi="fr-FR"/>
        </w:rPr>
        <w:t>o</w:t>
      </w:r>
      <w:r w:rsidRPr="00D2217B">
        <w:rPr>
          <w:lang w:eastAsia="fr-FR" w:bidi="fr-FR"/>
        </w:rPr>
        <w:t>fondément enracinées dans l’histoire du pays. La destinée, manifeste d’une part, représente un sentiment d’appartenance à un peuple investi d’une mission quasi divine. La pe</w:t>
      </w:r>
      <w:r w:rsidRPr="00D2217B">
        <w:rPr>
          <w:lang w:eastAsia="fr-FR" w:bidi="fr-FR"/>
        </w:rPr>
        <w:t>n</w:t>
      </w:r>
      <w:r w:rsidRPr="00D2217B">
        <w:rPr>
          <w:lang w:eastAsia="fr-FR" w:bidi="fr-FR"/>
        </w:rPr>
        <w:t>sée, experte d’autre part, constitue l’extraordinaire prégnance de la technologie dans l’univers polit</w:t>
      </w:r>
      <w:r w:rsidRPr="00D2217B">
        <w:rPr>
          <w:lang w:eastAsia="fr-FR" w:bidi="fr-FR"/>
        </w:rPr>
        <w:t>i</w:t>
      </w:r>
      <w:r w:rsidRPr="00D2217B">
        <w:rPr>
          <w:lang w:eastAsia="fr-FR" w:bidi="fr-FR"/>
        </w:rPr>
        <w:t>que et social américain.</w:t>
      </w:r>
    </w:p>
    <w:p w14:paraId="6ED12EEC" w14:textId="77777777" w:rsidR="0039793A" w:rsidRDefault="0039793A" w:rsidP="0039793A">
      <w:pPr>
        <w:spacing w:before="120" w:after="120"/>
        <w:jc w:val="both"/>
        <w:rPr>
          <w:lang w:eastAsia="fr-FR" w:bidi="fr-FR"/>
        </w:rPr>
      </w:pPr>
    </w:p>
    <w:p w14:paraId="6A01F810" w14:textId="77777777" w:rsidR="0039793A" w:rsidRPr="00D2217B" w:rsidRDefault="0039793A" w:rsidP="0039793A">
      <w:pPr>
        <w:pStyle w:val="a"/>
      </w:pPr>
      <w:r w:rsidRPr="00D2217B">
        <w:t>La destinée manifeste</w:t>
      </w:r>
    </w:p>
    <w:p w14:paraId="6896600B" w14:textId="77777777" w:rsidR="0039793A" w:rsidRDefault="0039793A" w:rsidP="0039793A">
      <w:pPr>
        <w:spacing w:before="120" w:after="120"/>
        <w:jc w:val="both"/>
        <w:rPr>
          <w:lang w:eastAsia="fr-FR" w:bidi="fr-FR"/>
        </w:rPr>
      </w:pPr>
    </w:p>
    <w:p w14:paraId="6BEF64DA" w14:textId="77777777" w:rsidR="0039793A" w:rsidRPr="00D2217B" w:rsidRDefault="0039793A" w:rsidP="0039793A">
      <w:pPr>
        <w:spacing w:before="120" w:after="120"/>
        <w:jc w:val="both"/>
      </w:pPr>
      <w:r w:rsidRPr="00D2217B">
        <w:rPr>
          <w:lang w:eastAsia="fr-FR" w:bidi="fr-FR"/>
        </w:rPr>
        <w:t xml:space="preserve">C’est en 1845, dans un article signé par John L. O’Sullivan dans </w:t>
      </w:r>
      <w:r w:rsidRPr="000B574C">
        <w:rPr>
          <w:i/>
          <w:iCs/>
        </w:rPr>
        <w:t>The Democratic Review</w:t>
      </w:r>
      <w:r w:rsidRPr="00D2217B">
        <w:rPr>
          <w:lang w:eastAsia="fr-FR" w:bidi="fr-FR"/>
        </w:rPr>
        <w:t xml:space="preserve"> qu’apparaît l’expression </w:t>
      </w:r>
      <w:r w:rsidRPr="000B574C">
        <w:rPr>
          <w:i/>
          <w:iCs/>
        </w:rPr>
        <w:t>Manifest Destiny</w:t>
      </w:r>
      <w:r w:rsidRPr="00D2217B">
        <w:t> :</w:t>
      </w:r>
      <w:r w:rsidRPr="00D2217B">
        <w:rPr>
          <w:lang w:eastAsia="fr-FR" w:bidi="fr-FR"/>
        </w:rPr>
        <w:t xml:space="preserve"> </w:t>
      </w:r>
      <w:r w:rsidRPr="00D2217B">
        <w:t>« </w:t>
      </w:r>
      <w:r w:rsidRPr="00D2217B">
        <w:rPr>
          <w:lang w:eastAsia="fr-FR" w:bidi="fr-FR"/>
        </w:rPr>
        <w:t>C’est manifestement notre destinée, écrit l’auteur, de nous répandre sur le continent que la Providence nous a alloué pour y assurer le libre développement d’une population qui, chaque année, se mu</w:t>
      </w:r>
      <w:r w:rsidRPr="00D2217B">
        <w:rPr>
          <w:lang w:eastAsia="fr-FR" w:bidi="fr-FR"/>
        </w:rPr>
        <w:t>l</w:t>
      </w:r>
      <w:r w:rsidRPr="00D2217B">
        <w:rPr>
          <w:lang w:eastAsia="fr-FR" w:bidi="fr-FR"/>
        </w:rPr>
        <w:t>tiplie comme par millions</w:t>
      </w:r>
      <w:r>
        <w:rPr>
          <w:lang w:eastAsia="fr-FR" w:bidi="fr-FR"/>
        </w:rPr>
        <w:t> </w:t>
      </w:r>
      <w:r>
        <w:rPr>
          <w:rStyle w:val="Appelnotedebasdep"/>
          <w:lang w:eastAsia="fr-FR" w:bidi="fr-FR"/>
        </w:rPr>
        <w:footnoteReference w:id="113"/>
      </w:r>
      <w:r w:rsidRPr="00D2217B">
        <w:rPr>
          <w:lang w:eastAsia="fr-FR" w:bidi="fr-FR"/>
        </w:rPr>
        <w:t>.</w:t>
      </w:r>
      <w:r w:rsidRPr="00D2217B">
        <w:t> »</w:t>
      </w:r>
      <w:r w:rsidRPr="00D2217B">
        <w:rPr>
          <w:lang w:eastAsia="fr-FR" w:bidi="fr-FR"/>
        </w:rPr>
        <w:t xml:space="preserve"> Déjà, tout particulièrement durant la péri</w:t>
      </w:r>
      <w:r w:rsidRPr="00D2217B">
        <w:rPr>
          <w:lang w:eastAsia="fr-FR" w:bidi="fr-FR"/>
        </w:rPr>
        <w:t>o</w:t>
      </w:r>
      <w:r w:rsidRPr="00D2217B">
        <w:rPr>
          <w:lang w:eastAsia="fr-FR" w:bidi="fr-FR"/>
        </w:rPr>
        <w:t>de de l’indépendance, alors que la nation américaine prenait vraiment naissance, se développait la perception d’un peuple sp</w:t>
      </w:r>
      <w:r w:rsidRPr="00D2217B">
        <w:rPr>
          <w:lang w:eastAsia="fr-FR" w:bidi="fr-FR"/>
        </w:rPr>
        <w:t>é</w:t>
      </w:r>
      <w:r w:rsidRPr="00D2217B">
        <w:rPr>
          <w:lang w:eastAsia="fr-FR" w:bidi="fr-FR"/>
        </w:rPr>
        <w:t>cial, investi d’une mission providentielle et se d</w:t>
      </w:r>
      <w:r w:rsidRPr="00D2217B">
        <w:rPr>
          <w:lang w:eastAsia="fr-FR" w:bidi="fr-FR"/>
        </w:rPr>
        <w:t>é</w:t>
      </w:r>
      <w:r w:rsidRPr="00D2217B">
        <w:rPr>
          <w:lang w:eastAsia="fr-FR" w:bidi="fr-FR"/>
        </w:rPr>
        <w:t>veloppant selon un processus qui n’avait rien à voir avec les nations traditionnelles. La nouvelle nation américaine, selon une croyance très répa</w:t>
      </w:r>
      <w:r w:rsidRPr="00D2217B">
        <w:rPr>
          <w:lang w:eastAsia="fr-FR" w:bidi="fr-FR"/>
        </w:rPr>
        <w:t>n</w:t>
      </w:r>
      <w:r w:rsidRPr="00D2217B">
        <w:rPr>
          <w:lang w:eastAsia="fr-FR" w:bidi="fr-FR"/>
        </w:rPr>
        <w:t>due aux États-Unis et qui fait l’objet d’une grande fierté, était façonnée non plus selon les</w:t>
      </w:r>
      <w:r>
        <w:t xml:space="preserve"> [57] </w:t>
      </w:r>
      <w:r w:rsidRPr="00D2217B">
        <w:rPr>
          <w:lang w:eastAsia="fr-FR" w:bidi="fr-FR"/>
        </w:rPr>
        <w:t>aléas des regroupements ethniques, culturels ou religieux, mais con</w:t>
      </w:r>
      <w:r w:rsidRPr="00D2217B">
        <w:rPr>
          <w:lang w:eastAsia="fr-FR" w:bidi="fr-FR"/>
        </w:rPr>
        <w:t>s</w:t>
      </w:r>
      <w:r w:rsidRPr="00D2217B">
        <w:rPr>
          <w:lang w:eastAsia="fr-FR" w:bidi="fr-FR"/>
        </w:rPr>
        <w:t>truite autour des grands princ</w:t>
      </w:r>
      <w:r w:rsidRPr="00D2217B">
        <w:rPr>
          <w:lang w:eastAsia="fr-FR" w:bidi="fr-FR"/>
        </w:rPr>
        <w:t>i</w:t>
      </w:r>
      <w:r w:rsidRPr="00D2217B">
        <w:rPr>
          <w:lang w:eastAsia="fr-FR" w:bidi="fr-FR"/>
        </w:rPr>
        <w:t>pes de liberté et d’autodétermination. Hector St. John de Crèvecœur écrivait en 1783, après avoir souligné la présence aux États-Unis d’immigrants d’origine anglaise, écossaise, irlandaise, française, hollandaise, all</w:t>
      </w:r>
      <w:r w:rsidRPr="00D2217B">
        <w:rPr>
          <w:lang w:eastAsia="fr-FR" w:bidi="fr-FR"/>
        </w:rPr>
        <w:t>e</w:t>
      </w:r>
      <w:r w:rsidRPr="00D2217B">
        <w:rPr>
          <w:lang w:eastAsia="fr-FR" w:bidi="fr-FR"/>
        </w:rPr>
        <w:t>mande et suédoise</w:t>
      </w:r>
      <w:r w:rsidRPr="00D2217B">
        <w:t> :</w:t>
      </w:r>
      <w:r w:rsidRPr="00D2217B">
        <w:rPr>
          <w:lang w:eastAsia="fr-FR" w:bidi="fr-FR"/>
        </w:rPr>
        <w:t xml:space="preserve"> </w:t>
      </w:r>
      <w:r w:rsidRPr="00D2217B">
        <w:t>« </w:t>
      </w:r>
      <w:r w:rsidRPr="00D2217B">
        <w:rPr>
          <w:lang w:eastAsia="fr-FR" w:bidi="fr-FR"/>
        </w:rPr>
        <w:t>Qu’est-ce donc en somme que l’Américain, cet homme nouveau</w:t>
      </w:r>
      <w:r w:rsidRPr="00D2217B">
        <w:t> ?</w:t>
      </w:r>
      <w:r w:rsidRPr="00D2217B">
        <w:rPr>
          <w:lang w:eastAsia="fr-FR" w:bidi="fr-FR"/>
        </w:rPr>
        <w:t xml:space="preserve"> Est américain celui qu’a accueilli notre </w:t>
      </w:r>
      <w:r w:rsidRPr="000B574C">
        <w:rPr>
          <w:i/>
          <w:iCs/>
        </w:rPr>
        <w:t>Alma Mater</w:t>
      </w:r>
      <w:r w:rsidRPr="00D2217B">
        <w:t>...</w:t>
      </w:r>
      <w:r w:rsidRPr="00D2217B">
        <w:rPr>
          <w:lang w:eastAsia="fr-FR" w:bidi="fr-FR"/>
        </w:rPr>
        <w:t xml:space="preserve"> Ici les individus de toutes n</w:t>
      </w:r>
      <w:r w:rsidRPr="00D2217B">
        <w:rPr>
          <w:lang w:eastAsia="fr-FR" w:bidi="fr-FR"/>
        </w:rPr>
        <w:t>a</w:t>
      </w:r>
      <w:r w:rsidRPr="00D2217B">
        <w:rPr>
          <w:lang w:eastAsia="fr-FR" w:bidi="fr-FR"/>
        </w:rPr>
        <w:t>tionalités sont fondus en une race nouvelle, dont les travaux et la de</w:t>
      </w:r>
      <w:r w:rsidRPr="00D2217B">
        <w:rPr>
          <w:lang w:eastAsia="fr-FR" w:bidi="fr-FR"/>
        </w:rPr>
        <w:t>s</w:t>
      </w:r>
      <w:r w:rsidRPr="00D2217B">
        <w:rPr>
          <w:lang w:eastAsia="fr-FR" w:bidi="fr-FR"/>
        </w:rPr>
        <w:t>cendance causeront un jour de grands changements dans le mo</w:t>
      </w:r>
      <w:r w:rsidRPr="00D2217B">
        <w:rPr>
          <w:lang w:eastAsia="fr-FR" w:bidi="fr-FR"/>
        </w:rPr>
        <w:t>n</w:t>
      </w:r>
      <w:r w:rsidRPr="00D2217B">
        <w:rPr>
          <w:lang w:eastAsia="fr-FR" w:bidi="fr-FR"/>
        </w:rPr>
        <w:t>de</w:t>
      </w:r>
      <w:r>
        <w:rPr>
          <w:lang w:eastAsia="fr-FR" w:bidi="fr-FR"/>
        </w:rPr>
        <w:t> </w:t>
      </w:r>
      <w:r>
        <w:rPr>
          <w:rStyle w:val="Appelnotedebasdep"/>
          <w:lang w:eastAsia="fr-FR" w:bidi="fr-FR"/>
        </w:rPr>
        <w:footnoteReference w:id="114"/>
      </w:r>
      <w:r w:rsidRPr="00D2217B">
        <w:t xml:space="preserve">. » </w:t>
      </w:r>
      <w:r w:rsidRPr="00D2217B">
        <w:rPr>
          <w:lang w:eastAsia="fr-FR" w:bidi="fr-FR"/>
        </w:rPr>
        <w:t>Cette composition multiet</w:t>
      </w:r>
      <w:r w:rsidRPr="00D2217B">
        <w:rPr>
          <w:lang w:eastAsia="fr-FR" w:bidi="fr-FR"/>
        </w:rPr>
        <w:t>h</w:t>
      </w:r>
      <w:r w:rsidRPr="00D2217B">
        <w:rPr>
          <w:lang w:eastAsia="fr-FR" w:bidi="fr-FR"/>
        </w:rPr>
        <w:t>nique des origines assurerait déjà le caractère du pluralisme américain et fonderait sa préte</w:t>
      </w:r>
      <w:r w:rsidRPr="00D2217B">
        <w:rPr>
          <w:lang w:eastAsia="fr-FR" w:bidi="fr-FR"/>
        </w:rPr>
        <w:t>n</w:t>
      </w:r>
      <w:r w:rsidRPr="00D2217B">
        <w:rPr>
          <w:lang w:eastAsia="fr-FR" w:bidi="fr-FR"/>
        </w:rPr>
        <w:t>tion à s’ériger comme un modèle pour toutes les populations du monde</w:t>
      </w:r>
      <w:r>
        <w:rPr>
          <w:lang w:eastAsia="fr-FR" w:bidi="fr-FR"/>
        </w:rPr>
        <w:t> </w:t>
      </w:r>
      <w:r>
        <w:rPr>
          <w:rStyle w:val="Appelnotedebasdep"/>
          <w:lang w:eastAsia="fr-FR" w:bidi="fr-FR"/>
        </w:rPr>
        <w:footnoteReference w:id="115"/>
      </w:r>
      <w:r w:rsidRPr="00D2217B">
        <w:rPr>
          <w:lang w:eastAsia="fr-FR" w:bidi="fr-FR"/>
        </w:rPr>
        <w:t>.</w:t>
      </w:r>
    </w:p>
    <w:p w14:paraId="59FCFDBF" w14:textId="77777777" w:rsidR="0039793A" w:rsidRDefault="0039793A" w:rsidP="0039793A">
      <w:pPr>
        <w:spacing w:before="120" w:after="120"/>
        <w:jc w:val="both"/>
        <w:rPr>
          <w:lang w:eastAsia="fr-FR" w:bidi="fr-FR"/>
        </w:rPr>
      </w:pPr>
    </w:p>
    <w:p w14:paraId="599F80A5" w14:textId="77777777" w:rsidR="0039793A" w:rsidRPr="000B574C" w:rsidRDefault="0039793A" w:rsidP="0039793A">
      <w:pPr>
        <w:pStyle w:val="b"/>
      </w:pPr>
      <w:r w:rsidRPr="000B574C">
        <w:rPr>
          <w:lang w:eastAsia="fr-FR" w:bidi="fr-FR"/>
        </w:rPr>
        <w:t>L’ethnocentrisme</w:t>
      </w:r>
    </w:p>
    <w:p w14:paraId="5717283C" w14:textId="77777777" w:rsidR="0039793A" w:rsidRDefault="0039793A" w:rsidP="0039793A">
      <w:pPr>
        <w:spacing w:before="120" w:after="120"/>
        <w:jc w:val="both"/>
        <w:rPr>
          <w:lang w:eastAsia="fr-FR" w:bidi="fr-FR"/>
        </w:rPr>
      </w:pPr>
    </w:p>
    <w:p w14:paraId="2E6F6E06" w14:textId="77777777" w:rsidR="0039793A" w:rsidRPr="00D2217B" w:rsidRDefault="0039793A" w:rsidP="0039793A">
      <w:pPr>
        <w:spacing w:before="120" w:after="120"/>
        <w:jc w:val="both"/>
      </w:pPr>
      <w:r w:rsidRPr="00D2217B">
        <w:rPr>
          <w:lang w:eastAsia="fr-FR" w:bidi="fr-FR"/>
        </w:rPr>
        <w:t>Il faut tout de même y regarder de plus près</w:t>
      </w:r>
      <w:r>
        <w:rPr>
          <w:lang w:eastAsia="fr-FR" w:bidi="fr-FR"/>
        </w:rPr>
        <w:t> </w:t>
      </w:r>
      <w:r>
        <w:rPr>
          <w:rStyle w:val="Appelnotedebasdep"/>
          <w:lang w:eastAsia="fr-FR" w:bidi="fr-FR"/>
        </w:rPr>
        <w:footnoteReference w:id="116"/>
      </w:r>
      <w:r w:rsidRPr="00D2217B">
        <w:rPr>
          <w:lang w:eastAsia="fr-FR" w:bidi="fr-FR"/>
        </w:rPr>
        <w:t>. Même si la pop</w:t>
      </w:r>
      <w:r w:rsidRPr="00D2217B">
        <w:rPr>
          <w:lang w:eastAsia="fr-FR" w:bidi="fr-FR"/>
        </w:rPr>
        <w:t>u</w:t>
      </w:r>
      <w:r w:rsidRPr="00D2217B">
        <w:rPr>
          <w:lang w:eastAsia="fr-FR" w:bidi="fr-FR"/>
        </w:rPr>
        <w:t>lation américaine se composait, dès le temps de l’indépendance, d’immigrants v</w:t>
      </w:r>
      <w:r w:rsidRPr="00D2217B">
        <w:rPr>
          <w:lang w:eastAsia="fr-FR" w:bidi="fr-FR"/>
        </w:rPr>
        <w:t>e</w:t>
      </w:r>
      <w:r w:rsidRPr="00D2217B">
        <w:rPr>
          <w:lang w:eastAsia="fr-FR" w:bidi="fr-FR"/>
        </w:rPr>
        <w:t>nus de plusieurs pays européens, il est clair que ce sont des Britanniques qui ont donné le ton</w:t>
      </w:r>
      <w:r w:rsidRPr="00D2217B">
        <w:t> :</w:t>
      </w:r>
      <w:r w:rsidRPr="00D2217B">
        <w:rPr>
          <w:lang w:eastAsia="fr-FR" w:bidi="fr-FR"/>
        </w:rPr>
        <w:t xml:space="preserve"> l’inspiration de la Décl</w:t>
      </w:r>
      <w:r w:rsidRPr="00D2217B">
        <w:rPr>
          <w:lang w:eastAsia="fr-FR" w:bidi="fr-FR"/>
        </w:rPr>
        <w:t>a</w:t>
      </w:r>
      <w:r w:rsidRPr="00D2217B">
        <w:rPr>
          <w:lang w:eastAsia="fr-FR" w:bidi="fr-FR"/>
        </w:rPr>
        <w:t>ration d’indépendance et de la Constitution provient d’auteurs brita</w:t>
      </w:r>
      <w:r w:rsidRPr="00D2217B">
        <w:rPr>
          <w:lang w:eastAsia="fr-FR" w:bidi="fr-FR"/>
        </w:rPr>
        <w:t>n</w:t>
      </w:r>
      <w:r w:rsidRPr="00D2217B">
        <w:rPr>
          <w:lang w:eastAsia="fr-FR" w:bidi="fr-FR"/>
        </w:rPr>
        <w:t>niques et tous les Pères fondateurs signataires du doc</w:t>
      </w:r>
      <w:r w:rsidRPr="00D2217B">
        <w:rPr>
          <w:lang w:eastAsia="fr-FR" w:bidi="fr-FR"/>
        </w:rPr>
        <w:t>u</w:t>
      </w:r>
      <w:r w:rsidRPr="00D2217B">
        <w:rPr>
          <w:lang w:eastAsia="fr-FR" w:bidi="fr-FR"/>
        </w:rPr>
        <w:t>ment de base étaient d’origine britannique. John Jay pouvait écrire, par exemple, nonobstant le fait que plus du tiers de la population américaine n’était pas anglaise</w:t>
      </w:r>
      <w:r w:rsidRPr="00D2217B">
        <w:t> :</w:t>
      </w:r>
      <w:r w:rsidRPr="00D2217B">
        <w:rPr>
          <w:lang w:eastAsia="fr-FR" w:bidi="fr-FR"/>
        </w:rPr>
        <w:t xml:space="preserve"> </w:t>
      </w:r>
      <w:r w:rsidRPr="00D2217B">
        <w:t>« </w:t>
      </w:r>
      <w:r w:rsidRPr="00D2217B">
        <w:rPr>
          <w:lang w:eastAsia="fr-FR" w:bidi="fr-FR"/>
        </w:rPr>
        <w:t>La Providence s’est plu à donner cet unique pays à un peuple uni, un peuple issu des mêmes ancêtres, parlant la même la</w:t>
      </w:r>
      <w:r w:rsidRPr="00D2217B">
        <w:rPr>
          <w:lang w:eastAsia="fr-FR" w:bidi="fr-FR"/>
        </w:rPr>
        <w:t>n</w:t>
      </w:r>
      <w:r w:rsidRPr="00D2217B">
        <w:rPr>
          <w:lang w:eastAsia="fr-FR" w:bidi="fr-FR"/>
        </w:rPr>
        <w:t>gue, professant la même religion [...], semblable en ses manières et en ses coutumes</w:t>
      </w:r>
      <w:r>
        <w:rPr>
          <w:lang w:eastAsia="fr-FR" w:bidi="fr-FR"/>
        </w:rPr>
        <w:t> </w:t>
      </w:r>
      <w:r>
        <w:rPr>
          <w:rStyle w:val="Appelnotedebasdep"/>
          <w:lang w:eastAsia="fr-FR" w:bidi="fr-FR"/>
        </w:rPr>
        <w:footnoteReference w:id="117"/>
      </w:r>
      <w:r w:rsidRPr="00D2217B">
        <w:rPr>
          <w:lang w:eastAsia="fr-FR" w:bidi="fr-FR"/>
        </w:rPr>
        <w:t>.</w:t>
      </w:r>
      <w:r w:rsidRPr="00D2217B">
        <w:t> »</w:t>
      </w:r>
    </w:p>
    <w:p w14:paraId="03DCA90F" w14:textId="77777777" w:rsidR="0039793A" w:rsidRPr="00D2217B" w:rsidRDefault="0039793A" w:rsidP="0039793A">
      <w:pPr>
        <w:spacing w:before="120" w:after="120"/>
        <w:jc w:val="both"/>
      </w:pPr>
      <w:r w:rsidRPr="00D2217B">
        <w:rPr>
          <w:lang w:eastAsia="fr-FR" w:bidi="fr-FR"/>
        </w:rPr>
        <w:t xml:space="preserve">Ce sont donc les autres Européens qui se sont assimilés à cette </w:t>
      </w:r>
      <w:r w:rsidRPr="00D2217B">
        <w:t>« </w:t>
      </w:r>
      <w:r w:rsidRPr="00D2217B">
        <w:rPr>
          <w:lang w:eastAsia="fr-FR" w:bidi="fr-FR"/>
        </w:rPr>
        <w:t>nouvelle nation anglaise</w:t>
      </w:r>
      <w:r>
        <w:rPr>
          <w:lang w:eastAsia="fr-FR" w:bidi="fr-FR"/>
        </w:rPr>
        <w:t> </w:t>
      </w:r>
      <w:r>
        <w:rPr>
          <w:rStyle w:val="Appelnotedebasdep"/>
          <w:lang w:eastAsia="fr-FR" w:bidi="fr-FR"/>
        </w:rPr>
        <w:footnoteReference w:id="118"/>
      </w:r>
      <w:r w:rsidRPr="00D2217B">
        <w:t> »</w:t>
      </w:r>
      <w:r w:rsidRPr="00D2217B">
        <w:rPr>
          <w:lang w:eastAsia="fr-FR" w:bidi="fr-FR"/>
        </w:rPr>
        <w:t xml:space="preserve"> et non l’inverse. Comme le note</w:t>
      </w:r>
      <w:r>
        <w:t xml:space="preserve"> [58] </w:t>
      </w:r>
      <w:r w:rsidRPr="00D2217B">
        <w:rPr>
          <w:lang w:eastAsia="fr-FR" w:bidi="fr-FR"/>
        </w:rPr>
        <w:t xml:space="preserve">fort justement Élise Marienstras, </w:t>
      </w:r>
      <w:r w:rsidRPr="00D2217B">
        <w:t>« </w:t>
      </w:r>
      <w:r w:rsidRPr="00D2217B">
        <w:rPr>
          <w:lang w:eastAsia="fr-FR" w:bidi="fr-FR"/>
        </w:rPr>
        <w:t>l’organicité proclamée et vo</w:t>
      </w:r>
      <w:r w:rsidRPr="00D2217B">
        <w:rPr>
          <w:lang w:eastAsia="fr-FR" w:bidi="fr-FR"/>
        </w:rPr>
        <w:t>u</w:t>
      </w:r>
      <w:r w:rsidRPr="00D2217B">
        <w:rPr>
          <w:lang w:eastAsia="fr-FR" w:bidi="fr-FR"/>
        </w:rPr>
        <w:t>lue pour l’avenir fut définie selon la norme qu’offrait la majorité britann</w:t>
      </w:r>
      <w:r w:rsidRPr="00D2217B">
        <w:rPr>
          <w:lang w:eastAsia="fr-FR" w:bidi="fr-FR"/>
        </w:rPr>
        <w:t>i</w:t>
      </w:r>
      <w:r w:rsidRPr="00D2217B">
        <w:rPr>
          <w:lang w:eastAsia="fr-FR" w:bidi="fr-FR"/>
        </w:rPr>
        <w:t>que et protestante</w:t>
      </w:r>
      <w:r>
        <w:rPr>
          <w:lang w:eastAsia="fr-FR" w:bidi="fr-FR"/>
        </w:rPr>
        <w:t> </w:t>
      </w:r>
      <w:r>
        <w:rPr>
          <w:rStyle w:val="Appelnotedebasdep"/>
          <w:lang w:eastAsia="fr-FR" w:bidi="fr-FR"/>
        </w:rPr>
        <w:footnoteReference w:id="119"/>
      </w:r>
      <w:r w:rsidRPr="00D2217B">
        <w:t> »</w:t>
      </w:r>
      <w:r w:rsidRPr="00D2217B">
        <w:rPr>
          <w:lang w:eastAsia="fr-FR" w:bidi="fr-FR"/>
        </w:rPr>
        <w:t>. La pleine citoyenneté américaine est deme</w:t>
      </w:r>
      <w:r w:rsidRPr="00D2217B">
        <w:rPr>
          <w:lang w:eastAsia="fr-FR" w:bidi="fr-FR"/>
        </w:rPr>
        <w:t>u</w:t>
      </w:r>
      <w:r w:rsidRPr="00D2217B">
        <w:rPr>
          <w:lang w:eastAsia="fr-FR" w:bidi="fr-FR"/>
        </w:rPr>
        <w:t>rée longtemps exclusivement et farouch</w:t>
      </w:r>
      <w:r w:rsidRPr="00D2217B">
        <w:rPr>
          <w:lang w:eastAsia="fr-FR" w:bidi="fr-FR"/>
        </w:rPr>
        <w:t>e</w:t>
      </w:r>
      <w:r w:rsidRPr="00D2217B">
        <w:rPr>
          <w:lang w:eastAsia="fr-FR" w:bidi="fr-FR"/>
        </w:rPr>
        <w:t xml:space="preserve">ment réservée à des Blancs d’origine européenne. Les Amérindiens ont été combattus et éliminés parce qu’ils constituaient des </w:t>
      </w:r>
      <w:r w:rsidRPr="00D2217B">
        <w:t>« </w:t>
      </w:r>
      <w:r w:rsidRPr="00D2217B">
        <w:rPr>
          <w:lang w:eastAsia="fr-FR" w:bidi="fr-FR"/>
        </w:rPr>
        <w:t>obstacles</w:t>
      </w:r>
      <w:r w:rsidRPr="00D2217B">
        <w:t> »</w:t>
      </w:r>
      <w:r w:rsidRPr="00D2217B">
        <w:rPr>
          <w:lang w:eastAsia="fr-FR" w:bidi="fr-FR"/>
        </w:rPr>
        <w:t xml:space="preserve"> à l’expansion de la civil</w:t>
      </w:r>
      <w:r w:rsidRPr="00D2217B">
        <w:rPr>
          <w:lang w:eastAsia="fr-FR" w:bidi="fr-FR"/>
        </w:rPr>
        <w:t>i</w:t>
      </w:r>
      <w:r w:rsidRPr="00D2217B">
        <w:rPr>
          <w:lang w:eastAsia="fr-FR" w:bidi="fr-FR"/>
        </w:rPr>
        <w:t>sation, et les Africains-Américains ont été longtemps sujets à l’esclavage puis à la discrimination dans les États du Sud (et même, dans une certaine mesure, dans le Nord) bien après la guerre civile</w:t>
      </w:r>
      <w:r>
        <w:rPr>
          <w:lang w:eastAsia="fr-FR" w:bidi="fr-FR"/>
        </w:rPr>
        <w:t> </w:t>
      </w:r>
      <w:r>
        <w:rPr>
          <w:rStyle w:val="Appelnotedebasdep"/>
          <w:lang w:eastAsia="fr-FR" w:bidi="fr-FR"/>
        </w:rPr>
        <w:footnoteReference w:id="120"/>
      </w:r>
      <w:r w:rsidRPr="00D2217B">
        <w:rPr>
          <w:lang w:eastAsia="fr-FR" w:bidi="fr-FR"/>
        </w:rPr>
        <w:t>. Les populations d’origine asiatique, japonaise surtout durant la deuxième guerre mondiale, ont également été soumises à des trait</w:t>
      </w:r>
      <w:r w:rsidRPr="00D2217B">
        <w:rPr>
          <w:lang w:eastAsia="fr-FR" w:bidi="fr-FR"/>
        </w:rPr>
        <w:t>e</w:t>
      </w:r>
      <w:r w:rsidRPr="00D2217B">
        <w:rPr>
          <w:lang w:eastAsia="fr-FR" w:bidi="fr-FR"/>
        </w:rPr>
        <w:t>ments arbitraires.</w:t>
      </w:r>
    </w:p>
    <w:p w14:paraId="434E65DD" w14:textId="77777777" w:rsidR="0039793A" w:rsidRPr="00587D8F" w:rsidRDefault="0039793A" w:rsidP="0039793A">
      <w:pPr>
        <w:jc w:val="both"/>
        <w:rPr>
          <w:sz w:val="20"/>
          <w:lang w:eastAsia="fr-FR" w:bidi="fr-FR"/>
        </w:rPr>
      </w:pPr>
    </w:p>
    <w:p w14:paraId="31A698B7" w14:textId="77777777" w:rsidR="0039793A" w:rsidRPr="004A4A40" w:rsidRDefault="0039793A" w:rsidP="0039793A">
      <w:pPr>
        <w:pStyle w:val="b"/>
      </w:pPr>
      <w:r w:rsidRPr="004A4A40">
        <w:rPr>
          <w:lang w:eastAsia="fr-FR" w:bidi="fr-FR"/>
        </w:rPr>
        <w:t>L’isolement culturel</w:t>
      </w:r>
    </w:p>
    <w:p w14:paraId="5F3D7E9E" w14:textId="77777777" w:rsidR="0039793A" w:rsidRPr="00587D8F" w:rsidRDefault="0039793A" w:rsidP="0039793A">
      <w:pPr>
        <w:jc w:val="both"/>
        <w:rPr>
          <w:sz w:val="20"/>
          <w:lang w:eastAsia="fr-FR" w:bidi="fr-FR"/>
        </w:rPr>
      </w:pPr>
    </w:p>
    <w:p w14:paraId="552F60F1" w14:textId="77777777" w:rsidR="0039793A" w:rsidRPr="00D2217B" w:rsidRDefault="0039793A" w:rsidP="0039793A">
      <w:pPr>
        <w:spacing w:before="120" w:after="120"/>
        <w:jc w:val="both"/>
      </w:pPr>
      <w:r w:rsidRPr="00D2217B">
        <w:rPr>
          <w:lang w:eastAsia="fr-FR" w:bidi="fr-FR"/>
        </w:rPr>
        <w:t>Les prétentions universalistes des fondateurs des États-Unis ont donc été sans cesse limitées par les contours de l’appartenance amér</w:t>
      </w:r>
      <w:r w:rsidRPr="00D2217B">
        <w:rPr>
          <w:lang w:eastAsia="fr-FR" w:bidi="fr-FR"/>
        </w:rPr>
        <w:t>i</w:t>
      </w:r>
      <w:r w:rsidRPr="00D2217B">
        <w:rPr>
          <w:lang w:eastAsia="fr-FR" w:bidi="fr-FR"/>
        </w:rPr>
        <w:t>caine.</w:t>
      </w:r>
    </w:p>
    <w:p w14:paraId="15A6ECD2" w14:textId="77777777" w:rsidR="0039793A" w:rsidRPr="00D2217B" w:rsidRDefault="0039793A" w:rsidP="0039793A">
      <w:pPr>
        <w:spacing w:before="120" w:after="120"/>
        <w:jc w:val="both"/>
      </w:pPr>
      <w:r w:rsidRPr="00D2217B">
        <w:rPr>
          <w:lang w:eastAsia="fr-FR" w:bidi="fr-FR"/>
        </w:rPr>
        <w:t xml:space="preserve">Cet isolement est alimenté par la théorie de la </w:t>
      </w:r>
      <w:r w:rsidRPr="00D2217B">
        <w:t>« </w:t>
      </w:r>
      <w:r w:rsidRPr="00D2217B">
        <w:rPr>
          <w:lang w:eastAsia="fr-FR" w:bidi="fr-FR"/>
        </w:rPr>
        <w:t>fin de la frontière</w:t>
      </w:r>
      <w:r w:rsidRPr="00D2217B">
        <w:t> »</w:t>
      </w:r>
      <w:r w:rsidRPr="00D2217B">
        <w:rPr>
          <w:lang w:eastAsia="fr-FR" w:bidi="fr-FR"/>
        </w:rPr>
        <w:t xml:space="preserve"> formulée par Frederick Jac</w:t>
      </w:r>
      <w:r w:rsidRPr="00D2217B">
        <w:rPr>
          <w:lang w:eastAsia="fr-FR" w:bidi="fr-FR"/>
        </w:rPr>
        <w:t>k</w:t>
      </w:r>
      <w:r w:rsidRPr="00D2217B">
        <w:rPr>
          <w:lang w:eastAsia="fr-FR" w:bidi="fr-FR"/>
        </w:rPr>
        <w:t>son Turner en 1890</w:t>
      </w:r>
      <w:r>
        <w:rPr>
          <w:lang w:eastAsia="fr-FR" w:bidi="fr-FR"/>
        </w:rPr>
        <w:t> </w:t>
      </w:r>
      <w:r>
        <w:rPr>
          <w:rStyle w:val="Appelnotedebasdep"/>
          <w:lang w:eastAsia="fr-FR" w:bidi="fr-FR"/>
        </w:rPr>
        <w:footnoteReference w:id="121"/>
      </w:r>
      <w:r w:rsidRPr="00D2217B">
        <w:rPr>
          <w:lang w:eastAsia="fr-FR" w:bidi="fr-FR"/>
        </w:rPr>
        <w:t xml:space="preserve">. La frontière est, aux États-Unis, une ligne mouvante qui se déplace sans cesse vers l’Ouest. Cette frontière s’est érigée à l’encontre de la </w:t>
      </w:r>
      <w:r w:rsidRPr="00D2217B">
        <w:t>« </w:t>
      </w:r>
      <w:r w:rsidRPr="00D2217B">
        <w:rPr>
          <w:lang w:eastAsia="fr-FR" w:bidi="fr-FR"/>
        </w:rPr>
        <w:t>sauvagerie</w:t>
      </w:r>
      <w:r>
        <w:rPr>
          <w:lang w:eastAsia="fr-FR" w:bidi="fr-FR"/>
        </w:rPr>
        <w:t> </w:t>
      </w:r>
      <w:r>
        <w:rPr>
          <w:rStyle w:val="Appelnotedebasdep"/>
          <w:lang w:eastAsia="fr-FR" w:bidi="fr-FR"/>
        </w:rPr>
        <w:footnoteReference w:id="122"/>
      </w:r>
      <w:r w:rsidRPr="00D2217B">
        <w:t> »</w:t>
      </w:r>
      <w:r w:rsidRPr="00D2217B">
        <w:rPr>
          <w:lang w:eastAsia="fr-FR" w:bidi="fr-FR"/>
        </w:rPr>
        <w:t xml:space="preserve"> qu’incarnaient les Amérindiens et les Mexicains. Turner explique que la frontière, c’est-à-dire l’existence de terres l</w:t>
      </w:r>
      <w:r w:rsidRPr="00D2217B">
        <w:rPr>
          <w:lang w:eastAsia="fr-FR" w:bidi="fr-FR"/>
        </w:rPr>
        <w:t>i</w:t>
      </w:r>
      <w:r w:rsidRPr="00D2217B">
        <w:rPr>
          <w:lang w:eastAsia="fr-FR" w:bidi="fr-FR"/>
        </w:rPr>
        <w:t>bres à coloniser, a constitué le pilier de l’aventure nationale américa</w:t>
      </w:r>
      <w:r w:rsidRPr="00D2217B">
        <w:rPr>
          <w:lang w:eastAsia="fr-FR" w:bidi="fr-FR"/>
        </w:rPr>
        <w:t>i</w:t>
      </w:r>
      <w:r w:rsidRPr="00D2217B">
        <w:rPr>
          <w:lang w:eastAsia="fr-FR" w:bidi="fr-FR"/>
        </w:rPr>
        <w:t>ne et par-dessus tout l’exutoire des problèmes sociaux. La thèse de Turner a ceci d’inquiétant qu’elle énonce la fin de cette avent</w:t>
      </w:r>
      <w:r w:rsidRPr="00D2217B">
        <w:rPr>
          <w:lang w:eastAsia="fr-FR" w:bidi="fr-FR"/>
        </w:rPr>
        <w:t>u</w:t>
      </w:r>
      <w:r w:rsidRPr="00D2217B">
        <w:rPr>
          <w:lang w:eastAsia="fr-FR" w:bidi="fr-FR"/>
        </w:rPr>
        <w:t>re</w:t>
      </w:r>
      <w:r w:rsidRPr="00D2217B">
        <w:t> :</w:t>
      </w:r>
      <w:r w:rsidRPr="00D2217B">
        <w:rPr>
          <w:lang w:eastAsia="fr-FR" w:bidi="fr-FR"/>
        </w:rPr>
        <w:t xml:space="preserve"> </w:t>
      </w:r>
      <w:r w:rsidRPr="00D2217B">
        <w:t>« </w:t>
      </w:r>
      <w:r w:rsidRPr="00D2217B">
        <w:rPr>
          <w:lang w:eastAsia="fr-FR" w:bidi="fr-FR"/>
        </w:rPr>
        <w:t>La frontière n’est plus, et avec sa fin se r</w:t>
      </w:r>
      <w:r w:rsidRPr="00D2217B">
        <w:rPr>
          <w:lang w:eastAsia="fr-FR" w:bidi="fr-FR"/>
        </w:rPr>
        <w:t>e</w:t>
      </w:r>
      <w:r w:rsidRPr="00D2217B">
        <w:rPr>
          <w:lang w:eastAsia="fr-FR" w:bidi="fr-FR"/>
        </w:rPr>
        <w:t>ferme la première période de l’histoire américa</w:t>
      </w:r>
      <w:r w:rsidRPr="00D2217B">
        <w:rPr>
          <w:lang w:eastAsia="fr-FR" w:bidi="fr-FR"/>
        </w:rPr>
        <w:t>i</w:t>
      </w:r>
      <w:r w:rsidRPr="00D2217B">
        <w:rPr>
          <w:lang w:eastAsia="fr-FR" w:bidi="fr-FR"/>
        </w:rPr>
        <w:t>ne.</w:t>
      </w:r>
      <w:r w:rsidRPr="00D2217B">
        <w:t> »</w:t>
      </w:r>
      <w:r w:rsidRPr="00D2217B">
        <w:rPr>
          <w:lang w:eastAsia="fr-FR" w:bidi="fr-FR"/>
        </w:rPr>
        <w:t xml:space="preserve"> Pour lui, </w:t>
      </w:r>
      <w:r w:rsidRPr="00D2217B">
        <w:t>« </w:t>
      </w:r>
      <w:r w:rsidRPr="00D2217B">
        <w:rPr>
          <w:lang w:eastAsia="fr-FR" w:bidi="fr-FR"/>
        </w:rPr>
        <w:t>l’Amérique risque de perdre son âme si elle n’a pas de frontière à conquérir car [c’est là] le fonds culturel de l’Amérique</w:t>
      </w:r>
      <w:r>
        <w:rPr>
          <w:lang w:eastAsia="fr-FR" w:bidi="fr-FR"/>
        </w:rPr>
        <w:t> </w:t>
      </w:r>
      <w:r>
        <w:rPr>
          <w:rStyle w:val="Appelnotedebasdep"/>
          <w:lang w:eastAsia="fr-FR" w:bidi="fr-FR"/>
        </w:rPr>
        <w:footnoteReference w:id="123"/>
      </w:r>
      <w:r w:rsidRPr="00D2217B">
        <w:t> »</w:t>
      </w:r>
      <w:r w:rsidRPr="00D2217B">
        <w:rPr>
          <w:lang w:eastAsia="fr-FR" w:bidi="fr-FR"/>
        </w:rPr>
        <w:t>. La</w:t>
      </w:r>
      <w:r>
        <w:t xml:space="preserve"> [59] </w:t>
      </w:r>
      <w:r w:rsidRPr="00D2217B">
        <w:rPr>
          <w:lang w:eastAsia="fr-FR" w:bidi="fr-FR"/>
        </w:rPr>
        <w:t>lutte contre les ennemis de la civilisation se poursuit tout de même. Du temps de la guerre froide, ce sont les communistes et même ce</w:t>
      </w:r>
      <w:r w:rsidRPr="00D2217B">
        <w:rPr>
          <w:lang w:eastAsia="fr-FR" w:bidi="fr-FR"/>
        </w:rPr>
        <w:t>r</w:t>
      </w:r>
      <w:r w:rsidRPr="00D2217B">
        <w:rPr>
          <w:lang w:eastAsia="fr-FR" w:bidi="fr-FR"/>
        </w:rPr>
        <w:t>tains nationalismes douteux qui constituaient le mal absolu qu’il fallait combattre au nom de la libe</w:t>
      </w:r>
      <w:r w:rsidRPr="00D2217B">
        <w:rPr>
          <w:lang w:eastAsia="fr-FR" w:bidi="fr-FR"/>
        </w:rPr>
        <w:t>r</w:t>
      </w:r>
      <w:r w:rsidRPr="00D2217B">
        <w:rPr>
          <w:lang w:eastAsia="fr-FR" w:bidi="fr-FR"/>
        </w:rPr>
        <w:t>té</w:t>
      </w:r>
      <w:r>
        <w:rPr>
          <w:lang w:eastAsia="fr-FR" w:bidi="fr-FR"/>
        </w:rPr>
        <w:t> </w:t>
      </w:r>
      <w:r>
        <w:rPr>
          <w:rStyle w:val="Appelnotedebasdep"/>
          <w:lang w:eastAsia="fr-FR" w:bidi="fr-FR"/>
        </w:rPr>
        <w:footnoteReference w:id="124"/>
      </w:r>
      <w:r w:rsidRPr="00D2217B">
        <w:rPr>
          <w:lang w:eastAsia="fr-FR" w:bidi="fr-FR"/>
        </w:rPr>
        <w:t>.</w:t>
      </w:r>
    </w:p>
    <w:p w14:paraId="3FD80403" w14:textId="77777777" w:rsidR="0039793A" w:rsidRDefault="0039793A" w:rsidP="0039793A">
      <w:pPr>
        <w:spacing w:before="120" w:after="120"/>
        <w:jc w:val="both"/>
        <w:rPr>
          <w:lang w:eastAsia="fr-FR" w:bidi="fr-FR"/>
        </w:rPr>
      </w:pPr>
      <w:r w:rsidRPr="00D2217B">
        <w:rPr>
          <w:lang w:eastAsia="fr-FR" w:bidi="fr-FR"/>
        </w:rPr>
        <w:t>Il est encore très révélateur de cette dichotomie entre la civilisation et ses ennemis que des ouvr</w:t>
      </w:r>
      <w:r w:rsidRPr="00D2217B">
        <w:rPr>
          <w:lang w:eastAsia="fr-FR" w:bidi="fr-FR"/>
        </w:rPr>
        <w:t>a</w:t>
      </w:r>
      <w:r w:rsidRPr="00D2217B">
        <w:rPr>
          <w:lang w:eastAsia="fr-FR" w:bidi="fr-FR"/>
        </w:rPr>
        <w:t>ges en reprennent le contenu et se fassent anno</w:t>
      </w:r>
      <w:r w:rsidRPr="00D2217B">
        <w:rPr>
          <w:lang w:eastAsia="fr-FR" w:bidi="fr-FR"/>
        </w:rPr>
        <w:t>n</w:t>
      </w:r>
      <w:r w:rsidRPr="00D2217B">
        <w:rPr>
          <w:lang w:eastAsia="fr-FR" w:bidi="fr-FR"/>
        </w:rPr>
        <w:t xml:space="preserve">ciateurs de grands affrontements. Ainsi en est-il du </w:t>
      </w:r>
      <w:r w:rsidRPr="00B761C0">
        <w:rPr>
          <w:i/>
          <w:iCs/>
        </w:rPr>
        <w:t>Choc des civilisations</w:t>
      </w:r>
      <w:r w:rsidRPr="00D2217B">
        <w:rPr>
          <w:lang w:eastAsia="fr-FR" w:bidi="fr-FR"/>
        </w:rPr>
        <w:t xml:space="preserve"> de Samuel Huntington et de l’anarchie annoncée par R</w:t>
      </w:r>
      <w:r w:rsidRPr="00D2217B">
        <w:rPr>
          <w:lang w:eastAsia="fr-FR" w:bidi="fr-FR"/>
        </w:rPr>
        <w:t>o</w:t>
      </w:r>
      <w:r w:rsidRPr="00D2217B">
        <w:rPr>
          <w:lang w:eastAsia="fr-FR" w:bidi="fr-FR"/>
        </w:rPr>
        <w:t>bert Kaplan</w:t>
      </w:r>
      <w:r>
        <w:rPr>
          <w:lang w:eastAsia="fr-FR" w:bidi="fr-FR"/>
        </w:rPr>
        <w:t> </w:t>
      </w:r>
      <w:r>
        <w:rPr>
          <w:rStyle w:val="Appelnotedebasdep"/>
          <w:lang w:eastAsia="fr-FR" w:bidi="fr-FR"/>
        </w:rPr>
        <w:footnoteReference w:id="125"/>
      </w:r>
      <w:r w:rsidRPr="00D2217B">
        <w:rPr>
          <w:lang w:eastAsia="fr-FR" w:bidi="fr-FR"/>
        </w:rPr>
        <w:t>.</w:t>
      </w:r>
    </w:p>
    <w:p w14:paraId="5D1ECB1E" w14:textId="77777777" w:rsidR="0039793A" w:rsidRPr="00587D8F" w:rsidRDefault="0039793A" w:rsidP="0039793A">
      <w:pPr>
        <w:jc w:val="both"/>
        <w:rPr>
          <w:sz w:val="20"/>
          <w:lang w:eastAsia="fr-FR" w:bidi="fr-FR"/>
        </w:rPr>
      </w:pPr>
    </w:p>
    <w:p w14:paraId="01632A8C" w14:textId="77777777" w:rsidR="0039793A" w:rsidRPr="00D2217B" w:rsidRDefault="0039793A" w:rsidP="0039793A">
      <w:pPr>
        <w:pStyle w:val="b"/>
      </w:pPr>
      <w:r w:rsidRPr="00D2217B">
        <w:t>La paranoïa</w:t>
      </w:r>
    </w:p>
    <w:p w14:paraId="5463FEDF" w14:textId="77777777" w:rsidR="0039793A" w:rsidRPr="00587D8F" w:rsidRDefault="0039793A" w:rsidP="0039793A">
      <w:pPr>
        <w:jc w:val="both"/>
        <w:rPr>
          <w:sz w:val="20"/>
          <w:lang w:eastAsia="fr-FR" w:bidi="fr-FR"/>
        </w:rPr>
      </w:pPr>
    </w:p>
    <w:p w14:paraId="1B358BD4" w14:textId="77777777" w:rsidR="0039793A" w:rsidRPr="00D2217B" w:rsidRDefault="0039793A" w:rsidP="0039793A">
      <w:pPr>
        <w:spacing w:before="120" w:after="120"/>
        <w:jc w:val="both"/>
      </w:pPr>
      <w:r w:rsidRPr="00D2217B">
        <w:rPr>
          <w:lang w:eastAsia="fr-FR" w:bidi="fr-FR"/>
        </w:rPr>
        <w:t>Plus révélatrices sont les manifestations dans la politique américa</w:t>
      </w:r>
      <w:r w:rsidRPr="00D2217B">
        <w:rPr>
          <w:lang w:eastAsia="fr-FR" w:bidi="fr-FR"/>
        </w:rPr>
        <w:t>i</w:t>
      </w:r>
      <w:r w:rsidRPr="00D2217B">
        <w:rPr>
          <w:lang w:eastAsia="fr-FR" w:bidi="fr-FR"/>
        </w:rPr>
        <w:t>ne de ce que l’historien Richard Hofstadter appelait le style paranoï</w:t>
      </w:r>
      <w:r w:rsidRPr="00D2217B">
        <w:rPr>
          <w:lang w:eastAsia="fr-FR" w:bidi="fr-FR"/>
        </w:rPr>
        <w:t>a</w:t>
      </w:r>
      <w:r w:rsidRPr="00D2217B">
        <w:rPr>
          <w:lang w:eastAsia="fr-FR" w:bidi="fr-FR"/>
        </w:rPr>
        <w:t>que</w:t>
      </w:r>
      <w:r>
        <w:rPr>
          <w:lang w:eastAsia="fr-FR" w:bidi="fr-FR"/>
        </w:rPr>
        <w:t> </w:t>
      </w:r>
      <w:r>
        <w:rPr>
          <w:rStyle w:val="Appelnotedebasdep"/>
          <w:lang w:eastAsia="fr-FR" w:bidi="fr-FR"/>
        </w:rPr>
        <w:footnoteReference w:id="126"/>
      </w:r>
      <w:r w:rsidRPr="00D2217B">
        <w:rPr>
          <w:lang w:eastAsia="fr-FR" w:bidi="fr-FR"/>
        </w:rPr>
        <w:t>. Hofstadter décrivait la tendance de certains groupes de mil</w:t>
      </w:r>
      <w:r w:rsidRPr="00D2217B">
        <w:rPr>
          <w:lang w:eastAsia="fr-FR" w:bidi="fr-FR"/>
        </w:rPr>
        <w:t>i</w:t>
      </w:r>
      <w:r w:rsidRPr="00D2217B">
        <w:rPr>
          <w:lang w:eastAsia="fr-FR" w:bidi="fr-FR"/>
        </w:rPr>
        <w:t>tants à développer des théories du complot, comme celles attribuées jadis aux francs-maçons, aux catholiques ou aux juifs</w:t>
      </w:r>
      <w:r>
        <w:rPr>
          <w:lang w:eastAsia="fr-FR" w:bidi="fr-FR"/>
        </w:rPr>
        <w:t> </w:t>
      </w:r>
      <w:r>
        <w:rPr>
          <w:rStyle w:val="Appelnotedebasdep"/>
          <w:lang w:eastAsia="fr-FR" w:bidi="fr-FR"/>
        </w:rPr>
        <w:footnoteReference w:id="127"/>
      </w:r>
      <w:r w:rsidRPr="00D2217B">
        <w:rPr>
          <w:lang w:eastAsia="fr-FR" w:bidi="fr-FR"/>
        </w:rPr>
        <w:t>. Or il est po</w:t>
      </w:r>
      <w:r w:rsidRPr="00D2217B">
        <w:rPr>
          <w:lang w:eastAsia="fr-FR" w:bidi="fr-FR"/>
        </w:rPr>
        <w:t>s</w:t>
      </w:r>
      <w:r w:rsidRPr="00D2217B">
        <w:rPr>
          <w:lang w:eastAsia="fr-FR" w:bidi="fr-FR"/>
        </w:rPr>
        <w:t>sible de déceler dans l’histoire américaine et dans certains courants de la droite aux États-Unis, une propension particulière au man</w:t>
      </w:r>
      <w:r w:rsidRPr="00D2217B">
        <w:rPr>
          <w:lang w:eastAsia="fr-FR" w:bidi="fr-FR"/>
        </w:rPr>
        <w:t>i</w:t>
      </w:r>
      <w:r w:rsidRPr="00D2217B">
        <w:rPr>
          <w:lang w:eastAsia="fr-FR" w:bidi="fr-FR"/>
        </w:rPr>
        <w:t>chéisme. Sans doute l’éloignement physique et psychologique de l’Amérique du Nord, sa situation géographique et sa quasi-insularité, favorisent-ils cette tendance à concevoir de dangereuses conspirations internation</w:t>
      </w:r>
      <w:r w:rsidRPr="00D2217B">
        <w:rPr>
          <w:lang w:eastAsia="fr-FR" w:bidi="fr-FR"/>
        </w:rPr>
        <w:t>a</w:t>
      </w:r>
      <w:r w:rsidRPr="00D2217B">
        <w:rPr>
          <w:lang w:eastAsia="fr-FR" w:bidi="fr-FR"/>
        </w:rPr>
        <w:t>les. La difficulté des Américains à percevoir l’hétérogénéité culturelle du système international contribue peut-être à ce phénomène. Hofstadter écrivait d’ailleurs dans la foulée du ma</w:t>
      </w:r>
      <w:r w:rsidRPr="00D2217B">
        <w:rPr>
          <w:lang w:eastAsia="fr-FR" w:bidi="fr-FR"/>
        </w:rPr>
        <w:t>c</w:t>
      </w:r>
      <w:r w:rsidRPr="00D2217B">
        <w:rPr>
          <w:lang w:eastAsia="fr-FR" w:bidi="fr-FR"/>
        </w:rPr>
        <w:t>carthysme, véritable chasse aux sorcières lancée en 1950 par le sén</w:t>
      </w:r>
      <w:r w:rsidRPr="00D2217B">
        <w:rPr>
          <w:lang w:eastAsia="fr-FR" w:bidi="fr-FR"/>
        </w:rPr>
        <w:t>a</w:t>
      </w:r>
      <w:r w:rsidRPr="00D2217B">
        <w:rPr>
          <w:lang w:eastAsia="fr-FR" w:bidi="fr-FR"/>
        </w:rPr>
        <w:t>teur Joseph McCarthy qui prétendait que le Département d’État am</w:t>
      </w:r>
      <w:r w:rsidRPr="00D2217B">
        <w:rPr>
          <w:lang w:eastAsia="fr-FR" w:bidi="fr-FR"/>
        </w:rPr>
        <w:t>é</w:t>
      </w:r>
      <w:r w:rsidRPr="00D2217B">
        <w:rPr>
          <w:lang w:eastAsia="fr-FR" w:bidi="fr-FR"/>
        </w:rPr>
        <w:t>ricain était infiltré par des agents communistes</w:t>
      </w:r>
      <w:r>
        <w:rPr>
          <w:lang w:eastAsia="fr-FR" w:bidi="fr-FR"/>
        </w:rPr>
        <w:t> </w:t>
      </w:r>
      <w:r>
        <w:rPr>
          <w:rStyle w:val="Appelnotedebasdep"/>
          <w:lang w:eastAsia="fr-FR" w:bidi="fr-FR"/>
        </w:rPr>
        <w:footnoteReference w:id="128"/>
      </w:r>
      <w:r w:rsidRPr="00D2217B">
        <w:rPr>
          <w:lang w:eastAsia="fr-FR" w:bidi="fr-FR"/>
        </w:rPr>
        <w:t>. Des enquêtes et des mises en accusation de personnes de haut rang</w:t>
      </w:r>
      <w:r>
        <w:t xml:space="preserve"> [60] </w:t>
      </w:r>
      <w:r w:rsidRPr="00D2217B">
        <w:rPr>
          <w:lang w:eastAsia="fr-FR" w:bidi="fr-FR"/>
        </w:rPr>
        <w:t>dans la fon</w:t>
      </w:r>
      <w:r w:rsidRPr="00D2217B">
        <w:rPr>
          <w:lang w:eastAsia="fr-FR" w:bidi="fr-FR"/>
        </w:rPr>
        <w:t>c</w:t>
      </w:r>
      <w:r w:rsidRPr="00D2217B">
        <w:rPr>
          <w:lang w:eastAsia="fr-FR" w:bidi="fr-FR"/>
        </w:rPr>
        <w:t>tion publique</w:t>
      </w:r>
      <w:r>
        <w:rPr>
          <w:lang w:eastAsia="fr-FR" w:bidi="fr-FR"/>
        </w:rPr>
        <w:t> </w:t>
      </w:r>
      <w:r>
        <w:rPr>
          <w:rStyle w:val="Appelnotedebasdep"/>
          <w:lang w:eastAsia="fr-FR" w:bidi="fr-FR"/>
        </w:rPr>
        <w:footnoteReference w:id="129"/>
      </w:r>
      <w:r w:rsidRPr="00D2217B">
        <w:rPr>
          <w:lang w:eastAsia="fr-FR" w:bidi="fr-FR"/>
        </w:rPr>
        <w:t xml:space="preserve"> avaient donné lieu à des audiences tél</w:t>
      </w:r>
      <w:r w:rsidRPr="00D2217B">
        <w:rPr>
          <w:lang w:eastAsia="fr-FR" w:bidi="fr-FR"/>
        </w:rPr>
        <w:t>é</w:t>
      </w:r>
      <w:r w:rsidRPr="00D2217B">
        <w:rPr>
          <w:lang w:eastAsia="fr-FR" w:bidi="fr-FR"/>
        </w:rPr>
        <w:t>visées devant une sous-commission spéciale du Sénat. Cette chasse aux sorcières s’est résorbée peu à peu et a perdu sa fo</w:t>
      </w:r>
      <w:r w:rsidRPr="00D2217B">
        <w:rPr>
          <w:lang w:eastAsia="fr-FR" w:bidi="fr-FR"/>
        </w:rPr>
        <w:t>r</w:t>
      </w:r>
      <w:r w:rsidRPr="00D2217B">
        <w:rPr>
          <w:lang w:eastAsia="fr-FR" w:bidi="fr-FR"/>
        </w:rPr>
        <w:t>ce à la fin des années 1950. La droite américaine n’en est pas moins demeurée habitée d’un ant</w:t>
      </w:r>
      <w:r w:rsidRPr="00D2217B">
        <w:rPr>
          <w:lang w:eastAsia="fr-FR" w:bidi="fr-FR"/>
        </w:rPr>
        <w:t>i</w:t>
      </w:r>
      <w:r w:rsidRPr="00D2217B">
        <w:rPr>
          <w:lang w:eastAsia="fr-FR" w:bidi="fr-FR"/>
        </w:rPr>
        <w:t xml:space="preserve">communisme virulent animé de slogans comme </w:t>
      </w:r>
      <w:r w:rsidRPr="00C26675">
        <w:rPr>
          <w:i/>
          <w:iCs/>
        </w:rPr>
        <w:t>Better dead than red</w:t>
      </w:r>
      <w:r w:rsidRPr="00D2217B">
        <w:rPr>
          <w:lang w:eastAsia="fr-FR" w:bidi="fr-FR"/>
        </w:rPr>
        <w:t xml:space="preserve"> (</w:t>
      </w:r>
      <w:r w:rsidRPr="00D2217B">
        <w:t>« </w:t>
      </w:r>
      <w:r w:rsidRPr="00D2217B">
        <w:rPr>
          <w:lang w:eastAsia="fr-FR" w:bidi="fr-FR"/>
        </w:rPr>
        <w:t>Mieux vaut être mort qu’être rouge</w:t>
      </w:r>
      <w:r w:rsidRPr="00D2217B">
        <w:t> »</w:t>
      </w:r>
      <w:r w:rsidRPr="00D2217B">
        <w:rPr>
          <w:lang w:eastAsia="fr-FR" w:bidi="fr-FR"/>
        </w:rPr>
        <w:t xml:space="preserve">) ou encore </w:t>
      </w:r>
      <w:r w:rsidRPr="00C26675">
        <w:rPr>
          <w:i/>
          <w:iCs/>
        </w:rPr>
        <w:t>Ban the Commies, not guns</w:t>
      </w:r>
      <w:r w:rsidRPr="00D2217B">
        <w:t xml:space="preserve"> </w:t>
      </w:r>
      <w:r w:rsidRPr="00D2217B">
        <w:rPr>
          <w:lang w:eastAsia="fr-FR" w:bidi="fr-FR"/>
        </w:rPr>
        <w:t>(</w:t>
      </w:r>
      <w:r w:rsidRPr="00D2217B">
        <w:t>« </w:t>
      </w:r>
      <w:r w:rsidRPr="00D2217B">
        <w:rPr>
          <w:lang w:eastAsia="fr-FR" w:bidi="fr-FR"/>
        </w:rPr>
        <w:t>Bannissons les Communistes et non les a</w:t>
      </w:r>
      <w:r w:rsidRPr="00D2217B">
        <w:rPr>
          <w:lang w:eastAsia="fr-FR" w:bidi="fr-FR"/>
        </w:rPr>
        <w:t>r</w:t>
      </w:r>
      <w:r w:rsidRPr="00D2217B">
        <w:rPr>
          <w:lang w:eastAsia="fr-FR" w:bidi="fr-FR"/>
        </w:rPr>
        <w:t>mes à feu</w:t>
      </w:r>
      <w:r w:rsidRPr="00D2217B">
        <w:t> »</w:t>
      </w:r>
      <w:r w:rsidRPr="00D2217B">
        <w:rPr>
          <w:lang w:eastAsia="fr-FR" w:bidi="fr-FR"/>
        </w:rPr>
        <w:t>). En 1964, le candidat républicain Barry Goldwater d</w:t>
      </w:r>
      <w:r w:rsidRPr="00D2217B">
        <w:rPr>
          <w:lang w:eastAsia="fr-FR" w:bidi="fr-FR"/>
        </w:rPr>
        <w:t>é</w:t>
      </w:r>
      <w:r w:rsidRPr="00D2217B">
        <w:rPr>
          <w:lang w:eastAsia="fr-FR" w:bidi="fr-FR"/>
        </w:rPr>
        <w:t xml:space="preserve">fendait des thèses fortement teintées d’anticommunisme et proclamait que l’extrémisme dans la pratique de la vertu n’était pas un vice </w:t>
      </w:r>
      <w:r w:rsidRPr="00D2217B">
        <w:t>(</w:t>
      </w:r>
      <w:r w:rsidRPr="00C26675">
        <w:rPr>
          <w:i/>
          <w:iCs/>
        </w:rPr>
        <w:t>Extremism in the pu</w:t>
      </w:r>
      <w:r w:rsidRPr="00C26675">
        <w:rPr>
          <w:i/>
          <w:iCs/>
        </w:rPr>
        <w:t>r</w:t>
      </w:r>
      <w:r w:rsidRPr="00C26675">
        <w:rPr>
          <w:i/>
          <w:iCs/>
        </w:rPr>
        <w:t>suit of virtue is no vice</w:t>
      </w:r>
      <w:r w:rsidRPr="00D2217B">
        <w:t>).</w:t>
      </w:r>
      <w:r w:rsidRPr="00D2217B">
        <w:rPr>
          <w:lang w:eastAsia="fr-FR" w:bidi="fr-FR"/>
        </w:rPr>
        <w:t xml:space="preserve"> Ronald Reagan s’est fait le porte-parole de cette extrême droite dont on retrouve des relents dans les discours de George W. Bush. Ainsi, Hofstadter identifie quelques éléments cara</w:t>
      </w:r>
      <w:r w:rsidRPr="00D2217B">
        <w:rPr>
          <w:lang w:eastAsia="fr-FR" w:bidi="fr-FR"/>
        </w:rPr>
        <w:t>c</w:t>
      </w:r>
      <w:r w:rsidRPr="00D2217B">
        <w:rPr>
          <w:lang w:eastAsia="fr-FR" w:bidi="fr-FR"/>
        </w:rPr>
        <w:t>téristiques de ce style paranoïaque.</w:t>
      </w:r>
    </w:p>
    <w:p w14:paraId="704208A6" w14:textId="77777777" w:rsidR="0039793A" w:rsidRPr="00D2217B" w:rsidRDefault="0039793A" w:rsidP="0039793A">
      <w:pPr>
        <w:spacing w:before="120" w:after="120"/>
        <w:jc w:val="both"/>
      </w:pPr>
      <w:r w:rsidRPr="00D2217B">
        <w:rPr>
          <w:lang w:eastAsia="fr-FR" w:bidi="fr-FR"/>
        </w:rPr>
        <w:t xml:space="preserve">D’abord, le </w:t>
      </w:r>
      <w:r w:rsidRPr="00D2217B">
        <w:t>« </w:t>
      </w:r>
      <w:r w:rsidRPr="00D2217B">
        <w:rPr>
          <w:lang w:eastAsia="fr-FR" w:bidi="fr-FR"/>
        </w:rPr>
        <w:t>paranoïaque</w:t>
      </w:r>
      <w:r w:rsidRPr="00D2217B">
        <w:t> »</w:t>
      </w:r>
      <w:r w:rsidRPr="00D2217B">
        <w:rPr>
          <w:lang w:eastAsia="fr-FR" w:bidi="fr-FR"/>
        </w:rPr>
        <w:t xml:space="preserve"> ne pense pas que le conflit absolu, tel qu’il l’entrevoit, est susceptible d’être arbitré par une médiation ou une négoci</w:t>
      </w:r>
      <w:r w:rsidRPr="00D2217B">
        <w:rPr>
          <w:lang w:eastAsia="fr-FR" w:bidi="fr-FR"/>
        </w:rPr>
        <w:t>a</w:t>
      </w:r>
      <w:r w:rsidRPr="00D2217B">
        <w:rPr>
          <w:lang w:eastAsia="fr-FR" w:bidi="fr-FR"/>
        </w:rPr>
        <w:t>tion</w:t>
      </w:r>
      <w:r w:rsidRPr="00D2217B">
        <w:t> :</w:t>
      </w:r>
      <w:r w:rsidRPr="00D2217B">
        <w:rPr>
          <w:lang w:eastAsia="fr-FR" w:bidi="fr-FR"/>
        </w:rPr>
        <w:t xml:space="preserve"> on ne négocie pas avec le diable. Pour ceux qui voient les conflits internationaux en ces termes, il n’y a donc pas de place pour la diplomatie, pas de compromis possible entre le bien a</w:t>
      </w:r>
      <w:r w:rsidRPr="00D2217B">
        <w:rPr>
          <w:lang w:eastAsia="fr-FR" w:bidi="fr-FR"/>
        </w:rPr>
        <w:t>b</w:t>
      </w:r>
      <w:r w:rsidRPr="00D2217B">
        <w:rPr>
          <w:lang w:eastAsia="fr-FR" w:bidi="fr-FR"/>
        </w:rPr>
        <w:t>solu qu’on défend et le mal absolu auquel on s’oppose. La seule qual</w:t>
      </w:r>
      <w:r w:rsidRPr="00D2217B">
        <w:rPr>
          <w:lang w:eastAsia="fr-FR" w:bidi="fr-FR"/>
        </w:rPr>
        <w:t>i</w:t>
      </w:r>
      <w:r w:rsidRPr="00D2217B">
        <w:rPr>
          <w:lang w:eastAsia="fr-FR" w:bidi="fr-FR"/>
        </w:rPr>
        <w:t>té requise dans ce genre de situation, c’est la volonté de combattre jusqu’au bout, jusqu’à l’élimination de l’ennemi. Il n’y a pas de sub</w:t>
      </w:r>
      <w:r w:rsidRPr="00D2217B">
        <w:rPr>
          <w:lang w:eastAsia="fr-FR" w:bidi="fr-FR"/>
        </w:rPr>
        <w:t>s</w:t>
      </w:r>
      <w:r w:rsidRPr="00D2217B">
        <w:rPr>
          <w:lang w:eastAsia="fr-FR" w:bidi="fr-FR"/>
        </w:rPr>
        <w:t>titut à la victoire totale.</w:t>
      </w:r>
    </w:p>
    <w:p w14:paraId="3052B0D5" w14:textId="77777777" w:rsidR="0039793A" w:rsidRPr="00D2217B" w:rsidRDefault="0039793A" w:rsidP="0039793A">
      <w:pPr>
        <w:spacing w:before="120" w:after="120"/>
        <w:jc w:val="both"/>
      </w:pPr>
      <w:r w:rsidRPr="00D2217B">
        <w:rPr>
          <w:lang w:eastAsia="fr-FR" w:bidi="fr-FR"/>
        </w:rPr>
        <w:t>L’ennemi est bien identifié comme une sorte de surhomme imm</w:t>
      </w:r>
      <w:r w:rsidRPr="00D2217B">
        <w:rPr>
          <w:lang w:eastAsia="fr-FR" w:bidi="fr-FR"/>
        </w:rPr>
        <w:t>o</w:t>
      </w:r>
      <w:r w:rsidRPr="00D2217B">
        <w:rPr>
          <w:lang w:eastAsia="fr-FR" w:bidi="fr-FR"/>
        </w:rPr>
        <w:t>ral affublé de tous les défauts</w:t>
      </w:r>
      <w:r w:rsidRPr="00D2217B">
        <w:t> :</w:t>
      </w:r>
      <w:r w:rsidRPr="00D2217B">
        <w:rPr>
          <w:lang w:eastAsia="fr-FR" w:bidi="fr-FR"/>
        </w:rPr>
        <w:t xml:space="preserve"> il est dépravé, menteur, tyrannique. Il n’en demeure pas moins terriblement efficace. Paradoxalement, pour combattre l’ennemi, on peut en venir à l’imiter, à utiliser du moins ses moyens. Par exe</w:t>
      </w:r>
      <w:r w:rsidRPr="00D2217B">
        <w:rPr>
          <w:lang w:eastAsia="fr-FR" w:bidi="fr-FR"/>
        </w:rPr>
        <w:t>m</w:t>
      </w:r>
      <w:r w:rsidRPr="00D2217B">
        <w:rPr>
          <w:lang w:eastAsia="fr-FR" w:bidi="fr-FR"/>
        </w:rPr>
        <w:t>ple, pour venir à bout des ennemis de la liberté, il faut limiter les libertés. S’il se trouve des renégats qui ont rompu avec l’ennemi et le dénoncent avec ferveur, on leur accorde une grande crédibilité et on appuie leurs dénonciations sans examen.</w:t>
      </w:r>
    </w:p>
    <w:p w14:paraId="6F569DD6" w14:textId="77777777" w:rsidR="0039793A" w:rsidRPr="00D2217B" w:rsidRDefault="0039793A" w:rsidP="0039793A">
      <w:pPr>
        <w:spacing w:before="120" w:after="120"/>
        <w:jc w:val="both"/>
      </w:pPr>
      <w:r w:rsidRPr="00D2217B">
        <w:rPr>
          <w:lang w:eastAsia="fr-FR" w:bidi="fr-FR"/>
        </w:rPr>
        <w:t>Même si ce style paranoïaque ne marque pas toujours aussi viv</w:t>
      </w:r>
      <w:r w:rsidRPr="00D2217B">
        <w:rPr>
          <w:lang w:eastAsia="fr-FR" w:bidi="fr-FR"/>
        </w:rPr>
        <w:t>e</w:t>
      </w:r>
      <w:r w:rsidRPr="00D2217B">
        <w:rPr>
          <w:lang w:eastAsia="fr-FR" w:bidi="fr-FR"/>
        </w:rPr>
        <w:t>ment la politique étrangère américaine, il revient de manière récurre</w:t>
      </w:r>
      <w:r w:rsidRPr="00D2217B">
        <w:rPr>
          <w:lang w:eastAsia="fr-FR" w:bidi="fr-FR"/>
        </w:rPr>
        <w:t>n</w:t>
      </w:r>
      <w:r w:rsidRPr="00D2217B">
        <w:rPr>
          <w:lang w:eastAsia="fr-FR" w:bidi="fr-FR"/>
        </w:rPr>
        <w:t>te dans les disco</w:t>
      </w:r>
      <w:r>
        <w:rPr>
          <w:lang w:eastAsia="fr-FR" w:bidi="fr-FR"/>
        </w:rPr>
        <w:t>urs officiels et dans le traite</w:t>
      </w:r>
      <w:r w:rsidRPr="00D2217B">
        <w:rPr>
          <w:lang w:eastAsia="fr-FR" w:bidi="fr-FR"/>
        </w:rPr>
        <w:t>ment</w:t>
      </w:r>
      <w:r>
        <w:t xml:space="preserve"> [61]</w:t>
      </w:r>
      <w:r w:rsidRPr="00D2217B">
        <w:rPr>
          <w:lang w:eastAsia="fr-FR" w:bidi="fr-FR"/>
        </w:rPr>
        <w:t xml:space="preserve"> de l’information qu’opèrent les médias de droite</w:t>
      </w:r>
      <w:r>
        <w:rPr>
          <w:lang w:eastAsia="fr-FR" w:bidi="fr-FR"/>
        </w:rPr>
        <w:t> </w:t>
      </w:r>
      <w:r>
        <w:rPr>
          <w:rStyle w:val="Appelnotedebasdep"/>
          <w:lang w:eastAsia="fr-FR" w:bidi="fr-FR"/>
        </w:rPr>
        <w:footnoteReference w:id="130"/>
      </w:r>
      <w:r w:rsidRPr="00D2217B">
        <w:rPr>
          <w:lang w:eastAsia="fr-FR" w:bidi="fr-FR"/>
        </w:rPr>
        <w:t>. Cette conscience profonde des Américains de poursuivre une destinée part</w:t>
      </w:r>
      <w:r w:rsidRPr="00D2217B">
        <w:rPr>
          <w:lang w:eastAsia="fr-FR" w:bidi="fr-FR"/>
        </w:rPr>
        <w:t>i</w:t>
      </w:r>
      <w:r w:rsidRPr="00D2217B">
        <w:rPr>
          <w:lang w:eastAsia="fr-FR" w:bidi="fr-FR"/>
        </w:rPr>
        <w:t>culière s’enracine dans le passé du pays. Il en va autrement d’une autre cara</w:t>
      </w:r>
      <w:r w:rsidRPr="00D2217B">
        <w:rPr>
          <w:lang w:eastAsia="fr-FR" w:bidi="fr-FR"/>
        </w:rPr>
        <w:t>c</w:t>
      </w:r>
      <w:r w:rsidRPr="00D2217B">
        <w:rPr>
          <w:lang w:eastAsia="fr-FR" w:bidi="fr-FR"/>
        </w:rPr>
        <w:t>téristique du style américain qui relève plutôt des prome</w:t>
      </w:r>
      <w:r w:rsidRPr="00D2217B">
        <w:rPr>
          <w:lang w:eastAsia="fr-FR" w:bidi="fr-FR"/>
        </w:rPr>
        <w:t>s</w:t>
      </w:r>
      <w:r w:rsidRPr="00D2217B">
        <w:rPr>
          <w:lang w:eastAsia="fr-FR" w:bidi="fr-FR"/>
        </w:rPr>
        <w:t xml:space="preserve">ses de l’avenir et du progrès technologique. C’est ce qu’on a appelé le </w:t>
      </w:r>
      <w:r w:rsidRPr="00C26675">
        <w:rPr>
          <w:i/>
          <w:iCs/>
        </w:rPr>
        <w:t>Skill thinking</w:t>
      </w:r>
      <w:r w:rsidRPr="00D2217B">
        <w:rPr>
          <w:lang w:eastAsia="fr-FR" w:bidi="fr-FR"/>
        </w:rPr>
        <w:t xml:space="preserve"> ou la pensée experte.</w:t>
      </w:r>
    </w:p>
    <w:p w14:paraId="68F21F5D" w14:textId="77777777" w:rsidR="0039793A" w:rsidRPr="00587D8F" w:rsidRDefault="0039793A" w:rsidP="0039793A">
      <w:pPr>
        <w:jc w:val="both"/>
        <w:rPr>
          <w:sz w:val="20"/>
          <w:lang w:eastAsia="fr-FR" w:bidi="fr-FR"/>
        </w:rPr>
      </w:pPr>
    </w:p>
    <w:p w14:paraId="2BAA201B" w14:textId="77777777" w:rsidR="0039793A" w:rsidRPr="00D2217B" w:rsidRDefault="0039793A" w:rsidP="0039793A">
      <w:pPr>
        <w:pStyle w:val="a"/>
      </w:pPr>
      <w:r w:rsidRPr="00D2217B">
        <w:t>La pensée experte</w:t>
      </w:r>
    </w:p>
    <w:p w14:paraId="389E862C" w14:textId="77777777" w:rsidR="0039793A" w:rsidRPr="00587D8F" w:rsidRDefault="0039793A" w:rsidP="0039793A">
      <w:pPr>
        <w:jc w:val="both"/>
        <w:rPr>
          <w:sz w:val="20"/>
          <w:lang w:eastAsia="fr-FR" w:bidi="fr-FR"/>
        </w:rPr>
      </w:pPr>
    </w:p>
    <w:p w14:paraId="348E2213" w14:textId="77777777" w:rsidR="0039793A" w:rsidRPr="00D2217B" w:rsidRDefault="0039793A" w:rsidP="0039793A">
      <w:pPr>
        <w:spacing w:before="120" w:after="120"/>
        <w:jc w:val="both"/>
      </w:pPr>
      <w:r w:rsidRPr="00D2217B">
        <w:rPr>
          <w:lang w:eastAsia="fr-FR" w:bidi="fr-FR"/>
        </w:rPr>
        <w:t>Selon Stanley Hoffmann, la pensée experte est une propension pa</w:t>
      </w:r>
      <w:r w:rsidRPr="00D2217B">
        <w:rPr>
          <w:lang w:eastAsia="fr-FR" w:bidi="fr-FR"/>
        </w:rPr>
        <w:t>r</w:t>
      </w:r>
      <w:r w:rsidRPr="00D2217B">
        <w:rPr>
          <w:lang w:eastAsia="fr-FR" w:bidi="fr-FR"/>
        </w:rPr>
        <w:t>ticulièrement forte à recourir à la technique pour résoudre des probl</w:t>
      </w:r>
      <w:r w:rsidRPr="00D2217B">
        <w:rPr>
          <w:lang w:eastAsia="fr-FR" w:bidi="fr-FR"/>
        </w:rPr>
        <w:t>è</w:t>
      </w:r>
      <w:r w:rsidRPr="00D2217B">
        <w:rPr>
          <w:lang w:eastAsia="fr-FR" w:bidi="fr-FR"/>
        </w:rPr>
        <w:t>mes d’ordre politique</w:t>
      </w:r>
      <w:r>
        <w:rPr>
          <w:lang w:eastAsia="fr-FR" w:bidi="fr-FR"/>
        </w:rPr>
        <w:t> </w:t>
      </w:r>
      <w:r>
        <w:rPr>
          <w:rStyle w:val="Appelnotedebasdep"/>
          <w:lang w:eastAsia="fr-FR" w:bidi="fr-FR"/>
        </w:rPr>
        <w:footnoteReference w:id="131"/>
      </w:r>
      <w:r w:rsidRPr="00D2217B">
        <w:rPr>
          <w:lang w:eastAsia="fr-FR" w:bidi="fr-FR"/>
        </w:rPr>
        <w:t>. Cette propension trouve ses racines dans le libéralisme américain. Isolé de la dialect</w:t>
      </w:r>
      <w:r w:rsidRPr="00D2217B">
        <w:rPr>
          <w:lang w:eastAsia="fr-FR" w:bidi="fr-FR"/>
        </w:rPr>
        <w:t>i</w:t>
      </w:r>
      <w:r w:rsidRPr="00D2217B">
        <w:rPr>
          <w:lang w:eastAsia="fr-FR" w:bidi="fr-FR"/>
        </w:rPr>
        <w:t>que européenne, c’est-à-dire de la confrontation des idéologies, le libéralisme a produit aux États-Unis un consensus idéologique inédit. Alexis de Tocqueville rema</w:t>
      </w:r>
      <w:r w:rsidRPr="00D2217B">
        <w:rPr>
          <w:lang w:eastAsia="fr-FR" w:bidi="fr-FR"/>
        </w:rPr>
        <w:t>r</w:t>
      </w:r>
      <w:r w:rsidRPr="00D2217B">
        <w:rPr>
          <w:lang w:eastAsia="fr-FR" w:bidi="fr-FR"/>
        </w:rPr>
        <w:t xml:space="preserve">quait d’ailleurs, au </w:t>
      </w:r>
      <w:r w:rsidRPr="00D2217B">
        <w:t>XIX</w:t>
      </w:r>
      <w:r>
        <w:rPr>
          <w:vertAlign w:val="superscript"/>
        </w:rPr>
        <w:t xml:space="preserve">e </w:t>
      </w:r>
      <w:r w:rsidRPr="00D2217B">
        <w:rPr>
          <w:lang w:eastAsia="fr-FR" w:bidi="fr-FR"/>
        </w:rPr>
        <w:t xml:space="preserve">siècle, les effets de la </w:t>
      </w:r>
      <w:r w:rsidRPr="00D2217B">
        <w:t>« </w:t>
      </w:r>
      <w:r w:rsidRPr="00D2217B">
        <w:rPr>
          <w:lang w:eastAsia="fr-FR" w:bidi="fr-FR"/>
        </w:rPr>
        <w:t>tyrannie de la major</w:t>
      </w:r>
      <w:r w:rsidRPr="00D2217B">
        <w:rPr>
          <w:lang w:eastAsia="fr-FR" w:bidi="fr-FR"/>
        </w:rPr>
        <w:t>i</w:t>
      </w:r>
      <w:r w:rsidRPr="00D2217B">
        <w:rPr>
          <w:lang w:eastAsia="fr-FR" w:bidi="fr-FR"/>
        </w:rPr>
        <w:t>té</w:t>
      </w:r>
      <w:r w:rsidRPr="00D2217B">
        <w:t> »</w:t>
      </w:r>
      <w:r w:rsidRPr="00D2217B">
        <w:rPr>
          <w:lang w:eastAsia="fr-FR" w:bidi="fr-FR"/>
        </w:rPr>
        <w:t>, et entre autres, cet étonnant conformisme intellectuel</w:t>
      </w:r>
      <w:r w:rsidRPr="00D2217B">
        <w:t> :</w:t>
      </w:r>
    </w:p>
    <w:p w14:paraId="4BBDEF72" w14:textId="77777777" w:rsidR="0039793A" w:rsidRDefault="0039793A" w:rsidP="0039793A">
      <w:pPr>
        <w:pStyle w:val="Grillecouleur-Accent1"/>
      </w:pPr>
    </w:p>
    <w:p w14:paraId="5097B943" w14:textId="77777777" w:rsidR="0039793A" w:rsidRDefault="0039793A" w:rsidP="0039793A">
      <w:pPr>
        <w:pStyle w:val="Grillecouleur-Accent1"/>
      </w:pPr>
      <w:r w:rsidRPr="00D2217B">
        <w:t>« </w:t>
      </w:r>
      <w:r w:rsidRPr="00D2217B">
        <w:rPr>
          <w:lang w:eastAsia="fr-FR" w:bidi="fr-FR"/>
        </w:rPr>
        <w:t>Je ne connais pas de pays où il règne, en g</w:t>
      </w:r>
      <w:r w:rsidRPr="00D2217B">
        <w:rPr>
          <w:lang w:eastAsia="fr-FR" w:bidi="fr-FR"/>
        </w:rPr>
        <w:t>é</w:t>
      </w:r>
      <w:r w:rsidRPr="00D2217B">
        <w:rPr>
          <w:lang w:eastAsia="fr-FR" w:bidi="fr-FR"/>
        </w:rPr>
        <w:t>néral, moins d’indépendance d’esprit et de véritable liberté de discussion qu’en Amér</w:t>
      </w:r>
      <w:r w:rsidRPr="00D2217B">
        <w:rPr>
          <w:lang w:eastAsia="fr-FR" w:bidi="fr-FR"/>
        </w:rPr>
        <w:t>i</w:t>
      </w:r>
      <w:r w:rsidRPr="00D2217B">
        <w:rPr>
          <w:lang w:eastAsia="fr-FR" w:bidi="fr-FR"/>
        </w:rPr>
        <w:t>que. [...] En Amérique, la majorité trace un cercle formidable autour de la pensée. Au-dedans de ces limites, l’écrivain est libre</w:t>
      </w:r>
      <w:r w:rsidRPr="00D2217B">
        <w:t> ;</w:t>
      </w:r>
      <w:r w:rsidRPr="00D2217B">
        <w:rPr>
          <w:lang w:eastAsia="fr-FR" w:bidi="fr-FR"/>
        </w:rPr>
        <w:t xml:space="preserve"> mais malheur à lui s’il ose en sortir. Ce n’est pas qu’il ait à craindre un autodafé, mais il est en butte à des dégoûts de tous genres et à des persécutions de tous les jours. La carrière politique lui est fermée</w:t>
      </w:r>
      <w:r w:rsidRPr="00D2217B">
        <w:t> :</w:t>
      </w:r>
      <w:r w:rsidRPr="00D2217B">
        <w:rPr>
          <w:lang w:eastAsia="fr-FR" w:bidi="fr-FR"/>
        </w:rPr>
        <w:t xml:space="preserve"> il a offensé la seule pui</w:t>
      </w:r>
      <w:r w:rsidRPr="00D2217B">
        <w:rPr>
          <w:lang w:eastAsia="fr-FR" w:bidi="fr-FR"/>
        </w:rPr>
        <w:t>s</w:t>
      </w:r>
      <w:r w:rsidRPr="00D2217B">
        <w:rPr>
          <w:lang w:eastAsia="fr-FR" w:bidi="fr-FR"/>
        </w:rPr>
        <w:t>sance qui ait la faculté de l’ouvrir</w:t>
      </w:r>
      <w:r>
        <w:rPr>
          <w:lang w:eastAsia="fr-FR" w:bidi="fr-FR"/>
        </w:rPr>
        <w:t> </w:t>
      </w:r>
      <w:r>
        <w:rPr>
          <w:rStyle w:val="Appelnotedebasdep"/>
          <w:lang w:eastAsia="fr-FR" w:bidi="fr-FR"/>
        </w:rPr>
        <w:footnoteReference w:id="132"/>
      </w:r>
      <w:r w:rsidRPr="00D2217B">
        <w:rPr>
          <w:lang w:eastAsia="fr-FR" w:bidi="fr-FR"/>
        </w:rPr>
        <w:t>.</w:t>
      </w:r>
      <w:r w:rsidRPr="00D2217B">
        <w:t> »</w:t>
      </w:r>
    </w:p>
    <w:p w14:paraId="67AB18CD" w14:textId="77777777" w:rsidR="0039793A" w:rsidRPr="00D2217B" w:rsidRDefault="0039793A" w:rsidP="0039793A">
      <w:pPr>
        <w:pStyle w:val="Grillecouleur-Accent1"/>
      </w:pPr>
    </w:p>
    <w:p w14:paraId="29E36C08" w14:textId="77777777" w:rsidR="0039793A" w:rsidRPr="00D2217B" w:rsidRDefault="0039793A" w:rsidP="0039793A">
      <w:pPr>
        <w:spacing w:before="120" w:after="120"/>
        <w:jc w:val="both"/>
        <w:rPr>
          <w:lang w:eastAsia="fr-FR" w:bidi="fr-FR"/>
        </w:rPr>
      </w:pPr>
      <w:r w:rsidRPr="00D2217B">
        <w:rPr>
          <w:lang w:eastAsia="fr-FR" w:bidi="fr-FR"/>
        </w:rPr>
        <w:t>Il ne s’agit donc pas de véritable atteinte à la l</w:t>
      </w:r>
      <w:r w:rsidRPr="00D2217B">
        <w:rPr>
          <w:lang w:eastAsia="fr-FR" w:bidi="fr-FR"/>
        </w:rPr>
        <w:t>i</w:t>
      </w:r>
      <w:r w:rsidRPr="00D2217B">
        <w:rPr>
          <w:lang w:eastAsia="fr-FR" w:bidi="fr-FR"/>
        </w:rPr>
        <w:t>berté de pensée mais du fait que les grands princ</w:t>
      </w:r>
      <w:r w:rsidRPr="00D2217B">
        <w:rPr>
          <w:lang w:eastAsia="fr-FR" w:bidi="fr-FR"/>
        </w:rPr>
        <w:t>i</w:t>
      </w:r>
      <w:r w:rsidRPr="00D2217B">
        <w:rPr>
          <w:lang w:eastAsia="fr-FR" w:bidi="fr-FR"/>
        </w:rPr>
        <w:t>pes de la philosophie politique libérale ne sont g</w:t>
      </w:r>
      <w:r w:rsidRPr="00D2217B">
        <w:rPr>
          <w:lang w:eastAsia="fr-FR" w:bidi="fr-FR"/>
        </w:rPr>
        <w:t>é</w:t>
      </w:r>
      <w:r w:rsidRPr="00D2217B">
        <w:rPr>
          <w:lang w:eastAsia="fr-FR" w:bidi="fr-FR"/>
        </w:rPr>
        <w:t>néralement pas remis en cause. Il y a</w:t>
      </w:r>
      <w:r>
        <w:t xml:space="preserve"> [62] </w:t>
      </w:r>
      <w:r w:rsidRPr="00D2217B">
        <w:rPr>
          <w:lang w:eastAsia="fr-FR" w:bidi="fr-FR"/>
        </w:rPr>
        <w:t xml:space="preserve">consensus en ce qui a trait aux objectifs. Seuls les moyens sont contestés. Il faut être aux </w:t>
      </w:r>
      <w:r>
        <w:rPr>
          <w:lang w:eastAsia="fr-FR" w:bidi="fr-FR"/>
        </w:rPr>
        <w:t>État</w:t>
      </w:r>
      <w:r w:rsidRPr="00D2217B">
        <w:rPr>
          <w:lang w:eastAsia="fr-FR" w:bidi="fr-FR"/>
        </w:rPr>
        <w:t>s-Unis pour écrire un livre sur la fin de l’idéologie</w:t>
      </w:r>
      <w:r>
        <w:rPr>
          <w:lang w:eastAsia="fr-FR" w:bidi="fr-FR"/>
        </w:rPr>
        <w:t> </w:t>
      </w:r>
      <w:r>
        <w:rPr>
          <w:rStyle w:val="Appelnotedebasdep"/>
          <w:lang w:eastAsia="fr-FR" w:bidi="fr-FR"/>
        </w:rPr>
        <w:footnoteReference w:id="133"/>
      </w:r>
      <w:r w:rsidRPr="00D2217B">
        <w:rPr>
          <w:lang w:eastAsia="fr-FR" w:bidi="fr-FR"/>
        </w:rPr>
        <w:t xml:space="preserve"> ou encore sur la fin de l’histoire entendue comme le triomphe de l’idéologie l</w:t>
      </w:r>
      <w:r w:rsidRPr="00D2217B">
        <w:rPr>
          <w:lang w:eastAsia="fr-FR" w:bidi="fr-FR"/>
        </w:rPr>
        <w:t>i</w:t>
      </w:r>
      <w:r w:rsidRPr="00D2217B">
        <w:rPr>
          <w:lang w:eastAsia="fr-FR" w:bidi="fr-FR"/>
        </w:rPr>
        <w:t>bérale</w:t>
      </w:r>
      <w:r>
        <w:rPr>
          <w:lang w:eastAsia="fr-FR" w:bidi="fr-FR"/>
        </w:rPr>
        <w:t> </w:t>
      </w:r>
      <w:r>
        <w:rPr>
          <w:rStyle w:val="Appelnotedebasdep"/>
          <w:lang w:eastAsia="fr-FR" w:bidi="fr-FR"/>
        </w:rPr>
        <w:footnoteReference w:id="134"/>
      </w:r>
      <w:r w:rsidRPr="00D2217B">
        <w:rPr>
          <w:lang w:eastAsia="fr-FR" w:bidi="fr-FR"/>
        </w:rPr>
        <w:t>. Voilà pourquoi on se passe volo</w:t>
      </w:r>
      <w:r w:rsidRPr="00D2217B">
        <w:rPr>
          <w:lang w:eastAsia="fr-FR" w:bidi="fr-FR"/>
        </w:rPr>
        <w:t>n</w:t>
      </w:r>
      <w:r w:rsidRPr="00D2217B">
        <w:rPr>
          <w:lang w:eastAsia="fr-FR" w:bidi="fr-FR"/>
        </w:rPr>
        <w:t>tiers des philosophes ou des historiens dans les lieux de décision pol</w:t>
      </w:r>
      <w:r w:rsidRPr="00D2217B">
        <w:rPr>
          <w:lang w:eastAsia="fr-FR" w:bidi="fr-FR"/>
        </w:rPr>
        <w:t>i</w:t>
      </w:r>
      <w:r w:rsidRPr="00D2217B">
        <w:rPr>
          <w:lang w:eastAsia="fr-FR" w:bidi="fr-FR"/>
        </w:rPr>
        <w:t>tique.</w:t>
      </w:r>
    </w:p>
    <w:p w14:paraId="14B4368A" w14:textId="77777777" w:rsidR="0039793A" w:rsidRPr="00D2217B" w:rsidRDefault="0039793A" w:rsidP="0039793A">
      <w:pPr>
        <w:spacing w:before="120" w:after="120"/>
        <w:jc w:val="both"/>
      </w:pPr>
      <w:r w:rsidRPr="00D2217B">
        <w:rPr>
          <w:lang w:eastAsia="fr-FR" w:bidi="fr-FR"/>
        </w:rPr>
        <w:t>Le champ est donc libre pour une utilisation e</w:t>
      </w:r>
      <w:r w:rsidRPr="00D2217B">
        <w:rPr>
          <w:lang w:eastAsia="fr-FR" w:bidi="fr-FR"/>
        </w:rPr>
        <w:t>f</w:t>
      </w:r>
      <w:r w:rsidRPr="00D2217B">
        <w:rPr>
          <w:lang w:eastAsia="fr-FR" w:bidi="fr-FR"/>
        </w:rPr>
        <w:t>frénée du moyen technologique ou encore pour le recours à la théorie analytique d</w:t>
      </w:r>
      <w:r w:rsidRPr="00D2217B">
        <w:rPr>
          <w:lang w:eastAsia="fr-FR" w:bidi="fr-FR"/>
        </w:rPr>
        <w:t>é</w:t>
      </w:r>
      <w:r w:rsidRPr="00D2217B">
        <w:rPr>
          <w:lang w:eastAsia="fr-FR" w:bidi="fr-FR"/>
        </w:rPr>
        <w:t>pourvue de toute considération philosophique ou historique</w:t>
      </w:r>
      <w:r w:rsidRPr="00D2217B">
        <w:t> :</w:t>
      </w:r>
      <w:r w:rsidRPr="00D2217B">
        <w:rPr>
          <w:lang w:eastAsia="fr-FR" w:bidi="fr-FR"/>
        </w:rPr>
        <w:t xml:space="preserve"> </w:t>
      </w:r>
      <w:r w:rsidRPr="00D2217B">
        <w:t>« </w:t>
      </w:r>
      <w:r w:rsidRPr="00D2217B">
        <w:rPr>
          <w:lang w:eastAsia="fr-FR" w:bidi="fr-FR"/>
        </w:rPr>
        <w:t>Les doctrines elles-mêmes sont présentées et révisées sur la base de ra</w:t>
      </w:r>
      <w:r w:rsidRPr="00D2217B">
        <w:rPr>
          <w:lang w:eastAsia="fr-FR" w:bidi="fr-FR"/>
        </w:rPr>
        <w:t>i</w:t>
      </w:r>
      <w:r w:rsidRPr="00D2217B">
        <w:rPr>
          <w:lang w:eastAsia="fr-FR" w:bidi="fr-FR"/>
        </w:rPr>
        <w:t>sons techniques plutôt que polit</w:t>
      </w:r>
      <w:r w:rsidRPr="00D2217B">
        <w:rPr>
          <w:lang w:eastAsia="fr-FR" w:bidi="fr-FR"/>
        </w:rPr>
        <w:t>i</w:t>
      </w:r>
      <w:r w:rsidRPr="00D2217B">
        <w:rPr>
          <w:lang w:eastAsia="fr-FR" w:bidi="fr-FR"/>
        </w:rPr>
        <w:t>ques, avec des conséquences souvent effarantes</w:t>
      </w:r>
      <w:r>
        <w:rPr>
          <w:lang w:eastAsia="fr-FR" w:bidi="fr-FR"/>
        </w:rPr>
        <w:t> </w:t>
      </w:r>
      <w:r>
        <w:rPr>
          <w:rStyle w:val="Appelnotedebasdep"/>
          <w:lang w:eastAsia="fr-FR" w:bidi="fr-FR"/>
        </w:rPr>
        <w:footnoteReference w:id="135"/>
      </w:r>
      <w:r w:rsidRPr="00D2217B">
        <w:rPr>
          <w:lang w:eastAsia="fr-FR" w:bidi="fr-FR"/>
        </w:rPr>
        <w:t>.</w:t>
      </w:r>
      <w:r w:rsidRPr="00D2217B">
        <w:t> »</w:t>
      </w:r>
      <w:r w:rsidRPr="00D2217B">
        <w:rPr>
          <w:lang w:eastAsia="fr-FR" w:bidi="fr-FR"/>
        </w:rPr>
        <w:t xml:space="preserve"> Dans ce contexte, on comprend mieux la fasc</w:t>
      </w:r>
      <w:r w:rsidRPr="00D2217B">
        <w:rPr>
          <w:lang w:eastAsia="fr-FR" w:bidi="fr-FR"/>
        </w:rPr>
        <w:t>i</w:t>
      </w:r>
      <w:r w:rsidRPr="00D2217B">
        <w:rPr>
          <w:lang w:eastAsia="fr-FR" w:bidi="fr-FR"/>
        </w:rPr>
        <w:t>nation qu’éprouvent les Américains pour les applications multiples des i</w:t>
      </w:r>
      <w:r w:rsidRPr="00D2217B">
        <w:rPr>
          <w:lang w:eastAsia="fr-FR" w:bidi="fr-FR"/>
        </w:rPr>
        <w:t>n</w:t>
      </w:r>
      <w:r w:rsidRPr="00D2217B">
        <w:rPr>
          <w:lang w:eastAsia="fr-FR" w:bidi="fr-FR"/>
        </w:rPr>
        <w:t>ventions scientifiques</w:t>
      </w:r>
      <w:r>
        <w:rPr>
          <w:lang w:eastAsia="fr-FR" w:bidi="fr-FR"/>
        </w:rPr>
        <w:t> </w:t>
      </w:r>
      <w:r>
        <w:rPr>
          <w:rStyle w:val="Appelnotedebasdep"/>
          <w:lang w:eastAsia="fr-FR" w:bidi="fr-FR"/>
        </w:rPr>
        <w:footnoteReference w:id="136"/>
      </w:r>
      <w:r w:rsidRPr="00D2217B">
        <w:rPr>
          <w:lang w:eastAsia="fr-FR" w:bidi="fr-FR"/>
        </w:rPr>
        <w:t>. Les États-Unis ont sans cesse été le lieu, non pas nécessairement des inventions nouvelles, mais de leur mise en œuvre. Qu’on pense seulement à la production des véhicules autom</w:t>
      </w:r>
      <w:r w:rsidRPr="00D2217B">
        <w:rPr>
          <w:lang w:eastAsia="fr-FR" w:bidi="fr-FR"/>
        </w:rPr>
        <w:t>o</w:t>
      </w:r>
      <w:r w:rsidRPr="00D2217B">
        <w:rPr>
          <w:lang w:eastAsia="fr-FR" w:bidi="fr-FR"/>
        </w:rPr>
        <w:t>biles, aux techniques cinématographiques, à l’aviation civile et mil</w:t>
      </w:r>
      <w:r w:rsidRPr="00D2217B">
        <w:rPr>
          <w:lang w:eastAsia="fr-FR" w:bidi="fr-FR"/>
        </w:rPr>
        <w:t>i</w:t>
      </w:r>
      <w:r w:rsidRPr="00D2217B">
        <w:rPr>
          <w:lang w:eastAsia="fr-FR" w:bidi="fr-FR"/>
        </w:rPr>
        <w:t>taire. Pensons encore aux grandes théories relatives à l’ingénierie s</w:t>
      </w:r>
      <w:r w:rsidRPr="00D2217B">
        <w:rPr>
          <w:lang w:eastAsia="fr-FR" w:bidi="fr-FR"/>
        </w:rPr>
        <w:t>o</w:t>
      </w:r>
      <w:r w:rsidRPr="00D2217B">
        <w:rPr>
          <w:lang w:eastAsia="fr-FR" w:bidi="fr-FR"/>
        </w:rPr>
        <w:t>ciale</w:t>
      </w:r>
      <w:r>
        <w:rPr>
          <w:lang w:eastAsia="fr-FR" w:bidi="fr-FR"/>
        </w:rPr>
        <w:t> </w:t>
      </w:r>
      <w:r>
        <w:rPr>
          <w:rStyle w:val="Appelnotedebasdep"/>
          <w:lang w:eastAsia="fr-FR" w:bidi="fr-FR"/>
        </w:rPr>
        <w:footnoteReference w:id="137"/>
      </w:r>
      <w:r>
        <w:rPr>
          <w:lang w:eastAsia="fr-FR" w:bidi="fr-FR"/>
        </w:rPr>
        <w:t>.</w:t>
      </w:r>
      <w:r w:rsidRPr="00D2217B">
        <w:rPr>
          <w:lang w:eastAsia="fr-FR" w:bidi="fr-FR"/>
        </w:rPr>
        <w:t xml:space="preserve"> Dans l’élaboration de la politique étrangère, cela s’est traduit par un recours privilégié aux théories et techniques, souvent aux d</w:t>
      </w:r>
      <w:r w:rsidRPr="00D2217B">
        <w:rPr>
          <w:lang w:eastAsia="fr-FR" w:bidi="fr-FR"/>
        </w:rPr>
        <w:t>é</w:t>
      </w:r>
      <w:r w:rsidRPr="00D2217B">
        <w:rPr>
          <w:lang w:eastAsia="fr-FR" w:bidi="fr-FR"/>
        </w:rPr>
        <w:t>pens des méthodes classiques de la diplomatie</w:t>
      </w:r>
      <w:r w:rsidRPr="00D2217B">
        <w:t> :</w:t>
      </w:r>
      <w:r w:rsidRPr="00D2217B">
        <w:rPr>
          <w:lang w:eastAsia="fr-FR" w:bidi="fr-FR"/>
        </w:rPr>
        <w:t xml:space="preserve"> </w:t>
      </w:r>
      <w:r w:rsidRPr="00D2217B">
        <w:t>« </w:t>
      </w:r>
      <w:r w:rsidRPr="00D2217B">
        <w:rPr>
          <w:lang w:eastAsia="fr-FR" w:bidi="fr-FR"/>
        </w:rPr>
        <w:t>Le vice principal du mode d’approche américain est l’application de la pensée experte à des que</w:t>
      </w:r>
      <w:r w:rsidRPr="00D2217B">
        <w:rPr>
          <w:lang w:eastAsia="fr-FR" w:bidi="fr-FR"/>
        </w:rPr>
        <w:t>s</w:t>
      </w:r>
      <w:r w:rsidRPr="00D2217B">
        <w:rPr>
          <w:lang w:eastAsia="fr-FR" w:bidi="fr-FR"/>
        </w:rPr>
        <w:t>tions qui nécessitent un choix complexe, car les techniques auxquelles il fait appel prennent souvent le pas sur le jugement polit</w:t>
      </w:r>
      <w:r w:rsidRPr="00D2217B">
        <w:rPr>
          <w:lang w:eastAsia="fr-FR" w:bidi="fr-FR"/>
        </w:rPr>
        <w:t>i</w:t>
      </w:r>
      <w:r w:rsidRPr="00D2217B">
        <w:rPr>
          <w:lang w:eastAsia="fr-FR" w:bidi="fr-FR"/>
        </w:rPr>
        <w:t>que</w:t>
      </w:r>
      <w:r>
        <w:rPr>
          <w:lang w:eastAsia="fr-FR" w:bidi="fr-FR"/>
        </w:rPr>
        <w:t> </w:t>
      </w:r>
      <w:r>
        <w:rPr>
          <w:rStyle w:val="Appelnotedebasdep"/>
          <w:lang w:eastAsia="fr-FR" w:bidi="fr-FR"/>
        </w:rPr>
        <w:footnoteReference w:id="138"/>
      </w:r>
      <w:r w:rsidRPr="00D2217B">
        <w:rPr>
          <w:lang w:eastAsia="fr-FR" w:bidi="fr-FR"/>
        </w:rPr>
        <w:t>.</w:t>
      </w:r>
      <w:r w:rsidRPr="00D2217B">
        <w:t> »</w:t>
      </w:r>
      <w:r w:rsidRPr="00D2217B">
        <w:rPr>
          <w:lang w:eastAsia="fr-FR" w:bidi="fr-FR"/>
        </w:rPr>
        <w:t xml:space="preserve"> Les stratégies de la guerre froide reposaient en grande pa</w:t>
      </w:r>
      <w:r w:rsidRPr="00D2217B">
        <w:rPr>
          <w:lang w:eastAsia="fr-FR" w:bidi="fr-FR"/>
        </w:rPr>
        <w:t>r</w:t>
      </w:r>
      <w:r w:rsidRPr="00D2217B">
        <w:rPr>
          <w:lang w:eastAsia="fr-FR" w:bidi="fr-FR"/>
        </w:rPr>
        <w:t>tie sur des scénarios empruntés à la théorie des jeux</w:t>
      </w:r>
      <w:r>
        <w:rPr>
          <w:lang w:eastAsia="fr-FR" w:bidi="fr-FR"/>
        </w:rPr>
        <w:t> </w:t>
      </w:r>
      <w:r>
        <w:rPr>
          <w:rStyle w:val="Appelnotedebasdep"/>
          <w:lang w:eastAsia="fr-FR" w:bidi="fr-FR"/>
        </w:rPr>
        <w:footnoteReference w:id="139"/>
      </w:r>
      <w:r w:rsidRPr="00D2217B">
        <w:rPr>
          <w:lang w:eastAsia="fr-FR" w:bidi="fr-FR"/>
        </w:rPr>
        <w:t>, sur la perception des Soviétiques comme des acteurs rationnels, ce qui comportait év</w:t>
      </w:r>
      <w:r w:rsidRPr="00D2217B">
        <w:rPr>
          <w:lang w:eastAsia="fr-FR" w:bidi="fr-FR"/>
        </w:rPr>
        <w:t>i</w:t>
      </w:r>
      <w:r>
        <w:rPr>
          <w:lang w:eastAsia="fr-FR" w:bidi="fr-FR"/>
        </w:rPr>
        <w:t>dem</w:t>
      </w:r>
      <w:r w:rsidRPr="00D2217B">
        <w:rPr>
          <w:lang w:eastAsia="fr-FR" w:bidi="fr-FR"/>
        </w:rPr>
        <w:t>ment</w:t>
      </w:r>
      <w:r>
        <w:t xml:space="preserve"> [63]</w:t>
      </w:r>
      <w:r w:rsidRPr="00D2217B">
        <w:rPr>
          <w:lang w:eastAsia="fr-FR" w:bidi="fr-FR"/>
        </w:rPr>
        <w:t xml:space="preserve"> une part de vérité mais laissait dans l’ombre la compr</w:t>
      </w:r>
      <w:r w:rsidRPr="00D2217B">
        <w:rPr>
          <w:lang w:eastAsia="fr-FR" w:bidi="fr-FR"/>
        </w:rPr>
        <w:t>é</w:t>
      </w:r>
      <w:r w:rsidRPr="00D2217B">
        <w:rPr>
          <w:lang w:eastAsia="fr-FR" w:bidi="fr-FR"/>
        </w:rPr>
        <w:t>hension des motivations relevant soit de l’histoire russe soit de la ph</w:t>
      </w:r>
      <w:r w:rsidRPr="00D2217B">
        <w:rPr>
          <w:lang w:eastAsia="fr-FR" w:bidi="fr-FR"/>
        </w:rPr>
        <w:t>i</w:t>
      </w:r>
      <w:r w:rsidRPr="00D2217B">
        <w:rPr>
          <w:lang w:eastAsia="fr-FR" w:bidi="fr-FR"/>
        </w:rPr>
        <w:t>losophie marxiste. Les Américains ont fondé la collecte du rense</w:t>
      </w:r>
      <w:r w:rsidRPr="00D2217B">
        <w:rPr>
          <w:lang w:eastAsia="fr-FR" w:bidi="fr-FR"/>
        </w:rPr>
        <w:t>i</w:t>
      </w:r>
      <w:r w:rsidRPr="00D2217B">
        <w:rPr>
          <w:lang w:eastAsia="fr-FR" w:bidi="fr-FR"/>
        </w:rPr>
        <w:t>gnement sur des technologies fort complexes, créant la NSA (National Security Agency) au d</w:t>
      </w:r>
      <w:r w:rsidRPr="00D2217B">
        <w:rPr>
          <w:lang w:eastAsia="fr-FR" w:bidi="fr-FR"/>
        </w:rPr>
        <w:t>é</w:t>
      </w:r>
      <w:r w:rsidRPr="00D2217B">
        <w:rPr>
          <w:lang w:eastAsia="fr-FR" w:bidi="fr-FR"/>
        </w:rPr>
        <w:t>partement de la Défense, et une direction des Op</w:t>
      </w:r>
      <w:r w:rsidRPr="00D2217B">
        <w:rPr>
          <w:lang w:eastAsia="fr-FR" w:bidi="fr-FR"/>
        </w:rPr>
        <w:t>é</w:t>
      </w:r>
      <w:r w:rsidRPr="00D2217B">
        <w:rPr>
          <w:lang w:eastAsia="fr-FR" w:bidi="fr-FR"/>
        </w:rPr>
        <w:t>rations à l’intérieur de la CIA.</w:t>
      </w:r>
    </w:p>
    <w:p w14:paraId="609D187C" w14:textId="77777777" w:rsidR="0039793A" w:rsidRPr="00D2217B" w:rsidRDefault="0039793A" w:rsidP="0039793A">
      <w:pPr>
        <w:spacing w:before="120" w:after="120"/>
        <w:jc w:val="both"/>
      </w:pPr>
      <w:r w:rsidRPr="00D2217B">
        <w:rPr>
          <w:lang w:eastAsia="fr-FR" w:bidi="fr-FR"/>
        </w:rPr>
        <w:t>La technologie américaine s’est développée considérablement d</w:t>
      </w:r>
      <w:r w:rsidRPr="00D2217B">
        <w:rPr>
          <w:lang w:eastAsia="fr-FR" w:bidi="fr-FR"/>
        </w:rPr>
        <w:t>e</w:t>
      </w:r>
      <w:r w:rsidRPr="00D2217B">
        <w:rPr>
          <w:lang w:eastAsia="fr-FR" w:bidi="fr-FR"/>
        </w:rPr>
        <w:t>puis la deuxième guerre mo</w:t>
      </w:r>
      <w:r w:rsidRPr="00D2217B">
        <w:rPr>
          <w:lang w:eastAsia="fr-FR" w:bidi="fr-FR"/>
        </w:rPr>
        <w:t>n</w:t>
      </w:r>
      <w:r w:rsidRPr="00D2217B">
        <w:rPr>
          <w:lang w:eastAsia="fr-FR" w:bidi="fr-FR"/>
        </w:rPr>
        <w:t>diale dans les systèmes d’armement. Ainsi les s</w:t>
      </w:r>
      <w:r w:rsidRPr="00D2217B">
        <w:rPr>
          <w:lang w:eastAsia="fr-FR" w:bidi="fr-FR"/>
        </w:rPr>
        <w:t>a</w:t>
      </w:r>
      <w:r w:rsidRPr="00D2217B">
        <w:rPr>
          <w:lang w:eastAsia="fr-FR" w:bidi="fr-FR"/>
        </w:rPr>
        <w:t>vants qui ont mis en œuvre la bombe atomique et qui ont contribué à développer de façon spectaculaire par la suite un formid</w:t>
      </w:r>
      <w:r w:rsidRPr="00D2217B">
        <w:rPr>
          <w:lang w:eastAsia="fr-FR" w:bidi="fr-FR"/>
        </w:rPr>
        <w:t>a</w:t>
      </w:r>
      <w:r w:rsidRPr="00D2217B">
        <w:rPr>
          <w:lang w:eastAsia="fr-FR" w:bidi="fr-FR"/>
        </w:rPr>
        <w:t>ble arsenal d’armes nucléaires ont bientôt pris conscience de leur rôle d’apprentis sorciers et des redoutables effets de leur travail scientif</w:t>
      </w:r>
      <w:r w:rsidRPr="00D2217B">
        <w:rPr>
          <w:lang w:eastAsia="fr-FR" w:bidi="fr-FR"/>
        </w:rPr>
        <w:t>i</w:t>
      </w:r>
      <w:r w:rsidRPr="00D2217B">
        <w:rPr>
          <w:lang w:eastAsia="fr-FR" w:bidi="fr-FR"/>
        </w:rPr>
        <w:t>que</w:t>
      </w:r>
      <w:r>
        <w:rPr>
          <w:lang w:eastAsia="fr-FR" w:bidi="fr-FR"/>
        </w:rPr>
        <w:t> </w:t>
      </w:r>
      <w:r>
        <w:rPr>
          <w:rStyle w:val="Appelnotedebasdep"/>
          <w:lang w:eastAsia="fr-FR" w:bidi="fr-FR"/>
        </w:rPr>
        <w:footnoteReference w:id="140"/>
      </w:r>
      <w:r w:rsidRPr="00D2217B">
        <w:rPr>
          <w:lang w:eastAsia="fr-FR" w:bidi="fr-FR"/>
        </w:rPr>
        <w:t>. On ne les a guère entendus, dans les milieux gouverneme</w:t>
      </w:r>
      <w:r w:rsidRPr="00D2217B">
        <w:rPr>
          <w:lang w:eastAsia="fr-FR" w:bidi="fr-FR"/>
        </w:rPr>
        <w:t>n</w:t>
      </w:r>
      <w:r w:rsidRPr="00D2217B">
        <w:rPr>
          <w:lang w:eastAsia="fr-FR" w:bidi="fr-FR"/>
        </w:rPr>
        <w:t>taux, aveuglés qu’ils étaient par le pouvoir de ces nouveaux instr</w:t>
      </w:r>
      <w:r w:rsidRPr="00D2217B">
        <w:rPr>
          <w:lang w:eastAsia="fr-FR" w:bidi="fr-FR"/>
        </w:rPr>
        <w:t>u</w:t>
      </w:r>
      <w:r w:rsidRPr="00D2217B">
        <w:rPr>
          <w:lang w:eastAsia="fr-FR" w:bidi="fr-FR"/>
        </w:rPr>
        <w:t>ments de puissance. Le président Truman a a</w:t>
      </w:r>
      <w:r w:rsidRPr="00D2217B">
        <w:rPr>
          <w:lang w:eastAsia="fr-FR" w:bidi="fr-FR"/>
        </w:rPr>
        <w:t>s</w:t>
      </w:r>
      <w:r w:rsidRPr="00D2217B">
        <w:rPr>
          <w:lang w:eastAsia="fr-FR" w:bidi="fr-FR"/>
        </w:rPr>
        <w:t>sez peu hésité quand il a pris la décision de larguer deux bombes atomiques sur le Japon pour mettre fin à la guerre. Ceux qui ont appuyé cette décision ont fait v</w:t>
      </w:r>
      <w:r w:rsidRPr="00D2217B">
        <w:rPr>
          <w:lang w:eastAsia="fr-FR" w:bidi="fr-FR"/>
        </w:rPr>
        <w:t>a</w:t>
      </w:r>
      <w:r w:rsidRPr="00D2217B">
        <w:rPr>
          <w:lang w:eastAsia="fr-FR" w:bidi="fr-FR"/>
        </w:rPr>
        <w:t>loir que ces bombardements avaient été moins dévastateurs que d’autres et qu’ils avaient épargné un nombre incalculable de vies h</w:t>
      </w:r>
      <w:r w:rsidRPr="00D2217B">
        <w:rPr>
          <w:lang w:eastAsia="fr-FR" w:bidi="fr-FR"/>
        </w:rPr>
        <w:t>u</w:t>
      </w:r>
      <w:r w:rsidRPr="00D2217B">
        <w:rPr>
          <w:lang w:eastAsia="fr-FR" w:bidi="fr-FR"/>
        </w:rPr>
        <w:t>maines en devançant l’échéance de la paix. Ils tenaient moins compte de l’effet historique et prométhéen de cette gigantesque percée dans l’art de la guerre.</w:t>
      </w:r>
    </w:p>
    <w:p w14:paraId="05C12A69" w14:textId="77777777" w:rsidR="0039793A" w:rsidRPr="00D2217B" w:rsidRDefault="0039793A" w:rsidP="0039793A">
      <w:pPr>
        <w:spacing w:before="120" w:after="120"/>
        <w:jc w:val="both"/>
      </w:pPr>
      <w:r w:rsidRPr="00D2217B">
        <w:rPr>
          <w:lang w:eastAsia="fr-FR" w:bidi="fr-FR"/>
        </w:rPr>
        <w:t>Par la suite, dans le contexte de la guerre froide qui a donné lieu à un consensus sans faille pendant une vingtaine d’années au Congrès et dans la population, la stratégie militaire de la dissuasion s’est dév</w:t>
      </w:r>
      <w:r w:rsidRPr="00D2217B">
        <w:rPr>
          <w:lang w:eastAsia="fr-FR" w:bidi="fr-FR"/>
        </w:rPr>
        <w:t>e</w:t>
      </w:r>
      <w:r w:rsidRPr="00D2217B">
        <w:rPr>
          <w:lang w:eastAsia="fr-FR" w:bidi="fr-FR"/>
        </w:rPr>
        <w:t>loppée comme une science exacte</w:t>
      </w:r>
      <w:r>
        <w:rPr>
          <w:lang w:eastAsia="fr-FR" w:bidi="fr-FR"/>
        </w:rPr>
        <w:t> </w:t>
      </w:r>
      <w:r>
        <w:rPr>
          <w:rStyle w:val="Appelnotedebasdep"/>
          <w:lang w:eastAsia="fr-FR" w:bidi="fr-FR"/>
        </w:rPr>
        <w:footnoteReference w:id="141"/>
      </w:r>
      <w:r w:rsidRPr="00D2217B">
        <w:rPr>
          <w:lang w:eastAsia="fr-FR" w:bidi="fr-FR"/>
        </w:rPr>
        <w:t>. Les progrès des nouveaux sy</w:t>
      </w:r>
      <w:r w:rsidRPr="00D2217B">
        <w:rPr>
          <w:lang w:eastAsia="fr-FR" w:bidi="fr-FR"/>
        </w:rPr>
        <w:t>s</w:t>
      </w:r>
      <w:r w:rsidRPr="00D2217B">
        <w:rPr>
          <w:lang w:eastAsia="fr-FR" w:bidi="fr-FR"/>
        </w:rPr>
        <w:t>tèmes d’armement ont fasc</w:t>
      </w:r>
      <w:r w:rsidRPr="00D2217B">
        <w:rPr>
          <w:lang w:eastAsia="fr-FR" w:bidi="fr-FR"/>
        </w:rPr>
        <w:t>i</w:t>
      </w:r>
      <w:r w:rsidRPr="00D2217B">
        <w:rPr>
          <w:lang w:eastAsia="fr-FR" w:bidi="fr-FR"/>
        </w:rPr>
        <w:t>né le public comme</w:t>
      </w:r>
      <w:r>
        <w:t xml:space="preserve"> [64] </w:t>
      </w:r>
      <w:r w:rsidRPr="00D2217B">
        <w:rPr>
          <w:lang w:eastAsia="fr-FR" w:bidi="fr-FR"/>
        </w:rPr>
        <w:t>les décideurs américains. Tout au long de l’escalade de la guerre du Vietnam, l’attention s’est portée presque exclusivement sur la technique gue</w:t>
      </w:r>
      <w:r w:rsidRPr="00D2217B">
        <w:rPr>
          <w:lang w:eastAsia="fr-FR" w:bidi="fr-FR"/>
        </w:rPr>
        <w:t>r</w:t>
      </w:r>
      <w:r w:rsidRPr="00D2217B">
        <w:rPr>
          <w:lang w:eastAsia="fr-FR" w:bidi="fr-FR"/>
        </w:rPr>
        <w:t>rière et très peu sur la diplomatie. Pendant plusieurs années, aucune négociation n’a été env</w:t>
      </w:r>
      <w:r w:rsidRPr="00D2217B">
        <w:rPr>
          <w:lang w:eastAsia="fr-FR" w:bidi="fr-FR"/>
        </w:rPr>
        <w:t>i</w:t>
      </w:r>
      <w:r w:rsidRPr="00D2217B">
        <w:rPr>
          <w:lang w:eastAsia="fr-FR" w:bidi="fr-FR"/>
        </w:rPr>
        <w:t>sagée. C’est même avec une certaine ardeur que le secrétaire à la Défense, Robert McNamara, a recruté les mei</w:t>
      </w:r>
      <w:r w:rsidRPr="00D2217B">
        <w:rPr>
          <w:lang w:eastAsia="fr-FR" w:bidi="fr-FR"/>
        </w:rPr>
        <w:t>l</w:t>
      </w:r>
      <w:r w:rsidRPr="00D2217B">
        <w:rPr>
          <w:lang w:eastAsia="fr-FR" w:bidi="fr-FR"/>
        </w:rPr>
        <w:t>leurs esprits pour mettre en œuvre les opérations s</w:t>
      </w:r>
      <w:r w:rsidRPr="00D2217B">
        <w:rPr>
          <w:lang w:eastAsia="fr-FR" w:bidi="fr-FR"/>
        </w:rPr>
        <w:t>o</w:t>
      </w:r>
      <w:r w:rsidRPr="00D2217B">
        <w:rPr>
          <w:lang w:eastAsia="fr-FR" w:bidi="fr-FR"/>
        </w:rPr>
        <w:t>phistiquées qui devaient avoir raison de l’ennemi communiste en Asie du Sud-Est</w:t>
      </w:r>
      <w:r>
        <w:rPr>
          <w:lang w:eastAsia="fr-FR" w:bidi="fr-FR"/>
        </w:rPr>
        <w:t> </w:t>
      </w:r>
      <w:r>
        <w:rPr>
          <w:rStyle w:val="Appelnotedebasdep"/>
          <w:lang w:eastAsia="fr-FR" w:bidi="fr-FR"/>
        </w:rPr>
        <w:footnoteReference w:id="142"/>
      </w:r>
      <w:r w:rsidRPr="00D2217B">
        <w:rPr>
          <w:lang w:eastAsia="fr-FR" w:bidi="fr-FR"/>
        </w:rPr>
        <w:t>. Le dénouement de cette grande entreprise s’est traduit pour un temps par une perte de prestige pour le Pentagone. Cette éclipse est pourtant de courte durée. Dès l’arrivée de Ronald Reagan en 1981, les Amér</w:t>
      </w:r>
      <w:r w:rsidRPr="00D2217B">
        <w:rPr>
          <w:lang w:eastAsia="fr-FR" w:bidi="fr-FR"/>
        </w:rPr>
        <w:t>i</w:t>
      </w:r>
      <w:r w:rsidRPr="00D2217B">
        <w:rPr>
          <w:lang w:eastAsia="fr-FR" w:bidi="fr-FR"/>
        </w:rPr>
        <w:t>cains sont convaincus que l’accroissement des e</w:t>
      </w:r>
      <w:r w:rsidRPr="00D2217B">
        <w:rPr>
          <w:lang w:eastAsia="fr-FR" w:bidi="fr-FR"/>
        </w:rPr>
        <w:t>f</w:t>
      </w:r>
      <w:r w:rsidRPr="00D2217B">
        <w:rPr>
          <w:lang w:eastAsia="fr-FR" w:bidi="fr-FR"/>
        </w:rPr>
        <w:t>fectifs militaires doit redevenir une priorité. Reagan proclame que l’Amérique a recouvré sa grandeur et il s’en trouve plusieurs, encore a</w:t>
      </w:r>
      <w:r w:rsidRPr="00D2217B">
        <w:rPr>
          <w:lang w:eastAsia="fr-FR" w:bidi="fr-FR"/>
        </w:rPr>
        <w:t>u</w:t>
      </w:r>
      <w:r w:rsidRPr="00D2217B">
        <w:rPr>
          <w:lang w:eastAsia="fr-FR" w:bidi="fr-FR"/>
        </w:rPr>
        <w:t>jourd’hui, pour attribuer la fin de la guerre froide à la politique musclée de l’Administration Reagan. C’est aussi à cette époque que ce président pop</w:t>
      </w:r>
      <w:r w:rsidRPr="00D2217B">
        <w:rPr>
          <w:lang w:eastAsia="fr-FR" w:bidi="fr-FR"/>
        </w:rPr>
        <w:t>u</w:t>
      </w:r>
      <w:r w:rsidRPr="00D2217B">
        <w:rPr>
          <w:lang w:eastAsia="fr-FR" w:bidi="fr-FR"/>
        </w:rPr>
        <w:t>laire s’est laissé aller à son rêve de défense parfaite avec un système spatial de défense antimissile. Ce rêve a refait surface et s’est transformé en un programme complexe de mise en œuvre d’un véritable bouclier ant</w:t>
      </w:r>
      <w:r w:rsidRPr="00D2217B">
        <w:rPr>
          <w:lang w:eastAsia="fr-FR" w:bidi="fr-FR"/>
        </w:rPr>
        <w:t>i</w:t>
      </w:r>
      <w:r w:rsidRPr="00D2217B">
        <w:rPr>
          <w:lang w:eastAsia="fr-FR" w:bidi="fr-FR"/>
        </w:rPr>
        <w:t>missiles sous la présidence de George W. Bush</w:t>
      </w:r>
      <w:r>
        <w:rPr>
          <w:lang w:eastAsia="fr-FR" w:bidi="fr-FR"/>
        </w:rPr>
        <w:t> </w:t>
      </w:r>
      <w:r>
        <w:rPr>
          <w:rStyle w:val="Appelnotedebasdep"/>
          <w:lang w:eastAsia="fr-FR" w:bidi="fr-FR"/>
        </w:rPr>
        <w:footnoteReference w:id="143"/>
      </w:r>
      <w:r w:rsidRPr="00D2217B">
        <w:rPr>
          <w:lang w:eastAsia="fr-FR" w:bidi="fr-FR"/>
        </w:rPr>
        <w:t>. C’est là une man</w:t>
      </w:r>
      <w:r w:rsidRPr="00D2217B">
        <w:rPr>
          <w:lang w:eastAsia="fr-FR" w:bidi="fr-FR"/>
        </w:rPr>
        <w:t>i</w:t>
      </w:r>
      <w:r w:rsidRPr="00D2217B">
        <w:rPr>
          <w:lang w:eastAsia="fr-FR" w:bidi="fr-FR"/>
        </w:rPr>
        <w:t>festation typique de cette immense confia</w:t>
      </w:r>
      <w:r w:rsidRPr="00D2217B">
        <w:rPr>
          <w:lang w:eastAsia="fr-FR" w:bidi="fr-FR"/>
        </w:rPr>
        <w:t>n</w:t>
      </w:r>
      <w:r w:rsidRPr="00D2217B">
        <w:rPr>
          <w:lang w:eastAsia="fr-FR" w:bidi="fr-FR"/>
        </w:rPr>
        <w:t>ce dans la technologie.</w:t>
      </w:r>
    </w:p>
    <w:p w14:paraId="5E84BE0F" w14:textId="77777777" w:rsidR="0039793A" w:rsidRPr="00D2217B" w:rsidRDefault="0039793A" w:rsidP="0039793A">
      <w:pPr>
        <w:spacing w:before="120" w:after="120"/>
        <w:jc w:val="both"/>
      </w:pPr>
      <w:r w:rsidRPr="00D2217B">
        <w:rPr>
          <w:lang w:eastAsia="fr-FR" w:bidi="fr-FR"/>
        </w:rPr>
        <w:t xml:space="preserve">Enfin, les Américains sont fortement affectés par ce qu’on pourrait appeler le syndrome du </w:t>
      </w:r>
      <w:r w:rsidRPr="00132102">
        <w:rPr>
          <w:i/>
          <w:iCs/>
        </w:rPr>
        <w:t>quick fix</w:t>
      </w:r>
      <w:r w:rsidRPr="00D2217B">
        <w:rPr>
          <w:lang w:eastAsia="fr-FR" w:bidi="fr-FR"/>
        </w:rPr>
        <w:t>, c’est-à-dire la conviction, s’appuyant sur les progrès de la technologie, que les problèmes pe</w:t>
      </w:r>
      <w:r w:rsidRPr="00D2217B">
        <w:rPr>
          <w:lang w:eastAsia="fr-FR" w:bidi="fr-FR"/>
        </w:rPr>
        <w:t>u</w:t>
      </w:r>
      <w:r w:rsidRPr="00D2217B">
        <w:rPr>
          <w:lang w:eastAsia="fr-FR" w:bidi="fr-FR"/>
        </w:rPr>
        <w:t>vent et doivent se résoudre rapidement. Un candidat aux élections pr</w:t>
      </w:r>
      <w:r w:rsidRPr="00D2217B">
        <w:rPr>
          <w:lang w:eastAsia="fr-FR" w:bidi="fr-FR"/>
        </w:rPr>
        <w:t>é</w:t>
      </w:r>
      <w:r w:rsidRPr="00D2217B">
        <w:rPr>
          <w:lang w:eastAsia="fr-FR" w:bidi="fr-FR"/>
        </w:rPr>
        <w:t>sidentielles de 1992, Ross P</w:t>
      </w:r>
      <w:r w:rsidRPr="00D2217B">
        <w:rPr>
          <w:lang w:eastAsia="fr-FR" w:bidi="fr-FR"/>
        </w:rPr>
        <w:t>e</w:t>
      </w:r>
      <w:r w:rsidRPr="00D2217B">
        <w:rPr>
          <w:lang w:eastAsia="fr-FR" w:bidi="fr-FR"/>
        </w:rPr>
        <w:t>rot, illustrait cette</w:t>
      </w:r>
      <w:r>
        <w:t xml:space="preserve"> [65] </w:t>
      </w:r>
      <w:r w:rsidRPr="00D2217B">
        <w:rPr>
          <w:lang w:eastAsia="fr-FR" w:bidi="fr-FR"/>
        </w:rPr>
        <w:t>tendance d’une façon caricaturale</w:t>
      </w:r>
      <w:r w:rsidRPr="00D2217B">
        <w:t> :</w:t>
      </w:r>
      <w:r w:rsidRPr="00D2217B">
        <w:rPr>
          <w:lang w:eastAsia="fr-FR" w:bidi="fr-FR"/>
        </w:rPr>
        <w:t xml:space="preserve"> il comparait les problèmes de l’État à ceux d’une voiture en panne. À ses yeux, la tâche d’un bon gouvernement consi</w:t>
      </w:r>
      <w:r w:rsidRPr="00D2217B">
        <w:rPr>
          <w:lang w:eastAsia="fr-FR" w:bidi="fr-FR"/>
        </w:rPr>
        <w:t>s</w:t>
      </w:r>
      <w:r w:rsidRPr="00D2217B">
        <w:rPr>
          <w:lang w:eastAsia="fr-FR" w:bidi="fr-FR"/>
        </w:rPr>
        <w:t>tait à lever le capot de la voiture de l’État et à se mettre au travail pour identifier les mécanismes défaillants et y rem</w:t>
      </w:r>
      <w:r w:rsidRPr="00D2217B">
        <w:rPr>
          <w:lang w:eastAsia="fr-FR" w:bidi="fr-FR"/>
        </w:rPr>
        <w:t>é</w:t>
      </w:r>
      <w:r w:rsidRPr="00D2217B">
        <w:rPr>
          <w:lang w:eastAsia="fr-FR" w:bidi="fr-FR"/>
        </w:rPr>
        <w:t xml:space="preserve">dier par les moyens techniques appropriés. Cette comparaison plaisait manifestement aux auditoires américains. Le </w:t>
      </w:r>
      <w:r w:rsidRPr="00E47D93">
        <w:rPr>
          <w:i/>
        </w:rPr>
        <w:t>quick fix</w:t>
      </w:r>
      <w:r w:rsidRPr="00D2217B">
        <w:rPr>
          <w:lang w:eastAsia="fr-FR" w:bidi="fr-FR"/>
        </w:rPr>
        <w:t xml:space="preserve"> se traduit so</w:t>
      </w:r>
      <w:r w:rsidRPr="00D2217B">
        <w:rPr>
          <w:lang w:eastAsia="fr-FR" w:bidi="fr-FR"/>
        </w:rPr>
        <w:t>u</w:t>
      </w:r>
      <w:r w:rsidRPr="00D2217B">
        <w:rPr>
          <w:lang w:eastAsia="fr-FR" w:bidi="fr-FR"/>
        </w:rPr>
        <w:t>vent dans les relations internationales par une propension à utiliser l’outil militaire, préte</w:t>
      </w:r>
      <w:r w:rsidRPr="00D2217B">
        <w:rPr>
          <w:lang w:eastAsia="fr-FR" w:bidi="fr-FR"/>
        </w:rPr>
        <w:t>n</w:t>
      </w:r>
      <w:r w:rsidRPr="00D2217B">
        <w:rPr>
          <w:lang w:eastAsia="fr-FR" w:bidi="fr-FR"/>
        </w:rPr>
        <w:t>dument plus efficace. Contrairement aux acc</w:t>
      </w:r>
      <w:r w:rsidRPr="00D2217B">
        <w:rPr>
          <w:lang w:eastAsia="fr-FR" w:bidi="fr-FR"/>
        </w:rPr>
        <w:t>u</w:t>
      </w:r>
      <w:r w:rsidRPr="00D2217B">
        <w:rPr>
          <w:lang w:eastAsia="fr-FR" w:bidi="fr-FR"/>
        </w:rPr>
        <w:t>sations que l’on porte souvent à leur endroit dans les milieux de ga</w:t>
      </w:r>
      <w:r w:rsidRPr="00D2217B">
        <w:rPr>
          <w:lang w:eastAsia="fr-FR" w:bidi="fr-FR"/>
        </w:rPr>
        <w:t>u</w:t>
      </w:r>
      <w:r w:rsidRPr="00D2217B">
        <w:rPr>
          <w:lang w:eastAsia="fr-FR" w:bidi="fr-FR"/>
        </w:rPr>
        <w:t>che, les Américains ne sont pas militaristes. En raison d’une forte trad</w:t>
      </w:r>
      <w:r w:rsidRPr="00D2217B">
        <w:rPr>
          <w:lang w:eastAsia="fr-FR" w:bidi="fr-FR"/>
        </w:rPr>
        <w:t>i</w:t>
      </w:r>
      <w:r w:rsidRPr="00D2217B">
        <w:rPr>
          <w:lang w:eastAsia="fr-FR" w:bidi="fr-FR"/>
        </w:rPr>
        <w:t>tion et des fondements mêmes de la démocratie, le pouvoir militaire est toujours subordonné au po</w:t>
      </w:r>
      <w:r w:rsidRPr="00D2217B">
        <w:rPr>
          <w:lang w:eastAsia="fr-FR" w:bidi="fr-FR"/>
        </w:rPr>
        <w:t>u</w:t>
      </w:r>
      <w:r w:rsidRPr="00D2217B">
        <w:rPr>
          <w:lang w:eastAsia="fr-FR" w:bidi="fr-FR"/>
        </w:rPr>
        <w:t>voir civil aux États-Unis. À l’exception des grands conflits mondiaux dont les enjeux sont évidents, et en d</w:t>
      </w:r>
      <w:r w:rsidRPr="00D2217B">
        <w:rPr>
          <w:lang w:eastAsia="fr-FR" w:bidi="fr-FR"/>
        </w:rPr>
        <w:t>e</w:t>
      </w:r>
      <w:r w:rsidRPr="00D2217B">
        <w:rPr>
          <w:lang w:eastAsia="fr-FR" w:bidi="fr-FR"/>
        </w:rPr>
        <w:t>hors de l’existence d’une menace réelle à la sécurité des États-Unis, les Américains so</w:t>
      </w:r>
      <w:r w:rsidRPr="00D2217B">
        <w:rPr>
          <w:lang w:eastAsia="fr-FR" w:bidi="fr-FR"/>
        </w:rPr>
        <w:t>u</w:t>
      </w:r>
      <w:r w:rsidRPr="00D2217B">
        <w:rPr>
          <w:lang w:eastAsia="fr-FR" w:bidi="fr-FR"/>
        </w:rPr>
        <w:t>tiennent assez peu les interventions militaires pr</w:t>
      </w:r>
      <w:r w:rsidRPr="00D2217B">
        <w:rPr>
          <w:lang w:eastAsia="fr-FR" w:bidi="fr-FR"/>
        </w:rPr>
        <w:t>o</w:t>
      </w:r>
      <w:r w:rsidRPr="00D2217B">
        <w:rPr>
          <w:lang w:eastAsia="fr-FR" w:bidi="fr-FR"/>
        </w:rPr>
        <w:t>longées et on a pu voir qu’ils réagissaient mal aux nombre</w:t>
      </w:r>
      <w:r w:rsidRPr="00D2217B">
        <w:rPr>
          <w:lang w:eastAsia="fr-FR" w:bidi="fr-FR"/>
        </w:rPr>
        <w:t>u</w:t>
      </w:r>
      <w:r w:rsidRPr="00D2217B">
        <w:rPr>
          <w:lang w:eastAsia="fr-FR" w:bidi="fr-FR"/>
        </w:rPr>
        <w:t>ses pertes de vie engendrées par des conflits qui s’enlisent. Ainsi, ni la guerre de Corée ni celle du Vietnam n’ont été véritablement appuyées par l’opinion publique américaine. Par contre, les interventions relativement courtes et déc</w:t>
      </w:r>
      <w:r w:rsidRPr="00D2217B">
        <w:rPr>
          <w:lang w:eastAsia="fr-FR" w:bidi="fr-FR"/>
        </w:rPr>
        <w:t>i</w:t>
      </w:r>
      <w:r w:rsidRPr="00D2217B">
        <w:rPr>
          <w:lang w:eastAsia="fr-FR" w:bidi="fr-FR"/>
        </w:rPr>
        <w:t>sives reço</w:t>
      </w:r>
      <w:r w:rsidRPr="00D2217B">
        <w:rPr>
          <w:lang w:eastAsia="fr-FR" w:bidi="fr-FR"/>
        </w:rPr>
        <w:t>i</w:t>
      </w:r>
      <w:r w:rsidRPr="00D2217B">
        <w:rPr>
          <w:lang w:eastAsia="fr-FR" w:bidi="fr-FR"/>
        </w:rPr>
        <w:t>vent généralement un fort appui de la population, comme par exemple l’intervention spectaculaire dans la petite île de Grenade en 1983, celle au P</w:t>
      </w:r>
      <w:r w:rsidRPr="00D2217B">
        <w:rPr>
          <w:lang w:eastAsia="fr-FR" w:bidi="fr-FR"/>
        </w:rPr>
        <w:t>a</w:t>
      </w:r>
      <w:r w:rsidRPr="00D2217B">
        <w:rPr>
          <w:lang w:eastAsia="fr-FR" w:bidi="fr-FR"/>
        </w:rPr>
        <w:t>nama en 1989 et surtout la guerre du golfe contre l’Irak en 1991- Cela a été également le cas de la guerre en Afghani</w:t>
      </w:r>
      <w:r w:rsidRPr="00D2217B">
        <w:rPr>
          <w:lang w:eastAsia="fr-FR" w:bidi="fr-FR"/>
        </w:rPr>
        <w:t>s</w:t>
      </w:r>
      <w:r w:rsidRPr="00D2217B">
        <w:rPr>
          <w:lang w:eastAsia="fr-FR" w:bidi="fr-FR"/>
        </w:rPr>
        <w:t>tan, suite aux attentats du 11 septembre 2001. On notera cependant que les mi</w:t>
      </w:r>
      <w:r w:rsidRPr="00D2217B">
        <w:rPr>
          <w:lang w:eastAsia="fr-FR" w:bidi="fr-FR"/>
        </w:rPr>
        <w:t>s</w:t>
      </w:r>
      <w:r w:rsidRPr="00D2217B">
        <w:rPr>
          <w:lang w:eastAsia="fr-FR" w:bidi="fr-FR"/>
        </w:rPr>
        <w:t>sions de consolidation de la paix ne bénéficient pas de la même adhésion populaire.</w:t>
      </w:r>
    </w:p>
    <w:p w14:paraId="257C1CF8" w14:textId="77777777" w:rsidR="0039793A" w:rsidRPr="00D2217B" w:rsidRDefault="0039793A" w:rsidP="0039793A">
      <w:pPr>
        <w:spacing w:before="120" w:after="120"/>
        <w:jc w:val="both"/>
      </w:pPr>
      <w:r w:rsidRPr="00D2217B">
        <w:rPr>
          <w:lang w:eastAsia="fr-FR" w:bidi="fr-FR"/>
        </w:rPr>
        <w:t xml:space="preserve">En somme la </w:t>
      </w:r>
      <w:r w:rsidRPr="00177839">
        <w:rPr>
          <w:i/>
          <w:iCs/>
        </w:rPr>
        <w:t>pensée experte</w:t>
      </w:r>
      <w:r w:rsidRPr="00D2217B">
        <w:rPr>
          <w:lang w:eastAsia="fr-FR" w:bidi="fr-FR"/>
        </w:rPr>
        <w:t xml:space="preserve"> appliquée aux relations internation</w:t>
      </w:r>
      <w:r w:rsidRPr="00D2217B">
        <w:rPr>
          <w:lang w:eastAsia="fr-FR" w:bidi="fr-FR"/>
        </w:rPr>
        <w:t>a</w:t>
      </w:r>
      <w:r w:rsidRPr="00D2217B">
        <w:rPr>
          <w:lang w:eastAsia="fr-FR" w:bidi="fr-FR"/>
        </w:rPr>
        <w:t>les se traduit par une nette pr</w:t>
      </w:r>
      <w:r w:rsidRPr="00D2217B">
        <w:rPr>
          <w:lang w:eastAsia="fr-FR" w:bidi="fr-FR"/>
        </w:rPr>
        <w:t>é</w:t>
      </w:r>
      <w:r w:rsidRPr="00D2217B">
        <w:rPr>
          <w:lang w:eastAsia="fr-FR" w:bidi="fr-FR"/>
        </w:rPr>
        <w:t>férence pour les solutions immédiates, pratiques et qu’on espère concluantes. Il en résulte une polit</w:t>
      </w:r>
      <w:r w:rsidRPr="00D2217B">
        <w:rPr>
          <w:lang w:eastAsia="fr-FR" w:bidi="fr-FR"/>
        </w:rPr>
        <w:t>i</w:t>
      </w:r>
      <w:r w:rsidRPr="00D2217B">
        <w:rPr>
          <w:lang w:eastAsia="fr-FR" w:bidi="fr-FR"/>
        </w:rPr>
        <w:t>que étrangère dont plusieurs observateurs ont dit qu’elle consistait dava</w:t>
      </w:r>
      <w:r w:rsidRPr="00D2217B">
        <w:rPr>
          <w:lang w:eastAsia="fr-FR" w:bidi="fr-FR"/>
        </w:rPr>
        <w:t>n</w:t>
      </w:r>
      <w:r w:rsidRPr="00D2217B">
        <w:rPr>
          <w:lang w:eastAsia="fr-FR" w:bidi="fr-FR"/>
        </w:rPr>
        <w:t>tage à éteindre les ince</w:t>
      </w:r>
      <w:r w:rsidRPr="00D2217B">
        <w:rPr>
          <w:lang w:eastAsia="fr-FR" w:bidi="fr-FR"/>
        </w:rPr>
        <w:t>n</w:t>
      </w:r>
      <w:r w:rsidRPr="00D2217B">
        <w:rPr>
          <w:lang w:eastAsia="fr-FR" w:bidi="fr-FR"/>
        </w:rPr>
        <w:t>dies bien plus qu’à identifier leur origine et à les prévenir. Pour cette raison, eu égard aux aléas des changements de gouvernement et en raison d’une certaine impatience, la politique étrangère des États-Unis se situe presque invariablement dans le court terme. Il en résulte une politique versatile, parfois contradictoire et souvent imprévisible. Le style national américain n’est donc pas i</w:t>
      </w:r>
      <w:r w:rsidRPr="00D2217B">
        <w:rPr>
          <w:lang w:eastAsia="fr-FR" w:bidi="fr-FR"/>
        </w:rPr>
        <w:t>m</w:t>
      </w:r>
      <w:r w:rsidRPr="00D2217B">
        <w:rPr>
          <w:lang w:eastAsia="fr-FR" w:bidi="fr-FR"/>
        </w:rPr>
        <w:t>muable.</w:t>
      </w:r>
    </w:p>
    <w:p w14:paraId="25700F91" w14:textId="77777777" w:rsidR="0039793A" w:rsidRDefault="0039793A" w:rsidP="0039793A">
      <w:pPr>
        <w:spacing w:before="120" w:after="120"/>
        <w:jc w:val="both"/>
      </w:pPr>
      <w:r>
        <w:t>[66]</w:t>
      </w:r>
    </w:p>
    <w:p w14:paraId="5711ED5D" w14:textId="77777777" w:rsidR="0039793A" w:rsidRPr="00D2217B" w:rsidRDefault="0039793A" w:rsidP="0039793A">
      <w:pPr>
        <w:spacing w:before="120" w:after="120"/>
        <w:jc w:val="both"/>
      </w:pPr>
    </w:p>
    <w:p w14:paraId="65CBF1C2" w14:textId="77777777" w:rsidR="0039793A" w:rsidRPr="00177839" w:rsidRDefault="0039793A" w:rsidP="0039793A">
      <w:pPr>
        <w:pStyle w:val="planche"/>
      </w:pPr>
      <w:bookmarkStart w:id="11" w:name="Pol_EU_pt_1_chap_02_3"/>
      <w:r w:rsidRPr="00177839">
        <w:rPr>
          <w:lang w:eastAsia="fr-FR" w:bidi="fr-FR"/>
        </w:rPr>
        <w:t>L’évolution du style national</w:t>
      </w:r>
    </w:p>
    <w:bookmarkEnd w:id="11"/>
    <w:p w14:paraId="5C068BAC" w14:textId="77777777" w:rsidR="0039793A" w:rsidRDefault="0039793A" w:rsidP="0039793A">
      <w:pPr>
        <w:spacing w:before="120" w:after="120"/>
        <w:jc w:val="both"/>
        <w:rPr>
          <w:lang w:eastAsia="fr-FR" w:bidi="fr-FR"/>
        </w:rPr>
      </w:pPr>
    </w:p>
    <w:p w14:paraId="02292A6B"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004CF1B0" w14:textId="77777777" w:rsidR="0039793A" w:rsidRPr="00D2217B" w:rsidRDefault="0039793A" w:rsidP="0039793A">
      <w:pPr>
        <w:spacing w:before="120" w:after="120"/>
        <w:jc w:val="both"/>
      </w:pPr>
      <w:r w:rsidRPr="00D2217B">
        <w:rPr>
          <w:lang w:eastAsia="fr-FR" w:bidi="fr-FR"/>
        </w:rPr>
        <w:t>Le style national est une notion dynamique, un construit qui co</w:t>
      </w:r>
      <w:r w:rsidRPr="00D2217B">
        <w:rPr>
          <w:lang w:eastAsia="fr-FR" w:bidi="fr-FR"/>
        </w:rPr>
        <w:t>r</w:t>
      </w:r>
      <w:r w:rsidRPr="00D2217B">
        <w:rPr>
          <w:lang w:eastAsia="fr-FR" w:bidi="fr-FR"/>
        </w:rPr>
        <w:t>respond à une réalité fort diverse. Cette réalité donne lieu à des diss</w:t>
      </w:r>
      <w:r w:rsidRPr="00D2217B">
        <w:rPr>
          <w:lang w:eastAsia="fr-FR" w:bidi="fr-FR"/>
        </w:rPr>
        <w:t>i</w:t>
      </w:r>
      <w:r w:rsidRPr="00D2217B">
        <w:rPr>
          <w:lang w:eastAsia="fr-FR" w:bidi="fr-FR"/>
        </w:rPr>
        <w:t>dences marquées par rapport aux tendances identifiées comme dom</w:t>
      </w:r>
      <w:r w:rsidRPr="00D2217B">
        <w:rPr>
          <w:lang w:eastAsia="fr-FR" w:bidi="fr-FR"/>
        </w:rPr>
        <w:t>i</w:t>
      </w:r>
      <w:r w:rsidRPr="00D2217B">
        <w:rPr>
          <w:lang w:eastAsia="fr-FR" w:bidi="fr-FR"/>
        </w:rPr>
        <w:t>nantes. Il est d’ailleurs révélateur que cette ét</w:t>
      </w:r>
      <w:r w:rsidRPr="00D2217B">
        <w:rPr>
          <w:lang w:eastAsia="fr-FR" w:bidi="fr-FR"/>
        </w:rPr>
        <w:t>u</w:t>
      </w:r>
      <w:r w:rsidRPr="00D2217B">
        <w:rPr>
          <w:lang w:eastAsia="fr-FR" w:bidi="fr-FR"/>
        </w:rPr>
        <w:t>de du style s’appuie sur nombre de travaux réalisés par des analystes américains. C’est un trait rema</w:t>
      </w:r>
      <w:r w:rsidRPr="00D2217B">
        <w:rPr>
          <w:lang w:eastAsia="fr-FR" w:bidi="fr-FR"/>
        </w:rPr>
        <w:t>r</w:t>
      </w:r>
      <w:r w:rsidRPr="00D2217B">
        <w:rPr>
          <w:lang w:eastAsia="fr-FR" w:bidi="fr-FR"/>
        </w:rPr>
        <w:t>quable et admirable de la culture américaine que son étonnante virtualité d’autocritique. Les meilleures critiques de la politique étra</w:t>
      </w:r>
      <w:r w:rsidRPr="00D2217B">
        <w:rPr>
          <w:lang w:eastAsia="fr-FR" w:bidi="fr-FR"/>
        </w:rPr>
        <w:t>n</w:t>
      </w:r>
      <w:r w:rsidRPr="00D2217B">
        <w:rPr>
          <w:lang w:eastAsia="fr-FR" w:bidi="fr-FR"/>
        </w:rPr>
        <w:t>gère des États-Unis proviennent souvent de l’intérieur, des un</w:t>
      </w:r>
      <w:r w:rsidRPr="00D2217B">
        <w:rPr>
          <w:lang w:eastAsia="fr-FR" w:bidi="fr-FR"/>
        </w:rPr>
        <w:t>i</w:t>
      </w:r>
      <w:r w:rsidRPr="00D2217B">
        <w:rPr>
          <w:lang w:eastAsia="fr-FR" w:bidi="fr-FR"/>
        </w:rPr>
        <w:t>versités, des centres de recherche et d’une certaine presse d’élite. Le style n</w:t>
      </w:r>
      <w:r w:rsidRPr="00D2217B">
        <w:rPr>
          <w:lang w:eastAsia="fr-FR" w:bidi="fr-FR"/>
        </w:rPr>
        <w:t>a</w:t>
      </w:r>
      <w:r w:rsidRPr="00D2217B">
        <w:rPr>
          <w:lang w:eastAsia="fr-FR" w:bidi="fr-FR"/>
        </w:rPr>
        <w:t>tional est susceptible d’évoluer et bien des caractéristiques relevées plus haut pourraient fort bien devenir un jour méco</w:t>
      </w:r>
      <w:r w:rsidRPr="00D2217B">
        <w:rPr>
          <w:lang w:eastAsia="fr-FR" w:bidi="fr-FR"/>
        </w:rPr>
        <w:t>n</w:t>
      </w:r>
      <w:r w:rsidRPr="00D2217B">
        <w:rPr>
          <w:lang w:eastAsia="fr-FR" w:bidi="fr-FR"/>
        </w:rPr>
        <w:t>naissables ou même s’amenuiser à moyen ou à long terme. Le consensus généré par la tradition et le mode de vie américains pourrait également s’effriter.</w:t>
      </w:r>
    </w:p>
    <w:p w14:paraId="22E0A3DD" w14:textId="77777777" w:rsidR="0039793A" w:rsidRPr="00D2217B" w:rsidRDefault="0039793A" w:rsidP="0039793A">
      <w:pPr>
        <w:spacing w:before="120" w:after="120"/>
        <w:jc w:val="both"/>
      </w:pPr>
      <w:r w:rsidRPr="00D2217B">
        <w:rPr>
          <w:lang w:eastAsia="fr-FR" w:bidi="fr-FR"/>
        </w:rPr>
        <w:t xml:space="preserve">Déjà le </w:t>
      </w:r>
      <w:r w:rsidRPr="00653BDE">
        <w:rPr>
          <w:i/>
        </w:rPr>
        <w:t>Melting-Pot</w:t>
      </w:r>
      <w:r>
        <w:rPr>
          <w:lang w:eastAsia="fr-FR" w:bidi="fr-FR"/>
        </w:rPr>
        <w:t> </w:t>
      </w:r>
      <w:r>
        <w:rPr>
          <w:rStyle w:val="Appelnotedebasdep"/>
          <w:lang w:eastAsia="fr-FR" w:bidi="fr-FR"/>
        </w:rPr>
        <w:footnoteReference w:id="144"/>
      </w:r>
      <w:r w:rsidRPr="00D2217B">
        <w:rPr>
          <w:lang w:eastAsia="fr-FR" w:bidi="fr-FR"/>
        </w:rPr>
        <w:t xml:space="preserve"> a fait place au multicult</w:t>
      </w:r>
      <w:r w:rsidRPr="00D2217B">
        <w:rPr>
          <w:lang w:eastAsia="fr-FR" w:bidi="fr-FR"/>
        </w:rPr>
        <w:t>u</w:t>
      </w:r>
      <w:r w:rsidRPr="00D2217B">
        <w:rPr>
          <w:lang w:eastAsia="fr-FR" w:bidi="fr-FR"/>
        </w:rPr>
        <w:t>ralisme. On ne peut plus envisager une assimilation aussi complète des cultures i</w:t>
      </w:r>
      <w:r w:rsidRPr="00D2217B">
        <w:rPr>
          <w:lang w:eastAsia="fr-FR" w:bidi="fr-FR"/>
        </w:rPr>
        <w:t>m</w:t>
      </w:r>
      <w:r w:rsidRPr="00D2217B">
        <w:rPr>
          <w:lang w:eastAsia="fr-FR" w:bidi="fr-FR"/>
        </w:rPr>
        <w:t>migra</w:t>
      </w:r>
      <w:r w:rsidRPr="00D2217B">
        <w:rPr>
          <w:lang w:eastAsia="fr-FR" w:bidi="fr-FR"/>
        </w:rPr>
        <w:t>n</w:t>
      </w:r>
      <w:r w:rsidRPr="00D2217B">
        <w:rPr>
          <w:lang w:eastAsia="fr-FR" w:bidi="fr-FR"/>
        </w:rPr>
        <w:t xml:space="preserve">tes que celle qui s’est produite jusqu’aux années soixante. À la faveur du renouveau ethnique </w:t>
      </w:r>
      <w:r w:rsidRPr="00D2217B">
        <w:t>(</w:t>
      </w:r>
      <w:r w:rsidRPr="00177839">
        <w:rPr>
          <w:i/>
          <w:iCs/>
        </w:rPr>
        <w:t>ethnic revival</w:t>
      </w:r>
      <w:r w:rsidRPr="00D2217B">
        <w:t>)</w:t>
      </w:r>
      <w:r>
        <w:rPr>
          <w:lang w:eastAsia="fr-FR" w:bidi="fr-FR"/>
        </w:rPr>
        <w:t> </w:t>
      </w:r>
      <w:r>
        <w:rPr>
          <w:rStyle w:val="Appelnotedebasdep"/>
          <w:lang w:eastAsia="fr-FR" w:bidi="fr-FR"/>
        </w:rPr>
        <w:footnoteReference w:id="145"/>
      </w:r>
      <w:r w:rsidRPr="00D2217B">
        <w:rPr>
          <w:lang w:eastAsia="fr-FR" w:bidi="fr-FR"/>
        </w:rPr>
        <w:t>, les cultures imm</w:t>
      </w:r>
      <w:r w:rsidRPr="00D2217B">
        <w:rPr>
          <w:lang w:eastAsia="fr-FR" w:bidi="fr-FR"/>
        </w:rPr>
        <w:t>i</w:t>
      </w:r>
      <w:r w:rsidRPr="00D2217B">
        <w:rPr>
          <w:lang w:eastAsia="fr-FR" w:bidi="fr-FR"/>
        </w:rPr>
        <w:t>grantes se sont davantage affirmées et ont pu exercer des pressions sur la polit</w:t>
      </w:r>
      <w:r w:rsidRPr="00D2217B">
        <w:rPr>
          <w:lang w:eastAsia="fr-FR" w:bidi="fr-FR"/>
        </w:rPr>
        <w:t>i</w:t>
      </w:r>
      <w:r w:rsidRPr="00D2217B">
        <w:rPr>
          <w:lang w:eastAsia="fr-FR" w:bidi="fr-FR"/>
        </w:rPr>
        <w:t>que étrangère. Au début des années 1970, dans le contexte de l’opposition à la guerre du Vietnam et de la contre-culture en ébull</w:t>
      </w:r>
      <w:r w:rsidRPr="00D2217B">
        <w:rPr>
          <w:lang w:eastAsia="fr-FR" w:bidi="fr-FR"/>
        </w:rPr>
        <w:t>i</w:t>
      </w:r>
      <w:r w:rsidRPr="00D2217B">
        <w:rPr>
          <w:lang w:eastAsia="fr-FR" w:bidi="fr-FR"/>
        </w:rPr>
        <w:t>tion, la société américaine apparaissait de plus en plus fragmentée. D</w:t>
      </w:r>
      <w:r w:rsidRPr="00D2217B">
        <w:rPr>
          <w:lang w:eastAsia="fr-FR" w:bidi="fr-FR"/>
        </w:rPr>
        <w:t>e</w:t>
      </w:r>
      <w:r w:rsidRPr="00D2217B">
        <w:rPr>
          <w:lang w:eastAsia="fr-FR" w:bidi="fr-FR"/>
        </w:rPr>
        <w:t>puis ce temps, on ne voit plus une seule grande culture américaine, mais une multitude de cultures, comme celles des Africains-Américains, des hi</w:t>
      </w:r>
      <w:r w:rsidRPr="00D2217B">
        <w:rPr>
          <w:lang w:eastAsia="fr-FR" w:bidi="fr-FR"/>
        </w:rPr>
        <w:t>s</w:t>
      </w:r>
      <w:r w:rsidRPr="00D2217B">
        <w:rPr>
          <w:lang w:eastAsia="fr-FR" w:bidi="fr-FR"/>
        </w:rPr>
        <w:t>panophones (</w:t>
      </w:r>
      <w:r w:rsidRPr="00177839">
        <w:rPr>
          <w:i/>
          <w:iCs/>
        </w:rPr>
        <w:t>Chicanos</w:t>
      </w:r>
      <w:r w:rsidRPr="00D2217B">
        <w:rPr>
          <w:lang w:eastAsia="fr-FR" w:bidi="fr-FR"/>
        </w:rPr>
        <w:t>),</w:t>
      </w:r>
      <w:r>
        <w:rPr>
          <w:lang w:eastAsia="fr-FR" w:bidi="fr-FR"/>
        </w:rPr>
        <w:t xml:space="preserve"> ou des Asiatiques. Cette évolu</w:t>
      </w:r>
      <w:r w:rsidRPr="00D2217B">
        <w:rPr>
          <w:lang w:eastAsia="fr-FR" w:bidi="fr-FR"/>
        </w:rPr>
        <w:t>tion</w:t>
      </w:r>
      <w:r>
        <w:t xml:space="preserve"> [67]</w:t>
      </w:r>
      <w:r w:rsidRPr="00D2217B">
        <w:rPr>
          <w:lang w:eastAsia="fr-FR" w:bidi="fr-FR"/>
        </w:rPr>
        <w:t xml:space="preserve"> inquiète les élites traditionnelles et atténue considér</w:t>
      </w:r>
      <w:r w:rsidRPr="00D2217B">
        <w:rPr>
          <w:lang w:eastAsia="fr-FR" w:bidi="fr-FR"/>
        </w:rPr>
        <w:t>a</w:t>
      </w:r>
      <w:r w:rsidRPr="00D2217B">
        <w:rPr>
          <w:lang w:eastAsia="fr-FR" w:bidi="fr-FR"/>
        </w:rPr>
        <w:t>blement l’élan du nationalisme américain. La défaite au Vietnam conjuguée à la démission forcée d’un président mis en accusation po</w:t>
      </w:r>
      <w:r w:rsidRPr="00D2217B">
        <w:rPr>
          <w:lang w:eastAsia="fr-FR" w:bidi="fr-FR"/>
        </w:rPr>
        <w:t>u</w:t>
      </w:r>
      <w:r w:rsidRPr="00D2217B">
        <w:rPr>
          <w:lang w:eastAsia="fr-FR" w:bidi="fr-FR"/>
        </w:rPr>
        <w:t>vait laisser croire que la vieille fierté entretenue par le sentiment d’une mission providentielle n’était plus</w:t>
      </w:r>
      <w:r>
        <w:rPr>
          <w:lang w:eastAsia="fr-FR" w:bidi="fr-FR"/>
        </w:rPr>
        <w:t> </w:t>
      </w:r>
      <w:r>
        <w:rPr>
          <w:rStyle w:val="Appelnotedebasdep"/>
          <w:lang w:eastAsia="fr-FR" w:bidi="fr-FR"/>
        </w:rPr>
        <w:footnoteReference w:id="146"/>
      </w:r>
      <w:r>
        <w:rPr>
          <w:lang w:eastAsia="fr-FR" w:bidi="fr-FR"/>
        </w:rPr>
        <w:t>.</w:t>
      </w:r>
      <w:r w:rsidRPr="00D2217B">
        <w:rPr>
          <w:lang w:eastAsia="fr-FR" w:bidi="fr-FR"/>
        </w:rPr>
        <w:t xml:space="preserve"> Jimmy Carter accède au po</w:t>
      </w:r>
      <w:r w:rsidRPr="00D2217B">
        <w:rPr>
          <w:lang w:eastAsia="fr-FR" w:bidi="fr-FR"/>
        </w:rPr>
        <w:t>u</w:t>
      </w:r>
      <w:r w:rsidRPr="00D2217B">
        <w:rPr>
          <w:lang w:eastAsia="fr-FR" w:bidi="fr-FR"/>
        </w:rPr>
        <w:t xml:space="preserve">voir dans une atmosphère de </w:t>
      </w:r>
      <w:r w:rsidRPr="00D2217B">
        <w:t>« </w:t>
      </w:r>
      <w:r w:rsidRPr="00D2217B">
        <w:rPr>
          <w:lang w:eastAsia="fr-FR" w:bidi="fr-FR"/>
        </w:rPr>
        <w:t>régénération morale</w:t>
      </w:r>
      <w:r w:rsidRPr="00D2217B">
        <w:t> »</w:t>
      </w:r>
      <w:r w:rsidRPr="00D2217B">
        <w:rPr>
          <w:lang w:eastAsia="fr-FR" w:bidi="fr-FR"/>
        </w:rPr>
        <w:t xml:space="preserve"> et de prise de conscience des effets pervers d’une polit</w:t>
      </w:r>
      <w:r w:rsidRPr="00D2217B">
        <w:rPr>
          <w:lang w:eastAsia="fr-FR" w:bidi="fr-FR"/>
        </w:rPr>
        <w:t>i</w:t>
      </w:r>
      <w:r w:rsidRPr="00D2217B">
        <w:rPr>
          <w:lang w:eastAsia="fr-FR" w:bidi="fr-FR"/>
        </w:rPr>
        <w:t>que impériale</w:t>
      </w:r>
      <w:r>
        <w:rPr>
          <w:lang w:eastAsia="fr-FR" w:bidi="fr-FR"/>
        </w:rPr>
        <w:t> </w:t>
      </w:r>
      <w:r>
        <w:rPr>
          <w:rStyle w:val="Appelnotedebasdep"/>
          <w:lang w:eastAsia="fr-FR" w:bidi="fr-FR"/>
        </w:rPr>
        <w:footnoteReference w:id="147"/>
      </w:r>
      <w:r w:rsidRPr="00D2217B">
        <w:rPr>
          <w:lang w:eastAsia="fr-FR" w:bidi="fr-FR"/>
        </w:rPr>
        <w:t>. Il se fait le défenseur des droits de l’homme dans le monde, et s’en prend au m</w:t>
      </w:r>
      <w:r w:rsidRPr="00D2217B">
        <w:rPr>
          <w:lang w:eastAsia="fr-FR" w:bidi="fr-FR"/>
        </w:rPr>
        <w:t>a</w:t>
      </w:r>
      <w:r w:rsidRPr="00D2217B">
        <w:rPr>
          <w:lang w:eastAsia="fr-FR" w:bidi="fr-FR"/>
        </w:rPr>
        <w:t>nichéisme simpliste de la guerre froide</w:t>
      </w:r>
      <w:r w:rsidRPr="00D2217B">
        <w:t> :</w:t>
      </w:r>
      <w:r w:rsidRPr="00D2217B">
        <w:rPr>
          <w:lang w:eastAsia="fr-FR" w:bidi="fr-FR"/>
        </w:rPr>
        <w:t xml:space="preserve"> </w:t>
      </w:r>
      <w:r w:rsidRPr="00D2217B">
        <w:t>« </w:t>
      </w:r>
      <w:r w:rsidRPr="00D2217B">
        <w:rPr>
          <w:lang w:eastAsia="fr-FR" w:bidi="fr-FR"/>
        </w:rPr>
        <w:t>Nous sommes désormais libérés, disait-il en juin 1977, de cette crainte désordonnée du co</w:t>
      </w:r>
      <w:r w:rsidRPr="00D2217B">
        <w:rPr>
          <w:lang w:eastAsia="fr-FR" w:bidi="fr-FR"/>
        </w:rPr>
        <w:t>m</w:t>
      </w:r>
      <w:r w:rsidRPr="00D2217B">
        <w:rPr>
          <w:lang w:eastAsia="fr-FR" w:bidi="fr-FR"/>
        </w:rPr>
        <w:t>munisme qui nous entraînait à embrasser tout dictateur qui pa</w:t>
      </w:r>
      <w:r w:rsidRPr="00D2217B">
        <w:rPr>
          <w:lang w:eastAsia="fr-FR" w:bidi="fr-FR"/>
        </w:rPr>
        <w:t>r</w:t>
      </w:r>
      <w:r w:rsidRPr="00D2217B">
        <w:rPr>
          <w:lang w:eastAsia="fr-FR" w:bidi="fr-FR"/>
        </w:rPr>
        <w:t>tageait cette crainte avec nous.</w:t>
      </w:r>
      <w:r w:rsidRPr="00D2217B">
        <w:t> »</w:t>
      </w:r>
      <w:r w:rsidRPr="00D2217B">
        <w:rPr>
          <w:lang w:eastAsia="fr-FR" w:bidi="fr-FR"/>
        </w:rPr>
        <w:t xml:space="preserve"> Il privilégiait alors nettement la négociation et obtint d’ailleurs des succès auprès d’Israël et de l’Égypte à Camp David en 1978, à Panama en restituant à ce pays le contrôle du canal, en anno</w:t>
      </w:r>
      <w:r w:rsidRPr="00D2217B">
        <w:rPr>
          <w:lang w:eastAsia="fr-FR" w:bidi="fr-FR"/>
        </w:rPr>
        <w:t>n</w:t>
      </w:r>
      <w:r w:rsidRPr="00D2217B">
        <w:rPr>
          <w:lang w:eastAsia="fr-FR" w:bidi="fr-FR"/>
        </w:rPr>
        <w:t>çant une nouvelle politique envers l’Amérique latine. Il a mis sur pied un pr</w:t>
      </w:r>
      <w:r w:rsidRPr="00D2217B">
        <w:rPr>
          <w:lang w:eastAsia="fr-FR" w:bidi="fr-FR"/>
        </w:rPr>
        <w:t>o</w:t>
      </w:r>
      <w:r w:rsidRPr="00D2217B">
        <w:rPr>
          <w:lang w:eastAsia="fr-FR" w:bidi="fr-FR"/>
        </w:rPr>
        <w:t>gramme présidentiel d’encouragement à l’apprentissage des langues étrangères pour amener les Américains à prendre conscience de la d</w:t>
      </w:r>
      <w:r w:rsidRPr="00D2217B">
        <w:rPr>
          <w:lang w:eastAsia="fr-FR" w:bidi="fr-FR"/>
        </w:rPr>
        <w:t>i</w:t>
      </w:r>
      <w:r w:rsidRPr="00D2217B">
        <w:rPr>
          <w:lang w:eastAsia="fr-FR" w:bidi="fr-FR"/>
        </w:rPr>
        <w:t>versité culturelle dans le monde, en vue de faire accréditer une dipl</w:t>
      </w:r>
      <w:r w:rsidRPr="00D2217B">
        <w:rPr>
          <w:lang w:eastAsia="fr-FR" w:bidi="fr-FR"/>
        </w:rPr>
        <w:t>o</w:t>
      </w:r>
      <w:r w:rsidRPr="00D2217B">
        <w:rPr>
          <w:lang w:eastAsia="fr-FR" w:bidi="fr-FR"/>
        </w:rPr>
        <w:t>matie plus ouverte. Il a toutefois connu des déboires durant la seconde partie de son ma</w:t>
      </w:r>
      <w:r w:rsidRPr="00D2217B">
        <w:rPr>
          <w:lang w:eastAsia="fr-FR" w:bidi="fr-FR"/>
        </w:rPr>
        <w:t>n</w:t>
      </w:r>
      <w:r w:rsidRPr="00D2217B">
        <w:rPr>
          <w:lang w:eastAsia="fr-FR" w:bidi="fr-FR"/>
        </w:rPr>
        <w:t>dat telles la révolution iranienne qu’il n’avait pas prévue, la prise en otages des diplomates américains à T</w:t>
      </w:r>
      <w:r w:rsidRPr="00D2217B">
        <w:rPr>
          <w:lang w:eastAsia="fr-FR" w:bidi="fr-FR"/>
        </w:rPr>
        <w:t>é</w:t>
      </w:r>
      <w:r w:rsidRPr="00D2217B">
        <w:rPr>
          <w:lang w:eastAsia="fr-FR" w:bidi="fr-FR"/>
        </w:rPr>
        <w:t>héran et l’invasion de l’Afghanistan par les troupes soviétiques.</w:t>
      </w:r>
    </w:p>
    <w:p w14:paraId="1EFB253B" w14:textId="77777777" w:rsidR="0039793A" w:rsidRPr="00D2217B" w:rsidRDefault="0039793A" w:rsidP="0039793A">
      <w:pPr>
        <w:spacing w:before="120" w:after="120"/>
        <w:jc w:val="both"/>
      </w:pPr>
      <w:r w:rsidRPr="00D2217B">
        <w:rPr>
          <w:lang w:eastAsia="fr-FR" w:bidi="fr-FR"/>
        </w:rPr>
        <w:t>Il y avait là de quoi donner raison à tous ceux qui s’inquiétaient de ce que les États-Unis avaient perdu leur volonté de s’imposer et s’écrasaient devant leurs ennemis. Un important mouvement intelle</w:t>
      </w:r>
      <w:r w:rsidRPr="00D2217B">
        <w:rPr>
          <w:lang w:eastAsia="fr-FR" w:bidi="fr-FR"/>
        </w:rPr>
        <w:t>c</w:t>
      </w:r>
      <w:r w:rsidRPr="00D2217B">
        <w:rPr>
          <w:lang w:eastAsia="fr-FR" w:bidi="fr-FR"/>
        </w:rPr>
        <w:t>tuel s’étai</w:t>
      </w:r>
      <w:r>
        <w:rPr>
          <w:lang w:eastAsia="fr-FR" w:bidi="fr-FR"/>
        </w:rPr>
        <w:t>t formé pour condamner les soi-</w:t>
      </w:r>
      <w:r w:rsidRPr="00D2217B">
        <w:rPr>
          <w:lang w:eastAsia="fr-FR" w:bidi="fr-FR"/>
        </w:rPr>
        <w:t xml:space="preserve">disant mollesses et reculs de l’Administration Carter. Le </w:t>
      </w:r>
      <w:r w:rsidRPr="00D2217B">
        <w:t>« </w:t>
      </w:r>
      <w:r w:rsidRPr="004659C3">
        <w:rPr>
          <w:i/>
          <w:iCs/>
        </w:rPr>
        <w:t>Committee on the</w:t>
      </w:r>
      <w:r>
        <w:rPr>
          <w:i/>
          <w:iCs/>
        </w:rPr>
        <w:t xml:space="preserve"> </w:t>
      </w:r>
      <w:r w:rsidRPr="004659C3">
        <w:rPr>
          <w:i/>
          <w:iCs/>
        </w:rPr>
        <w:t>pr</w:t>
      </w:r>
      <w:r>
        <w:rPr>
          <w:i/>
          <w:iCs/>
        </w:rPr>
        <w:t>e</w:t>
      </w:r>
      <w:r w:rsidRPr="004659C3">
        <w:rPr>
          <w:i/>
          <w:iCs/>
        </w:rPr>
        <w:t>sent danger</w:t>
      </w:r>
      <w:r w:rsidRPr="00D2217B">
        <w:t> »</w:t>
      </w:r>
      <w:r w:rsidRPr="00D2217B">
        <w:rPr>
          <w:lang w:eastAsia="fr-FR" w:bidi="fr-FR"/>
        </w:rPr>
        <w:t>, d</w:t>
      </w:r>
      <w:r w:rsidRPr="00D2217B">
        <w:rPr>
          <w:lang w:eastAsia="fr-FR" w:bidi="fr-FR"/>
        </w:rPr>
        <w:t>i</w:t>
      </w:r>
      <w:r w:rsidRPr="00D2217B">
        <w:rPr>
          <w:lang w:eastAsia="fr-FR" w:bidi="fr-FR"/>
        </w:rPr>
        <w:t>rigé par Norman Podhoretz, accréditait des idées conservatrices, j</w:t>
      </w:r>
      <w:r w:rsidRPr="00D2217B">
        <w:rPr>
          <w:lang w:eastAsia="fr-FR" w:bidi="fr-FR"/>
        </w:rPr>
        <w:t>a</w:t>
      </w:r>
      <w:r w:rsidRPr="00D2217B">
        <w:rPr>
          <w:lang w:eastAsia="fr-FR" w:bidi="fr-FR"/>
        </w:rPr>
        <w:t>dis réservées à certains</w:t>
      </w:r>
      <w:r>
        <w:t xml:space="preserve"> [68] </w:t>
      </w:r>
      <w:r w:rsidRPr="00D2217B">
        <w:rPr>
          <w:lang w:eastAsia="fr-FR" w:bidi="fr-FR"/>
        </w:rPr>
        <w:t>groupements populistes réactionnaires, parmi des intellectuels, universitaires, journalistes et a</w:t>
      </w:r>
      <w:r w:rsidRPr="00D2217B">
        <w:rPr>
          <w:lang w:eastAsia="fr-FR" w:bidi="fr-FR"/>
        </w:rPr>
        <w:t>u</w:t>
      </w:r>
      <w:r w:rsidRPr="00D2217B">
        <w:rPr>
          <w:lang w:eastAsia="fr-FR" w:bidi="fr-FR"/>
        </w:rPr>
        <w:t>tres. Ronald Reagan, candidat à la nomination du Parti républicain en 1976, revenait à la charge avec succès en 1980. Dans la foulée des échecs de l’Administration dém</w:t>
      </w:r>
      <w:r w:rsidRPr="00D2217B">
        <w:rPr>
          <w:lang w:eastAsia="fr-FR" w:bidi="fr-FR"/>
        </w:rPr>
        <w:t>o</w:t>
      </w:r>
      <w:r w:rsidRPr="00D2217B">
        <w:rPr>
          <w:lang w:eastAsia="fr-FR" w:bidi="fr-FR"/>
        </w:rPr>
        <w:t>crate, il parvint à se faire élire et à faire valoir des principes fondés sur les traits les plus traditionnels du style nati</w:t>
      </w:r>
      <w:r w:rsidRPr="00D2217B">
        <w:rPr>
          <w:lang w:eastAsia="fr-FR" w:bidi="fr-FR"/>
        </w:rPr>
        <w:t>o</w:t>
      </w:r>
      <w:r w:rsidRPr="00D2217B">
        <w:rPr>
          <w:lang w:eastAsia="fr-FR" w:bidi="fr-FR"/>
        </w:rPr>
        <w:t>nal. L’exceptionnalisme américain était réhabilité de façon spectac</w:t>
      </w:r>
      <w:r w:rsidRPr="00D2217B">
        <w:rPr>
          <w:lang w:eastAsia="fr-FR" w:bidi="fr-FR"/>
        </w:rPr>
        <w:t>u</w:t>
      </w:r>
      <w:r w:rsidRPr="00D2217B">
        <w:rPr>
          <w:lang w:eastAsia="fr-FR" w:bidi="fr-FR"/>
        </w:rPr>
        <w:t>laire.</w:t>
      </w:r>
    </w:p>
    <w:p w14:paraId="23D00ABF" w14:textId="77777777" w:rsidR="0039793A" w:rsidRPr="00D2217B" w:rsidRDefault="0039793A" w:rsidP="0039793A">
      <w:pPr>
        <w:spacing w:before="120" w:after="120"/>
        <w:jc w:val="both"/>
      </w:pPr>
      <w:r w:rsidRPr="00D2217B">
        <w:rPr>
          <w:lang w:eastAsia="fr-FR" w:bidi="fr-FR"/>
        </w:rPr>
        <w:t>Après avoir été son vice-président, George H. Bush succéda à Reagan, en s’engageant à gouve</w:t>
      </w:r>
      <w:r w:rsidRPr="00D2217B">
        <w:rPr>
          <w:lang w:eastAsia="fr-FR" w:bidi="fr-FR"/>
        </w:rPr>
        <w:t>r</w:t>
      </w:r>
      <w:r w:rsidRPr="00D2217B">
        <w:rPr>
          <w:lang w:eastAsia="fr-FR" w:bidi="fr-FR"/>
        </w:rPr>
        <w:t>ner sur la base des mêmes principes. Bush avait tout de même assez d’expérience diplomatique pour appo</w:t>
      </w:r>
      <w:r w:rsidRPr="00D2217B">
        <w:rPr>
          <w:lang w:eastAsia="fr-FR" w:bidi="fr-FR"/>
        </w:rPr>
        <w:t>r</w:t>
      </w:r>
      <w:r w:rsidRPr="00D2217B">
        <w:rPr>
          <w:lang w:eastAsia="fr-FR" w:bidi="fr-FR"/>
        </w:rPr>
        <w:t>ter, au cours de son mandat, une certaine pondération aux manifest</w:t>
      </w:r>
      <w:r w:rsidRPr="00D2217B">
        <w:rPr>
          <w:lang w:eastAsia="fr-FR" w:bidi="fr-FR"/>
        </w:rPr>
        <w:t>a</w:t>
      </w:r>
      <w:r w:rsidRPr="00D2217B">
        <w:rPr>
          <w:lang w:eastAsia="fr-FR" w:bidi="fr-FR"/>
        </w:rPr>
        <w:t>tions du style nati</w:t>
      </w:r>
      <w:r w:rsidRPr="00D2217B">
        <w:rPr>
          <w:lang w:eastAsia="fr-FR" w:bidi="fr-FR"/>
        </w:rPr>
        <w:t>o</w:t>
      </w:r>
      <w:r w:rsidRPr="00D2217B">
        <w:rPr>
          <w:lang w:eastAsia="fr-FR" w:bidi="fr-FR"/>
        </w:rPr>
        <w:t>nal. De surcroît, la fin de la guerre froide invitait au multilatéralisme et à l’ouverture sur le monde. Même au moment de la guerre du Golfe, où le premier président Bush se présentait comme un Commandant en chef déterminé à renforcer la s</w:t>
      </w:r>
      <w:r w:rsidRPr="00D2217B">
        <w:rPr>
          <w:lang w:eastAsia="fr-FR" w:bidi="fr-FR"/>
        </w:rPr>
        <w:t>u</w:t>
      </w:r>
      <w:r w:rsidRPr="00D2217B">
        <w:rPr>
          <w:lang w:eastAsia="fr-FR" w:bidi="fr-FR"/>
        </w:rPr>
        <w:t>périorité morale des États-Unis, il se souciait de rallier à sa cause une des plus vastes coal</w:t>
      </w:r>
      <w:r w:rsidRPr="00D2217B">
        <w:rPr>
          <w:lang w:eastAsia="fr-FR" w:bidi="fr-FR"/>
        </w:rPr>
        <w:t>i</w:t>
      </w:r>
      <w:r w:rsidRPr="00D2217B">
        <w:rPr>
          <w:lang w:eastAsia="fr-FR" w:bidi="fr-FR"/>
        </w:rPr>
        <w:t>tions i</w:t>
      </w:r>
      <w:r w:rsidRPr="00D2217B">
        <w:rPr>
          <w:lang w:eastAsia="fr-FR" w:bidi="fr-FR"/>
        </w:rPr>
        <w:t>n</w:t>
      </w:r>
      <w:r w:rsidRPr="00D2217B">
        <w:rPr>
          <w:lang w:eastAsia="fr-FR" w:bidi="fr-FR"/>
        </w:rPr>
        <w:t>ternationales jamais rassemblées par les États-Unis.</w:t>
      </w:r>
    </w:p>
    <w:p w14:paraId="7F3911B5" w14:textId="77777777" w:rsidR="0039793A" w:rsidRPr="00D2217B" w:rsidRDefault="0039793A" w:rsidP="0039793A">
      <w:pPr>
        <w:spacing w:before="120" w:after="120"/>
        <w:jc w:val="both"/>
      </w:pPr>
      <w:r w:rsidRPr="00D2217B">
        <w:rPr>
          <w:lang w:eastAsia="fr-FR" w:bidi="fr-FR"/>
        </w:rPr>
        <w:t>Bill Clinton représente une nouvelle génération, celle qui s’est o</w:t>
      </w:r>
      <w:r w:rsidRPr="00D2217B">
        <w:rPr>
          <w:lang w:eastAsia="fr-FR" w:bidi="fr-FR"/>
        </w:rPr>
        <w:t>p</w:t>
      </w:r>
      <w:r w:rsidRPr="00D2217B">
        <w:rPr>
          <w:lang w:eastAsia="fr-FR" w:bidi="fr-FR"/>
        </w:rPr>
        <w:t>posée à la guerre au Vietnam. Même s’il ne fait preuve ni d’expérience ni de subtilité en matière de relations internationales, il i</w:t>
      </w:r>
      <w:r w:rsidRPr="00D2217B">
        <w:rPr>
          <w:lang w:eastAsia="fr-FR" w:bidi="fr-FR"/>
        </w:rPr>
        <w:t>n</w:t>
      </w:r>
      <w:r w:rsidRPr="00D2217B">
        <w:rPr>
          <w:lang w:eastAsia="fr-FR" w:bidi="fr-FR"/>
        </w:rPr>
        <w:t>troduit tout de même à Washington une volonté d’ouverture et de coopération internationale</w:t>
      </w:r>
      <w:r>
        <w:rPr>
          <w:lang w:eastAsia="fr-FR" w:bidi="fr-FR"/>
        </w:rPr>
        <w:t> </w:t>
      </w:r>
      <w:r>
        <w:rPr>
          <w:rStyle w:val="Appelnotedebasdep"/>
          <w:lang w:eastAsia="fr-FR" w:bidi="fr-FR"/>
        </w:rPr>
        <w:footnoteReference w:id="148"/>
      </w:r>
      <w:r>
        <w:rPr>
          <w:lang w:eastAsia="fr-FR" w:bidi="fr-FR"/>
        </w:rPr>
        <w:t>.</w:t>
      </w:r>
      <w:r w:rsidRPr="00D2217B">
        <w:rPr>
          <w:lang w:eastAsia="fr-FR" w:bidi="fr-FR"/>
        </w:rPr>
        <w:t xml:space="preserve"> Il s’engage à promouvoir des politiques plus respectueuses des aspirations des défavorisés. Ses eng</w:t>
      </w:r>
      <w:r w:rsidRPr="00D2217B">
        <w:rPr>
          <w:lang w:eastAsia="fr-FR" w:bidi="fr-FR"/>
        </w:rPr>
        <w:t>a</w:t>
      </w:r>
      <w:r w:rsidRPr="00D2217B">
        <w:rPr>
          <w:lang w:eastAsia="fr-FR" w:bidi="fr-FR"/>
        </w:rPr>
        <w:t>gements sont souvent demeurés des velléités, mais on pouvait sentir tout de même au sein de son administration une volonté de se départir lent</w:t>
      </w:r>
      <w:r w:rsidRPr="00D2217B">
        <w:rPr>
          <w:lang w:eastAsia="fr-FR" w:bidi="fr-FR"/>
        </w:rPr>
        <w:t>e</w:t>
      </w:r>
      <w:r w:rsidRPr="00D2217B">
        <w:rPr>
          <w:lang w:eastAsia="fr-FR" w:bidi="fr-FR"/>
        </w:rPr>
        <w:t>ment des traits les plus discutables du style américain, comme l’exceptionnalisme moral. Cela semble correspondre à une certaine évolution dans la p</w:t>
      </w:r>
      <w:r w:rsidRPr="00D2217B">
        <w:rPr>
          <w:lang w:eastAsia="fr-FR" w:bidi="fr-FR"/>
        </w:rPr>
        <w:t>o</w:t>
      </w:r>
      <w:r w:rsidRPr="00D2217B">
        <w:rPr>
          <w:lang w:eastAsia="fr-FR" w:bidi="fr-FR"/>
        </w:rPr>
        <w:t>pulation.</w:t>
      </w:r>
    </w:p>
    <w:p w14:paraId="4B69422B" w14:textId="77777777" w:rsidR="0039793A" w:rsidRDefault="0039793A" w:rsidP="0039793A">
      <w:pPr>
        <w:spacing w:before="120" w:after="120"/>
        <w:jc w:val="both"/>
        <w:rPr>
          <w:lang w:eastAsia="fr-FR" w:bidi="fr-FR"/>
        </w:rPr>
      </w:pPr>
      <w:r w:rsidRPr="00D2217B">
        <w:rPr>
          <w:lang w:eastAsia="fr-FR" w:bidi="fr-FR"/>
        </w:rPr>
        <w:t>Il s’agit cependant d’une évolution plutôt lente, car Clinton se pr</w:t>
      </w:r>
      <w:r w:rsidRPr="00D2217B">
        <w:rPr>
          <w:lang w:eastAsia="fr-FR" w:bidi="fr-FR"/>
        </w:rPr>
        <w:t>é</w:t>
      </w:r>
      <w:r w:rsidRPr="00D2217B">
        <w:rPr>
          <w:lang w:eastAsia="fr-FR" w:bidi="fr-FR"/>
        </w:rPr>
        <w:t>sente résolument comme un homme du centre renonçant aux polit</w:t>
      </w:r>
      <w:r w:rsidRPr="00D2217B">
        <w:rPr>
          <w:lang w:eastAsia="fr-FR" w:bidi="fr-FR"/>
        </w:rPr>
        <w:t>i</w:t>
      </w:r>
      <w:r w:rsidRPr="00D2217B">
        <w:rPr>
          <w:lang w:eastAsia="fr-FR" w:bidi="fr-FR"/>
        </w:rPr>
        <w:t>ques les plus audacieuses et généreuses qui avaient</w:t>
      </w:r>
      <w:r>
        <w:t xml:space="preserve"> [69] </w:t>
      </w:r>
      <w:r w:rsidRPr="00D2217B">
        <w:rPr>
          <w:lang w:eastAsia="fr-FR" w:bidi="fr-FR"/>
        </w:rPr>
        <w:t>caractérisé le Parti démocrate à certaines heures</w:t>
      </w:r>
      <w:r>
        <w:rPr>
          <w:lang w:eastAsia="fr-FR" w:bidi="fr-FR"/>
        </w:rPr>
        <w:t> </w:t>
      </w:r>
      <w:r>
        <w:rPr>
          <w:rStyle w:val="Appelnotedebasdep"/>
          <w:lang w:eastAsia="fr-FR" w:bidi="fr-FR"/>
        </w:rPr>
        <w:footnoteReference w:id="149"/>
      </w:r>
      <w:r>
        <w:rPr>
          <w:lang w:eastAsia="fr-FR" w:bidi="fr-FR"/>
        </w:rPr>
        <w:t xml:space="preserve">. </w:t>
      </w:r>
      <w:r w:rsidRPr="00D2217B">
        <w:rPr>
          <w:lang w:eastAsia="fr-FR" w:bidi="fr-FR"/>
        </w:rPr>
        <w:t>La droite américaine est d</w:t>
      </w:r>
      <w:r w:rsidRPr="00D2217B">
        <w:rPr>
          <w:lang w:eastAsia="fr-FR" w:bidi="fr-FR"/>
        </w:rPr>
        <w:t>e</w:t>
      </w:r>
      <w:r w:rsidRPr="00D2217B">
        <w:rPr>
          <w:lang w:eastAsia="fr-FR" w:bidi="fr-FR"/>
        </w:rPr>
        <w:t>meurée puissante tout au long de cette période. Dès 1994, les Rép</w:t>
      </w:r>
      <w:r w:rsidRPr="00D2217B">
        <w:rPr>
          <w:lang w:eastAsia="fr-FR" w:bidi="fr-FR"/>
        </w:rPr>
        <w:t>u</w:t>
      </w:r>
      <w:r w:rsidRPr="00D2217B">
        <w:rPr>
          <w:lang w:eastAsia="fr-FR" w:bidi="fr-FR"/>
        </w:rPr>
        <w:t xml:space="preserve">blicains conservateurs prennent le contrôle du Congrès au nom d’un </w:t>
      </w:r>
      <w:r w:rsidRPr="00D2217B">
        <w:t>« </w:t>
      </w:r>
      <w:r w:rsidRPr="00D2217B">
        <w:rPr>
          <w:lang w:eastAsia="fr-FR" w:bidi="fr-FR"/>
        </w:rPr>
        <w:t>Contrat avec l’Amérique</w:t>
      </w:r>
      <w:r w:rsidRPr="00D2217B">
        <w:t> »</w:t>
      </w:r>
      <w:r w:rsidRPr="00D2217B">
        <w:rPr>
          <w:lang w:eastAsia="fr-FR" w:bidi="fr-FR"/>
        </w:rPr>
        <w:t xml:space="preserve"> qui est marqué par des aspects traditio</w:t>
      </w:r>
      <w:r w:rsidRPr="00D2217B">
        <w:rPr>
          <w:lang w:eastAsia="fr-FR" w:bidi="fr-FR"/>
        </w:rPr>
        <w:t>n</w:t>
      </w:r>
      <w:r w:rsidRPr="00D2217B">
        <w:rPr>
          <w:lang w:eastAsia="fr-FR" w:bidi="fr-FR"/>
        </w:rPr>
        <w:t>nels de la culture américaine, entre autres, une méfiance profonde de l’étranger, tout particulièrement de l’Organisation des Nations unies. Jesse Helms, sénateur très conservateur de la Caroline du Nord, d</w:t>
      </w:r>
      <w:r w:rsidRPr="00D2217B">
        <w:rPr>
          <w:lang w:eastAsia="fr-FR" w:bidi="fr-FR"/>
        </w:rPr>
        <w:t>e</w:t>
      </w:r>
      <w:r w:rsidRPr="00D2217B">
        <w:rPr>
          <w:lang w:eastAsia="fr-FR" w:bidi="fr-FR"/>
        </w:rPr>
        <w:t>vient le président de la Commission sénatoriale des Affaires étrang</w:t>
      </w:r>
      <w:r w:rsidRPr="00D2217B">
        <w:rPr>
          <w:lang w:eastAsia="fr-FR" w:bidi="fr-FR"/>
        </w:rPr>
        <w:t>è</w:t>
      </w:r>
      <w:r w:rsidRPr="00D2217B">
        <w:rPr>
          <w:lang w:eastAsia="fr-FR" w:bidi="fr-FR"/>
        </w:rPr>
        <w:t xml:space="preserve">res et utilise son pouvoir pour promouvoir des principes radicalement </w:t>
      </w:r>
      <w:r w:rsidRPr="00D2217B">
        <w:t>« </w:t>
      </w:r>
      <w:r w:rsidRPr="00D2217B">
        <w:rPr>
          <w:lang w:eastAsia="fr-FR" w:bidi="fr-FR"/>
        </w:rPr>
        <w:t>exceptionnalistes</w:t>
      </w:r>
      <w:r w:rsidRPr="00D2217B">
        <w:t> »</w:t>
      </w:r>
      <w:r w:rsidRPr="00D2217B">
        <w:rPr>
          <w:lang w:eastAsia="fr-FR" w:bidi="fr-FR"/>
        </w:rPr>
        <w:t>. En politique étrangère, Clinton a donc dû co</w:t>
      </w:r>
      <w:r w:rsidRPr="00D2217B">
        <w:rPr>
          <w:lang w:eastAsia="fr-FR" w:bidi="fr-FR"/>
        </w:rPr>
        <w:t>m</w:t>
      </w:r>
      <w:r w:rsidRPr="00D2217B">
        <w:rPr>
          <w:lang w:eastAsia="fr-FR" w:bidi="fr-FR"/>
        </w:rPr>
        <w:t>poser avec un Congrès irrédu</w:t>
      </w:r>
      <w:r w:rsidRPr="00D2217B">
        <w:rPr>
          <w:lang w:eastAsia="fr-FR" w:bidi="fr-FR"/>
        </w:rPr>
        <w:t>c</w:t>
      </w:r>
      <w:r w:rsidRPr="00D2217B">
        <w:rPr>
          <w:lang w:eastAsia="fr-FR" w:bidi="fr-FR"/>
        </w:rPr>
        <w:t>tible et voué au maintien des positions traditionnelles où le puritanisme, la méfiance de la diplom</w:t>
      </w:r>
      <w:r w:rsidRPr="00D2217B">
        <w:rPr>
          <w:lang w:eastAsia="fr-FR" w:bidi="fr-FR"/>
        </w:rPr>
        <w:t>a</w:t>
      </w:r>
      <w:r w:rsidRPr="00D2217B">
        <w:rPr>
          <w:lang w:eastAsia="fr-FR" w:bidi="fr-FR"/>
        </w:rPr>
        <w:t>tie, le rejet de l’Europe continuent de se manifester. George W. Bush apparaît comme l’héritier de ce Congrès conservateur, bien qu’il ait pris ses distances avec ses positions les plus dures, du moins durant sa camp</w:t>
      </w:r>
      <w:r w:rsidRPr="00D2217B">
        <w:rPr>
          <w:lang w:eastAsia="fr-FR" w:bidi="fr-FR"/>
        </w:rPr>
        <w:t>a</w:t>
      </w:r>
      <w:r w:rsidRPr="00D2217B">
        <w:rPr>
          <w:lang w:eastAsia="fr-FR" w:bidi="fr-FR"/>
        </w:rPr>
        <w:t>gne électorale. Il offre l’image du justicier, du protecteur de la civil</w:t>
      </w:r>
      <w:r w:rsidRPr="00D2217B">
        <w:rPr>
          <w:lang w:eastAsia="fr-FR" w:bidi="fr-FR"/>
        </w:rPr>
        <w:t>i</w:t>
      </w:r>
      <w:r w:rsidRPr="00D2217B">
        <w:rPr>
          <w:lang w:eastAsia="fr-FR" w:bidi="fr-FR"/>
        </w:rPr>
        <w:t>sation, de la supériorité morale de l’Amérique et du recours à une p</w:t>
      </w:r>
      <w:r w:rsidRPr="00D2217B">
        <w:rPr>
          <w:lang w:eastAsia="fr-FR" w:bidi="fr-FR"/>
        </w:rPr>
        <w:t>o</w:t>
      </w:r>
      <w:r w:rsidRPr="00D2217B">
        <w:rPr>
          <w:lang w:eastAsia="fr-FR" w:bidi="fr-FR"/>
        </w:rPr>
        <w:t>litique de défense musclée.</w:t>
      </w:r>
    </w:p>
    <w:p w14:paraId="201C3760" w14:textId="77777777" w:rsidR="0039793A" w:rsidRPr="00D2217B" w:rsidRDefault="0039793A" w:rsidP="0039793A">
      <w:pPr>
        <w:spacing w:before="120" w:after="120"/>
        <w:jc w:val="both"/>
      </w:pPr>
    </w:p>
    <w:p w14:paraId="758529D9" w14:textId="77777777" w:rsidR="0039793A" w:rsidRPr="00D2217B" w:rsidRDefault="0039793A" w:rsidP="0039793A">
      <w:pPr>
        <w:pStyle w:val="c"/>
      </w:pPr>
      <w:r w:rsidRPr="00D2217B">
        <w:t>*</w:t>
      </w:r>
      <w:r>
        <w:br/>
        <w:t>*     *</w:t>
      </w:r>
    </w:p>
    <w:p w14:paraId="10A37115" w14:textId="77777777" w:rsidR="0039793A" w:rsidRDefault="0039793A" w:rsidP="0039793A">
      <w:pPr>
        <w:spacing w:before="120" w:after="120"/>
        <w:jc w:val="both"/>
        <w:rPr>
          <w:lang w:eastAsia="fr-FR" w:bidi="fr-FR"/>
        </w:rPr>
      </w:pPr>
    </w:p>
    <w:p w14:paraId="6935E0DC" w14:textId="77777777" w:rsidR="0039793A" w:rsidRPr="00D2217B" w:rsidRDefault="0039793A" w:rsidP="0039793A">
      <w:pPr>
        <w:spacing w:before="120" w:after="120"/>
        <w:jc w:val="both"/>
      </w:pPr>
      <w:r w:rsidRPr="00D2217B">
        <w:rPr>
          <w:lang w:eastAsia="fr-FR" w:bidi="fr-FR"/>
        </w:rPr>
        <w:t>Le style national évolue donc plutôt lentement. Par exemple, la r</w:t>
      </w:r>
      <w:r w:rsidRPr="00D2217B">
        <w:rPr>
          <w:lang w:eastAsia="fr-FR" w:bidi="fr-FR"/>
        </w:rPr>
        <w:t>e</w:t>
      </w:r>
      <w:r w:rsidRPr="00D2217B">
        <w:rPr>
          <w:lang w:eastAsia="fr-FR" w:bidi="fr-FR"/>
        </w:rPr>
        <w:t>valorisation des diverses ident</w:t>
      </w:r>
      <w:r w:rsidRPr="00D2217B">
        <w:rPr>
          <w:lang w:eastAsia="fr-FR" w:bidi="fr-FR"/>
        </w:rPr>
        <w:t>i</w:t>
      </w:r>
      <w:r w:rsidRPr="00D2217B">
        <w:rPr>
          <w:lang w:eastAsia="fr-FR" w:bidi="fr-FR"/>
        </w:rPr>
        <w:t>tés culturelles n’a guère donné lieu à des orientations nouvelles. Que dire de l’avenir</w:t>
      </w:r>
      <w:r w:rsidRPr="00D2217B">
        <w:t> ?</w:t>
      </w:r>
      <w:r w:rsidRPr="00D2217B">
        <w:rPr>
          <w:lang w:eastAsia="fr-FR" w:bidi="fr-FR"/>
        </w:rPr>
        <w:t xml:space="preserve"> Certains </w:t>
      </w:r>
      <w:r>
        <w:rPr>
          <w:lang w:eastAsia="fr-FR" w:bidi="fr-FR"/>
        </w:rPr>
        <w:t>État</w:t>
      </w:r>
      <w:r w:rsidRPr="00D2217B">
        <w:rPr>
          <w:lang w:eastAsia="fr-FR" w:bidi="fr-FR"/>
        </w:rPr>
        <w:t>s féd</w:t>
      </w:r>
      <w:r w:rsidRPr="00D2217B">
        <w:rPr>
          <w:lang w:eastAsia="fr-FR" w:bidi="fr-FR"/>
        </w:rPr>
        <w:t>é</w:t>
      </w:r>
      <w:r w:rsidRPr="00D2217B">
        <w:rPr>
          <w:lang w:eastAsia="fr-FR" w:bidi="fr-FR"/>
        </w:rPr>
        <w:t>rés pourraient être bientôt peuplés d’une majorité d’hispanophones, voulant manifester leurs différences linguistiques et culturelles et les tradu</w:t>
      </w:r>
      <w:r w:rsidRPr="00D2217B">
        <w:rPr>
          <w:lang w:eastAsia="fr-FR" w:bidi="fr-FR"/>
        </w:rPr>
        <w:t>i</w:t>
      </w:r>
      <w:r w:rsidRPr="00D2217B">
        <w:rPr>
          <w:lang w:eastAsia="fr-FR" w:bidi="fr-FR"/>
        </w:rPr>
        <w:t>re en politiques. Il se trouve déjà des intellectuels américains pour s’en inquiéter</w:t>
      </w:r>
      <w:r>
        <w:rPr>
          <w:lang w:eastAsia="fr-FR" w:bidi="fr-FR"/>
        </w:rPr>
        <w:t> </w:t>
      </w:r>
      <w:r>
        <w:rPr>
          <w:rStyle w:val="Appelnotedebasdep"/>
          <w:lang w:eastAsia="fr-FR" w:bidi="fr-FR"/>
        </w:rPr>
        <w:footnoteReference w:id="150"/>
      </w:r>
      <w:r w:rsidRPr="00D2217B">
        <w:rPr>
          <w:vertAlign w:val="superscript"/>
          <w:lang w:eastAsia="fr-FR" w:bidi="fr-FR"/>
        </w:rPr>
        <w:t xml:space="preserve"> </w:t>
      </w:r>
      <w:r w:rsidRPr="00D2217B">
        <w:rPr>
          <w:lang w:eastAsia="fr-FR" w:bidi="fr-FR"/>
        </w:rPr>
        <w:t>tandis que d’autres déplorent la décadence de la culture américaine assortie d’un affadissement des traits fondame</w:t>
      </w:r>
      <w:r w:rsidRPr="00D2217B">
        <w:rPr>
          <w:lang w:eastAsia="fr-FR" w:bidi="fr-FR"/>
        </w:rPr>
        <w:t>n</w:t>
      </w:r>
      <w:r w:rsidRPr="00D2217B">
        <w:rPr>
          <w:lang w:eastAsia="fr-FR" w:bidi="fr-FR"/>
        </w:rPr>
        <w:t>taux du style national</w:t>
      </w:r>
      <w:r>
        <w:rPr>
          <w:lang w:eastAsia="fr-FR" w:bidi="fr-FR"/>
        </w:rPr>
        <w:t> </w:t>
      </w:r>
      <w:r>
        <w:rPr>
          <w:rStyle w:val="Appelnotedebasdep"/>
          <w:lang w:eastAsia="fr-FR" w:bidi="fr-FR"/>
        </w:rPr>
        <w:footnoteReference w:id="151"/>
      </w:r>
      <w:r w:rsidRPr="00D2217B">
        <w:rPr>
          <w:lang w:eastAsia="fr-FR" w:bidi="fr-FR"/>
        </w:rPr>
        <w:t>. Le style, issu de la culture, s’ajuste con</w:t>
      </w:r>
      <w:r w:rsidRPr="00D2217B">
        <w:rPr>
          <w:lang w:eastAsia="fr-FR" w:bidi="fr-FR"/>
        </w:rPr>
        <w:t>s</w:t>
      </w:r>
      <w:r w:rsidRPr="00D2217B">
        <w:rPr>
          <w:lang w:eastAsia="fr-FR" w:bidi="fr-FR"/>
        </w:rPr>
        <w:t>tamment</w:t>
      </w:r>
      <w:r>
        <w:rPr>
          <w:lang w:eastAsia="fr-FR" w:bidi="fr-FR"/>
        </w:rPr>
        <w:t xml:space="preserve"> </w:t>
      </w:r>
      <w:r>
        <w:t xml:space="preserve">[70] </w:t>
      </w:r>
      <w:r w:rsidRPr="00D2217B">
        <w:rPr>
          <w:lang w:eastAsia="fr-FR" w:bidi="fr-FR"/>
        </w:rPr>
        <w:t>aux contextes et aux conjonctures nouvelles. Malgré tout, l’extraordinaire continuité des gra</w:t>
      </w:r>
      <w:r w:rsidRPr="00D2217B">
        <w:rPr>
          <w:lang w:eastAsia="fr-FR" w:bidi="fr-FR"/>
        </w:rPr>
        <w:t>n</w:t>
      </w:r>
      <w:r w:rsidRPr="00D2217B">
        <w:rPr>
          <w:lang w:eastAsia="fr-FR" w:bidi="fr-FR"/>
        </w:rPr>
        <w:t xml:space="preserve">des orientations dessinées dès le voyage du </w:t>
      </w:r>
      <w:r w:rsidRPr="004659C3">
        <w:rPr>
          <w:i/>
          <w:iCs/>
        </w:rPr>
        <w:t>Mayflower</w:t>
      </w:r>
      <w:r w:rsidRPr="00D2217B">
        <w:rPr>
          <w:lang w:eastAsia="fr-FR" w:bidi="fr-FR"/>
        </w:rPr>
        <w:t xml:space="preserve"> en 1620 est frappante</w:t>
      </w:r>
      <w:r w:rsidRPr="00D2217B">
        <w:t> :</w:t>
      </w:r>
      <w:r w:rsidRPr="00D2217B">
        <w:rPr>
          <w:lang w:eastAsia="fr-FR" w:bidi="fr-FR"/>
        </w:rPr>
        <w:t xml:space="preserve"> ces sentiments d’exceptionnalisme, de supériorité morale, ce sens de la mission pr</w:t>
      </w:r>
      <w:r w:rsidRPr="00D2217B">
        <w:rPr>
          <w:lang w:eastAsia="fr-FR" w:bidi="fr-FR"/>
        </w:rPr>
        <w:t>o</w:t>
      </w:r>
      <w:r w:rsidRPr="00D2217B">
        <w:rPr>
          <w:lang w:eastAsia="fr-FR" w:bidi="fr-FR"/>
        </w:rPr>
        <w:t xml:space="preserve">videntielle sont un héritage des puritains qui perdure. C’est sur cette base que se sont construits la </w:t>
      </w:r>
      <w:r w:rsidRPr="00D2217B">
        <w:t>« </w:t>
      </w:r>
      <w:r w:rsidRPr="00D2217B">
        <w:rPr>
          <w:lang w:eastAsia="fr-FR" w:bidi="fr-FR"/>
        </w:rPr>
        <w:t>destinée manifeste</w:t>
      </w:r>
      <w:r w:rsidRPr="00D2217B">
        <w:t> »</w:t>
      </w:r>
      <w:r w:rsidRPr="00D2217B">
        <w:rPr>
          <w:lang w:eastAsia="fr-FR" w:bidi="fr-FR"/>
        </w:rPr>
        <w:t xml:space="preserve">, l’expansionnisme et la pensée experte. Bien sûr, ces traits ont évolué et se sont parfois atténués mais ils demeurent saillants au début du </w:t>
      </w:r>
      <w:r w:rsidRPr="00D2217B">
        <w:t>XXI</w:t>
      </w:r>
      <w:r w:rsidRPr="00D2217B">
        <w:rPr>
          <w:vertAlign w:val="superscript"/>
        </w:rPr>
        <w:t>e</w:t>
      </w:r>
      <w:r w:rsidRPr="00D2217B">
        <w:t xml:space="preserve"> </w:t>
      </w:r>
      <w:r w:rsidRPr="00D2217B">
        <w:rPr>
          <w:lang w:eastAsia="fr-FR" w:bidi="fr-FR"/>
        </w:rPr>
        <w:t>si</w:t>
      </w:r>
      <w:r w:rsidRPr="00D2217B">
        <w:rPr>
          <w:lang w:eastAsia="fr-FR" w:bidi="fr-FR"/>
        </w:rPr>
        <w:t>è</w:t>
      </w:r>
      <w:r w:rsidRPr="00D2217B">
        <w:rPr>
          <w:lang w:eastAsia="fr-FR" w:bidi="fr-FR"/>
        </w:rPr>
        <w:t>cle.</w:t>
      </w:r>
    </w:p>
    <w:p w14:paraId="53003488" w14:textId="77777777" w:rsidR="0039793A" w:rsidRDefault="0039793A" w:rsidP="0039793A">
      <w:pPr>
        <w:pStyle w:val="p"/>
      </w:pPr>
    </w:p>
    <w:p w14:paraId="49EC32BA" w14:textId="77777777" w:rsidR="0039793A" w:rsidRDefault="0039793A" w:rsidP="0039793A">
      <w:pPr>
        <w:pStyle w:val="p"/>
      </w:pPr>
      <w:r w:rsidRPr="00D2217B">
        <w:br w:type="page"/>
      </w:r>
      <w:r>
        <w:t>[71]</w:t>
      </w:r>
    </w:p>
    <w:p w14:paraId="0562E3F0" w14:textId="77777777" w:rsidR="0039793A" w:rsidRPr="00E07116" w:rsidRDefault="0039793A" w:rsidP="0039793A">
      <w:pPr>
        <w:jc w:val="both"/>
      </w:pPr>
    </w:p>
    <w:p w14:paraId="3DCF23E9" w14:textId="77777777" w:rsidR="0039793A" w:rsidRPr="00E07116" w:rsidRDefault="0039793A" w:rsidP="0039793A">
      <w:pPr>
        <w:jc w:val="both"/>
      </w:pPr>
    </w:p>
    <w:p w14:paraId="4EA1848D" w14:textId="77777777" w:rsidR="0039793A" w:rsidRPr="00642210" w:rsidRDefault="0039793A" w:rsidP="0039793A">
      <w:pPr>
        <w:spacing w:after="120"/>
        <w:jc w:val="center"/>
      </w:pPr>
      <w:bookmarkStart w:id="12" w:name="Pol_EU_pt_1_chap_03"/>
      <w:r w:rsidRPr="00642210">
        <w:rPr>
          <w:b/>
        </w:rPr>
        <w:t>La politique étrangère des «États-Unis.</w:t>
      </w:r>
      <w:r w:rsidRPr="00642210">
        <w:rPr>
          <w:b/>
        </w:rPr>
        <w:br/>
      </w:r>
      <w:r w:rsidRPr="00642210">
        <w:rPr>
          <w:i/>
        </w:rPr>
        <w:t>Fondements, acteurs, formulation</w:t>
      </w:r>
    </w:p>
    <w:p w14:paraId="2566E612" w14:textId="77777777" w:rsidR="0039793A" w:rsidRPr="00384B20" w:rsidRDefault="0039793A" w:rsidP="0039793A">
      <w:pPr>
        <w:spacing w:after="120"/>
        <w:ind w:firstLine="0"/>
        <w:jc w:val="center"/>
        <w:rPr>
          <w:color w:val="000080"/>
          <w:sz w:val="24"/>
        </w:rPr>
      </w:pPr>
      <w:r>
        <w:rPr>
          <w:color w:val="000080"/>
          <w:sz w:val="24"/>
        </w:rPr>
        <w:t>PREMIÈRE PARTIE</w:t>
      </w:r>
    </w:p>
    <w:p w14:paraId="77951A00" w14:textId="77777777" w:rsidR="0039793A" w:rsidRPr="00384B20" w:rsidRDefault="0039793A" w:rsidP="0039793A">
      <w:pPr>
        <w:pStyle w:val="Titreniveau1"/>
      </w:pPr>
      <w:r w:rsidRPr="00384B20">
        <w:t xml:space="preserve">Chapitre </w:t>
      </w:r>
      <w:r>
        <w:t>3</w:t>
      </w:r>
    </w:p>
    <w:p w14:paraId="2E136D8F" w14:textId="77777777" w:rsidR="0039793A" w:rsidRPr="00E07116" w:rsidRDefault="0039793A" w:rsidP="0039793A">
      <w:pPr>
        <w:pStyle w:val="Titreniveau2"/>
      </w:pPr>
      <w:r>
        <w:t>LE CADRE CONCEPTUEL :</w:t>
      </w:r>
      <w:r>
        <w:br/>
        <w:t>LES GRANDS COURANTS</w:t>
      </w:r>
      <w:r>
        <w:br/>
        <w:t>DE PENSÉE POLITIQUES</w:t>
      </w:r>
    </w:p>
    <w:bookmarkEnd w:id="12"/>
    <w:p w14:paraId="3A5ECEA8" w14:textId="77777777" w:rsidR="0039793A" w:rsidRPr="00E07116" w:rsidRDefault="0039793A" w:rsidP="0039793A">
      <w:pPr>
        <w:jc w:val="both"/>
        <w:rPr>
          <w:szCs w:val="36"/>
        </w:rPr>
      </w:pPr>
    </w:p>
    <w:p w14:paraId="622AD65A" w14:textId="77777777" w:rsidR="0039793A" w:rsidRPr="00E07116" w:rsidRDefault="0039793A" w:rsidP="0039793A">
      <w:pPr>
        <w:jc w:val="both"/>
      </w:pPr>
    </w:p>
    <w:p w14:paraId="206E13F0" w14:textId="77777777" w:rsidR="0039793A" w:rsidRPr="00E07116" w:rsidRDefault="0039793A" w:rsidP="0039793A">
      <w:pPr>
        <w:jc w:val="both"/>
      </w:pPr>
    </w:p>
    <w:p w14:paraId="39FF9E7A" w14:textId="77777777" w:rsidR="0039793A" w:rsidRPr="00E07116" w:rsidRDefault="0039793A" w:rsidP="0039793A">
      <w:pPr>
        <w:jc w:val="both"/>
      </w:pPr>
    </w:p>
    <w:p w14:paraId="1E6F8251"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6E728A8" w14:textId="77777777" w:rsidR="0039793A" w:rsidRPr="00D2217B" w:rsidRDefault="0039793A" w:rsidP="0039793A">
      <w:pPr>
        <w:spacing w:before="120" w:after="120"/>
        <w:jc w:val="both"/>
      </w:pPr>
      <w:r w:rsidRPr="00D2217B">
        <w:rPr>
          <w:lang w:eastAsia="fr-FR" w:bidi="fr-FR"/>
        </w:rPr>
        <w:t>Le consensus idéologique qui prévaut aux États-Unis laisse la pl</w:t>
      </w:r>
      <w:r w:rsidRPr="00D2217B">
        <w:rPr>
          <w:lang w:eastAsia="fr-FR" w:bidi="fr-FR"/>
        </w:rPr>
        <w:t>a</w:t>
      </w:r>
      <w:r w:rsidRPr="00D2217B">
        <w:rPr>
          <w:lang w:eastAsia="fr-FR" w:bidi="fr-FR"/>
        </w:rPr>
        <w:t>ce à des débats intenses quant aux orientations de la politique étrang</w:t>
      </w:r>
      <w:r w:rsidRPr="00D2217B">
        <w:rPr>
          <w:lang w:eastAsia="fr-FR" w:bidi="fr-FR"/>
        </w:rPr>
        <w:t>è</w:t>
      </w:r>
      <w:r w:rsidRPr="00D2217B">
        <w:rPr>
          <w:lang w:eastAsia="fr-FR" w:bidi="fr-FR"/>
        </w:rPr>
        <w:t>re, tandis qu’on s’abstient généralement de remettre en question les grands objectifs fondamentaux. Les finalités de politique générale demeurent intactes</w:t>
      </w:r>
      <w:r w:rsidRPr="00D2217B">
        <w:t> :</w:t>
      </w:r>
      <w:r w:rsidRPr="00D2217B">
        <w:rPr>
          <w:lang w:eastAsia="fr-FR" w:bidi="fr-FR"/>
        </w:rPr>
        <w:t xml:space="preserve"> il faut préserver le libéralisme américain et l’union américaine entendue, depuis la guerre civile, dans un sens fort</w:t>
      </w:r>
      <w:r w:rsidRPr="00D2217B">
        <w:t> :</w:t>
      </w:r>
      <w:r w:rsidRPr="00D2217B">
        <w:rPr>
          <w:lang w:eastAsia="fr-FR" w:bidi="fr-FR"/>
        </w:rPr>
        <w:t xml:space="preserve"> ce ne sont pas les États qui constituent le pays mais bien les c</w:t>
      </w:r>
      <w:r w:rsidRPr="00D2217B">
        <w:rPr>
          <w:lang w:eastAsia="fr-FR" w:bidi="fr-FR"/>
        </w:rPr>
        <w:t>i</w:t>
      </w:r>
      <w:r w:rsidRPr="00D2217B">
        <w:rPr>
          <w:lang w:eastAsia="fr-FR" w:bidi="fr-FR"/>
        </w:rPr>
        <w:t>toyens</w:t>
      </w:r>
      <w:r w:rsidRPr="00D2217B">
        <w:t> :</w:t>
      </w:r>
      <w:r w:rsidRPr="00D2217B">
        <w:rPr>
          <w:lang w:eastAsia="fr-FR" w:bidi="fr-FR"/>
        </w:rPr>
        <w:t xml:space="preserve"> </w:t>
      </w:r>
      <w:r w:rsidRPr="00653BDE">
        <w:rPr>
          <w:i/>
        </w:rPr>
        <w:t>We the people</w:t>
      </w:r>
      <w:r>
        <w:t> </w:t>
      </w:r>
      <w:r>
        <w:rPr>
          <w:rStyle w:val="Appelnotedebasdep"/>
        </w:rPr>
        <w:footnoteReference w:id="152"/>
      </w:r>
      <w:r>
        <w:t>.</w:t>
      </w:r>
    </w:p>
    <w:p w14:paraId="5D0F7698" w14:textId="77777777" w:rsidR="0039793A" w:rsidRPr="00D2217B" w:rsidRDefault="0039793A" w:rsidP="0039793A">
      <w:pPr>
        <w:spacing w:before="120" w:after="120"/>
        <w:jc w:val="both"/>
      </w:pPr>
      <w:r w:rsidRPr="00D2217B">
        <w:rPr>
          <w:lang w:eastAsia="fr-FR" w:bidi="fr-FR"/>
        </w:rPr>
        <w:t>En matière de politique étrangère, Bruce Jentl</w:t>
      </w:r>
      <w:r w:rsidRPr="00D2217B">
        <w:rPr>
          <w:lang w:eastAsia="fr-FR" w:bidi="fr-FR"/>
        </w:rPr>
        <w:t>e</w:t>
      </w:r>
      <w:r w:rsidRPr="00D2217B">
        <w:rPr>
          <w:lang w:eastAsia="fr-FR" w:bidi="fr-FR"/>
        </w:rPr>
        <w:t>son</w:t>
      </w:r>
      <w:r>
        <w:t> </w:t>
      </w:r>
      <w:r>
        <w:rPr>
          <w:rStyle w:val="Appelnotedebasdep"/>
        </w:rPr>
        <w:footnoteReference w:id="153"/>
      </w:r>
      <w:r w:rsidRPr="00D2217B">
        <w:rPr>
          <w:lang w:eastAsia="fr-FR" w:bidi="fr-FR"/>
        </w:rPr>
        <w:t xml:space="preserve"> définit l’intérêt national américain autour de quatre objectifs essentiels</w:t>
      </w:r>
      <w:r w:rsidRPr="00D2217B">
        <w:t> :</w:t>
      </w:r>
      <w:r w:rsidRPr="00D2217B">
        <w:rPr>
          <w:lang w:eastAsia="fr-FR" w:bidi="fr-FR"/>
        </w:rPr>
        <w:t xml:space="preserve"> la puissance, la paix, la prospérité et les principes.</w:t>
      </w:r>
    </w:p>
    <w:p w14:paraId="35457C96" w14:textId="77777777" w:rsidR="0039793A" w:rsidRPr="00D2217B" w:rsidRDefault="0039793A" w:rsidP="0039793A">
      <w:pPr>
        <w:spacing w:before="120" w:after="120"/>
        <w:jc w:val="both"/>
      </w:pPr>
      <w:r w:rsidRPr="00D2217B">
        <w:rPr>
          <w:lang w:eastAsia="fr-FR" w:bidi="fr-FR"/>
        </w:rPr>
        <w:t xml:space="preserve">La notion de </w:t>
      </w:r>
      <w:r w:rsidRPr="007B7B96">
        <w:rPr>
          <w:i/>
          <w:iCs/>
        </w:rPr>
        <w:t>puissance</w:t>
      </w:r>
      <w:r w:rsidRPr="00D2217B">
        <w:rPr>
          <w:lang w:eastAsia="fr-FR" w:bidi="fr-FR"/>
        </w:rPr>
        <w:t xml:space="preserve"> est aux fondements de la politique étrang</w:t>
      </w:r>
      <w:r w:rsidRPr="00D2217B">
        <w:rPr>
          <w:lang w:eastAsia="fr-FR" w:bidi="fr-FR"/>
        </w:rPr>
        <w:t>è</w:t>
      </w:r>
      <w:r w:rsidRPr="00D2217B">
        <w:rPr>
          <w:lang w:eastAsia="fr-FR" w:bidi="fr-FR"/>
        </w:rPr>
        <w:t>re</w:t>
      </w:r>
      <w:r w:rsidRPr="00D2217B">
        <w:t> :</w:t>
      </w:r>
      <w:r w:rsidRPr="00D2217B">
        <w:rPr>
          <w:lang w:eastAsia="fr-FR" w:bidi="fr-FR"/>
        </w:rPr>
        <w:t xml:space="preserve"> elle représente l’assise de l’État, sa lutte constante pour la prése</w:t>
      </w:r>
      <w:r w:rsidRPr="00D2217B">
        <w:rPr>
          <w:lang w:eastAsia="fr-FR" w:bidi="fr-FR"/>
        </w:rPr>
        <w:t>r</w:t>
      </w:r>
      <w:r w:rsidRPr="00D2217B">
        <w:rPr>
          <w:lang w:eastAsia="fr-FR" w:bidi="fr-FR"/>
        </w:rPr>
        <w:t>vation de sa souveraineté politique et territoriale. Elle définit le sy</w:t>
      </w:r>
      <w:r w:rsidRPr="00D2217B">
        <w:rPr>
          <w:lang w:eastAsia="fr-FR" w:bidi="fr-FR"/>
        </w:rPr>
        <w:t>s</w:t>
      </w:r>
      <w:r w:rsidRPr="00D2217B">
        <w:rPr>
          <w:lang w:eastAsia="fr-FR" w:bidi="fr-FR"/>
        </w:rPr>
        <w:t>tème international, encore passablement anarchique, en termes de ra</w:t>
      </w:r>
      <w:r w:rsidRPr="00D2217B">
        <w:rPr>
          <w:lang w:eastAsia="fr-FR" w:bidi="fr-FR"/>
        </w:rPr>
        <w:t>p</w:t>
      </w:r>
      <w:r w:rsidRPr="00D2217B">
        <w:rPr>
          <w:lang w:eastAsia="fr-FR" w:bidi="fr-FR"/>
        </w:rPr>
        <w:t>ports de force et d’usage de la force au</w:t>
      </w:r>
      <w:r>
        <w:t xml:space="preserve"> [72] </w:t>
      </w:r>
      <w:r w:rsidRPr="00D2217B">
        <w:rPr>
          <w:lang w:eastAsia="fr-FR" w:bidi="fr-FR"/>
        </w:rPr>
        <w:t xml:space="preserve">besoin. La promotion de l’intérêt national passe donc par l’affirmation, par les </w:t>
      </w:r>
      <w:r>
        <w:rPr>
          <w:lang w:eastAsia="fr-FR" w:bidi="fr-FR"/>
        </w:rPr>
        <w:t>État</w:t>
      </w:r>
      <w:r w:rsidRPr="00D2217B">
        <w:rPr>
          <w:lang w:eastAsia="fr-FR" w:bidi="fr-FR"/>
        </w:rPr>
        <w:t>s-Unis, de leur puissance.</w:t>
      </w:r>
    </w:p>
    <w:p w14:paraId="45C95864" w14:textId="77777777" w:rsidR="0039793A" w:rsidRPr="00D2217B" w:rsidRDefault="0039793A" w:rsidP="0039793A">
      <w:pPr>
        <w:spacing w:before="120" w:after="120"/>
        <w:jc w:val="both"/>
      </w:pPr>
      <w:r w:rsidRPr="00D2217B">
        <w:rPr>
          <w:lang w:eastAsia="fr-FR" w:bidi="fr-FR"/>
        </w:rPr>
        <w:t xml:space="preserve">La </w:t>
      </w:r>
      <w:r w:rsidRPr="00D2217B">
        <w:t>paix</w:t>
      </w:r>
      <w:r w:rsidRPr="00D2217B">
        <w:rPr>
          <w:lang w:eastAsia="fr-FR" w:bidi="fr-FR"/>
        </w:rPr>
        <w:t xml:space="preserve"> doit être entendue ici au sens de la r</w:t>
      </w:r>
      <w:r w:rsidRPr="00D2217B">
        <w:rPr>
          <w:lang w:eastAsia="fr-FR" w:bidi="fr-FR"/>
        </w:rPr>
        <w:t>e</w:t>
      </w:r>
      <w:r w:rsidRPr="00D2217B">
        <w:rPr>
          <w:lang w:eastAsia="fr-FR" w:bidi="fr-FR"/>
        </w:rPr>
        <w:t>cherche rationnelle d’un ordre mondial, sans doute animé par le leadership américain mais fondé sur la coopération, les partenariats et l’ouverture aux a</w:t>
      </w:r>
      <w:r w:rsidRPr="00D2217B">
        <w:rPr>
          <w:lang w:eastAsia="fr-FR" w:bidi="fr-FR"/>
        </w:rPr>
        <w:t>u</w:t>
      </w:r>
      <w:r w:rsidRPr="00D2217B">
        <w:rPr>
          <w:lang w:eastAsia="fr-FR" w:bidi="fr-FR"/>
        </w:rPr>
        <w:t>tres cultures. Cette quête de paix s’appuie sur la création d’institutions internationales et d’un co</w:t>
      </w:r>
      <w:r w:rsidRPr="00D2217B">
        <w:rPr>
          <w:lang w:eastAsia="fr-FR" w:bidi="fr-FR"/>
        </w:rPr>
        <w:t>r</w:t>
      </w:r>
      <w:r w:rsidRPr="00D2217B">
        <w:rPr>
          <w:lang w:eastAsia="fr-FR" w:bidi="fr-FR"/>
        </w:rPr>
        <w:t xml:space="preserve">pus de normes internationales. Les </w:t>
      </w:r>
      <w:r>
        <w:rPr>
          <w:lang w:eastAsia="fr-FR" w:bidi="fr-FR"/>
        </w:rPr>
        <w:t>État</w:t>
      </w:r>
      <w:r w:rsidRPr="00D2217B">
        <w:rPr>
          <w:lang w:eastAsia="fr-FR" w:bidi="fr-FR"/>
        </w:rPr>
        <w:t>s-Unis r</w:t>
      </w:r>
      <w:r w:rsidRPr="00D2217B">
        <w:rPr>
          <w:lang w:eastAsia="fr-FR" w:bidi="fr-FR"/>
        </w:rPr>
        <w:t>e</w:t>
      </w:r>
      <w:r w:rsidRPr="00D2217B">
        <w:rPr>
          <w:lang w:eastAsia="fr-FR" w:bidi="fr-FR"/>
        </w:rPr>
        <w:t>cherchent donc une paix assise sur une coopération soutenue.</w:t>
      </w:r>
    </w:p>
    <w:p w14:paraId="5850BC42" w14:textId="77777777" w:rsidR="0039793A" w:rsidRPr="00D2217B" w:rsidRDefault="0039793A" w:rsidP="0039793A">
      <w:pPr>
        <w:spacing w:before="120" w:after="120"/>
        <w:jc w:val="both"/>
      </w:pPr>
      <w:r w:rsidRPr="00D2217B">
        <w:rPr>
          <w:lang w:eastAsia="fr-FR" w:bidi="fr-FR"/>
        </w:rPr>
        <w:t xml:space="preserve">La recherche de la </w:t>
      </w:r>
      <w:r w:rsidRPr="007B7B96">
        <w:rPr>
          <w:i/>
          <w:iCs/>
        </w:rPr>
        <w:t>prospérité</w:t>
      </w:r>
      <w:r w:rsidRPr="00D2217B">
        <w:rPr>
          <w:lang w:eastAsia="fr-FR" w:bidi="fr-FR"/>
        </w:rPr>
        <w:t xml:space="preserve"> conduit à placer les questions éc</w:t>
      </w:r>
      <w:r w:rsidRPr="00D2217B">
        <w:rPr>
          <w:lang w:eastAsia="fr-FR" w:bidi="fr-FR"/>
        </w:rPr>
        <w:t>o</w:t>
      </w:r>
      <w:r w:rsidRPr="00D2217B">
        <w:rPr>
          <w:lang w:eastAsia="fr-FR" w:bidi="fr-FR"/>
        </w:rPr>
        <w:t>nomiques au centre de la politique étrangère. Elle renvoie aux menées de la puissance capitaliste, à l’expansion du commerce internati</w:t>
      </w:r>
      <w:r w:rsidRPr="00D2217B">
        <w:rPr>
          <w:lang w:eastAsia="fr-FR" w:bidi="fr-FR"/>
        </w:rPr>
        <w:t>o</w:t>
      </w:r>
      <w:r w:rsidRPr="00D2217B">
        <w:rPr>
          <w:lang w:eastAsia="fr-FR" w:bidi="fr-FR"/>
        </w:rPr>
        <w:t xml:space="preserve">nal déjà envisagée par George Washington et à la recherche de profits pour l’économie américaine. Les </w:t>
      </w:r>
      <w:r>
        <w:rPr>
          <w:lang w:eastAsia="fr-FR" w:bidi="fr-FR"/>
        </w:rPr>
        <w:t>État</w:t>
      </w:r>
      <w:r w:rsidRPr="00D2217B">
        <w:rPr>
          <w:lang w:eastAsia="fr-FR" w:bidi="fr-FR"/>
        </w:rPr>
        <w:t>s-Unis poursuivent donc dire</w:t>
      </w:r>
      <w:r w:rsidRPr="00D2217B">
        <w:rPr>
          <w:lang w:eastAsia="fr-FR" w:bidi="fr-FR"/>
        </w:rPr>
        <w:t>c</w:t>
      </w:r>
      <w:r w:rsidRPr="00D2217B">
        <w:rPr>
          <w:lang w:eastAsia="fr-FR" w:bidi="fr-FR"/>
        </w:rPr>
        <w:t>tement un objectif économique international.</w:t>
      </w:r>
    </w:p>
    <w:p w14:paraId="2C531834" w14:textId="77777777" w:rsidR="0039793A" w:rsidRPr="00D2217B" w:rsidRDefault="0039793A" w:rsidP="0039793A">
      <w:pPr>
        <w:spacing w:before="120" w:after="120"/>
        <w:jc w:val="both"/>
      </w:pPr>
      <w:r w:rsidRPr="00D2217B">
        <w:rPr>
          <w:lang w:eastAsia="fr-FR" w:bidi="fr-FR"/>
        </w:rPr>
        <w:t xml:space="preserve">Derrière les </w:t>
      </w:r>
      <w:r w:rsidRPr="007B7B96">
        <w:rPr>
          <w:i/>
          <w:iCs/>
        </w:rPr>
        <w:t>principes</w:t>
      </w:r>
      <w:r w:rsidRPr="00D2217B">
        <w:rPr>
          <w:lang w:eastAsia="fr-FR" w:bidi="fr-FR"/>
        </w:rPr>
        <w:t xml:space="preserve">, se retrouve l’ensemble des valeurs, des idées et convictions profondes que les </w:t>
      </w:r>
      <w:r>
        <w:rPr>
          <w:lang w:eastAsia="fr-FR" w:bidi="fr-FR"/>
        </w:rPr>
        <w:t>État</w:t>
      </w:r>
      <w:r w:rsidRPr="00D2217B">
        <w:rPr>
          <w:lang w:eastAsia="fr-FR" w:bidi="fr-FR"/>
        </w:rPr>
        <w:t>s-Unis proclament leurs. En effet, les Américains considèrent ces principes comme appart</w:t>
      </w:r>
      <w:r w:rsidRPr="00D2217B">
        <w:rPr>
          <w:lang w:eastAsia="fr-FR" w:bidi="fr-FR"/>
        </w:rPr>
        <w:t>e</w:t>
      </w:r>
      <w:r w:rsidRPr="00D2217B">
        <w:rPr>
          <w:lang w:eastAsia="fr-FR" w:bidi="fr-FR"/>
        </w:rPr>
        <w:t>nant au fondement même de leur nation. Direct</w:t>
      </w:r>
      <w:r w:rsidRPr="00D2217B">
        <w:rPr>
          <w:lang w:eastAsia="fr-FR" w:bidi="fr-FR"/>
        </w:rPr>
        <w:t>e</w:t>
      </w:r>
      <w:r w:rsidRPr="00D2217B">
        <w:rPr>
          <w:lang w:eastAsia="fr-FR" w:bidi="fr-FR"/>
        </w:rPr>
        <w:t>ment liée à l’exceptionnalisme américain, la pr</w:t>
      </w:r>
      <w:r w:rsidRPr="00D2217B">
        <w:rPr>
          <w:lang w:eastAsia="fr-FR" w:bidi="fr-FR"/>
        </w:rPr>
        <w:t>o</w:t>
      </w:r>
      <w:r w:rsidRPr="00D2217B">
        <w:rPr>
          <w:lang w:eastAsia="fr-FR" w:bidi="fr-FR"/>
        </w:rPr>
        <w:t>clamation des principes entend favoriser l’expansion de la démocratie dans le monde, re</w:t>
      </w:r>
      <w:r w:rsidRPr="00D2217B">
        <w:rPr>
          <w:lang w:eastAsia="fr-FR" w:bidi="fr-FR"/>
        </w:rPr>
        <w:t>s</w:t>
      </w:r>
      <w:r w:rsidRPr="00D2217B">
        <w:rPr>
          <w:lang w:eastAsia="fr-FR" w:bidi="fr-FR"/>
        </w:rPr>
        <w:t xml:space="preserve">pect accru des droits de la personne et la résolution des conflits entre les </w:t>
      </w:r>
      <w:r>
        <w:rPr>
          <w:lang w:eastAsia="fr-FR" w:bidi="fr-FR"/>
        </w:rPr>
        <w:t>État</w:t>
      </w:r>
      <w:r w:rsidRPr="00D2217B">
        <w:rPr>
          <w:lang w:eastAsia="fr-FR" w:bidi="fr-FR"/>
        </w:rPr>
        <w:t>s et même au niveau i</w:t>
      </w:r>
      <w:r w:rsidRPr="00D2217B">
        <w:rPr>
          <w:lang w:eastAsia="fr-FR" w:bidi="fr-FR"/>
        </w:rPr>
        <w:t>n</w:t>
      </w:r>
      <w:r w:rsidRPr="00D2217B">
        <w:rPr>
          <w:lang w:eastAsia="fr-FR" w:bidi="fr-FR"/>
        </w:rPr>
        <w:t xml:space="preserve">fra-étatique. Les </w:t>
      </w:r>
      <w:r>
        <w:rPr>
          <w:lang w:eastAsia="fr-FR" w:bidi="fr-FR"/>
        </w:rPr>
        <w:t>État</w:t>
      </w:r>
      <w:r w:rsidRPr="00D2217B">
        <w:rPr>
          <w:lang w:eastAsia="fr-FR" w:bidi="fr-FR"/>
        </w:rPr>
        <w:t>s-Unis cherchent à asseoir une paix démocratique conforme à la lecture de leur propre destinée.</w:t>
      </w:r>
    </w:p>
    <w:p w14:paraId="0AD44FC5" w14:textId="77777777" w:rsidR="0039793A" w:rsidRPr="00D2217B" w:rsidRDefault="0039793A" w:rsidP="0039793A">
      <w:pPr>
        <w:spacing w:before="120" w:after="120"/>
        <w:jc w:val="both"/>
      </w:pPr>
      <w:r w:rsidRPr="00D2217B">
        <w:rPr>
          <w:lang w:eastAsia="fr-FR" w:bidi="fr-FR"/>
        </w:rPr>
        <w:t>Selon Jentleson, ces quatre objectifs sont co</w:t>
      </w:r>
      <w:r w:rsidRPr="00D2217B">
        <w:rPr>
          <w:lang w:eastAsia="fr-FR" w:bidi="fr-FR"/>
        </w:rPr>
        <w:t>m</w:t>
      </w:r>
      <w:r w:rsidRPr="00D2217B">
        <w:rPr>
          <w:lang w:eastAsia="fr-FR" w:bidi="fr-FR"/>
        </w:rPr>
        <w:t>plémentaires</w:t>
      </w:r>
      <w:r w:rsidRPr="00D2217B">
        <w:t> :</w:t>
      </w:r>
      <w:r w:rsidRPr="00D2217B">
        <w:rPr>
          <w:lang w:eastAsia="fr-FR" w:bidi="fr-FR"/>
        </w:rPr>
        <w:t xml:space="preserve"> ils constituent tous des objectifs de la politique étrangère américaine et influent assurément sur le style et les choix des stratégies de la prés</w:t>
      </w:r>
      <w:r w:rsidRPr="00D2217B">
        <w:rPr>
          <w:lang w:eastAsia="fr-FR" w:bidi="fr-FR"/>
        </w:rPr>
        <w:t>i</w:t>
      </w:r>
      <w:r w:rsidRPr="00D2217B">
        <w:rPr>
          <w:lang w:eastAsia="fr-FR" w:bidi="fr-FR"/>
        </w:rPr>
        <w:t>dence. Ce qui apparaît déterminant néa</w:t>
      </w:r>
      <w:r w:rsidRPr="00D2217B">
        <w:rPr>
          <w:lang w:eastAsia="fr-FR" w:bidi="fr-FR"/>
        </w:rPr>
        <w:t>n</w:t>
      </w:r>
      <w:r w:rsidRPr="00D2217B">
        <w:rPr>
          <w:lang w:eastAsia="fr-FR" w:bidi="fr-FR"/>
        </w:rPr>
        <w:t xml:space="preserve">moins, c’est que l’un ou l’autre de ces objectifs domine à un moment donné et détermine l’orientation de la politique étrangère. Il est donc peu probable qu’une politique étrangère donnée satisfasse également ces quatre objectifs. Il est par contre plus habituel que les décideurs opèrent des compromis et poursuivent un objectif plus que les autres, sans jamais délaisser tout à fait ces derniers. À l’instar de l’opération </w:t>
      </w:r>
      <w:r w:rsidRPr="00D2217B">
        <w:t>« </w:t>
      </w:r>
      <w:r w:rsidRPr="00D2217B">
        <w:rPr>
          <w:lang w:eastAsia="fr-FR" w:bidi="fr-FR"/>
        </w:rPr>
        <w:t>Tempête du désert</w:t>
      </w:r>
      <w:r w:rsidRPr="00D2217B">
        <w:t> »</w:t>
      </w:r>
      <w:r w:rsidRPr="00D2217B">
        <w:rPr>
          <w:lang w:eastAsia="fr-FR" w:bidi="fr-FR"/>
        </w:rPr>
        <w:t xml:space="preserve"> de 1991, par exemple</w:t>
      </w:r>
      <w:r>
        <w:t> </w:t>
      </w:r>
      <w:r>
        <w:rPr>
          <w:rStyle w:val="Appelnotedebasdep"/>
        </w:rPr>
        <w:footnoteReference w:id="154"/>
      </w:r>
      <w:r w:rsidRPr="00D2217B">
        <w:rPr>
          <w:lang w:eastAsia="fr-FR" w:bidi="fr-FR"/>
        </w:rPr>
        <w:t>, il est possible d’évoquer pe</w:t>
      </w:r>
      <w:r w:rsidRPr="00D2217B">
        <w:rPr>
          <w:lang w:eastAsia="fr-FR" w:bidi="fr-FR"/>
        </w:rPr>
        <w:t>r</w:t>
      </w:r>
      <w:r w:rsidRPr="00D2217B">
        <w:rPr>
          <w:lang w:eastAsia="fr-FR" w:bidi="fr-FR"/>
        </w:rPr>
        <w:t xml:space="preserve">tinemment l’opération </w:t>
      </w:r>
      <w:r w:rsidRPr="00D2217B">
        <w:t>« </w:t>
      </w:r>
      <w:r w:rsidRPr="00D2217B">
        <w:rPr>
          <w:lang w:eastAsia="fr-FR" w:bidi="fr-FR"/>
        </w:rPr>
        <w:t>Liberté en Irak</w:t>
      </w:r>
      <w:r w:rsidRPr="00D2217B">
        <w:t> »</w:t>
      </w:r>
      <w:r w:rsidRPr="00D2217B">
        <w:rPr>
          <w:lang w:eastAsia="fr-FR" w:bidi="fr-FR"/>
        </w:rPr>
        <w:t xml:space="preserve"> en </w:t>
      </w:r>
      <w:r>
        <w:rPr>
          <w:lang w:eastAsia="fr-FR" w:bidi="fr-FR"/>
        </w:rPr>
        <w:t>2003. En effet, cette interven</w:t>
      </w:r>
      <w:r w:rsidRPr="00D2217B">
        <w:rPr>
          <w:lang w:eastAsia="fr-FR" w:bidi="fr-FR"/>
        </w:rPr>
        <w:t>tion</w:t>
      </w:r>
      <w:r>
        <w:t xml:space="preserve"> [73]</w:t>
      </w:r>
      <w:r w:rsidRPr="00D2217B">
        <w:rPr>
          <w:lang w:eastAsia="fr-FR" w:bidi="fr-FR"/>
        </w:rPr>
        <w:t xml:space="preserve"> est avant tout une affaire de </w:t>
      </w:r>
      <w:r w:rsidRPr="007B7B96">
        <w:rPr>
          <w:i/>
          <w:iCs/>
        </w:rPr>
        <w:t>puissance</w:t>
      </w:r>
      <w:r w:rsidRPr="00D2217B">
        <w:t> :</w:t>
      </w:r>
      <w:r w:rsidRPr="00D2217B">
        <w:rPr>
          <w:lang w:eastAsia="fr-FR" w:bidi="fr-FR"/>
        </w:rPr>
        <w:t xml:space="preserve"> c’est sur le caractère a</w:t>
      </w:r>
      <w:r w:rsidRPr="00D2217B">
        <w:rPr>
          <w:lang w:eastAsia="fr-FR" w:bidi="fr-FR"/>
        </w:rPr>
        <w:t>b</w:t>
      </w:r>
      <w:r w:rsidRPr="00D2217B">
        <w:rPr>
          <w:lang w:eastAsia="fr-FR" w:bidi="fr-FR"/>
        </w:rPr>
        <w:t>solu de leur souveraineté et sur la préservation de leur sécurité que se fondent les États-Unis pour intervenir. L’intérêt de la puissance am</w:t>
      </w:r>
      <w:r w:rsidRPr="00D2217B">
        <w:rPr>
          <w:lang w:eastAsia="fr-FR" w:bidi="fr-FR"/>
        </w:rPr>
        <w:t>é</w:t>
      </w:r>
      <w:r w:rsidRPr="00D2217B">
        <w:rPr>
          <w:lang w:eastAsia="fr-FR" w:bidi="fr-FR"/>
        </w:rPr>
        <w:t xml:space="preserve">ricaine est ici évident. L’intérêt </w:t>
      </w:r>
      <w:r w:rsidRPr="007B7B96">
        <w:rPr>
          <w:i/>
          <w:iCs/>
        </w:rPr>
        <w:t>écon</w:t>
      </w:r>
      <w:r w:rsidRPr="007B7B96">
        <w:rPr>
          <w:i/>
          <w:iCs/>
        </w:rPr>
        <w:t>o</w:t>
      </w:r>
      <w:r w:rsidRPr="007B7B96">
        <w:rPr>
          <w:i/>
          <w:iCs/>
        </w:rPr>
        <w:t>mique</w:t>
      </w:r>
      <w:r w:rsidRPr="00D2217B">
        <w:rPr>
          <w:lang w:eastAsia="fr-FR" w:bidi="fr-FR"/>
        </w:rPr>
        <w:t xml:space="preserve"> est également sous-jacent, qu’il s’agisse de la question pétrolière — parfois abusivement inv</w:t>
      </w:r>
      <w:r w:rsidRPr="00D2217B">
        <w:rPr>
          <w:lang w:eastAsia="fr-FR" w:bidi="fr-FR"/>
        </w:rPr>
        <w:t>o</w:t>
      </w:r>
      <w:r w:rsidRPr="00D2217B">
        <w:rPr>
          <w:lang w:eastAsia="fr-FR" w:bidi="fr-FR"/>
        </w:rPr>
        <w:t xml:space="preserve">quée — ou des contrats de reconstruction. C’est également de </w:t>
      </w:r>
      <w:r w:rsidRPr="007B7B96">
        <w:rPr>
          <w:i/>
          <w:iCs/>
        </w:rPr>
        <w:t>paix</w:t>
      </w:r>
      <w:r w:rsidRPr="00D2217B">
        <w:rPr>
          <w:lang w:eastAsia="fr-FR" w:bidi="fr-FR"/>
        </w:rPr>
        <w:t xml:space="preserve"> qu’il s’agissait, puisque les États-Unis affirmaient vouloir mettre un terme à une prolifération d’armes de destruction massive en se fondant sur une alliance de fait et ponctuelle. Enfin, c’est au nom des </w:t>
      </w:r>
      <w:r w:rsidRPr="007B7B96">
        <w:rPr>
          <w:i/>
          <w:iCs/>
        </w:rPr>
        <w:t>principes</w:t>
      </w:r>
      <w:r w:rsidRPr="00D2217B">
        <w:rPr>
          <w:lang w:eastAsia="fr-FR" w:bidi="fr-FR"/>
        </w:rPr>
        <w:t xml:space="preserve"> démocratiques qu’a été promu le </w:t>
      </w:r>
      <w:r w:rsidRPr="00D2217B">
        <w:t>« </w:t>
      </w:r>
      <w:r w:rsidRPr="00D2217B">
        <w:rPr>
          <w:lang w:eastAsia="fr-FR" w:bidi="fr-FR"/>
        </w:rPr>
        <w:t>changement de régime</w:t>
      </w:r>
      <w:r w:rsidRPr="00D2217B">
        <w:t> »</w:t>
      </w:r>
      <w:r w:rsidRPr="00D2217B">
        <w:rPr>
          <w:lang w:eastAsia="fr-FR" w:bidi="fr-FR"/>
        </w:rPr>
        <w:t xml:space="preserve"> à Bagdad. Cela dit, si la plupart des caractéristiques du style national sont partagées par l’ensemble de la population et si les objectifs gén</w:t>
      </w:r>
      <w:r w:rsidRPr="00D2217B">
        <w:rPr>
          <w:lang w:eastAsia="fr-FR" w:bidi="fr-FR"/>
        </w:rPr>
        <w:t>é</w:t>
      </w:r>
      <w:r w:rsidRPr="00D2217B">
        <w:rPr>
          <w:lang w:eastAsia="fr-FR" w:bidi="fr-FR"/>
        </w:rPr>
        <w:t>raux de la politique étrangère ne font pas, en principe, l’objet de d</w:t>
      </w:r>
      <w:r w:rsidRPr="00D2217B">
        <w:rPr>
          <w:lang w:eastAsia="fr-FR" w:bidi="fr-FR"/>
        </w:rPr>
        <w:t>é</w:t>
      </w:r>
      <w:r w:rsidRPr="00D2217B">
        <w:rPr>
          <w:lang w:eastAsia="fr-FR" w:bidi="fr-FR"/>
        </w:rPr>
        <w:t>bats, il n’en va pas de même, bien au contraire, des moyens à prendre pour promouvoir ces objectifs, particulièrement en matière de rel</w:t>
      </w:r>
      <w:r w:rsidRPr="00D2217B">
        <w:rPr>
          <w:lang w:eastAsia="fr-FR" w:bidi="fr-FR"/>
        </w:rPr>
        <w:t>a</w:t>
      </w:r>
      <w:r w:rsidRPr="00D2217B">
        <w:rPr>
          <w:lang w:eastAsia="fr-FR" w:bidi="fr-FR"/>
        </w:rPr>
        <w:t>tions extérieures. En effet, aux États-Unis, plusieurs courants de pe</w:t>
      </w:r>
      <w:r w:rsidRPr="00D2217B">
        <w:rPr>
          <w:lang w:eastAsia="fr-FR" w:bidi="fr-FR"/>
        </w:rPr>
        <w:t>n</w:t>
      </w:r>
      <w:r w:rsidRPr="00D2217B">
        <w:rPr>
          <w:lang w:eastAsia="fr-FR" w:bidi="fr-FR"/>
        </w:rPr>
        <w:t>sée se sont développés autour de la meilleure façon de conduire la p</w:t>
      </w:r>
      <w:r w:rsidRPr="00D2217B">
        <w:rPr>
          <w:lang w:eastAsia="fr-FR" w:bidi="fr-FR"/>
        </w:rPr>
        <w:t>o</w:t>
      </w:r>
      <w:r w:rsidRPr="00D2217B">
        <w:rPr>
          <w:lang w:eastAsia="fr-FR" w:bidi="fr-FR"/>
        </w:rPr>
        <w:t>litique étrangère. Leur origine et leur histoire permettent une mei</w:t>
      </w:r>
      <w:r w:rsidRPr="00D2217B">
        <w:rPr>
          <w:lang w:eastAsia="fr-FR" w:bidi="fr-FR"/>
        </w:rPr>
        <w:t>l</w:t>
      </w:r>
      <w:r w:rsidRPr="00D2217B">
        <w:rPr>
          <w:lang w:eastAsia="fr-FR" w:bidi="fr-FR"/>
        </w:rPr>
        <w:t>leure compréhension des débats contemporains.</w:t>
      </w:r>
    </w:p>
    <w:p w14:paraId="0E04F9FB" w14:textId="77777777" w:rsidR="0039793A" w:rsidRDefault="0039793A" w:rsidP="0039793A">
      <w:pPr>
        <w:spacing w:before="120" w:after="120"/>
        <w:jc w:val="both"/>
        <w:rPr>
          <w:lang w:eastAsia="fr-FR" w:bidi="fr-FR"/>
        </w:rPr>
      </w:pPr>
    </w:p>
    <w:p w14:paraId="6FF6DB9C" w14:textId="77777777" w:rsidR="0039793A" w:rsidRPr="007B7B96" w:rsidRDefault="0039793A" w:rsidP="0039793A">
      <w:pPr>
        <w:pStyle w:val="planche"/>
      </w:pPr>
      <w:bookmarkStart w:id="13" w:name="Pol_EU_pt_1_chap_03_1"/>
      <w:r w:rsidRPr="007B7B96">
        <w:rPr>
          <w:lang w:eastAsia="fr-FR" w:bidi="fr-FR"/>
        </w:rPr>
        <w:t>L’histoire des grands courants</w:t>
      </w:r>
      <w:r>
        <w:rPr>
          <w:lang w:eastAsia="fr-FR" w:bidi="fr-FR"/>
        </w:rPr>
        <w:br/>
      </w:r>
      <w:r w:rsidRPr="007B7B96">
        <w:rPr>
          <w:lang w:eastAsia="fr-FR" w:bidi="fr-FR"/>
        </w:rPr>
        <w:t>de pensée polit</w:t>
      </w:r>
      <w:r w:rsidRPr="007B7B96">
        <w:rPr>
          <w:lang w:eastAsia="fr-FR" w:bidi="fr-FR"/>
        </w:rPr>
        <w:t>i</w:t>
      </w:r>
      <w:r w:rsidRPr="007B7B96">
        <w:rPr>
          <w:lang w:eastAsia="fr-FR" w:bidi="fr-FR"/>
        </w:rPr>
        <w:t>ques</w:t>
      </w:r>
    </w:p>
    <w:bookmarkEnd w:id="13"/>
    <w:p w14:paraId="6C53F02C" w14:textId="77777777" w:rsidR="0039793A" w:rsidRDefault="0039793A" w:rsidP="0039793A">
      <w:pPr>
        <w:spacing w:before="120" w:after="120"/>
        <w:jc w:val="both"/>
        <w:rPr>
          <w:lang w:eastAsia="fr-FR" w:bidi="fr-FR"/>
        </w:rPr>
      </w:pPr>
    </w:p>
    <w:p w14:paraId="6B31B59A"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6D10CB41" w14:textId="77777777" w:rsidR="0039793A" w:rsidRPr="00D2217B" w:rsidRDefault="0039793A" w:rsidP="0039793A">
      <w:pPr>
        <w:spacing w:before="120" w:after="120"/>
        <w:jc w:val="both"/>
      </w:pPr>
      <w:r w:rsidRPr="00D2217B">
        <w:rPr>
          <w:lang w:eastAsia="fr-FR" w:bidi="fr-FR"/>
        </w:rPr>
        <w:t>D’entrée de jeu, le déroulement de l’histoire américaine révèle les moments forts de chacun de ces courants dont on peut dire qu’ils se sont man</w:t>
      </w:r>
      <w:r w:rsidRPr="00D2217B">
        <w:rPr>
          <w:lang w:eastAsia="fr-FR" w:bidi="fr-FR"/>
        </w:rPr>
        <w:t>i</w:t>
      </w:r>
      <w:r w:rsidRPr="00D2217B">
        <w:rPr>
          <w:lang w:eastAsia="fr-FR" w:bidi="fr-FR"/>
        </w:rPr>
        <w:t>festés - plus ou moins explicitement - depuis les origines. Déjà, des positions antagonistes apparaissent dans le débat entre H</w:t>
      </w:r>
      <w:r w:rsidRPr="00D2217B">
        <w:rPr>
          <w:lang w:eastAsia="fr-FR" w:bidi="fr-FR"/>
        </w:rPr>
        <w:t>a</w:t>
      </w:r>
      <w:r w:rsidRPr="00D2217B">
        <w:rPr>
          <w:lang w:eastAsia="fr-FR" w:bidi="fr-FR"/>
        </w:rPr>
        <w:t xml:space="preserve">milton et Jefferson. Leur évolution au cours du </w:t>
      </w:r>
      <w:r w:rsidRPr="00D2217B">
        <w:t>XIX</w:t>
      </w:r>
      <w:r w:rsidRPr="00D2217B">
        <w:rPr>
          <w:vertAlign w:val="superscript"/>
        </w:rPr>
        <w:t>e</w:t>
      </w:r>
      <w:r w:rsidRPr="00D2217B">
        <w:t xml:space="preserve"> </w:t>
      </w:r>
      <w:r w:rsidRPr="00D2217B">
        <w:rPr>
          <w:lang w:eastAsia="fr-FR" w:bidi="fr-FR"/>
        </w:rPr>
        <w:t xml:space="preserve">et de la première partie du </w:t>
      </w:r>
      <w:r w:rsidRPr="00D2217B">
        <w:t>XX</w:t>
      </w:r>
      <w:r w:rsidRPr="00D2217B">
        <w:rPr>
          <w:vertAlign w:val="superscript"/>
        </w:rPr>
        <w:t>e</w:t>
      </w:r>
      <w:r w:rsidRPr="00D2217B">
        <w:t xml:space="preserve"> </w:t>
      </w:r>
      <w:r w:rsidRPr="00D2217B">
        <w:rPr>
          <w:lang w:eastAsia="fr-FR" w:bidi="fr-FR"/>
        </w:rPr>
        <w:t>siècle permet d’en dessiner plus pr</w:t>
      </w:r>
      <w:r w:rsidRPr="00D2217B">
        <w:rPr>
          <w:lang w:eastAsia="fr-FR" w:bidi="fr-FR"/>
        </w:rPr>
        <w:t>é</w:t>
      </w:r>
      <w:r w:rsidRPr="00D2217B">
        <w:rPr>
          <w:lang w:eastAsia="fr-FR" w:bidi="fr-FR"/>
        </w:rPr>
        <w:t>cisément les contours et d’établir, avec Walter Russell Mead</w:t>
      </w:r>
      <w:r>
        <w:t> </w:t>
      </w:r>
      <w:r>
        <w:rPr>
          <w:rStyle w:val="Appelnotedebasdep"/>
        </w:rPr>
        <w:footnoteReference w:id="155"/>
      </w:r>
      <w:r w:rsidRPr="00D2217B">
        <w:rPr>
          <w:lang w:eastAsia="fr-FR" w:bidi="fr-FR"/>
        </w:rPr>
        <w:t>, une typologie hi</w:t>
      </w:r>
      <w:r w:rsidRPr="00D2217B">
        <w:rPr>
          <w:lang w:eastAsia="fr-FR" w:bidi="fr-FR"/>
        </w:rPr>
        <w:t>s</w:t>
      </w:r>
      <w:r w:rsidRPr="00D2217B">
        <w:rPr>
          <w:lang w:eastAsia="fr-FR" w:bidi="fr-FR"/>
        </w:rPr>
        <w:t>torique.</w:t>
      </w:r>
    </w:p>
    <w:p w14:paraId="385275A0" w14:textId="77777777" w:rsidR="0039793A" w:rsidRDefault="0039793A" w:rsidP="0039793A">
      <w:pPr>
        <w:spacing w:before="120" w:after="120"/>
        <w:jc w:val="both"/>
        <w:rPr>
          <w:lang w:eastAsia="fr-FR" w:bidi="fr-FR"/>
        </w:rPr>
      </w:pPr>
    </w:p>
    <w:p w14:paraId="4E773C16" w14:textId="77777777" w:rsidR="0039793A" w:rsidRPr="00D2217B" w:rsidRDefault="0039793A" w:rsidP="0039793A">
      <w:pPr>
        <w:pStyle w:val="a"/>
      </w:pPr>
      <w:r w:rsidRPr="00D2217B">
        <w:t>Le débat originel entre Hamilton et Jefferson</w:t>
      </w:r>
    </w:p>
    <w:p w14:paraId="4F490456" w14:textId="77777777" w:rsidR="0039793A" w:rsidRDefault="0039793A" w:rsidP="0039793A">
      <w:pPr>
        <w:spacing w:before="120" w:after="120"/>
        <w:jc w:val="both"/>
        <w:rPr>
          <w:lang w:eastAsia="fr-FR" w:bidi="fr-FR"/>
        </w:rPr>
      </w:pPr>
    </w:p>
    <w:p w14:paraId="3F384A1C" w14:textId="77777777" w:rsidR="0039793A" w:rsidRPr="00D2217B" w:rsidRDefault="0039793A" w:rsidP="0039793A">
      <w:pPr>
        <w:spacing w:before="120" w:after="120"/>
        <w:jc w:val="both"/>
      </w:pPr>
      <w:r w:rsidRPr="00D2217B">
        <w:rPr>
          <w:lang w:eastAsia="fr-FR" w:bidi="fr-FR"/>
        </w:rPr>
        <w:t>Le premier grand débat de politique étrangère s’est tenu entre les deux premiers partis politique</w:t>
      </w:r>
      <w:r>
        <w:rPr>
          <w:lang w:eastAsia="fr-FR" w:bidi="fr-FR"/>
        </w:rPr>
        <w:t>s des États-Unis, le parti fédé</w:t>
      </w:r>
      <w:r w:rsidRPr="00D2217B">
        <w:rPr>
          <w:lang w:eastAsia="fr-FR" w:bidi="fr-FR"/>
        </w:rPr>
        <w:t>raliste</w:t>
      </w:r>
      <w:r>
        <w:t xml:space="preserve"> [74]</w:t>
      </w:r>
      <w:r w:rsidRPr="00D2217B">
        <w:rPr>
          <w:lang w:eastAsia="fr-FR" w:bidi="fr-FR"/>
        </w:rPr>
        <w:t xml:space="preserve"> dont Alexander Hamilton apparaît co</w:t>
      </w:r>
      <w:r w:rsidRPr="00D2217B">
        <w:rPr>
          <w:lang w:eastAsia="fr-FR" w:bidi="fr-FR"/>
        </w:rPr>
        <w:t>m</w:t>
      </w:r>
      <w:r w:rsidRPr="00D2217B">
        <w:rPr>
          <w:lang w:eastAsia="fr-FR" w:bidi="fr-FR"/>
        </w:rPr>
        <w:t>me la figure de proue et le parti républicain-démocrate</w:t>
      </w:r>
      <w:r>
        <w:t> </w:t>
      </w:r>
      <w:r>
        <w:rPr>
          <w:rStyle w:val="Appelnotedebasdep"/>
        </w:rPr>
        <w:footnoteReference w:id="156"/>
      </w:r>
      <w:r w:rsidRPr="00D2217B">
        <w:rPr>
          <w:lang w:eastAsia="fr-FR" w:bidi="fr-FR"/>
        </w:rPr>
        <w:t xml:space="preserve"> dont le premier leader était Thomas Jeffe</w:t>
      </w:r>
      <w:r w:rsidRPr="00D2217B">
        <w:rPr>
          <w:lang w:eastAsia="fr-FR" w:bidi="fr-FR"/>
        </w:rPr>
        <w:t>r</w:t>
      </w:r>
      <w:r w:rsidRPr="00D2217B">
        <w:rPr>
          <w:lang w:eastAsia="fr-FR" w:bidi="fr-FR"/>
        </w:rPr>
        <w:t>son.</w:t>
      </w:r>
    </w:p>
    <w:p w14:paraId="6D7FD91A" w14:textId="77777777" w:rsidR="0039793A" w:rsidRPr="00D2217B" w:rsidRDefault="0039793A" w:rsidP="0039793A">
      <w:pPr>
        <w:spacing w:before="120" w:after="120"/>
        <w:jc w:val="both"/>
      </w:pPr>
      <w:r w:rsidRPr="00D2217B">
        <w:rPr>
          <w:lang w:eastAsia="fr-FR" w:bidi="fr-FR"/>
        </w:rPr>
        <w:t>Hamilton a été l’un des maîtres d’œuvre de la Constitution et à l’origine des institutions qui a</w:t>
      </w:r>
      <w:r w:rsidRPr="00D2217B">
        <w:rPr>
          <w:lang w:eastAsia="fr-FR" w:bidi="fr-FR"/>
        </w:rPr>
        <w:t>l</w:t>
      </w:r>
      <w:r w:rsidRPr="00D2217B">
        <w:rPr>
          <w:lang w:eastAsia="fr-FR" w:bidi="fr-FR"/>
        </w:rPr>
        <w:t>laient permettre aux États-Unis d’</w:t>
      </w:r>
      <w:r w:rsidRPr="00D2217B">
        <w:t>« </w:t>
      </w:r>
      <w:r w:rsidRPr="00D2217B">
        <w:rPr>
          <w:lang w:eastAsia="fr-FR" w:bidi="fr-FR"/>
        </w:rPr>
        <w:t>étendre leurs relations commerciales</w:t>
      </w:r>
      <w:r w:rsidRPr="00D2217B">
        <w:t> »</w:t>
      </w:r>
      <w:r w:rsidRPr="00D2217B">
        <w:rPr>
          <w:lang w:eastAsia="fr-FR" w:bidi="fr-FR"/>
        </w:rPr>
        <w:t xml:space="preserve"> avec les autres États</w:t>
      </w:r>
      <w:r>
        <w:t> </w:t>
      </w:r>
      <w:r>
        <w:rPr>
          <w:rStyle w:val="Appelnotedebasdep"/>
        </w:rPr>
        <w:footnoteReference w:id="157"/>
      </w:r>
      <w:r w:rsidRPr="00D2217B">
        <w:rPr>
          <w:lang w:eastAsia="fr-FR" w:bidi="fr-FR"/>
        </w:rPr>
        <w:t>. Il se rangeait volontiers du côté de la Grande-Bretagne</w:t>
      </w:r>
      <w:r w:rsidRPr="00D2217B">
        <w:t> :</w:t>
      </w:r>
      <w:r w:rsidRPr="00D2217B">
        <w:rPr>
          <w:lang w:eastAsia="fr-FR" w:bidi="fr-FR"/>
        </w:rPr>
        <w:t xml:space="preserve"> l’ancienne mère patrie demeurait à ses yeux un modèle</w:t>
      </w:r>
      <w:r>
        <w:t> </w:t>
      </w:r>
      <w:r>
        <w:rPr>
          <w:rStyle w:val="Appelnotedebasdep"/>
        </w:rPr>
        <w:footnoteReference w:id="158"/>
      </w:r>
      <w:r w:rsidRPr="00D2217B">
        <w:rPr>
          <w:lang w:eastAsia="fr-FR" w:bidi="fr-FR"/>
        </w:rPr>
        <w:t>. À l’image de la métropole britannique dont les États-Unis allaient prendre la r</w:t>
      </w:r>
      <w:r w:rsidRPr="00D2217B">
        <w:rPr>
          <w:lang w:eastAsia="fr-FR" w:bidi="fr-FR"/>
        </w:rPr>
        <w:t>e</w:t>
      </w:r>
      <w:r w:rsidRPr="00D2217B">
        <w:rPr>
          <w:lang w:eastAsia="fr-FR" w:bidi="fr-FR"/>
        </w:rPr>
        <w:t>lève, c’est de la constitution d’un nouvel empire commercial qu’il s’agissait</w:t>
      </w:r>
      <w:r>
        <w:t> </w:t>
      </w:r>
      <w:r>
        <w:rPr>
          <w:rStyle w:val="Appelnotedebasdep"/>
        </w:rPr>
        <w:footnoteReference w:id="159"/>
      </w:r>
      <w:r w:rsidRPr="00D2217B">
        <w:rPr>
          <w:lang w:eastAsia="fr-FR" w:bidi="fr-FR"/>
        </w:rPr>
        <w:t>. Il che</w:t>
      </w:r>
      <w:r w:rsidRPr="00D2217B">
        <w:rPr>
          <w:lang w:eastAsia="fr-FR" w:bidi="fr-FR"/>
        </w:rPr>
        <w:t>r</w:t>
      </w:r>
      <w:r w:rsidRPr="00D2217B">
        <w:rPr>
          <w:lang w:eastAsia="fr-FR" w:bidi="fr-FR"/>
        </w:rPr>
        <w:t>chait à maximiser la puissance de son pays sans se soucier outre mesure des considérations de démocratie interne</w:t>
      </w:r>
      <w:r>
        <w:t> </w:t>
      </w:r>
      <w:r>
        <w:rPr>
          <w:rStyle w:val="Appelnotedebasdep"/>
        </w:rPr>
        <w:footnoteReference w:id="160"/>
      </w:r>
      <w:r>
        <w:rPr>
          <w:lang w:eastAsia="fr-FR" w:bidi="fr-FR"/>
        </w:rPr>
        <w:t>.</w:t>
      </w:r>
      <w:r w:rsidRPr="00D2217B">
        <w:rPr>
          <w:lang w:eastAsia="fr-FR" w:bidi="fr-FR"/>
        </w:rPr>
        <w:t xml:space="preserve"> En d’autres te</w:t>
      </w:r>
      <w:r w:rsidRPr="00D2217B">
        <w:rPr>
          <w:lang w:eastAsia="fr-FR" w:bidi="fr-FR"/>
        </w:rPr>
        <w:t>r</w:t>
      </w:r>
      <w:r w:rsidRPr="00D2217B">
        <w:rPr>
          <w:lang w:eastAsia="fr-FR" w:bidi="fr-FR"/>
        </w:rPr>
        <w:t xml:space="preserve">mes, Hamilton apparaissait déjà, avant la lettre, comme un </w:t>
      </w:r>
      <w:r w:rsidRPr="00D2217B">
        <w:t>« </w:t>
      </w:r>
      <w:r w:rsidRPr="00D2217B">
        <w:rPr>
          <w:lang w:eastAsia="fr-FR" w:bidi="fr-FR"/>
        </w:rPr>
        <w:t>réaliste</w:t>
      </w:r>
      <w:r>
        <w:t> </w:t>
      </w:r>
      <w:r>
        <w:rPr>
          <w:rStyle w:val="Appelnotedebasdep"/>
        </w:rPr>
        <w:footnoteReference w:id="161"/>
      </w:r>
      <w:r w:rsidRPr="00D2217B">
        <w:t> »</w:t>
      </w:r>
      <w:r w:rsidRPr="00D2217B">
        <w:rPr>
          <w:lang w:eastAsia="fr-FR" w:bidi="fr-FR"/>
        </w:rPr>
        <w:t>.</w:t>
      </w:r>
    </w:p>
    <w:p w14:paraId="5CB8BED8" w14:textId="77777777" w:rsidR="0039793A" w:rsidRPr="00D2217B" w:rsidRDefault="0039793A" w:rsidP="0039793A">
      <w:pPr>
        <w:spacing w:before="120" w:after="120"/>
        <w:jc w:val="both"/>
      </w:pPr>
      <w:r w:rsidRPr="00D2217B">
        <w:rPr>
          <w:lang w:eastAsia="fr-FR" w:bidi="fr-FR"/>
        </w:rPr>
        <w:t>Jefferson, pour sa part, accordait la priorité au credo de la souv</w:t>
      </w:r>
      <w:r w:rsidRPr="00D2217B">
        <w:rPr>
          <w:lang w:eastAsia="fr-FR" w:bidi="fr-FR"/>
        </w:rPr>
        <w:t>e</w:t>
      </w:r>
      <w:r w:rsidRPr="00D2217B">
        <w:rPr>
          <w:lang w:eastAsia="fr-FR" w:bidi="fr-FR"/>
        </w:rPr>
        <w:t>raineté populaire promu par la Déclaration d’indépendance qu’il avait rédigée. Il se faisait le défenseur de la décentralisation et de l’autonomie des États dans la fédération</w:t>
      </w:r>
      <w:r>
        <w:t> </w:t>
      </w:r>
      <w:r>
        <w:rPr>
          <w:rStyle w:val="Appelnotedebasdep"/>
        </w:rPr>
        <w:footnoteReference w:id="162"/>
      </w:r>
      <w:r w:rsidRPr="00D2217B">
        <w:rPr>
          <w:lang w:eastAsia="fr-FR" w:bidi="fr-FR"/>
        </w:rPr>
        <w:t>. Amba</w:t>
      </w:r>
      <w:r w:rsidRPr="00D2217B">
        <w:rPr>
          <w:lang w:eastAsia="fr-FR" w:bidi="fr-FR"/>
        </w:rPr>
        <w:t>s</w:t>
      </w:r>
      <w:r w:rsidRPr="00D2217B">
        <w:rPr>
          <w:lang w:eastAsia="fr-FR" w:bidi="fr-FR"/>
        </w:rPr>
        <w:t>sadeur en</w:t>
      </w:r>
      <w:r>
        <w:t xml:space="preserve"> </w:t>
      </w:r>
      <w:r>
        <w:rPr>
          <w:lang w:eastAsia="fr-FR" w:bidi="fr-FR"/>
        </w:rPr>
        <w:t xml:space="preserve">[75] </w:t>
      </w:r>
      <w:r w:rsidRPr="00D2217B">
        <w:rPr>
          <w:lang w:eastAsia="fr-FR" w:bidi="fr-FR"/>
        </w:rPr>
        <w:t>France aux premiers jours de la Révolution française, il a manife</w:t>
      </w:r>
      <w:r w:rsidRPr="00D2217B">
        <w:rPr>
          <w:lang w:eastAsia="fr-FR" w:bidi="fr-FR"/>
        </w:rPr>
        <w:t>s</w:t>
      </w:r>
      <w:r w:rsidRPr="00D2217B">
        <w:rPr>
          <w:lang w:eastAsia="fr-FR" w:bidi="fr-FR"/>
        </w:rPr>
        <w:t>té, pendant un certain temps, ses sympathies à la conception libérale des droits de la personne, celle de la Déclaration de 1789</w:t>
      </w:r>
      <w:r>
        <w:rPr>
          <w:lang w:eastAsia="fr-FR" w:bidi="fr-FR"/>
        </w:rPr>
        <w:t>.</w:t>
      </w:r>
      <w:r w:rsidRPr="00D2217B">
        <w:rPr>
          <w:lang w:eastAsia="fr-FR" w:bidi="fr-FR"/>
        </w:rPr>
        <w:t xml:space="preserve"> Une fois devenu président, il a dû atténuer ses p</w:t>
      </w:r>
      <w:r w:rsidRPr="00D2217B">
        <w:rPr>
          <w:lang w:eastAsia="fr-FR" w:bidi="fr-FR"/>
        </w:rPr>
        <w:t>o</w:t>
      </w:r>
      <w:r w:rsidRPr="00D2217B">
        <w:rPr>
          <w:lang w:eastAsia="fr-FR" w:bidi="fr-FR"/>
        </w:rPr>
        <w:t>sitions et accepter l’urbanisation et l’industrialisation qu’il avait d’abord combattues au nom d’un idéal démocratique de type rousseauiste fondé sur l’appartenance à de pet</w:t>
      </w:r>
      <w:r w:rsidRPr="00D2217B">
        <w:rPr>
          <w:lang w:eastAsia="fr-FR" w:bidi="fr-FR"/>
        </w:rPr>
        <w:t>i</w:t>
      </w:r>
      <w:r w:rsidRPr="00D2217B">
        <w:rPr>
          <w:lang w:eastAsia="fr-FR" w:bidi="fr-FR"/>
        </w:rPr>
        <w:t>tes communautés</w:t>
      </w:r>
      <w:r>
        <w:t> </w:t>
      </w:r>
      <w:r>
        <w:rPr>
          <w:rStyle w:val="Appelnotedebasdep"/>
        </w:rPr>
        <w:footnoteReference w:id="163"/>
      </w:r>
      <w:r w:rsidRPr="00D2217B">
        <w:rPr>
          <w:lang w:eastAsia="fr-FR" w:bidi="fr-FR"/>
        </w:rPr>
        <w:t>. Il a mené une politique étrangère prudente</w:t>
      </w:r>
      <w:r>
        <w:t> </w:t>
      </w:r>
      <w:r>
        <w:rPr>
          <w:rStyle w:val="Appelnotedebasdep"/>
        </w:rPr>
        <w:footnoteReference w:id="164"/>
      </w:r>
      <w:r w:rsidRPr="00D2217B">
        <w:rPr>
          <w:lang w:eastAsia="fr-FR" w:bidi="fr-FR"/>
        </w:rPr>
        <w:t>, centrée sur le maintien de la souveraineté am</w:t>
      </w:r>
      <w:r w:rsidRPr="00D2217B">
        <w:rPr>
          <w:lang w:eastAsia="fr-FR" w:bidi="fr-FR"/>
        </w:rPr>
        <w:t>é</w:t>
      </w:r>
      <w:r w:rsidRPr="00D2217B">
        <w:rPr>
          <w:lang w:eastAsia="fr-FR" w:bidi="fr-FR"/>
        </w:rPr>
        <w:t>ricaine et le respect des autres. Il e</w:t>
      </w:r>
      <w:r w:rsidRPr="00D2217B">
        <w:rPr>
          <w:lang w:eastAsia="fr-FR" w:bidi="fr-FR"/>
        </w:rPr>
        <w:t>n</w:t>
      </w:r>
      <w:r w:rsidRPr="00D2217B">
        <w:rPr>
          <w:lang w:eastAsia="fr-FR" w:bidi="fr-FR"/>
        </w:rPr>
        <w:t>tendait surtout que les États-Unis demeurent à l’écart et protègent leur propre système. Il reche</w:t>
      </w:r>
      <w:r w:rsidRPr="00D2217B">
        <w:rPr>
          <w:lang w:eastAsia="fr-FR" w:bidi="fr-FR"/>
        </w:rPr>
        <w:t>r</w:t>
      </w:r>
      <w:r w:rsidRPr="00D2217B">
        <w:rPr>
          <w:lang w:eastAsia="fr-FR" w:bidi="fr-FR"/>
        </w:rPr>
        <w:t>chait un ordre international assurant la paix, l’équilibre et la préservation des acquis de la Rép</w:t>
      </w:r>
      <w:r w:rsidRPr="00D2217B">
        <w:rPr>
          <w:lang w:eastAsia="fr-FR" w:bidi="fr-FR"/>
        </w:rPr>
        <w:t>u</w:t>
      </w:r>
      <w:r w:rsidRPr="00D2217B">
        <w:rPr>
          <w:lang w:eastAsia="fr-FR" w:bidi="fr-FR"/>
        </w:rPr>
        <w:t>blique américaine</w:t>
      </w:r>
      <w:r>
        <w:t> </w:t>
      </w:r>
      <w:r>
        <w:rPr>
          <w:rStyle w:val="Appelnotedebasdep"/>
        </w:rPr>
        <w:footnoteReference w:id="165"/>
      </w:r>
      <w:r w:rsidRPr="00D2217B">
        <w:rPr>
          <w:lang w:eastAsia="fr-FR" w:bidi="fr-FR"/>
        </w:rPr>
        <w:t>.</w:t>
      </w:r>
    </w:p>
    <w:p w14:paraId="367E3CCF" w14:textId="77777777" w:rsidR="0039793A" w:rsidRPr="00D2217B" w:rsidRDefault="0039793A" w:rsidP="0039793A">
      <w:pPr>
        <w:spacing w:before="120" w:after="120"/>
        <w:jc w:val="both"/>
      </w:pPr>
      <w:r w:rsidRPr="00D2217B">
        <w:rPr>
          <w:lang w:eastAsia="fr-FR" w:bidi="fr-FR"/>
        </w:rPr>
        <w:t>C’est cette profonde divergence que George Washington a cherché à réconcilier en prônant s</w:t>
      </w:r>
      <w:r w:rsidRPr="00D2217B">
        <w:rPr>
          <w:lang w:eastAsia="fr-FR" w:bidi="fr-FR"/>
        </w:rPr>
        <w:t>i</w:t>
      </w:r>
      <w:r w:rsidRPr="00D2217B">
        <w:rPr>
          <w:lang w:eastAsia="fr-FR" w:bidi="fr-FR"/>
        </w:rPr>
        <w:t>multanément un isolationnisme géopolitique et un internationalisme économique. Pour autant, le d</w:t>
      </w:r>
      <w:r w:rsidRPr="00D2217B">
        <w:rPr>
          <w:lang w:eastAsia="fr-FR" w:bidi="fr-FR"/>
        </w:rPr>
        <w:t>é</w:t>
      </w:r>
      <w:r w:rsidRPr="00D2217B">
        <w:rPr>
          <w:lang w:eastAsia="fr-FR" w:bidi="fr-FR"/>
        </w:rPr>
        <w:t>bat entre les hamiltoniens et les jeffersoniens pe</w:t>
      </w:r>
      <w:r w:rsidRPr="00D2217B">
        <w:rPr>
          <w:lang w:eastAsia="fr-FR" w:bidi="fr-FR"/>
        </w:rPr>
        <w:t>r</w:t>
      </w:r>
      <w:r w:rsidRPr="00D2217B">
        <w:rPr>
          <w:lang w:eastAsia="fr-FR" w:bidi="fr-FR"/>
        </w:rPr>
        <w:t>dure aujourd’hui sous des formes nouvelles. On peut toujours percevoir deux approches antagoni</w:t>
      </w:r>
      <w:r w:rsidRPr="00D2217B">
        <w:rPr>
          <w:lang w:eastAsia="fr-FR" w:bidi="fr-FR"/>
        </w:rPr>
        <w:t>s</w:t>
      </w:r>
      <w:r w:rsidRPr="00D2217B">
        <w:rPr>
          <w:lang w:eastAsia="fr-FR" w:bidi="fr-FR"/>
        </w:rPr>
        <w:t>tes de la politique étrangère, l’une visant avant tout à assurer l’hégémonie de la superpuissance et l’autre recherchant davantage la coopération, l’expansion de la démocratie et le respect des droits. La première est mieux représentée dans le Parti républicain mais elle est aussi présente parmi les Démocrates. La seconde trouve surtout ses adeptes au sein du Parti démocrate. Le président Carter peut être</w:t>
      </w:r>
      <w:r>
        <w:t xml:space="preserve"> [76] </w:t>
      </w:r>
      <w:r w:rsidRPr="00D2217B">
        <w:rPr>
          <w:lang w:eastAsia="fr-FR" w:bidi="fr-FR"/>
        </w:rPr>
        <w:t>considéré co</w:t>
      </w:r>
      <w:r w:rsidRPr="00D2217B">
        <w:rPr>
          <w:lang w:eastAsia="fr-FR" w:bidi="fr-FR"/>
        </w:rPr>
        <w:t>m</w:t>
      </w:r>
      <w:r w:rsidRPr="00D2217B">
        <w:rPr>
          <w:lang w:eastAsia="fr-FR" w:bidi="fr-FR"/>
        </w:rPr>
        <w:t>me un jeffersonien tandis que Ronald Reagan et les deux présidents Bush empruntent le plus au courant hamiltonien. Bill Cli</w:t>
      </w:r>
      <w:r w:rsidRPr="00D2217B">
        <w:rPr>
          <w:lang w:eastAsia="fr-FR" w:bidi="fr-FR"/>
        </w:rPr>
        <w:t>n</w:t>
      </w:r>
      <w:r w:rsidRPr="00D2217B">
        <w:rPr>
          <w:lang w:eastAsia="fr-FR" w:bidi="fr-FR"/>
        </w:rPr>
        <w:t>ton était partagé entre les deux, naturellement plus favorable aux idéaux de Je</w:t>
      </w:r>
      <w:r w:rsidRPr="00D2217B">
        <w:rPr>
          <w:lang w:eastAsia="fr-FR" w:bidi="fr-FR"/>
        </w:rPr>
        <w:t>f</w:t>
      </w:r>
      <w:r w:rsidRPr="00D2217B">
        <w:rPr>
          <w:lang w:eastAsia="fr-FR" w:bidi="fr-FR"/>
        </w:rPr>
        <w:t>ferson mais prêt à s’incliner à l’occasion devant les ra</w:t>
      </w:r>
      <w:r w:rsidRPr="00D2217B">
        <w:rPr>
          <w:lang w:eastAsia="fr-FR" w:bidi="fr-FR"/>
        </w:rPr>
        <w:t>i</w:t>
      </w:r>
      <w:r w:rsidRPr="00D2217B">
        <w:rPr>
          <w:lang w:eastAsia="fr-FR" w:bidi="fr-FR"/>
        </w:rPr>
        <w:t>sonnements hamiltoniens.</w:t>
      </w:r>
    </w:p>
    <w:p w14:paraId="23EFB0F6" w14:textId="77777777" w:rsidR="0039793A" w:rsidRDefault="0039793A" w:rsidP="0039793A">
      <w:pPr>
        <w:spacing w:before="120" w:after="120"/>
        <w:jc w:val="both"/>
        <w:rPr>
          <w:lang w:eastAsia="fr-FR" w:bidi="fr-FR"/>
        </w:rPr>
      </w:pPr>
    </w:p>
    <w:p w14:paraId="3D648617" w14:textId="77777777" w:rsidR="0039793A" w:rsidRPr="00D2217B" w:rsidRDefault="0039793A" w:rsidP="0039793A">
      <w:pPr>
        <w:pStyle w:val="a"/>
      </w:pPr>
      <w:r w:rsidRPr="00D2217B">
        <w:t>L’évolution de</w:t>
      </w:r>
      <w:r>
        <w:t>s courants de pensée politiques</w:t>
      </w:r>
      <w:r>
        <w:br/>
      </w:r>
      <w:r w:rsidRPr="00D2217B">
        <w:t>de Washington à Truman</w:t>
      </w:r>
    </w:p>
    <w:p w14:paraId="5478E716" w14:textId="77777777" w:rsidR="0039793A" w:rsidRDefault="0039793A" w:rsidP="0039793A">
      <w:pPr>
        <w:spacing w:before="120" w:after="120"/>
        <w:jc w:val="both"/>
        <w:rPr>
          <w:lang w:eastAsia="fr-FR" w:bidi="fr-FR"/>
        </w:rPr>
      </w:pPr>
    </w:p>
    <w:p w14:paraId="3D4622D1" w14:textId="77777777" w:rsidR="0039793A" w:rsidRPr="00D2217B" w:rsidRDefault="0039793A" w:rsidP="0039793A">
      <w:pPr>
        <w:spacing w:before="120" w:after="120"/>
        <w:jc w:val="both"/>
      </w:pPr>
      <w:r w:rsidRPr="00D2217B">
        <w:rPr>
          <w:lang w:eastAsia="fr-FR" w:bidi="fr-FR"/>
        </w:rPr>
        <w:t>De Washington à Truman, les courants de pe</w:t>
      </w:r>
      <w:r w:rsidRPr="00D2217B">
        <w:rPr>
          <w:lang w:eastAsia="fr-FR" w:bidi="fr-FR"/>
        </w:rPr>
        <w:t>n</w:t>
      </w:r>
      <w:r w:rsidRPr="00D2217B">
        <w:rPr>
          <w:lang w:eastAsia="fr-FR" w:bidi="fr-FR"/>
        </w:rPr>
        <w:t>sée politiques vont se décliner sur une gamme a</w:t>
      </w:r>
      <w:r w:rsidRPr="00D2217B">
        <w:rPr>
          <w:lang w:eastAsia="fr-FR" w:bidi="fr-FR"/>
        </w:rPr>
        <w:t>l</w:t>
      </w:r>
      <w:r w:rsidRPr="00D2217B">
        <w:rPr>
          <w:lang w:eastAsia="fr-FR" w:bidi="fr-FR"/>
        </w:rPr>
        <w:t xml:space="preserve">lant de l’isolationnisme à l’engagement effectif des </w:t>
      </w:r>
      <w:r>
        <w:rPr>
          <w:lang w:eastAsia="fr-FR" w:bidi="fr-FR"/>
        </w:rPr>
        <w:t>État</w:t>
      </w:r>
      <w:r w:rsidRPr="00D2217B">
        <w:rPr>
          <w:lang w:eastAsia="fr-FR" w:bidi="fr-FR"/>
        </w:rPr>
        <w:t>s-Unis dans le monde.</w:t>
      </w:r>
    </w:p>
    <w:p w14:paraId="46B26E03" w14:textId="77777777" w:rsidR="0039793A" w:rsidRPr="00D2217B" w:rsidRDefault="0039793A" w:rsidP="0039793A">
      <w:pPr>
        <w:spacing w:before="120" w:after="120"/>
        <w:jc w:val="both"/>
      </w:pPr>
      <w:r w:rsidRPr="00D2217B">
        <w:rPr>
          <w:lang w:eastAsia="fr-FR" w:bidi="fr-FR"/>
        </w:rPr>
        <w:t>La politique qui s’est imposée dans la foulée du message d’adieu de Washington, des efforts de Jefferson pour préserver l’équilibre en Europe tout en évitant de compromettre son pays et de la do</w:t>
      </w:r>
      <w:r w:rsidRPr="00D2217B">
        <w:rPr>
          <w:lang w:eastAsia="fr-FR" w:bidi="fr-FR"/>
        </w:rPr>
        <w:t>c</w:t>
      </w:r>
      <w:r w:rsidRPr="00D2217B">
        <w:rPr>
          <w:lang w:eastAsia="fr-FR" w:bidi="fr-FR"/>
        </w:rPr>
        <w:t>trine de Monroe orientée vers l’expansion cont</w:t>
      </w:r>
      <w:r w:rsidRPr="00D2217B">
        <w:rPr>
          <w:lang w:eastAsia="fr-FR" w:bidi="fr-FR"/>
        </w:rPr>
        <w:t>i</w:t>
      </w:r>
      <w:r w:rsidRPr="00D2217B">
        <w:rPr>
          <w:lang w:eastAsia="fr-FR" w:bidi="fr-FR"/>
        </w:rPr>
        <w:t>nentale</w:t>
      </w:r>
      <w:r>
        <w:t> </w:t>
      </w:r>
      <w:r>
        <w:rPr>
          <w:rStyle w:val="Appelnotedebasdep"/>
        </w:rPr>
        <w:footnoteReference w:id="166"/>
      </w:r>
      <w:r>
        <w:rPr>
          <w:lang w:eastAsia="fr-FR" w:bidi="fr-FR"/>
        </w:rPr>
        <w:t>,</w:t>
      </w:r>
      <w:r w:rsidRPr="00D2217B">
        <w:rPr>
          <w:lang w:eastAsia="fr-FR" w:bidi="fr-FR"/>
        </w:rPr>
        <w:t xml:space="preserve"> c’est l’isolationnisme. Toutefois il s’agit là d’un isolationnisme relatif, dans la mesure où il est géopolitique mais en aucun cas économique.</w:t>
      </w:r>
    </w:p>
    <w:p w14:paraId="46334ADF" w14:textId="77777777" w:rsidR="0039793A" w:rsidRPr="00D2217B" w:rsidRDefault="0039793A" w:rsidP="0039793A">
      <w:pPr>
        <w:spacing w:before="120" w:after="120"/>
        <w:jc w:val="both"/>
      </w:pPr>
      <w:r w:rsidRPr="00D2217B">
        <w:t xml:space="preserve">À </w:t>
      </w:r>
      <w:r w:rsidRPr="00D2217B">
        <w:rPr>
          <w:lang w:eastAsia="fr-FR" w:bidi="fr-FR"/>
        </w:rPr>
        <w:t xml:space="preserve">la fin du </w:t>
      </w:r>
      <w:r w:rsidRPr="00D2217B">
        <w:t>XIX</w:t>
      </w:r>
      <w:r w:rsidRPr="00D2217B">
        <w:rPr>
          <w:vertAlign w:val="superscript"/>
        </w:rPr>
        <w:t>e</w:t>
      </w:r>
      <w:r w:rsidRPr="00D2217B">
        <w:t xml:space="preserve"> </w:t>
      </w:r>
      <w:r w:rsidRPr="00D2217B">
        <w:rPr>
          <w:lang w:eastAsia="fr-FR" w:bidi="fr-FR"/>
        </w:rPr>
        <w:t>siècle, tout se passe comme si le mouvement vers l’Oues</w:t>
      </w:r>
      <w:r>
        <w:rPr>
          <w:lang w:eastAsia="fr-FR" w:bidi="fr-FR"/>
        </w:rPr>
        <w:t>t</w:t>
      </w:r>
      <w:r>
        <w:t> </w:t>
      </w:r>
      <w:r>
        <w:rPr>
          <w:rStyle w:val="Appelnotedebasdep"/>
        </w:rPr>
        <w:footnoteReference w:id="167"/>
      </w:r>
      <w:r w:rsidRPr="00D2217B">
        <w:rPr>
          <w:lang w:eastAsia="fr-FR" w:bidi="fr-FR"/>
        </w:rPr>
        <w:t xml:space="preserve"> avait été tellement irrépressible qu’il devait se poursuivre au-delà de la côte Pacifique. C’est ainsi qu’on peut interpréter la pol</w:t>
      </w:r>
      <w:r w:rsidRPr="00D2217B">
        <w:rPr>
          <w:lang w:eastAsia="fr-FR" w:bidi="fr-FR"/>
        </w:rPr>
        <w:t>i</w:t>
      </w:r>
      <w:r w:rsidRPr="00D2217B">
        <w:rPr>
          <w:lang w:eastAsia="fr-FR" w:bidi="fr-FR"/>
        </w:rPr>
        <w:t>tique impérialiste de McKinley et de Thé</w:t>
      </w:r>
      <w:r w:rsidRPr="00D2217B">
        <w:rPr>
          <w:lang w:eastAsia="fr-FR" w:bidi="fr-FR"/>
        </w:rPr>
        <w:t>o</w:t>
      </w:r>
      <w:r w:rsidRPr="00D2217B">
        <w:rPr>
          <w:lang w:eastAsia="fr-FR" w:bidi="fr-FR"/>
        </w:rPr>
        <w:t>dore Roosevelt qui se sont empressés d’étendre la guerre contre l’Espagne jusqu’aux Philippines. Une fois le pays continental</w:t>
      </w:r>
      <w:r>
        <w:t> </w:t>
      </w:r>
      <w:r>
        <w:rPr>
          <w:rStyle w:val="Appelnotedebasdep"/>
        </w:rPr>
        <w:footnoteReference w:id="168"/>
      </w:r>
      <w:r w:rsidRPr="00D2217B">
        <w:rPr>
          <w:vertAlign w:val="superscript"/>
          <w:lang w:eastAsia="fr-FR" w:bidi="fr-FR"/>
        </w:rPr>
        <w:t xml:space="preserve"> </w:t>
      </w:r>
      <w:r w:rsidRPr="00D2217B">
        <w:rPr>
          <w:lang w:eastAsia="fr-FR" w:bidi="fr-FR"/>
        </w:rPr>
        <w:t>constitué, l’isolationnisme n’avait plus sa raison d’être aux yeux des dirigeants politiques américains, animés par un nouvel élan et par un sens renouvelé de la mission providentie</w:t>
      </w:r>
      <w:r w:rsidRPr="00D2217B">
        <w:rPr>
          <w:lang w:eastAsia="fr-FR" w:bidi="fr-FR"/>
        </w:rPr>
        <w:t>l</w:t>
      </w:r>
      <w:r w:rsidRPr="00D2217B">
        <w:rPr>
          <w:lang w:eastAsia="fr-FR" w:bidi="fr-FR"/>
        </w:rPr>
        <w:t xml:space="preserve">le des </w:t>
      </w:r>
      <w:r>
        <w:rPr>
          <w:lang w:eastAsia="fr-FR" w:bidi="fr-FR"/>
        </w:rPr>
        <w:t>État</w:t>
      </w:r>
      <w:r w:rsidRPr="00D2217B">
        <w:rPr>
          <w:lang w:eastAsia="fr-FR" w:bidi="fr-FR"/>
        </w:rPr>
        <w:t>s-Unis</w:t>
      </w:r>
      <w:r>
        <w:t> </w:t>
      </w:r>
      <w:r>
        <w:rPr>
          <w:rStyle w:val="Appelnotedebasdep"/>
        </w:rPr>
        <w:footnoteReference w:id="169"/>
      </w:r>
      <w:r w:rsidRPr="00D2217B">
        <w:rPr>
          <w:lang w:eastAsia="fr-FR" w:bidi="fr-FR"/>
        </w:rPr>
        <w:t>.</w:t>
      </w:r>
      <w:r>
        <w:t xml:space="preserve"> [77]</w:t>
      </w:r>
      <w:r w:rsidRPr="00D2217B">
        <w:rPr>
          <w:lang w:eastAsia="fr-FR" w:bidi="fr-FR"/>
        </w:rPr>
        <w:t xml:space="preserve"> Voici donc un idéalisme américain ragai</w:t>
      </w:r>
      <w:r w:rsidRPr="00D2217B">
        <w:rPr>
          <w:lang w:eastAsia="fr-FR" w:bidi="fr-FR"/>
        </w:rPr>
        <w:t>l</w:t>
      </w:r>
      <w:r w:rsidRPr="00D2217B">
        <w:rPr>
          <w:lang w:eastAsia="fr-FR" w:bidi="fr-FR"/>
        </w:rPr>
        <w:t>lardi, mais aussi des politiques plus réalistes, surtout sous la préside</w:t>
      </w:r>
      <w:r w:rsidRPr="00D2217B">
        <w:rPr>
          <w:lang w:eastAsia="fr-FR" w:bidi="fr-FR"/>
        </w:rPr>
        <w:t>n</w:t>
      </w:r>
      <w:r w:rsidRPr="00D2217B">
        <w:rPr>
          <w:lang w:eastAsia="fr-FR" w:bidi="fr-FR"/>
        </w:rPr>
        <w:t>ce de T. Roos</w:t>
      </w:r>
      <w:r w:rsidRPr="00D2217B">
        <w:rPr>
          <w:lang w:eastAsia="fr-FR" w:bidi="fr-FR"/>
        </w:rPr>
        <w:t>e</w:t>
      </w:r>
      <w:r w:rsidRPr="00D2217B">
        <w:rPr>
          <w:lang w:eastAsia="fr-FR" w:bidi="fr-FR"/>
        </w:rPr>
        <w:t>velt qui se fait le promoteur d’un rôle actif des États-Unis sur la scène internationale dans le cadre d’une politique impéri</w:t>
      </w:r>
      <w:r w:rsidRPr="00D2217B">
        <w:rPr>
          <w:lang w:eastAsia="fr-FR" w:bidi="fr-FR"/>
        </w:rPr>
        <w:t>a</w:t>
      </w:r>
      <w:r w:rsidRPr="00D2217B">
        <w:rPr>
          <w:lang w:eastAsia="fr-FR" w:bidi="fr-FR"/>
        </w:rPr>
        <w:t>liste. Le courant isolationniste n’en disparaît pas pour autant, puisque le Parti démocrate de William Jennings Bryan, défendant un pr</w:t>
      </w:r>
      <w:r w:rsidRPr="00D2217B">
        <w:rPr>
          <w:lang w:eastAsia="fr-FR" w:bidi="fr-FR"/>
        </w:rPr>
        <w:t>o</w:t>
      </w:r>
      <w:r w:rsidRPr="00D2217B">
        <w:rPr>
          <w:lang w:eastAsia="fr-FR" w:bidi="fr-FR"/>
        </w:rPr>
        <w:t>gramme je</w:t>
      </w:r>
      <w:r w:rsidRPr="00D2217B">
        <w:rPr>
          <w:lang w:eastAsia="fr-FR" w:bidi="fr-FR"/>
        </w:rPr>
        <w:t>f</w:t>
      </w:r>
      <w:r w:rsidRPr="00D2217B">
        <w:rPr>
          <w:lang w:eastAsia="fr-FR" w:bidi="fr-FR"/>
        </w:rPr>
        <w:t>fersonien, lutte vigoureusement contre l’impérialisme des Républ</w:t>
      </w:r>
      <w:r w:rsidRPr="00D2217B">
        <w:rPr>
          <w:lang w:eastAsia="fr-FR" w:bidi="fr-FR"/>
        </w:rPr>
        <w:t>i</w:t>
      </w:r>
      <w:r w:rsidRPr="00D2217B">
        <w:rPr>
          <w:lang w:eastAsia="fr-FR" w:bidi="fr-FR"/>
        </w:rPr>
        <w:t>cains.</w:t>
      </w:r>
    </w:p>
    <w:p w14:paraId="38CC286D" w14:textId="77777777" w:rsidR="0039793A" w:rsidRPr="00D2217B" w:rsidRDefault="0039793A" w:rsidP="0039793A">
      <w:pPr>
        <w:spacing w:before="120" w:after="120"/>
        <w:jc w:val="both"/>
      </w:pPr>
      <w:r w:rsidRPr="00D2217B">
        <w:rPr>
          <w:lang w:eastAsia="fr-FR" w:bidi="fr-FR"/>
        </w:rPr>
        <w:t>Woodrow Wilson se fait élire à la présidence en 1912 en prome</w:t>
      </w:r>
      <w:r w:rsidRPr="00D2217B">
        <w:rPr>
          <w:lang w:eastAsia="fr-FR" w:bidi="fr-FR"/>
        </w:rPr>
        <w:t>t</w:t>
      </w:r>
      <w:r w:rsidRPr="00D2217B">
        <w:rPr>
          <w:lang w:eastAsia="fr-FR" w:bidi="fr-FR"/>
        </w:rPr>
        <w:t>tant de demeurer à l’écart de la politique internationale. En 1917, Wi</w:t>
      </w:r>
      <w:r w:rsidRPr="00D2217B">
        <w:rPr>
          <w:lang w:eastAsia="fr-FR" w:bidi="fr-FR"/>
        </w:rPr>
        <w:t>l</w:t>
      </w:r>
      <w:r w:rsidRPr="00D2217B">
        <w:rPr>
          <w:lang w:eastAsia="fr-FR" w:bidi="fr-FR"/>
        </w:rPr>
        <w:t>son fait volte-face et adopte une approche idéaliste, orientée vers la formation d’un nouvel ordre international fondé sur le respect des souverainetés. Cette école idé</w:t>
      </w:r>
      <w:r w:rsidRPr="00D2217B">
        <w:rPr>
          <w:lang w:eastAsia="fr-FR" w:bidi="fr-FR"/>
        </w:rPr>
        <w:t>a</w:t>
      </w:r>
      <w:r w:rsidRPr="00D2217B">
        <w:rPr>
          <w:lang w:eastAsia="fr-FR" w:bidi="fr-FR"/>
        </w:rPr>
        <w:t>liste essuie un pénible échec</w:t>
      </w:r>
      <w:r w:rsidRPr="00D2217B">
        <w:t> :</w:t>
      </w:r>
      <w:r w:rsidRPr="00D2217B">
        <w:rPr>
          <w:lang w:eastAsia="fr-FR" w:bidi="fr-FR"/>
        </w:rPr>
        <w:t xml:space="preserve"> l’intransigeance de Wilson</w:t>
      </w:r>
      <w:r>
        <w:t> </w:t>
      </w:r>
      <w:r>
        <w:rPr>
          <w:rStyle w:val="Appelnotedebasdep"/>
        </w:rPr>
        <w:footnoteReference w:id="170"/>
      </w:r>
      <w:r w:rsidRPr="00D2217B">
        <w:rPr>
          <w:lang w:eastAsia="fr-FR" w:bidi="fr-FR"/>
        </w:rPr>
        <w:t xml:space="preserve"> se heurte à une vision républicaine ce</w:t>
      </w:r>
      <w:r w:rsidRPr="00D2217B">
        <w:rPr>
          <w:lang w:eastAsia="fr-FR" w:bidi="fr-FR"/>
        </w:rPr>
        <w:t>n</w:t>
      </w:r>
      <w:r w:rsidRPr="00D2217B">
        <w:rPr>
          <w:lang w:eastAsia="fr-FR" w:bidi="fr-FR"/>
        </w:rPr>
        <w:t>trée sur les intérêts strictement nationaux des États-Unis, accomp</w:t>
      </w:r>
      <w:r w:rsidRPr="00D2217B">
        <w:rPr>
          <w:lang w:eastAsia="fr-FR" w:bidi="fr-FR"/>
        </w:rPr>
        <w:t>a</w:t>
      </w:r>
      <w:r w:rsidRPr="00D2217B">
        <w:rPr>
          <w:lang w:eastAsia="fr-FR" w:bidi="fr-FR"/>
        </w:rPr>
        <w:t>gnée d’une méfiance croissa</w:t>
      </w:r>
      <w:r w:rsidRPr="00D2217B">
        <w:rPr>
          <w:lang w:eastAsia="fr-FR" w:bidi="fr-FR"/>
        </w:rPr>
        <w:t>n</w:t>
      </w:r>
      <w:r w:rsidRPr="00D2217B">
        <w:rPr>
          <w:lang w:eastAsia="fr-FR" w:bidi="fr-FR"/>
        </w:rPr>
        <w:t>te à l’égard d’un engagement en Europe. Le co</w:t>
      </w:r>
      <w:r w:rsidRPr="00D2217B">
        <w:rPr>
          <w:lang w:eastAsia="fr-FR" w:bidi="fr-FR"/>
        </w:rPr>
        <w:t>u</w:t>
      </w:r>
      <w:r w:rsidRPr="00D2217B">
        <w:rPr>
          <w:lang w:eastAsia="fr-FR" w:bidi="fr-FR"/>
        </w:rPr>
        <w:t>rant isolationniste revient en force.</w:t>
      </w:r>
    </w:p>
    <w:p w14:paraId="0B37A828" w14:textId="77777777" w:rsidR="0039793A" w:rsidRPr="00D2217B" w:rsidRDefault="0039793A" w:rsidP="0039793A">
      <w:pPr>
        <w:spacing w:before="120" w:after="120"/>
        <w:jc w:val="both"/>
      </w:pPr>
      <w:r w:rsidRPr="00D2217B">
        <w:rPr>
          <w:lang w:eastAsia="fr-FR" w:bidi="fr-FR"/>
        </w:rPr>
        <w:t>En 1933, les Républicains doivent céder le pouvoir présidentiel aux Démocrates. Franklin D. Roosevelt tente alors de réhabiliter l’internationalisme sous une forme moins idéaliste que celle de Wi</w:t>
      </w:r>
      <w:r w:rsidRPr="00D2217B">
        <w:rPr>
          <w:lang w:eastAsia="fr-FR" w:bidi="fr-FR"/>
        </w:rPr>
        <w:t>l</w:t>
      </w:r>
      <w:r w:rsidRPr="00D2217B">
        <w:rPr>
          <w:lang w:eastAsia="fr-FR" w:bidi="fr-FR"/>
        </w:rPr>
        <w:t>son. Avec lui se dessine le grand courant contemporain de l’internationalisme libéral fondé sur des liens plus étroits avec des pa</w:t>
      </w:r>
      <w:r w:rsidRPr="00D2217B">
        <w:rPr>
          <w:lang w:eastAsia="fr-FR" w:bidi="fr-FR"/>
        </w:rPr>
        <w:t>r</w:t>
      </w:r>
      <w:r w:rsidRPr="00D2217B">
        <w:rPr>
          <w:lang w:eastAsia="fr-FR" w:bidi="fr-FR"/>
        </w:rPr>
        <w:t>tenaires européens, sur des institutions internationales et sur une pr</w:t>
      </w:r>
      <w:r w:rsidRPr="00D2217B">
        <w:rPr>
          <w:lang w:eastAsia="fr-FR" w:bidi="fr-FR"/>
        </w:rPr>
        <w:t>é</w:t>
      </w:r>
      <w:r w:rsidRPr="00D2217B">
        <w:rPr>
          <w:lang w:eastAsia="fr-FR" w:bidi="fr-FR"/>
        </w:rPr>
        <w:t>sence active des États-Unis dans le monde, conforme à leur nouveau rôle de grande puissance. F.D. Roosevelt n’aura vraiment raison des isolationnistes</w:t>
      </w:r>
      <w:r>
        <w:t xml:space="preserve"> [78] </w:t>
      </w:r>
      <w:r w:rsidRPr="00D2217B">
        <w:rPr>
          <w:lang w:eastAsia="fr-FR" w:bidi="fr-FR"/>
        </w:rPr>
        <w:t>qu’après Pearl Harbor en 1941. Dès 1940, cepe</w:t>
      </w:r>
      <w:r w:rsidRPr="00D2217B">
        <w:rPr>
          <w:lang w:eastAsia="fr-FR" w:bidi="fr-FR"/>
        </w:rPr>
        <w:t>n</w:t>
      </w:r>
      <w:r w:rsidRPr="00D2217B">
        <w:rPr>
          <w:lang w:eastAsia="fr-FR" w:bidi="fr-FR"/>
        </w:rPr>
        <w:t>dant, il déclare</w:t>
      </w:r>
      <w:r w:rsidRPr="00D2217B">
        <w:t> :</w:t>
      </w:r>
      <w:r w:rsidRPr="00D2217B">
        <w:rPr>
          <w:lang w:eastAsia="fr-FR" w:bidi="fr-FR"/>
        </w:rPr>
        <w:t xml:space="preserve"> </w:t>
      </w:r>
      <w:r w:rsidRPr="00D2217B">
        <w:t>« </w:t>
      </w:r>
      <w:r w:rsidRPr="00D2217B">
        <w:rPr>
          <w:lang w:eastAsia="fr-FR" w:bidi="fr-FR"/>
        </w:rPr>
        <w:t>Nous devons faire face à la tâche qui est devant nous en abandonnant imm</w:t>
      </w:r>
      <w:r w:rsidRPr="00D2217B">
        <w:rPr>
          <w:lang w:eastAsia="fr-FR" w:bidi="fr-FR"/>
        </w:rPr>
        <w:t>é</w:t>
      </w:r>
      <w:r w:rsidRPr="00D2217B">
        <w:rPr>
          <w:lang w:eastAsia="fr-FR" w:bidi="fr-FR"/>
        </w:rPr>
        <w:t>diatement et irrémédiablement l’illusion que nous pouvons nous isoler de nouveau du reste du monde</w:t>
      </w:r>
      <w:r>
        <w:rPr>
          <w:lang w:eastAsia="fr-FR" w:bidi="fr-FR"/>
        </w:rPr>
        <w:t> </w:t>
      </w:r>
      <w:r>
        <w:rPr>
          <w:rStyle w:val="Appelnotedebasdep"/>
          <w:lang w:eastAsia="fr-FR" w:bidi="fr-FR"/>
        </w:rPr>
        <w:footnoteReference w:id="171"/>
      </w:r>
      <w:r w:rsidRPr="00D2217B">
        <w:rPr>
          <w:lang w:eastAsia="fr-FR" w:bidi="fr-FR"/>
        </w:rPr>
        <w:t>.</w:t>
      </w:r>
      <w:r w:rsidRPr="00D2217B">
        <w:t> »</w:t>
      </w:r>
      <w:r w:rsidRPr="00D2217B">
        <w:rPr>
          <w:lang w:eastAsia="fr-FR" w:bidi="fr-FR"/>
        </w:rPr>
        <w:t xml:space="preserve"> Il ouvre alors une no</w:t>
      </w:r>
      <w:r w:rsidRPr="00D2217B">
        <w:rPr>
          <w:lang w:eastAsia="fr-FR" w:bidi="fr-FR"/>
        </w:rPr>
        <w:t>u</w:t>
      </w:r>
      <w:r w:rsidRPr="00D2217B">
        <w:rPr>
          <w:lang w:eastAsia="fr-FR" w:bidi="fr-FR"/>
        </w:rPr>
        <w:t>velle ère d’engagement international qui ne s’est pas interrompue d</w:t>
      </w:r>
      <w:r w:rsidRPr="00D2217B">
        <w:rPr>
          <w:lang w:eastAsia="fr-FR" w:bidi="fr-FR"/>
        </w:rPr>
        <w:t>e</w:t>
      </w:r>
      <w:r w:rsidRPr="00D2217B">
        <w:rPr>
          <w:lang w:eastAsia="fr-FR" w:bidi="fr-FR"/>
        </w:rPr>
        <w:t>puis.</w:t>
      </w:r>
    </w:p>
    <w:p w14:paraId="713AAFBD" w14:textId="77777777" w:rsidR="0039793A" w:rsidRPr="00D2217B" w:rsidRDefault="0039793A" w:rsidP="0039793A">
      <w:pPr>
        <w:spacing w:before="120" w:after="120"/>
        <w:jc w:val="both"/>
      </w:pPr>
      <w:r w:rsidRPr="00D2217B">
        <w:rPr>
          <w:lang w:eastAsia="fr-FR" w:bidi="fr-FR"/>
        </w:rPr>
        <w:t>Harry Truman poursuit indéniablement dans cette veine internati</w:t>
      </w:r>
      <w:r w:rsidRPr="00D2217B">
        <w:rPr>
          <w:lang w:eastAsia="fr-FR" w:bidi="fr-FR"/>
        </w:rPr>
        <w:t>o</w:t>
      </w:r>
      <w:r w:rsidRPr="00D2217B">
        <w:rPr>
          <w:lang w:eastAsia="fr-FR" w:bidi="fr-FR"/>
        </w:rPr>
        <w:t>naliste, surtout à compter de 1947, alors que s’amorce la guerre froide. Cette période consacre néanmoins une nette rupture avec l’idéalisme wilsonien et même, pour une bonne part, avec l’internationalisme l</w:t>
      </w:r>
      <w:r w:rsidRPr="00D2217B">
        <w:rPr>
          <w:lang w:eastAsia="fr-FR" w:bidi="fr-FR"/>
        </w:rPr>
        <w:t>i</w:t>
      </w:r>
      <w:r w:rsidRPr="00D2217B">
        <w:rPr>
          <w:lang w:eastAsia="fr-FR" w:bidi="fr-FR"/>
        </w:rPr>
        <w:t>béral de F.D. Roosevelt. Il faut replacer les choses dans leur conte</w:t>
      </w:r>
      <w:r w:rsidRPr="00D2217B">
        <w:rPr>
          <w:lang w:eastAsia="fr-FR" w:bidi="fr-FR"/>
        </w:rPr>
        <w:t>x</w:t>
      </w:r>
      <w:r w:rsidRPr="00D2217B">
        <w:rPr>
          <w:lang w:eastAsia="fr-FR" w:bidi="fr-FR"/>
        </w:rPr>
        <w:t>te</w:t>
      </w:r>
      <w:r w:rsidRPr="00D2217B">
        <w:t> :</w:t>
      </w:r>
      <w:r w:rsidRPr="00D2217B">
        <w:rPr>
          <w:lang w:eastAsia="fr-FR" w:bidi="fr-FR"/>
        </w:rPr>
        <w:t xml:space="preserve"> Wilson, en cette période d’après-guerre et de croissance de la menace communiste, est perçu comme le chantre d’un idéal irréalisable, d’un ordre international oublieux des conflits et des amb</w:t>
      </w:r>
      <w:r w:rsidRPr="00D2217B">
        <w:rPr>
          <w:lang w:eastAsia="fr-FR" w:bidi="fr-FR"/>
        </w:rPr>
        <w:t>i</w:t>
      </w:r>
      <w:r w:rsidRPr="00D2217B">
        <w:rPr>
          <w:lang w:eastAsia="fr-FR" w:bidi="fr-FR"/>
        </w:rPr>
        <w:t>tions démesurées</w:t>
      </w:r>
      <w:r w:rsidRPr="00D2217B">
        <w:t> ;</w:t>
      </w:r>
      <w:r w:rsidRPr="00D2217B">
        <w:rPr>
          <w:lang w:eastAsia="fr-FR" w:bidi="fr-FR"/>
        </w:rPr>
        <w:t xml:space="preserve"> il représente l’incapacité d’envisager les dures réalités de l’après- guerre. Dans le même sens, les apôtres de la politique d’apaisement durant l’entre-deux-guerres sont vus comme les complices silencieux de l’avènement d’Hitler. Avec les débuts de la guerre froide, Tr</w:t>
      </w:r>
      <w:r w:rsidRPr="00D2217B">
        <w:rPr>
          <w:lang w:eastAsia="fr-FR" w:bidi="fr-FR"/>
        </w:rPr>
        <w:t>u</w:t>
      </w:r>
      <w:r w:rsidRPr="00D2217B">
        <w:rPr>
          <w:lang w:eastAsia="fr-FR" w:bidi="fr-FR"/>
        </w:rPr>
        <w:t>man prend la mesure des limites de l’internationalisme libéral. Il entrevoit que la puissance devra se conjuguer à la coopération intern</w:t>
      </w:r>
      <w:r w:rsidRPr="00D2217B">
        <w:rPr>
          <w:lang w:eastAsia="fr-FR" w:bidi="fr-FR"/>
        </w:rPr>
        <w:t>a</w:t>
      </w:r>
      <w:r w:rsidRPr="00D2217B">
        <w:rPr>
          <w:lang w:eastAsia="fr-FR" w:bidi="fr-FR"/>
        </w:rPr>
        <w:t>tionale. Il oriente alors la politique étrangère selon une approche plus réaliste, ouvrant la voie à ses successeurs pour une politique devant concilier internationalisme et puissance sur fond de justif</w:t>
      </w:r>
      <w:r w:rsidRPr="00D2217B">
        <w:rPr>
          <w:lang w:eastAsia="fr-FR" w:bidi="fr-FR"/>
        </w:rPr>
        <w:t>i</w:t>
      </w:r>
      <w:r w:rsidRPr="00D2217B">
        <w:rPr>
          <w:lang w:eastAsia="fr-FR" w:bidi="fr-FR"/>
        </w:rPr>
        <w:t>cations idéalistes.</w:t>
      </w:r>
    </w:p>
    <w:p w14:paraId="7374E21D" w14:textId="77777777" w:rsidR="0039793A" w:rsidRDefault="0039793A" w:rsidP="0039793A">
      <w:pPr>
        <w:spacing w:before="120" w:after="120"/>
        <w:jc w:val="both"/>
        <w:rPr>
          <w:lang w:eastAsia="fr-FR" w:bidi="fr-FR"/>
        </w:rPr>
      </w:pPr>
    </w:p>
    <w:p w14:paraId="6613677F" w14:textId="77777777" w:rsidR="0039793A" w:rsidRPr="00D2217B" w:rsidRDefault="0039793A" w:rsidP="0039793A">
      <w:pPr>
        <w:pStyle w:val="a"/>
      </w:pPr>
      <w:r w:rsidRPr="00D2217B">
        <w:t>La typologie historique de W. Russell Mead</w:t>
      </w:r>
    </w:p>
    <w:p w14:paraId="117661CF" w14:textId="77777777" w:rsidR="0039793A" w:rsidRDefault="0039793A" w:rsidP="0039793A">
      <w:pPr>
        <w:spacing w:before="120" w:after="120"/>
        <w:jc w:val="both"/>
        <w:rPr>
          <w:lang w:eastAsia="fr-FR" w:bidi="fr-FR"/>
        </w:rPr>
      </w:pPr>
    </w:p>
    <w:p w14:paraId="0593008B" w14:textId="77777777" w:rsidR="0039793A" w:rsidRPr="00D2217B" w:rsidRDefault="0039793A" w:rsidP="0039793A">
      <w:pPr>
        <w:spacing w:before="120" w:after="120"/>
        <w:jc w:val="both"/>
      </w:pPr>
      <w:r w:rsidRPr="00D2217B">
        <w:rPr>
          <w:lang w:eastAsia="fr-FR" w:bidi="fr-FR"/>
        </w:rPr>
        <w:t>Walter Russell Mead, soucieux de réintégrer l’histoire de la polit</w:t>
      </w:r>
      <w:r w:rsidRPr="00D2217B">
        <w:rPr>
          <w:lang w:eastAsia="fr-FR" w:bidi="fr-FR"/>
        </w:rPr>
        <w:t>i</w:t>
      </w:r>
      <w:r w:rsidRPr="00D2217B">
        <w:rPr>
          <w:lang w:eastAsia="fr-FR" w:bidi="fr-FR"/>
        </w:rPr>
        <w:t>que étrangère américaine dans l’analyse contemporaine, personnifie les écoles de pensée en les caractérisant par les orientations de quatre grands leaders</w:t>
      </w:r>
      <w:r w:rsidRPr="00D2217B">
        <w:t> :</w:t>
      </w:r>
      <w:r w:rsidRPr="00D2217B">
        <w:rPr>
          <w:lang w:eastAsia="fr-FR" w:bidi="fr-FR"/>
        </w:rPr>
        <w:t xml:space="preserve"> Alexander Hamilton, Th</w:t>
      </w:r>
      <w:r w:rsidRPr="00D2217B">
        <w:rPr>
          <w:lang w:eastAsia="fr-FR" w:bidi="fr-FR"/>
        </w:rPr>
        <w:t>o</w:t>
      </w:r>
      <w:r w:rsidRPr="00D2217B">
        <w:rPr>
          <w:lang w:eastAsia="fr-FR" w:bidi="fr-FR"/>
        </w:rPr>
        <w:t>mas Jefferson, Andrew Jackson et Woodrow Wi</w:t>
      </w:r>
      <w:r w:rsidRPr="00D2217B">
        <w:rPr>
          <w:lang w:eastAsia="fr-FR" w:bidi="fr-FR"/>
        </w:rPr>
        <w:t>l</w:t>
      </w:r>
      <w:r w:rsidRPr="00D2217B">
        <w:rPr>
          <w:lang w:eastAsia="fr-FR" w:bidi="fr-FR"/>
        </w:rPr>
        <w:t>son.</w:t>
      </w:r>
    </w:p>
    <w:p w14:paraId="73888CC4" w14:textId="77777777" w:rsidR="0039793A" w:rsidRPr="00D2217B" w:rsidRDefault="0039793A" w:rsidP="0039793A">
      <w:pPr>
        <w:spacing w:before="120" w:after="120"/>
        <w:jc w:val="both"/>
      </w:pPr>
      <w:r w:rsidRPr="00D2217B">
        <w:rPr>
          <w:lang w:eastAsia="fr-FR" w:bidi="fr-FR"/>
        </w:rPr>
        <w:t>Hamilton, premier secrétaire au Trésor, repr</w:t>
      </w:r>
      <w:r w:rsidRPr="00D2217B">
        <w:rPr>
          <w:lang w:eastAsia="fr-FR" w:bidi="fr-FR"/>
        </w:rPr>
        <w:t>é</w:t>
      </w:r>
      <w:r w:rsidRPr="00D2217B">
        <w:rPr>
          <w:lang w:eastAsia="fr-FR" w:bidi="fr-FR"/>
        </w:rPr>
        <w:t>sente les promoteurs de l’ouverture des marchés et de la consolidation de la puissance éc</w:t>
      </w:r>
      <w:r w:rsidRPr="00D2217B">
        <w:rPr>
          <w:lang w:eastAsia="fr-FR" w:bidi="fr-FR"/>
        </w:rPr>
        <w:t>o</w:t>
      </w:r>
      <w:r w:rsidRPr="00D2217B">
        <w:rPr>
          <w:lang w:eastAsia="fr-FR" w:bidi="fr-FR"/>
        </w:rPr>
        <w:t xml:space="preserve">nomique. </w:t>
      </w:r>
      <w:r>
        <w:rPr>
          <w:lang w:eastAsia="fr-FR" w:bidi="fr-FR"/>
        </w:rPr>
        <w:t>À</w:t>
      </w:r>
      <w:r w:rsidRPr="00D2217B">
        <w:rPr>
          <w:lang w:eastAsia="fr-FR" w:bidi="fr-FR"/>
        </w:rPr>
        <w:t xml:space="preserve"> ses yeux, comme on l’a vu, la politique étrangère repose sur une association étroite entre le gouve</w:t>
      </w:r>
      <w:r w:rsidRPr="00D2217B">
        <w:rPr>
          <w:lang w:eastAsia="fr-FR" w:bidi="fr-FR"/>
        </w:rPr>
        <w:t>r</w:t>
      </w:r>
      <w:r w:rsidRPr="00D2217B">
        <w:rPr>
          <w:lang w:eastAsia="fr-FR" w:bidi="fr-FR"/>
        </w:rPr>
        <w:t>nement et les entreprises. Les hamiltoniens s’appuient sur le besoin</w:t>
      </w:r>
      <w:r>
        <w:t xml:space="preserve"> [79] </w:t>
      </w:r>
      <w:r w:rsidRPr="00D2217B">
        <w:rPr>
          <w:lang w:eastAsia="fr-FR" w:bidi="fr-FR"/>
        </w:rPr>
        <w:t>d’être avantageusement intégré dans l’économie globale. Leur conviction profonde est qu’en protégeant le commerce, on construit la paix. En effet, tandis que les affrontements politico-militaires se so</w:t>
      </w:r>
      <w:r w:rsidRPr="00D2217B">
        <w:rPr>
          <w:lang w:eastAsia="fr-FR" w:bidi="fr-FR"/>
        </w:rPr>
        <w:t>l</w:t>
      </w:r>
      <w:r w:rsidRPr="00D2217B">
        <w:rPr>
          <w:lang w:eastAsia="fr-FR" w:bidi="fr-FR"/>
        </w:rPr>
        <w:t>dent toujours par des gagnants et des perdants, les transactions économiques pe</w:t>
      </w:r>
      <w:r w:rsidRPr="00D2217B">
        <w:rPr>
          <w:lang w:eastAsia="fr-FR" w:bidi="fr-FR"/>
        </w:rPr>
        <w:t>r</w:t>
      </w:r>
      <w:r w:rsidRPr="00D2217B">
        <w:rPr>
          <w:lang w:eastAsia="fr-FR" w:bidi="fr-FR"/>
        </w:rPr>
        <w:t>mettent d’établir un terrain d’entente où vendeurs et acheteurs trouvent leur compte.</w:t>
      </w:r>
    </w:p>
    <w:p w14:paraId="588D24DA" w14:textId="77777777" w:rsidR="0039793A" w:rsidRPr="00D2217B" w:rsidRDefault="0039793A" w:rsidP="0039793A">
      <w:pPr>
        <w:spacing w:before="120" w:after="120"/>
        <w:jc w:val="both"/>
      </w:pPr>
      <w:r w:rsidRPr="00D2217B">
        <w:rPr>
          <w:lang w:eastAsia="fr-FR" w:bidi="fr-FR"/>
        </w:rPr>
        <w:t>Pour Wilson, les droits humains et les valeurs démocratiques sont des composantes déterminantes de la politique étrangère. Walter Ru</w:t>
      </w:r>
      <w:r w:rsidRPr="00D2217B">
        <w:rPr>
          <w:lang w:eastAsia="fr-FR" w:bidi="fr-FR"/>
        </w:rPr>
        <w:t>s</w:t>
      </w:r>
      <w:r w:rsidRPr="00D2217B">
        <w:rPr>
          <w:lang w:eastAsia="fr-FR" w:bidi="fr-FR"/>
        </w:rPr>
        <w:t>sell Mead situe les racines de cette approche dans le mouvement mi</w:t>
      </w:r>
      <w:r w:rsidRPr="00D2217B">
        <w:rPr>
          <w:lang w:eastAsia="fr-FR" w:bidi="fr-FR"/>
        </w:rPr>
        <w:t>s</w:t>
      </w:r>
      <w:r w:rsidRPr="00D2217B">
        <w:rPr>
          <w:lang w:eastAsia="fr-FR" w:bidi="fr-FR"/>
        </w:rPr>
        <w:t>sionnaire chrétien qui se développe aux États- Unis à compter du d</w:t>
      </w:r>
      <w:r w:rsidRPr="00D2217B">
        <w:rPr>
          <w:lang w:eastAsia="fr-FR" w:bidi="fr-FR"/>
        </w:rPr>
        <w:t>é</w:t>
      </w:r>
      <w:r w:rsidRPr="00D2217B">
        <w:rPr>
          <w:lang w:eastAsia="fr-FR" w:bidi="fr-FR"/>
        </w:rPr>
        <w:t>but du XIX</w:t>
      </w:r>
      <w:r w:rsidRPr="00D2217B">
        <w:rPr>
          <w:vertAlign w:val="superscript"/>
          <w:lang w:eastAsia="fr-FR" w:bidi="fr-FR"/>
        </w:rPr>
        <w:t>e</w:t>
      </w:r>
      <w:r w:rsidRPr="00D2217B">
        <w:rPr>
          <w:lang w:eastAsia="fr-FR" w:bidi="fr-FR"/>
        </w:rPr>
        <w:t xml:space="preserve"> siècle. Pour les wilsoniens, les États-Unis ont l’obligation morale de promouvoir les valeurs démocratiques et sociales américa</w:t>
      </w:r>
      <w:r w:rsidRPr="00D2217B">
        <w:rPr>
          <w:lang w:eastAsia="fr-FR" w:bidi="fr-FR"/>
        </w:rPr>
        <w:t>i</w:t>
      </w:r>
      <w:r w:rsidRPr="00D2217B">
        <w:rPr>
          <w:lang w:eastAsia="fr-FR" w:bidi="fr-FR"/>
        </w:rPr>
        <w:t>nes dans le monde. Ils visent à créer, dans l’intérêt national américain, un env</w:t>
      </w:r>
      <w:r w:rsidRPr="00D2217B">
        <w:rPr>
          <w:lang w:eastAsia="fr-FR" w:bidi="fr-FR"/>
        </w:rPr>
        <w:t>i</w:t>
      </w:r>
      <w:r w:rsidRPr="00D2217B">
        <w:rPr>
          <w:lang w:eastAsia="fr-FR" w:bidi="fr-FR"/>
        </w:rPr>
        <w:t>ronnement international pacifique reposant sur l’existence d’une communauté internationale so</w:t>
      </w:r>
      <w:r w:rsidRPr="00D2217B">
        <w:rPr>
          <w:lang w:eastAsia="fr-FR" w:bidi="fr-FR"/>
        </w:rPr>
        <w:t>u</w:t>
      </w:r>
      <w:r w:rsidRPr="00D2217B">
        <w:rPr>
          <w:lang w:eastAsia="fr-FR" w:bidi="fr-FR"/>
        </w:rPr>
        <w:t>mise au droit.</w:t>
      </w:r>
    </w:p>
    <w:p w14:paraId="39CB9D88" w14:textId="77777777" w:rsidR="0039793A" w:rsidRPr="00D2217B" w:rsidRDefault="0039793A" w:rsidP="0039793A">
      <w:pPr>
        <w:spacing w:before="120" w:after="120"/>
        <w:jc w:val="both"/>
      </w:pPr>
      <w:r w:rsidRPr="00D2217B">
        <w:rPr>
          <w:lang w:eastAsia="fr-FR" w:bidi="fr-FR"/>
        </w:rPr>
        <w:t>Jefferson, toujours selon Mead, représente une approche très sce</w:t>
      </w:r>
      <w:r w:rsidRPr="00D2217B">
        <w:rPr>
          <w:lang w:eastAsia="fr-FR" w:bidi="fr-FR"/>
        </w:rPr>
        <w:t>p</w:t>
      </w:r>
      <w:r w:rsidRPr="00D2217B">
        <w:rPr>
          <w:lang w:eastAsia="fr-FR" w:bidi="fr-FR"/>
        </w:rPr>
        <w:t>tique quant aux vertus de l’engagement hors des frontières et s’oppose en cela aux hamiltoniens et wilsoniens. En vertu de cette approche, le gouvernement doit se préoccuper moins de promouvoir les valeurs américaines à l’étranger que de préserver ces valeurs sur le terr</w:t>
      </w:r>
      <w:r w:rsidRPr="00D2217B">
        <w:rPr>
          <w:lang w:eastAsia="fr-FR" w:bidi="fr-FR"/>
        </w:rPr>
        <w:t>i</w:t>
      </w:r>
      <w:r w:rsidRPr="00D2217B">
        <w:rPr>
          <w:lang w:eastAsia="fr-FR" w:bidi="fr-FR"/>
        </w:rPr>
        <w:t>toire américain lui-même. De leur sanctuaire continental, les États-Unis doivent s’appliquer à constituer un exemple pour le monde, plutôt que de chercher à imposer leur modèle au-delà des frontières. Comme il s’agit pardessus tout d’éviter la guerre, l’intervention américaine ne pourra prendre, dans le pire des cas, que la forme de sanctions écon</w:t>
      </w:r>
      <w:r w:rsidRPr="00D2217B">
        <w:rPr>
          <w:lang w:eastAsia="fr-FR" w:bidi="fr-FR"/>
        </w:rPr>
        <w:t>o</w:t>
      </w:r>
      <w:r w:rsidRPr="00D2217B">
        <w:rPr>
          <w:lang w:eastAsia="fr-FR" w:bidi="fr-FR"/>
        </w:rPr>
        <w:t>miques.</w:t>
      </w:r>
    </w:p>
    <w:p w14:paraId="5367382E" w14:textId="77777777" w:rsidR="0039793A" w:rsidRPr="00D2217B" w:rsidRDefault="0039793A" w:rsidP="0039793A">
      <w:pPr>
        <w:spacing w:before="120" w:after="120"/>
        <w:jc w:val="both"/>
      </w:pPr>
      <w:r w:rsidRPr="00D2217B">
        <w:rPr>
          <w:lang w:eastAsia="fr-FR" w:bidi="fr-FR"/>
        </w:rPr>
        <w:t>Andrew Jackson, président entre 1829 et 1837, après être devenu un héros quasi mythique en ra</w:t>
      </w:r>
      <w:r w:rsidRPr="00D2217B">
        <w:rPr>
          <w:lang w:eastAsia="fr-FR" w:bidi="fr-FR"/>
        </w:rPr>
        <w:t>i</w:t>
      </w:r>
      <w:r w:rsidRPr="00D2217B">
        <w:rPr>
          <w:lang w:eastAsia="fr-FR" w:bidi="fr-FR"/>
        </w:rPr>
        <w:t>son de ses prouesses comme général d’armée, incarne le populisme américain et la faculté d’utiliser la fo</w:t>
      </w:r>
      <w:r w:rsidRPr="00D2217B">
        <w:rPr>
          <w:lang w:eastAsia="fr-FR" w:bidi="fr-FR"/>
        </w:rPr>
        <w:t>r</w:t>
      </w:r>
      <w:r w:rsidRPr="00D2217B">
        <w:rPr>
          <w:lang w:eastAsia="fr-FR" w:bidi="fr-FR"/>
        </w:rPr>
        <w:t>ce de façon rapide et décisive. Pour les jacksoniens, l’objectif primo</w:t>
      </w:r>
      <w:r w:rsidRPr="00D2217B">
        <w:rPr>
          <w:lang w:eastAsia="fr-FR" w:bidi="fr-FR"/>
        </w:rPr>
        <w:t>r</w:t>
      </w:r>
      <w:r w:rsidRPr="00D2217B">
        <w:rPr>
          <w:lang w:eastAsia="fr-FR" w:bidi="fr-FR"/>
        </w:rPr>
        <w:t>dial étant la sécurité et le bien-être des Américains, le moyen réside dans l’emploi de la puissance. La force militaire doit donc être utilisée lorsque cela est nécessaire</w:t>
      </w:r>
      <w:r>
        <w:rPr>
          <w:lang w:eastAsia="fr-FR" w:bidi="fr-FR"/>
        </w:rPr>
        <w:t> </w:t>
      </w:r>
      <w:r>
        <w:rPr>
          <w:rStyle w:val="Appelnotedebasdep"/>
          <w:lang w:eastAsia="fr-FR" w:bidi="fr-FR"/>
        </w:rPr>
        <w:footnoteReference w:id="172"/>
      </w:r>
      <w:r>
        <w:rPr>
          <w:lang w:eastAsia="fr-FR" w:bidi="fr-FR"/>
        </w:rPr>
        <w:t>.</w:t>
      </w:r>
    </w:p>
    <w:p w14:paraId="39E32B61" w14:textId="77777777" w:rsidR="0039793A" w:rsidRDefault="0039793A" w:rsidP="0039793A">
      <w:pPr>
        <w:spacing w:before="120" w:after="120"/>
        <w:jc w:val="both"/>
        <w:rPr>
          <w:lang w:eastAsia="fr-FR" w:bidi="fr-FR"/>
        </w:rPr>
      </w:pPr>
      <w:r>
        <w:rPr>
          <w:lang w:eastAsia="fr-FR" w:bidi="fr-FR"/>
        </w:rPr>
        <w:t>[80]</w:t>
      </w:r>
    </w:p>
    <w:p w14:paraId="5B040CF1" w14:textId="77777777" w:rsidR="0039793A" w:rsidRDefault="0039793A" w:rsidP="0039793A">
      <w:pPr>
        <w:spacing w:before="120" w:after="120"/>
        <w:jc w:val="both"/>
        <w:rPr>
          <w:lang w:eastAsia="fr-FR" w:bidi="fr-FR"/>
        </w:rPr>
      </w:pPr>
      <w:r w:rsidRPr="00594A23">
        <w:rPr>
          <w:lang w:eastAsia="fr-FR" w:bidi="fr-FR"/>
        </w:rPr>
        <w:t>Cette classification a ses mérites et invite à voir les différentes orientations à l’œuvre dans l’élaboration des politiques américaines en tenant compte de multiples nuances et de complémentar</w:t>
      </w:r>
      <w:r w:rsidRPr="00594A23">
        <w:rPr>
          <w:lang w:eastAsia="fr-FR" w:bidi="fr-FR"/>
        </w:rPr>
        <w:t>i</w:t>
      </w:r>
      <w:r w:rsidRPr="00594A23">
        <w:rPr>
          <w:lang w:eastAsia="fr-FR" w:bidi="fr-FR"/>
        </w:rPr>
        <w:t>tés. C’est une grille de lecture dont on peut disposer, à l’instar de celle qu’offre Je</w:t>
      </w:r>
      <w:r w:rsidRPr="00594A23">
        <w:rPr>
          <w:lang w:eastAsia="fr-FR" w:bidi="fr-FR"/>
        </w:rPr>
        <w:t>n</w:t>
      </w:r>
      <w:r w:rsidRPr="00594A23">
        <w:rPr>
          <w:lang w:eastAsia="fr-FR" w:bidi="fr-FR"/>
        </w:rPr>
        <w:t>tleson, pour comprendre les courants de pensée contemp</w:t>
      </w:r>
      <w:r w:rsidRPr="00594A23">
        <w:rPr>
          <w:lang w:eastAsia="fr-FR" w:bidi="fr-FR"/>
        </w:rPr>
        <w:t>o</w:t>
      </w:r>
      <w:r w:rsidRPr="00594A23">
        <w:rPr>
          <w:lang w:eastAsia="fr-FR" w:bidi="fr-FR"/>
        </w:rPr>
        <w:t>rains</w:t>
      </w:r>
      <w:r w:rsidRPr="00594A23">
        <w:t> :</w:t>
      </w:r>
      <w:r w:rsidRPr="00594A23">
        <w:rPr>
          <w:lang w:eastAsia="fr-FR" w:bidi="fr-FR"/>
        </w:rPr>
        <w:t xml:space="preserve"> la quête de la prospérité fondée sur le mod</w:t>
      </w:r>
      <w:r w:rsidRPr="00594A23">
        <w:rPr>
          <w:lang w:eastAsia="fr-FR" w:bidi="fr-FR"/>
        </w:rPr>
        <w:t>è</w:t>
      </w:r>
      <w:r w:rsidRPr="00594A23">
        <w:rPr>
          <w:lang w:eastAsia="fr-FR" w:bidi="fr-FR"/>
        </w:rPr>
        <w:t>le de Hamilton, celle de la paix incarnée par l’exemple de Wilson, celle des principes défendue par l’approche de Jefferson, enfin celle de la pui</w:t>
      </w:r>
      <w:r w:rsidRPr="00594A23">
        <w:rPr>
          <w:lang w:eastAsia="fr-FR" w:bidi="fr-FR"/>
        </w:rPr>
        <w:t>s</w:t>
      </w:r>
      <w:r w:rsidRPr="00594A23">
        <w:rPr>
          <w:lang w:eastAsia="fr-FR" w:bidi="fr-FR"/>
        </w:rPr>
        <w:t>sance représentée par la référence à Jackson.</w:t>
      </w:r>
    </w:p>
    <w:p w14:paraId="4571582F" w14:textId="77777777" w:rsidR="0039793A" w:rsidRPr="00594A23" w:rsidRDefault="0039793A" w:rsidP="0039793A">
      <w:pPr>
        <w:spacing w:before="120" w:after="120"/>
        <w:jc w:val="both"/>
      </w:pPr>
      <w:r>
        <w:br w:type="page"/>
      </w:r>
    </w:p>
    <w:p w14:paraId="2850ECBA" w14:textId="77777777" w:rsidR="0039793A" w:rsidRPr="00594A23" w:rsidRDefault="0039793A" w:rsidP="0039793A">
      <w:pPr>
        <w:pStyle w:val="planche"/>
        <w:rPr>
          <w:lang w:eastAsia="fr-FR" w:bidi="fr-FR"/>
        </w:rPr>
      </w:pPr>
      <w:bookmarkStart w:id="14" w:name="Pol_EU_pt_1_chap_03_2"/>
      <w:r w:rsidRPr="00660289">
        <w:t>Les grands courants</w:t>
      </w:r>
      <w:r>
        <w:br/>
      </w:r>
      <w:r w:rsidRPr="00660289">
        <w:t>de pensée contemporains</w:t>
      </w:r>
    </w:p>
    <w:bookmarkEnd w:id="14"/>
    <w:p w14:paraId="43965364" w14:textId="77777777" w:rsidR="0039793A" w:rsidRDefault="0039793A" w:rsidP="0039793A">
      <w:pPr>
        <w:spacing w:before="120" w:after="120"/>
        <w:jc w:val="both"/>
        <w:rPr>
          <w:lang w:eastAsia="fr-FR" w:bidi="fr-FR"/>
        </w:rPr>
      </w:pPr>
    </w:p>
    <w:p w14:paraId="790A0987"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11C76F5" w14:textId="77777777" w:rsidR="0039793A" w:rsidRPr="00594A23" w:rsidRDefault="0039793A" w:rsidP="0039793A">
      <w:pPr>
        <w:spacing w:before="120" w:after="120"/>
        <w:jc w:val="both"/>
      </w:pPr>
      <w:r w:rsidRPr="00594A23">
        <w:rPr>
          <w:lang w:eastAsia="fr-FR" w:bidi="fr-FR"/>
        </w:rPr>
        <w:t>Il est possible de démultiplier les catégories et les courants de pe</w:t>
      </w:r>
      <w:r w:rsidRPr="00594A23">
        <w:rPr>
          <w:lang w:eastAsia="fr-FR" w:bidi="fr-FR"/>
        </w:rPr>
        <w:t>n</w:t>
      </w:r>
      <w:r w:rsidRPr="00594A23">
        <w:rPr>
          <w:lang w:eastAsia="fr-FR" w:bidi="fr-FR"/>
        </w:rPr>
        <w:t>sée à l’envi. Ainsi, certains a</w:t>
      </w:r>
      <w:r w:rsidRPr="00594A23">
        <w:rPr>
          <w:lang w:eastAsia="fr-FR" w:bidi="fr-FR"/>
        </w:rPr>
        <w:t>u</w:t>
      </w:r>
      <w:r w:rsidRPr="00594A23">
        <w:rPr>
          <w:lang w:eastAsia="fr-FR" w:bidi="fr-FR"/>
        </w:rPr>
        <w:t>teurs, sans doute par souci d’exhaustivité, prése</w:t>
      </w:r>
      <w:r w:rsidRPr="00594A23">
        <w:rPr>
          <w:lang w:eastAsia="fr-FR" w:bidi="fr-FR"/>
        </w:rPr>
        <w:t>n</w:t>
      </w:r>
      <w:r w:rsidRPr="00594A23">
        <w:rPr>
          <w:lang w:eastAsia="fr-FR" w:bidi="fr-FR"/>
        </w:rPr>
        <w:t>tent les différentes tendances idéologiques sur une gamme allant de la droite à la gauche en disti</w:t>
      </w:r>
      <w:r w:rsidRPr="00594A23">
        <w:rPr>
          <w:lang w:eastAsia="fr-FR" w:bidi="fr-FR"/>
        </w:rPr>
        <w:t>n</w:t>
      </w:r>
      <w:r w:rsidRPr="00594A23">
        <w:rPr>
          <w:lang w:eastAsia="fr-FR" w:bidi="fr-FR"/>
        </w:rPr>
        <w:t>guant les courants isolationniste protectionniste d’extrême droite, isolationniste liberta</w:t>
      </w:r>
      <w:r w:rsidRPr="00594A23">
        <w:rPr>
          <w:lang w:eastAsia="fr-FR" w:bidi="fr-FR"/>
        </w:rPr>
        <w:t>i</w:t>
      </w:r>
      <w:r w:rsidRPr="00594A23">
        <w:rPr>
          <w:lang w:eastAsia="fr-FR" w:bidi="fr-FR"/>
        </w:rPr>
        <w:t>re, souverainiste, hégémoniste néoconservateur, conserv</w:t>
      </w:r>
      <w:r w:rsidRPr="00594A23">
        <w:rPr>
          <w:lang w:eastAsia="fr-FR" w:bidi="fr-FR"/>
        </w:rPr>
        <w:t>a</w:t>
      </w:r>
      <w:r w:rsidRPr="00594A23">
        <w:rPr>
          <w:lang w:eastAsia="fr-FR" w:bidi="fr-FR"/>
        </w:rPr>
        <w:t>teur réaliste, internationaliste pragmatique, démocrate conservateur, néolibéral pr</w:t>
      </w:r>
      <w:r w:rsidRPr="00594A23">
        <w:rPr>
          <w:lang w:eastAsia="fr-FR" w:bidi="fr-FR"/>
        </w:rPr>
        <w:t>o</w:t>
      </w:r>
      <w:r w:rsidRPr="00594A23">
        <w:rPr>
          <w:lang w:eastAsia="fr-FR" w:bidi="fr-FR"/>
        </w:rPr>
        <w:t>tectionniste et internationaliste libéral</w:t>
      </w:r>
      <w:r>
        <w:rPr>
          <w:lang w:eastAsia="fr-FR" w:bidi="fr-FR"/>
        </w:rPr>
        <w:t> </w:t>
      </w:r>
      <w:r>
        <w:rPr>
          <w:rStyle w:val="Appelnotedebasdep"/>
          <w:lang w:eastAsia="fr-FR" w:bidi="fr-FR"/>
        </w:rPr>
        <w:footnoteReference w:id="173"/>
      </w:r>
      <w:r w:rsidRPr="00594A23">
        <w:rPr>
          <w:lang w:eastAsia="fr-FR" w:bidi="fr-FR"/>
        </w:rPr>
        <w:t>. Si ces étiquettes correspo</w:t>
      </w:r>
      <w:r w:rsidRPr="00594A23">
        <w:rPr>
          <w:lang w:eastAsia="fr-FR" w:bidi="fr-FR"/>
        </w:rPr>
        <w:t>n</w:t>
      </w:r>
      <w:r w:rsidRPr="00594A23">
        <w:rPr>
          <w:lang w:eastAsia="fr-FR" w:bidi="fr-FR"/>
        </w:rPr>
        <w:t>dent aux forces en présence dans l’élaboration de la politique étrang</w:t>
      </w:r>
      <w:r w:rsidRPr="00594A23">
        <w:rPr>
          <w:lang w:eastAsia="fr-FR" w:bidi="fr-FR"/>
        </w:rPr>
        <w:t>è</w:t>
      </w:r>
      <w:r w:rsidRPr="00594A23">
        <w:rPr>
          <w:lang w:eastAsia="fr-FR" w:bidi="fr-FR"/>
        </w:rPr>
        <w:t>re américaine, elles prése</w:t>
      </w:r>
      <w:r w:rsidRPr="00594A23">
        <w:rPr>
          <w:lang w:eastAsia="fr-FR" w:bidi="fr-FR"/>
        </w:rPr>
        <w:t>n</w:t>
      </w:r>
      <w:r w:rsidRPr="00594A23">
        <w:rPr>
          <w:lang w:eastAsia="fr-FR" w:bidi="fr-FR"/>
        </w:rPr>
        <w:t>tent, du fait de leur foisonnement, l’inconvénient d’être somme toute assez complexes. On peut d’ailleurs réduire cette démultiplication à son plus petit dénominateur commun. En effet, à la lumière de la lecture téléologique de Jentleson, il est poss</w:t>
      </w:r>
      <w:r w:rsidRPr="00594A23">
        <w:rPr>
          <w:lang w:eastAsia="fr-FR" w:bidi="fr-FR"/>
        </w:rPr>
        <w:t>i</w:t>
      </w:r>
      <w:r w:rsidRPr="00594A23">
        <w:rPr>
          <w:lang w:eastAsia="fr-FR" w:bidi="fr-FR"/>
        </w:rPr>
        <w:t>ble de constater qu’à chaque objectif de politique étrangère (paix, puissance, prospérité, principe) correspond un courant de pe</w:t>
      </w:r>
      <w:r w:rsidRPr="00594A23">
        <w:rPr>
          <w:lang w:eastAsia="fr-FR" w:bidi="fr-FR"/>
        </w:rPr>
        <w:t>n</w:t>
      </w:r>
      <w:r w:rsidRPr="00594A23">
        <w:rPr>
          <w:lang w:eastAsia="fr-FR" w:bidi="fr-FR"/>
        </w:rPr>
        <w:t>sée (internationalisme libéral, réalisme, économie politique internati</w:t>
      </w:r>
      <w:r w:rsidRPr="00594A23">
        <w:rPr>
          <w:lang w:eastAsia="fr-FR" w:bidi="fr-FR"/>
        </w:rPr>
        <w:t>o</w:t>
      </w:r>
      <w:r w:rsidRPr="00594A23">
        <w:rPr>
          <w:lang w:eastAsia="fr-FR" w:bidi="fr-FR"/>
        </w:rPr>
        <w:t>nale, idéalisme démocratique) apte à le promouvoir. Bien que les co</w:t>
      </w:r>
      <w:r w:rsidRPr="00594A23">
        <w:rPr>
          <w:lang w:eastAsia="fr-FR" w:bidi="fr-FR"/>
        </w:rPr>
        <w:t>u</w:t>
      </w:r>
      <w:r w:rsidRPr="00594A23">
        <w:rPr>
          <w:lang w:eastAsia="fr-FR" w:bidi="fr-FR"/>
        </w:rPr>
        <w:t>rants de pensée les plus importants et les plus déterminants a</w:t>
      </w:r>
      <w:r w:rsidRPr="00594A23">
        <w:rPr>
          <w:lang w:eastAsia="fr-FR" w:bidi="fr-FR"/>
        </w:rPr>
        <w:t>u</w:t>
      </w:r>
      <w:r w:rsidRPr="00594A23">
        <w:rPr>
          <w:lang w:eastAsia="fr-FR" w:bidi="fr-FR"/>
        </w:rPr>
        <w:t>jourd’hui soient ceux du réalisme conservateur et de l’internationalisme libéral (toutes les autres te</w:t>
      </w:r>
      <w:r w:rsidRPr="00594A23">
        <w:rPr>
          <w:lang w:eastAsia="fr-FR" w:bidi="fr-FR"/>
        </w:rPr>
        <w:t>n</w:t>
      </w:r>
      <w:r w:rsidRPr="00594A23">
        <w:rPr>
          <w:lang w:eastAsia="fr-FR" w:bidi="fr-FR"/>
        </w:rPr>
        <w:t>dances se rapportant plus ou moins à ces deux co</w:t>
      </w:r>
      <w:r w:rsidRPr="00594A23">
        <w:rPr>
          <w:lang w:eastAsia="fr-FR" w:bidi="fr-FR"/>
        </w:rPr>
        <w:t>u</w:t>
      </w:r>
      <w:r w:rsidRPr="00594A23">
        <w:rPr>
          <w:lang w:eastAsia="fr-FR" w:bidi="fr-FR"/>
        </w:rPr>
        <w:t>rants dominants), il faut cependant faire une place à l’idéalisme, persistant, ainsi qu’à l’isol</w:t>
      </w:r>
      <w:r>
        <w:rPr>
          <w:lang w:eastAsia="fr-FR" w:bidi="fr-FR"/>
        </w:rPr>
        <w:t>ationnisme, plutôt marginalisé.</w:t>
      </w:r>
    </w:p>
    <w:p w14:paraId="0C0C52AC" w14:textId="77777777" w:rsidR="0039793A" w:rsidRDefault="0039793A" w:rsidP="0039793A">
      <w:pPr>
        <w:spacing w:before="120" w:after="120"/>
        <w:jc w:val="both"/>
      </w:pPr>
      <w:r w:rsidRPr="00594A23">
        <w:br w:type="page"/>
      </w:r>
      <w:r>
        <w:t>[81]</w:t>
      </w:r>
    </w:p>
    <w:p w14:paraId="4FCC56C4" w14:textId="77777777" w:rsidR="0039793A" w:rsidRDefault="0039793A" w:rsidP="0039793A">
      <w:pPr>
        <w:spacing w:before="120" w:after="120"/>
        <w:jc w:val="both"/>
      </w:pPr>
    </w:p>
    <w:p w14:paraId="6D298593" w14:textId="77777777" w:rsidR="0039793A" w:rsidRPr="00594A23" w:rsidRDefault="0039793A" w:rsidP="0039793A">
      <w:pPr>
        <w:pStyle w:val="a"/>
      </w:pPr>
      <w:r w:rsidRPr="00594A23">
        <w:t>L’isolationnisme</w:t>
      </w:r>
    </w:p>
    <w:p w14:paraId="6CF65994" w14:textId="77777777" w:rsidR="0039793A" w:rsidRDefault="0039793A" w:rsidP="0039793A">
      <w:pPr>
        <w:spacing w:before="120" w:after="120"/>
        <w:jc w:val="both"/>
        <w:rPr>
          <w:lang w:eastAsia="fr-FR" w:bidi="fr-FR"/>
        </w:rPr>
      </w:pPr>
    </w:p>
    <w:p w14:paraId="41D7624D" w14:textId="77777777" w:rsidR="0039793A" w:rsidRPr="00594A23" w:rsidRDefault="0039793A" w:rsidP="0039793A">
      <w:pPr>
        <w:spacing w:before="120" w:after="120"/>
        <w:jc w:val="both"/>
      </w:pPr>
      <w:r w:rsidRPr="00594A23">
        <w:rPr>
          <w:lang w:eastAsia="fr-FR" w:bidi="fr-FR"/>
        </w:rPr>
        <w:t>Dans un contexte irrémédiable de mondialis</w:t>
      </w:r>
      <w:r w:rsidRPr="00594A23">
        <w:rPr>
          <w:lang w:eastAsia="fr-FR" w:bidi="fr-FR"/>
        </w:rPr>
        <w:t>a</w:t>
      </w:r>
      <w:r w:rsidRPr="00594A23">
        <w:rPr>
          <w:lang w:eastAsia="fr-FR" w:bidi="fr-FR"/>
        </w:rPr>
        <w:t>tion, l’isolationnisme, qui placerait les États-Unis, superpuissance, en marge du système i</w:t>
      </w:r>
      <w:r w:rsidRPr="00594A23">
        <w:rPr>
          <w:lang w:eastAsia="fr-FR" w:bidi="fr-FR"/>
        </w:rPr>
        <w:t>n</w:t>
      </w:r>
      <w:r w:rsidRPr="00594A23">
        <w:rPr>
          <w:lang w:eastAsia="fr-FR" w:bidi="fr-FR"/>
        </w:rPr>
        <w:t>ternational, semble aujourd’hui appartenir au passé. Il demeure c</w:t>
      </w:r>
      <w:r w:rsidRPr="00594A23">
        <w:rPr>
          <w:lang w:eastAsia="fr-FR" w:bidi="fr-FR"/>
        </w:rPr>
        <w:t>e</w:t>
      </w:r>
      <w:r w:rsidRPr="00594A23">
        <w:rPr>
          <w:lang w:eastAsia="fr-FR" w:bidi="fr-FR"/>
        </w:rPr>
        <w:t>pendant qu’un courant marginal et tenace pr</w:t>
      </w:r>
      <w:r w:rsidRPr="00594A23">
        <w:rPr>
          <w:lang w:eastAsia="fr-FR" w:bidi="fr-FR"/>
        </w:rPr>
        <w:t>o</w:t>
      </w:r>
      <w:r w:rsidRPr="00594A23">
        <w:rPr>
          <w:lang w:eastAsia="fr-FR" w:bidi="fr-FR"/>
        </w:rPr>
        <w:t>meut une politique étrangère minimaliste et le pr</w:t>
      </w:r>
      <w:r w:rsidRPr="00594A23">
        <w:rPr>
          <w:lang w:eastAsia="fr-FR" w:bidi="fr-FR"/>
        </w:rPr>
        <w:t>i</w:t>
      </w:r>
      <w:r w:rsidRPr="00594A23">
        <w:rPr>
          <w:lang w:eastAsia="fr-FR" w:bidi="fr-FR"/>
        </w:rPr>
        <w:t xml:space="preserve">mat de la </w:t>
      </w:r>
      <w:r w:rsidRPr="00594A23">
        <w:t>« </w:t>
      </w:r>
      <w:r w:rsidRPr="00594A23">
        <w:rPr>
          <w:lang w:eastAsia="fr-FR" w:bidi="fr-FR"/>
        </w:rPr>
        <w:t>Forteresse Amérique</w:t>
      </w:r>
      <w:r>
        <w:rPr>
          <w:lang w:eastAsia="fr-FR" w:bidi="fr-FR"/>
        </w:rPr>
        <w:t> </w:t>
      </w:r>
      <w:r>
        <w:rPr>
          <w:rStyle w:val="Appelnotedebasdep"/>
          <w:lang w:eastAsia="fr-FR" w:bidi="fr-FR"/>
        </w:rPr>
        <w:footnoteReference w:id="174"/>
      </w:r>
      <w:r w:rsidRPr="00594A23">
        <w:t> »</w:t>
      </w:r>
      <w:r w:rsidRPr="00594A23">
        <w:rPr>
          <w:lang w:eastAsia="fr-FR" w:bidi="fr-FR"/>
        </w:rPr>
        <w:t>. Les isolationnistes peuvent être rangés dans deux grandes cat</w:t>
      </w:r>
      <w:r w:rsidRPr="00594A23">
        <w:rPr>
          <w:lang w:eastAsia="fr-FR" w:bidi="fr-FR"/>
        </w:rPr>
        <w:t>é</w:t>
      </w:r>
      <w:r w:rsidRPr="00594A23">
        <w:rPr>
          <w:lang w:eastAsia="fr-FR" w:bidi="fr-FR"/>
        </w:rPr>
        <w:t>gories</w:t>
      </w:r>
      <w:r w:rsidRPr="00594A23">
        <w:t> :</w:t>
      </w:r>
      <w:r w:rsidRPr="00594A23">
        <w:rPr>
          <w:lang w:eastAsia="fr-FR" w:bidi="fr-FR"/>
        </w:rPr>
        <w:t xml:space="preserve"> les conservateurs et les libéraux</w:t>
      </w:r>
      <w:r>
        <w:rPr>
          <w:lang w:eastAsia="fr-FR" w:bidi="fr-FR"/>
        </w:rPr>
        <w:t> </w:t>
      </w:r>
      <w:r>
        <w:rPr>
          <w:rStyle w:val="Appelnotedebasdep"/>
          <w:lang w:eastAsia="fr-FR" w:bidi="fr-FR"/>
        </w:rPr>
        <w:footnoteReference w:id="175"/>
      </w:r>
      <w:r w:rsidRPr="00594A23">
        <w:rPr>
          <w:lang w:eastAsia="fr-FR" w:bidi="fr-FR"/>
        </w:rPr>
        <w:t>.</w:t>
      </w:r>
    </w:p>
    <w:p w14:paraId="7EE2EE39" w14:textId="77777777" w:rsidR="0039793A" w:rsidRDefault="0039793A" w:rsidP="0039793A">
      <w:pPr>
        <w:spacing w:before="120" w:after="120"/>
        <w:jc w:val="both"/>
        <w:rPr>
          <w:lang w:eastAsia="fr-FR" w:bidi="fr-FR"/>
        </w:rPr>
      </w:pPr>
    </w:p>
    <w:p w14:paraId="62DA0122" w14:textId="77777777" w:rsidR="0039793A" w:rsidRPr="00255697" w:rsidRDefault="0039793A" w:rsidP="0039793A">
      <w:pPr>
        <w:pStyle w:val="b"/>
      </w:pPr>
      <w:r w:rsidRPr="00255697">
        <w:rPr>
          <w:lang w:eastAsia="fr-FR" w:bidi="fr-FR"/>
        </w:rPr>
        <w:t>Les isolationnistes conservateurs</w:t>
      </w:r>
    </w:p>
    <w:p w14:paraId="606A5C14" w14:textId="77777777" w:rsidR="0039793A" w:rsidRDefault="0039793A" w:rsidP="0039793A">
      <w:pPr>
        <w:spacing w:before="120" w:after="120"/>
        <w:jc w:val="both"/>
        <w:rPr>
          <w:lang w:eastAsia="fr-FR" w:bidi="fr-FR"/>
        </w:rPr>
      </w:pPr>
    </w:p>
    <w:p w14:paraId="6B5B463A" w14:textId="77777777" w:rsidR="0039793A" w:rsidRPr="00594A23" w:rsidRDefault="0039793A" w:rsidP="0039793A">
      <w:pPr>
        <w:spacing w:before="120" w:after="120"/>
        <w:jc w:val="both"/>
      </w:pPr>
      <w:r w:rsidRPr="00594A23">
        <w:rPr>
          <w:lang w:eastAsia="fr-FR" w:bidi="fr-FR"/>
        </w:rPr>
        <w:t>Les conservateurs sont ceux qui ont tendance à voir dans toute p</w:t>
      </w:r>
      <w:r w:rsidRPr="00594A23">
        <w:rPr>
          <w:lang w:eastAsia="fr-FR" w:bidi="fr-FR"/>
        </w:rPr>
        <w:t>o</w:t>
      </w:r>
      <w:r w:rsidRPr="00594A23">
        <w:rPr>
          <w:lang w:eastAsia="fr-FR" w:bidi="fr-FR"/>
        </w:rPr>
        <w:t>litique internationale une occ</w:t>
      </w:r>
      <w:r w:rsidRPr="00594A23">
        <w:rPr>
          <w:lang w:eastAsia="fr-FR" w:bidi="fr-FR"/>
        </w:rPr>
        <w:t>a</w:t>
      </w:r>
      <w:r w:rsidRPr="00594A23">
        <w:rPr>
          <w:lang w:eastAsia="fr-FR" w:bidi="fr-FR"/>
        </w:rPr>
        <w:t xml:space="preserve">sion pour les États-Unis d’être </w:t>
      </w:r>
      <w:r w:rsidRPr="00594A23">
        <w:t>« </w:t>
      </w:r>
      <w:r w:rsidRPr="00594A23">
        <w:rPr>
          <w:lang w:eastAsia="fr-FR" w:bidi="fr-FR"/>
        </w:rPr>
        <w:t>contaminés par le mal extérieur</w:t>
      </w:r>
      <w:r w:rsidRPr="00594A23">
        <w:t> »</w:t>
      </w:r>
      <w:r w:rsidRPr="00594A23">
        <w:rPr>
          <w:lang w:eastAsia="fr-FR" w:bidi="fr-FR"/>
        </w:rPr>
        <w:t xml:space="preserve">, la </w:t>
      </w:r>
      <w:r w:rsidRPr="00594A23">
        <w:t>« </w:t>
      </w:r>
      <w:r w:rsidRPr="00594A23">
        <w:rPr>
          <w:lang w:eastAsia="fr-FR" w:bidi="fr-FR"/>
        </w:rPr>
        <w:t>perversité</w:t>
      </w:r>
      <w:r w:rsidRPr="00594A23">
        <w:t> »</w:t>
      </w:r>
      <w:r w:rsidRPr="00594A23">
        <w:rPr>
          <w:lang w:eastAsia="fr-FR" w:bidi="fr-FR"/>
        </w:rPr>
        <w:t xml:space="preserve"> des civilisations étrangères et des institutions internationales contraires aux valeurs et aux intérêts américains</w:t>
      </w:r>
      <w:r>
        <w:rPr>
          <w:lang w:eastAsia="fr-FR" w:bidi="fr-FR"/>
        </w:rPr>
        <w:t> </w:t>
      </w:r>
      <w:r>
        <w:rPr>
          <w:rStyle w:val="Appelnotedebasdep"/>
          <w:lang w:eastAsia="fr-FR" w:bidi="fr-FR"/>
        </w:rPr>
        <w:footnoteReference w:id="176"/>
      </w:r>
      <w:r w:rsidRPr="00594A23">
        <w:rPr>
          <w:lang w:eastAsia="fr-FR" w:bidi="fr-FR"/>
        </w:rPr>
        <w:t>.</w:t>
      </w:r>
    </w:p>
    <w:p w14:paraId="27A20C8B" w14:textId="77777777" w:rsidR="0039793A" w:rsidRPr="00594A23" w:rsidRDefault="0039793A" w:rsidP="0039793A">
      <w:pPr>
        <w:spacing w:before="120" w:after="120"/>
        <w:jc w:val="both"/>
      </w:pPr>
      <w:r w:rsidRPr="00594A23">
        <w:rPr>
          <w:lang w:eastAsia="fr-FR" w:bidi="fr-FR"/>
        </w:rPr>
        <w:t xml:space="preserve">Les fondamentalistes chrétiens notamment, à l’instar des pèlerins du </w:t>
      </w:r>
      <w:r w:rsidRPr="00594A23">
        <w:t>Mayflower</w:t>
      </w:r>
      <w:r w:rsidRPr="00594A23">
        <w:rPr>
          <w:lang w:eastAsia="fr-FR" w:bidi="fr-FR"/>
        </w:rPr>
        <w:t>, sont imbus de leur supériorité morale et croient que seuls les États-Unis offrent un cadre acceptable à leur mor</w:t>
      </w:r>
      <w:r w:rsidRPr="00594A23">
        <w:rPr>
          <w:lang w:eastAsia="fr-FR" w:bidi="fr-FR"/>
        </w:rPr>
        <w:t>a</w:t>
      </w:r>
      <w:r w:rsidRPr="00594A23">
        <w:rPr>
          <w:lang w:eastAsia="fr-FR" w:bidi="fr-FR"/>
        </w:rPr>
        <w:t>lité. Ils vilipendent l’Organisation des Nations unies. Certains, comme le pa</w:t>
      </w:r>
      <w:r w:rsidRPr="00594A23">
        <w:rPr>
          <w:lang w:eastAsia="fr-FR" w:bidi="fr-FR"/>
        </w:rPr>
        <w:t>s</w:t>
      </w:r>
      <w:r w:rsidRPr="00594A23">
        <w:rPr>
          <w:lang w:eastAsia="fr-FR" w:bidi="fr-FR"/>
        </w:rPr>
        <w:t>teur Pat Robertson, en sont même venus à imaginer un grand complot onusien visant à étouffer le pays, à obérer sa souveraineté et à intr</w:t>
      </w:r>
      <w:r w:rsidRPr="00594A23">
        <w:rPr>
          <w:lang w:eastAsia="fr-FR" w:bidi="fr-FR"/>
        </w:rPr>
        <w:t>o</w:t>
      </w:r>
      <w:r w:rsidRPr="00594A23">
        <w:rPr>
          <w:lang w:eastAsia="fr-FR" w:bidi="fr-FR"/>
        </w:rPr>
        <w:t>duire aux États-Unis des polit</w:t>
      </w:r>
      <w:r w:rsidRPr="00594A23">
        <w:rPr>
          <w:lang w:eastAsia="fr-FR" w:bidi="fr-FR"/>
        </w:rPr>
        <w:t>i</w:t>
      </w:r>
      <w:r w:rsidRPr="00594A23">
        <w:rPr>
          <w:lang w:eastAsia="fr-FR" w:bidi="fr-FR"/>
        </w:rPr>
        <w:t>ques libérales permissives et délétères.</w:t>
      </w:r>
    </w:p>
    <w:p w14:paraId="0EC7F283" w14:textId="77777777" w:rsidR="0039793A" w:rsidRPr="00594A23" w:rsidRDefault="0039793A" w:rsidP="0039793A">
      <w:pPr>
        <w:spacing w:before="120" w:after="120"/>
        <w:jc w:val="both"/>
      </w:pPr>
      <w:r w:rsidRPr="00594A23">
        <w:rPr>
          <w:lang w:eastAsia="fr-FR" w:bidi="fr-FR"/>
        </w:rPr>
        <w:t>Parmi les isolationnistes d’extrême droite, ce</w:t>
      </w:r>
      <w:r w:rsidRPr="00594A23">
        <w:rPr>
          <w:lang w:eastAsia="fr-FR" w:bidi="fr-FR"/>
        </w:rPr>
        <w:t>r</w:t>
      </w:r>
      <w:r w:rsidRPr="00594A23">
        <w:rPr>
          <w:lang w:eastAsia="fr-FR" w:bidi="fr-FR"/>
        </w:rPr>
        <w:t>tains se sont illustrés par leur opposition acharnée à la libéralisation des échanges, instit</w:t>
      </w:r>
      <w:r w:rsidRPr="00594A23">
        <w:rPr>
          <w:lang w:eastAsia="fr-FR" w:bidi="fr-FR"/>
        </w:rPr>
        <w:t>u</w:t>
      </w:r>
      <w:r w:rsidRPr="00594A23">
        <w:rPr>
          <w:lang w:eastAsia="fr-FR" w:bidi="fr-FR"/>
        </w:rPr>
        <w:t xml:space="preserve">tionnalisée par des traités comme celui de l’Accord de libre-échange nord-américain </w:t>
      </w:r>
      <w:r w:rsidRPr="00F96C0E">
        <w:rPr>
          <w:smallCaps/>
        </w:rPr>
        <w:t>(</w:t>
      </w:r>
      <w:r w:rsidRPr="00F96C0E">
        <w:rPr>
          <w:caps/>
        </w:rPr>
        <w:t>alena</w:t>
      </w:r>
      <w:r w:rsidRPr="00F96C0E">
        <w:rPr>
          <w:smallCaps/>
        </w:rPr>
        <w:t xml:space="preserve">). </w:t>
      </w:r>
      <w:r w:rsidRPr="00594A23">
        <w:rPr>
          <w:lang w:eastAsia="fr-FR" w:bidi="fr-FR"/>
        </w:rPr>
        <w:t>Ainsi, Ross Perot, candidat à l’élection présidentielle de 1992, a pu jouir d’une certaine audience en déno</w:t>
      </w:r>
      <w:r w:rsidRPr="00594A23">
        <w:rPr>
          <w:lang w:eastAsia="fr-FR" w:bidi="fr-FR"/>
        </w:rPr>
        <w:t>n</w:t>
      </w:r>
      <w:r w:rsidRPr="00594A23">
        <w:rPr>
          <w:lang w:eastAsia="fr-FR" w:bidi="fr-FR"/>
        </w:rPr>
        <w:t>çant la croissance du commerce</w:t>
      </w:r>
      <w:r>
        <w:t xml:space="preserve"> [82] </w:t>
      </w:r>
      <w:r w:rsidRPr="00594A23">
        <w:rPr>
          <w:lang w:eastAsia="fr-FR" w:bidi="fr-FR"/>
        </w:rPr>
        <w:t>avec le Mexique</w:t>
      </w:r>
      <w:r>
        <w:rPr>
          <w:lang w:eastAsia="fr-FR" w:bidi="fr-FR"/>
        </w:rPr>
        <w:t> </w:t>
      </w:r>
      <w:r>
        <w:rPr>
          <w:rStyle w:val="Appelnotedebasdep"/>
          <w:lang w:eastAsia="fr-FR" w:bidi="fr-FR"/>
        </w:rPr>
        <w:footnoteReference w:id="177"/>
      </w:r>
      <w:r w:rsidRPr="00594A23">
        <w:rPr>
          <w:lang w:eastAsia="fr-FR" w:bidi="fr-FR"/>
        </w:rPr>
        <w:t xml:space="preserve"> et, plus g</w:t>
      </w:r>
      <w:r w:rsidRPr="00594A23">
        <w:rPr>
          <w:lang w:eastAsia="fr-FR" w:bidi="fr-FR"/>
        </w:rPr>
        <w:t>é</w:t>
      </w:r>
      <w:r w:rsidRPr="00594A23">
        <w:rPr>
          <w:lang w:eastAsia="fr-FR" w:bidi="fr-FR"/>
        </w:rPr>
        <w:t xml:space="preserve">néralement, la participation des </w:t>
      </w:r>
      <w:r>
        <w:rPr>
          <w:lang w:eastAsia="fr-FR" w:bidi="fr-FR"/>
        </w:rPr>
        <w:t>État</w:t>
      </w:r>
      <w:r w:rsidRPr="00594A23">
        <w:rPr>
          <w:lang w:eastAsia="fr-FR" w:bidi="fr-FR"/>
        </w:rPr>
        <w:t>s-Unis aux organisations intern</w:t>
      </w:r>
      <w:r w:rsidRPr="00594A23">
        <w:rPr>
          <w:lang w:eastAsia="fr-FR" w:bidi="fr-FR"/>
        </w:rPr>
        <w:t>a</w:t>
      </w:r>
      <w:r w:rsidRPr="00594A23">
        <w:rPr>
          <w:lang w:eastAsia="fr-FR" w:bidi="fr-FR"/>
        </w:rPr>
        <w:t xml:space="preserve">tionales. Pat Buchanan, lui aussi opposé au libre-échange et candidat du Parti de la réforme </w:t>
      </w:r>
      <w:r w:rsidRPr="00594A23">
        <w:t>(Reform Party)</w:t>
      </w:r>
      <w:r w:rsidRPr="00594A23">
        <w:rPr>
          <w:lang w:eastAsia="fr-FR" w:bidi="fr-FR"/>
        </w:rPr>
        <w:t xml:space="preserve"> à la présidence en 2000, prop</w:t>
      </w:r>
      <w:r w:rsidRPr="00594A23">
        <w:rPr>
          <w:lang w:eastAsia="fr-FR" w:bidi="fr-FR"/>
        </w:rPr>
        <w:t>o</w:t>
      </w:r>
      <w:r w:rsidRPr="00594A23">
        <w:rPr>
          <w:lang w:eastAsia="fr-FR" w:bidi="fr-FR"/>
        </w:rPr>
        <w:t>sait un repli sur les valeurs rép</w:t>
      </w:r>
      <w:r w:rsidRPr="00594A23">
        <w:rPr>
          <w:lang w:eastAsia="fr-FR" w:bidi="fr-FR"/>
        </w:rPr>
        <w:t>u</w:t>
      </w:r>
      <w:r w:rsidRPr="00594A23">
        <w:rPr>
          <w:lang w:eastAsia="fr-FR" w:bidi="fr-FR"/>
        </w:rPr>
        <w:t>blicaines propres à l’Amérique et le retour au pays des militaires américains st</w:t>
      </w:r>
      <w:r w:rsidRPr="00594A23">
        <w:rPr>
          <w:lang w:eastAsia="fr-FR" w:bidi="fr-FR"/>
        </w:rPr>
        <w:t>a</w:t>
      </w:r>
      <w:r w:rsidRPr="00594A23">
        <w:rPr>
          <w:lang w:eastAsia="fr-FR" w:bidi="fr-FR"/>
        </w:rPr>
        <w:t>tionnés ailleurs dans le monde</w:t>
      </w:r>
      <w:r>
        <w:rPr>
          <w:lang w:eastAsia="fr-FR" w:bidi="fr-FR"/>
        </w:rPr>
        <w:t> </w:t>
      </w:r>
      <w:r>
        <w:rPr>
          <w:rStyle w:val="Appelnotedebasdep"/>
          <w:lang w:eastAsia="fr-FR" w:bidi="fr-FR"/>
        </w:rPr>
        <w:footnoteReference w:id="178"/>
      </w:r>
      <w:r w:rsidRPr="00594A23">
        <w:rPr>
          <w:lang w:eastAsia="fr-FR" w:bidi="fr-FR"/>
        </w:rPr>
        <w:t>.</w:t>
      </w:r>
    </w:p>
    <w:p w14:paraId="27AF400B" w14:textId="77777777" w:rsidR="0039793A" w:rsidRPr="00594A23" w:rsidRDefault="0039793A" w:rsidP="0039793A">
      <w:pPr>
        <w:spacing w:before="120" w:after="120"/>
        <w:jc w:val="both"/>
      </w:pPr>
      <w:r w:rsidRPr="00594A23">
        <w:rPr>
          <w:lang w:eastAsia="fr-FR" w:bidi="fr-FR"/>
        </w:rPr>
        <w:t>On trouve également, parmi les isolationnistes, ceux pour lesquels la souveraineté des États-Unis doit être promue avec une telle vigueur qu’ils ôtent pratiquement tout son sens à la politique intern</w:t>
      </w:r>
      <w:r w:rsidRPr="00594A23">
        <w:rPr>
          <w:lang w:eastAsia="fr-FR" w:bidi="fr-FR"/>
        </w:rPr>
        <w:t>a</w:t>
      </w:r>
      <w:r w:rsidRPr="00594A23">
        <w:rPr>
          <w:lang w:eastAsia="fr-FR" w:bidi="fr-FR"/>
        </w:rPr>
        <w:t>tionale. Ainsi, le sénateur Jesse Helms, de Caroline du Nord, président de la commission sénatoriale des Relations étrangères durant six ans, ju</w:t>
      </w:r>
      <w:r w:rsidRPr="00594A23">
        <w:rPr>
          <w:lang w:eastAsia="fr-FR" w:bidi="fr-FR"/>
        </w:rPr>
        <w:t>s</w:t>
      </w:r>
      <w:r w:rsidRPr="00594A23">
        <w:rPr>
          <w:lang w:eastAsia="fr-FR" w:bidi="fr-FR"/>
        </w:rPr>
        <w:t xml:space="preserve">qu’en 2001, incarne particulièrement bien ce courant. À ce titre, il a bloqué pendant quelques années la contribution financière des États-Unis à </w:t>
      </w:r>
      <w:r w:rsidRPr="00594A23">
        <w:t xml:space="preserve">l’ONU </w:t>
      </w:r>
      <w:r w:rsidRPr="00594A23">
        <w:rPr>
          <w:lang w:eastAsia="fr-FR" w:bidi="fr-FR"/>
        </w:rPr>
        <w:t>qu’il considérait par trop bureaucratique et source de politiques funestes, comme l’encouragement à la limitation des nai</w:t>
      </w:r>
      <w:r w:rsidRPr="00594A23">
        <w:rPr>
          <w:lang w:eastAsia="fr-FR" w:bidi="fr-FR"/>
        </w:rPr>
        <w:t>s</w:t>
      </w:r>
      <w:r w:rsidRPr="00594A23">
        <w:rPr>
          <w:lang w:eastAsia="fr-FR" w:bidi="fr-FR"/>
        </w:rPr>
        <w:t>sances dans les pays en voie de développement. Ce courant caractérisé par son ethnocentrisme et sa méfiance systématique envers tout ce qui n’est pas américain est qualifié de so</w:t>
      </w:r>
      <w:r w:rsidRPr="00594A23">
        <w:rPr>
          <w:lang w:eastAsia="fr-FR" w:bidi="fr-FR"/>
        </w:rPr>
        <w:t>u</w:t>
      </w:r>
      <w:r w:rsidRPr="00594A23">
        <w:rPr>
          <w:lang w:eastAsia="fr-FR" w:bidi="fr-FR"/>
        </w:rPr>
        <w:t>verainiste</w:t>
      </w:r>
      <w:r>
        <w:rPr>
          <w:lang w:eastAsia="fr-FR" w:bidi="fr-FR"/>
        </w:rPr>
        <w:t> </w:t>
      </w:r>
      <w:r>
        <w:rPr>
          <w:rStyle w:val="Appelnotedebasdep"/>
          <w:lang w:eastAsia="fr-FR" w:bidi="fr-FR"/>
        </w:rPr>
        <w:footnoteReference w:id="179"/>
      </w:r>
      <w:r w:rsidRPr="00594A23">
        <w:rPr>
          <w:lang w:eastAsia="fr-FR" w:bidi="fr-FR"/>
        </w:rPr>
        <w:t>.</w:t>
      </w:r>
    </w:p>
    <w:p w14:paraId="09389F2C" w14:textId="77777777" w:rsidR="0039793A" w:rsidRPr="00594A23" w:rsidRDefault="0039793A" w:rsidP="0039793A">
      <w:pPr>
        <w:spacing w:before="120" w:after="120"/>
        <w:jc w:val="both"/>
      </w:pPr>
      <w:r w:rsidRPr="00594A23">
        <w:rPr>
          <w:lang w:eastAsia="fr-FR" w:bidi="fr-FR"/>
        </w:rPr>
        <w:t>Les unilatéralistes s’apparentent aux isolatio</w:t>
      </w:r>
      <w:r w:rsidRPr="00594A23">
        <w:rPr>
          <w:lang w:eastAsia="fr-FR" w:bidi="fr-FR"/>
        </w:rPr>
        <w:t>n</w:t>
      </w:r>
      <w:r w:rsidRPr="00594A23">
        <w:rPr>
          <w:lang w:eastAsia="fr-FR" w:bidi="fr-FR"/>
        </w:rPr>
        <w:t>nistes (bien qu’ils ne le soient pas vraiment) dans la mesure où ils rejettent presque syst</w:t>
      </w:r>
      <w:r w:rsidRPr="00594A23">
        <w:rPr>
          <w:lang w:eastAsia="fr-FR" w:bidi="fr-FR"/>
        </w:rPr>
        <w:t>é</w:t>
      </w:r>
      <w:r w:rsidRPr="00594A23">
        <w:rPr>
          <w:lang w:eastAsia="fr-FR" w:bidi="fr-FR"/>
        </w:rPr>
        <w:t>matiqu</w:t>
      </w:r>
      <w:r w:rsidRPr="00594A23">
        <w:rPr>
          <w:lang w:eastAsia="fr-FR" w:bidi="fr-FR"/>
        </w:rPr>
        <w:t>e</w:t>
      </w:r>
      <w:r w:rsidRPr="00594A23">
        <w:rPr>
          <w:lang w:eastAsia="fr-FR" w:bidi="fr-FR"/>
        </w:rPr>
        <w:t>ment toute coopération internationale</w:t>
      </w:r>
      <w:r>
        <w:rPr>
          <w:lang w:eastAsia="fr-FR" w:bidi="fr-FR"/>
        </w:rPr>
        <w:t> </w:t>
      </w:r>
      <w:r>
        <w:rPr>
          <w:rStyle w:val="Appelnotedebasdep"/>
          <w:lang w:eastAsia="fr-FR" w:bidi="fr-FR"/>
        </w:rPr>
        <w:footnoteReference w:id="180"/>
      </w:r>
      <w:r w:rsidRPr="00594A23">
        <w:rPr>
          <w:lang w:eastAsia="fr-FR" w:bidi="fr-FR"/>
        </w:rPr>
        <w:t>. Ils sont favorables cependant à des dépenses militaires él</w:t>
      </w:r>
      <w:r w:rsidRPr="00594A23">
        <w:rPr>
          <w:lang w:eastAsia="fr-FR" w:bidi="fr-FR"/>
        </w:rPr>
        <w:t>e</w:t>
      </w:r>
      <w:r w:rsidRPr="00594A23">
        <w:rPr>
          <w:lang w:eastAsia="fr-FR" w:bidi="fr-FR"/>
        </w:rPr>
        <w:t>vées. Ils</w:t>
      </w:r>
      <w:r>
        <w:rPr>
          <w:lang w:eastAsia="fr-FR" w:bidi="fr-FR"/>
        </w:rPr>
        <w:t xml:space="preserve"> </w:t>
      </w:r>
      <w:r>
        <w:t xml:space="preserve">[83] </w:t>
      </w:r>
      <w:r w:rsidRPr="00594A23">
        <w:rPr>
          <w:lang w:eastAsia="fr-FR" w:bidi="fr-FR"/>
        </w:rPr>
        <w:t>croient en effet à la nécessité d’intervenir, si nécessaire, pour man</w:t>
      </w:r>
      <w:r w:rsidRPr="00594A23">
        <w:rPr>
          <w:lang w:eastAsia="fr-FR" w:bidi="fr-FR"/>
        </w:rPr>
        <w:t>i</w:t>
      </w:r>
      <w:r w:rsidRPr="00594A23">
        <w:rPr>
          <w:lang w:eastAsia="fr-FR" w:bidi="fr-FR"/>
        </w:rPr>
        <w:t>fester la puissance des États-Unis et, le cas échéant, venger des a</w:t>
      </w:r>
      <w:r w:rsidRPr="00594A23">
        <w:rPr>
          <w:lang w:eastAsia="fr-FR" w:bidi="fr-FR"/>
        </w:rPr>
        <w:t>f</w:t>
      </w:r>
      <w:r w:rsidRPr="00594A23">
        <w:rPr>
          <w:lang w:eastAsia="fr-FR" w:bidi="fr-FR"/>
        </w:rPr>
        <w:t>fronts. Par contre, ils refusent la participation de leur pays à quelque ordre international. En ce sens, ils s’apparentent à ceux que Walter Russell Mead appelle les jacksoniens. Ils n’hésiteront pas à se lancer dans une guerre tous az</w:t>
      </w:r>
      <w:r w:rsidRPr="00594A23">
        <w:rPr>
          <w:lang w:eastAsia="fr-FR" w:bidi="fr-FR"/>
        </w:rPr>
        <w:t>i</w:t>
      </w:r>
      <w:r w:rsidRPr="00594A23">
        <w:rPr>
          <w:lang w:eastAsia="fr-FR" w:bidi="fr-FR"/>
        </w:rPr>
        <w:t>muts quand cela leur apparaîtra justifié et ils n’hésiteront pas davant</w:t>
      </w:r>
      <w:r w:rsidRPr="00594A23">
        <w:rPr>
          <w:lang w:eastAsia="fr-FR" w:bidi="fr-FR"/>
        </w:rPr>
        <w:t>a</w:t>
      </w:r>
      <w:r w:rsidRPr="00594A23">
        <w:rPr>
          <w:lang w:eastAsia="fr-FR" w:bidi="fr-FR"/>
        </w:rPr>
        <w:t>ge à provoquer un repli rapide et massif une fois la victoire assurée et les torts redressés.</w:t>
      </w:r>
    </w:p>
    <w:p w14:paraId="5C3EFECC" w14:textId="77777777" w:rsidR="0039793A" w:rsidRDefault="0039793A" w:rsidP="0039793A">
      <w:pPr>
        <w:spacing w:before="120" w:after="120"/>
        <w:jc w:val="both"/>
        <w:rPr>
          <w:lang w:eastAsia="fr-FR" w:bidi="fr-FR"/>
        </w:rPr>
      </w:pPr>
    </w:p>
    <w:p w14:paraId="77C1D191" w14:textId="77777777" w:rsidR="0039793A" w:rsidRPr="00255697" w:rsidRDefault="0039793A" w:rsidP="0039793A">
      <w:pPr>
        <w:pStyle w:val="b"/>
      </w:pPr>
      <w:r w:rsidRPr="00255697">
        <w:rPr>
          <w:lang w:eastAsia="fr-FR" w:bidi="fr-FR"/>
        </w:rPr>
        <w:t>Les isolationnistes libéraux</w:t>
      </w:r>
    </w:p>
    <w:p w14:paraId="6191925F" w14:textId="77777777" w:rsidR="0039793A" w:rsidRDefault="0039793A" w:rsidP="0039793A">
      <w:pPr>
        <w:spacing w:before="120" w:after="120"/>
        <w:jc w:val="both"/>
        <w:rPr>
          <w:lang w:eastAsia="fr-FR" w:bidi="fr-FR"/>
        </w:rPr>
      </w:pPr>
    </w:p>
    <w:p w14:paraId="28A93987" w14:textId="77777777" w:rsidR="0039793A" w:rsidRPr="00594A23" w:rsidRDefault="0039793A" w:rsidP="0039793A">
      <w:pPr>
        <w:spacing w:before="120" w:after="120"/>
        <w:jc w:val="both"/>
      </w:pPr>
      <w:r w:rsidRPr="00594A23">
        <w:rPr>
          <w:lang w:eastAsia="fr-FR" w:bidi="fr-FR"/>
        </w:rPr>
        <w:t>On peut identifier une école isolationniste lib</w:t>
      </w:r>
      <w:r w:rsidRPr="00594A23">
        <w:rPr>
          <w:lang w:eastAsia="fr-FR" w:bidi="fr-FR"/>
        </w:rPr>
        <w:t>é</w:t>
      </w:r>
      <w:r w:rsidRPr="00594A23">
        <w:rPr>
          <w:lang w:eastAsia="fr-FR" w:bidi="fr-FR"/>
        </w:rPr>
        <w:t>rale. À tout le moins, certaines positions de la ga</w:t>
      </w:r>
      <w:r w:rsidRPr="00594A23">
        <w:rPr>
          <w:lang w:eastAsia="fr-FR" w:bidi="fr-FR"/>
        </w:rPr>
        <w:t>u</w:t>
      </w:r>
      <w:r w:rsidRPr="00594A23">
        <w:rPr>
          <w:lang w:eastAsia="fr-FR" w:bidi="fr-FR"/>
        </w:rPr>
        <w:t>che américaine paraissent bien conduire à une pol</w:t>
      </w:r>
      <w:r w:rsidRPr="00594A23">
        <w:rPr>
          <w:lang w:eastAsia="fr-FR" w:bidi="fr-FR"/>
        </w:rPr>
        <w:t>i</w:t>
      </w:r>
      <w:r w:rsidRPr="00594A23">
        <w:rPr>
          <w:lang w:eastAsia="fr-FR" w:bidi="fr-FR"/>
        </w:rPr>
        <w:t>tique étrangère minimaliste.</w:t>
      </w:r>
    </w:p>
    <w:p w14:paraId="7F10C2E9" w14:textId="77777777" w:rsidR="0039793A" w:rsidRPr="00594A23" w:rsidRDefault="0039793A" w:rsidP="0039793A">
      <w:pPr>
        <w:spacing w:before="120" w:after="120"/>
        <w:jc w:val="both"/>
      </w:pPr>
      <w:r w:rsidRPr="00594A23">
        <w:rPr>
          <w:lang w:eastAsia="fr-FR" w:bidi="fr-FR"/>
        </w:rPr>
        <w:t xml:space="preserve">Ainsi le courant populiste animé par William Jennings Bryan, au tournant du </w:t>
      </w:r>
      <w:r w:rsidRPr="00594A23">
        <w:t>XIX</w:t>
      </w:r>
      <w:r w:rsidRPr="00594A23">
        <w:rPr>
          <w:vertAlign w:val="superscript"/>
        </w:rPr>
        <w:t>e</w:t>
      </w:r>
      <w:r w:rsidRPr="00594A23">
        <w:t xml:space="preserve"> </w:t>
      </w:r>
      <w:r w:rsidRPr="00594A23">
        <w:rPr>
          <w:lang w:eastAsia="fr-FR" w:bidi="fr-FR"/>
        </w:rPr>
        <w:t>siècle</w:t>
      </w:r>
      <w:r>
        <w:rPr>
          <w:lang w:eastAsia="fr-FR" w:bidi="fr-FR"/>
        </w:rPr>
        <w:t> </w:t>
      </w:r>
      <w:r>
        <w:rPr>
          <w:rStyle w:val="Appelnotedebasdep"/>
          <w:lang w:eastAsia="fr-FR" w:bidi="fr-FR"/>
        </w:rPr>
        <w:footnoteReference w:id="181"/>
      </w:r>
      <w:r>
        <w:rPr>
          <w:lang w:eastAsia="fr-FR" w:bidi="fr-FR"/>
        </w:rPr>
        <w:t>,</w:t>
      </w:r>
      <w:r w:rsidRPr="00594A23">
        <w:rPr>
          <w:lang w:eastAsia="fr-FR" w:bidi="fr-FR"/>
        </w:rPr>
        <w:t xml:space="preserve"> s’opposait fortement, au nom des valeurs de la démocratie et de préoccupations sociales, aux politiques impéri</w:t>
      </w:r>
      <w:r w:rsidRPr="00594A23">
        <w:rPr>
          <w:lang w:eastAsia="fr-FR" w:bidi="fr-FR"/>
        </w:rPr>
        <w:t>a</w:t>
      </w:r>
      <w:r w:rsidRPr="00594A23">
        <w:rPr>
          <w:lang w:eastAsia="fr-FR" w:bidi="fr-FR"/>
        </w:rPr>
        <w:t>listes de William McKinley, Thé</w:t>
      </w:r>
      <w:r w:rsidRPr="00594A23">
        <w:rPr>
          <w:lang w:eastAsia="fr-FR" w:bidi="fr-FR"/>
        </w:rPr>
        <w:t>o</w:t>
      </w:r>
      <w:r w:rsidRPr="00594A23">
        <w:rPr>
          <w:lang w:eastAsia="fr-FR" w:bidi="fr-FR"/>
        </w:rPr>
        <w:t>dore Roosevelt et Howard Taft.</w:t>
      </w:r>
    </w:p>
    <w:p w14:paraId="411260CD" w14:textId="77777777" w:rsidR="0039793A" w:rsidRPr="00594A23" w:rsidRDefault="0039793A" w:rsidP="0039793A">
      <w:pPr>
        <w:spacing w:before="120" w:after="120"/>
        <w:jc w:val="both"/>
      </w:pPr>
      <w:r w:rsidRPr="00594A23">
        <w:rPr>
          <w:lang w:eastAsia="fr-FR" w:bidi="fr-FR"/>
        </w:rPr>
        <w:t xml:space="preserve">L’école historique de la gauche dite </w:t>
      </w:r>
      <w:r w:rsidRPr="00594A23">
        <w:t>« </w:t>
      </w:r>
      <w:r w:rsidRPr="00594A23">
        <w:rPr>
          <w:lang w:eastAsia="fr-FR" w:bidi="fr-FR"/>
        </w:rPr>
        <w:t>révisionniste</w:t>
      </w:r>
      <w:r w:rsidRPr="00594A23">
        <w:t> »</w:t>
      </w:r>
      <w:r w:rsidRPr="00594A23">
        <w:rPr>
          <w:lang w:eastAsia="fr-FR" w:bidi="fr-FR"/>
        </w:rPr>
        <w:t xml:space="preserve"> de William Appleman Williams propose également un certain retrait, se refusant à la mise en place de toute politique de puissance ou même de leader</w:t>
      </w:r>
      <w:r w:rsidRPr="00594A23">
        <w:rPr>
          <w:lang w:eastAsia="fr-FR" w:bidi="fr-FR"/>
        </w:rPr>
        <w:t>s</w:t>
      </w:r>
      <w:r w:rsidRPr="00594A23">
        <w:rPr>
          <w:lang w:eastAsia="fr-FR" w:bidi="fr-FR"/>
        </w:rPr>
        <w:t>hip</w:t>
      </w:r>
      <w:r>
        <w:rPr>
          <w:lang w:eastAsia="fr-FR" w:bidi="fr-FR"/>
        </w:rPr>
        <w:t> </w:t>
      </w:r>
      <w:r>
        <w:rPr>
          <w:rStyle w:val="Appelnotedebasdep"/>
          <w:lang w:eastAsia="fr-FR" w:bidi="fr-FR"/>
        </w:rPr>
        <w:footnoteReference w:id="182"/>
      </w:r>
      <w:r w:rsidRPr="00594A23">
        <w:rPr>
          <w:lang w:eastAsia="fr-FR" w:bidi="fr-FR"/>
        </w:rPr>
        <w:t>. Pour Williams, les États-Unis ont bâti leur prospérité sur ce qu’ils ont enlevé aux autres. Il est possible, selon cette école de pe</w:t>
      </w:r>
      <w:r w:rsidRPr="00594A23">
        <w:rPr>
          <w:lang w:eastAsia="fr-FR" w:bidi="fr-FR"/>
        </w:rPr>
        <w:t>n</w:t>
      </w:r>
      <w:r w:rsidRPr="00594A23">
        <w:rPr>
          <w:lang w:eastAsia="fr-FR" w:bidi="fr-FR"/>
        </w:rPr>
        <w:t>sée, de concevoir un pays juste, démocratique et riche dans le respect le plus total des autres so</w:t>
      </w:r>
      <w:r w:rsidRPr="00594A23">
        <w:rPr>
          <w:lang w:eastAsia="fr-FR" w:bidi="fr-FR"/>
        </w:rPr>
        <w:t>u</w:t>
      </w:r>
      <w:r w:rsidRPr="00594A23">
        <w:rPr>
          <w:lang w:eastAsia="fr-FR" w:bidi="fr-FR"/>
        </w:rPr>
        <w:t>verainetés. À l’image des pays Scandinaves qui consacrent les pourcentages les plus élevés de leur produit int</w:t>
      </w:r>
      <w:r w:rsidRPr="00594A23">
        <w:rPr>
          <w:lang w:eastAsia="fr-FR" w:bidi="fr-FR"/>
        </w:rPr>
        <w:t>é</w:t>
      </w:r>
      <w:r w:rsidRPr="00594A23">
        <w:rPr>
          <w:lang w:eastAsia="fr-FR" w:bidi="fr-FR"/>
        </w:rPr>
        <w:t>rieur brut à l’aide publique au développement, les États-Unis pou</w:t>
      </w:r>
      <w:r w:rsidRPr="00594A23">
        <w:rPr>
          <w:lang w:eastAsia="fr-FR" w:bidi="fr-FR"/>
        </w:rPr>
        <w:t>r</w:t>
      </w:r>
      <w:r w:rsidRPr="00594A23">
        <w:rPr>
          <w:lang w:eastAsia="fr-FR" w:bidi="fr-FR"/>
        </w:rPr>
        <w:t>raient limiter leur i</w:t>
      </w:r>
      <w:r w:rsidRPr="00594A23">
        <w:rPr>
          <w:lang w:eastAsia="fr-FR" w:bidi="fr-FR"/>
        </w:rPr>
        <w:t>n</w:t>
      </w:r>
      <w:r w:rsidRPr="00594A23">
        <w:rPr>
          <w:lang w:eastAsia="fr-FR" w:bidi="fr-FR"/>
        </w:rPr>
        <w:t>terventionnisme à la coopération internationale.</w:t>
      </w:r>
    </w:p>
    <w:p w14:paraId="7918718F" w14:textId="77777777" w:rsidR="0039793A" w:rsidRPr="00594A23" w:rsidRDefault="0039793A" w:rsidP="0039793A">
      <w:pPr>
        <w:spacing w:before="120" w:after="120"/>
        <w:jc w:val="both"/>
      </w:pPr>
      <w:r w:rsidRPr="00594A23">
        <w:rPr>
          <w:lang w:eastAsia="fr-FR" w:bidi="fr-FR"/>
        </w:rPr>
        <w:t>Un autre courant de gauche est engagé dans la lutte contre la mo</w:t>
      </w:r>
      <w:r w:rsidRPr="00594A23">
        <w:rPr>
          <w:lang w:eastAsia="fr-FR" w:bidi="fr-FR"/>
        </w:rPr>
        <w:t>n</w:t>
      </w:r>
      <w:r w:rsidRPr="00594A23">
        <w:rPr>
          <w:lang w:eastAsia="fr-FR" w:bidi="fr-FR"/>
        </w:rPr>
        <w:t xml:space="preserve">dialisation, </w:t>
      </w:r>
      <w:r>
        <w:rPr>
          <w:lang w:eastAsia="fr-FR" w:bidi="fr-FR"/>
        </w:rPr>
        <w:t>les traités de libre-échange et</w:t>
      </w:r>
      <w:r w:rsidRPr="00594A23">
        <w:rPr>
          <w:lang w:eastAsia="fr-FR" w:bidi="fr-FR"/>
        </w:rPr>
        <w:t xml:space="preserve"> une politique</w:t>
      </w:r>
      <w:r>
        <w:t xml:space="preserve"> [84] </w:t>
      </w:r>
      <w:r w:rsidRPr="00594A23">
        <w:rPr>
          <w:lang w:eastAsia="fr-FR" w:bidi="fr-FR"/>
        </w:rPr>
        <w:t>américa</w:t>
      </w:r>
      <w:r w:rsidRPr="00594A23">
        <w:rPr>
          <w:lang w:eastAsia="fr-FR" w:bidi="fr-FR"/>
        </w:rPr>
        <w:t>i</w:t>
      </w:r>
      <w:r w:rsidRPr="00594A23">
        <w:rPr>
          <w:lang w:eastAsia="fr-FR" w:bidi="fr-FR"/>
        </w:rPr>
        <w:t>ne jugée trop impérialiste. Pour Ronald Steel</w:t>
      </w:r>
      <w:r>
        <w:rPr>
          <w:lang w:eastAsia="fr-FR" w:bidi="fr-FR"/>
        </w:rPr>
        <w:t> </w:t>
      </w:r>
      <w:r>
        <w:rPr>
          <w:rStyle w:val="Appelnotedebasdep"/>
          <w:lang w:eastAsia="fr-FR" w:bidi="fr-FR"/>
        </w:rPr>
        <w:footnoteReference w:id="183"/>
      </w:r>
      <w:r>
        <w:rPr>
          <w:lang w:eastAsia="fr-FR" w:bidi="fr-FR"/>
        </w:rPr>
        <w:t>,</w:t>
      </w:r>
      <w:r w:rsidRPr="00594A23">
        <w:rPr>
          <w:lang w:eastAsia="fr-FR" w:bidi="fr-FR"/>
        </w:rPr>
        <w:t xml:space="preserve"> par exemple, Wa</w:t>
      </w:r>
      <w:r w:rsidRPr="00594A23">
        <w:rPr>
          <w:lang w:eastAsia="fr-FR" w:bidi="fr-FR"/>
        </w:rPr>
        <w:t>s</w:t>
      </w:r>
      <w:r w:rsidRPr="00594A23">
        <w:rPr>
          <w:lang w:eastAsia="fr-FR" w:bidi="fr-FR"/>
        </w:rPr>
        <w:t>hington devrait consacrer le meilleur de son énergie à la r</w:t>
      </w:r>
      <w:r w:rsidRPr="00594A23">
        <w:rPr>
          <w:lang w:eastAsia="fr-FR" w:bidi="fr-FR"/>
        </w:rPr>
        <w:t>e</w:t>
      </w:r>
      <w:r w:rsidRPr="00594A23">
        <w:rPr>
          <w:lang w:eastAsia="fr-FR" w:bidi="fr-FR"/>
        </w:rPr>
        <w:t>distribution de la richesse à l’intérieur du pays et à la promotion de programmes sociaux plutôt qu’au maintien de co</w:t>
      </w:r>
      <w:r w:rsidRPr="00594A23">
        <w:rPr>
          <w:lang w:eastAsia="fr-FR" w:bidi="fr-FR"/>
        </w:rPr>
        <w:t>û</w:t>
      </w:r>
      <w:r w:rsidRPr="00594A23">
        <w:rPr>
          <w:lang w:eastAsia="fr-FR" w:bidi="fr-FR"/>
        </w:rPr>
        <w:t>teux programmes de défense. Ralph Nader, candidat du Parti Vert à l’élection présidentie</w:t>
      </w:r>
      <w:r w:rsidRPr="00594A23">
        <w:rPr>
          <w:lang w:eastAsia="fr-FR" w:bidi="fr-FR"/>
        </w:rPr>
        <w:t>l</w:t>
      </w:r>
      <w:r w:rsidRPr="00594A23">
        <w:rPr>
          <w:lang w:eastAsia="fr-FR" w:bidi="fr-FR"/>
        </w:rPr>
        <w:t>le de 2000 et défenseur des droits des consommateurs</w:t>
      </w:r>
      <w:r>
        <w:rPr>
          <w:lang w:eastAsia="fr-FR" w:bidi="fr-FR"/>
        </w:rPr>
        <w:t> </w:t>
      </w:r>
      <w:r>
        <w:rPr>
          <w:rStyle w:val="Appelnotedebasdep"/>
          <w:lang w:eastAsia="fr-FR" w:bidi="fr-FR"/>
        </w:rPr>
        <w:footnoteReference w:id="184"/>
      </w:r>
      <w:r w:rsidRPr="00594A23">
        <w:rPr>
          <w:lang w:eastAsia="fr-FR" w:bidi="fr-FR"/>
        </w:rPr>
        <w:t xml:space="preserve">, condamne la plupart des </w:t>
      </w:r>
      <w:r w:rsidRPr="00594A23">
        <w:t>« </w:t>
      </w:r>
      <w:r w:rsidRPr="00594A23">
        <w:rPr>
          <w:lang w:eastAsia="fr-FR" w:bidi="fr-FR"/>
        </w:rPr>
        <w:t>aventures</w:t>
      </w:r>
      <w:r w:rsidRPr="00594A23">
        <w:t> »</w:t>
      </w:r>
      <w:r w:rsidRPr="00594A23">
        <w:rPr>
          <w:lang w:eastAsia="fr-FR" w:bidi="fr-FR"/>
        </w:rPr>
        <w:t xml:space="preserve"> internati</w:t>
      </w:r>
      <w:r w:rsidRPr="00594A23">
        <w:rPr>
          <w:lang w:eastAsia="fr-FR" w:bidi="fr-FR"/>
        </w:rPr>
        <w:t>o</w:t>
      </w:r>
      <w:r w:rsidRPr="00594A23">
        <w:rPr>
          <w:lang w:eastAsia="fr-FR" w:bidi="fr-FR"/>
        </w:rPr>
        <w:t>nales des États-Unis pour prôner la mise en œuvre de politiques de lutte contre les injustices sociales i</w:t>
      </w:r>
      <w:r w:rsidRPr="00594A23">
        <w:rPr>
          <w:lang w:eastAsia="fr-FR" w:bidi="fr-FR"/>
        </w:rPr>
        <w:t>n</w:t>
      </w:r>
      <w:r w:rsidRPr="00594A23">
        <w:rPr>
          <w:lang w:eastAsia="fr-FR" w:bidi="fr-FR"/>
        </w:rPr>
        <w:t>ternes.</w:t>
      </w:r>
    </w:p>
    <w:p w14:paraId="39C97A07" w14:textId="77777777" w:rsidR="0039793A" w:rsidRPr="00594A23" w:rsidRDefault="0039793A" w:rsidP="0039793A">
      <w:pPr>
        <w:spacing w:before="120" w:after="120"/>
        <w:jc w:val="both"/>
      </w:pPr>
      <w:r w:rsidRPr="00594A23">
        <w:rPr>
          <w:lang w:eastAsia="fr-FR" w:bidi="fr-FR"/>
        </w:rPr>
        <w:t>Ces libéraux rejetteront sans doute l’appellation d’isolationnistes pour n’être associés en aucune façon à l’extrême droite. Leurs prises de position n’en traduisent pas moins explicitement la reche</w:t>
      </w:r>
      <w:r w:rsidRPr="00594A23">
        <w:rPr>
          <w:lang w:eastAsia="fr-FR" w:bidi="fr-FR"/>
        </w:rPr>
        <w:t>r</w:t>
      </w:r>
      <w:r w:rsidRPr="00594A23">
        <w:rPr>
          <w:lang w:eastAsia="fr-FR" w:bidi="fr-FR"/>
        </w:rPr>
        <w:t>che d’une politique étrangère limitée.</w:t>
      </w:r>
    </w:p>
    <w:p w14:paraId="015B3AC9" w14:textId="77777777" w:rsidR="0039793A" w:rsidRDefault="0039793A" w:rsidP="0039793A">
      <w:pPr>
        <w:spacing w:before="120" w:after="120"/>
        <w:jc w:val="both"/>
        <w:rPr>
          <w:lang w:eastAsia="fr-FR" w:bidi="fr-FR"/>
        </w:rPr>
      </w:pPr>
      <w:r>
        <w:rPr>
          <w:lang w:eastAsia="fr-FR" w:bidi="fr-FR"/>
        </w:rPr>
        <w:br w:type="page"/>
      </w:r>
    </w:p>
    <w:p w14:paraId="23EAD523" w14:textId="77777777" w:rsidR="0039793A" w:rsidRPr="00594A23" w:rsidRDefault="0039793A" w:rsidP="0039793A">
      <w:pPr>
        <w:pStyle w:val="a"/>
      </w:pPr>
      <w:r w:rsidRPr="00594A23">
        <w:t>L’idéalisme</w:t>
      </w:r>
    </w:p>
    <w:p w14:paraId="02FF6853" w14:textId="77777777" w:rsidR="0039793A" w:rsidRDefault="0039793A" w:rsidP="0039793A">
      <w:pPr>
        <w:spacing w:before="120" w:after="120"/>
        <w:jc w:val="both"/>
        <w:rPr>
          <w:lang w:eastAsia="fr-FR" w:bidi="fr-FR"/>
        </w:rPr>
      </w:pPr>
    </w:p>
    <w:p w14:paraId="1B51F782" w14:textId="77777777" w:rsidR="0039793A" w:rsidRPr="00594A23" w:rsidRDefault="0039793A" w:rsidP="0039793A">
      <w:pPr>
        <w:spacing w:before="120" w:after="120"/>
        <w:jc w:val="both"/>
      </w:pPr>
      <w:r w:rsidRPr="00594A23">
        <w:rPr>
          <w:lang w:eastAsia="fr-FR" w:bidi="fr-FR"/>
        </w:rPr>
        <w:t>À l’inverse du courant isolationniste, devenu très minoritaire et ne se manifestant qu’au sein de groupes radicaux, l’idéalisme américain perdure. Il est omniprésent dans le discours, si ce n’est dans les inte</w:t>
      </w:r>
      <w:r w:rsidRPr="00594A23">
        <w:rPr>
          <w:lang w:eastAsia="fr-FR" w:bidi="fr-FR"/>
        </w:rPr>
        <w:t>n</w:t>
      </w:r>
      <w:r w:rsidRPr="00594A23">
        <w:rPr>
          <w:lang w:eastAsia="fr-FR" w:bidi="fr-FR"/>
        </w:rPr>
        <w:t>tions</w:t>
      </w:r>
      <w:r w:rsidRPr="00594A23">
        <w:t> :</w:t>
      </w:r>
      <w:r w:rsidRPr="00594A23">
        <w:rPr>
          <w:lang w:eastAsia="fr-FR" w:bidi="fr-FR"/>
        </w:rPr>
        <w:t xml:space="preserve"> il semble que cette approche de p</w:t>
      </w:r>
      <w:r w:rsidRPr="00594A23">
        <w:rPr>
          <w:lang w:eastAsia="fr-FR" w:bidi="fr-FR"/>
        </w:rPr>
        <w:t>o</w:t>
      </w:r>
      <w:r w:rsidRPr="00594A23">
        <w:rPr>
          <w:lang w:eastAsia="fr-FR" w:bidi="fr-FR"/>
        </w:rPr>
        <w:t>litique étrangère, qui s’apparente à l’exceptionnalisme, appartienne irrémédiablement à l’univers mental des décideurs américains. L’exceptionnalisme moral engendre presque inévitablement un sens de la mission, un désir de façonner le monde à l’image des États-Unis. Ici encore, il faut disti</w:t>
      </w:r>
      <w:r w:rsidRPr="00594A23">
        <w:rPr>
          <w:lang w:eastAsia="fr-FR" w:bidi="fr-FR"/>
        </w:rPr>
        <w:t>n</w:t>
      </w:r>
      <w:r w:rsidRPr="00594A23">
        <w:rPr>
          <w:lang w:eastAsia="fr-FR" w:bidi="fr-FR"/>
        </w:rPr>
        <w:t>guer deux types d’idéalisme, celui des libéraux et celui des conserv</w:t>
      </w:r>
      <w:r w:rsidRPr="00594A23">
        <w:rPr>
          <w:lang w:eastAsia="fr-FR" w:bidi="fr-FR"/>
        </w:rPr>
        <w:t>a</w:t>
      </w:r>
      <w:r w:rsidRPr="00594A23">
        <w:rPr>
          <w:lang w:eastAsia="fr-FR" w:bidi="fr-FR"/>
        </w:rPr>
        <w:t>teurs.</w:t>
      </w:r>
    </w:p>
    <w:p w14:paraId="3290ECAA" w14:textId="77777777" w:rsidR="0039793A" w:rsidRDefault="0039793A" w:rsidP="0039793A">
      <w:pPr>
        <w:spacing w:before="120" w:after="120"/>
        <w:jc w:val="both"/>
        <w:rPr>
          <w:lang w:eastAsia="fr-FR" w:bidi="fr-FR"/>
        </w:rPr>
      </w:pPr>
    </w:p>
    <w:p w14:paraId="7CD411F4" w14:textId="77777777" w:rsidR="0039793A" w:rsidRPr="00381DEA" w:rsidRDefault="0039793A" w:rsidP="0039793A">
      <w:pPr>
        <w:pStyle w:val="b"/>
      </w:pPr>
      <w:r w:rsidRPr="00381DEA">
        <w:rPr>
          <w:lang w:eastAsia="fr-FR" w:bidi="fr-FR"/>
        </w:rPr>
        <w:t>Les idéalistes libéraux</w:t>
      </w:r>
    </w:p>
    <w:p w14:paraId="6EC1BE2D" w14:textId="77777777" w:rsidR="0039793A" w:rsidRDefault="0039793A" w:rsidP="0039793A">
      <w:pPr>
        <w:spacing w:before="120" w:after="120"/>
        <w:jc w:val="both"/>
        <w:rPr>
          <w:lang w:eastAsia="fr-FR" w:bidi="fr-FR"/>
        </w:rPr>
      </w:pPr>
    </w:p>
    <w:p w14:paraId="19A9C899" w14:textId="77777777" w:rsidR="0039793A" w:rsidRPr="00594A23" w:rsidRDefault="0039793A" w:rsidP="0039793A">
      <w:pPr>
        <w:spacing w:before="120" w:after="120"/>
        <w:jc w:val="both"/>
      </w:pPr>
      <w:r w:rsidRPr="00594A23">
        <w:rPr>
          <w:lang w:eastAsia="fr-FR" w:bidi="fr-FR"/>
        </w:rPr>
        <w:t>L’idéalisme libéral existe sans doute dès les origines du pays, mais il est le mieux personnifié — et promu - par Woodrow Wilson tandis qu’il trouve son fondement philosophique dans la pe</w:t>
      </w:r>
      <w:r w:rsidRPr="00594A23">
        <w:rPr>
          <w:lang w:eastAsia="fr-FR" w:bidi="fr-FR"/>
        </w:rPr>
        <w:t>n</w:t>
      </w:r>
      <w:r w:rsidRPr="00594A23">
        <w:rPr>
          <w:lang w:eastAsia="fr-FR" w:bidi="fr-FR"/>
        </w:rPr>
        <w:t>sée d’Emmanuel Kant. Il vise essentiellement à rendre le système international plus harmo</w:t>
      </w:r>
      <w:r>
        <w:rPr>
          <w:lang w:eastAsia="fr-FR" w:bidi="fr-FR"/>
        </w:rPr>
        <w:t>nieux, moins propice aux affron</w:t>
      </w:r>
      <w:r w:rsidRPr="00594A23">
        <w:rPr>
          <w:lang w:eastAsia="fr-FR" w:bidi="fr-FR"/>
        </w:rPr>
        <w:t>tements.</w:t>
      </w:r>
      <w:r>
        <w:t xml:space="preserve"> [85]</w:t>
      </w:r>
      <w:r w:rsidRPr="00594A23">
        <w:rPr>
          <w:lang w:eastAsia="fr-FR" w:bidi="fr-FR"/>
        </w:rPr>
        <w:t xml:space="preserve"> Les idéalistes l</w:t>
      </w:r>
      <w:r w:rsidRPr="00594A23">
        <w:rPr>
          <w:lang w:eastAsia="fr-FR" w:bidi="fr-FR"/>
        </w:rPr>
        <w:t>i</w:t>
      </w:r>
      <w:r w:rsidRPr="00594A23">
        <w:rPr>
          <w:lang w:eastAsia="fr-FR" w:bidi="fr-FR"/>
        </w:rPr>
        <w:t>béraux ne considèrent pas les rapports e</w:t>
      </w:r>
      <w:r w:rsidRPr="00594A23">
        <w:rPr>
          <w:lang w:eastAsia="fr-FR" w:bidi="fr-FR"/>
        </w:rPr>
        <w:t>n</w:t>
      </w:r>
      <w:r w:rsidRPr="00594A23">
        <w:rPr>
          <w:lang w:eastAsia="fr-FR" w:bidi="fr-FR"/>
        </w:rPr>
        <w:t>tre les acteurs internationaux comme devant être nécessairement anarchiques</w:t>
      </w:r>
      <w:r w:rsidRPr="00594A23">
        <w:t> :</w:t>
      </w:r>
      <w:r w:rsidRPr="00594A23">
        <w:rPr>
          <w:lang w:eastAsia="fr-FR" w:bidi="fr-FR"/>
        </w:rPr>
        <w:t xml:space="preserve"> les institutions pe</w:t>
      </w:r>
      <w:r w:rsidRPr="00594A23">
        <w:rPr>
          <w:lang w:eastAsia="fr-FR" w:bidi="fr-FR"/>
        </w:rPr>
        <w:t>u</w:t>
      </w:r>
      <w:r w:rsidRPr="00594A23">
        <w:rPr>
          <w:lang w:eastAsia="fr-FR" w:bidi="fr-FR"/>
        </w:rPr>
        <w:t>vent apprivoiser l’anarchie et parv</w:t>
      </w:r>
      <w:r w:rsidRPr="00594A23">
        <w:rPr>
          <w:lang w:eastAsia="fr-FR" w:bidi="fr-FR"/>
        </w:rPr>
        <w:t>e</w:t>
      </w:r>
      <w:r w:rsidRPr="00594A23">
        <w:rPr>
          <w:lang w:eastAsia="fr-FR" w:bidi="fr-FR"/>
        </w:rPr>
        <w:t xml:space="preserve">nir </w:t>
      </w:r>
      <w:r w:rsidRPr="00594A23">
        <w:t xml:space="preserve">à </w:t>
      </w:r>
      <w:r w:rsidRPr="00594A23">
        <w:rPr>
          <w:lang w:eastAsia="fr-FR" w:bidi="fr-FR"/>
        </w:rPr>
        <w:t xml:space="preserve">civiliser les relations </w:t>
      </w:r>
      <w:r w:rsidRPr="00594A23">
        <w:t xml:space="preserve">à </w:t>
      </w:r>
      <w:r w:rsidRPr="00594A23">
        <w:rPr>
          <w:lang w:eastAsia="fr-FR" w:bidi="fr-FR"/>
        </w:rPr>
        <w:t>l’intérieur du système.</w:t>
      </w:r>
    </w:p>
    <w:p w14:paraId="21815FFD" w14:textId="77777777" w:rsidR="0039793A" w:rsidRPr="00594A23" w:rsidRDefault="0039793A" w:rsidP="0039793A">
      <w:pPr>
        <w:spacing w:before="120" w:after="120"/>
        <w:jc w:val="both"/>
      </w:pPr>
      <w:r w:rsidRPr="00594A23">
        <w:rPr>
          <w:lang w:eastAsia="fr-FR" w:bidi="fr-FR"/>
        </w:rPr>
        <w:t xml:space="preserve">Wilson était animé par ces convictions lorsqu’il se résigna </w:t>
      </w:r>
      <w:r w:rsidRPr="00594A23">
        <w:t xml:space="preserve">à </w:t>
      </w:r>
      <w:r w:rsidRPr="00594A23">
        <w:rPr>
          <w:lang w:eastAsia="fr-FR" w:bidi="fr-FR"/>
        </w:rPr>
        <w:t>d</w:t>
      </w:r>
      <w:r w:rsidRPr="00594A23">
        <w:rPr>
          <w:lang w:eastAsia="fr-FR" w:bidi="fr-FR"/>
        </w:rPr>
        <w:t>e</w:t>
      </w:r>
      <w:r w:rsidRPr="00594A23">
        <w:rPr>
          <w:lang w:eastAsia="fr-FR" w:bidi="fr-FR"/>
        </w:rPr>
        <w:t>mander une déclaration de guerre au Congrès américain, le 2 avril 1917</w:t>
      </w:r>
      <w:r>
        <w:rPr>
          <w:lang w:eastAsia="fr-FR" w:bidi="fr-FR"/>
        </w:rPr>
        <w:t> </w:t>
      </w:r>
      <w:r>
        <w:rPr>
          <w:rStyle w:val="Appelnotedebasdep"/>
          <w:lang w:eastAsia="fr-FR" w:bidi="fr-FR"/>
        </w:rPr>
        <w:footnoteReference w:id="185"/>
      </w:r>
      <w:r w:rsidRPr="00594A23">
        <w:rPr>
          <w:lang w:eastAsia="fr-FR" w:bidi="fr-FR"/>
        </w:rPr>
        <w:t xml:space="preserve">. Certes des intérêts vitaux étaient en jeu pour les États-Unis, notamment des intérêts commerciaux associés </w:t>
      </w:r>
      <w:r w:rsidRPr="00594A23">
        <w:t xml:space="preserve">à </w:t>
      </w:r>
      <w:r w:rsidRPr="00594A23">
        <w:rPr>
          <w:lang w:eastAsia="fr-FR" w:bidi="fr-FR"/>
        </w:rPr>
        <w:t xml:space="preserve">la sécurité de la Grande-Bretagne et de la France. Mais Wilson, qui s’était toujours présenté </w:t>
      </w:r>
      <w:r w:rsidRPr="00594A23">
        <w:t xml:space="preserve">à </w:t>
      </w:r>
      <w:r w:rsidRPr="00594A23">
        <w:rPr>
          <w:lang w:eastAsia="fr-FR" w:bidi="fr-FR"/>
        </w:rPr>
        <w:t>la population américaine, avant 1917, comme étant o</w:t>
      </w:r>
      <w:r w:rsidRPr="00594A23">
        <w:rPr>
          <w:lang w:eastAsia="fr-FR" w:bidi="fr-FR"/>
        </w:rPr>
        <w:t>p</w:t>
      </w:r>
      <w:r w:rsidRPr="00594A23">
        <w:rPr>
          <w:lang w:eastAsia="fr-FR" w:bidi="fr-FR"/>
        </w:rPr>
        <w:t xml:space="preserve">posé aux grandes interventions internationales, soucieux qu’il était de se concentrer sur les valeurs républicaines, se devait de présenter l’entrée en guerre de son pays comme une entreprise tout </w:t>
      </w:r>
      <w:r w:rsidRPr="00594A23">
        <w:t xml:space="preserve">à </w:t>
      </w:r>
      <w:r w:rsidRPr="00594A23">
        <w:rPr>
          <w:lang w:eastAsia="fr-FR" w:bidi="fr-FR"/>
        </w:rPr>
        <w:t>fait exceptionnelle, comme une grande cause morale. Il s’agissait de rendre le monde pr</w:t>
      </w:r>
      <w:r w:rsidRPr="00594A23">
        <w:rPr>
          <w:lang w:eastAsia="fr-FR" w:bidi="fr-FR"/>
        </w:rPr>
        <w:t>o</w:t>
      </w:r>
      <w:r w:rsidRPr="00594A23">
        <w:rPr>
          <w:lang w:eastAsia="fr-FR" w:bidi="fr-FR"/>
        </w:rPr>
        <w:t xml:space="preserve">pice </w:t>
      </w:r>
      <w:r w:rsidRPr="00594A23">
        <w:t xml:space="preserve">à </w:t>
      </w:r>
      <w:r w:rsidRPr="00594A23">
        <w:rPr>
          <w:lang w:eastAsia="fr-FR" w:bidi="fr-FR"/>
        </w:rPr>
        <w:t xml:space="preserve">la démocratie, de livrer la guerre qui allait </w:t>
      </w:r>
      <w:r w:rsidRPr="00594A23">
        <w:t>« </w:t>
      </w:r>
      <w:r w:rsidRPr="00594A23">
        <w:rPr>
          <w:lang w:eastAsia="fr-FR" w:bidi="fr-FR"/>
        </w:rPr>
        <w:t xml:space="preserve">mettre fin </w:t>
      </w:r>
      <w:r w:rsidRPr="00594A23">
        <w:t xml:space="preserve">à </w:t>
      </w:r>
      <w:r w:rsidRPr="00594A23">
        <w:rPr>
          <w:lang w:eastAsia="fr-FR" w:bidi="fr-FR"/>
        </w:rPr>
        <w:t>toutes les guerres</w:t>
      </w:r>
      <w:r w:rsidRPr="00594A23">
        <w:t> »</w:t>
      </w:r>
      <w:r w:rsidRPr="00594A23">
        <w:rPr>
          <w:lang w:eastAsia="fr-FR" w:bidi="fr-FR"/>
        </w:rPr>
        <w:t xml:space="preserve">. Il énonce d’ailleurs, dans son fameux discours des </w:t>
      </w:r>
      <w:r w:rsidRPr="00594A23">
        <w:t>« </w:t>
      </w:r>
      <w:r w:rsidRPr="00594A23">
        <w:rPr>
          <w:lang w:eastAsia="fr-FR" w:bidi="fr-FR"/>
        </w:rPr>
        <w:t>quatorze points</w:t>
      </w:r>
      <w:r w:rsidRPr="00594A23">
        <w:t> »</w:t>
      </w:r>
      <w:r w:rsidRPr="00594A23">
        <w:rPr>
          <w:lang w:eastAsia="fr-FR" w:bidi="fr-FR"/>
        </w:rPr>
        <w:t xml:space="preserve">, un programme qui, en lui-même, n’a rien </w:t>
      </w:r>
      <w:r w:rsidRPr="00594A23">
        <w:t xml:space="preserve">à </w:t>
      </w:r>
      <w:r w:rsidRPr="00594A23">
        <w:rPr>
          <w:lang w:eastAsia="fr-FR" w:bidi="fr-FR"/>
        </w:rPr>
        <w:t>voir avec l’intérêt national entendu dans un sens restreint</w:t>
      </w:r>
      <w:r w:rsidRPr="00594A23">
        <w:t> :</w:t>
      </w:r>
    </w:p>
    <w:p w14:paraId="7B4C2E8B" w14:textId="77777777" w:rsidR="0039793A" w:rsidRDefault="0039793A" w:rsidP="0039793A">
      <w:pPr>
        <w:pStyle w:val="Grillecouleur-Accent1"/>
      </w:pPr>
    </w:p>
    <w:p w14:paraId="34A28F32" w14:textId="77777777" w:rsidR="0039793A" w:rsidRDefault="0039793A" w:rsidP="0039793A">
      <w:pPr>
        <w:pStyle w:val="Grillecouleur-Accent1"/>
      </w:pPr>
      <w:r w:rsidRPr="00594A23">
        <w:t>« </w:t>
      </w:r>
      <w:r w:rsidRPr="00594A23">
        <w:rPr>
          <w:lang w:eastAsia="fr-FR" w:bidi="fr-FR"/>
        </w:rPr>
        <w:t>Ce que nous exigeons en cette guerre [...] n’est rien qui nous soit particulier. C’est que le monde devienne un lieu où on puisse vivre conv</w:t>
      </w:r>
      <w:r w:rsidRPr="00594A23">
        <w:rPr>
          <w:lang w:eastAsia="fr-FR" w:bidi="fr-FR"/>
        </w:rPr>
        <w:t>e</w:t>
      </w:r>
      <w:r w:rsidRPr="00594A23">
        <w:rPr>
          <w:lang w:eastAsia="fr-FR" w:bidi="fr-FR"/>
        </w:rPr>
        <w:t>nablement et en sécurité</w:t>
      </w:r>
      <w:r w:rsidRPr="00594A23">
        <w:t> :</w:t>
      </w:r>
      <w:r w:rsidRPr="00594A23">
        <w:rPr>
          <w:lang w:eastAsia="fr-FR" w:bidi="fr-FR"/>
        </w:rPr>
        <w:t xml:space="preserve"> et particulièrement que toute nation éprise de paix qui, comme la nôtre, veut vivre sa propre vie, décider de ses propres institutions, être assurée d’un traitement juste et équit</w:t>
      </w:r>
      <w:r w:rsidRPr="00594A23">
        <w:rPr>
          <w:lang w:eastAsia="fr-FR" w:bidi="fr-FR"/>
        </w:rPr>
        <w:t>a</w:t>
      </w:r>
      <w:r w:rsidRPr="00594A23">
        <w:rPr>
          <w:lang w:eastAsia="fr-FR" w:bidi="fr-FR"/>
        </w:rPr>
        <w:t>ble de la part des autres peuples du monde, y soit à l’abri de l’usage de la force et de l’agression à des fins égoïstes. Tous les peuples du monde sont en fait s</w:t>
      </w:r>
      <w:r w:rsidRPr="00594A23">
        <w:rPr>
          <w:lang w:eastAsia="fr-FR" w:bidi="fr-FR"/>
        </w:rPr>
        <w:t>o</w:t>
      </w:r>
      <w:r w:rsidRPr="00594A23">
        <w:rPr>
          <w:lang w:eastAsia="fr-FR" w:bidi="fr-FR"/>
        </w:rPr>
        <w:t>lidaires sous ce rapport</w:t>
      </w:r>
      <w:r>
        <w:rPr>
          <w:lang w:eastAsia="fr-FR" w:bidi="fr-FR"/>
        </w:rPr>
        <w:t> </w:t>
      </w:r>
      <w:r>
        <w:rPr>
          <w:rStyle w:val="Appelnotedebasdep"/>
          <w:lang w:eastAsia="fr-FR" w:bidi="fr-FR"/>
        </w:rPr>
        <w:footnoteReference w:id="186"/>
      </w:r>
      <w:r w:rsidRPr="00594A23">
        <w:rPr>
          <w:lang w:eastAsia="fr-FR" w:bidi="fr-FR"/>
        </w:rPr>
        <w:t>.</w:t>
      </w:r>
      <w:r w:rsidRPr="00594A23">
        <w:t> »</w:t>
      </w:r>
    </w:p>
    <w:p w14:paraId="5B5C3F03" w14:textId="77777777" w:rsidR="0039793A" w:rsidRPr="00594A23" w:rsidRDefault="0039793A" w:rsidP="0039793A">
      <w:pPr>
        <w:pStyle w:val="Grillecouleur-Accent1"/>
      </w:pPr>
    </w:p>
    <w:p w14:paraId="7CEA4BB9" w14:textId="77777777" w:rsidR="0039793A" w:rsidRPr="00594A23" w:rsidRDefault="0039793A" w:rsidP="0039793A">
      <w:pPr>
        <w:spacing w:before="120" w:after="120"/>
        <w:jc w:val="both"/>
      </w:pPr>
      <w:r w:rsidRPr="00594A23">
        <w:rPr>
          <w:lang w:eastAsia="fr-FR" w:bidi="fr-FR"/>
        </w:rPr>
        <w:t>Pour ce faire, Wilson recommande une dipl</w:t>
      </w:r>
      <w:r w:rsidRPr="00594A23">
        <w:rPr>
          <w:lang w:eastAsia="fr-FR" w:bidi="fr-FR"/>
        </w:rPr>
        <w:t>o</w:t>
      </w:r>
      <w:r w:rsidRPr="00594A23">
        <w:rPr>
          <w:lang w:eastAsia="fr-FR" w:bidi="fr-FR"/>
        </w:rPr>
        <w:t>matie ouverte et transparente (premier point), la liberté absolue de navigation (deuxi</w:t>
      </w:r>
      <w:r w:rsidRPr="00594A23">
        <w:rPr>
          <w:lang w:eastAsia="fr-FR" w:bidi="fr-FR"/>
        </w:rPr>
        <w:t>è</w:t>
      </w:r>
      <w:r w:rsidRPr="00594A23">
        <w:rPr>
          <w:lang w:eastAsia="fr-FR" w:bidi="fr-FR"/>
        </w:rPr>
        <w:t>me point), la suppression, dans la mesure du possible, de toutes les barrières commerciales (troisième point) et la création</w:t>
      </w:r>
      <w:r>
        <w:t xml:space="preserve"> [86] </w:t>
      </w:r>
      <w:r w:rsidRPr="00594A23">
        <w:rPr>
          <w:lang w:eastAsia="fr-FR" w:bidi="fr-FR"/>
        </w:rPr>
        <w:t xml:space="preserve">d’une </w:t>
      </w:r>
      <w:r w:rsidRPr="00594A23">
        <w:t>« </w:t>
      </w:r>
      <w:r w:rsidRPr="00594A23">
        <w:rPr>
          <w:lang w:eastAsia="fr-FR" w:bidi="fr-FR"/>
        </w:rPr>
        <w:t>association générale des Nations</w:t>
      </w:r>
      <w:r w:rsidRPr="00594A23">
        <w:t> »</w:t>
      </w:r>
      <w:r w:rsidRPr="00594A23">
        <w:rPr>
          <w:lang w:eastAsia="fr-FR" w:bidi="fr-FR"/>
        </w:rPr>
        <w:t xml:space="preserve"> (quatorzième point) d</w:t>
      </w:r>
      <w:r w:rsidRPr="00594A23">
        <w:rPr>
          <w:lang w:eastAsia="fr-FR" w:bidi="fr-FR"/>
        </w:rPr>
        <w:t>e</w:t>
      </w:r>
      <w:r w:rsidRPr="00594A23">
        <w:rPr>
          <w:lang w:eastAsia="fr-FR" w:bidi="fr-FR"/>
        </w:rPr>
        <w:t xml:space="preserve">vant </w:t>
      </w:r>
      <w:r w:rsidRPr="00594A23">
        <w:t>« </w:t>
      </w:r>
      <w:r w:rsidRPr="00594A23">
        <w:rPr>
          <w:lang w:eastAsia="fr-FR" w:bidi="fr-FR"/>
        </w:rPr>
        <w:t>fournir des garanties réciproques d’indépendance politique et d’intégrité territoriale aux grands comme aux petits États</w:t>
      </w:r>
      <w:r>
        <w:rPr>
          <w:lang w:eastAsia="fr-FR" w:bidi="fr-FR"/>
        </w:rPr>
        <w:t> </w:t>
      </w:r>
      <w:r>
        <w:rPr>
          <w:rStyle w:val="Appelnotedebasdep"/>
          <w:lang w:eastAsia="fr-FR" w:bidi="fr-FR"/>
        </w:rPr>
        <w:footnoteReference w:id="187"/>
      </w:r>
      <w:r w:rsidRPr="00594A23">
        <w:t>. »</w:t>
      </w:r>
      <w:r w:rsidRPr="00594A23">
        <w:rPr>
          <w:lang w:eastAsia="fr-FR" w:bidi="fr-FR"/>
        </w:rPr>
        <w:t xml:space="preserve"> Dans ces propos, Wilson s’appuie sur la philos</w:t>
      </w:r>
      <w:r w:rsidRPr="00594A23">
        <w:rPr>
          <w:lang w:eastAsia="fr-FR" w:bidi="fr-FR"/>
        </w:rPr>
        <w:t>o</w:t>
      </w:r>
      <w:r w:rsidRPr="00594A23">
        <w:rPr>
          <w:lang w:eastAsia="fr-FR" w:bidi="fr-FR"/>
        </w:rPr>
        <w:t xml:space="preserve">phie kantienne dont on s’accorde généralement pour affirmer quelle est celle qui a inspiré l’individualisme libéral, à compter du </w:t>
      </w:r>
      <w:r w:rsidRPr="00594A23">
        <w:t>XIX</w:t>
      </w:r>
      <w:r w:rsidRPr="00594A23">
        <w:rPr>
          <w:vertAlign w:val="superscript"/>
        </w:rPr>
        <w:t>e</w:t>
      </w:r>
      <w:r w:rsidRPr="00594A23">
        <w:t xml:space="preserve"> </w:t>
      </w:r>
      <w:r w:rsidRPr="00594A23">
        <w:rPr>
          <w:lang w:eastAsia="fr-FR" w:bidi="fr-FR"/>
        </w:rPr>
        <w:t>siècle. Pour Kant, en effet, la vraie morale est celle que l’individu s’adresse à lui-même</w:t>
      </w:r>
      <w:r>
        <w:rPr>
          <w:lang w:eastAsia="fr-FR" w:bidi="fr-FR"/>
        </w:rPr>
        <w:t> </w:t>
      </w:r>
      <w:r>
        <w:rPr>
          <w:rStyle w:val="Appelnotedebasdep"/>
          <w:lang w:eastAsia="fr-FR" w:bidi="fr-FR"/>
        </w:rPr>
        <w:footnoteReference w:id="188"/>
      </w:r>
      <w:r w:rsidRPr="00594A23">
        <w:rPr>
          <w:lang w:eastAsia="fr-FR" w:bidi="fr-FR"/>
        </w:rPr>
        <w:t xml:space="preserve"> et il en va de même pour les États qui ne devraient être soumis à d’autre loi que celle qu’ils se donnent selon l’idéal républicain. Aussi, la paix du monde sera- t-elle assurée par l’abolition des empires, puis par la m</w:t>
      </w:r>
      <w:r w:rsidRPr="00594A23">
        <w:rPr>
          <w:lang w:eastAsia="fr-FR" w:bidi="fr-FR"/>
        </w:rPr>
        <w:t>i</w:t>
      </w:r>
      <w:r w:rsidRPr="00594A23">
        <w:rPr>
          <w:lang w:eastAsia="fr-FR" w:bidi="fr-FR"/>
        </w:rPr>
        <w:t>se en place d’une organisation internationale dont le but premier sera de préserver l’indépendance et l’intégrité territoriale de chacun. En effet, selon cette philosophie, des États libres et démocratiques ne sauraient se faire la guerre entre eux.</w:t>
      </w:r>
    </w:p>
    <w:p w14:paraId="4367FF27" w14:textId="77777777" w:rsidR="0039793A" w:rsidRPr="00594A23" w:rsidRDefault="0039793A" w:rsidP="0039793A">
      <w:pPr>
        <w:spacing w:before="120" w:after="120"/>
        <w:jc w:val="both"/>
      </w:pPr>
      <w:r w:rsidRPr="00594A23">
        <w:rPr>
          <w:lang w:eastAsia="fr-FR" w:bidi="fr-FR"/>
        </w:rPr>
        <w:t>Évidemment cet idéalisme kantien n’a jamais été appliqué. Le tra</w:t>
      </w:r>
      <w:r w:rsidRPr="00594A23">
        <w:rPr>
          <w:lang w:eastAsia="fr-FR" w:bidi="fr-FR"/>
        </w:rPr>
        <w:t>i</w:t>
      </w:r>
      <w:r w:rsidRPr="00594A23">
        <w:rPr>
          <w:lang w:eastAsia="fr-FR" w:bidi="fr-FR"/>
        </w:rPr>
        <w:t>té de Versailles a mis fin aux empires autrichien, ottoman et allemand, mais il n’a pas pu démanteler les empires occidentaux ni permettre l’indépendance et encore moins la d</w:t>
      </w:r>
      <w:r w:rsidRPr="00594A23">
        <w:rPr>
          <w:lang w:eastAsia="fr-FR" w:bidi="fr-FR"/>
        </w:rPr>
        <w:t>é</w:t>
      </w:r>
      <w:r w:rsidRPr="00594A23">
        <w:rPr>
          <w:lang w:eastAsia="fr-FR" w:bidi="fr-FR"/>
        </w:rPr>
        <w:t>mocratisation des nouveaux États issus des emp</w:t>
      </w:r>
      <w:r w:rsidRPr="00594A23">
        <w:rPr>
          <w:lang w:eastAsia="fr-FR" w:bidi="fr-FR"/>
        </w:rPr>
        <w:t>i</w:t>
      </w:r>
      <w:r w:rsidRPr="00594A23">
        <w:rPr>
          <w:lang w:eastAsia="fr-FR" w:bidi="fr-FR"/>
        </w:rPr>
        <w:t xml:space="preserve">res. Sous des formes moins absolues, l’idéalisme est demeuré présent dans les politiques de tous les présidents démocrates, au </w:t>
      </w:r>
      <w:r w:rsidRPr="00594A23">
        <w:t>XX</w:t>
      </w:r>
      <w:r w:rsidRPr="00594A23">
        <w:rPr>
          <w:vertAlign w:val="superscript"/>
        </w:rPr>
        <w:t>e</w:t>
      </w:r>
      <w:r w:rsidRPr="00594A23">
        <w:t xml:space="preserve"> </w:t>
      </w:r>
      <w:r w:rsidRPr="00594A23">
        <w:rPr>
          <w:lang w:eastAsia="fr-FR" w:bidi="fr-FR"/>
        </w:rPr>
        <w:t>siècle. Franklin D. Roosevelt a vu dans la deuxième guerre mondiale, à l’instar de son prédécesseur Wilson, une grande cause morale, une lutte pour préserver la démocr</w:t>
      </w:r>
      <w:r w:rsidRPr="00594A23">
        <w:rPr>
          <w:lang w:eastAsia="fr-FR" w:bidi="fr-FR"/>
        </w:rPr>
        <w:t>a</w:t>
      </w:r>
      <w:r w:rsidRPr="00594A23">
        <w:rPr>
          <w:lang w:eastAsia="fr-FR" w:bidi="fr-FR"/>
        </w:rPr>
        <w:t>tie. La Charte de l’Atlantique</w:t>
      </w:r>
      <w:r>
        <w:rPr>
          <w:lang w:eastAsia="fr-FR" w:bidi="fr-FR"/>
        </w:rPr>
        <w:t> </w:t>
      </w:r>
      <w:r>
        <w:rPr>
          <w:rStyle w:val="Appelnotedebasdep"/>
          <w:lang w:eastAsia="fr-FR" w:bidi="fr-FR"/>
        </w:rPr>
        <w:footnoteReference w:id="189"/>
      </w:r>
      <w:r w:rsidRPr="00594A23">
        <w:rPr>
          <w:lang w:eastAsia="fr-FR" w:bidi="fr-FR"/>
        </w:rPr>
        <w:t>, signée conjointement en 1941 par le président amér</w:t>
      </w:r>
      <w:r w:rsidRPr="00594A23">
        <w:rPr>
          <w:lang w:eastAsia="fr-FR" w:bidi="fr-FR"/>
        </w:rPr>
        <w:t>i</w:t>
      </w:r>
      <w:r w:rsidRPr="00594A23">
        <w:rPr>
          <w:lang w:eastAsia="fr-FR" w:bidi="fr-FR"/>
        </w:rPr>
        <w:t>cain et le Premier ministre de Grande-Bretagne, Winston Chu</w:t>
      </w:r>
      <w:r w:rsidRPr="00594A23">
        <w:rPr>
          <w:lang w:eastAsia="fr-FR" w:bidi="fr-FR"/>
        </w:rPr>
        <w:t>r</w:t>
      </w:r>
      <w:r w:rsidRPr="00594A23">
        <w:rPr>
          <w:lang w:eastAsia="fr-FR" w:bidi="fr-FR"/>
        </w:rPr>
        <w:t>chill, contient des références à des principes universels de respect des so</w:t>
      </w:r>
      <w:r w:rsidRPr="00594A23">
        <w:rPr>
          <w:lang w:eastAsia="fr-FR" w:bidi="fr-FR"/>
        </w:rPr>
        <w:t>u</w:t>
      </w:r>
      <w:r w:rsidRPr="00594A23">
        <w:rPr>
          <w:lang w:eastAsia="fr-FR" w:bidi="fr-FR"/>
        </w:rPr>
        <w:t>verainetés des États, de consentement populaire et d’établissement d’une paix</w:t>
      </w:r>
      <w:r>
        <w:t xml:space="preserve"> [87] </w:t>
      </w:r>
      <w:r w:rsidRPr="00594A23">
        <w:rPr>
          <w:lang w:eastAsia="fr-FR" w:bidi="fr-FR"/>
        </w:rPr>
        <w:t>durable fondée sur la renonciation à l’usage de la fo</w:t>
      </w:r>
      <w:r w:rsidRPr="00594A23">
        <w:rPr>
          <w:lang w:eastAsia="fr-FR" w:bidi="fr-FR"/>
        </w:rPr>
        <w:t>r</w:t>
      </w:r>
      <w:r w:rsidRPr="00594A23">
        <w:rPr>
          <w:lang w:eastAsia="fr-FR" w:bidi="fr-FR"/>
        </w:rPr>
        <w:t>ce. En 1945, au retour de la Conférence de Yalta, Roosevelt déclare au Congrès américain que le monde est entré dans une nouvelle ère et qu’on en a fini avec les sphères d’influence, l’équilibre des puissances et autres expédients</w:t>
      </w:r>
      <w:r>
        <w:rPr>
          <w:lang w:eastAsia="fr-FR" w:bidi="fr-FR"/>
        </w:rPr>
        <w:t> </w:t>
      </w:r>
      <w:r>
        <w:rPr>
          <w:rStyle w:val="Appelnotedebasdep"/>
          <w:lang w:eastAsia="fr-FR" w:bidi="fr-FR"/>
        </w:rPr>
        <w:footnoteReference w:id="190"/>
      </w:r>
      <w:r w:rsidRPr="00594A23">
        <w:rPr>
          <w:lang w:eastAsia="fr-FR" w:bidi="fr-FR"/>
        </w:rPr>
        <w:t>. Le secrétaire d’</w:t>
      </w:r>
      <w:r>
        <w:rPr>
          <w:lang w:eastAsia="fr-FR" w:bidi="fr-FR"/>
        </w:rPr>
        <w:t>État</w:t>
      </w:r>
      <w:r w:rsidRPr="00594A23">
        <w:rPr>
          <w:lang w:eastAsia="fr-FR" w:bidi="fr-FR"/>
        </w:rPr>
        <w:t>, Cordell Hull, et le conseiller du président, Harry Hopkins tiennent d’ailleurs le même di</w:t>
      </w:r>
      <w:r w:rsidRPr="00594A23">
        <w:rPr>
          <w:lang w:eastAsia="fr-FR" w:bidi="fr-FR"/>
        </w:rPr>
        <w:t>s</w:t>
      </w:r>
      <w:r w:rsidRPr="00594A23">
        <w:rPr>
          <w:lang w:eastAsia="fr-FR" w:bidi="fr-FR"/>
        </w:rPr>
        <w:t>cours.</w:t>
      </w:r>
    </w:p>
    <w:p w14:paraId="07B45A41" w14:textId="77777777" w:rsidR="0039793A" w:rsidRPr="00594A23" w:rsidRDefault="0039793A" w:rsidP="0039793A">
      <w:pPr>
        <w:spacing w:before="120" w:after="120"/>
        <w:jc w:val="both"/>
      </w:pPr>
      <w:r w:rsidRPr="00594A23">
        <w:rPr>
          <w:lang w:eastAsia="fr-FR" w:bidi="fr-FR"/>
        </w:rPr>
        <w:t>Harry Truman a conçu une politique beaucoup moins optimiste et fondée davantage sur des principes réalistes. L’idéalisme demeure c</w:t>
      </w:r>
      <w:r w:rsidRPr="00594A23">
        <w:rPr>
          <w:lang w:eastAsia="fr-FR" w:bidi="fr-FR"/>
        </w:rPr>
        <w:t>e</w:t>
      </w:r>
      <w:r w:rsidRPr="00594A23">
        <w:rPr>
          <w:lang w:eastAsia="fr-FR" w:bidi="fr-FR"/>
        </w:rPr>
        <w:t>pendant présent, notamment dans le discours solennel au Congrès, le 12 mars 1947, qui établit ce qu’on a</w:t>
      </w:r>
      <w:r w:rsidRPr="00594A23">
        <w:rPr>
          <w:lang w:eastAsia="fr-FR" w:bidi="fr-FR"/>
        </w:rPr>
        <w:t>p</w:t>
      </w:r>
      <w:r w:rsidRPr="00594A23">
        <w:rPr>
          <w:lang w:eastAsia="fr-FR" w:bidi="fr-FR"/>
        </w:rPr>
        <w:t>pellera par la suite la doctrine Truman</w:t>
      </w:r>
      <w:r>
        <w:rPr>
          <w:lang w:eastAsia="fr-FR" w:bidi="fr-FR"/>
        </w:rPr>
        <w:t> </w:t>
      </w:r>
      <w:r>
        <w:rPr>
          <w:rStyle w:val="Appelnotedebasdep"/>
          <w:lang w:eastAsia="fr-FR" w:bidi="fr-FR"/>
        </w:rPr>
        <w:footnoteReference w:id="191"/>
      </w:r>
      <w:r w:rsidRPr="00594A23">
        <w:t> :</w:t>
      </w:r>
      <w:r w:rsidRPr="00594A23">
        <w:rPr>
          <w:lang w:eastAsia="fr-FR" w:bidi="fr-FR"/>
        </w:rPr>
        <w:t xml:space="preserve"> </w:t>
      </w:r>
      <w:r w:rsidRPr="00594A23">
        <w:t>« </w:t>
      </w:r>
      <w:r w:rsidRPr="00594A23">
        <w:rPr>
          <w:lang w:eastAsia="fr-FR" w:bidi="fr-FR"/>
        </w:rPr>
        <w:t xml:space="preserve">L’un des premiers objectifs de la politique étrangère des </w:t>
      </w:r>
      <w:r>
        <w:rPr>
          <w:lang w:eastAsia="fr-FR" w:bidi="fr-FR"/>
        </w:rPr>
        <w:t>État</w:t>
      </w:r>
      <w:r w:rsidRPr="00594A23">
        <w:rPr>
          <w:lang w:eastAsia="fr-FR" w:bidi="fr-FR"/>
        </w:rPr>
        <w:t>s-Unis est la création de conditions qui nous permettront d’élaborer, avec d’autres nations, un mode de vie exempt de toute contrainte</w:t>
      </w:r>
      <w:r>
        <w:rPr>
          <w:lang w:eastAsia="fr-FR" w:bidi="fr-FR"/>
        </w:rPr>
        <w:t> </w:t>
      </w:r>
      <w:r>
        <w:rPr>
          <w:rStyle w:val="Appelnotedebasdep"/>
          <w:lang w:eastAsia="fr-FR" w:bidi="fr-FR"/>
        </w:rPr>
        <w:footnoteReference w:id="192"/>
      </w:r>
      <w:r w:rsidRPr="00594A23">
        <w:rPr>
          <w:lang w:eastAsia="fr-FR" w:bidi="fr-FR"/>
        </w:rPr>
        <w:t>.</w:t>
      </w:r>
      <w:r w:rsidRPr="00594A23">
        <w:t> »</w:t>
      </w:r>
      <w:r w:rsidRPr="00594A23">
        <w:rPr>
          <w:lang w:eastAsia="fr-FR" w:bidi="fr-FR"/>
        </w:rPr>
        <w:t xml:space="preserve"> John F. Kennedy énonce aussi des engagements gl</w:t>
      </w:r>
      <w:r w:rsidRPr="00594A23">
        <w:rPr>
          <w:lang w:eastAsia="fr-FR" w:bidi="fr-FR"/>
        </w:rPr>
        <w:t>o</w:t>
      </w:r>
      <w:r w:rsidRPr="00594A23">
        <w:rPr>
          <w:lang w:eastAsia="fr-FR" w:bidi="fr-FR"/>
        </w:rPr>
        <w:t>baux qui relèvent d’un idéalisme absolu</w:t>
      </w:r>
      <w:r w:rsidRPr="00594A23">
        <w:t> :</w:t>
      </w:r>
      <w:r w:rsidRPr="00594A23">
        <w:rPr>
          <w:lang w:eastAsia="fr-FR" w:bidi="fr-FR"/>
        </w:rPr>
        <w:t xml:space="preserve"> </w:t>
      </w:r>
      <w:r w:rsidRPr="00594A23">
        <w:t>« </w:t>
      </w:r>
      <w:r w:rsidRPr="00594A23">
        <w:rPr>
          <w:lang w:eastAsia="fr-FR" w:bidi="fr-FR"/>
        </w:rPr>
        <w:t>Que toutes les nations s</w:t>
      </w:r>
      <w:r w:rsidRPr="00594A23">
        <w:rPr>
          <w:lang w:eastAsia="fr-FR" w:bidi="fr-FR"/>
        </w:rPr>
        <w:t>a</w:t>
      </w:r>
      <w:r w:rsidRPr="00594A23">
        <w:rPr>
          <w:lang w:eastAsia="fr-FR" w:bidi="fr-FR"/>
        </w:rPr>
        <w:t>chent — qu’elles nous veulent du bien ou du mal — que nous pai</w:t>
      </w:r>
      <w:r w:rsidRPr="00594A23">
        <w:rPr>
          <w:lang w:eastAsia="fr-FR" w:bidi="fr-FR"/>
        </w:rPr>
        <w:t>e</w:t>
      </w:r>
      <w:r w:rsidRPr="00594A23">
        <w:rPr>
          <w:lang w:eastAsia="fr-FR" w:bidi="fr-FR"/>
        </w:rPr>
        <w:t>rons n’importe quel prix, supporterons n’importe quel fardeau [...], afin d’assurer le triomphe de la liberté</w:t>
      </w:r>
      <w:r>
        <w:rPr>
          <w:lang w:eastAsia="fr-FR" w:bidi="fr-FR"/>
        </w:rPr>
        <w:t> </w:t>
      </w:r>
      <w:r>
        <w:rPr>
          <w:rStyle w:val="Appelnotedebasdep"/>
          <w:lang w:eastAsia="fr-FR" w:bidi="fr-FR"/>
        </w:rPr>
        <w:footnoteReference w:id="193"/>
      </w:r>
      <w:r w:rsidRPr="00594A23">
        <w:rPr>
          <w:lang w:eastAsia="fr-FR" w:bidi="fr-FR"/>
        </w:rPr>
        <w:t>.</w:t>
      </w:r>
      <w:r w:rsidRPr="00594A23">
        <w:t> »</w:t>
      </w:r>
      <w:r w:rsidRPr="00594A23">
        <w:rPr>
          <w:lang w:eastAsia="fr-FR" w:bidi="fr-FR"/>
        </w:rPr>
        <w:t xml:space="preserve"> Lyndon B. Johnson r</w:t>
      </w:r>
      <w:r w:rsidRPr="00594A23">
        <w:rPr>
          <w:lang w:eastAsia="fr-FR" w:bidi="fr-FR"/>
        </w:rPr>
        <w:t>e</w:t>
      </w:r>
      <w:r w:rsidRPr="00594A23">
        <w:rPr>
          <w:lang w:eastAsia="fr-FR" w:bidi="fr-FR"/>
        </w:rPr>
        <w:t>prendra des principes anal</w:t>
      </w:r>
      <w:r w:rsidRPr="00594A23">
        <w:rPr>
          <w:lang w:eastAsia="fr-FR" w:bidi="fr-FR"/>
        </w:rPr>
        <w:t>o</w:t>
      </w:r>
      <w:r w:rsidRPr="00594A23">
        <w:rPr>
          <w:lang w:eastAsia="fr-FR" w:bidi="fr-FR"/>
        </w:rPr>
        <w:t>gues pour justifier la guerre au Vietnam. Ces trois présidents invoquent l’idéalisme comme justific</w:t>
      </w:r>
      <w:r w:rsidRPr="00594A23">
        <w:rPr>
          <w:lang w:eastAsia="fr-FR" w:bidi="fr-FR"/>
        </w:rPr>
        <w:t>a</w:t>
      </w:r>
      <w:r w:rsidRPr="00594A23">
        <w:rPr>
          <w:lang w:eastAsia="fr-FR" w:bidi="fr-FR"/>
        </w:rPr>
        <w:t>tion de l’exercice de la puissance</w:t>
      </w:r>
      <w:r w:rsidRPr="00594A23">
        <w:t> :</w:t>
      </w:r>
      <w:r w:rsidRPr="00594A23">
        <w:rPr>
          <w:lang w:eastAsia="fr-FR" w:bidi="fr-FR"/>
        </w:rPr>
        <w:t xml:space="preserve"> ce sont ultimement des présidents réali</w:t>
      </w:r>
      <w:r w:rsidRPr="00594A23">
        <w:rPr>
          <w:lang w:eastAsia="fr-FR" w:bidi="fr-FR"/>
        </w:rPr>
        <w:t>s</w:t>
      </w:r>
      <w:r w:rsidRPr="00594A23">
        <w:rPr>
          <w:lang w:eastAsia="fr-FR" w:bidi="fr-FR"/>
        </w:rPr>
        <w:t>tes, confrontés aux affres de la guerre froide, s’appuyant ponctuell</w:t>
      </w:r>
      <w:r w:rsidRPr="00594A23">
        <w:rPr>
          <w:lang w:eastAsia="fr-FR" w:bidi="fr-FR"/>
        </w:rPr>
        <w:t>e</w:t>
      </w:r>
      <w:r w:rsidRPr="00594A23">
        <w:rPr>
          <w:lang w:eastAsia="fr-FR" w:bidi="fr-FR"/>
        </w:rPr>
        <w:t>ment sur les principes idéalistes. C’est une question de gr</w:t>
      </w:r>
      <w:r w:rsidRPr="00594A23">
        <w:rPr>
          <w:lang w:eastAsia="fr-FR" w:bidi="fr-FR"/>
        </w:rPr>
        <w:t>a</w:t>
      </w:r>
      <w:r w:rsidRPr="00594A23">
        <w:rPr>
          <w:lang w:eastAsia="fr-FR" w:bidi="fr-FR"/>
        </w:rPr>
        <w:t>dation et de conjecture.</w:t>
      </w:r>
    </w:p>
    <w:p w14:paraId="2CF73659" w14:textId="77777777" w:rsidR="0039793A" w:rsidRDefault="0039793A" w:rsidP="0039793A">
      <w:pPr>
        <w:spacing w:before="120" w:after="120"/>
        <w:jc w:val="both"/>
        <w:rPr>
          <w:lang w:eastAsia="fr-FR" w:bidi="fr-FR"/>
        </w:rPr>
      </w:pPr>
      <w:r w:rsidRPr="00594A23">
        <w:rPr>
          <w:lang w:eastAsia="fr-FR" w:bidi="fr-FR"/>
        </w:rPr>
        <w:t xml:space="preserve">Jimmy Carter représente sans doute le mieux l’idéalisme libéral sous sa forme contemporaine. Il a élaboré une politique fondée sur le respect des droits humains à l’intérieur des frontières d’autres </w:t>
      </w:r>
      <w:r>
        <w:rPr>
          <w:lang w:eastAsia="fr-FR" w:bidi="fr-FR"/>
        </w:rPr>
        <w:t>État</w:t>
      </w:r>
      <w:r w:rsidRPr="00594A23">
        <w:rPr>
          <w:lang w:eastAsia="fr-FR" w:bidi="fr-FR"/>
        </w:rPr>
        <w:t xml:space="preserve">s (en exprimant sa sympathie par exemple aux opposants de régimes répressifs en </w:t>
      </w:r>
      <w:r w:rsidRPr="00594A23">
        <w:t xml:space="preserve">URSS, </w:t>
      </w:r>
      <w:r w:rsidRPr="00594A23">
        <w:rPr>
          <w:lang w:eastAsia="fr-FR" w:bidi="fr-FR"/>
        </w:rPr>
        <w:t>en In</w:t>
      </w:r>
      <w:r>
        <w:rPr>
          <w:lang w:eastAsia="fr-FR" w:bidi="fr-FR"/>
        </w:rPr>
        <w:t>donésie, aux Phi</w:t>
      </w:r>
      <w:r w:rsidRPr="00594A23">
        <w:rPr>
          <w:lang w:eastAsia="fr-FR" w:bidi="fr-FR"/>
        </w:rPr>
        <w:t>lippines</w:t>
      </w:r>
      <w:r>
        <w:t xml:space="preserve"> [88]</w:t>
      </w:r>
      <w:r w:rsidRPr="00594A23">
        <w:rPr>
          <w:lang w:eastAsia="fr-FR" w:bidi="fr-FR"/>
        </w:rPr>
        <w:t xml:space="preserve"> et dans ce</w:t>
      </w:r>
      <w:r w:rsidRPr="00594A23">
        <w:rPr>
          <w:lang w:eastAsia="fr-FR" w:bidi="fr-FR"/>
        </w:rPr>
        <w:t>r</w:t>
      </w:r>
      <w:r w:rsidRPr="00594A23">
        <w:rPr>
          <w:lang w:eastAsia="fr-FR" w:bidi="fr-FR"/>
        </w:rPr>
        <w:t>tains États d’Afrique, co</w:t>
      </w:r>
      <w:r w:rsidRPr="00594A23">
        <w:rPr>
          <w:lang w:eastAsia="fr-FR" w:bidi="fr-FR"/>
        </w:rPr>
        <w:t>m</w:t>
      </w:r>
      <w:r w:rsidRPr="00594A23">
        <w:rPr>
          <w:lang w:eastAsia="fr-FR" w:bidi="fr-FR"/>
        </w:rPr>
        <w:t>me l’Angola et le Mozambique), il s’est employé à atténuer la portée de la domination américaine en Amér</w:t>
      </w:r>
      <w:r w:rsidRPr="00594A23">
        <w:rPr>
          <w:lang w:eastAsia="fr-FR" w:bidi="fr-FR"/>
        </w:rPr>
        <w:t>i</w:t>
      </w:r>
      <w:r w:rsidRPr="00594A23">
        <w:rPr>
          <w:lang w:eastAsia="fr-FR" w:bidi="fr-FR"/>
        </w:rPr>
        <w:t>que latine, notamment à Panama, au Nicar</w:t>
      </w:r>
      <w:r w:rsidRPr="00594A23">
        <w:rPr>
          <w:lang w:eastAsia="fr-FR" w:bidi="fr-FR"/>
        </w:rPr>
        <w:t>a</w:t>
      </w:r>
      <w:r w:rsidRPr="00594A23">
        <w:rPr>
          <w:lang w:eastAsia="fr-FR" w:bidi="fr-FR"/>
        </w:rPr>
        <w:t>gua et au Salvador, et à jouer un rôle de médiateur au Moyen-Orient</w:t>
      </w:r>
      <w:r>
        <w:rPr>
          <w:lang w:eastAsia="fr-FR" w:bidi="fr-FR"/>
        </w:rPr>
        <w:t> </w:t>
      </w:r>
      <w:r>
        <w:rPr>
          <w:rStyle w:val="Appelnotedebasdep"/>
          <w:lang w:eastAsia="fr-FR" w:bidi="fr-FR"/>
        </w:rPr>
        <w:footnoteReference w:id="194"/>
      </w:r>
      <w:r w:rsidRPr="00594A23">
        <w:rPr>
          <w:lang w:eastAsia="fr-FR" w:bidi="fr-FR"/>
        </w:rPr>
        <w:t>. Son idéalisme s’est pourtant heurté - un peu comme jadis Woodrow Wilson - aux inévit</w:t>
      </w:r>
      <w:r w:rsidRPr="00594A23">
        <w:rPr>
          <w:lang w:eastAsia="fr-FR" w:bidi="fr-FR"/>
        </w:rPr>
        <w:t>a</w:t>
      </w:r>
      <w:r w:rsidRPr="00594A23">
        <w:rPr>
          <w:lang w:eastAsia="fr-FR" w:bidi="fr-FR"/>
        </w:rPr>
        <w:t>bles affrontements de la guerre froide et à des évén</w:t>
      </w:r>
      <w:r w:rsidRPr="00594A23">
        <w:rPr>
          <w:lang w:eastAsia="fr-FR" w:bidi="fr-FR"/>
        </w:rPr>
        <w:t>e</w:t>
      </w:r>
      <w:r w:rsidRPr="00594A23">
        <w:rPr>
          <w:lang w:eastAsia="fr-FR" w:bidi="fr-FR"/>
        </w:rPr>
        <w:t>ments justifiant le conservatisme et la méfiance croissante de la pop</w:t>
      </w:r>
      <w:r w:rsidRPr="00594A23">
        <w:rPr>
          <w:lang w:eastAsia="fr-FR" w:bidi="fr-FR"/>
        </w:rPr>
        <w:t>u</w:t>
      </w:r>
      <w:r w:rsidRPr="00594A23">
        <w:rPr>
          <w:lang w:eastAsia="fr-FR" w:bidi="fr-FR"/>
        </w:rPr>
        <w:t>lation américaine</w:t>
      </w:r>
      <w:r w:rsidRPr="00594A23">
        <w:t> :</w:t>
      </w:r>
      <w:r w:rsidRPr="00594A23">
        <w:rPr>
          <w:lang w:eastAsia="fr-FR" w:bidi="fr-FR"/>
        </w:rPr>
        <w:t xml:space="preserve"> la révolution iranienne, la prise d’otages à Téhéran et l’invasion de l’Afghanistan</w:t>
      </w:r>
      <w:r>
        <w:rPr>
          <w:lang w:eastAsia="fr-FR" w:bidi="fr-FR"/>
        </w:rPr>
        <w:t> </w:t>
      </w:r>
      <w:r>
        <w:rPr>
          <w:rStyle w:val="Appelnotedebasdep"/>
          <w:lang w:eastAsia="fr-FR" w:bidi="fr-FR"/>
        </w:rPr>
        <w:footnoteReference w:id="195"/>
      </w:r>
      <w:r w:rsidRPr="00594A23">
        <w:rPr>
          <w:lang w:eastAsia="fr-FR" w:bidi="fr-FR"/>
        </w:rPr>
        <w:t>. L’idéalisme lib</w:t>
      </w:r>
      <w:r w:rsidRPr="00594A23">
        <w:rPr>
          <w:lang w:eastAsia="fr-FR" w:bidi="fr-FR"/>
        </w:rPr>
        <w:t>é</w:t>
      </w:r>
      <w:r w:rsidRPr="00594A23">
        <w:rPr>
          <w:lang w:eastAsia="fr-FR" w:bidi="fr-FR"/>
        </w:rPr>
        <w:t>ral n’avait alors plus sa place. Cet idéalisme ne réapparaît d’ailleurs qu’avec Bill Cli</w:t>
      </w:r>
      <w:r w:rsidRPr="00594A23">
        <w:rPr>
          <w:lang w:eastAsia="fr-FR" w:bidi="fr-FR"/>
        </w:rPr>
        <w:t>n</w:t>
      </w:r>
      <w:r w:rsidRPr="00594A23">
        <w:rPr>
          <w:lang w:eastAsia="fr-FR" w:bidi="fr-FR"/>
        </w:rPr>
        <w:t>ton. Dans l’énoncé des principes, dans la terminologie des discours clinto- niens, les op</w:t>
      </w:r>
      <w:r w:rsidRPr="00594A23">
        <w:rPr>
          <w:lang w:eastAsia="fr-FR" w:bidi="fr-FR"/>
        </w:rPr>
        <w:t>é</w:t>
      </w:r>
      <w:r w:rsidRPr="00594A23">
        <w:rPr>
          <w:lang w:eastAsia="fr-FR" w:bidi="fr-FR"/>
        </w:rPr>
        <w:t>rations en Somalie en 1993, en Haïti en 1994, en Bosnie en 1995, au Kosovo en 1999, ainsi que la politique de l’élargissement démocrat</w:t>
      </w:r>
      <w:r w:rsidRPr="00594A23">
        <w:rPr>
          <w:lang w:eastAsia="fr-FR" w:bidi="fr-FR"/>
        </w:rPr>
        <w:t>i</w:t>
      </w:r>
      <w:r w:rsidRPr="00594A23">
        <w:rPr>
          <w:lang w:eastAsia="fr-FR" w:bidi="fr-FR"/>
        </w:rPr>
        <w:t>que énoncée en 1994, évoquent des princ</w:t>
      </w:r>
      <w:r w:rsidRPr="00594A23">
        <w:rPr>
          <w:lang w:eastAsia="fr-FR" w:bidi="fr-FR"/>
        </w:rPr>
        <w:t>i</w:t>
      </w:r>
      <w:r w:rsidRPr="00594A23">
        <w:rPr>
          <w:lang w:eastAsia="fr-FR" w:bidi="fr-FR"/>
        </w:rPr>
        <w:t xml:space="preserve">pes idéalistes. </w:t>
      </w:r>
      <w:r>
        <w:rPr>
          <w:lang w:eastAsia="fr-FR" w:bidi="fr-FR"/>
        </w:rPr>
        <w:t>À</w:t>
      </w:r>
      <w:r w:rsidRPr="00594A23">
        <w:rPr>
          <w:lang w:eastAsia="fr-FR" w:bidi="fr-FR"/>
        </w:rPr>
        <w:t xml:space="preserve"> l’instar de Carter, et de la même manière, les évén</w:t>
      </w:r>
      <w:r w:rsidRPr="00594A23">
        <w:rPr>
          <w:lang w:eastAsia="fr-FR" w:bidi="fr-FR"/>
        </w:rPr>
        <w:t>e</w:t>
      </w:r>
      <w:r w:rsidRPr="00594A23">
        <w:rPr>
          <w:lang w:eastAsia="fr-FR" w:bidi="fr-FR"/>
        </w:rPr>
        <w:t>ments et le cours des relations internationales vont pourtant amener Clinton à réorienter la politique étrangère, à redéfinir le dosage et à réintroduire massivement les a</w:t>
      </w:r>
      <w:r w:rsidRPr="00594A23">
        <w:rPr>
          <w:lang w:eastAsia="fr-FR" w:bidi="fr-FR"/>
        </w:rPr>
        <w:t>p</w:t>
      </w:r>
      <w:r w:rsidRPr="00594A23">
        <w:rPr>
          <w:lang w:eastAsia="fr-FR" w:bidi="fr-FR"/>
        </w:rPr>
        <w:t>proches réalistes et internationalistes en cours de mandat.</w:t>
      </w:r>
    </w:p>
    <w:p w14:paraId="22ECB9CB" w14:textId="77777777" w:rsidR="0039793A" w:rsidRPr="00594A23" w:rsidRDefault="0039793A" w:rsidP="0039793A">
      <w:pPr>
        <w:spacing w:before="120" w:after="120"/>
        <w:jc w:val="both"/>
      </w:pPr>
    </w:p>
    <w:p w14:paraId="6EA062D5" w14:textId="77777777" w:rsidR="0039793A" w:rsidRPr="000D18BA" w:rsidRDefault="0039793A" w:rsidP="0039793A">
      <w:pPr>
        <w:pStyle w:val="b"/>
        <w:rPr>
          <w:lang w:eastAsia="fr-FR" w:bidi="fr-FR"/>
        </w:rPr>
      </w:pPr>
      <w:r w:rsidRPr="000D18BA">
        <w:rPr>
          <w:lang w:eastAsia="fr-FR" w:bidi="fr-FR"/>
        </w:rPr>
        <w:t>Les idéalistes conservateurs</w:t>
      </w:r>
    </w:p>
    <w:p w14:paraId="19FC672A" w14:textId="77777777" w:rsidR="0039793A" w:rsidRPr="00594A23" w:rsidRDefault="0039793A" w:rsidP="0039793A">
      <w:pPr>
        <w:spacing w:before="120" w:after="120"/>
        <w:jc w:val="both"/>
      </w:pPr>
    </w:p>
    <w:p w14:paraId="030E6B63" w14:textId="77777777" w:rsidR="0039793A" w:rsidRPr="00594A23" w:rsidRDefault="0039793A" w:rsidP="0039793A">
      <w:pPr>
        <w:spacing w:before="120" w:after="120"/>
        <w:jc w:val="both"/>
      </w:pPr>
      <w:r w:rsidRPr="00594A23">
        <w:rPr>
          <w:lang w:eastAsia="fr-FR" w:bidi="fr-FR"/>
        </w:rPr>
        <w:t>L’idéalisme se retrouve encore sous une forme conservatrice qu’il n’est pas toujours facile de distinguer de la version libérale. On pou</w:t>
      </w:r>
      <w:r w:rsidRPr="00594A23">
        <w:rPr>
          <w:lang w:eastAsia="fr-FR" w:bidi="fr-FR"/>
        </w:rPr>
        <w:t>r</w:t>
      </w:r>
      <w:r w:rsidRPr="00594A23">
        <w:rPr>
          <w:lang w:eastAsia="fr-FR" w:bidi="fr-FR"/>
        </w:rPr>
        <w:t>rait définir l’idéalisme conservateur comme le recours à de grands principes universels pour justifier et fonder une politique en réalité complètement vouée à la suprématie américaine et à la promotion du capitalisme. Il s’agit là sans doute plutôt d’un prétexte que d’un vér</w:t>
      </w:r>
      <w:r w:rsidRPr="00594A23">
        <w:rPr>
          <w:lang w:eastAsia="fr-FR" w:bidi="fr-FR"/>
        </w:rPr>
        <w:t>i</w:t>
      </w:r>
      <w:r w:rsidRPr="00594A23">
        <w:rPr>
          <w:lang w:eastAsia="fr-FR" w:bidi="fr-FR"/>
        </w:rPr>
        <w:t>table idéalisme traduit en politiques. Ainsi, cette forme d’idéalisme cherche moins à assurer un ordre</w:t>
      </w:r>
      <w:r>
        <w:t xml:space="preserve"> [89] </w:t>
      </w:r>
      <w:r w:rsidRPr="00594A23">
        <w:rPr>
          <w:lang w:eastAsia="fr-FR" w:bidi="fr-FR"/>
        </w:rPr>
        <w:t>international fondé sur la paix et la pratique de la démocratie qu’à protéger la liberté du commerce et un modèle américain qu’on che</w:t>
      </w:r>
      <w:r w:rsidRPr="00594A23">
        <w:rPr>
          <w:lang w:eastAsia="fr-FR" w:bidi="fr-FR"/>
        </w:rPr>
        <w:t>r</w:t>
      </w:r>
      <w:r w:rsidRPr="00594A23">
        <w:rPr>
          <w:lang w:eastAsia="fr-FR" w:bidi="fr-FR"/>
        </w:rPr>
        <w:t>che à imposer sans compromis. L’idéalisme conservateur ne r</w:t>
      </w:r>
      <w:r w:rsidRPr="00594A23">
        <w:rPr>
          <w:lang w:eastAsia="fr-FR" w:bidi="fr-FR"/>
        </w:rPr>
        <w:t>e</w:t>
      </w:r>
      <w:r w:rsidRPr="00594A23">
        <w:rPr>
          <w:lang w:eastAsia="fr-FR" w:bidi="fr-FR"/>
        </w:rPr>
        <w:t>connaît pas la diversité des expériences démocrat</w:t>
      </w:r>
      <w:r w:rsidRPr="00594A23">
        <w:rPr>
          <w:lang w:eastAsia="fr-FR" w:bidi="fr-FR"/>
        </w:rPr>
        <w:t>i</w:t>
      </w:r>
      <w:r w:rsidRPr="00594A23">
        <w:rPr>
          <w:lang w:eastAsia="fr-FR" w:bidi="fr-FR"/>
        </w:rPr>
        <w:t>ques ni toujours le droit des peuples à disposer d’eux-mêmes. Tandis que les libéraux idéalistes tel Wilson entendent respe</w:t>
      </w:r>
      <w:r w:rsidRPr="00594A23">
        <w:rPr>
          <w:lang w:eastAsia="fr-FR" w:bidi="fr-FR"/>
        </w:rPr>
        <w:t>c</w:t>
      </w:r>
      <w:r w:rsidRPr="00594A23">
        <w:rPr>
          <w:lang w:eastAsia="fr-FR" w:bidi="fr-FR"/>
        </w:rPr>
        <w:t>ter les souverainetés étatiques et instituer la coopération, les conserv</w:t>
      </w:r>
      <w:r w:rsidRPr="00594A23">
        <w:rPr>
          <w:lang w:eastAsia="fr-FR" w:bidi="fr-FR"/>
        </w:rPr>
        <w:t>a</w:t>
      </w:r>
      <w:r w:rsidRPr="00594A23">
        <w:rPr>
          <w:lang w:eastAsia="fr-FR" w:bidi="fr-FR"/>
        </w:rPr>
        <w:t>teurs cherchent plutôt à fonder un monde essentiell</w:t>
      </w:r>
      <w:r w:rsidRPr="00594A23">
        <w:rPr>
          <w:lang w:eastAsia="fr-FR" w:bidi="fr-FR"/>
        </w:rPr>
        <w:t>e</w:t>
      </w:r>
      <w:r w:rsidRPr="00594A23">
        <w:rPr>
          <w:lang w:eastAsia="fr-FR" w:bidi="fr-FR"/>
        </w:rPr>
        <w:t>ment basé sur le modèle américain.</w:t>
      </w:r>
    </w:p>
    <w:p w14:paraId="5B3A601F" w14:textId="77777777" w:rsidR="0039793A" w:rsidRPr="00594A23" w:rsidRDefault="0039793A" w:rsidP="0039793A">
      <w:pPr>
        <w:spacing w:before="120" w:after="120"/>
        <w:jc w:val="both"/>
      </w:pPr>
      <w:r w:rsidRPr="00594A23">
        <w:rPr>
          <w:lang w:eastAsia="fr-FR" w:bidi="fr-FR"/>
        </w:rPr>
        <w:t>Avec la guerre froide et la lutte contre le communisme internati</w:t>
      </w:r>
      <w:r w:rsidRPr="00594A23">
        <w:rPr>
          <w:lang w:eastAsia="fr-FR" w:bidi="fr-FR"/>
        </w:rPr>
        <w:t>o</w:t>
      </w:r>
      <w:r w:rsidRPr="00594A23">
        <w:rPr>
          <w:lang w:eastAsia="fr-FR" w:bidi="fr-FR"/>
        </w:rPr>
        <w:t>nal, les dirigeants américains en sont venus à pratiquer une politique intransigeante et tellement axée sur la supériorité morale amér</w:t>
      </w:r>
      <w:r w:rsidRPr="00594A23">
        <w:rPr>
          <w:lang w:eastAsia="fr-FR" w:bidi="fr-FR"/>
        </w:rPr>
        <w:t>i</w:t>
      </w:r>
      <w:r w:rsidRPr="00594A23">
        <w:rPr>
          <w:lang w:eastAsia="fr-FR" w:bidi="fr-FR"/>
        </w:rPr>
        <w:t>caine qu’ils en oublient le respect des libertés et de la démocratie là où l’on craint de voir surgir le communisme. John Foster Dulles, secrétaire d’</w:t>
      </w:r>
      <w:r>
        <w:rPr>
          <w:lang w:eastAsia="fr-FR" w:bidi="fr-FR"/>
        </w:rPr>
        <w:t>État</w:t>
      </w:r>
      <w:r w:rsidRPr="00594A23">
        <w:rPr>
          <w:lang w:eastAsia="fr-FR" w:bidi="fr-FR"/>
        </w:rPr>
        <w:t xml:space="preserve"> du président Eisenhower, est persuadé de l’exceptionnalisme moral de son pays</w:t>
      </w:r>
      <w:r w:rsidRPr="00594A23">
        <w:t> :</w:t>
      </w:r>
      <w:r w:rsidRPr="00594A23">
        <w:rPr>
          <w:lang w:eastAsia="fr-FR" w:bidi="fr-FR"/>
        </w:rPr>
        <w:t xml:space="preserve"> toute ve</w:t>
      </w:r>
      <w:r w:rsidRPr="00594A23">
        <w:rPr>
          <w:lang w:eastAsia="fr-FR" w:bidi="fr-FR"/>
        </w:rPr>
        <w:t>l</w:t>
      </w:r>
      <w:r w:rsidRPr="00594A23">
        <w:rPr>
          <w:lang w:eastAsia="fr-FR" w:bidi="fr-FR"/>
        </w:rPr>
        <w:t xml:space="preserve">léité de dissociation du camp américain </w:t>
      </w:r>
      <w:r>
        <w:rPr>
          <w:lang w:eastAsia="fr-FR" w:bidi="fr-FR"/>
        </w:rPr>
        <w:t>est donc perçue comme suspecte </w:t>
      </w:r>
      <w:r>
        <w:rPr>
          <w:rStyle w:val="Appelnotedebasdep"/>
          <w:lang w:eastAsia="fr-FR" w:bidi="fr-FR"/>
        </w:rPr>
        <w:footnoteReference w:id="196"/>
      </w:r>
      <w:r w:rsidRPr="00594A23">
        <w:rPr>
          <w:lang w:eastAsia="fr-FR" w:bidi="fr-FR"/>
        </w:rPr>
        <w:t>. Ronald Reagan va plus loin en s’appuyant sur la distinction entre régimes autoritaires et régimes tot</w:t>
      </w:r>
      <w:r w:rsidRPr="00594A23">
        <w:rPr>
          <w:lang w:eastAsia="fr-FR" w:bidi="fr-FR"/>
        </w:rPr>
        <w:t>a</w:t>
      </w:r>
      <w:r w:rsidRPr="00594A23">
        <w:rPr>
          <w:lang w:eastAsia="fr-FR" w:bidi="fr-FR"/>
        </w:rPr>
        <w:t xml:space="preserve">litaires. Il soutient la mission providentielle des </w:t>
      </w:r>
      <w:r>
        <w:rPr>
          <w:lang w:eastAsia="fr-FR" w:bidi="fr-FR"/>
        </w:rPr>
        <w:t>État</w:t>
      </w:r>
      <w:r w:rsidRPr="00594A23">
        <w:rPr>
          <w:lang w:eastAsia="fr-FR" w:bidi="fr-FR"/>
        </w:rPr>
        <w:t>s-Unis, promeut les grands principes universels portés par la Déclar</w:t>
      </w:r>
      <w:r w:rsidRPr="00594A23">
        <w:rPr>
          <w:lang w:eastAsia="fr-FR" w:bidi="fr-FR"/>
        </w:rPr>
        <w:t>a</w:t>
      </w:r>
      <w:r w:rsidRPr="00594A23">
        <w:rPr>
          <w:lang w:eastAsia="fr-FR" w:bidi="fr-FR"/>
        </w:rPr>
        <w:t>tion d’indépendance, mais il devient plutôt réaliste quand il admet que son pays peut se permettre des alliances douteuses pourvu que l’objectif demeure l’endiguement du totalitarisme communiste</w:t>
      </w:r>
      <w:r>
        <w:rPr>
          <w:lang w:eastAsia="fr-FR" w:bidi="fr-FR"/>
        </w:rPr>
        <w:t> </w:t>
      </w:r>
      <w:r>
        <w:rPr>
          <w:rStyle w:val="Appelnotedebasdep"/>
          <w:lang w:eastAsia="fr-FR" w:bidi="fr-FR"/>
        </w:rPr>
        <w:footnoteReference w:id="197"/>
      </w:r>
      <w:r w:rsidRPr="00594A23">
        <w:rPr>
          <w:lang w:eastAsia="fr-FR" w:bidi="fr-FR"/>
        </w:rPr>
        <w:t>. Reagan util</w:t>
      </w:r>
      <w:r w:rsidRPr="00594A23">
        <w:rPr>
          <w:lang w:eastAsia="fr-FR" w:bidi="fr-FR"/>
        </w:rPr>
        <w:t>i</w:t>
      </w:r>
      <w:r w:rsidRPr="00594A23">
        <w:rPr>
          <w:lang w:eastAsia="fr-FR" w:bidi="fr-FR"/>
        </w:rPr>
        <w:t>se l’idéalisme quand il reprend la m</w:t>
      </w:r>
      <w:r w:rsidRPr="00594A23">
        <w:rPr>
          <w:lang w:eastAsia="fr-FR" w:bidi="fr-FR"/>
        </w:rPr>
        <w:t>é</w:t>
      </w:r>
      <w:r w:rsidRPr="00594A23">
        <w:rPr>
          <w:lang w:eastAsia="fr-FR" w:bidi="fr-FR"/>
        </w:rPr>
        <w:t xml:space="preserve">taphore de </w:t>
      </w:r>
      <w:r w:rsidRPr="00594A23">
        <w:t>« </w:t>
      </w:r>
      <w:r w:rsidRPr="00594A23">
        <w:rPr>
          <w:lang w:eastAsia="fr-FR" w:bidi="fr-FR"/>
        </w:rPr>
        <w:t>la ville qui brille sur la montagne</w:t>
      </w:r>
      <w:r>
        <w:rPr>
          <w:lang w:eastAsia="fr-FR" w:bidi="fr-FR"/>
        </w:rPr>
        <w:t> </w:t>
      </w:r>
      <w:r>
        <w:rPr>
          <w:rStyle w:val="Appelnotedebasdep"/>
          <w:lang w:eastAsia="fr-FR" w:bidi="fr-FR"/>
        </w:rPr>
        <w:footnoteReference w:id="198"/>
      </w:r>
      <w:r w:rsidRPr="00594A23">
        <w:t> »</w:t>
      </w:r>
      <w:r w:rsidRPr="00594A23">
        <w:rPr>
          <w:lang w:eastAsia="fr-FR" w:bidi="fr-FR"/>
        </w:rPr>
        <w:t xml:space="preserve"> et identifie l’ennemi communiste à </w:t>
      </w:r>
      <w:r w:rsidRPr="00594A23">
        <w:t>« </w:t>
      </w:r>
      <w:r w:rsidRPr="00594A23">
        <w:rPr>
          <w:lang w:eastAsia="fr-FR" w:bidi="fr-FR"/>
        </w:rPr>
        <w:t>l’empire du mal</w:t>
      </w:r>
      <w:r>
        <w:rPr>
          <w:lang w:eastAsia="fr-FR" w:bidi="fr-FR"/>
        </w:rPr>
        <w:t> </w:t>
      </w:r>
      <w:r>
        <w:rPr>
          <w:rStyle w:val="Appelnotedebasdep"/>
          <w:lang w:eastAsia="fr-FR" w:bidi="fr-FR"/>
        </w:rPr>
        <w:footnoteReference w:id="199"/>
      </w:r>
      <w:r w:rsidRPr="00594A23">
        <w:t> »</w:t>
      </w:r>
      <w:r w:rsidRPr="00594A23">
        <w:rPr>
          <w:lang w:eastAsia="fr-FR" w:bidi="fr-FR"/>
        </w:rPr>
        <w:t>. Convaincu du danger des armes nucléaires, Reagan est idé</w:t>
      </w:r>
      <w:r w:rsidRPr="00594A23">
        <w:rPr>
          <w:lang w:eastAsia="fr-FR" w:bidi="fr-FR"/>
        </w:rPr>
        <w:t>a</w:t>
      </w:r>
      <w:r w:rsidRPr="00594A23">
        <w:rPr>
          <w:lang w:eastAsia="fr-FR" w:bidi="fr-FR"/>
        </w:rPr>
        <w:t>liste en ce sens qu’il recherche,</w:t>
      </w:r>
      <w:r>
        <w:rPr>
          <w:lang w:eastAsia="fr-FR" w:bidi="fr-FR"/>
        </w:rPr>
        <w:t xml:space="preserve"> </w:t>
      </w:r>
      <w:r>
        <w:t xml:space="preserve">[90] </w:t>
      </w:r>
      <w:r w:rsidRPr="00594A23">
        <w:rPr>
          <w:lang w:eastAsia="fr-FR" w:bidi="fr-FR"/>
        </w:rPr>
        <w:t>avec le programme d’initiative de défense str</w:t>
      </w:r>
      <w:r w:rsidRPr="00594A23">
        <w:rPr>
          <w:lang w:eastAsia="fr-FR" w:bidi="fr-FR"/>
        </w:rPr>
        <w:t>a</w:t>
      </w:r>
      <w:r w:rsidRPr="00594A23">
        <w:rPr>
          <w:lang w:eastAsia="fr-FR" w:bidi="fr-FR"/>
        </w:rPr>
        <w:t xml:space="preserve">tégique, à concevoir une défense parfaite pour les États-Unis et, à terme pour l’humanité. George W. Bush s’inscrit dans la même veine, car lui aussi divise le monde en deux camps et oppose les États-Unis, modèle de la liberté, à </w:t>
      </w:r>
      <w:r w:rsidRPr="00594A23">
        <w:t>« </w:t>
      </w:r>
      <w:r w:rsidRPr="00594A23">
        <w:rPr>
          <w:lang w:eastAsia="fr-FR" w:bidi="fr-FR"/>
        </w:rPr>
        <w:t>l’axe du mal</w:t>
      </w:r>
      <w:r>
        <w:rPr>
          <w:lang w:eastAsia="fr-FR" w:bidi="fr-FR"/>
        </w:rPr>
        <w:t> </w:t>
      </w:r>
      <w:r>
        <w:rPr>
          <w:rStyle w:val="Appelnotedebasdep"/>
          <w:lang w:eastAsia="fr-FR" w:bidi="fr-FR"/>
        </w:rPr>
        <w:footnoteReference w:id="200"/>
      </w:r>
      <w:r w:rsidRPr="00594A23">
        <w:t> »</w:t>
      </w:r>
      <w:r w:rsidRPr="00594A23">
        <w:rPr>
          <w:lang w:eastAsia="fr-FR" w:bidi="fr-FR"/>
        </w:rPr>
        <w:t>. Ici encore, il s’agit bien moins d’assurer un nouvel ordre international que de d</w:t>
      </w:r>
      <w:r w:rsidRPr="00594A23">
        <w:rPr>
          <w:lang w:eastAsia="fr-FR" w:bidi="fr-FR"/>
        </w:rPr>
        <w:t>é</w:t>
      </w:r>
      <w:r w:rsidRPr="00594A23">
        <w:rPr>
          <w:lang w:eastAsia="fr-FR" w:bidi="fr-FR"/>
        </w:rPr>
        <w:t>raciner le terrorisme et de mettre en œuvre le rêve reaganien de défe</w:t>
      </w:r>
      <w:r w:rsidRPr="00594A23">
        <w:rPr>
          <w:lang w:eastAsia="fr-FR" w:bidi="fr-FR"/>
        </w:rPr>
        <w:t>n</w:t>
      </w:r>
      <w:r w:rsidRPr="00594A23">
        <w:rPr>
          <w:lang w:eastAsia="fr-FR" w:bidi="fr-FR"/>
        </w:rPr>
        <w:t>se parfaite sous la forme du pr</w:t>
      </w:r>
      <w:r w:rsidRPr="00594A23">
        <w:rPr>
          <w:lang w:eastAsia="fr-FR" w:bidi="fr-FR"/>
        </w:rPr>
        <w:t>o</w:t>
      </w:r>
      <w:r w:rsidRPr="00594A23">
        <w:rPr>
          <w:lang w:eastAsia="fr-FR" w:bidi="fr-FR"/>
        </w:rPr>
        <w:t>gramme de défense antimissile</w:t>
      </w:r>
      <w:r>
        <w:rPr>
          <w:lang w:eastAsia="fr-FR" w:bidi="fr-FR"/>
        </w:rPr>
        <w:t> </w:t>
      </w:r>
      <w:r>
        <w:rPr>
          <w:rStyle w:val="Appelnotedebasdep"/>
          <w:lang w:eastAsia="fr-FR" w:bidi="fr-FR"/>
        </w:rPr>
        <w:footnoteReference w:id="201"/>
      </w:r>
      <w:r w:rsidRPr="00594A23">
        <w:rPr>
          <w:lang w:eastAsia="fr-FR" w:bidi="fr-FR"/>
        </w:rPr>
        <w:t>. L’idéalisme conservateur apparaît donc le plus souvent comme un prétexte plutôt que comme une véritable pol</w:t>
      </w:r>
      <w:r w:rsidRPr="00594A23">
        <w:rPr>
          <w:lang w:eastAsia="fr-FR" w:bidi="fr-FR"/>
        </w:rPr>
        <w:t>i</w:t>
      </w:r>
      <w:r w:rsidRPr="00594A23">
        <w:rPr>
          <w:lang w:eastAsia="fr-FR" w:bidi="fr-FR"/>
        </w:rPr>
        <w:t>tique.</w:t>
      </w:r>
    </w:p>
    <w:p w14:paraId="69867714" w14:textId="77777777" w:rsidR="0039793A" w:rsidRPr="00F027E4" w:rsidRDefault="0039793A" w:rsidP="0039793A">
      <w:pPr>
        <w:jc w:val="both"/>
        <w:rPr>
          <w:sz w:val="20"/>
          <w:lang w:eastAsia="fr-FR" w:bidi="fr-FR"/>
        </w:rPr>
      </w:pPr>
    </w:p>
    <w:p w14:paraId="669327BC" w14:textId="77777777" w:rsidR="0039793A" w:rsidRPr="00594A23" w:rsidRDefault="0039793A" w:rsidP="0039793A">
      <w:pPr>
        <w:pStyle w:val="a"/>
      </w:pPr>
      <w:r w:rsidRPr="00594A23">
        <w:t>Le réalisme</w:t>
      </w:r>
    </w:p>
    <w:p w14:paraId="36683F99" w14:textId="77777777" w:rsidR="0039793A" w:rsidRPr="00F027E4" w:rsidRDefault="0039793A" w:rsidP="0039793A">
      <w:pPr>
        <w:jc w:val="both"/>
        <w:rPr>
          <w:sz w:val="20"/>
          <w:lang w:eastAsia="fr-FR" w:bidi="fr-FR"/>
        </w:rPr>
      </w:pPr>
    </w:p>
    <w:p w14:paraId="585CA46D" w14:textId="77777777" w:rsidR="0039793A" w:rsidRPr="00594A23" w:rsidRDefault="0039793A" w:rsidP="0039793A">
      <w:pPr>
        <w:spacing w:before="120" w:after="120"/>
        <w:jc w:val="both"/>
      </w:pPr>
      <w:r w:rsidRPr="00594A23">
        <w:rPr>
          <w:lang w:eastAsia="fr-FR" w:bidi="fr-FR"/>
        </w:rPr>
        <w:t>Le réalisme correspond à la poursuite d’une p</w:t>
      </w:r>
      <w:r w:rsidRPr="00594A23">
        <w:rPr>
          <w:lang w:eastAsia="fr-FR" w:bidi="fr-FR"/>
        </w:rPr>
        <w:t>o</w:t>
      </w:r>
      <w:r w:rsidRPr="00594A23">
        <w:rPr>
          <w:lang w:eastAsia="fr-FR" w:bidi="fr-FR"/>
        </w:rPr>
        <w:t>litique de puissance, à la défense des intérêts nationaux dans un monde anarchique. Initi</w:t>
      </w:r>
      <w:r w:rsidRPr="00594A23">
        <w:rPr>
          <w:lang w:eastAsia="fr-FR" w:bidi="fr-FR"/>
        </w:rPr>
        <w:t>a</w:t>
      </w:r>
      <w:r w:rsidRPr="00594A23">
        <w:rPr>
          <w:lang w:eastAsia="fr-FR" w:bidi="fr-FR"/>
        </w:rPr>
        <w:t>lement, les Américains rejettent le jeu des alliances à l’européenne et, avec lui, toute la tradition réaliste. Pour autant, la politique étrangère américaine, même à ses débuts, n’en est pas exempte.</w:t>
      </w:r>
    </w:p>
    <w:p w14:paraId="751CCD40" w14:textId="77777777" w:rsidR="0039793A" w:rsidRPr="00F027E4" w:rsidRDefault="0039793A" w:rsidP="0039793A">
      <w:pPr>
        <w:jc w:val="both"/>
        <w:rPr>
          <w:sz w:val="20"/>
          <w:lang w:eastAsia="fr-FR" w:bidi="fr-FR"/>
        </w:rPr>
      </w:pPr>
    </w:p>
    <w:p w14:paraId="6CFB006A" w14:textId="77777777" w:rsidR="0039793A" w:rsidRPr="000D18BA" w:rsidRDefault="0039793A" w:rsidP="0039793A">
      <w:pPr>
        <w:pStyle w:val="b"/>
      </w:pPr>
      <w:r w:rsidRPr="000D18BA">
        <w:rPr>
          <w:lang w:eastAsia="fr-FR" w:bidi="fr-FR"/>
        </w:rPr>
        <w:t>Une tradition réaliste</w:t>
      </w:r>
    </w:p>
    <w:p w14:paraId="744BDF8F" w14:textId="77777777" w:rsidR="0039793A" w:rsidRPr="00F027E4" w:rsidRDefault="0039793A" w:rsidP="0039793A">
      <w:pPr>
        <w:jc w:val="both"/>
        <w:rPr>
          <w:sz w:val="20"/>
          <w:lang w:eastAsia="fr-FR" w:bidi="fr-FR"/>
        </w:rPr>
      </w:pPr>
    </w:p>
    <w:p w14:paraId="1DCC774C" w14:textId="77777777" w:rsidR="0039793A" w:rsidRPr="00594A23" w:rsidRDefault="0039793A" w:rsidP="0039793A">
      <w:pPr>
        <w:spacing w:before="120" w:after="120"/>
        <w:jc w:val="both"/>
      </w:pPr>
      <w:r w:rsidRPr="00594A23">
        <w:rPr>
          <w:lang w:eastAsia="fr-FR" w:bidi="fr-FR"/>
        </w:rPr>
        <w:t>Dans une certaine mesure, Hamilton entretient une vision très r</w:t>
      </w:r>
      <w:r w:rsidRPr="00594A23">
        <w:rPr>
          <w:lang w:eastAsia="fr-FR" w:bidi="fr-FR"/>
        </w:rPr>
        <w:t>é</w:t>
      </w:r>
      <w:r w:rsidRPr="00594A23">
        <w:rPr>
          <w:lang w:eastAsia="fr-FR" w:bidi="fr-FR"/>
        </w:rPr>
        <w:t>aliste du monde. Théodore Ro</w:t>
      </w:r>
      <w:r w:rsidRPr="00594A23">
        <w:rPr>
          <w:lang w:eastAsia="fr-FR" w:bidi="fr-FR"/>
        </w:rPr>
        <w:t>o</w:t>
      </w:r>
      <w:r w:rsidRPr="00594A23">
        <w:rPr>
          <w:lang w:eastAsia="fr-FR" w:bidi="fr-FR"/>
        </w:rPr>
        <w:t>sevelt est également considéré comme l’un des grands présidents réalistes, artisan d’une politique étrangère active fondée sur l’intérêt national des États- Unis</w:t>
      </w:r>
      <w:r w:rsidRPr="00594A23">
        <w:t> :</w:t>
      </w:r>
      <w:r w:rsidRPr="00594A23">
        <w:rPr>
          <w:lang w:eastAsia="fr-FR" w:bidi="fr-FR"/>
        </w:rPr>
        <w:t xml:space="preserve"> </w:t>
      </w:r>
      <w:r w:rsidRPr="00594A23">
        <w:t>« </w:t>
      </w:r>
      <w:r w:rsidRPr="00594A23">
        <w:rPr>
          <w:lang w:eastAsia="fr-FR" w:bidi="fr-FR"/>
        </w:rPr>
        <w:t>Parlez douc</w:t>
      </w:r>
      <w:r w:rsidRPr="00594A23">
        <w:rPr>
          <w:lang w:eastAsia="fr-FR" w:bidi="fr-FR"/>
        </w:rPr>
        <w:t>e</w:t>
      </w:r>
      <w:r w:rsidRPr="00594A23">
        <w:rPr>
          <w:lang w:eastAsia="fr-FR" w:bidi="fr-FR"/>
        </w:rPr>
        <w:t>ment et maniez un gros bâton</w:t>
      </w:r>
      <w:r w:rsidRPr="00594A23">
        <w:t> »</w:t>
      </w:r>
      <w:r w:rsidRPr="00594A23">
        <w:rPr>
          <w:lang w:eastAsia="fr-FR" w:bidi="fr-FR"/>
        </w:rPr>
        <w:t>, disait-il.</w:t>
      </w:r>
    </w:p>
    <w:p w14:paraId="48096C4F" w14:textId="77777777" w:rsidR="0039793A" w:rsidRPr="00594A23" w:rsidRDefault="0039793A" w:rsidP="0039793A">
      <w:pPr>
        <w:spacing w:before="120" w:after="120"/>
        <w:jc w:val="both"/>
      </w:pPr>
      <w:r w:rsidRPr="00594A23">
        <w:rPr>
          <w:lang w:eastAsia="fr-FR" w:bidi="fr-FR"/>
        </w:rPr>
        <w:t>Il faudra attendre la deuxième guerre mondiale pour que soit a</w:t>
      </w:r>
      <w:r w:rsidRPr="00594A23">
        <w:rPr>
          <w:lang w:eastAsia="fr-FR" w:bidi="fr-FR"/>
        </w:rPr>
        <w:t>c</w:t>
      </w:r>
      <w:r w:rsidRPr="00594A23">
        <w:rPr>
          <w:lang w:eastAsia="fr-FR" w:bidi="fr-FR"/>
        </w:rPr>
        <w:t>créditée dans les milieux intelle</w:t>
      </w:r>
      <w:r w:rsidRPr="00594A23">
        <w:rPr>
          <w:lang w:eastAsia="fr-FR" w:bidi="fr-FR"/>
        </w:rPr>
        <w:t>c</w:t>
      </w:r>
      <w:r w:rsidRPr="00594A23">
        <w:rPr>
          <w:lang w:eastAsia="fr-FR" w:bidi="fr-FR"/>
        </w:rPr>
        <w:t xml:space="preserve">tuels puis dans le monde politique américains une conception réaliste des relations internationales. Le théologien américain Reinhold Niebuhr est l’un des inspirateurs de l’école réaliste américaine. Dès 1932, il publie un livre qui va faire école. Dans </w:t>
      </w:r>
      <w:r w:rsidRPr="00594A23">
        <w:t>Moral Man and Immoral Society</w:t>
      </w:r>
      <w:r>
        <w:rPr>
          <w:lang w:eastAsia="fr-FR" w:bidi="fr-FR"/>
        </w:rPr>
        <w:t> </w:t>
      </w:r>
      <w:r>
        <w:rPr>
          <w:rStyle w:val="Appelnotedebasdep"/>
          <w:lang w:eastAsia="fr-FR" w:bidi="fr-FR"/>
        </w:rPr>
        <w:footnoteReference w:id="202"/>
      </w:r>
      <w:r w:rsidRPr="00594A23">
        <w:rPr>
          <w:lang w:eastAsia="fr-FR" w:bidi="fr-FR"/>
        </w:rPr>
        <w:t>, Niebuhr offre une v</w:t>
      </w:r>
      <w:r w:rsidRPr="00594A23">
        <w:rPr>
          <w:lang w:eastAsia="fr-FR" w:bidi="fr-FR"/>
        </w:rPr>
        <w:t>i</w:t>
      </w:r>
      <w:r w:rsidRPr="00594A23">
        <w:rPr>
          <w:lang w:eastAsia="fr-FR" w:bidi="fr-FR"/>
        </w:rPr>
        <w:t>sion pessimiste des rapports sociaux et du monde politique. À ses yeux, la notion même de morale ne dépasse</w:t>
      </w:r>
      <w:r>
        <w:t xml:space="preserve"> [91] </w:t>
      </w:r>
      <w:r w:rsidRPr="00594A23">
        <w:rPr>
          <w:lang w:eastAsia="fr-FR" w:bidi="fr-FR"/>
        </w:rPr>
        <w:t>guère la sphère ind</w:t>
      </w:r>
      <w:r w:rsidRPr="00594A23">
        <w:rPr>
          <w:lang w:eastAsia="fr-FR" w:bidi="fr-FR"/>
        </w:rPr>
        <w:t>i</w:t>
      </w:r>
      <w:r w:rsidRPr="00594A23">
        <w:rPr>
          <w:lang w:eastAsia="fr-FR" w:bidi="fr-FR"/>
        </w:rPr>
        <w:t>viduelle et ses rapports sociaux limités. Par contre, les relations polit</w:t>
      </w:r>
      <w:r w:rsidRPr="00594A23">
        <w:rPr>
          <w:lang w:eastAsia="fr-FR" w:bidi="fr-FR"/>
        </w:rPr>
        <w:t>i</w:t>
      </w:r>
      <w:r w:rsidRPr="00594A23">
        <w:rPr>
          <w:lang w:eastAsia="fr-FR" w:bidi="fr-FR"/>
        </w:rPr>
        <w:t>ques sont d’un autre ordre que celui de la conscience morale indiv</w:t>
      </w:r>
      <w:r w:rsidRPr="00594A23">
        <w:rPr>
          <w:lang w:eastAsia="fr-FR" w:bidi="fr-FR"/>
        </w:rPr>
        <w:t>i</w:t>
      </w:r>
      <w:r w:rsidRPr="00594A23">
        <w:rPr>
          <w:lang w:eastAsia="fr-FR" w:bidi="fr-FR"/>
        </w:rPr>
        <w:t>duelle et ne peuvent être autre chose que des rapports de force. Ce que confirment, selon lui, les événements eur</w:t>
      </w:r>
      <w:r w:rsidRPr="00594A23">
        <w:rPr>
          <w:lang w:eastAsia="fr-FR" w:bidi="fr-FR"/>
        </w:rPr>
        <w:t>o</w:t>
      </w:r>
      <w:r w:rsidRPr="00594A23">
        <w:rPr>
          <w:lang w:eastAsia="fr-FR" w:bidi="fr-FR"/>
        </w:rPr>
        <w:t>péens et l’avènement des régimes dictatoriaux de l’entre-deux- gue</w:t>
      </w:r>
      <w:r w:rsidRPr="00594A23">
        <w:rPr>
          <w:lang w:eastAsia="fr-FR" w:bidi="fr-FR"/>
        </w:rPr>
        <w:t>r</w:t>
      </w:r>
      <w:r w:rsidRPr="00594A23">
        <w:rPr>
          <w:lang w:eastAsia="fr-FR" w:bidi="fr-FR"/>
        </w:rPr>
        <w:t>res. Déplorant l’isolationnisme et le pacifisme de ses concitoyens en ces heures gr</w:t>
      </w:r>
      <w:r w:rsidRPr="00594A23">
        <w:rPr>
          <w:lang w:eastAsia="fr-FR" w:bidi="fr-FR"/>
        </w:rPr>
        <w:t>a</w:t>
      </w:r>
      <w:r w:rsidRPr="00594A23">
        <w:rPr>
          <w:lang w:eastAsia="fr-FR" w:bidi="fr-FR"/>
        </w:rPr>
        <w:t>ves, il appuie vigoureusement l’entrée en guerre des États-Unis et t</w:t>
      </w:r>
      <w:r w:rsidRPr="00594A23">
        <w:rPr>
          <w:lang w:eastAsia="fr-FR" w:bidi="fr-FR"/>
        </w:rPr>
        <w:t>â</w:t>
      </w:r>
      <w:r w:rsidRPr="00594A23">
        <w:rPr>
          <w:lang w:eastAsia="fr-FR" w:bidi="fr-FR"/>
        </w:rPr>
        <w:t>che d’éveiller les consciences aux nécessités du syst</w:t>
      </w:r>
      <w:r w:rsidRPr="00594A23">
        <w:rPr>
          <w:lang w:eastAsia="fr-FR" w:bidi="fr-FR"/>
        </w:rPr>
        <w:t>è</w:t>
      </w:r>
      <w:r w:rsidRPr="00594A23">
        <w:rPr>
          <w:lang w:eastAsia="fr-FR" w:bidi="fr-FR"/>
        </w:rPr>
        <w:t>me international de guerre froide.</w:t>
      </w:r>
    </w:p>
    <w:p w14:paraId="2C8CFA67" w14:textId="77777777" w:rsidR="0039793A" w:rsidRPr="00594A23" w:rsidRDefault="0039793A" w:rsidP="0039793A">
      <w:pPr>
        <w:spacing w:before="120" w:after="120"/>
        <w:jc w:val="both"/>
      </w:pPr>
      <w:r w:rsidRPr="00594A23">
        <w:rPr>
          <w:lang w:eastAsia="fr-FR" w:bidi="fr-FR"/>
        </w:rPr>
        <w:t>Un autre artisan de l’éveil réaliste aux États-Unis est le diplomate George Kennan. Longtemps en poste en Union soviétique, il acquiert la convi</w:t>
      </w:r>
      <w:r w:rsidRPr="00594A23">
        <w:rPr>
          <w:lang w:eastAsia="fr-FR" w:bidi="fr-FR"/>
        </w:rPr>
        <w:t>c</w:t>
      </w:r>
      <w:r w:rsidRPr="00594A23">
        <w:rPr>
          <w:lang w:eastAsia="fr-FR" w:bidi="fr-FR"/>
        </w:rPr>
        <w:t>tion que son pays et les valeurs qu’il défend seront tôt ou tard menacés par l’expansionnisme idéol</w:t>
      </w:r>
      <w:r w:rsidRPr="00594A23">
        <w:rPr>
          <w:lang w:eastAsia="fr-FR" w:bidi="fr-FR"/>
        </w:rPr>
        <w:t>o</w:t>
      </w:r>
      <w:r w:rsidRPr="00594A23">
        <w:rPr>
          <w:lang w:eastAsia="fr-FR" w:bidi="fr-FR"/>
        </w:rPr>
        <w:t>gique du Kremlin. Il sonne l’alarme dans un long télégramme expédié depuis Moscou au Dépa</w:t>
      </w:r>
      <w:r w:rsidRPr="00594A23">
        <w:rPr>
          <w:lang w:eastAsia="fr-FR" w:bidi="fr-FR"/>
        </w:rPr>
        <w:t>r</w:t>
      </w:r>
      <w:r w:rsidRPr="00594A23">
        <w:rPr>
          <w:lang w:eastAsia="fr-FR" w:bidi="fr-FR"/>
        </w:rPr>
        <w:t>tement d’État en 1946</w:t>
      </w:r>
      <w:r>
        <w:rPr>
          <w:lang w:eastAsia="fr-FR" w:bidi="fr-FR"/>
        </w:rPr>
        <w:t> </w:t>
      </w:r>
      <w:r>
        <w:rPr>
          <w:rStyle w:val="Appelnotedebasdep"/>
          <w:lang w:eastAsia="fr-FR" w:bidi="fr-FR"/>
        </w:rPr>
        <w:footnoteReference w:id="203"/>
      </w:r>
      <w:r w:rsidRPr="00594A23">
        <w:rPr>
          <w:lang w:eastAsia="fr-FR" w:bidi="fr-FR"/>
        </w:rPr>
        <w:t xml:space="preserve"> et dans un article anonyme (signé </w:t>
      </w:r>
      <w:r w:rsidRPr="00594A23">
        <w:t>« </w:t>
      </w:r>
      <w:r w:rsidRPr="00594A23">
        <w:rPr>
          <w:lang w:eastAsia="fr-FR" w:bidi="fr-FR"/>
        </w:rPr>
        <w:t>X</w:t>
      </w:r>
      <w:r w:rsidRPr="00594A23">
        <w:t> »</w:t>
      </w:r>
      <w:r w:rsidRPr="00594A23">
        <w:rPr>
          <w:lang w:eastAsia="fr-FR" w:bidi="fr-FR"/>
        </w:rPr>
        <w:t xml:space="preserve">) dans la revue </w:t>
      </w:r>
      <w:r w:rsidRPr="004C5EA2">
        <w:rPr>
          <w:i/>
          <w:iCs/>
        </w:rPr>
        <w:t>Foreign Affairs</w:t>
      </w:r>
      <w:r w:rsidRPr="00594A23">
        <w:rPr>
          <w:lang w:eastAsia="fr-FR" w:bidi="fr-FR"/>
        </w:rPr>
        <w:t xml:space="preserve"> en jui</w:t>
      </w:r>
      <w:r w:rsidRPr="00594A23">
        <w:rPr>
          <w:lang w:eastAsia="fr-FR" w:bidi="fr-FR"/>
        </w:rPr>
        <w:t>l</w:t>
      </w:r>
      <w:r w:rsidRPr="00594A23">
        <w:rPr>
          <w:lang w:eastAsia="fr-FR" w:bidi="fr-FR"/>
        </w:rPr>
        <w:t>let 1947</w:t>
      </w:r>
      <w:r>
        <w:rPr>
          <w:lang w:eastAsia="fr-FR" w:bidi="fr-FR"/>
        </w:rPr>
        <w:t> </w:t>
      </w:r>
      <w:r>
        <w:rPr>
          <w:rStyle w:val="Appelnotedebasdep"/>
          <w:lang w:eastAsia="fr-FR" w:bidi="fr-FR"/>
        </w:rPr>
        <w:footnoteReference w:id="204"/>
      </w:r>
      <w:r w:rsidRPr="00594A23">
        <w:rPr>
          <w:lang w:eastAsia="fr-FR" w:bidi="fr-FR"/>
        </w:rPr>
        <w:t xml:space="preserve">. Cet article, intitulé </w:t>
      </w:r>
      <w:r w:rsidRPr="00594A23">
        <w:t>« </w:t>
      </w:r>
      <w:r w:rsidRPr="00594A23">
        <w:rPr>
          <w:lang w:eastAsia="fr-FR" w:bidi="fr-FR"/>
        </w:rPr>
        <w:t>The Sources of Soviet Conduct</w:t>
      </w:r>
      <w:r w:rsidRPr="00594A23">
        <w:t> »</w:t>
      </w:r>
      <w:r w:rsidRPr="00594A23">
        <w:rPr>
          <w:lang w:eastAsia="fr-FR" w:bidi="fr-FR"/>
        </w:rPr>
        <w:t xml:space="preserve"> énonce la théorie du </w:t>
      </w:r>
      <w:r w:rsidRPr="004C5EA2">
        <w:rPr>
          <w:i/>
          <w:iCs/>
        </w:rPr>
        <w:t>contaminent</w:t>
      </w:r>
      <w:r w:rsidRPr="00594A23">
        <w:rPr>
          <w:lang w:eastAsia="fr-FR" w:bidi="fr-FR"/>
        </w:rPr>
        <w:t xml:space="preserve"> ou de l'endiguement</w:t>
      </w:r>
      <w:r w:rsidRPr="00594A23">
        <w:t> :</w:t>
      </w:r>
      <w:r w:rsidRPr="00594A23">
        <w:rPr>
          <w:lang w:eastAsia="fr-FR" w:bidi="fr-FR"/>
        </w:rPr>
        <w:t xml:space="preserve"> il s’agit de pratiquer une politique réaliste et patie</w:t>
      </w:r>
      <w:r w:rsidRPr="00594A23">
        <w:rPr>
          <w:lang w:eastAsia="fr-FR" w:bidi="fr-FR"/>
        </w:rPr>
        <w:t>n</w:t>
      </w:r>
      <w:r w:rsidRPr="00594A23">
        <w:rPr>
          <w:lang w:eastAsia="fr-FR" w:bidi="fr-FR"/>
        </w:rPr>
        <w:t>te de résistance et de contrepoids face à l’influence grandissante de l’Union soviétique. Cette théorie a constitué la pierre angulaire de to</w:t>
      </w:r>
      <w:r w:rsidRPr="00594A23">
        <w:rPr>
          <w:lang w:eastAsia="fr-FR" w:bidi="fr-FR"/>
        </w:rPr>
        <w:t>u</w:t>
      </w:r>
      <w:r w:rsidRPr="00594A23">
        <w:rPr>
          <w:lang w:eastAsia="fr-FR" w:bidi="fr-FR"/>
        </w:rPr>
        <w:t>tes les politiques de guerre froide des États-Unis entre 1947 et 1989</w:t>
      </w:r>
      <w:r>
        <w:rPr>
          <w:lang w:eastAsia="fr-FR" w:bidi="fr-FR"/>
        </w:rPr>
        <w:t>.</w:t>
      </w:r>
      <w:r w:rsidRPr="00594A23">
        <w:rPr>
          <w:lang w:eastAsia="fr-FR" w:bidi="fr-FR"/>
        </w:rPr>
        <w:t xml:space="preserve"> Cependant, l’ardeur idéologique avec laquelle elle a été appl</w:t>
      </w:r>
      <w:r w:rsidRPr="00594A23">
        <w:rPr>
          <w:lang w:eastAsia="fr-FR" w:bidi="fr-FR"/>
        </w:rPr>
        <w:t>i</w:t>
      </w:r>
      <w:r w:rsidRPr="00594A23">
        <w:rPr>
          <w:lang w:eastAsia="fr-FR" w:bidi="fr-FR"/>
        </w:rPr>
        <w:t>quée a conduit à dépasser les intentions de son auteur. À tel point que les réalistes ont fini par ne plus s’y retrouver. Pourtant, Kennan me</w:t>
      </w:r>
      <w:r w:rsidRPr="00594A23">
        <w:rPr>
          <w:lang w:eastAsia="fr-FR" w:bidi="fr-FR"/>
        </w:rPr>
        <w:t>t</w:t>
      </w:r>
      <w:r w:rsidRPr="00594A23">
        <w:rPr>
          <w:lang w:eastAsia="fr-FR" w:bidi="fr-FR"/>
        </w:rPr>
        <w:t>tait en garde, dès le départ, contre les déviations possibles d’une att</w:t>
      </w:r>
      <w:r w:rsidRPr="00594A23">
        <w:rPr>
          <w:lang w:eastAsia="fr-FR" w:bidi="fr-FR"/>
        </w:rPr>
        <w:t>i</w:t>
      </w:r>
      <w:r w:rsidRPr="00594A23">
        <w:rPr>
          <w:lang w:eastAsia="fr-FR" w:bidi="fr-FR"/>
        </w:rPr>
        <w:t>tude qu’il voulait imprégnée de sang-froid et de modération</w:t>
      </w:r>
      <w:r w:rsidRPr="00594A23">
        <w:t> :</w:t>
      </w:r>
      <w:r w:rsidRPr="00594A23">
        <w:rPr>
          <w:lang w:eastAsia="fr-FR" w:bidi="fr-FR"/>
        </w:rPr>
        <w:t xml:space="preserve"> il est clair, écrivait-il que </w:t>
      </w:r>
      <w:r w:rsidRPr="00594A23">
        <w:t>« </w:t>
      </w:r>
      <w:r w:rsidRPr="00594A23">
        <w:rPr>
          <w:lang w:eastAsia="fr-FR" w:bidi="fr-FR"/>
        </w:rPr>
        <w:t>l’élément central de toute politique des États-Unis à l’endroit de l’Union soviétique doit être un endiguement des tendances expansionnistes des Russes, à long terme, patient mais fe</w:t>
      </w:r>
      <w:r w:rsidRPr="00594A23">
        <w:rPr>
          <w:lang w:eastAsia="fr-FR" w:bidi="fr-FR"/>
        </w:rPr>
        <w:t>r</w:t>
      </w:r>
      <w:r w:rsidRPr="00594A23">
        <w:rPr>
          <w:lang w:eastAsia="fr-FR" w:bidi="fr-FR"/>
        </w:rPr>
        <w:t>me et vigilant. Il est important de noter cependant qu’une telle polit</w:t>
      </w:r>
      <w:r w:rsidRPr="00594A23">
        <w:rPr>
          <w:lang w:eastAsia="fr-FR" w:bidi="fr-FR"/>
        </w:rPr>
        <w:t>i</w:t>
      </w:r>
      <w:r w:rsidRPr="00594A23">
        <w:rPr>
          <w:lang w:eastAsia="fr-FR" w:bidi="fr-FR"/>
        </w:rPr>
        <w:t>que n’a rien à voir avec un comport</w:t>
      </w:r>
      <w:r w:rsidRPr="00594A23">
        <w:rPr>
          <w:lang w:eastAsia="fr-FR" w:bidi="fr-FR"/>
        </w:rPr>
        <w:t>e</w:t>
      </w:r>
      <w:r w:rsidRPr="00594A23">
        <w:rPr>
          <w:lang w:eastAsia="fr-FR" w:bidi="fr-FR"/>
        </w:rPr>
        <w:t>ment théâtral, avec des menaces à l’emporte-pièce ou des gestes superflus pour jouer les durs</w:t>
      </w:r>
      <w:r>
        <w:rPr>
          <w:lang w:eastAsia="fr-FR" w:bidi="fr-FR"/>
        </w:rPr>
        <w:t> </w:t>
      </w:r>
      <w:r>
        <w:rPr>
          <w:rStyle w:val="Appelnotedebasdep"/>
          <w:lang w:eastAsia="fr-FR" w:bidi="fr-FR"/>
        </w:rPr>
        <w:footnoteReference w:id="205"/>
      </w:r>
      <w:r w:rsidRPr="00594A23">
        <w:t> »</w:t>
      </w:r>
      <w:r w:rsidRPr="00594A23">
        <w:rPr>
          <w:lang w:eastAsia="fr-FR" w:bidi="fr-FR"/>
        </w:rPr>
        <w:t>.</w:t>
      </w:r>
    </w:p>
    <w:p w14:paraId="376F03E1" w14:textId="77777777" w:rsidR="0039793A" w:rsidRPr="00594A23" w:rsidRDefault="0039793A" w:rsidP="0039793A">
      <w:pPr>
        <w:spacing w:before="120" w:after="120"/>
        <w:jc w:val="both"/>
      </w:pPr>
      <w:r w:rsidRPr="00594A23">
        <w:rPr>
          <w:lang w:eastAsia="fr-FR" w:bidi="fr-FR"/>
        </w:rPr>
        <w:t>Outre Kennan</w:t>
      </w:r>
      <w:r>
        <w:rPr>
          <w:lang w:eastAsia="fr-FR" w:bidi="fr-FR"/>
        </w:rPr>
        <w:t> </w:t>
      </w:r>
      <w:r>
        <w:rPr>
          <w:rStyle w:val="Appelnotedebasdep"/>
          <w:lang w:eastAsia="fr-FR" w:bidi="fr-FR"/>
        </w:rPr>
        <w:footnoteReference w:id="206"/>
      </w:r>
      <w:r w:rsidRPr="00594A23">
        <w:rPr>
          <w:lang w:eastAsia="fr-FR" w:bidi="fr-FR"/>
        </w:rPr>
        <w:t>, le professeur Hans Morge</w:t>
      </w:r>
      <w:r w:rsidRPr="00594A23">
        <w:rPr>
          <w:lang w:eastAsia="fr-FR" w:bidi="fr-FR"/>
        </w:rPr>
        <w:t>n</w:t>
      </w:r>
      <w:r w:rsidRPr="00594A23">
        <w:rPr>
          <w:lang w:eastAsia="fr-FR" w:bidi="fr-FR"/>
        </w:rPr>
        <w:t>thau est le pionnier de l’école réaliste dans les m</w:t>
      </w:r>
      <w:r w:rsidRPr="00594A23">
        <w:rPr>
          <w:lang w:eastAsia="fr-FR" w:bidi="fr-FR"/>
        </w:rPr>
        <w:t>i</w:t>
      </w:r>
      <w:r w:rsidRPr="00594A23">
        <w:rPr>
          <w:lang w:eastAsia="fr-FR" w:bidi="fr-FR"/>
        </w:rPr>
        <w:t>lieux universitaires américains.</w:t>
      </w:r>
      <w:r>
        <w:t xml:space="preserve"> [92] </w:t>
      </w:r>
      <w:r w:rsidRPr="00594A23">
        <w:rPr>
          <w:lang w:eastAsia="fr-FR" w:bidi="fr-FR"/>
        </w:rPr>
        <w:t>Morgenthau a développé les principes d’une vision réaliste du syst</w:t>
      </w:r>
      <w:r w:rsidRPr="00594A23">
        <w:rPr>
          <w:lang w:eastAsia="fr-FR" w:bidi="fr-FR"/>
        </w:rPr>
        <w:t>è</w:t>
      </w:r>
      <w:r w:rsidRPr="00594A23">
        <w:rPr>
          <w:lang w:eastAsia="fr-FR" w:bidi="fr-FR"/>
        </w:rPr>
        <w:t>me international dont la puissance est l’élément central dans un o</w:t>
      </w:r>
      <w:r w:rsidRPr="00594A23">
        <w:rPr>
          <w:lang w:eastAsia="fr-FR" w:bidi="fr-FR"/>
        </w:rPr>
        <w:t>u</w:t>
      </w:r>
      <w:r w:rsidRPr="00594A23">
        <w:rPr>
          <w:lang w:eastAsia="fr-FR" w:bidi="fr-FR"/>
        </w:rPr>
        <w:t>vrage qui est devenu un classique de la théorie des relations intern</w:t>
      </w:r>
      <w:r w:rsidRPr="00594A23">
        <w:rPr>
          <w:lang w:eastAsia="fr-FR" w:bidi="fr-FR"/>
        </w:rPr>
        <w:t>a</w:t>
      </w:r>
      <w:r w:rsidRPr="00594A23">
        <w:rPr>
          <w:lang w:eastAsia="fr-FR" w:bidi="fr-FR"/>
        </w:rPr>
        <w:t>tionales</w:t>
      </w:r>
      <w:r>
        <w:rPr>
          <w:lang w:eastAsia="fr-FR" w:bidi="fr-FR"/>
        </w:rPr>
        <w:t> </w:t>
      </w:r>
      <w:r>
        <w:rPr>
          <w:rStyle w:val="Appelnotedebasdep"/>
          <w:lang w:eastAsia="fr-FR" w:bidi="fr-FR"/>
        </w:rPr>
        <w:footnoteReference w:id="207"/>
      </w:r>
      <w:r w:rsidRPr="00594A23">
        <w:t>.</w:t>
      </w:r>
      <w:r w:rsidRPr="00594A23">
        <w:rPr>
          <w:lang w:eastAsia="fr-FR" w:bidi="fr-FR"/>
        </w:rPr>
        <w:t xml:space="preserve"> Tout en reconnaissant la légitimité des aspirations mor</w:t>
      </w:r>
      <w:r w:rsidRPr="00594A23">
        <w:rPr>
          <w:lang w:eastAsia="fr-FR" w:bidi="fr-FR"/>
        </w:rPr>
        <w:t>a</w:t>
      </w:r>
      <w:r w:rsidRPr="00594A23">
        <w:rPr>
          <w:lang w:eastAsia="fr-FR" w:bidi="fr-FR"/>
        </w:rPr>
        <w:t>les des personnes individue</w:t>
      </w:r>
      <w:r w:rsidRPr="00594A23">
        <w:rPr>
          <w:lang w:eastAsia="fr-FR" w:bidi="fr-FR"/>
        </w:rPr>
        <w:t>l</w:t>
      </w:r>
      <w:r w:rsidRPr="00594A23">
        <w:rPr>
          <w:lang w:eastAsia="fr-FR" w:bidi="fr-FR"/>
        </w:rPr>
        <w:t>les, il fait état de la tension constante entre l’ordre de la moralité individuelle et celui de la politique dans un monde essentiellement anarchique mais réglé par des lois objectives, celles de la rivalité entre les puissances et du nécessaire équilibre e</w:t>
      </w:r>
      <w:r w:rsidRPr="00594A23">
        <w:rPr>
          <w:lang w:eastAsia="fr-FR" w:bidi="fr-FR"/>
        </w:rPr>
        <w:t>n</w:t>
      </w:r>
      <w:r w:rsidRPr="00594A23">
        <w:rPr>
          <w:lang w:eastAsia="fr-FR" w:bidi="fr-FR"/>
        </w:rPr>
        <w:t>tre elles, seul susceptible d’assurer la paix.</w:t>
      </w:r>
    </w:p>
    <w:p w14:paraId="38F4AD00" w14:textId="77777777" w:rsidR="0039793A" w:rsidRDefault="0039793A" w:rsidP="0039793A">
      <w:pPr>
        <w:spacing w:before="120" w:after="120"/>
        <w:jc w:val="both"/>
        <w:rPr>
          <w:lang w:eastAsia="fr-FR" w:bidi="fr-FR"/>
        </w:rPr>
      </w:pPr>
    </w:p>
    <w:p w14:paraId="1D9D9FCF" w14:textId="77777777" w:rsidR="0039793A" w:rsidRPr="004C5EA2" w:rsidRDefault="0039793A" w:rsidP="0039793A">
      <w:pPr>
        <w:pStyle w:val="b"/>
      </w:pPr>
      <w:r w:rsidRPr="004C5EA2">
        <w:rPr>
          <w:lang w:eastAsia="fr-FR" w:bidi="fr-FR"/>
        </w:rPr>
        <w:t>Le réalisme durant et après la guerre froide</w:t>
      </w:r>
    </w:p>
    <w:p w14:paraId="430894A0" w14:textId="77777777" w:rsidR="0039793A" w:rsidRDefault="0039793A" w:rsidP="0039793A">
      <w:pPr>
        <w:spacing w:before="120" w:after="120"/>
        <w:jc w:val="both"/>
        <w:rPr>
          <w:lang w:eastAsia="fr-FR" w:bidi="fr-FR"/>
        </w:rPr>
      </w:pPr>
    </w:p>
    <w:p w14:paraId="3B3AA274" w14:textId="77777777" w:rsidR="0039793A" w:rsidRPr="00594A23" w:rsidRDefault="0039793A" w:rsidP="0039793A">
      <w:pPr>
        <w:spacing w:before="120" w:after="120"/>
        <w:jc w:val="both"/>
      </w:pPr>
      <w:r w:rsidRPr="00594A23">
        <w:rPr>
          <w:lang w:eastAsia="fr-FR" w:bidi="fr-FR"/>
        </w:rPr>
        <w:t>De tels propos sont caractéristiques de la do</w:t>
      </w:r>
      <w:r w:rsidRPr="00594A23">
        <w:rPr>
          <w:lang w:eastAsia="fr-FR" w:bidi="fr-FR"/>
        </w:rPr>
        <w:t>c</w:t>
      </w:r>
      <w:r w:rsidRPr="00594A23">
        <w:rPr>
          <w:lang w:eastAsia="fr-FR" w:bidi="fr-FR"/>
        </w:rPr>
        <w:t>trine réaliste qui fait alors péniblement son chemin dans les milieux politiques américains après la deuxième guerre mondiale.</w:t>
      </w:r>
    </w:p>
    <w:p w14:paraId="53771E4C" w14:textId="77777777" w:rsidR="0039793A" w:rsidRPr="00594A23" w:rsidRDefault="0039793A" w:rsidP="0039793A">
      <w:pPr>
        <w:spacing w:before="120" w:after="120"/>
        <w:jc w:val="both"/>
      </w:pPr>
      <w:r w:rsidRPr="00594A23">
        <w:rPr>
          <w:lang w:eastAsia="fr-FR" w:bidi="fr-FR"/>
        </w:rPr>
        <w:t>Dans les milieux intellectuels et politiques a</w:t>
      </w:r>
      <w:r w:rsidRPr="00594A23">
        <w:rPr>
          <w:lang w:eastAsia="fr-FR" w:bidi="fr-FR"/>
        </w:rPr>
        <w:t>f</w:t>
      </w:r>
      <w:r w:rsidRPr="00594A23">
        <w:rPr>
          <w:lang w:eastAsia="fr-FR" w:bidi="fr-FR"/>
        </w:rPr>
        <w:t>fectés par les erreurs de l’idéalisme wilsonien, du légalisme et des politiques d’apaisement, la doctrine réaliste a exercé une grande séduction et une influence ce</w:t>
      </w:r>
      <w:r w:rsidRPr="00594A23">
        <w:rPr>
          <w:lang w:eastAsia="fr-FR" w:bidi="fr-FR"/>
        </w:rPr>
        <w:t>r</w:t>
      </w:r>
      <w:r w:rsidRPr="00594A23">
        <w:rPr>
          <w:lang w:eastAsia="fr-FR" w:bidi="fr-FR"/>
        </w:rPr>
        <w:t>taine. Presque tous les leaders politiques de l’époque de la guerre fro</w:t>
      </w:r>
      <w:r w:rsidRPr="00594A23">
        <w:rPr>
          <w:lang w:eastAsia="fr-FR" w:bidi="fr-FR"/>
        </w:rPr>
        <w:t>i</w:t>
      </w:r>
      <w:r w:rsidRPr="00594A23">
        <w:rPr>
          <w:lang w:eastAsia="fr-FR" w:bidi="fr-FR"/>
        </w:rPr>
        <w:t>de ont dû reconnaître, à un moment ou l’autre, les théorèmes du r</w:t>
      </w:r>
      <w:r w:rsidRPr="00594A23">
        <w:rPr>
          <w:lang w:eastAsia="fr-FR" w:bidi="fr-FR"/>
        </w:rPr>
        <w:t>é</w:t>
      </w:r>
      <w:r w:rsidRPr="00594A23">
        <w:rPr>
          <w:lang w:eastAsia="fr-FR" w:bidi="fr-FR"/>
        </w:rPr>
        <w:t>alisme. La seule mention de Woodrow Wilson et de Munich suffisait d’ailleurs pour faire valoir la nécessité de pratiquer une politique de puissance dans un monde dépourvu de confiance réciproque. Certes, l’idéalisme n’était pas tout à fait banni comme en témoignent les grands appels lancés par les leaders américains, même durant la gue</w:t>
      </w:r>
      <w:r w:rsidRPr="00594A23">
        <w:rPr>
          <w:lang w:eastAsia="fr-FR" w:bidi="fr-FR"/>
        </w:rPr>
        <w:t>r</w:t>
      </w:r>
      <w:r w:rsidRPr="00594A23">
        <w:rPr>
          <w:lang w:eastAsia="fr-FR" w:bidi="fr-FR"/>
        </w:rPr>
        <w:t>re fro</w:t>
      </w:r>
      <w:r w:rsidRPr="00594A23">
        <w:rPr>
          <w:lang w:eastAsia="fr-FR" w:bidi="fr-FR"/>
        </w:rPr>
        <w:t>i</w:t>
      </w:r>
      <w:r w:rsidRPr="00594A23">
        <w:rPr>
          <w:lang w:eastAsia="fr-FR" w:bidi="fr-FR"/>
        </w:rPr>
        <w:t>de</w:t>
      </w:r>
      <w:r>
        <w:rPr>
          <w:lang w:eastAsia="fr-FR" w:bidi="fr-FR"/>
        </w:rPr>
        <w:t> </w:t>
      </w:r>
      <w:r>
        <w:rPr>
          <w:rStyle w:val="Appelnotedebasdep"/>
          <w:lang w:eastAsia="fr-FR" w:bidi="fr-FR"/>
        </w:rPr>
        <w:footnoteReference w:id="208"/>
      </w:r>
      <w:r w:rsidRPr="00594A23">
        <w:rPr>
          <w:lang w:eastAsia="fr-FR" w:bidi="fr-FR"/>
        </w:rPr>
        <w:t>, mais les nécessités d’une défense musclée, des grandes stratégies de dissuasion et d’affirmation de la puissance se sont imp</w:t>
      </w:r>
      <w:r w:rsidRPr="00594A23">
        <w:rPr>
          <w:lang w:eastAsia="fr-FR" w:bidi="fr-FR"/>
        </w:rPr>
        <w:t>o</w:t>
      </w:r>
      <w:r w:rsidRPr="00594A23">
        <w:rPr>
          <w:lang w:eastAsia="fr-FR" w:bidi="fr-FR"/>
        </w:rPr>
        <w:t xml:space="preserve">sées </w:t>
      </w:r>
      <w:r w:rsidRPr="004C5EA2">
        <w:rPr>
          <w:i/>
          <w:iCs/>
        </w:rPr>
        <w:t>de facto</w:t>
      </w:r>
      <w:r w:rsidRPr="00594A23">
        <w:t>.</w:t>
      </w:r>
    </w:p>
    <w:p w14:paraId="1BD22181" w14:textId="77777777" w:rsidR="0039793A" w:rsidRPr="00594A23" w:rsidRDefault="0039793A" w:rsidP="0039793A">
      <w:pPr>
        <w:spacing w:before="120" w:after="120"/>
        <w:jc w:val="both"/>
      </w:pPr>
      <w:r w:rsidRPr="00594A23">
        <w:rPr>
          <w:lang w:eastAsia="fr-FR" w:bidi="fr-FR"/>
        </w:rPr>
        <w:t>Henry Kissinger est l’homme politique qui illustre le mieux le co</w:t>
      </w:r>
      <w:r w:rsidRPr="00594A23">
        <w:rPr>
          <w:lang w:eastAsia="fr-FR" w:bidi="fr-FR"/>
        </w:rPr>
        <w:t>u</w:t>
      </w:r>
      <w:r w:rsidRPr="00594A23">
        <w:rPr>
          <w:lang w:eastAsia="fr-FR" w:bidi="fr-FR"/>
        </w:rPr>
        <w:t>rant réaliste dans son intégr</w:t>
      </w:r>
      <w:r w:rsidRPr="00594A23">
        <w:rPr>
          <w:lang w:eastAsia="fr-FR" w:bidi="fr-FR"/>
        </w:rPr>
        <w:t>i</w:t>
      </w:r>
      <w:r w:rsidRPr="00594A23">
        <w:rPr>
          <w:lang w:eastAsia="fr-FR" w:bidi="fr-FR"/>
        </w:rPr>
        <w:t>té. Comme Morgenthau, Kissinger est issu de l’Allemagne de l’entre-deux-guerres. Etudiant puis professeur en science politique à l’Université Ha</w:t>
      </w:r>
      <w:r w:rsidRPr="00594A23">
        <w:rPr>
          <w:lang w:eastAsia="fr-FR" w:bidi="fr-FR"/>
        </w:rPr>
        <w:t>r</w:t>
      </w:r>
      <w:r w:rsidRPr="00594A23">
        <w:rPr>
          <w:lang w:eastAsia="fr-FR" w:bidi="fr-FR"/>
        </w:rPr>
        <w:t>vard, sa</w:t>
      </w:r>
      <w:r>
        <w:t xml:space="preserve"> [93] </w:t>
      </w:r>
      <w:r w:rsidRPr="00594A23">
        <w:rPr>
          <w:lang w:eastAsia="fr-FR" w:bidi="fr-FR"/>
        </w:rPr>
        <w:t>thèse de doctorat portait sur la politique d’équilibre pratiquée par le chancelier autr</w:t>
      </w:r>
      <w:r w:rsidRPr="00594A23">
        <w:rPr>
          <w:lang w:eastAsia="fr-FR" w:bidi="fr-FR"/>
        </w:rPr>
        <w:t>i</w:t>
      </w:r>
      <w:r w:rsidRPr="00594A23">
        <w:rPr>
          <w:lang w:eastAsia="fr-FR" w:bidi="fr-FR"/>
        </w:rPr>
        <w:t>chien Metternich et le secrétaire aux Affaires étrang</w:t>
      </w:r>
      <w:r w:rsidRPr="00594A23">
        <w:rPr>
          <w:lang w:eastAsia="fr-FR" w:bidi="fr-FR"/>
        </w:rPr>
        <w:t>è</w:t>
      </w:r>
      <w:r w:rsidRPr="00594A23">
        <w:rPr>
          <w:lang w:eastAsia="fr-FR" w:bidi="fr-FR"/>
        </w:rPr>
        <w:t xml:space="preserve">res de Grande-Bretagne, Henry Castlereagh au début du </w:t>
      </w:r>
      <w:r w:rsidRPr="00594A23">
        <w:t>XIX</w:t>
      </w:r>
      <w:r w:rsidRPr="00594A23">
        <w:rPr>
          <w:vertAlign w:val="superscript"/>
        </w:rPr>
        <w:t>e</w:t>
      </w:r>
      <w:r w:rsidRPr="00594A23">
        <w:t xml:space="preserve"> </w:t>
      </w:r>
      <w:r w:rsidRPr="00594A23">
        <w:rPr>
          <w:lang w:eastAsia="fr-FR" w:bidi="fr-FR"/>
        </w:rPr>
        <w:t>si</w:t>
      </w:r>
      <w:r w:rsidRPr="00594A23">
        <w:rPr>
          <w:lang w:eastAsia="fr-FR" w:bidi="fr-FR"/>
        </w:rPr>
        <w:t>è</w:t>
      </w:r>
      <w:r w:rsidRPr="00594A23">
        <w:rPr>
          <w:lang w:eastAsia="fr-FR" w:bidi="fr-FR"/>
        </w:rPr>
        <w:t>cle</w:t>
      </w:r>
      <w:r>
        <w:rPr>
          <w:lang w:eastAsia="fr-FR" w:bidi="fr-FR"/>
        </w:rPr>
        <w:t> </w:t>
      </w:r>
      <w:r>
        <w:rPr>
          <w:rStyle w:val="Appelnotedebasdep"/>
          <w:lang w:eastAsia="fr-FR" w:bidi="fr-FR"/>
        </w:rPr>
        <w:footnoteReference w:id="209"/>
      </w:r>
      <w:r w:rsidRPr="00594A23">
        <w:t>.</w:t>
      </w:r>
      <w:r w:rsidRPr="00594A23">
        <w:rPr>
          <w:lang w:eastAsia="fr-FR" w:bidi="fr-FR"/>
        </w:rPr>
        <w:t xml:space="preserve"> Dans ses publications comme dans ses cours, Kissinger insi</w:t>
      </w:r>
      <w:r w:rsidRPr="00594A23">
        <w:rPr>
          <w:lang w:eastAsia="fr-FR" w:bidi="fr-FR"/>
        </w:rPr>
        <w:t>s</w:t>
      </w:r>
      <w:r w:rsidRPr="00594A23">
        <w:rPr>
          <w:lang w:eastAsia="fr-FR" w:bidi="fr-FR"/>
        </w:rPr>
        <w:t>tait toujours sur les vertus de l’équilibre dans les relations internationales. La seule polit</w:t>
      </w:r>
      <w:r w:rsidRPr="00594A23">
        <w:rPr>
          <w:lang w:eastAsia="fr-FR" w:bidi="fr-FR"/>
        </w:rPr>
        <w:t>i</w:t>
      </w:r>
      <w:r w:rsidRPr="00594A23">
        <w:rPr>
          <w:lang w:eastAsia="fr-FR" w:bidi="fr-FR"/>
        </w:rPr>
        <w:t>que vraiment acceptable et productive, selon lui, est celle qui est fo</w:t>
      </w:r>
      <w:r w:rsidRPr="00594A23">
        <w:rPr>
          <w:lang w:eastAsia="fr-FR" w:bidi="fr-FR"/>
        </w:rPr>
        <w:t>n</w:t>
      </w:r>
      <w:r w:rsidRPr="00594A23">
        <w:rPr>
          <w:lang w:eastAsia="fr-FR" w:bidi="fr-FR"/>
        </w:rPr>
        <w:t>dée sur l’intérêt national bien compris, une polit</w:t>
      </w:r>
      <w:r w:rsidRPr="00594A23">
        <w:rPr>
          <w:lang w:eastAsia="fr-FR" w:bidi="fr-FR"/>
        </w:rPr>
        <w:t>i</w:t>
      </w:r>
      <w:r w:rsidRPr="00594A23">
        <w:rPr>
          <w:lang w:eastAsia="fr-FR" w:bidi="fr-FR"/>
        </w:rPr>
        <w:t>que de maximisation de la puissance, limitée par la con</w:t>
      </w:r>
      <w:r w:rsidRPr="00594A23">
        <w:rPr>
          <w:lang w:eastAsia="fr-FR" w:bidi="fr-FR"/>
        </w:rPr>
        <w:t>s</w:t>
      </w:r>
      <w:r w:rsidRPr="00594A23">
        <w:rPr>
          <w:lang w:eastAsia="fr-FR" w:bidi="fr-FR"/>
        </w:rPr>
        <w:t>cience de ce qui est possible, sans jamais tomber dans la démesure. À ce titre, il appréciait les manœ</w:t>
      </w:r>
      <w:r w:rsidRPr="00594A23">
        <w:rPr>
          <w:lang w:eastAsia="fr-FR" w:bidi="fr-FR"/>
        </w:rPr>
        <w:t>u</w:t>
      </w:r>
      <w:r w:rsidRPr="00594A23">
        <w:rPr>
          <w:lang w:eastAsia="fr-FR" w:bidi="fr-FR"/>
        </w:rPr>
        <w:t>vres du chancelier allemand Bismarck qui avait su imposer le pouvoir prussien et la construction de l’empire allemand sans pour autant d</w:t>
      </w:r>
      <w:r w:rsidRPr="00594A23">
        <w:rPr>
          <w:lang w:eastAsia="fr-FR" w:bidi="fr-FR"/>
        </w:rPr>
        <w:t>é</w:t>
      </w:r>
      <w:r w:rsidRPr="00594A23">
        <w:rPr>
          <w:lang w:eastAsia="fr-FR" w:bidi="fr-FR"/>
        </w:rPr>
        <w:t>truire l’équilibre européen. Pour Kissinger, comme pour Niebuhr, Kennan et Morgenthau, dans les relations internationales, les nécess</w:t>
      </w:r>
      <w:r w:rsidRPr="00594A23">
        <w:rPr>
          <w:lang w:eastAsia="fr-FR" w:bidi="fr-FR"/>
        </w:rPr>
        <w:t>i</w:t>
      </w:r>
      <w:r w:rsidRPr="00594A23">
        <w:rPr>
          <w:lang w:eastAsia="fr-FR" w:bidi="fr-FR"/>
        </w:rPr>
        <w:t>tés de l’ordre doivent prévaloir sur celles de la justice. Bien que la ju</w:t>
      </w:r>
      <w:r w:rsidRPr="00594A23">
        <w:rPr>
          <w:lang w:eastAsia="fr-FR" w:bidi="fr-FR"/>
        </w:rPr>
        <w:t>s</w:t>
      </w:r>
      <w:r w:rsidRPr="00594A23">
        <w:rPr>
          <w:lang w:eastAsia="fr-FR" w:bidi="fr-FR"/>
        </w:rPr>
        <w:t>tice représente une valeur pour les réalistes, elle risque to</w:t>
      </w:r>
      <w:r w:rsidRPr="00594A23">
        <w:rPr>
          <w:lang w:eastAsia="fr-FR" w:bidi="fr-FR"/>
        </w:rPr>
        <w:t>u</w:t>
      </w:r>
      <w:r w:rsidRPr="00594A23">
        <w:rPr>
          <w:lang w:eastAsia="fr-FR" w:bidi="fr-FR"/>
        </w:rPr>
        <w:t>jours de perdre son sens si l’ordre en vient à être perturbé. La seule politique valable, pour les réalistes, est donc celle qui s’inscrit dans l’univers du possible, de la paix et de la stabilité. Pour avoir voulu mettre en œuvre des principes universels, les idéalistes se sont retro</w:t>
      </w:r>
      <w:r w:rsidRPr="00594A23">
        <w:rPr>
          <w:lang w:eastAsia="fr-FR" w:bidi="fr-FR"/>
        </w:rPr>
        <w:t>u</w:t>
      </w:r>
      <w:r w:rsidRPr="00594A23">
        <w:rPr>
          <w:lang w:eastAsia="fr-FR" w:bidi="fr-FR"/>
        </w:rPr>
        <w:t>vés souvent avec le déso</w:t>
      </w:r>
      <w:r w:rsidRPr="00594A23">
        <w:rPr>
          <w:lang w:eastAsia="fr-FR" w:bidi="fr-FR"/>
        </w:rPr>
        <w:t>r</w:t>
      </w:r>
      <w:r w:rsidRPr="00594A23">
        <w:rPr>
          <w:lang w:eastAsia="fr-FR" w:bidi="fr-FR"/>
        </w:rPr>
        <w:t>dre et l’anarchie</w:t>
      </w:r>
      <w:r w:rsidRPr="00594A23">
        <w:t> :</w:t>
      </w:r>
      <w:r w:rsidRPr="00594A23">
        <w:rPr>
          <w:lang w:eastAsia="fr-FR" w:bidi="fr-FR"/>
        </w:rPr>
        <w:t xml:space="preserve"> aussi les seuls principes qu’il faut prendre en considération sont-ils ceux dont on a bien mesuré l’applicabilité en fonction des moyens disponibles et de la possibilité d’atteindre les objectifs</w:t>
      </w:r>
      <w:r>
        <w:rPr>
          <w:lang w:eastAsia="fr-FR" w:bidi="fr-FR"/>
        </w:rPr>
        <w:t> </w:t>
      </w:r>
      <w:r>
        <w:rPr>
          <w:rStyle w:val="Appelnotedebasdep"/>
          <w:lang w:eastAsia="fr-FR" w:bidi="fr-FR"/>
        </w:rPr>
        <w:footnoteReference w:id="210"/>
      </w:r>
      <w:r w:rsidRPr="00594A23">
        <w:rPr>
          <w:lang w:eastAsia="fr-FR" w:bidi="fr-FR"/>
        </w:rPr>
        <w:t>. Kissinger est arrivé au pouvoir, à la d</w:t>
      </w:r>
      <w:r w:rsidRPr="00594A23">
        <w:rPr>
          <w:lang w:eastAsia="fr-FR" w:bidi="fr-FR"/>
        </w:rPr>
        <w:t>e</w:t>
      </w:r>
      <w:r w:rsidRPr="00594A23">
        <w:rPr>
          <w:lang w:eastAsia="fr-FR" w:bidi="fr-FR"/>
        </w:rPr>
        <w:t>mande de Nixon en 1969, d’abord comme conseiller à la sécurité nationale, puis co</w:t>
      </w:r>
      <w:r w:rsidRPr="00594A23">
        <w:rPr>
          <w:lang w:eastAsia="fr-FR" w:bidi="fr-FR"/>
        </w:rPr>
        <w:t>m</w:t>
      </w:r>
      <w:r w:rsidRPr="00594A23">
        <w:rPr>
          <w:lang w:eastAsia="fr-FR" w:bidi="fr-FR"/>
        </w:rPr>
        <w:t>me s</w:t>
      </w:r>
      <w:r w:rsidRPr="00594A23">
        <w:rPr>
          <w:lang w:eastAsia="fr-FR" w:bidi="fr-FR"/>
        </w:rPr>
        <w:t>e</w:t>
      </w:r>
      <w:r w:rsidRPr="00594A23">
        <w:rPr>
          <w:lang w:eastAsia="fr-FR" w:bidi="fr-FR"/>
        </w:rPr>
        <w:t>crétaire d’</w:t>
      </w:r>
      <w:r>
        <w:rPr>
          <w:lang w:eastAsia="fr-FR" w:bidi="fr-FR"/>
        </w:rPr>
        <w:t>État</w:t>
      </w:r>
      <w:r w:rsidRPr="00594A23">
        <w:rPr>
          <w:lang w:eastAsia="fr-FR" w:bidi="fr-FR"/>
        </w:rPr>
        <w:t>, de 1973 à 1977, avec l’intention de recourir d’une part à une diplomatie fondée sur l’équilibre des puissances et d’autre part de préserver les intérêts nationaux américains - les deux p</w:t>
      </w:r>
      <w:r w:rsidRPr="00594A23">
        <w:rPr>
          <w:lang w:eastAsia="fr-FR" w:bidi="fr-FR"/>
        </w:rPr>
        <w:t>i</w:t>
      </w:r>
      <w:r w:rsidRPr="00594A23">
        <w:rPr>
          <w:lang w:eastAsia="fr-FR" w:bidi="fr-FR"/>
        </w:rPr>
        <w:t>liers d’une politique réaliste. C’est ce qu’il fait d’un côté, en ouvrant la porte à la Chine, pour établir un équilibre entre les deux grands r</w:t>
      </w:r>
      <w:r w:rsidRPr="00594A23">
        <w:rPr>
          <w:lang w:eastAsia="fr-FR" w:bidi="fr-FR"/>
        </w:rPr>
        <w:t>i</w:t>
      </w:r>
      <w:r w:rsidRPr="00594A23">
        <w:rPr>
          <w:lang w:eastAsia="fr-FR" w:bidi="fr-FR"/>
        </w:rPr>
        <w:t>vaux communistes et de l’autre en appuyant le renversement du go</w:t>
      </w:r>
      <w:r w:rsidRPr="00594A23">
        <w:rPr>
          <w:lang w:eastAsia="fr-FR" w:bidi="fr-FR"/>
        </w:rPr>
        <w:t>u</w:t>
      </w:r>
      <w:r w:rsidRPr="00594A23">
        <w:rPr>
          <w:lang w:eastAsia="fr-FR" w:bidi="fr-FR"/>
        </w:rPr>
        <w:t>vernement Allende au Chili, perçu par lui et par certaines élites éc</w:t>
      </w:r>
      <w:r w:rsidRPr="00594A23">
        <w:rPr>
          <w:lang w:eastAsia="fr-FR" w:bidi="fr-FR"/>
        </w:rPr>
        <w:t>o</w:t>
      </w:r>
      <w:r w:rsidRPr="00594A23">
        <w:rPr>
          <w:lang w:eastAsia="fr-FR" w:bidi="fr-FR"/>
        </w:rPr>
        <w:t>nomiques comme un dangereux précédent à l’intérieur de la chasse gardée des États-Unis. En raison de ses</w:t>
      </w:r>
      <w:r>
        <w:t xml:space="preserve"> [94] </w:t>
      </w:r>
      <w:r w:rsidRPr="00594A23">
        <w:rPr>
          <w:lang w:eastAsia="fr-FR" w:bidi="fr-FR"/>
        </w:rPr>
        <w:t>insuffisances, la doctrine réaliste est tempora</w:t>
      </w:r>
      <w:r w:rsidRPr="00594A23">
        <w:rPr>
          <w:lang w:eastAsia="fr-FR" w:bidi="fr-FR"/>
        </w:rPr>
        <w:t>i</w:t>
      </w:r>
      <w:r w:rsidRPr="00594A23">
        <w:rPr>
          <w:lang w:eastAsia="fr-FR" w:bidi="fr-FR"/>
        </w:rPr>
        <w:t>rement éclipsée sous Ford et particulièrement sous Carter. Le réalisme opère un retour en force avec Ronald Reagan, mais il n’est finalement bien a</w:t>
      </w:r>
      <w:r w:rsidRPr="00594A23">
        <w:rPr>
          <w:lang w:eastAsia="fr-FR" w:bidi="fr-FR"/>
        </w:rPr>
        <w:t>c</w:t>
      </w:r>
      <w:r w:rsidRPr="00594A23">
        <w:rPr>
          <w:lang w:eastAsia="fr-FR" w:bidi="fr-FR"/>
        </w:rPr>
        <w:t>cepté par la population américaine que dans la m</w:t>
      </w:r>
      <w:r w:rsidRPr="00594A23">
        <w:rPr>
          <w:lang w:eastAsia="fr-FR" w:bidi="fr-FR"/>
        </w:rPr>
        <w:t>e</w:t>
      </w:r>
      <w:r w:rsidRPr="00594A23">
        <w:rPr>
          <w:lang w:eastAsia="fr-FR" w:bidi="fr-FR"/>
        </w:rPr>
        <w:t>sure où il est enveloppé de grandes déclarations idéalistes.</w:t>
      </w:r>
    </w:p>
    <w:p w14:paraId="675C07CF" w14:textId="77777777" w:rsidR="0039793A" w:rsidRPr="00594A23" w:rsidRDefault="0039793A" w:rsidP="0039793A">
      <w:pPr>
        <w:spacing w:before="120" w:after="120"/>
        <w:jc w:val="both"/>
      </w:pPr>
      <w:r w:rsidRPr="00594A23">
        <w:rPr>
          <w:lang w:eastAsia="fr-FR" w:bidi="fr-FR"/>
        </w:rPr>
        <w:t>Sur la gamme des tendances politiques, le courant réaliste est pr</w:t>
      </w:r>
      <w:r w:rsidRPr="00594A23">
        <w:rPr>
          <w:lang w:eastAsia="fr-FR" w:bidi="fr-FR"/>
        </w:rPr>
        <w:t>é</w:t>
      </w:r>
      <w:r w:rsidRPr="00594A23">
        <w:rPr>
          <w:lang w:eastAsia="fr-FR" w:bidi="fr-FR"/>
        </w:rPr>
        <w:t>sent dans les deux grands partis. D’une part, au Parti républicain, le réalisme est défendu par ceux qu’on appelle les modérés. Le sénateur Richard Lugar, président de la Commi</w:t>
      </w:r>
      <w:r w:rsidRPr="00594A23">
        <w:rPr>
          <w:lang w:eastAsia="fr-FR" w:bidi="fr-FR"/>
        </w:rPr>
        <w:t>s</w:t>
      </w:r>
      <w:r w:rsidRPr="00594A23">
        <w:rPr>
          <w:lang w:eastAsia="fr-FR" w:bidi="fr-FR"/>
        </w:rPr>
        <w:t>sion sénatoriale des Relations étrangères dans le 108</w:t>
      </w:r>
      <w:r w:rsidRPr="00594A23">
        <w:rPr>
          <w:vertAlign w:val="superscript"/>
          <w:lang w:eastAsia="fr-FR" w:bidi="fr-FR"/>
        </w:rPr>
        <w:t>e</w:t>
      </w:r>
      <w:r w:rsidRPr="00594A23">
        <w:rPr>
          <w:lang w:eastAsia="fr-FR" w:bidi="fr-FR"/>
        </w:rPr>
        <w:t xml:space="preserve"> Congrès, en 2003-2004, représente bien ce courant qu’on identifie surtout aux Républicains du Nord-Est des États-Unis. D’autre part, les D</w:t>
      </w:r>
      <w:r w:rsidRPr="00594A23">
        <w:rPr>
          <w:lang w:eastAsia="fr-FR" w:bidi="fr-FR"/>
        </w:rPr>
        <w:t>é</w:t>
      </w:r>
      <w:r w:rsidRPr="00594A23">
        <w:rPr>
          <w:lang w:eastAsia="fr-FR" w:bidi="fr-FR"/>
        </w:rPr>
        <w:t>mocrates conservateurs participent aussi au courant réaliste. Ce dernier mouvement s’est manifesté su</w:t>
      </w:r>
      <w:r w:rsidRPr="00594A23">
        <w:rPr>
          <w:lang w:eastAsia="fr-FR" w:bidi="fr-FR"/>
        </w:rPr>
        <w:t>r</w:t>
      </w:r>
      <w:r w:rsidRPr="00594A23">
        <w:rPr>
          <w:lang w:eastAsia="fr-FR" w:bidi="fr-FR"/>
        </w:rPr>
        <w:t>tout dans le Sud. Ces deux tendances réalistes minoritaires sont en perte de vitesse, supplantées par une dimension très idéologique, bien qu’elle se dise réaliste. Il en résulte un glissement significatif vers l’idéalisme conservateur.</w:t>
      </w:r>
    </w:p>
    <w:p w14:paraId="50A48802" w14:textId="77777777" w:rsidR="0039793A" w:rsidRDefault="0039793A" w:rsidP="0039793A">
      <w:pPr>
        <w:spacing w:before="120" w:after="120"/>
        <w:jc w:val="both"/>
        <w:rPr>
          <w:lang w:eastAsia="fr-FR" w:bidi="fr-FR"/>
        </w:rPr>
      </w:pPr>
    </w:p>
    <w:p w14:paraId="53029F93" w14:textId="77777777" w:rsidR="0039793A" w:rsidRPr="00594A23" w:rsidRDefault="0039793A" w:rsidP="0039793A">
      <w:pPr>
        <w:pStyle w:val="a"/>
      </w:pPr>
      <w:r w:rsidRPr="00594A23">
        <w:t>L’internationalisme libéral</w:t>
      </w:r>
    </w:p>
    <w:p w14:paraId="26B0A4FE" w14:textId="77777777" w:rsidR="0039793A" w:rsidRDefault="0039793A" w:rsidP="0039793A">
      <w:pPr>
        <w:spacing w:before="120" w:after="120"/>
        <w:jc w:val="both"/>
        <w:rPr>
          <w:lang w:eastAsia="fr-FR" w:bidi="fr-FR"/>
        </w:rPr>
      </w:pPr>
    </w:p>
    <w:p w14:paraId="61B66EE6" w14:textId="77777777" w:rsidR="0039793A" w:rsidRPr="00594A23" w:rsidRDefault="0039793A" w:rsidP="0039793A">
      <w:pPr>
        <w:spacing w:before="120" w:after="120"/>
        <w:jc w:val="both"/>
      </w:pPr>
      <w:r w:rsidRPr="00594A23">
        <w:rPr>
          <w:lang w:eastAsia="fr-FR" w:bidi="fr-FR"/>
        </w:rPr>
        <w:t>Selon les internationalistes libéraux, qui ne r</w:t>
      </w:r>
      <w:r w:rsidRPr="00594A23">
        <w:rPr>
          <w:lang w:eastAsia="fr-FR" w:bidi="fr-FR"/>
        </w:rPr>
        <w:t>e</w:t>
      </w:r>
      <w:r w:rsidRPr="00594A23">
        <w:rPr>
          <w:lang w:eastAsia="fr-FR" w:bidi="fr-FR"/>
        </w:rPr>
        <w:t>noncent pas à une certaine forme de leadership américain, les États-Unis doivent œuvrer à la construction d’un système fondé à la fois sur des institutions i</w:t>
      </w:r>
      <w:r w:rsidRPr="00594A23">
        <w:rPr>
          <w:lang w:eastAsia="fr-FR" w:bidi="fr-FR"/>
        </w:rPr>
        <w:t>n</w:t>
      </w:r>
      <w:r w:rsidRPr="00594A23">
        <w:rPr>
          <w:lang w:eastAsia="fr-FR" w:bidi="fr-FR"/>
        </w:rPr>
        <w:t>ternationales et sur une pratique multilatéraliste</w:t>
      </w:r>
      <w:r w:rsidRPr="00594A23">
        <w:t> :</w:t>
      </w:r>
      <w:r w:rsidRPr="00594A23">
        <w:rPr>
          <w:lang w:eastAsia="fr-FR" w:bidi="fr-FR"/>
        </w:rPr>
        <w:t xml:space="preserve"> </w:t>
      </w:r>
      <w:r w:rsidRPr="00594A23">
        <w:t>« </w:t>
      </w:r>
      <w:r w:rsidRPr="00594A23">
        <w:rPr>
          <w:lang w:eastAsia="fr-FR" w:bidi="fr-FR"/>
        </w:rPr>
        <w:t>Même une supe</w:t>
      </w:r>
      <w:r w:rsidRPr="00594A23">
        <w:rPr>
          <w:lang w:eastAsia="fr-FR" w:bidi="fr-FR"/>
        </w:rPr>
        <w:t>r</w:t>
      </w:r>
      <w:r w:rsidRPr="00594A23">
        <w:rPr>
          <w:lang w:eastAsia="fr-FR" w:bidi="fr-FR"/>
        </w:rPr>
        <w:t>puissance a besoin d’amis</w:t>
      </w:r>
      <w:r>
        <w:rPr>
          <w:lang w:eastAsia="fr-FR" w:bidi="fr-FR"/>
        </w:rPr>
        <w:t> </w:t>
      </w:r>
      <w:r>
        <w:rPr>
          <w:rStyle w:val="Appelnotedebasdep"/>
          <w:lang w:eastAsia="fr-FR" w:bidi="fr-FR"/>
        </w:rPr>
        <w:footnoteReference w:id="211"/>
      </w:r>
      <w:r>
        <w:rPr>
          <w:lang w:eastAsia="fr-FR" w:bidi="fr-FR"/>
        </w:rPr>
        <w:t>.</w:t>
      </w:r>
      <w:r w:rsidRPr="00594A23">
        <w:t> »</w:t>
      </w:r>
      <w:r w:rsidRPr="00594A23">
        <w:rPr>
          <w:lang w:eastAsia="fr-FR" w:bidi="fr-FR"/>
        </w:rPr>
        <w:t xml:space="preserve"> Les internationalistes libéraux défe</w:t>
      </w:r>
      <w:r w:rsidRPr="00594A23">
        <w:rPr>
          <w:lang w:eastAsia="fr-FR" w:bidi="fr-FR"/>
        </w:rPr>
        <w:t>n</w:t>
      </w:r>
      <w:r w:rsidRPr="00594A23">
        <w:rPr>
          <w:lang w:eastAsia="fr-FR" w:bidi="fr-FR"/>
        </w:rPr>
        <w:t>dent donc une conception plus amène du leader</w:t>
      </w:r>
      <w:r w:rsidRPr="00594A23">
        <w:rPr>
          <w:lang w:eastAsia="fr-FR" w:bidi="fr-FR"/>
        </w:rPr>
        <w:t>s</w:t>
      </w:r>
      <w:r w:rsidRPr="00594A23">
        <w:rPr>
          <w:lang w:eastAsia="fr-FR" w:bidi="fr-FR"/>
        </w:rPr>
        <w:t>hip américain. Pour être efficace, ce leadership doit s’exercer dans le respect des autres acteurs internationaux. Les internationalistes libéraux sont d’accord avec les réalistes pour affirmer que les principes universels doivent être constamment examinés en fonction de leur applicabilité. Tout</w:t>
      </w:r>
      <w:r w:rsidRPr="00594A23">
        <w:rPr>
          <w:lang w:eastAsia="fr-FR" w:bidi="fr-FR"/>
        </w:rPr>
        <w:t>e</w:t>
      </w:r>
      <w:r w:rsidRPr="00594A23">
        <w:rPr>
          <w:lang w:eastAsia="fr-FR" w:bidi="fr-FR"/>
        </w:rPr>
        <w:t>fois, ils ne croient pas que la seule puissance puisse répondre aux i</w:t>
      </w:r>
      <w:r w:rsidRPr="00594A23">
        <w:rPr>
          <w:lang w:eastAsia="fr-FR" w:bidi="fr-FR"/>
        </w:rPr>
        <w:t>m</w:t>
      </w:r>
      <w:r w:rsidRPr="00594A23">
        <w:rPr>
          <w:lang w:eastAsia="fr-FR" w:bidi="fr-FR"/>
        </w:rPr>
        <w:t>pératifs de l’intérêt national.</w:t>
      </w:r>
    </w:p>
    <w:p w14:paraId="2EC96A76" w14:textId="77777777" w:rsidR="0039793A" w:rsidRDefault="0039793A" w:rsidP="0039793A">
      <w:pPr>
        <w:spacing w:before="120" w:after="120"/>
        <w:jc w:val="both"/>
        <w:rPr>
          <w:lang w:eastAsia="fr-FR" w:bidi="fr-FR"/>
        </w:rPr>
      </w:pPr>
    </w:p>
    <w:p w14:paraId="000602D8" w14:textId="77777777" w:rsidR="0039793A" w:rsidRPr="00950688" w:rsidRDefault="0039793A" w:rsidP="0039793A">
      <w:pPr>
        <w:pStyle w:val="b"/>
      </w:pPr>
      <w:r w:rsidRPr="00950688">
        <w:rPr>
          <w:lang w:eastAsia="fr-FR" w:bidi="fr-FR"/>
        </w:rPr>
        <w:t>Le développement de l’internationalisme libéral</w:t>
      </w:r>
    </w:p>
    <w:p w14:paraId="01A7C102" w14:textId="77777777" w:rsidR="0039793A" w:rsidRDefault="0039793A" w:rsidP="0039793A">
      <w:pPr>
        <w:spacing w:before="120" w:after="120"/>
        <w:jc w:val="both"/>
        <w:rPr>
          <w:lang w:eastAsia="fr-FR" w:bidi="fr-FR"/>
        </w:rPr>
      </w:pPr>
    </w:p>
    <w:p w14:paraId="1BA42779" w14:textId="77777777" w:rsidR="0039793A" w:rsidRPr="00594A23" w:rsidRDefault="0039793A" w:rsidP="0039793A">
      <w:pPr>
        <w:spacing w:before="120" w:after="120"/>
        <w:jc w:val="both"/>
      </w:pPr>
      <w:r w:rsidRPr="00594A23">
        <w:rPr>
          <w:lang w:eastAsia="fr-FR" w:bidi="fr-FR"/>
        </w:rPr>
        <w:t>Tout en demeurant dans le sillage de Woodrow Wilson dans la m</w:t>
      </w:r>
      <w:r w:rsidRPr="00594A23">
        <w:rPr>
          <w:lang w:eastAsia="fr-FR" w:bidi="fr-FR"/>
        </w:rPr>
        <w:t>e</w:t>
      </w:r>
      <w:r w:rsidRPr="00594A23">
        <w:rPr>
          <w:lang w:eastAsia="fr-FR" w:bidi="fr-FR"/>
        </w:rPr>
        <w:t>sure où il se dissocie résolument du courant isolationniste et conserv</w:t>
      </w:r>
      <w:r w:rsidRPr="00594A23">
        <w:rPr>
          <w:lang w:eastAsia="fr-FR" w:bidi="fr-FR"/>
        </w:rPr>
        <w:t>a</w:t>
      </w:r>
      <w:r w:rsidRPr="00594A23">
        <w:rPr>
          <w:lang w:eastAsia="fr-FR" w:bidi="fr-FR"/>
        </w:rPr>
        <w:t>teur qui a fe</w:t>
      </w:r>
      <w:r w:rsidRPr="00594A23">
        <w:rPr>
          <w:lang w:eastAsia="fr-FR" w:bidi="fr-FR"/>
        </w:rPr>
        <w:t>r</w:t>
      </w:r>
      <w:r w:rsidRPr="00594A23">
        <w:rPr>
          <w:lang w:eastAsia="fr-FR" w:bidi="fr-FR"/>
        </w:rPr>
        <w:t>mé la porte à la Société des Nations,</w:t>
      </w:r>
      <w:r>
        <w:t xml:space="preserve"> [95] </w:t>
      </w:r>
      <w:r w:rsidRPr="00594A23">
        <w:rPr>
          <w:lang w:eastAsia="fr-FR" w:bidi="fr-FR"/>
        </w:rPr>
        <w:t>Franklin D. Roosevelt tire les leçons de la déconvenue de son prédécesseur dém</w:t>
      </w:r>
      <w:r w:rsidRPr="00594A23">
        <w:rPr>
          <w:lang w:eastAsia="fr-FR" w:bidi="fr-FR"/>
        </w:rPr>
        <w:t>o</w:t>
      </w:r>
      <w:r w:rsidRPr="00594A23">
        <w:rPr>
          <w:lang w:eastAsia="fr-FR" w:bidi="fr-FR"/>
        </w:rPr>
        <w:t>crate et s’oriente vers une politique plus pragmatique. Il souhaite a</w:t>
      </w:r>
      <w:r w:rsidRPr="00594A23">
        <w:rPr>
          <w:lang w:eastAsia="fr-FR" w:bidi="fr-FR"/>
        </w:rPr>
        <w:t>r</w:t>
      </w:r>
      <w:r w:rsidRPr="00594A23">
        <w:rPr>
          <w:lang w:eastAsia="fr-FR" w:bidi="fr-FR"/>
        </w:rPr>
        <w:t>demment que les États-Unis placent toute leur puissance dans la con</w:t>
      </w:r>
      <w:r w:rsidRPr="00594A23">
        <w:rPr>
          <w:lang w:eastAsia="fr-FR" w:bidi="fr-FR"/>
        </w:rPr>
        <w:t>s</w:t>
      </w:r>
      <w:r w:rsidRPr="00594A23">
        <w:rPr>
          <w:lang w:eastAsia="fr-FR" w:bidi="fr-FR"/>
        </w:rPr>
        <w:t>truction d’un nouvel ordre international et veut travailler dans une a</w:t>
      </w:r>
      <w:r w:rsidRPr="00594A23">
        <w:rPr>
          <w:lang w:eastAsia="fr-FR" w:bidi="fr-FR"/>
        </w:rPr>
        <w:t>t</w:t>
      </w:r>
      <w:r w:rsidRPr="00594A23">
        <w:rPr>
          <w:lang w:eastAsia="fr-FR" w:bidi="fr-FR"/>
        </w:rPr>
        <w:t>mosphère de collaboration avec ses alliés.</w:t>
      </w:r>
    </w:p>
    <w:p w14:paraId="038B0181" w14:textId="77777777" w:rsidR="0039793A" w:rsidRPr="00594A23" w:rsidRDefault="0039793A" w:rsidP="0039793A">
      <w:pPr>
        <w:spacing w:before="120" w:after="120"/>
        <w:jc w:val="both"/>
      </w:pPr>
      <w:r w:rsidRPr="00594A23">
        <w:rPr>
          <w:lang w:eastAsia="fr-FR" w:bidi="fr-FR"/>
        </w:rPr>
        <w:t>En dépit de son réalisme prononcé, Harry Tr</w:t>
      </w:r>
      <w:r w:rsidRPr="00594A23">
        <w:rPr>
          <w:lang w:eastAsia="fr-FR" w:bidi="fr-FR"/>
        </w:rPr>
        <w:t>u</w:t>
      </w:r>
      <w:r w:rsidRPr="00594A23">
        <w:rPr>
          <w:lang w:eastAsia="fr-FR" w:bidi="fr-FR"/>
        </w:rPr>
        <w:t>man poursuit la quête d’un ordre libéral américain et mondial, en renforçant les coopérations et en favorisant la création de grandes institutions mult</w:t>
      </w:r>
      <w:r w:rsidRPr="00594A23">
        <w:rPr>
          <w:lang w:eastAsia="fr-FR" w:bidi="fr-FR"/>
        </w:rPr>
        <w:t>i</w:t>
      </w:r>
      <w:r w:rsidRPr="00594A23">
        <w:rPr>
          <w:lang w:eastAsia="fr-FR" w:bidi="fr-FR"/>
        </w:rPr>
        <w:t>latérales</w:t>
      </w:r>
      <w:r w:rsidRPr="00594A23">
        <w:t> :</w:t>
      </w:r>
      <w:r w:rsidRPr="00594A23">
        <w:rPr>
          <w:lang w:eastAsia="fr-FR" w:bidi="fr-FR"/>
        </w:rPr>
        <w:t xml:space="preserve"> c’est bien là la marque de l’internationalisme libéral. En témoignent la mise en place du Programme de reconstruction européenne, le plan Mar</w:t>
      </w:r>
      <w:r w:rsidRPr="00594A23">
        <w:rPr>
          <w:lang w:eastAsia="fr-FR" w:bidi="fr-FR"/>
        </w:rPr>
        <w:t>s</w:t>
      </w:r>
      <w:r w:rsidRPr="00594A23">
        <w:rPr>
          <w:lang w:eastAsia="fr-FR" w:bidi="fr-FR"/>
        </w:rPr>
        <w:t>hall, des institutions écon</w:t>
      </w:r>
      <w:r w:rsidRPr="00594A23">
        <w:rPr>
          <w:lang w:eastAsia="fr-FR" w:bidi="fr-FR"/>
        </w:rPr>
        <w:t>o</w:t>
      </w:r>
      <w:r w:rsidRPr="00594A23">
        <w:rPr>
          <w:lang w:eastAsia="fr-FR" w:bidi="fr-FR"/>
        </w:rPr>
        <w:t xml:space="preserve">miques issues des accords de Bretton Woods ou encore des alliances militaires comme </w:t>
      </w:r>
      <w:r w:rsidRPr="00594A23">
        <w:t xml:space="preserve">l’OTAN. </w:t>
      </w:r>
      <w:r w:rsidRPr="00594A23">
        <w:rPr>
          <w:lang w:eastAsia="fr-FR" w:bidi="fr-FR"/>
        </w:rPr>
        <w:t>Bien qu’amoindri, l’internationalisme libéral pe</w:t>
      </w:r>
      <w:r w:rsidRPr="00594A23">
        <w:rPr>
          <w:lang w:eastAsia="fr-FR" w:bidi="fr-FR"/>
        </w:rPr>
        <w:t>r</w:t>
      </w:r>
      <w:r w:rsidRPr="00594A23">
        <w:rPr>
          <w:lang w:eastAsia="fr-FR" w:bidi="fr-FR"/>
        </w:rPr>
        <w:t>dure avec les Républicains conservateurs et m</w:t>
      </w:r>
      <w:r w:rsidRPr="00594A23">
        <w:rPr>
          <w:lang w:eastAsia="fr-FR" w:bidi="fr-FR"/>
        </w:rPr>
        <w:t>é</w:t>
      </w:r>
      <w:r w:rsidRPr="00594A23">
        <w:rPr>
          <w:lang w:eastAsia="fr-FR" w:bidi="fr-FR"/>
        </w:rPr>
        <w:t>fiants qui occupent le pouvoir avec Eisenhower, notamment John Foster Dulles. L’internationalisme libéral reprend un nouvel élan avec John F. Kennedy dont le discours est e</w:t>
      </w:r>
      <w:r w:rsidRPr="00594A23">
        <w:rPr>
          <w:lang w:eastAsia="fr-FR" w:bidi="fr-FR"/>
        </w:rPr>
        <w:t>m</w:t>
      </w:r>
      <w:r w:rsidRPr="00594A23">
        <w:rPr>
          <w:lang w:eastAsia="fr-FR" w:bidi="fr-FR"/>
        </w:rPr>
        <w:t>preint d’une volonté de coopération et de dialogue. Pour autant, la réalité prend vite le pas</w:t>
      </w:r>
      <w:r w:rsidRPr="00594A23">
        <w:t> :</w:t>
      </w:r>
      <w:r w:rsidRPr="00594A23">
        <w:rPr>
          <w:lang w:eastAsia="fr-FR" w:bidi="fr-FR"/>
        </w:rPr>
        <w:t xml:space="preserve"> tandis que des désaccords commerciaux apparaissent avec les partenaires européens, la France dénonce ce qu’elle perçoit comme une manipulation américa</w:t>
      </w:r>
      <w:r w:rsidRPr="00594A23">
        <w:rPr>
          <w:lang w:eastAsia="fr-FR" w:bidi="fr-FR"/>
        </w:rPr>
        <w:t>i</w:t>
      </w:r>
      <w:r w:rsidRPr="00594A23">
        <w:rPr>
          <w:lang w:eastAsia="fr-FR" w:bidi="fr-FR"/>
        </w:rPr>
        <w:t xml:space="preserve">ne des alliances, en particulier de </w:t>
      </w:r>
      <w:r w:rsidRPr="00594A23">
        <w:t xml:space="preserve">l’OTAN. </w:t>
      </w:r>
      <w:r w:rsidRPr="00594A23">
        <w:rPr>
          <w:lang w:eastAsia="fr-FR" w:bidi="fr-FR"/>
        </w:rPr>
        <w:t>De ce fait, les réalistes de l’Administration Kennedy prennent le de</w:t>
      </w:r>
      <w:r w:rsidRPr="00594A23">
        <w:rPr>
          <w:lang w:eastAsia="fr-FR" w:bidi="fr-FR"/>
        </w:rPr>
        <w:t>s</w:t>
      </w:r>
      <w:r w:rsidRPr="00594A23">
        <w:rPr>
          <w:lang w:eastAsia="fr-FR" w:bidi="fr-FR"/>
        </w:rPr>
        <w:t>sus et relèguent dans l’ombre des grands projets comme le Corps pour la paix</w:t>
      </w:r>
      <w:r>
        <w:rPr>
          <w:lang w:eastAsia="fr-FR" w:bidi="fr-FR"/>
        </w:rPr>
        <w:t> </w:t>
      </w:r>
      <w:r>
        <w:rPr>
          <w:rStyle w:val="Appelnotedebasdep"/>
          <w:lang w:eastAsia="fr-FR" w:bidi="fr-FR"/>
        </w:rPr>
        <w:footnoteReference w:id="212"/>
      </w:r>
      <w:r w:rsidRPr="00594A23">
        <w:rPr>
          <w:lang w:eastAsia="fr-FR" w:bidi="fr-FR"/>
        </w:rPr>
        <w:t xml:space="preserve"> et l’Alliance pour le progrès en Amérique latine</w:t>
      </w:r>
      <w:r>
        <w:rPr>
          <w:lang w:eastAsia="fr-FR" w:bidi="fr-FR"/>
        </w:rPr>
        <w:t> </w:t>
      </w:r>
      <w:r>
        <w:rPr>
          <w:rStyle w:val="Appelnotedebasdep"/>
          <w:lang w:eastAsia="fr-FR" w:bidi="fr-FR"/>
        </w:rPr>
        <w:footnoteReference w:id="213"/>
      </w:r>
      <w:r w:rsidRPr="00594A23">
        <w:rPr>
          <w:lang w:eastAsia="fr-FR" w:bidi="fr-FR"/>
        </w:rPr>
        <w:t>, tandis que la question cubaine et l’intervention au Vietnam achèvent les ve</w:t>
      </w:r>
      <w:r w:rsidRPr="00594A23">
        <w:rPr>
          <w:lang w:eastAsia="fr-FR" w:bidi="fr-FR"/>
        </w:rPr>
        <w:t>l</w:t>
      </w:r>
      <w:r w:rsidRPr="00594A23">
        <w:rPr>
          <w:lang w:eastAsia="fr-FR" w:bidi="fr-FR"/>
        </w:rPr>
        <w:t>léités multilatéralistes et amorcent une ère de grande solitude pour Lyndon Johnson.</w:t>
      </w:r>
    </w:p>
    <w:p w14:paraId="06C55EAD" w14:textId="77777777" w:rsidR="0039793A" w:rsidRPr="00594A23" w:rsidRDefault="0039793A" w:rsidP="0039793A">
      <w:pPr>
        <w:spacing w:before="120" w:after="120"/>
        <w:jc w:val="both"/>
      </w:pPr>
      <w:r w:rsidRPr="00594A23">
        <w:rPr>
          <w:lang w:eastAsia="fr-FR" w:bidi="fr-FR"/>
        </w:rPr>
        <w:t>L’internationalisme libéral renaît sous l’impulsion de l’idéalisme de Jimmy Carter. C</w:t>
      </w:r>
      <w:r w:rsidRPr="00594A23">
        <w:rPr>
          <w:lang w:eastAsia="fr-FR" w:bidi="fr-FR"/>
        </w:rPr>
        <w:t>e</w:t>
      </w:r>
      <w:r w:rsidRPr="00594A23">
        <w:rPr>
          <w:lang w:eastAsia="fr-FR" w:bidi="fr-FR"/>
        </w:rPr>
        <w:t>pendant, en raison des événements qui marquent la fin du mandat de ce président, l’internationalisme libéral est dur</w:t>
      </w:r>
      <w:r w:rsidRPr="00594A23">
        <w:rPr>
          <w:lang w:eastAsia="fr-FR" w:bidi="fr-FR"/>
        </w:rPr>
        <w:t>e</w:t>
      </w:r>
      <w:r w:rsidRPr="00594A23">
        <w:rPr>
          <w:lang w:eastAsia="fr-FR" w:bidi="fr-FR"/>
        </w:rPr>
        <w:t>ment critiqué</w:t>
      </w:r>
      <w:r w:rsidRPr="00594A23">
        <w:t> :</w:t>
      </w:r>
      <w:r w:rsidRPr="00594A23">
        <w:rPr>
          <w:lang w:eastAsia="fr-FR" w:bidi="fr-FR"/>
        </w:rPr>
        <w:t xml:space="preserve"> on reproche à Carter de ne pas avoir su tenir compte de la réalité des menaces et de n’avoir</w:t>
      </w:r>
      <w:r>
        <w:t xml:space="preserve"> [96] </w:t>
      </w:r>
      <w:r w:rsidRPr="00594A23">
        <w:rPr>
          <w:lang w:eastAsia="fr-FR" w:bidi="fr-FR"/>
        </w:rPr>
        <w:t>tenté de redéfinir les orient</w:t>
      </w:r>
      <w:r w:rsidRPr="00594A23">
        <w:rPr>
          <w:lang w:eastAsia="fr-FR" w:bidi="fr-FR"/>
        </w:rPr>
        <w:t>a</w:t>
      </w:r>
      <w:r w:rsidRPr="00594A23">
        <w:rPr>
          <w:lang w:eastAsia="fr-FR" w:bidi="fr-FR"/>
        </w:rPr>
        <w:t xml:space="preserve">tions de sa politique étrangère que trop peu et trop tard. Le Comité dit du danger présent </w:t>
      </w:r>
      <w:r w:rsidRPr="00594A23">
        <w:t>(</w:t>
      </w:r>
      <w:r w:rsidRPr="00A51DE3">
        <w:rPr>
          <w:i/>
          <w:iCs/>
        </w:rPr>
        <w:t>Committee on the Présent Danger</w:t>
      </w:r>
      <w:r w:rsidRPr="00594A23">
        <w:t>)</w:t>
      </w:r>
      <w:r>
        <w:rPr>
          <w:lang w:eastAsia="fr-FR" w:bidi="fr-FR"/>
        </w:rPr>
        <w:t> </w:t>
      </w:r>
      <w:r>
        <w:rPr>
          <w:rStyle w:val="Appelnotedebasdep"/>
          <w:lang w:eastAsia="fr-FR" w:bidi="fr-FR"/>
        </w:rPr>
        <w:footnoteReference w:id="214"/>
      </w:r>
      <w:r w:rsidRPr="00594A23">
        <w:rPr>
          <w:lang w:eastAsia="fr-FR" w:bidi="fr-FR"/>
        </w:rPr>
        <w:t xml:space="preserve"> est créé et recommande un accroissement des dépe</w:t>
      </w:r>
      <w:r w:rsidRPr="00594A23">
        <w:rPr>
          <w:lang w:eastAsia="fr-FR" w:bidi="fr-FR"/>
        </w:rPr>
        <w:t>n</w:t>
      </w:r>
      <w:r w:rsidRPr="00594A23">
        <w:rPr>
          <w:lang w:eastAsia="fr-FR" w:bidi="fr-FR"/>
        </w:rPr>
        <w:t>ses militaires face à l’Union soviétique qui, croit-on, est de plus en plus active dans les pays en voie de développement.</w:t>
      </w:r>
    </w:p>
    <w:p w14:paraId="5CCDB7C9" w14:textId="77777777" w:rsidR="0039793A" w:rsidRPr="00594A23" w:rsidRDefault="0039793A" w:rsidP="0039793A">
      <w:pPr>
        <w:spacing w:before="120" w:after="120"/>
        <w:jc w:val="both"/>
      </w:pPr>
      <w:r w:rsidRPr="00594A23">
        <w:rPr>
          <w:lang w:eastAsia="fr-FR" w:bidi="fr-FR"/>
        </w:rPr>
        <w:t>Le souci du multilatéralisme est présent au sein du gouvernement de George H. Bush, pourtant particulièrement réaliste, tout au moins lorsque le secrétaire d’</w:t>
      </w:r>
      <w:r>
        <w:rPr>
          <w:lang w:eastAsia="fr-FR" w:bidi="fr-FR"/>
        </w:rPr>
        <w:t>État</w:t>
      </w:r>
      <w:r w:rsidRPr="00594A23">
        <w:rPr>
          <w:lang w:eastAsia="fr-FR" w:bidi="fr-FR"/>
        </w:rPr>
        <w:t xml:space="preserve"> James Baker rallie une imposante coalition en vue de restaurer la souveraineté du Koweït, qui se traduira par un soutien massif des Nations unies et de la communauté internationale dans la guerre du Golfe en</w:t>
      </w:r>
      <w:r>
        <w:rPr>
          <w:lang w:eastAsia="fr-FR" w:bidi="fr-FR"/>
        </w:rPr>
        <w:t xml:space="preserve"> </w:t>
      </w:r>
      <w:r w:rsidRPr="00594A23">
        <w:rPr>
          <w:lang w:eastAsia="fr-FR" w:bidi="fr-FR"/>
        </w:rPr>
        <w:t>1991</w:t>
      </w:r>
      <w:r>
        <w:rPr>
          <w:lang w:eastAsia="fr-FR" w:bidi="fr-FR"/>
        </w:rPr>
        <w:t> </w:t>
      </w:r>
      <w:r>
        <w:rPr>
          <w:rStyle w:val="Appelnotedebasdep"/>
          <w:lang w:eastAsia="fr-FR" w:bidi="fr-FR"/>
        </w:rPr>
        <w:footnoteReference w:id="215"/>
      </w:r>
      <w:r w:rsidRPr="00594A23">
        <w:rPr>
          <w:lang w:eastAsia="fr-FR" w:bidi="fr-FR"/>
        </w:rPr>
        <w:t>.</w:t>
      </w:r>
    </w:p>
    <w:p w14:paraId="5B1088E9" w14:textId="77777777" w:rsidR="0039793A" w:rsidRPr="00594A23" w:rsidRDefault="0039793A" w:rsidP="0039793A">
      <w:pPr>
        <w:spacing w:before="120" w:after="120"/>
        <w:jc w:val="both"/>
      </w:pPr>
      <w:r w:rsidRPr="00594A23">
        <w:rPr>
          <w:lang w:eastAsia="fr-FR" w:bidi="fr-FR"/>
        </w:rPr>
        <w:t>Avec l’accession au pouvoir de Bill Clinton, dans le climat plutôt euphorique de l’après-guerre froide, l’internationalisme libéral s’affirme partic</w:t>
      </w:r>
      <w:r w:rsidRPr="00594A23">
        <w:rPr>
          <w:lang w:eastAsia="fr-FR" w:bidi="fr-FR"/>
        </w:rPr>
        <w:t>u</w:t>
      </w:r>
      <w:r w:rsidRPr="00594A23">
        <w:rPr>
          <w:lang w:eastAsia="fr-FR" w:bidi="fr-FR"/>
        </w:rPr>
        <w:t>lièrement. L’un des grands succès de Clinton aura été d’obtenir du Sénat, qui exprimait beaucoup de réticences</w:t>
      </w:r>
      <w:r>
        <w:rPr>
          <w:lang w:eastAsia="fr-FR" w:bidi="fr-FR"/>
        </w:rPr>
        <w:t> </w:t>
      </w:r>
      <w:r>
        <w:rPr>
          <w:rStyle w:val="Appelnotedebasdep"/>
          <w:lang w:eastAsia="fr-FR" w:bidi="fr-FR"/>
        </w:rPr>
        <w:footnoteReference w:id="216"/>
      </w:r>
      <w:r w:rsidRPr="00594A23">
        <w:rPr>
          <w:lang w:eastAsia="fr-FR" w:bidi="fr-FR"/>
        </w:rPr>
        <w:t>, la ratif</w:t>
      </w:r>
      <w:r w:rsidRPr="00594A23">
        <w:rPr>
          <w:lang w:eastAsia="fr-FR" w:bidi="fr-FR"/>
        </w:rPr>
        <w:t>i</w:t>
      </w:r>
      <w:r w:rsidRPr="00594A23">
        <w:rPr>
          <w:lang w:eastAsia="fr-FR" w:bidi="fr-FR"/>
        </w:rPr>
        <w:t xml:space="preserve">cation de l’Accord de libre-échange nord-américain </w:t>
      </w:r>
      <w:r w:rsidRPr="00594A23">
        <w:t xml:space="preserve">(ALENA) </w:t>
      </w:r>
      <w:r w:rsidRPr="00594A23">
        <w:rPr>
          <w:lang w:eastAsia="fr-FR" w:bidi="fr-FR"/>
        </w:rPr>
        <w:t>en o</w:t>
      </w:r>
      <w:r w:rsidRPr="00594A23">
        <w:rPr>
          <w:lang w:eastAsia="fr-FR" w:bidi="fr-FR"/>
        </w:rPr>
        <w:t>c</w:t>
      </w:r>
      <w:r w:rsidRPr="00594A23">
        <w:rPr>
          <w:lang w:eastAsia="fr-FR" w:bidi="fr-FR"/>
        </w:rPr>
        <w:t>tobre 1993. Fort de cette création d’une zone de commerce considér</w:t>
      </w:r>
      <w:r w:rsidRPr="00594A23">
        <w:rPr>
          <w:lang w:eastAsia="fr-FR" w:bidi="fr-FR"/>
        </w:rPr>
        <w:t>a</w:t>
      </w:r>
      <w:r w:rsidRPr="00594A23">
        <w:rPr>
          <w:lang w:eastAsia="fr-FR" w:bidi="fr-FR"/>
        </w:rPr>
        <w:t>ble, Clinton obtient finalement la conclusion des accords de l</w:t>
      </w:r>
      <w:r w:rsidRPr="00594A23">
        <w:t>’</w:t>
      </w:r>
      <w:r w:rsidRPr="00A51DE3">
        <w:rPr>
          <w:i/>
          <w:iCs/>
        </w:rPr>
        <w:t>Uruguay Round</w:t>
      </w:r>
      <w:r>
        <w:rPr>
          <w:lang w:eastAsia="fr-FR" w:bidi="fr-FR"/>
        </w:rPr>
        <w:t> </w:t>
      </w:r>
      <w:r>
        <w:rPr>
          <w:rStyle w:val="Appelnotedebasdep"/>
          <w:lang w:eastAsia="fr-FR" w:bidi="fr-FR"/>
        </w:rPr>
        <w:footnoteReference w:id="217"/>
      </w:r>
      <w:r w:rsidRPr="00594A23">
        <w:rPr>
          <w:lang w:eastAsia="fr-FR" w:bidi="fr-FR"/>
        </w:rPr>
        <w:t xml:space="preserve"> et préside ensuite une réunion de la Conférence éc</w:t>
      </w:r>
      <w:r w:rsidRPr="00594A23">
        <w:rPr>
          <w:lang w:eastAsia="fr-FR" w:bidi="fr-FR"/>
        </w:rPr>
        <w:t>o</w:t>
      </w:r>
      <w:r w:rsidRPr="00594A23">
        <w:rPr>
          <w:lang w:eastAsia="fr-FR" w:bidi="fr-FR"/>
        </w:rPr>
        <w:t>nomique Asie-Pacifique à Seattle. Le président américain peut dès lors se pr</w:t>
      </w:r>
      <w:r w:rsidRPr="00594A23">
        <w:rPr>
          <w:lang w:eastAsia="fr-FR" w:bidi="fr-FR"/>
        </w:rPr>
        <w:t>é</w:t>
      </w:r>
      <w:r w:rsidRPr="00594A23">
        <w:rPr>
          <w:lang w:eastAsia="fr-FR" w:bidi="fr-FR"/>
        </w:rPr>
        <w:t>senter comme le champion de la mondialisati</w:t>
      </w:r>
      <w:r>
        <w:rPr>
          <w:lang w:eastAsia="fr-FR" w:bidi="fr-FR"/>
        </w:rPr>
        <w:t>on et de l’interdépendance, ren</w:t>
      </w:r>
      <w:r w:rsidRPr="00594A23">
        <w:rPr>
          <w:lang w:eastAsia="fr-FR" w:bidi="fr-FR"/>
        </w:rPr>
        <w:t>voyant</w:t>
      </w:r>
      <w:r>
        <w:t xml:space="preserve"> [97]</w:t>
      </w:r>
      <w:r w:rsidRPr="00594A23">
        <w:rPr>
          <w:lang w:eastAsia="fr-FR" w:bidi="fr-FR"/>
        </w:rPr>
        <w:t xml:space="preserve"> dos à dos protectionnistes et crit</w:t>
      </w:r>
      <w:r w:rsidRPr="00594A23">
        <w:rPr>
          <w:lang w:eastAsia="fr-FR" w:bidi="fr-FR"/>
        </w:rPr>
        <w:t>i</w:t>
      </w:r>
      <w:r w:rsidRPr="00594A23">
        <w:rPr>
          <w:lang w:eastAsia="fr-FR" w:bidi="fr-FR"/>
        </w:rPr>
        <w:t>ques de l’impérialisme économique américain. D’une part, l’internationalisme libéral se traduit, chez Clinton, par une politique de médiation sout</w:t>
      </w:r>
      <w:r w:rsidRPr="00594A23">
        <w:rPr>
          <w:lang w:eastAsia="fr-FR" w:bidi="fr-FR"/>
        </w:rPr>
        <w:t>e</w:t>
      </w:r>
      <w:r w:rsidRPr="00594A23">
        <w:rPr>
          <w:lang w:eastAsia="fr-FR" w:bidi="fr-FR"/>
        </w:rPr>
        <w:t>nue tout au long de sa présidence. En témoignent les efforts de conc</w:t>
      </w:r>
      <w:r w:rsidRPr="00594A23">
        <w:rPr>
          <w:lang w:eastAsia="fr-FR" w:bidi="fr-FR"/>
        </w:rPr>
        <w:t>i</w:t>
      </w:r>
      <w:r w:rsidRPr="00594A23">
        <w:rPr>
          <w:lang w:eastAsia="fr-FR" w:bidi="fr-FR"/>
        </w:rPr>
        <w:t>liation en ex-Yougoslavie, en Irlande du Nord et dans le conflit isra</w:t>
      </w:r>
      <w:r w:rsidRPr="00594A23">
        <w:rPr>
          <w:lang w:eastAsia="fr-FR" w:bidi="fr-FR"/>
        </w:rPr>
        <w:t>é</w:t>
      </w:r>
      <w:r w:rsidRPr="00594A23">
        <w:rPr>
          <w:lang w:eastAsia="fr-FR" w:bidi="fr-FR"/>
        </w:rPr>
        <w:t>lo-palestinien</w:t>
      </w:r>
      <w:r>
        <w:rPr>
          <w:lang w:eastAsia="fr-FR" w:bidi="fr-FR"/>
        </w:rPr>
        <w:t> </w:t>
      </w:r>
      <w:r>
        <w:rPr>
          <w:rStyle w:val="Appelnotedebasdep"/>
          <w:lang w:eastAsia="fr-FR" w:bidi="fr-FR"/>
        </w:rPr>
        <w:footnoteReference w:id="218"/>
      </w:r>
      <w:r w:rsidRPr="00594A23">
        <w:t>.</w:t>
      </w:r>
      <w:r w:rsidRPr="00594A23">
        <w:rPr>
          <w:lang w:eastAsia="fr-FR" w:bidi="fr-FR"/>
        </w:rPr>
        <w:t xml:space="preserve"> D’autre part, la conviction que les conventions i</w:t>
      </w:r>
      <w:r w:rsidRPr="00594A23">
        <w:rPr>
          <w:lang w:eastAsia="fr-FR" w:bidi="fr-FR"/>
        </w:rPr>
        <w:t>n</w:t>
      </w:r>
      <w:r w:rsidRPr="00594A23">
        <w:rPr>
          <w:lang w:eastAsia="fr-FR" w:bidi="fr-FR"/>
        </w:rPr>
        <w:t>ternationales servent les intérêts américains a mené Clinton à multiplier la conclusion de traités internati</w:t>
      </w:r>
      <w:r w:rsidRPr="00594A23">
        <w:rPr>
          <w:lang w:eastAsia="fr-FR" w:bidi="fr-FR"/>
        </w:rPr>
        <w:t>o</w:t>
      </w:r>
      <w:r w:rsidRPr="00594A23">
        <w:rPr>
          <w:lang w:eastAsia="fr-FR" w:bidi="fr-FR"/>
        </w:rPr>
        <w:t>naux</w:t>
      </w:r>
      <w:r>
        <w:rPr>
          <w:lang w:eastAsia="fr-FR" w:bidi="fr-FR"/>
        </w:rPr>
        <w:t> </w:t>
      </w:r>
      <w:r>
        <w:rPr>
          <w:rStyle w:val="Appelnotedebasdep"/>
          <w:lang w:eastAsia="fr-FR" w:bidi="fr-FR"/>
        </w:rPr>
        <w:footnoteReference w:id="219"/>
      </w:r>
      <w:r w:rsidRPr="00594A23">
        <w:rPr>
          <w:lang w:eastAsia="fr-FR" w:bidi="fr-FR"/>
        </w:rPr>
        <w:t>. Toutes ces initiatives finissent cependant par se heurter à la méfiance du Congrès, voire à son opposition. Les R</w:t>
      </w:r>
      <w:r w:rsidRPr="00594A23">
        <w:rPr>
          <w:lang w:eastAsia="fr-FR" w:bidi="fr-FR"/>
        </w:rPr>
        <w:t>é</w:t>
      </w:r>
      <w:r w:rsidRPr="00594A23">
        <w:rPr>
          <w:lang w:eastAsia="fr-FR" w:bidi="fr-FR"/>
        </w:rPr>
        <w:t>publicains s’y sont assuré le contrôle à compter de 1995 et le très conservateur Jesse Helms préside l’importante Commission des Rel</w:t>
      </w:r>
      <w:r w:rsidRPr="00594A23">
        <w:rPr>
          <w:lang w:eastAsia="fr-FR" w:bidi="fr-FR"/>
        </w:rPr>
        <w:t>a</w:t>
      </w:r>
      <w:r w:rsidRPr="00594A23">
        <w:rPr>
          <w:lang w:eastAsia="fr-FR" w:bidi="fr-FR"/>
        </w:rPr>
        <w:t xml:space="preserve">tions étrangères du Sénat. Ainsi la Chambre haute rejette le traité sur l’interdiction des essais nucléaires en 1999 </w:t>
      </w:r>
      <w:r w:rsidRPr="00594A23">
        <w:t>(TICE).</w:t>
      </w:r>
    </w:p>
    <w:p w14:paraId="24614C41" w14:textId="77777777" w:rsidR="0039793A" w:rsidRPr="00594A23" w:rsidRDefault="0039793A" w:rsidP="0039793A">
      <w:pPr>
        <w:spacing w:before="120" w:after="120"/>
        <w:jc w:val="both"/>
      </w:pPr>
      <w:r w:rsidRPr="00594A23">
        <w:rPr>
          <w:lang w:eastAsia="fr-FR" w:bidi="fr-FR"/>
        </w:rPr>
        <w:t>Les internationalistes libéraux insistent sur le fait que les États-Unis sont beaucoup plus dépe</w:t>
      </w:r>
      <w:r w:rsidRPr="00594A23">
        <w:rPr>
          <w:lang w:eastAsia="fr-FR" w:bidi="fr-FR"/>
        </w:rPr>
        <w:t>n</w:t>
      </w:r>
      <w:r w:rsidRPr="00594A23">
        <w:rPr>
          <w:lang w:eastAsia="fr-FR" w:bidi="fr-FR"/>
        </w:rPr>
        <w:t xml:space="preserve">dants de la communauté internationale qu’on est porté à le croire. L’intérêt national américain doit donc </w:t>
      </w:r>
      <w:r w:rsidRPr="00594A23">
        <w:t>« </w:t>
      </w:r>
      <w:r w:rsidRPr="00594A23">
        <w:rPr>
          <w:lang w:eastAsia="fr-FR" w:bidi="fr-FR"/>
        </w:rPr>
        <w:t>prendre en compte les intérêts des autres</w:t>
      </w:r>
      <w:r>
        <w:rPr>
          <w:lang w:eastAsia="fr-FR" w:bidi="fr-FR"/>
        </w:rPr>
        <w:t> </w:t>
      </w:r>
      <w:r>
        <w:rPr>
          <w:rStyle w:val="Appelnotedebasdep"/>
          <w:lang w:eastAsia="fr-FR" w:bidi="fr-FR"/>
        </w:rPr>
        <w:footnoteReference w:id="220"/>
      </w:r>
      <w:r w:rsidRPr="00594A23">
        <w:t> »</w:t>
      </w:r>
      <w:r w:rsidRPr="00594A23">
        <w:rPr>
          <w:lang w:eastAsia="fr-FR" w:bidi="fr-FR"/>
        </w:rPr>
        <w:t xml:space="preserve"> et accepter les contraintes que cela suppose. En prenant conscience des transform</w:t>
      </w:r>
      <w:r w:rsidRPr="00594A23">
        <w:rPr>
          <w:lang w:eastAsia="fr-FR" w:bidi="fr-FR"/>
        </w:rPr>
        <w:t>a</w:t>
      </w:r>
      <w:r w:rsidRPr="00594A23">
        <w:rPr>
          <w:lang w:eastAsia="fr-FR" w:bidi="fr-FR"/>
        </w:rPr>
        <w:t>tions du monde contemporain, en particulier du phénomène de la mondialisation et de la porosité croissante des frontières, les intern</w:t>
      </w:r>
      <w:r w:rsidRPr="00594A23">
        <w:rPr>
          <w:lang w:eastAsia="fr-FR" w:bidi="fr-FR"/>
        </w:rPr>
        <w:t>a</w:t>
      </w:r>
      <w:r w:rsidRPr="00594A23">
        <w:rPr>
          <w:lang w:eastAsia="fr-FR" w:bidi="fr-FR"/>
        </w:rPr>
        <w:t>tionalistes libéraux en sont venus à prôner des interventions human</w:t>
      </w:r>
      <w:r w:rsidRPr="00594A23">
        <w:rPr>
          <w:lang w:eastAsia="fr-FR" w:bidi="fr-FR"/>
        </w:rPr>
        <w:t>i</w:t>
      </w:r>
      <w:r w:rsidRPr="00594A23">
        <w:rPr>
          <w:lang w:eastAsia="fr-FR" w:bidi="fr-FR"/>
        </w:rPr>
        <w:t>taires dans le cadre des institutions internationales et région</w:t>
      </w:r>
      <w:r w:rsidRPr="00594A23">
        <w:rPr>
          <w:lang w:eastAsia="fr-FR" w:bidi="fr-FR"/>
        </w:rPr>
        <w:t>a</w:t>
      </w:r>
      <w:r w:rsidRPr="00594A23">
        <w:rPr>
          <w:lang w:eastAsia="fr-FR" w:bidi="fr-FR"/>
        </w:rPr>
        <w:t>les. Ils acceptent qu’en certaines circonstances, le droit d’ingérence puisse prévaloir sur la souveraineté des États. Tel est le cas lorsque le go</w:t>
      </w:r>
      <w:r w:rsidRPr="00594A23">
        <w:rPr>
          <w:lang w:eastAsia="fr-FR" w:bidi="fr-FR"/>
        </w:rPr>
        <w:t>u</w:t>
      </w:r>
      <w:r w:rsidRPr="00594A23">
        <w:rPr>
          <w:lang w:eastAsia="fr-FR" w:bidi="fr-FR"/>
        </w:rPr>
        <w:t>vern</w:t>
      </w:r>
      <w:r w:rsidRPr="00594A23">
        <w:rPr>
          <w:lang w:eastAsia="fr-FR" w:bidi="fr-FR"/>
        </w:rPr>
        <w:t>e</w:t>
      </w:r>
      <w:r w:rsidRPr="00594A23">
        <w:rPr>
          <w:lang w:eastAsia="fr-FR" w:bidi="fr-FR"/>
        </w:rPr>
        <w:t xml:space="preserve">ment Clinton fait appel à </w:t>
      </w:r>
      <w:r w:rsidRPr="00594A23">
        <w:t xml:space="preserve">l’OTAN </w:t>
      </w:r>
      <w:r w:rsidRPr="00594A23">
        <w:rPr>
          <w:lang w:eastAsia="fr-FR" w:bidi="fr-FR"/>
        </w:rPr>
        <w:t>pour bombarder la Serbie en réaction à la répre</w:t>
      </w:r>
      <w:r w:rsidRPr="00594A23">
        <w:rPr>
          <w:lang w:eastAsia="fr-FR" w:bidi="fr-FR"/>
        </w:rPr>
        <w:t>s</w:t>
      </w:r>
      <w:r w:rsidRPr="00594A23">
        <w:rPr>
          <w:lang w:eastAsia="fr-FR" w:bidi="fr-FR"/>
        </w:rPr>
        <w:t>sion des Albanais du Kosovo par le gouvernement de</w:t>
      </w:r>
      <w:r>
        <w:t xml:space="preserve"> [98] </w:t>
      </w:r>
      <w:r w:rsidRPr="00594A23">
        <w:rPr>
          <w:lang w:eastAsia="fr-FR" w:bidi="fr-FR"/>
        </w:rPr>
        <w:t>Belgrade</w:t>
      </w:r>
      <w:r>
        <w:rPr>
          <w:lang w:eastAsia="fr-FR" w:bidi="fr-FR"/>
        </w:rPr>
        <w:t> </w:t>
      </w:r>
      <w:r>
        <w:rPr>
          <w:rStyle w:val="Appelnotedebasdep"/>
          <w:lang w:eastAsia="fr-FR" w:bidi="fr-FR"/>
        </w:rPr>
        <w:footnoteReference w:id="221"/>
      </w:r>
      <w:r w:rsidRPr="00594A23">
        <w:rPr>
          <w:lang w:eastAsia="fr-FR" w:bidi="fr-FR"/>
        </w:rPr>
        <w:t>. Les réalistes font valoir qu’une telle action intr</w:t>
      </w:r>
      <w:r w:rsidRPr="00594A23">
        <w:rPr>
          <w:lang w:eastAsia="fr-FR" w:bidi="fr-FR"/>
        </w:rPr>
        <w:t>o</w:t>
      </w:r>
      <w:r w:rsidRPr="00594A23">
        <w:rPr>
          <w:lang w:eastAsia="fr-FR" w:bidi="fr-FR"/>
        </w:rPr>
        <w:t>duit un dangereux précédent</w:t>
      </w:r>
      <w:r>
        <w:rPr>
          <w:lang w:eastAsia="fr-FR" w:bidi="fr-FR"/>
        </w:rPr>
        <w:t> </w:t>
      </w:r>
      <w:r>
        <w:rPr>
          <w:rStyle w:val="Appelnotedebasdep"/>
          <w:lang w:eastAsia="fr-FR" w:bidi="fr-FR"/>
        </w:rPr>
        <w:footnoteReference w:id="222"/>
      </w:r>
      <w:r w:rsidRPr="00594A23">
        <w:rPr>
          <w:lang w:eastAsia="fr-FR" w:bidi="fr-FR"/>
        </w:rPr>
        <w:t>. Les internationalistes libéraux répo</w:t>
      </w:r>
      <w:r w:rsidRPr="00594A23">
        <w:rPr>
          <w:lang w:eastAsia="fr-FR" w:bidi="fr-FR"/>
        </w:rPr>
        <w:t>n</w:t>
      </w:r>
      <w:r w:rsidRPr="00594A23">
        <w:rPr>
          <w:lang w:eastAsia="fr-FR" w:bidi="fr-FR"/>
        </w:rPr>
        <w:t>dent que l’application d’un principe universel ne nécessite sûrement pas qu’on fasse de même partout</w:t>
      </w:r>
      <w:r>
        <w:rPr>
          <w:lang w:eastAsia="fr-FR" w:bidi="fr-FR"/>
        </w:rPr>
        <w:t> </w:t>
      </w:r>
      <w:r>
        <w:rPr>
          <w:rStyle w:val="Appelnotedebasdep"/>
          <w:lang w:eastAsia="fr-FR" w:bidi="fr-FR"/>
        </w:rPr>
        <w:footnoteReference w:id="223"/>
      </w:r>
      <w:r w:rsidRPr="00594A23">
        <w:rPr>
          <w:lang w:eastAsia="fr-FR" w:bidi="fr-FR"/>
        </w:rPr>
        <w:t>. Quelques années auparavant, Stanley Hoffmann a répondu à Michael Mandelbaum</w:t>
      </w:r>
      <w:r>
        <w:rPr>
          <w:lang w:eastAsia="fr-FR" w:bidi="fr-FR"/>
        </w:rPr>
        <w:t> </w:t>
      </w:r>
      <w:r>
        <w:rPr>
          <w:rStyle w:val="Appelnotedebasdep"/>
          <w:lang w:eastAsia="fr-FR" w:bidi="fr-FR"/>
        </w:rPr>
        <w:footnoteReference w:id="224"/>
      </w:r>
      <w:r w:rsidRPr="00594A23">
        <w:rPr>
          <w:vertAlign w:val="superscript"/>
          <w:lang w:eastAsia="fr-FR" w:bidi="fr-FR"/>
        </w:rPr>
        <w:t xml:space="preserve"> </w:t>
      </w:r>
      <w:r w:rsidRPr="00594A23">
        <w:rPr>
          <w:lang w:eastAsia="fr-FR" w:bidi="fr-FR"/>
        </w:rPr>
        <w:t xml:space="preserve">que </w:t>
      </w:r>
      <w:r w:rsidRPr="00594A23">
        <w:t>« </w:t>
      </w:r>
      <w:r w:rsidRPr="00594A23">
        <w:rPr>
          <w:lang w:eastAsia="fr-FR" w:bidi="fr-FR"/>
        </w:rPr>
        <w:t>certains niveaux et catégories de détresse sont moralement inacce</w:t>
      </w:r>
      <w:r w:rsidRPr="00594A23">
        <w:rPr>
          <w:lang w:eastAsia="fr-FR" w:bidi="fr-FR"/>
        </w:rPr>
        <w:t>p</w:t>
      </w:r>
      <w:r w:rsidRPr="00594A23">
        <w:rPr>
          <w:lang w:eastAsia="fr-FR" w:bidi="fr-FR"/>
        </w:rPr>
        <w:t>tables et que certaines brisures politiques, économiques et sociales sont trop dang</w:t>
      </w:r>
      <w:r w:rsidRPr="00594A23">
        <w:rPr>
          <w:lang w:eastAsia="fr-FR" w:bidi="fr-FR"/>
        </w:rPr>
        <w:t>e</w:t>
      </w:r>
      <w:r w:rsidRPr="00594A23">
        <w:rPr>
          <w:lang w:eastAsia="fr-FR" w:bidi="fr-FR"/>
        </w:rPr>
        <w:t>reuses pour l’ordre mondial pour qu’on se permette de les ignorer</w:t>
      </w:r>
      <w:r>
        <w:rPr>
          <w:lang w:eastAsia="fr-FR" w:bidi="fr-FR"/>
        </w:rPr>
        <w:t> </w:t>
      </w:r>
      <w:r>
        <w:rPr>
          <w:rStyle w:val="Appelnotedebasdep"/>
          <w:lang w:eastAsia="fr-FR" w:bidi="fr-FR"/>
        </w:rPr>
        <w:footnoteReference w:id="225"/>
      </w:r>
      <w:r w:rsidRPr="00594A23">
        <w:t> »</w:t>
      </w:r>
      <w:r w:rsidRPr="00594A23">
        <w:rPr>
          <w:lang w:eastAsia="fr-FR" w:bidi="fr-FR"/>
        </w:rPr>
        <w:t>. En somme, ce qui sépare les internationalistes lib</w:t>
      </w:r>
      <w:r w:rsidRPr="00594A23">
        <w:rPr>
          <w:lang w:eastAsia="fr-FR" w:bidi="fr-FR"/>
        </w:rPr>
        <w:t>é</w:t>
      </w:r>
      <w:r w:rsidRPr="00594A23">
        <w:rPr>
          <w:lang w:eastAsia="fr-FR" w:bidi="fr-FR"/>
        </w:rPr>
        <w:t>raux des réalistes, c’est avant tout une question de perspective. Ainsi se poursuit le débat quant à l’importance pour une grande pui</w:t>
      </w:r>
      <w:r w:rsidRPr="00594A23">
        <w:rPr>
          <w:lang w:eastAsia="fr-FR" w:bidi="fr-FR"/>
        </w:rPr>
        <w:t>s</w:t>
      </w:r>
      <w:r w:rsidRPr="00594A23">
        <w:rPr>
          <w:lang w:eastAsia="fr-FR" w:bidi="fr-FR"/>
        </w:rPr>
        <w:t>sance d’être à la fois crainte et aimée.</w:t>
      </w:r>
    </w:p>
    <w:p w14:paraId="43B72BE2" w14:textId="77777777" w:rsidR="0039793A" w:rsidRDefault="0039793A" w:rsidP="0039793A">
      <w:pPr>
        <w:spacing w:before="120" w:after="120"/>
        <w:jc w:val="both"/>
        <w:rPr>
          <w:lang w:eastAsia="fr-FR" w:bidi="fr-FR"/>
        </w:rPr>
      </w:pPr>
    </w:p>
    <w:p w14:paraId="651B67DF" w14:textId="77777777" w:rsidR="0039793A" w:rsidRPr="00EC4A78" w:rsidRDefault="0039793A" w:rsidP="0039793A">
      <w:pPr>
        <w:pStyle w:val="b"/>
      </w:pPr>
      <w:r w:rsidRPr="00EC4A78">
        <w:rPr>
          <w:lang w:eastAsia="fr-FR" w:bidi="fr-FR"/>
        </w:rPr>
        <w:t>Les formes de l’internationalisme libéral</w:t>
      </w:r>
    </w:p>
    <w:p w14:paraId="676CCFFE" w14:textId="77777777" w:rsidR="0039793A" w:rsidRDefault="0039793A" w:rsidP="0039793A">
      <w:pPr>
        <w:spacing w:before="120" w:after="120"/>
        <w:jc w:val="both"/>
        <w:rPr>
          <w:lang w:eastAsia="fr-FR" w:bidi="fr-FR"/>
        </w:rPr>
      </w:pPr>
    </w:p>
    <w:p w14:paraId="54743863" w14:textId="77777777" w:rsidR="0039793A" w:rsidRPr="00594A23" w:rsidRDefault="0039793A" w:rsidP="0039793A">
      <w:pPr>
        <w:spacing w:before="120" w:after="120"/>
        <w:jc w:val="both"/>
      </w:pPr>
      <w:r w:rsidRPr="00594A23">
        <w:rPr>
          <w:lang w:eastAsia="fr-FR" w:bidi="fr-FR"/>
        </w:rPr>
        <w:t>Les internationalistes libéraux ne forment pas un groupe homog</w:t>
      </w:r>
      <w:r w:rsidRPr="00594A23">
        <w:rPr>
          <w:lang w:eastAsia="fr-FR" w:bidi="fr-FR"/>
        </w:rPr>
        <w:t>è</w:t>
      </w:r>
      <w:r w:rsidRPr="00594A23">
        <w:rPr>
          <w:lang w:eastAsia="fr-FR" w:bidi="fr-FR"/>
        </w:rPr>
        <w:t>ne. On peut distinguer parmi eux diverses tendances</w:t>
      </w:r>
      <w:r w:rsidRPr="00594A23">
        <w:t> :</w:t>
      </w:r>
    </w:p>
    <w:p w14:paraId="09A40423" w14:textId="77777777" w:rsidR="0039793A" w:rsidRPr="00594A23" w:rsidRDefault="0039793A" w:rsidP="0039793A">
      <w:pPr>
        <w:spacing w:before="120" w:after="120"/>
        <w:jc w:val="both"/>
      </w:pPr>
      <w:r w:rsidRPr="00594A23">
        <w:rPr>
          <w:lang w:eastAsia="fr-FR" w:bidi="fr-FR"/>
        </w:rPr>
        <w:t>D’un côté, un groupe apparaît moins internationaliste que les a</w:t>
      </w:r>
      <w:r w:rsidRPr="00594A23">
        <w:rPr>
          <w:lang w:eastAsia="fr-FR" w:bidi="fr-FR"/>
        </w:rPr>
        <w:t>u</w:t>
      </w:r>
      <w:r w:rsidRPr="00594A23">
        <w:rPr>
          <w:lang w:eastAsia="fr-FR" w:bidi="fr-FR"/>
        </w:rPr>
        <w:t>tres en raison d’une certaine a</w:t>
      </w:r>
      <w:r w:rsidRPr="00594A23">
        <w:rPr>
          <w:lang w:eastAsia="fr-FR" w:bidi="fr-FR"/>
        </w:rPr>
        <w:t>p</w:t>
      </w:r>
      <w:r w:rsidRPr="00594A23">
        <w:rPr>
          <w:lang w:eastAsia="fr-FR" w:bidi="fr-FR"/>
        </w:rPr>
        <w:t>proche protectionniste. Des membres du Parti d</w:t>
      </w:r>
      <w:r w:rsidRPr="00594A23">
        <w:rPr>
          <w:lang w:eastAsia="fr-FR" w:bidi="fr-FR"/>
        </w:rPr>
        <w:t>é</w:t>
      </w:r>
      <w:r w:rsidRPr="00594A23">
        <w:rPr>
          <w:lang w:eastAsia="fr-FR" w:bidi="fr-FR"/>
        </w:rPr>
        <w:t>mocrate, qui se réclament toujours de la grande tradition majoritaire d’ouverture au monde des Roosevelt et Truman, intervie</w:t>
      </w:r>
      <w:r w:rsidRPr="00594A23">
        <w:rPr>
          <w:lang w:eastAsia="fr-FR" w:bidi="fr-FR"/>
        </w:rPr>
        <w:t>n</w:t>
      </w:r>
      <w:r w:rsidRPr="00594A23">
        <w:rPr>
          <w:lang w:eastAsia="fr-FR" w:bidi="fr-FR"/>
        </w:rPr>
        <w:t>nent fréquemment pour s’opposer à des</w:t>
      </w:r>
      <w:r>
        <w:t xml:space="preserve"> [99] </w:t>
      </w:r>
      <w:r w:rsidRPr="00594A23">
        <w:rPr>
          <w:lang w:eastAsia="fr-FR" w:bidi="fr-FR"/>
        </w:rPr>
        <w:t>politiques de libéralis</w:t>
      </w:r>
      <w:r w:rsidRPr="00594A23">
        <w:rPr>
          <w:lang w:eastAsia="fr-FR" w:bidi="fr-FR"/>
        </w:rPr>
        <w:t>a</w:t>
      </w:r>
      <w:r w:rsidRPr="00594A23">
        <w:rPr>
          <w:lang w:eastAsia="fr-FR" w:bidi="fr-FR"/>
        </w:rPr>
        <w:t>tion des échanges. Ils sont soutenus par les grands syndicats et un électorat soucieux de protéger des emplois fragilisés par la mondial</w:t>
      </w:r>
      <w:r w:rsidRPr="00594A23">
        <w:rPr>
          <w:lang w:eastAsia="fr-FR" w:bidi="fr-FR"/>
        </w:rPr>
        <w:t>i</w:t>
      </w:r>
      <w:r w:rsidRPr="00594A23">
        <w:rPr>
          <w:lang w:eastAsia="fr-FR" w:bidi="fr-FR"/>
        </w:rPr>
        <w:t>sation.</w:t>
      </w:r>
    </w:p>
    <w:p w14:paraId="743F61D8" w14:textId="77777777" w:rsidR="0039793A" w:rsidRDefault="0039793A" w:rsidP="0039793A">
      <w:pPr>
        <w:spacing w:before="120" w:after="120"/>
        <w:jc w:val="both"/>
        <w:rPr>
          <w:lang w:eastAsia="fr-FR" w:bidi="fr-FR"/>
        </w:rPr>
      </w:pPr>
      <w:r w:rsidRPr="00594A23">
        <w:rPr>
          <w:lang w:eastAsia="fr-FR" w:bidi="fr-FR"/>
        </w:rPr>
        <w:t>De l’autre côté, il y a la tendance centriste des Nouveaux Dém</w:t>
      </w:r>
      <w:r w:rsidRPr="00594A23">
        <w:rPr>
          <w:lang w:eastAsia="fr-FR" w:bidi="fr-FR"/>
        </w:rPr>
        <w:t>o</w:t>
      </w:r>
      <w:r w:rsidRPr="00594A23">
        <w:rPr>
          <w:lang w:eastAsia="fr-FR" w:bidi="fr-FR"/>
        </w:rPr>
        <w:t xml:space="preserve">crates </w:t>
      </w:r>
      <w:r w:rsidRPr="00594A23">
        <w:t>(</w:t>
      </w:r>
      <w:r w:rsidRPr="00EC4A78">
        <w:rPr>
          <w:i/>
          <w:iCs/>
        </w:rPr>
        <w:t>New Democrats</w:t>
      </w:r>
      <w:r w:rsidRPr="00594A23">
        <w:t>),</w:t>
      </w:r>
      <w:r w:rsidRPr="00594A23">
        <w:rPr>
          <w:lang w:eastAsia="fr-FR" w:bidi="fr-FR"/>
        </w:rPr>
        <w:t xml:space="preserve"> c’est-à-dire tous ceux qui, à la suite de Cli</w:t>
      </w:r>
      <w:r w:rsidRPr="00594A23">
        <w:rPr>
          <w:lang w:eastAsia="fr-FR" w:bidi="fr-FR"/>
        </w:rPr>
        <w:t>n</w:t>
      </w:r>
      <w:r w:rsidRPr="00594A23">
        <w:rPr>
          <w:lang w:eastAsia="fr-FR" w:bidi="fr-FR"/>
        </w:rPr>
        <w:t>ton, se sont rapprochés des politiques républicaines conserv</w:t>
      </w:r>
      <w:r w:rsidRPr="00594A23">
        <w:rPr>
          <w:lang w:eastAsia="fr-FR" w:bidi="fr-FR"/>
        </w:rPr>
        <w:t>a</w:t>
      </w:r>
      <w:r w:rsidRPr="00594A23">
        <w:rPr>
          <w:lang w:eastAsia="fr-FR" w:bidi="fr-FR"/>
        </w:rPr>
        <w:t>trices en matière de réduction des déficits budgétaires et de valeurs traditio</w:t>
      </w:r>
      <w:r w:rsidRPr="00594A23">
        <w:rPr>
          <w:lang w:eastAsia="fr-FR" w:bidi="fr-FR"/>
        </w:rPr>
        <w:t>n</w:t>
      </w:r>
      <w:r w:rsidRPr="00594A23">
        <w:rPr>
          <w:lang w:eastAsia="fr-FR" w:bidi="fr-FR"/>
        </w:rPr>
        <w:t>nelles. Ce courant a contribué à modérer les ardeurs libérales et mult</w:t>
      </w:r>
      <w:r w:rsidRPr="00594A23">
        <w:rPr>
          <w:lang w:eastAsia="fr-FR" w:bidi="fr-FR"/>
        </w:rPr>
        <w:t>i</w:t>
      </w:r>
      <w:r w:rsidRPr="00594A23">
        <w:rPr>
          <w:lang w:eastAsia="fr-FR" w:bidi="fr-FR"/>
        </w:rPr>
        <w:t>latérales de certains artisans de la politique étra</w:t>
      </w:r>
      <w:r w:rsidRPr="00594A23">
        <w:rPr>
          <w:lang w:eastAsia="fr-FR" w:bidi="fr-FR"/>
        </w:rPr>
        <w:t>n</w:t>
      </w:r>
      <w:r w:rsidRPr="00594A23">
        <w:rPr>
          <w:lang w:eastAsia="fr-FR" w:bidi="fr-FR"/>
        </w:rPr>
        <w:t>gère sous Clinton.</w:t>
      </w:r>
    </w:p>
    <w:p w14:paraId="3E997EF9" w14:textId="77777777" w:rsidR="0039793A" w:rsidRPr="00594A23" w:rsidRDefault="0039793A" w:rsidP="0039793A">
      <w:pPr>
        <w:spacing w:before="120" w:after="120"/>
        <w:jc w:val="both"/>
      </w:pPr>
    </w:p>
    <w:p w14:paraId="21A8F8B1" w14:textId="77777777" w:rsidR="0039793A" w:rsidRPr="00C64F69" w:rsidRDefault="0039793A" w:rsidP="0039793A">
      <w:pPr>
        <w:pStyle w:val="c"/>
      </w:pPr>
      <w:r w:rsidRPr="00C64F69">
        <w:t>*</w:t>
      </w:r>
      <w:r>
        <w:br/>
        <w:t>*     *</w:t>
      </w:r>
    </w:p>
    <w:p w14:paraId="6A5956CB" w14:textId="77777777" w:rsidR="0039793A" w:rsidRDefault="0039793A" w:rsidP="0039793A">
      <w:pPr>
        <w:spacing w:before="120" w:after="120"/>
        <w:jc w:val="both"/>
        <w:rPr>
          <w:lang w:eastAsia="fr-FR" w:bidi="fr-FR"/>
        </w:rPr>
      </w:pPr>
    </w:p>
    <w:p w14:paraId="0063A84E" w14:textId="77777777" w:rsidR="0039793A" w:rsidRPr="00594A23" w:rsidRDefault="0039793A" w:rsidP="0039793A">
      <w:pPr>
        <w:spacing w:before="120" w:after="120"/>
        <w:jc w:val="both"/>
      </w:pPr>
      <w:r w:rsidRPr="00594A23">
        <w:rPr>
          <w:lang w:eastAsia="fr-FR" w:bidi="fr-FR"/>
        </w:rPr>
        <w:t>À la suite de cet examen des diverses tendances de la politique étrangère aux États-Unis, une év</w:t>
      </w:r>
      <w:r w:rsidRPr="00594A23">
        <w:rPr>
          <w:lang w:eastAsia="fr-FR" w:bidi="fr-FR"/>
        </w:rPr>
        <w:t>i</w:t>
      </w:r>
      <w:r w:rsidRPr="00594A23">
        <w:rPr>
          <w:lang w:eastAsia="fr-FR" w:bidi="fr-FR"/>
        </w:rPr>
        <w:t>dence s’impose</w:t>
      </w:r>
      <w:r w:rsidRPr="00594A23">
        <w:t> :</w:t>
      </w:r>
      <w:r w:rsidRPr="00594A23">
        <w:rPr>
          <w:lang w:eastAsia="fr-FR" w:bidi="fr-FR"/>
        </w:rPr>
        <w:t xml:space="preserve"> tout est affaire de dosage. Auc</w:t>
      </w:r>
      <w:r w:rsidRPr="00594A23">
        <w:rPr>
          <w:lang w:eastAsia="fr-FR" w:bidi="fr-FR"/>
        </w:rPr>
        <w:t>u</w:t>
      </w:r>
      <w:r w:rsidRPr="00594A23">
        <w:rPr>
          <w:lang w:eastAsia="fr-FR" w:bidi="fr-FR"/>
        </w:rPr>
        <w:t>ne pratique, aucune formulation de la politique étrangère n’a obéi aux dogmes d’une approche au détriment de toutes les autres. En réalité, chaque président a en définitive fait l’application de toutes les tendances et a eu recours à toutes les appr</w:t>
      </w:r>
      <w:r w:rsidRPr="00594A23">
        <w:rPr>
          <w:lang w:eastAsia="fr-FR" w:bidi="fr-FR"/>
        </w:rPr>
        <w:t>o</w:t>
      </w:r>
      <w:r w:rsidRPr="00594A23">
        <w:rPr>
          <w:lang w:eastAsia="fr-FR" w:bidi="fr-FR"/>
        </w:rPr>
        <w:t>ches, mais selon des degrés différents. Le courant isolationniste n’est certes plus très sign</w:t>
      </w:r>
      <w:r w:rsidRPr="00594A23">
        <w:rPr>
          <w:lang w:eastAsia="fr-FR" w:bidi="fr-FR"/>
        </w:rPr>
        <w:t>i</w:t>
      </w:r>
      <w:r w:rsidRPr="00594A23">
        <w:rPr>
          <w:lang w:eastAsia="fr-FR" w:bidi="fr-FR"/>
        </w:rPr>
        <w:t>ficatif mais son esprit demeure et se manifeste à la fois dans une fo</w:t>
      </w:r>
      <w:r w:rsidRPr="00594A23">
        <w:rPr>
          <w:lang w:eastAsia="fr-FR" w:bidi="fr-FR"/>
        </w:rPr>
        <w:t>r</w:t>
      </w:r>
      <w:r w:rsidRPr="00594A23">
        <w:rPr>
          <w:lang w:eastAsia="fr-FR" w:bidi="fr-FR"/>
        </w:rPr>
        <w:t>me de souverainisme égoïste issu de vieux sentiments exceptionnali</w:t>
      </w:r>
      <w:r w:rsidRPr="00594A23">
        <w:rPr>
          <w:lang w:eastAsia="fr-FR" w:bidi="fr-FR"/>
        </w:rPr>
        <w:t>s</w:t>
      </w:r>
      <w:r w:rsidRPr="00594A23">
        <w:rPr>
          <w:lang w:eastAsia="fr-FR" w:bidi="fr-FR"/>
        </w:rPr>
        <w:t xml:space="preserve">tes et dans une politique étrangère minimaliste, à gauche aussi bien qu’à droite. Les </w:t>
      </w:r>
      <w:r w:rsidRPr="00594A23">
        <w:t>Amé</w:t>
      </w:r>
      <w:r w:rsidRPr="00594A23">
        <w:rPr>
          <w:lang w:eastAsia="fr-FR" w:bidi="fr-FR"/>
        </w:rPr>
        <w:t>ricains ne renoncent pas facilement à leur idé</w:t>
      </w:r>
      <w:r w:rsidRPr="00594A23">
        <w:rPr>
          <w:lang w:eastAsia="fr-FR" w:bidi="fr-FR"/>
        </w:rPr>
        <w:t>a</w:t>
      </w:r>
      <w:r w:rsidRPr="00594A23">
        <w:rPr>
          <w:lang w:eastAsia="fr-FR" w:bidi="fr-FR"/>
        </w:rPr>
        <w:t>lisme quasi atavique. Ils conçoivent toujours leur pays comme un m</w:t>
      </w:r>
      <w:r w:rsidRPr="00594A23">
        <w:rPr>
          <w:lang w:eastAsia="fr-FR" w:bidi="fr-FR"/>
        </w:rPr>
        <w:t>o</w:t>
      </w:r>
      <w:r w:rsidRPr="00594A23">
        <w:rPr>
          <w:lang w:eastAsia="fr-FR" w:bidi="fr-FR"/>
        </w:rPr>
        <w:t>dèle, que ce soit dans la coopération et la promotion d’un ordre inte</w:t>
      </w:r>
      <w:r w:rsidRPr="00594A23">
        <w:rPr>
          <w:lang w:eastAsia="fr-FR" w:bidi="fr-FR"/>
        </w:rPr>
        <w:t>r</w:t>
      </w:r>
      <w:r w:rsidRPr="00594A23">
        <w:rPr>
          <w:lang w:eastAsia="fr-FR" w:bidi="fr-FR"/>
        </w:rPr>
        <w:t>national ou dans l’imposition du modèle cap</w:t>
      </w:r>
      <w:r w:rsidRPr="00594A23">
        <w:rPr>
          <w:lang w:eastAsia="fr-FR" w:bidi="fr-FR"/>
        </w:rPr>
        <w:t>i</w:t>
      </w:r>
      <w:r w:rsidRPr="00594A23">
        <w:rPr>
          <w:lang w:eastAsia="fr-FR" w:bidi="fr-FR"/>
        </w:rPr>
        <w:t>taliste au reste du monde. La polarisation la plus significative en matière de politique</w:t>
      </w:r>
      <w:r w:rsidRPr="00594A23">
        <w:rPr>
          <w:vertAlign w:val="superscript"/>
          <w:lang w:eastAsia="fr-FR" w:bidi="fr-FR"/>
        </w:rPr>
        <w:t>-</w:t>
      </w:r>
      <w:r w:rsidRPr="00594A23">
        <w:rPr>
          <w:lang w:eastAsia="fr-FR" w:bidi="fr-FR"/>
        </w:rPr>
        <w:t>étrangère se fait autour des réalistes et des internationalistes libéraux. Si des p</w:t>
      </w:r>
      <w:r w:rsidRPr="00594A23">
        <w:rPr>
          <w:lang w:eastAsia="fr-FR" w:bidi="fr-FR"/>
        </w:rPr>
        <w:t>o</w:t>
      </w:r>
      <w:r w:rsidRPr="00594A23">
        <w:rPr>
          <w:lang w:eastAsia="fr-FR" w:bidi="fr-FR"/>
        </w:rPr>
        <w:t>litiques relèvent parfois de ces deux courants, habituellement une te</w:t>
      </w:r>
      <w:r w:rsidRPr="00594A23">
        <w:rPr>
          <w:lang w:eastAsia="fr-FR" w:bidi="fr-FR"/>
        </w:rPr>
        <w:t>n</w:t>
      </w:r>
      <w:r w:rsidRPr="00594A23">
        <w:rPr>
          <w:lang w:eastAsia="fr-FR" w:bidi="fr-FR"/>
        </w:rPr>
        <w:t>dance domine, qu’il s’agisse de voir le monde comme un e</w:t>
      </w:r>
      <w:r w:rsidRPr="00594A23">
        <w:rPr>
          <w:lang w:eastAsia="fr-FR" w:bidi="fr-FR"/>
        </w:rPr>
        <w:t>n</w:t>
      </w:r>
      <w:r w:rsidRPr="00594A23">
        <w:rPr>
          <w:lang w:eastAsia="fr-FR" w:bidi="fr-FR"/>
        </w:rPr>
        <w:t>semble anarchique et conflictuel ou qu’il faille y voir des perspectives de coopération et des mécanismes de résolution des conflits. Les r</w:t>
      </w:r>
      <w:r w:rsidRPr="00594A23">
        <w:rPr>
          <w:lang w:eastAsia="fr-FR" w:bidi="fr-FR"/>
        </w:rPr>
        <w:t>é</w:t>
      </w:r>
      <w:r w:rsidRPr="00594A23">
        <w:rPr>
          <w:lang w:eastAsia="fr-FR" w:bidi="fr-FR"/>
        </w:rPr>
        <w:t>alistes veulent sincèrement établir la paix, mais ils ne voient pas comment la paix peut être obtenue a</w:t>
      </w:r>
      <w:r w:rsidRPr="00594A23">
        <w:rPr>
          <w:lang w:eastAsia="fr-FR" w:bidi="fr-FR"/>
        </w:rPr>
        <w:t>u</w:t>
      </w:r>
      <w:r w:rsidRPr="00594A23">
        <w:rPr>
          <w:lang w:eastAsia="fr-FR" w:bidi="fr-FR"/>
        </w:rPr>
        <w:t>trement que par une politique d’équilibre des puissances ou d’usage de la puissance. Les internati</w:t>
      </w:r>
      <w:r w:rsidRPr="00594A23">
        <w:rPr>
          <w:lang w:eastAsia="fr-FR" w:bidi="fr-FR"/>
        </w:rPr>
        <w:t>o</w:t>
      </w:r>
      <w:r w:rsidRPr="00594A23">
        <w:rPr>
          <w:lang w:eastAsia="fr-FR" w:bidi="fr-FR"/>
        </w:rPr>
        <w:t>nalistes libéraux ne veulent pas minimiser la m</w:t>
      </w:r>
      <w:r w:rsidRPr="00594A23">
        <w:rPr>
          <w:lang w:eastAsia="fr-FR" w:bidi="fr-FR"/>
        </w:rPr>
        <w:t>e</w:t>
      </w:r>
      <w:r w:rsidRPr="00594A23">
        <w:rPr>
          <w:lang w:eastAsia="fr-FR" w:bidi="fr-FR"/>
        </w:rPr>
        <w:t>nace des conflits, mais ils croient que cette menace est le plus souvent et le plus heure</w:t>
      </w:r>
      <w:r w:rsidRPr="00594A23">
        <w:rPr>
          <w:lang w:eastAsia="fr-FR" w:bidi="fr-FR"/>
        </w:rPr>
        <w:t>u</w:t>
      </w:r>
      <w:r w:rsidRPr="00594A23">
        <w:rPr>
          <w:lang w:eastAsia="fr-FR" w:bidi="fr-FR"/>
        </w:rPr>
        <w:t xml:space="preserve">sement contrée par des politiques </w:t>
      </w:r>
      <w:r>
        <w:rPr>
          <w:lang w:eastAsia="fr-FR" w:bidi="fr-FR"/>
        </w:rPr>
        <w:t>multilatérales, par des institu</w:t>
      </w:r>
      <w:r w:rsidRPr="00594A23">
        <w:rPr>
          <w:lang w:eastAsia="fr-FR" w:bidi="fr-FR"/>
        </w:rPr>
        <w:t>tions</w:t>
      </w:r>
      <w:r>
        <w:t xml:space="preserve"> [100]</w:t>
      </w:r>
      <w:r w:rsidRPr="00594A23">
        <w:rPr>
          <w:lang w:eastAsia="fr-FR" w:bidi="fr-FR"/>
        </w:rPr>
        <w:t xml:space="preserve"> internationales fortes, en somme par un ordre mondial dans l</w:t>
      </w:r>
      <w:r w:rsidRPr="00594A23">
        <w:rPr>
          <w:lang w:eastAsia="fr-FR" w:bidi="fr-FR"/>
        </w:rPr>
        <w:t>e</w:t>
      </w:r>
      <w:r w:rsidRPr="00594A23">
        <w:rPr>
          <w:lang w:eastAsia="fr-FR" w:bidi="fr-FR"/>
        </w:rPr>
        <w:t>quel les États-Unis exercent leur leadership sans imposer leur hég</w:t>
      </w:r>
      <w:r w:rsidRPr="00594A23">
        <w:rPr>
          <w:lang w:eastAsia="fr-FR" w:bidi="fr-FR"/>
        </w:rPr>
        <w:t>é</w:t>
      </w:r>
      <w:r w:rsidRPr="00594A23">
        <w:rPr>
          <w:lang w:eastAsia="fr-FR" w:bidi="fr-FR"/>
        </w:rPr>
        <w:t>monie. Ainsi, l’élaboration de la politique étrangère américaine est toujours trave</w:t>
      </w:r>
      <w:r w:rsidRPr="00594A23">
        <w:rPr>
          <w:lang w:eastAsia="fr-FR" w:bidi="fr-FR"/>
        </w:rPr>
        <w:t>r</w:t>
      </w:r>
      <w:r w:rsidRPr="00594A23">
        <w:rPr>
          <w:lang w:eastAsia="fr-FR" w:bidi="fr-FR"/>
        </w:rPr>
        <w:t>sée par l’ensemble des grands courants politiques. Réalistes, intern</w:t>
      </w:r>
      <w:r w:rsidRPr="00594A23">
        <w:rPr>
          <w:lang w:eastAsia="fr-FR" w:bidi="fr-FR"/>
        </w:rPr>
        <w:t>a</w:t>
      </w:r>
      <w:r w:rsidRPr="00594A23">
        <w:rPr>
          <w:lang w:eastAsia="fr-FR" w:bidi="fr-FR"/>
        </w:rPr>
        <w:t>tionalistes libéraux, isolationnistes et idéalistes sont au cœur d’un jeu d’influences perpétuel. C’est en fin de mandat que l’on peut vérit</w:t>
      </w:r>
      <w:r w:rsidRPr="00594A23">
        <w:rPr>
          <w:lang w:eastAsia="fr-FR" w:bidi="fr-FR"/>
        </w:rPr>
        <w:t>a</w:t>
      </w:r>
      <w:r w:rsidRPr="00594A23">
        <w:rPr>
          <w:lang w:eastAsia="fr-FR" w:bidi="fr-FR"/>
        </w:rPr>
        <w:t>blement cataloguer un président</w:t>
      </w:r>
      <w:r w:rsidRPr="00594A23">
        <w:t> :</w:t>
      </w:r>
      <w:r w:rsidRPr="00594A23">
        <w:rPr>
          <w:lang w:eastAsia="fr-FR" w:bidi="fr-FR"/>
        </w:rPr>
        <w:t xml:space="preserve"> nombreux sont arr</w:t>
      </w:r>
      <w:r w:rsidRPr="00594A23">
        <w:rPr>
          <w:lang w:eastAsia="fr-FR" w:bidi="fr-FR"/>
        </w:rPr>
        <w:t>i</w:t>
      </w:r>
      <w:r w:rsidRPr="00594A23">
        <w:rPr>
          <w:lang w:eastAsia="fr-FR" w:bidi="fr-FR"/>
        </w:rPr>
        <w:t>vés à la tête des États-Unis animés d’une philosophie et, confrontés aux événements, ont dû redéfinir leurs orientations. Aucune préside</w:t>
      </w:r>
      <w:r w:rsidRPr="00594A23">
        <w:rPr>
          <w:lang w:eastAsia="fr-FR" w:bidi="fr-FR"/>
        </w:rPr>
        <w:t>n</w:t>
      </w:r>
      <w:r w:rsidRPr="00594A23">
        <w:rPr>
          <w:lang w:eastAsia="fr-FR" w:bidi="fr-FR"/>
        </w:rPr>
        <w:t xml:space="preserve">ce n’est le théâtre de la pratique claire d’une approche unique — et c’est en ce sens que la politique étrangère américaine est </w:t>
      </w:r>
      <w:r w:rsidRPr="00594A23">
        <w:t>« </w:t>
      </w:r>
      <w:r w:rsidRPr="00594A23">
        <w:rPr>
          <w:lang w:eastAsia="fr-FR" w:bidi="fr-FR"/>
        </w:rPr>
        <w:t>schizophrène</w:t>
      </w:r>
      <w:r>
        <w:rPr>
          <w:lang w:eastAsia="fr-FR" w:bidi="fr-FR"/>
        </w:rPr>
        <w:t> </w:t>
      </w:r>
      <w:r>
        <w:rPr>
          <w:rStyle w:val="Appelnotedebasdep"/>
          <w:lang w:eastAsia="fr-FR" w:bidi="fr-FR"/>
        </w:rPr>
        <w:footnoteReference w:id="226"/>
      </w:r>
      <w:r w:rsidRPr="00594A23">
        <w:t> »</w:t>
      </w:r>
      <w:r w:rsidRPr="00594A23">
        <w:rPr>
          <w:lang w:eastAsia="fr-FR" w:bidi="fr-FR"/>
        </w:rPr>
        <w:t xml:space="preserve"> — mais un bilan doit permettre de dégager une tendance forte.</w:t>
      </w:r>
    </w:p>
    <w:p w14:paraId="0A3C63CC" w14:textId="77777777" w:rsidR="0039793A" w:rsidRDefault="0039793A" w:rsidP="0039793A">
      <w:pPr>
        <w:pStyle w:val="p"/>
      </w:pPr>
    </w:p>
    <w:p w14:paraId="49CD4A13" w14:textId="77777777" w:rsidR="0039793A" w:rsidRDefault="0039793A" w:rsidP="0039793A">
      <w:pPr>
        <w:pStyle w:val="p"/>
        <w:rPr>
          <w:lang w:eastAsia="fr-FR" w:bidi="fr-FR"/>
        </w:rPr>
      </w:pPr>
      <w:r w:rsidRPr="00594A23">
        <w:br w:type="page"/>
      </w:r>
      <w:r>
        <w:rPr>
          <w:lang w:eastAsia="fr-FR" w:bidi="fr-FR"/>
        </w:rPr>
        <w:t>[101]</w:t>
      </w:r>
    </w:p>
    <w:p w14:paraId="639F8F43" w14:textId="77777777" w:rsidR="0039793A" w:rsidRPr="00E07116" w:rsidRDefault="0039793A" w:rsidP="0039793A">
      <w:pPr>
        <w:jc w:val="both"/>
      </w:pPr>
    </w:p>
    <w:p w14:paraId="7B47DC1F" w14:textId="77777777" w:rsidR="0039793A" w:rsidRPr="00E07116" w:rsidRDefault="0039793A" w:rsidP="0039793A">
      <w:pPr>
        <w:jc w:val="both"/>
      </w:pPr>
    </w:p>
    <w:p w14:paraId="0ED488DA" w14:textId="77777777" w:rsidR="0039793A" w:rsidRPr="00642210" w:rsidRDefault="0039793A" w:rsidP="0039793A">
      <w:pPr>
        <w:spacing w:after="120"/>
        <w:jc w:val="center"/>
      </w:pPr>
      <w:bookmarkStart w:id="15" w:name="Pol_EU_pt_1_chap_04"/>
      <w:r w:rsidRPr="00642210">
        <w:rPr>
          <w:b/>
        </w:rPr>
        <w:t>La politique étrangère des «États-Unis.</w:t>
      </w:r>
      <w:r w:rsidRPr="00642210">
        <w:rPr>
          <w:b/>
        </w:rPr>
        <w:br/>
      </w:r>
      <w:r w:rsidRPr="00642210">
        <w:rPr>
          <w:i/>
        </w:rPr>
        <w:t>Fondements, acteurs, formulation</w:t>
      </w:r>
    </w:p>
    <w:p w14:paraId="0A92C2C7" w14:textId="77777777" w:rsidR="0039793A" w:rsidRPr="00384B20" w:rsidRDefault="0039793A" w:rsidP="0039793A">
      <w:pPr>
        <w:spacing w:after="120"/>
        <w:ind w:firstLine="0"/>
        <w:jc w:val="center"/>
        <w:rPr>
          <w:color w:val="000080"/>
          <w:sz w:val="24"/>
        </w:rPr>
      </w:pPr>
      <w:r>
        <w:rPr>
          <w:color w:val="000080"/>
          <w:sz w:val="24"/>
        </w:rPr>
        <w:t>PREMIÈRE PARTIE</w:t>
      </w:r>
    </w:p>
    <w:p w14:paraId="3B470CE2" w14:textId="77777777" w:rsidR="0039793A" w:rsidRPr="00384B20" w:rsidRDefault="0039793A" w:rsidP="0039793A">
      <w:pPr>
        <w:pStyle w:val="Titreniveau1"/>
      </w:pPr>
      <w:r w:rsidRPr="00384B20">
        <w:t xml:space="preserve">Chapitre </w:t>
      </w:r>
      <w:r>
        <w:t>4</w:t>
      </w:r>
    </w:p>
    <w:p w14:paraId="2FC6039C" w14:textId="77777777" w:rsidR="0039793A" w:rsidRPr="00E07116" w:rsidRDefault="0039793A" w:rsidP="0039793A">
      <w:pPr>
        <w:pStyle w:val="Titreniveau2"/>
      </w:pPr>
      <w:r>
        <w:t>LE CADRE THÉORIQUE :</w:t>
      </w:r>
      <w:r>
        <w:br/>
        <w:t>LES APPROCHES</w:t>
      </w:r>
      <w:r>
        <w:br/>
        <w:t>ACADÉMIQUES </w:t>
      </w:r>
      <w:r>
        <w:rPr>
          <w:rStyle w:val="Appelnotedebasdep"/>
        </w:rPr>
        <w:footnoteReference w:customMarkFollows="1" w:id="227"/>
        <w:t>*</w:t>
      </w:r>
    </w:p>
    <w:bookmarkEnd w:id="15"/>
    <w:p w14:paraId="5A85326A" w14:textId="77777777" w:rsidR="0039793A" w:rsidRPr="00E07116" w:rsidRDefault="0039793A" w:rsidP="0039793A">
      <w:pPr>
        <w:jc w:val="both"/>
        <w:rPr>
          <w:szCs w:val="36"/>
        </w:rPr>
      </w:pPr>
    </w:p>
    <w:p w14:paraId="42EBF5EF" w14:textId="77777777" w:rsidR="0039793A" w:rsidRPr="00E07116" w:rsidRDefault="0039793A" w:rsidP="0039793A">
      <w:pPr>
        <w:jc w:val="both"/>
      </w:pPr>
    </w:p>
    <w:p w14:paraId="71469B1A" w14:textId="77777777" w:rsidR="0039793A" w:rsidRPr="00E07116" w:rsidRDefault="0039793A" w:rsidP="0039793A">
      <w:pPr>
        <w:jc w:val="both"/>
      </w:pPr>
    </w:p>
    <w:p w14:paraId="3CB92703" w14:textId="77777777" w:rsidR="0039793A" w:rsidRPr="00E07116" w:rsidRDefault="0039793A" w:rsidP="0039793A">
      <w:pPr>
        <w:jc w:val="both"/>
      </w:pPr>
    </w:p>
    <w:p w14:paraId="261A6D97"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5EEB08FA" w14:textId="77777777" w:rsidR="0039793A" w:rsidRPr="00594A23" w:rsidRDefault="0039793A" w:rsidP="0039793A">
      <w:pPr>
        <w:spacing w:before="120" w:after="120"/>
        <w:jc w:val="both"/>
      </w:pPr>
      <w:r w:rsidRPr="00594A23">
        <w:rPr>
          <w:lang w:eastAsia="fr-FR" w:bidi="fr-FR"/>
        </w:rPr>
        <w:t>Aux États-Unis, la communauté académique a, dans la pratique p</w:t>
      </w:r>
      <w:r w:rsidRPr="00594A23">
        <w:rPr>
          <w:lang w:eastAsia="fr-FR" w:bidi="fr-FR"/>
        </w:rPr>
        <w:t>o</w:t>
      </w:r>
      <w:r w:rsidRPr="00594A23">
        <w:rPr>
          <w:lang w:eastAsia="fr-FR" w:bidi="fr-FR"/>
        </w:rPr>
        <w:t>litique, une résonance qui n’a pas son égal ailleurs</w:t>
      </w:r>
      <w:r>
        <w:rPr>
          <w:lang w:eastAsia="fr-FR" w:bidi="fr-FR"/>
        </w:rPr>
        <w:t> </w:t>
      </w:r>
      <w:r>
        <w:rPr>
          <w:rStyle w:val="Appelnotedebasdep"/>
          <w:lang w:eastAsia="fr-FR" w:bidi="fr-FR"/>
        </w:rPr>
        <w:footnoteReference w:id="228"/>
      </w:r>
      <w:r>
        <w:rPr>
          <w:lang w:eastAsia="fr-FR" w:bidi="fr-FR"/>
        </w:rPr>
        <w:t>.</w:t>
      </w:r>
      <w:r w:rsidRPr="00594A23">
        <w:rPr>
          <w:lang w:eastAsia="fr-FR" w:bidi="fr-FR"/>
        </w:rPr>
        <w:t xml:space="preserve"> Le débat polit</w:t>
      </w:r>
      <w:r w:rsidRPr="00594A23">
        <w:rPr>
          <w:lang w:eastAsia="fr-FR" w:bidi="fr-FR"/>
        </w:rPr>
        <w:t>i</w:t>
      </w:r>
      <w:r w:rsidRPr="00594A23">
        <w:rPr>
          <w:lang w:eastAsia="fr-FR" w:bidi="fr-FR"/>
        </w:rPr>
        <w:t>que se nourrit considérablement des approches académiques et ce</w:t>
      </w:r>
      <w:r w:rsidRPr="00594A23">
        <w:rPr>
          <w:lang w:eastAsia="fr-FR" w:bidi="fr-FR"/>
        </w:rPr>
        <w:t>r</w:t>
      </w:r>
      <w:r w:rsidRPr="00594A23">
        <w:rPr>
          <w:lang w:eastAsia="fr-FR" w:bidi="fr-FR"/>
        </w:rPr>
        <w:t xml:space="preserve">tains penseurs </w:t>
      </w:r>
      <w:r w:rsidRPr="00594A23">
        <w:t>« </w:t>
      </w:r>
      <w:r w:rsidRPr="00594A23">
        <w:rPr>
          <w:lang w:eastAsia="fr-FR" w:bidi="fr-FR"/>
        </w:rPr>
        <w:t>vedettes</w:t>
      </w:r>
      <w:r w:rsidRPr="00594A23">
        <w:t> »</w:t>
      </w:r>
      <w:r w:rsidRPr="00594A23">
        <w:rPr>
          <w:lang w:eastAsia="fr-FR" w:bidi="fr-FR"/>
        </w:rPr>
        <w:t xml:space="preserve"> sont tout à fait su</w:t>
      </w:r>
      <w:r w:rsidRPr="00594A23">
        <w:rPr>
          <w:lang w:eastAsia="fr-FR" w:bidi="fr-FR"/>
        </w:rPr>
        <w:t>s</w:t>
      </w:r>
      <w:r w:rsidRPr="00594A23">
        <w:rPr>
          <w:lang w:eastAsia="fr-FR" w:bidi="fr-FR"/>
        </w:rPr>
        <w:t>ceptibles d’obtenir l’oreille du président. Si l’on retrouve une grande partie de ces inte</w:t>
      </w:r>
      <w:r w:rsidRPr="00594A23">
        <w:rPr>
          <w:lang w:eastAsia="fr-FR" w:bidi="fr-FR"/>
        </w:rPr>
        <w:t>l</w:t>
      </w:r>
      <w:r w:rsidRPr="00594A23">
        <w:rPr>
          <w:lang w:eastAsia="fr-FR" w:bidi="fr-FR"/>
        </w:rPr>
        <w:t>lectuels dans les universités, d’autres sont recrutés dans les ce</w:t>
      </w:r>
      <w:r w:rsidRPr="00594A23">
        <w:rPr>
          <w:lang w:eastAsia="fr-FR" w:bidi="fr-FR"/>
        </w:rPr>
        <w:t>n</w:t>
      </w:r>
      <w:r w:rsidRPr="00594A23">
        <w:rPr>
          <w:lang w:eastAsia="fr-FR" w:bidi="fr-FR"/>
        </w:rPr>
        <w:t xml:space="preserve">tres de recherches privés </w:t>
      </w:r>
      <w:r w:rsidRPr="00594A23">
        <w:t>(</w:t>
      </w:r>
      <w:r w:rsidRPr="004235F4">
        <w:rPr>
          <w:i/>
          <w:iCs/>
        </w:rPr>
        <w:t>Think Tanks</w:t>
      </w:r>
      <w:r w:rsidRPr="00594A23">
        <w:t xml:space="preserve">). </w:t>
      </w:r>
      <w:r w:rsidRPr="00594A23">
        <w:rPr>
          <w:lang w:eastAsia="fr-FR" w:bidi="fr-FR"/>
        </w:rPr>
        <w:t>Il n’est ainsi pas rare de voir des universitaires et des che</w:t>
      </w:r>
      <w:r w:rsidRPr="00594A23">
        <w:rPr>
          <w:lang w:eastAsia="fr-FR" w:bidi="fr-FR"/>
        </w:rPr>
        <w:t>r</w:t>
      </w:r>
      <w:r w:rsidRPr="00594A23">
        <w:rPr>
          <w:lang w:eastAsia="fr-FR" w:bidi="fr-FR"/>
        </w:rPr>
        <w:t xml:space="preserve">cheurs des </w:t>
      </w:r>
      <w:r w:rsidRPr="004235F4">
        <w:rPr>
          <w:i/>
          <w:iCs/>
        </w:rPr>
        <w:t>thinks tanks</w:t>
      </w:r>
      <w:r w:rsidRPr="00594A23">
        <w:rPr>
          <w:lang w:eastAsia="fr-FR" w:bidi="fr-FR"/>
        </w:rPr>
        <w:t>, passer, au gré des administrations, de la recherche (théorique ou appl</w:t>
      </w:r>
      <w:r w:rsidRPr="00594A23">
        <w:rPr>
          <w:lang w:eastAsia="fr-FR" w:bidi="fr-FR"/>
        </w:rPr>
        <w:t>i</w:t>
      </w:r>
      <w:r w:rsidRPr="00594A23">
        <w:rPr>
          <w:lang w:eastAsia="fr-FR" w:bidi="fr-FR"/>
        </w:rPr>
        <w:t>quée) à la pratique gouvernement</w:t>
      </w:r>
      <w:r w:rsidRPr="00594A23">
        <w:rPr>
          <w:lang w:eastAsia="fr-FR" w:bidi="fr-FR"/>
        </w:rPr>
        <w:t>a</w:t>
      </w:r>
      <w:r w:rsidRPr="00594A23">
        <w:rPr>
          <w:lang w:eastAsia="fr-FR" w:bidi="fr-FR"/>
        </w:rPr>
        <w:t>le. En effet, des liens institutionnels très étroits existent entre le pouvoir politique et les intellectuels</w:t>
      </w:r>
      <w:r w:rsidRPr="00594A23">
        <w:t> :</w:t>
      </w:r>
      <w:r w:rsidRPr="00594A23">
        <w:rPr>
          <w:lang w:eastAsia="fr-FR" w:bidi="fr-FR"/>
        </w:rPr>
        <w:t xml:space="preserve"> les membres de la co</w:t>
      </w:r>
      <w:r w:rsidRPr="00594A23">
        <w:rPr>
          <w:lang w:eastAsia="fr-FR" w:bidi="fr-FR"/>
        </w:rPr>
        <w:t>m</w:t>
      </w:r>
      <w:r w:rsidRPr="00594A23">
        <w:rPr>
          <w:lang w:eastAsia="fr-FR" w:bidi="fr-FR"/>
        </w:rPr>
        <w:t>munauté épistémique - les universitaires (</w:t>
      </w:r>
      <w:r w:rsidRPr="004235F4">
        <w:rPr>
          <w:i/>
          <w:iCs/>
        </w:rPr>
        <w:t>scholars</w:t>
      </w:r>
      <w:r w:rsidRPr="00594A23">
        <w:t>)</w:t>
      </w:r>
      <w:r w:rsidRPr="00594A23">
        <w:rPr>
          <w:lang w:eastAsia="fr-FR" w:bidi="fr-FR"/>
        </w:rPr>
        <w:t xml:space="preserve"> et les analystes politiques des </w:t>
      </w:r>
      <w:r w:rsidRPr="004235F4">
        <w:rPr>
          <w:i/>
          <w:iCs/>
        </w:rPr>
        <w:t>think tanks</w:t>
      </w:r>
      <w:r w:rsidRPr="00594A23">
        <w:rPr>
          <w:lang w:eastAsia="fr-FR" w:bidi="fr-FR"/>
        </w:rPr>
        <w:t xml:space="preserve"> - sont souvent sollicités pour leur expertise-conseil par les milieux gouvernementaux. Si les</w:t>
      </w:r>
      <w:r>
        <w:t xml:space="preserve"> [102] </w:t>
      </w:r>
      <w:r w:rsidRPr="00594A23">
        <w:rPr>
          <w:lang w:eastAsia="fr-FR" w:bidi="fr-FR"/>
        </w:rPr>
        <w:t>idées véhic</w:t>
      </w:r>
      <w:r w:rsidRPr="00594A23">
        <w:rPr>
          <w:lang w:eastAsia="fr-FR" w:bidi="fr-FR"/>
        </w:rPr>
        <w:t>u</w:t>
      </w:r>
      <w:r w:rsidRPr="00594A23">
        <w:rPr>
          <w:lang w:eastAsia="fr-FR" w:bidi="fr-FR"/>
        </w:rPr>
        <w:t>lées par ces intellectuels peuvent les amener à servir dans une adm</w:t>
      </w:r>
      <w:r w:rsidRPr="00594A23">
        <w:rPr>
          <w:lang w:eastAsia="fr-FR" w:bidi="fr-FR"/>
        </w:rPr>
        <w:t>i</w:t>
      </w:r>
      <w:r w:rsidRPr="00594A23">
        <w:rPr>
          <w:lang w:eastAsia="fr-FR" w:bidi="fr-FR"/>
        </w:rPr>
        <w:t>nistration, les influences conceptuelles provenant des travaux écrits de ces universitaires et de ces analystes pol</w:t>
      </w:r>
      <w:r w:rsidRPr="00594A23">
        <w:rPr>
          <w:lang w:eastAsia="fr-FR" w:bidi="fr-FR"/>
        </w:rPr>
        <w:t>i</w:t>
      </w:r>
      <w:r w:rsidRPr="00594A23">
        <w:rPr>
          <w:lang w:eastAsia="fr-FR" w:bidi="fr-FR"/>
        </w:rPr>
        <w:t>tiques sur les décisions et les actions prises par les acteurs politiques ne doivent pas être négligées. Les connaître est un élément déterminant de la compréhension des orientations internationales des États-Unis. Et il faut pour cela établir une typologie. Cet exercice de classification inclut les obse</w:t>
      </w:r>
      <w:r w:rsidRPr="00594A23">
        <w:rPr>
          <w:lang w:eastAsia="fr-FR" w:bidi="fr-FR"/>
        </w:rPr>
        <w:t>r</w:t>
      </w:r>
      <w:r w:rsidRPr="00594A23">
        <w:rPr>
          <w:lang w:eastAsia="fr-FR" w:bidi="fr-FR"/>
        </w:rPr>
        <w:t>vateurs incontournables de la politique étrangère des États-Unis dans la péri</w:t>
      </w:r>
      <w:r w:rsidRPr="00594A23">
        <w:rPr>
          <w:lang w:eastAsia="fr-FR" w:bidi="fr-FR"/>
        </w:rPr>
        <w:t>o</w:t>
      </w:r>
      <w:r w:rsidRPr="00594A23">
        <w:rPr>
          <w:lang w:eastAsia="fr-FR" w:bidi="fr-FR"/>
        </w:rPr>
        <w:t>de allant de la guerre froide à l’après-11 se</w:t>
      </w:r>
      <w:r w:rsidRPr="00594A23">
        <w:rPr>
          <w:lang w:eastAsia="fr-FR" w:bidi="fr-FR"/>
        </w:rPr>
        <w:t>p</w:t>
      </w:r>
      <w:r w:rsidRPr="00594A23">
        <w:rPr>
          <w:lang w:eastAsia="fr-FR" w:bidi="fr-FR"/>
        </w:rPr>
        <w:t>tembre 2001.</w:t>
      </w:r>
    </w:p>
    <w:p w14:paraId="79C457D4" w14:textId="77777777" w:rsidR="0039793A" w:rsidRPr="00594A23" w:rsidRDefault="0039793A" w:rsidP="0039793A">
      <w:pPr>
        <w:spacing w:before="120" w:after="120"/>
        <w:jc w:val="both"/>
      </w:pPr>
      <w:r w:rsidRPr="00594A23">
        <w:rPr>
          <w:lang w:eastAsia="fr-FR" w:bidi="fr-FR"/>
        </w:rPr>
        <w:t>Sept écoles de pensée ont été identifiées en fonction du rôle qu’elles assignent aux États-Unis sur la scène internationale</w:t>
      </w:r>
      <w:r w:rsidRPr="00594A23">
        <w:t> :</w:t>
      </w:r>
      <w:r w:rsidRPr="00594A23">
        <w:rPr>
          <w:lang w:eastAsia="fr-FR" w:bidi="fr-FR"/>
        </w:rPr>
        <w:t xml:space="preserve"> les h</w:t>
      </w:r>
      <w:r w:rsidRPr="00594A23">
        <w:rPr>
          <w:lang w:eastAsia="fr-FR" w:bidi="fr-FR"/>
        </w:rPr>
        <w:t>é</w:t>
      </w:r>
      <w:r w:rsidRPr="00594A23">
        <w:rPr>
          <w:lang w:eastAsia="fr-FR" w:bidi="fr-FR"/>
        </w:rPr>
        <w:t>gémonistes, les institutionnalistes, les équilibristes, les idéalistes, les souverainistes, les mondialistes et les isolatio</w:t>
      </w:r>
      <w:r w:rsidRPr="00594A23">
        <w:rPr>
          <w:lang w:eastAsia="fr-FR" w:bidi="fr-FR"/>
        </w:rPr>
        <w:t>n</w:t>
      </w:r>
      <w:r w:rsidRPr="00594A23">
        <w:rPr>
          <w:lang w:eastAsia="fr-FR" w:bidi="fr-FR"/>
        </w:rPr>
        <w:t>nistes antimondialistes. Elles sont réparties selon l’approche quelles privilégient (unilatérali</w:t>
      </w:r>
      <w:r w:rsidRPr="00594A23">
        <w:rPr>
          <w:lang w:eastAsia="fr-FR" w:bidi="fr-FR"/>
        </w:rPr>
        <w:t>s</w:t>
      </w:r>
      <w:r w:rsidRPr="00594A23">
        <w:rPr>
          <w:lang w:eastAsia="fr-FR" w:bidi="fr-FR"/>
        </w:rPr>
        <w:t>me, multilatéralisme et minimalisme) et selon l’action qu’elles préc</w:t>
      </w:r>
      <w:r w:rsidRPr="00594A23">
        <w:rPr>
          <w:lang w:eastAsia="fr-FR" w:bidi="fr-FR"/>
        </w:rPr>
        <w:t>o</w:t>
      </w:r>
      <w:r w:rsidRPr="00594A23">
        <w:rPr>
          <w:lang w:eastAsia="fr-FR" w:bidi="fr-FR"/>
        </w:rPr>
        <w:t>nisent pour les États-Unis au sein du système international (le contr</w:t>
      </w:r>
      <w:r w:rsidRPr="00594A23">
        <w:rPr>
          <w:lang w:eastAsia="fr-FR" w:bidi="fr-FR"/>
        </w:rPr>
        <w:t>ô</w:t>
      </w:r>
      <w:r w:rsidRPr="00594A23">
        <w:rPr>
          <w:lang w:eastAsia="fr-FR" w:bidi="fr-FR"/>
        </w:rPr>
        <w:t>le, la direction et l’abstention). C’est ainsi que l’unilatéralisme passe par le contrôle des relations internationales, que le multilatéralisme est rendu possible par la direction du système international tandis que le minimali</w:t>
      </w:r>
      <w:r w:rsidRPr="00594A23">
        <w:rPr>
          <w:lang w:eastAsia="fr-FR" w:bidi="fr-FR"/>
        </w:rPr>
        <w:t>s</w:t>
      </w:r>
      <w:r w:rsidRPr="00594A23">
        <w:rPr>
          <w:lang w:eastAsia="fr-FR" w:bidi="fr-FR"/>
        </w:rPr>
        <w:t>me repose avant tout sur une abstention des États- Unis au niveau international (voir tableau p. 104-105).</w:t>
      </w:r>
    </w:p>
    <w:p w14:paraId="7C6A4743" w14:textId="77777777" w:rsidR="0039793A" w:rsidRDefault="0039793A" w:rsidP="0039793A">
      <w:pPr>
        <w:spacing w:before="120" w:after="120"/>
        <w:jc w:val="both"/>
        <w:rPr>
          <w:lang w:eastAsia="fr-FR" w:bidi="fr-FR"/>
        </w:rPr>
      </w:pPr>
    </w:p>
    <w:p w14:paraId="143CE13C" w14:textId="77777777" w:rsidR="0039793A" w:rsidRPr="004235F4" w:rsidRDefault="0039793A" w:rsidP="0039793A">
      <w:pPr>
        <w:pStyle w:val="planche"/>
      </w:pPr>
      <w:bookmarkStart w:id="16" w:name="Pol_EU_pt_1_chap_04_1"/>
      <w:r w:rsidRPr="004235F4">
        <w:rPr>
          <w:lang w:eastAsia="fr-FR" w:bidi="fr-FR"/>
        </w:rPr>
        <w:t>L’unilatéralisme par le contrôle</w:t>
      </w:r>
      <w:r>
        <w:rPr>
          <w:lang w:eastAsia="fr-FR" w:bidi="fr-FR"/>
        </w:rPr>
        <w:br/>
      </w:r>
      <w:r w:rsidRPr="004235F4">
        <w:rPr>
          <w:lang w:eastAsia="fr-FR" w:bidi="fr-FR"/>
        </w:rPr>
        <w:t>du système internati</w:t>
      </w:r>
      <w:r w:rsidRPr="004235F4">
        <w:rPr>
          <w:lang w:eastAsia="fr-FR" w:bidi="fr-FR"/>
        </w:rPr>
        <w:t>o</w:t>
      </w:r>
      <w:r w:rsidRPr="004235F4">
        <w:rPr>
          <w:lang w:eastAsia="fr-FR" w:bidi="fr-FR"/>
        </w:rPr>
        <w:t>nal</w:t>
      </w:r>
    </w:p>
    <w:bookmarkEnd w:id="16"/>
    <w:p w14:paraId="7E997311" w14:textId="77777777" w:rsidR="0039793A" w:rsidRDefault="0039793A" w:rsidP="0039793A">
      <w:pPr>
        <w:spacing w:before="120" w:after="120"/>
        <w:jc w:val="both"/>
        <w:rPr>
          <w:lang w:eastAsia="fr-FR" w:bidi="fr-FR"/>
        </w:rPr>
      </w:pPr>
    </w:p>
    <w:p w14:paraId="5FE03CD3"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88A48FD" w14:textId="77777777" w:rsidR="0039793A" w:rsidRPr="00594A23" w:rsidRDefault="0039793A" w:rsidP="0039793A">
      <w:pPr>
        <w:spacing w:before="120" w:after="120"/>
        <w:jc w:val="both"/>
      </w:pPr>
      <w:r w:rsidRPr="00594A23">
        <w:rPr>
          <w:lang w:eastAsia="fr-FR" w:bidi="fr-FR"/>
        </w:rPr>
        <w:t>L’école hégémoniste est l’approche unilatér</w:t>
      </w:r>
      <w:r w:rsidRPr="00594A23">
        <w:rPr>
          <w:lang w:eastAsia="fr-FR" w:bidi="fr-FR"/>
        </w:rPr>
        <w:t>a</w:t>
      </w:r>
      <w:r w:rsidRPr="00594A23">
        <w:rPr>
          <w:lang w:eastAsia="fr-FR" w:bidi="fr-FR"/>
        </w:rPr>
        <w:t>liste qui espère voir les États-Unis contrôler le sy</w:t>
      </w:r>
      <w:r w:rsidRPr="00594A23">
        <w:rPr>
          <w:lang w:eastAsia="fr-FR" w:bidi="fr-FR"/>
        </w:rPr>
        <w:t>s</w:t>
      </w:r>
      <w:r w:rsidRPr="00594A23">
        <w:rPr>
          <w:lang w:eastAsia="fr-FR" w:bidi="fr-FR"/>
        </w:rPr>
        <w:t xml:space="preserve">tème international. Èn se fondant sur la thèse du déclin inévitable de </w:t>
      </w:r>
      <w:r>
        <w:t>l’</w:t>
      </w:r>
      <w:r w:rsidRPr="005A75A0">
        <w:rPr>
          <w:i/>
        </w:rPr>
        <w:t>hégémon</w:t>
      </w:r>
      <w:r w:rsidRPr="00594A23">
        <w:t>,</w:t>
      </w:r>
      <w:r w:rsidRPr="00594A23">
        <w:rPr>
          <w:lang w:eastAsia="fr-FR" w:bidi="fr-FR"/>
        </w:rPr>
        <w:t xml:space="preserve"> les hégémonistes veulent d</w:t>
      </w:r>
      <w:r w:rsidRPr="00594A23">
        <w:rPr>
          <w:lang w:eastAsia="fr-FR" w:bidi="fr-FR"/>
        </w:rPr>
        <w:t>é</w:t>
      </w:r>
      <w:r w:rsidRPr="00594A23">
        <w:rPr>
          <w:lang w:eastAsia="fr-FR" w:bidi="fr-FR"/>
        </w:rPr>
        <w:t>fier l’Histoire, ou du moins, la ralentir. Ils veulent non seulement que les États-Unis mai</w:t>
      </w:r>
      <w:r w:rsidRPr="00594A23">
        <w:rPr>
          <w:lang w:eastAsia="fr-FR" w:bidi="fr-FR"/>
        </w:rPr>
        <w:t>n</w:t>
      </w:r>
      <w:r w:rsidRPr="00594A23">
        <w:rPr>
          <w:lang w:eastAsia="fr-FR" w:bidi="fr-FR"/>
        </w:rPr>
        <w:t>tiennent leur puissance, mais qu’ils l’accroissent. Bien qu’ils promeuvent un système économico-politique libéral, les actions qu’ils privilégient r</w:t>
      </w:r>
      <w:r w:rsidRPr="00594A23">
        <w:rPr>
          <w:lang w:eastAsia="fr-FR" w:bidi="fr-FR"/>
        </w:rPr>
        <w:t>e</w:t>
      </w:r>
      <w:r w:rsidRPr="00594A23">
        <w:rPr>
          <w:lang w:eastAsia="fr-FR" w:bidi="fr-FR"/>
        </w:rPr>
        <w:t>posent sur la défense de l’intérêt national par la conquête et la guerre. Leur vision des relations i</w:t>
      </w:r>
      <w:r w:rsidRPr="00594A23">
        <w:rPr>
          <w:lang w:eastAsia="fr-FR" w:bidi="fr-FR"/>
        </w:rPr>
        <w:t>n</w:t>
      </w:r>
      <w:r w:rsidRPr="00594A23">
        <w:rPr>
          <w:lang w:eastAsia="fr-FR" w:bidi="fr-FR"/>
        </w:rPr>
        <w:t>ternationales est réaliste</w:t>
      </w:r>
      <w:r w:rsidRPr="00594A23">
        <w:t> :</w:t>
      </w:r>
      <w:r w:rsidRPr="00594A23">
        <w:rPr>
          <w:lang w:eastAsia="fr-FR" w:bidi="fr-FR"/>
        </w:rPr>
        <w:t xml:space="preserve"> pessimistes quant à la nature humaine, ils croient à une coopération limitée entre les États. Le système international anarch</w:t>
      </w:r>
      <w:r w:rsidRPr="00594A23">
        <w:rPr>
          <w:lang w:eastAsia="fr-FR" w:bidi="fr-FR"/>
        </w:rPr>
        <w:t>i</w:t>
      </w:r>
      <w:r w:rsidRPr="00594A23">
        <w:rPr>
          <w:lang w:eastAsia="fr-FR" w:bidi="fr-FR"/>
        </w:rPr>
        <w:t xml:space="preserve">que nécessite, selon eux, une puissance qui puisse le contrôler pour en assurer l’ordre. Parce qu’ils sont relativement </w:t>
      </w:r>
      <w:r w:rsidRPr="00594A23">
        <w:t>« </w:t>
      </w:r>
      <w:r w:rsidRPr="00594A23">
        <w:rPr>
          <w:lang w:eastAsia="fr-FR" w:bidi="fr-FR"/>
        </w:rPr>
        <w:t>bons</w:t>
      </w:r>
      <w:r w:rsidRPr="00594A23">
        <w:t> »</w:t>
      </w:r>
      <w:r w:rsidRPr="00594A23">
        <w:rPr>
          <w:lang w:eastAsia="fr-FR" w:bidi="fr-FR"/>
        </w:rPr>
        <w:t>, les États-Unis doivent assumer leur rôle d</w:t>
      </w:r>
      <w:r w:rsidRPr="00594A23">
        <w:t>'</w:t>
      </w:r>
      <w:r w:rsidRPr="004235F4">
        <w:rPr>
          <w:i/>
          <w:iCs/>
        </w:rPr>
        <w:t>hégémon</w:t>
      </w:r>
      <w:r>
        <w:rPr>
          <w:iCs/>
        </w:rPr>
        <w:t xml:space="preserve"> </w:t>
      </w:r>
      <w:r>
        <w:t xml:space="preserve">[103] </w:t>
      </w:r>
      <w:r w:rsidRPr="00594A23">
        <w:rPr>
          <w:lang w:eastAsia="fr-FR" w:bidi="fr-FR"/>
        </w:rPr>
        <w:t>pour façonner le monde en fonction de leurs valeurs et intérêts. Les États-Unis doivent donc po</w:t>
      </w:r>
      <w:r w:rsidRPr="00594A23">
        <w:rPr>
          <w:lang w:eastAsia="fr-FR" w:bidi="fr-FR"/>
        </w:rPr>
        <w:t>u</w:t>
      </w:r>
      <w:r w:rsidRPr="00594A23">
        <w:rPr>
          <w:lang w:eastAsia="fr-FR" w:bidi="fr-FR"/>
        </w:rPr>
        <w:t>voir utiliser leur puissance sans limite et de façon unilatérale, afin de pouvoir maintenir leur hég</w:t>
      </w:r>
      <w:r w:rsidRPr="00594A23">
        <w:rPr>
          <w:lang w:eastAsia="fr-FR" w:bidi="fr-FR"/>
        </w:rPr>
        <w:t>é</w:t>
      </w:r>
      <w:r w:rsidRPr="00594A23">
        <w:rPr>
          <w:lang w:eastAsia="fr-FR" w:bidi="fr-FR"/>
        </w:rPr>
        <w:t>monie.</w:t>
      </w:r>
    </w:p>
    <w:p w14:paraId="2C1EDFB0" w14:textId="77777777" w:rsidR="0039793A" w:rsidRDefault="0039793A" w:rsidP="0039793A">
      <w:pPr>
        <w:spacing w:before="120" w:after="120"/>
        <w:jc w:val="both"/>
        <w:rPr>
          <w:lang w:eastAsia="fr-FR" w:bidi="fr-FR"/>
        </w:rPr>
      </w:pPr>
    </w:p>
    <w:p w14:paraId="37782B3F" w14:textId="77777777" w:rsidR="0039793A" w:rsidRPr="00C64F69" w:rsidRDefault="0039793A" w:rsidP="0039793A">
      <w:pPr>
        <w:pStyle w:val="b"/>
      </w:pPr>
      <w:r w:rsidRPr="004235F4">
        <w:rPr>
          <w:lang w:eastAsia="fr-FR" w:bidi="fr-FR"/>
        </w:rPr>
        <w:t>Robert Kagan et William Kristol</w:t>
      </w:r>
      <w:r>
        <w:rPr>
          <w:lang w:eastAsia="fr-FR" w:bidi="fr-FR"/>
        </w:rPr>
        <w:t> </w:t>
      </w:r>
      <w:r w:rsidRPr="00F027E4">
        <w:rPr>
          <w:rStyle w:val="Appelnotedebasdep"/>
          <w:i w:val="0"/>
          <w:lang w:eastAsia="fr-FR" w:bidi="fr-FR"/>
        </w:rPr>
        <w:footnoteReference w:id="229"/>
      </w:r>
    </w:p>
    <w:p w14:paraId="181FCE3B" w14:textId="77777777" w:rsidR="0039793A" w:rsidRDefault="0039793A" w:rsidP="0039793A">
      <w:pPr>
        <w:spacing w:before="120" w:after="120"/>
        <w:jc w:val="both"/>
        <w:rPr>
          <w:lang w:eastAsia="fr-FR" w:bidi="fr-FR"/>
        </w:rPr>
      </w:pPr>
    </w:p>
    <w:p w14:paraId="173765B5" w14:textId="77777777" w:rsidR="0039793A" w:rsidRPr="00594A23" w:rsidRDefault="0039793A" w:rsidP="0039793A">
      <w:pPr>
        <w:spacing w:before="120" w:after="120"/>
        <w:jc w:val="both"/>
      </w:pPr>
      <w:r w:rsidRPr="00594A23">
        <w:rPr>
          <w:lang w:eastAsia="fr-FR" w:bidi="fr-FR"/>
        </w:rPr>
        <w:t>Robert Kagan et William Kristol sont étroit</w:t>
      </w:r>
      <w:r w:rsidRPr="00594A23">
        <w:rPr>
          <w:lang w:eastAsia="fr-FR" w:bidi="fr-FR"/>
        </w:rPr>
        <w:t>e</w:t>
      </w:r>
      <w:r w:rsidRPr="00594A23">
        <w:rPr>
          <w:lang w:eastAsia="fr-FR" w:bidi="fr-FR"/>
        </w:rPr>
        <w:t>ment associés aux idées reaganiennes (c’est-à-dire la promotion du libéralisme américain et l’affirmation de la puissance américaine dans les affaires intern</w:t>
      </w:r>
      <w:r w:rsidRPr="00594A23">
        <w:rPr>
          <w:lang w:eastAsia="fr-FR" w:bidi="fr-FR"/>
        </w:rPr>
        <w:t>a</w:t>
      </w:r>
      <w:r w:rsidRPr="00594A23">
        <w:rPr>
          <w:lang w:eastAsia="fr-FR" w:bidi="fr-FR"/>
        </w:rPr>
        <w:t>tionales). Tous deux se prononcent en faveur d’une politique étrangère américaine dont le fer de lance serait l’</w:t>
      </w:r>
      <w:r w:rsidRPr="00594A23">
        <w:t>« </w:t>
      </w:r>
      <w:r w:rsidRPr="00594A23">
        <w:rPr>
          <w:lang w:eastAsia="fr-FR" w:bidi="fr-FR"/>
        </w:rPr>
        <w:t>hégémonie américaine bie</w:t>
      </w:r>
      <w:r w:rsidRPr="00594A23">
        <w:rPr>
          <w:lang w:eastAsia="fr-FR" w:bidi="fr-FR"/>
        </w:rPr>
        <w:t>n</w:t>
      </w:r>
      <w:r w:rsidRPr="00594A23">
        <w:rPr>
          <w:lang w:eastAsia="fr-FR" w:bidi="fr-FR"/>
        </w:rPr>
        <w:t>veillante</w:t>
      </w:r>
      <w:r>
        <w:rPr>
          <w:lang w:eastAsia="fr-FR" w:bidi="fr-FR"/>
        </w:rPr>
        <w:t> </w:t>
      </w:r>
      <w:r>
        <w:rPr>
          <w:rStyle w:val="Appelnotedebasdep"/>
          <w:lang w:eastAsia="fr-FR" w:bidi="fr-FR"/>
        </w:rPr>
        <w:footnoteReference w:id="230"/>
      </w:r>
      <w:r w:rsidRPr="00594A23">
        <w:t> »</w:t>
      </w:r>
      <w:r w:rsidRPr="00594A23">
        <w:rPr>
          <w:lang w:eastAsia="fr-FR" w:bidi="fr-FR"/>
        </w:rPr>
        <w:t xml:space="preserve">. Selon les termes de Robert Kagan, avant même les événements du 11 septembre 2001, </w:t>
      </w:r>
      <w:r w:rsidRPr="00594A23">
        <w:t>« </w:t>
      </w:r>
      <w:r w:rsidRPr="00594A23">
        <w:rPr>
          <w:lang w:eastAsia="fr-FR" w:bidi="fr-FR"/>
        </w:rPr>
        <w:t>[u]ne stratégie visant à pr</w:t>
      </w:r>
      <w:r w:rsidRPr="00594A23">
        <w:rPr>
          <w:lang w:eastAsia="fr-FR" w:bidi="fr-FR"/>
        </w:rPr>
        <w:t>é</w:t>
      </w:r>
      <w:r w:rsidRPr="00594A23">
        <w:rPr>
          <w:lang w:eastAsia="fr-FR" w:bidi="fr-FR"/>
        </w:rPr>
        <w:t>server l’hégémonie bienveillante américaine requérait que les États-Unis soient plus enclins [...] à intervenir lorsque les crises éclatent et préf</w:t>
      </w:r>
      <w:r w:rsidRPr="00594A23">
        <w:rPr>
          <w:lang w:eastAsia="fr-FR" w:bidi="fr-FR"/>
        </w:rPr>
        <w:t>é</w:t>
      </w:r>
      <w:r w:rsidRPr="00594A23">
        <w:rPr>
          <w:lang w:eastAsia="fr-FR" w:bidi="fr-FR"/>
        </w:rPr>
        <w:t>rablement avant même quelles ne le fassent. C’est le standard d’une superpuissance globale qui a l’intention de faço</w:t>
      </w:r>
      <w:r w:rsidRPr="00594A23">
        <w:rPr>
          <w:lang w:eastAsia="fr-FR" w:bidi="fr-FR"/>
        </w:rPr>
        <w:t>n</w:t>
      </w:r>
      <w:r w:rsidRPr="00594A23">
        <w:rPr>
          <w:lang w:eastAsia="fr-FR" w:bidi="fr-FR"/>
        </w:rPr>
        <w:t>ner l’environnement international. Si le président Bush souhaite diriger à la manière du président Reagan, c’est le standard auquel il doit sati</w:t>
      </w:r>
      <w:r w:rsidRPr="00594A23">
        <w:rPr>
          <w:lang w:eastAsia="fr-FR" w:bidi="fr-FR"/>
        </w:rPr>
        <w:t>s</w:t>
      </w:r>
      <w:r w:rsidRPr="00594A23">
        <w:rPr>
          <w:lang w:eastAsia="fr-FR" w:bidi="fr-FR"/>
        </w:rPr>
        <w:t>faire</w:t>
      </w:r>
      <w:r>
        <w:rPr>
          <w:lang w:eastAsia="fr-FR" w:bidi="fr-FR"/>
        </w:rPr>
        <w:t> </w:t>
      </w:r>
      <w:r>
        <w:rPr>
          <w:rStyle w:val="Appelnotedebasdep"/>
          <w:lang w:eastAsia="fr-FR" w:bidi="fr-FR"/>
        </w:rPr>
        <w:footnoteReference w:id="231"/>
      </w:r>
      <w:r w:rsidRPr="00594A23">
        <w:t> »</w:t>
      </w:r>
      <w:r w:rsidRPr="00594A23">
        <w:rPr>
          <w:lang w:eastAsia="fr-FR" w:bidi="fr-FR"/>
        </w:rPr>
        <w:t>.</w:t>
      </w:r>
    </w:p>
    <w:p w14:paraId="4345940A" w14:textId="77777777" w:rsidR="0039793A" w:rsidRDefault="0039793A" w:rsidP="0039793A">
      <w:pPr>
        <w:spacing w:before="120" w:after="120"/>
        <w:jc w:val="both"/>
        <w:rPr>
          <w:lang w:eastAsia="fr-FR" w:bidi="fr-FR"/>
        </w:rPr>
      </w:pPr>
      <w:r w:rsidRPr="00594A23">
        <w:rPr>
          <w:lang w:eastAsia="fr-FR" w:bidi="fr-FR"/>
        </w:rPr>
        <w:t>Pour Robert Kagan et William Kristol, la stratégie globale amér</w:t>
      </w:r>
      <w:r w:rsidRPr="00594A23">
        <w:rPr>
          <w:lang w:eastAsia="fr-FR" w:bidi="fr-FR"/>
        </w:rPr>
        <w:t>i</w:t>
      </w:r>
      <w:r w:rsidRPr="00594A23">
        <w:rPr>
          <w:lang w:eastAsia="fr-FR" w:bidi="fr-FR"/>
        </w:rPr>
        <w:t>caine (qui a cherché depuis Woodrow Wilson à promouvoir le libér</w:t>
      </w:r>
      <w:r w:rsidRPr="00594A23">
        <w:rPr>
          <w:lang w:eastAsia="fr-FR" w:bidi="fr-FR"/>
        </w:rPr>
        <w:t>a</w:t>
      </w:r>
      <w:r w:rsidRPr="00594A23">
        <w:rPr>
          <w:lang w:eastAsia="fr-FR" w:bidi="fr-FR"/>
        </w:rPr>
        <w:t>lisme démocratique) doit permettre de renverser les régimes jugés n</w:t>
      </w:r>
      <w:r w:rsidRPr="00594A23">
        <w:rPr>
          <w:lang w:eastAsia="fr-FR" w:bidi="fr-FR"/>
        </w:rPr>
        <w:t>é</w:t>
      </w:r>
      <w:r w:rsidRPr="00594A23">
        <w:rPr>
          <w:lang w:eastAsia="fr-FR" w:bidi="fr-FR"/>
        </w:rPr>
        <w:t>fastes pour les intérêts nationaux am</w:t>
      </w:r>
      <w:r w:rsidRPr="00594A23">
        <w:rPr>
          <w:lang w:eastAsia="fr-FR" w:bidi="fr-FR"/>
        </w:rPr>
        <w:t>é</w:t>
      </w:r>
      <w:r w:rsidRPr="00594A23">
        <w:rPr>
          <w:lang w:eastAsia="fr-FR" w:bidi="fr-FR"/>
        </w:rPr>
        <w:t>ricains et pour la stabilité de l’ordre international, et non leur permettre de se maintenir en place. Les tactiques retenues pour favoriser le changement d’un régime v</w:t>
      </w:r>
      <w:r w:rsidRPr="00594A23">
        <w:rPr>
          <w:lang w:eastAsia="fr-FR" w:bidi="fr-FR"/>
        </w:rPr>
        <w:t>a</w:t>
      </w:r>
      <w:r w:rsidRPr="00594A23">
        <w:rPr>
          <w:lang w:eastAsia="fr-FR" w:bidi="fr-FR"/>
        </w:rPr>
        <w:t>rieraient selon les circonstances, tous les changements de régime ne nécessitant pas une intervention militaire. Il est toutefois clair, pour Kagan et Kristol, que</w:t>
      </w:r>
    </w:p>
    <w:p w14:paraId="5F4D21D1" w14:textId="77777777" w:rsidR="0039793A" w:rsidRDefault="008818C9" w:rsidP="0039793A">
      <w:pPr>
        <w:spacing w:before="120" w:after="120"/>
        <w:jc w:val="both"/>
        <w:rPr>
          <w:szCs w:val="2"/>
        </w:rPr>
      </w:pPr>
      <w:r w:rsidRPr="00594A23">
        <w:rPr>
          <w:noProof/>
          <w:lang w:bidi="fr-FR"/>
        </w:rPr>
        <mc:AlternateContent>
          <mc:Choice Requires="wps">
            <w:drawing>
              <wp:anchor distT="0" distB="0" distL="63500" distR="63500" simplePos="0" relativeHeight="251658752" behindDoc="0" locked="0" layoutInCell="1" allowOverlap="1" wp14:anchorId="05E2195A" wp14:editId="4DF35222">
                <wp:simplePos x="0" y="0"/>
                <wp:positionH relativeFrom="margin">
                  <wp:posOffset>6480810</wp:posOffset>
                </wp:positionH>
                <wp:positionV relativeFrom="paragraph">
                  <wp:posOffset>3415030</wp:posOffset>
                </wp:positionV>
                <wp:extent cx="365760" cy="5213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B11E4" w14:textId="77777777" w:rsidR="0039793A" w:rsidRDefault="0039793A" w:rsidP="0039793A">
                            <w:pPr>
                              <w:keepNext/>
                              <w:keepLines/>
                              <w:spacing w:line="360" w:lineRule="exact"/>
                              <w:ind w:left="140"/>
                            </w:pPr>
                            <w:r>
                              <w:rPr>
                                <w:color w:val="000000"/>
                                <w:lang w:val="fr-FR" w:eastAsia="fr-FR" w:bidi="fr-FR"/>
                              </w:rPr>
                              <w:t>te&gt;S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195A" id="Text Box 5" o:spid="_x0000_s1028" type="#_x0000_t202" style="position:absolute;left:0;text-align:left;margin-left:510.3pt;margin-top:268.9pt;width:28.8pt;height:4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" filled="f" stroked="f">
                <v:path arrowok="t"/>
                <v:textbox style="layout-flow:vertical" inset="0,0,0,0">
                  <w:txbxContent>
                    <w:p w14:paraId="791B11E4" w14:textId="77777777" w:rsidR="0039793A" w:rsidRDefault="0039793A" w:rsidP="0039793A">
                      <w:pPr>
                        <w:keepNext/>
                        <w:keepLines/>
                        <w:spacing w:line="360" w:lineRule="exact"/>
                        <w:ind w:left="140"/>
                      </w:pPr>
                      <w:r>
                        <w:rPr>
                          <w:color w:val="000000"/>
                          <w:lang w:val="fr-FR" w:eastAsia="fr-FR" w:bidi="fr-FR"/>
                        </w:rPr>
                        <w:t>te&gt;S</w:t>
                      </w:r>
                    </w:p>
                  </w:txbxContent>
                </v:textbox>
                <w10:wrap anchorx="margin"/>
              </v:shape>
            </w:pict>
          </mc:Fallback>
        </mc:AlternateContent>
      </w:r>
    </w:p>
    <w:p w14:paraId="2D173521" w14:textId="77777777" w:rsidR="0039793A" w:rsidRDefault="0039793A" w:rsidP="0039793A">
      <w:pPr>
        <w:pStyle w:val="p"/>
        <w:sectPr w:rsidR="0039793A">
          <w:headerReference w:type="default" r:id="rId19"/>
          <w:pgSz w:w="12240" w:h="15840"/>
          <w:pgMar w:top="1800" w:right="1440" w:bottom="1440" w:left="2160" w:header="720" w:footer="720" w:gutter="720"/>
          <w:cols w:space="720"/>
          <w:titlePg/>
        </w:sectPr>
      </w:pPr>
    </w:p>
    <w:p w14:paraId="6E5E0389" w14:textId="77777777" w:rsidR="0039793A" w:rsidRDefault="0039793A" w:rsidP="0039793A">
      <w:pPr>
        <w:pStyle w:val="p"/>
      </w:pPr>
      <w:r>
        <w:t>[104] [105]</w:t>
      </w:r>
    </w:p>
    <w:p w14:paraId="27BA82BA" w14:textId="77777777" w:rsidR="0039793A" w:rsidRDefault="0039793A" w:rsidP="0039793A">
      <w:pPr>
        <w:pStyle w:val="p"/>
      </w:pPr>
    </w:p>
    <w:p w14:paraId="3935D909" w14:textId="77777777" w:rsidR="0039793A" w:rsidRDefault="0039793A" w:rsidP="0039793A">
      <w:pPr>
        <w:pStyle w:val="figtitre"/>
      </w:pPr>
      <w:r w:rsidRPr="006D7F8D">
        <w:t>Tableau 1.</w:t>
      </w:r>
    </w:p>
    <w:p w14:paraId="61D40256" w14:textId="77777777" w:rsidR="0039793A" w:rsidRPr="006D7F8D" w:rsidRDefault="0039793A" w:rsidP="0039793A">
      <w:pPr>
        <w:pStyle w:val="figtitrest"/>
      </w:pPr>
      <w:r w:rsidRPr="006D7F8D">
        <w:t>Les écoles de pensée de la politique étrangère américaine</w:t>
      </w:r>
    </w:p>
    <w:tbl>
      <w:tblPr>
        <w:tblW w:w="17280" w:type="dxa"/>
        <w:tblInd w:w="40" w:type="dxa"/>
        <w:tblLayout w:type="fixed"/>
        <w:tblCellMar>
          <w:left w:w="40" w:type="dxa"/>
          <w:right w:w="40" w:type="dxa"/>
        </w:tblCellMar>
        <w:tblLook w:val="0000" w:firstRow="0" w:lastRow="0" w:firstColumn="0" w:lastColumn="0" w:noHBand="0" w:noVBand="0"/>
      </w:tblPr>
      <w:tblGrid>
        <w:gridCol w:w="1890"/>
        <w:gridCol w:w="2340"/>
        <w:gridCol w:w="1980"/>
        <w:gridCol w:w="7830"/>
        <w:gridCol w:w="1800"/>
        <w:gridCol w:w="1440"/>
      </w:tblGrid>
      <w:tr w:rsidR="0039793A" w:rsidRPr="006D1DC4" w14:paraId="451E842A" w14:textId="77777777">
        <w:tblPrEx>
          <w:tblCellMar>
            <w:top w:w="0" w:type="dxa"/>
            <w:bottom w:w="0" w:type="dxa"/>
          </w:tblCellMar>
        </w:tblPrEx>
        <w:trPr>
          <w:tblHeader/>
        </w:trPr>
        <w:tc>
          <w:tcPr>
            <w:tcW w:w="1890" w:type="dxa"/>
            <w:tcBorders>
              <w:top w:val="single" w:sz="6" w:space="0" w:color="auto"/>
              <w:left w:val="single" w:sz="6" w:space="0" w:color="auto"/>
              <w:bottom w:val="single" w:sz="6" w:space="0" w:color="auto"/>
              <w:right w:val="single" w:sz="6" w:space="0" w:color="auto"/>
            </w:tcBorders>
            <w:shd w:val="clear" w:color="auto" w:fill="EEECE1"/>
          </w:tcPr>
          <w:p w14:paraId="1D6A95CE" w14:textId="77777777" w:rsidR="0039793A" w:rsidRPr="006D1DC4" w:rsidRDefault="0039793A" w:rsidP="0039793A">
            <w:pPr>
              <w:spacing w:before="60" w:after="60"/>
              <w:ind w:left="50" w:right="50" w:firstLine="0"/>
              <w:rPr>
                <w:sz w:val="24"/>
              </w:rPr>
            </w:pPr>
            <w:r w:rsidRPr="006D1DC4">
              <w:rPr>
                <w:sz w:val="24"/>
                <w:szCs w:val="38"/>
              </w:rPr>
              <w:t>Approches</w:t>
            </w:r>
          </w:p>
        </w:tc>
        <w:tc>
          <w:tcPr>
            <w:tcW w:w="2340" w:type="dxa"/>
            <w:tcBorders>
              <w:top w:val="single" w:sz="6" w:space="0" w:color="auto"/>
              <w:left w:val="single" w:sz="6" w:space="0" w:color="auto"/>
              <w:bottom w:val="single" w:sz="6" w:space="0" w:color="auto"/>
              <w:right w:val="single" w:sz="6" w:space="0" w:color="auto"/>
            </w:tcBorders>
            <w:shd w:val="clear" w:color="auto" w:fill="EEECE1"/>
          </w:tcPr>
          <w:p w14:paraId="1D01BD48" w14:textId="77777777" w:rsidR="0039793A" w:rsidRPr="006D1DC4" w:rsidRDefault="0039793A" w:rsidP="0039793A">
            <w:pPr>
              <w:spacing w:before="60" w:after="60"/>
              <w:ind w:left="50" w:right="50" w:firstLine="0"/>
              <w:rPr>
                <w:sz w:val="24"/>
              </w:rPr>
            </w:pPr>
            <w:r w:rsidRPr="006D1DC4">
              <w:rPr>
                <w:sz w:val="24"/>
                <w:szCs w:val="38"/>
              </w:rPr>
              <w:t>Description</w:t>
            </w:r>
          </w:p>
        </w:tc>
        <w:tc>
          <w:tcPr>
            <w:tcW w:w="1980" w:type="dxa"/>
            <w:tcBorders>
              <w:top w:val="single" w:sz="6" w:space="0" w:color="auto"/>
              <w:left w:val="single" w:sz="6" w:space="0" w:color="auto"/>
              <w:bottom w:val="single" w:sz="6" w:space="0" w:color="auto"/>
              <w:right w:val="single" w:sz="6" w:space="0" w:color="auto"/>
            </w:tcBorders>
            <w:shd w:val="clear" w:color="auto" w:fill="EEECE1"/>
          </w:tcPr>
          <w:p w14:paraId="66C72488" w14:textId="77777777" w:rsidR="0039793A" w:rsidRPr="006D1DC4" w:rsidRDefault="0039793A" w:rsidP="0039793A">
            <w:pPr>
              <w:spacing w:before="60" w:after="60"/>
              <w:ind w:left="50" w:right="50" w:firstLine="0"/>
              <w:rPr>
                <w:sz w:val="24"/>
              </w:rPr>
            </w:pPr>
            <w:r w:rsidRPr="006D1DC4">
              <w:rPr>
                <w:sz w:val="24"/>
                <w:szCs w:val="38"/>
              </w:rPr>
              <w:t>Écoles</w:t>
            </w:r>
          </w:p>
        </w:tc>
        <w:tc>
          <w:tcPr>
            <w:tcW w:w="7830" w:type="dxa"/>
            <w:tcBorders>
              <w:top w:val="single" w:sz="6" w:space="0" w:color="auto"/>
              <w:left w:val="single" w:sz="6" w:space="0" w:color="auto"/>
              <w:bottom w:val="single" w:sz="6" w:space="0" w:color="auto"/>
              <w:right w:val="single" w:sz="6" w:space="0" w:color="auto"/>
            </w:tcBorders>
            <w:shd w:val="clear" w:color="auto" w:fill="EEECE1"/>
          </w:tcPr>
          <w:p w14:paraId="00D16A26" w14:textId="77777777" w:rsidR="0039793A" w:rsidRPr="006D1DC4" w:rsidRDefault="0039793A" w:rsidP="0039793A">
            <w:pPr>
              <w:spacing w:before="60" w:after="60"/>
              <w:ind w:left="50" w:right="50" w:firstLine="0"/>
              <w:rPr>
                <w:sz w:val="24"/>
              </w:rPr>
            </w:pPr>
            <w:r w:rsidRPr="006D1DC4">
              <w:rPr>
                <w:sz w:val="24"/>
                <w:szCs w:val="38"/>
              </w:rPr>
              <w:t>Caractéristiques</w:t>
            </w:r>
          </w:p>
        </w:tc>
        <w:tc>
          <w:tcPr>
            <w:tcW w:w="1800" w:type="dxa"/>
            <w:tcBorders>
              <w:top w:val="single" w:sz="6" w:space="0" w:color="auto"/>
              <w:left w:val="single" w:sz="6" w:space="0" w:color="auto"/>
              <w:bottom w:val="single" w:sz="6" w:space="0" w:color="auto"/>
              <w:right w:val="single" w:sz="6" w:space="0" w:color="auto"/>
            </w:tcBorders>
            <w:shd w:val="clear" w:color="auto" w:fill="EEECE1"/>
          </w:tcPr>
          <w:p w14:paraId="7CE1E721" w14:textId="77777777" w:rsidR="0039793A" w:rsidRPr="006D1DC4" w:rsidRDefault="0039793A" w:rsidP="0039793A">
            <w:pPr>
              <w:spacing w:before="60" w:after="60"/>
              <w:ind w:left="50" w:right="50" w:firstLine="0"/>
              <w:rPr>
                <w:sz w:val="24"/>
              </w:rPr>
            </w:pPr>
            <w:r w:rsidRPr="006D1DC4">
              <w:rPr>
                <w:sz w:val="24"/>
                <w:szCs w:val="38"/>
              </w:rPr>
              <w:t>Auteurs</w:t>
            </w:r>
          </w:p>
        </w:tc>
        <w:tc>
          <w:tcPr>
            <w:tcW w:w="1440" w:type="dxa"/>
            <w:tcBorders>
              <w:top w:val="single" w:sz="6" w:space="0" w:color="auto"/>
              <w:left w:val="single" w:sz="6" w:space="0" w:color="auto"/>
              <w:bottom w:val="single" w:sz="6" w:space="0" w:color="auto"/>
              <w:right w:val="single" w:sz="6" w:space="0" w:color="auto"/>
            </w:tcBorders>
            <w:shd w:val="clear" w:color="auto" w:fill="EEECE1"/>
          </w:tcPr>
          <w:p w14:paraId="016CC718" w14:textId="77777777" w:rsidR="0039793A" w:rsidRPr="006D1DC4" w:rsidRDefault="0039793A" w:rsidP="0039793A">
            <w:pPr>
              <w:spacing w:before="60" w:after="60"/>
              <w:ind w:left="50" w:right="50" w:firstLine="0"/>
              <w:rPr>
                <w:sz w:val="24"/>
              </w:rPr>
            </w:pPr>
            <w:r w:rsidRPr="006D1DC4">
              <w:rPr>
                <w:sz w:val="24"/>
                <w:szCs w:val="38"/>
              </w:rPr>
              <w:t>Action</w:t>
            </w:r>
            <w:r w:rsidRPr="006D1DC4">
              <w:rPr>
                <w:sz w:val="24"/>
                <w:szCs w:val="38"/>
              </w:rPr>
              <w:br/>
              <w:t xml:space="preserve"> privilégiée</w:t>
            </w:r>
          </w:p>
        </w:tc>
      </w:tr>
      <w:tr w:rsidR="0039793A" w:rsidRPr="006D1DC4" w14:paraId="66C36792" w14:textId="77777777">
        <w:tblPrEx>
          <w:tblCellMar>
            <w:top w:w="0" w:type="dxa"/>
            <w:bottom w:w="0" w:type="dxa"/>
          </w:tblCellMar>
        </w:tblPrEx>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14:paraId="3EC10BB0" w14:textId="77777777" w:rsidR="0039793A" w:rsidRPr="006D1DC4" w:rsidRDefault="0039793A" w:rsidP="0039793A">
            <w:pPr>
              <w:spacing w:before="60" w:after="60"/>
              <w:ind w:left="50" w:right="50" w:firstLine="0"/>
              <w:rPr>
                <w:sz w:val="24"/>
              </w:rPr>
            </w:pPr>
            <w:r w:rsidRPr="006D1DC4">
              <w:rPr>
                <w:sz w:val="24"/>
                <w:szCs w:val="38"/>
              </w:rPr>
              <w:t>Unilatéraliste</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0EEA285F" w14:textId="77777777" w:rsidR="0039793A" w:rsidRPr="006D1DC4" w:rsidRDefault="0039793A" w:rsidP="0039793A">
            <w:pPr>
              <w:spacing w:before="60" w:after="60"/>
              <w:ind w:left="50" w:right="50" w:firstLine="0"/>
              <w:rPr>
                <w:sz w:val="24"/>
              </w:rPr>
            </w:pPr>
            <w:r w:rsidRPr="006D1DC4">
              <w:rPr>
                <w:sz w:val="24"/>
                <w:szCs w:val="38"/>
              </w:rPr>
              <w:t>Utilisation illimitée de la puissance pour d</w:t>
            </w:r>
            <w:r w:rsidRPr="006D1DC4">
              <w:rPr>
                <w:sz w:val="24"/>
                <w:szCs w:val="38"/>
              </w:rPr>
              <w:t>o</w:t>
            </w:r>
            <w:r w:rsidRPr="006D1DC4">
              <w:rPr>
                <w:sz w:val="24"/>
                <w:szCs w:val="38"/>
              </w:rPr>
              <w:t>miner le système i</w:t>
            </w:r>
            <w:r w:rsidRPr="006D1DC4">
              <w:rPr>
                <w:sz w:val="24"/>
                <w:szCs w:val="38"/>
              </w:rPr>
              <w:t>n</w:t>
            </w:r>
            <w:r w:rsidRPr="006D1DC4">
              <w:rPr>
                <w:sz w:val="24"/>
                <w:szCs w:val="38"/>
              </w:rPr>
              <w:t>ternational et pérenn</w:t>
            </w:r>
            <w:r w:rsidRPr="006D1DC4">
              <w:rPr>
                <w:sz w:val="24"/>
                <w:szCs w:val="38"/>
              </w:rPr>
              <w:t>i</w:t>
            </w:r>
            <w:r w:rsidRPr="006D1DC4">
              <w:rPr>
                <w:sz w:val="24"/>
                <w:szCs w:val="38"/>
              </w:rPr>
              <w:t>ser l'hégémonie am</w:t>
            </w:r>
            <w:r w:rsidRPr="006D1DC4">
              <w:rPr>
                <w:sz w:val="24"/>
                <w:szCs w:val="38"/>
              </w:rPr>
              <w:t>é</w:t>
            </w:r>
            <w:r w:rsidRPr="006D1DC4">
              <w:rPr>
                <w:sz w:val="24"/>
                <w:szCs w:val="38"/>
              </w:rPr>
              <w:t>ricaine.</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481B7849" w14:textId="77777777" w:rsidR="0039793A" w:rsidRPr="006D1DC4" w:rsidRDefault="0039793A" w:rsidP="0039793A">
            <w:pPr>
              <w:spacing w:before="60" w:after="60"/>
              <w:ind w:left="50" w:right="50" w:firstLine="0"/>
              <w:rPr>
                <w:sz w:val="24"/>
              </w:rPr>
            </w:pPr>
            <w:r w:rsidRPr="006D1DC4">
              <w:rPr>
                <w:sz w:val="24"/>
                <w:szCs w:val="38"/>
              </w:rPr>
              <w:t>Hégémoniste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60E27610" w14:textId="77777777" w:rsidR="0039793A" w:rsidRPr="006D1DC4" w:rsidRDefault="0039793A" w:rsidP="0039793A">
            <w:pPr>
              <w:spacing w:before="60" w:after="60"/>
              <w:ind w:left="50" w:right="50" w:firstLine="0"/>
              <w:rPr>
                <w:sz w:val="24"/>
              </w:rPr>
            </w:pPr>
            <w:r w:rsidRPr="006D1DC4">
              <w:rPr>
                <w:sz w:val="24"/>
                <w:szCs w:val="38"/>
              </w:rPr>
              <w:t>Déclin inévitable de l'hégémon (vision cyclique de l'histoire)</w:t>
            </w:r>
            <w:r>
              <w:rPr>
                <w:sz w:val="24"/>
                <w:szCs w:val="38"/>
              </w:rPr>
              <w:t> ;</w:t>
            </w:r>
            <w:r w:rsidRPr="006D1DC4">
              <w:rPr>
                <w:sz w:val="24"/>
                <w:szCs w:val="38"/>
              </w:rPr>
              <w:t xml:space="preserve"> Défense de l'i</w:t>
            </w:r>
            <w:r w:rsidRPr="006D1DC4">
              <w:rPr>
                <w:sz w:val="24"/>
                <w:szCs w:val="38"/>
              </w:rPr>
              <w:t>n</w:t>
            </w:r>
            <w:r w:rsidRPr="006D1DC4">
              <w:rPr>
                <w:sz w:val="24"/>
                <w:szCs w:val="38"/>
              </w:rPr>
              <w:t>térêt national basée sur la conquête et la guerre</w:t>
            </w:r>
            <w:r>
              <w:rPr>
                <w:sz w:val="24"/>
                <w:szCs w:val="38"/>
              </w:rPr>
              <w:t> ;</w:t>
            </w:r>
            <w:r w:rsidRPr="006D1DC4">
              <w:rPr>
                <w:sz w:val="24"/>
                <w:szCs w:val="38"/>
              </w:rPr>
              <w:t xml:space="preserve"> Vision réaliste des relations internationales et pessimiste de la nature humaine</w:t>
            </w:r>
            <w:r>
              <w:rPr>
                <w:sz w:val="24"/>
                <w:szCs w:val="38"/>
              </w:rPr>
              <w:t> ;</w:t>
            </w:r>
            <w:r w:rsidRPr="006D1DC4">
              <w:rPr>
                <w:sz w:val="24"/>
                <w:szCs w:val="38"/>
              </w:rPr>
              <w:t xml:space="preserve"> Coopération limitée entre les États</w:t>
            </w:r>
            <w:r>
              <w:rPr>
                <w:sz w:val="24"/>
                <w:szCs w:val="38"/>
              </w:rPr>
              <w:t> ;</w:t>
            </w:r>
            <w:r w:rsidRPr="006D1DC4">
              <w:rPr>
                <w:sz w:val="24"/>
                <w:szCs w:val="38"/>
              </w:rPr>
              <w:t xml:space="preserve"> Système international anarchique nécessitant une puissance pour a</w:t>
            </w:r>
            <w:r w:rsidRPr="006D1DC4">
              <w:rPr>
                <w:sz w:val="24"/>
                <w:szCs w:val="38"/>
              </w:rPr>
              <w:t>s</w:t>
            </w:r>
            <w:r w:rsidRPr="006D1DC4">
              <w:rPr>
                <w:sz w:val="24"/>
                <w:szCs w:val="38"/>
              </w:rPr>
              <w:t>surer l'ordre</w:t>
            </w:r>
            <w:r>
              <w:rPr>
                <w:sz w:val="24"/>
                <w:szCs w:val="38"/>
              </w:rPr>
              <w:t> ;</w:t>
            </w:r>
            <w:r w:rsidRPr="006D1DC4">
              <w:rPr>
                <w:sz w:val="24"/>
                <w:szCs w:val="38"/>
              </w:rPr>
              <w:t xml:space="preserve"> Hégémon américain relativement bénin et meilleur que tout autre hégémon.</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AD83314" w14:textId="77777777" w:rsidR="0039793A" w:rsidRPr="006D1DC4" w:rsidRDefault="0039793A" w:rsidP="0039793A">
            <w:pPr>
              <w:spacing w:before="60" w:after="60"/>
              <w:ind w:left="50" w:right="50" w:firstLine="0"/>
              <w:rPr>
                <w:sz w:val="24"/>
              </w:rPr>
            </w:pPr>
            <w:r w:rsidRPr="006D1DC4">
              <w:rPr>
                <w:sz w:val="24"/>
                <w:szCs w:val="38"/>
              </w:rPr>
              <w:t>Kagan</w:t>
            </w:r>
          </w:p>
          <w:p w14:paraId="032C7C5B" w14:textId="77777777" w:rsidR="0039793A" w:rsidRPr="006D1DC4" w:rsidRDefault="0039793A" w:rsidP="0039793A">
            <w:pPr>
              <w:spacing w:before="60" w:after="60"/>
              <w:ind w:left="50" w:right="50" w:firstLine="0"/>
              <w:rPr>
                <w:sz w:val="24"/>
              </w:rPr>
            </w:pPr>
            <w:r w:rsidRPr="006D1DC4">
              <w:rPr>
                <w:sz w:val="24"/>
                <w:szCs w:val="38"/>
              </w:rPr>
              <w:t>Kristol</w:t>
            </w:r>
          </w:p>
          <w:p w14:paraId="5CAB6CB9" w14:textId="77777777" w:rsidR="0039793A" w:rsidRPr="006D1DC4" w:rsidRDefault="0039793A" w:rsidP="0039793A">
            <w:pPr>
              <w:spacing w:before="60" w:after="60"/>
              <w:ind w:left="50" w:right="50" w:firstLine="0"/>
              <w:rPr>
                <w:sz w:val="24"/>
              </w:rPr>
            </w:pPr>
            <w:r w:rsidRPr="006D1DC4">
              <w:rPr>
                <w:sz w:val="24"/>
                <w:szCs w:val="38"/>
              </w:rPr>
              <w:t>Krauthammer</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3776E1DB" w14:textId="77777777" w:rsidR="0039793A" w:rsidRPr="006D1DC4" w:rsidRDefault="0039793A" w:rsidP="0039793A">
            <w:pPr>
              <w:spacing w:before="60" w:after="60"/>
              <w:ind w:left="50" w:right="50" w:firstLine="0"/>
              <w:rPr>
                <w:sz w:val="24"/>
              </w:rPr>
            </w:pPr>
            <w:r w:rsidRPr="006D1DC4">
              <w:rPr>
                <w:sz w:val="24"/>
                <w:szCs w:val="38"/>
              </w:rPr>
              <w:t>Contrôle</w:t>
            </w:r>
          </w:p>
        </w:tc>
      </w:tr>
      <w:tr w:rsidR="0039793A" w:rsidRPr="006D1DC4" w14:paraId="7510C88F" w14:textId="77777777">
        <w:tblPrEx>
          <w:tblCellMar>
            <w:top w:w="0" w:type="dxa"/>
            <w:bottom w:w="0" w:type="dxa"/>
          </w:tblCellMar>
        </w:tblPrEx>
        <w:tc>
          <w:tcPr>
            <w:tcW w:w="1890" w:type="dxa"/>
            <w:vMerge w:val="restart"/>
            <w:tcBorders>
              <w:top w:val="single" w:sz="6" w:space="0" w:color="auto"/>
              <w:left w:val="single" w:sz="6" w:space="0" w:color="auto"/>
              <w:right w:val="single" w:sz="6" w:space="0" w:color="auto"/>
            </w:tcBorders>
            <w:shd w:val="clear" w:color="auto" w:fill="FFFFFF"/>
            <w:vAlign w:val="center"/>
          </w:tcPr>
          <w:p w14:paraId="71694425" w14:textId="77777777" w:rsidR="0039793A" w:rsidRPr="006D1DC4" w:rsidRDefault="0039793A" w:rsidP="0039793A">
            <w:pPr>
              <w:spacing w:before="60" w:after="60"/>
              <w:ind w:left="50" w:right="50" w:firstLine="0"/>
              <w:rPr>
                <w:sz w:val="24"/>
              </w:rPr>
            </w:pPr>
            <w:r w:rsidRPr="006D1DC4">
              <w:rPr>
                <w:sz w:val="24"/>
                <w:szCs w:val="38"/>
              </w:rPr>
              <w:t>Multilatéraliste</w:t>
            </w:r>
          </w:p>
        </w:tc>
        <w:tc>
          <w:tcPr>
            <w:tcW w:w="2340" w:type="dxa"/>
            <w:vMerge w:val="restart"/>
            <w:tcBorders>
              <w:top w:val="single" w:sz="6" w:space="0" w:color="auto"/>
              <w:left w:val="single" w:sz="6" w:space="0" w:color="auto"/>
              <w:right w:val="single" w:sz="6" w:space="0" w:color="auto"/>
            </w:tcBorders>
            <w:shd w:val="clear" w:color="auto" w:fill="FFFFFF"/>
            <w:vAlign w:val="center"/>
          </w:tcPr>
          <w:p w14:paraId="6E684629" w14:textId="77777777" w:rsidR="0039793A" w:rsidRPr="006D1DC4" w:rsidRDefault="0039793A" w:rsidP="0039793A">
            <w:pPr>
              <w:spacing w:before="60" w:after="60"/>
              <w:ind w:left="50" w:right="50" w:firstLine="0"/>
              <w:rPr>
                <w:sz w:val="24"/>
              </w:rPr>
            </w:pPr>
            <w:r w:rsidRPr="006D1DC4">
              <w:rPr>
                <w:sz w:val="24"/>
                <w:szCs w:val="38"/>
              </w:rPr>
              <w:t>Utilisation mesurée de la puissance amér</w:t>
            </w:r>
            <w:r w:rsidRPr="006D1DC4">
              <w:rPr>
                <w:sz w:val="24"/>
                <w:szCs w:val="38"/>
              </w:rPr>
              <w:t>i</w:t>
            </w:r>
            <w:r w:rsidRPr="006D1DC4">
              <w:rPr>
                <w:sz w:val="24"/>
                <w:szCs w:val="38"/>
              </w:rPr>
              <w:t>caine pour assurer le leadership américain du système intern</w:t>
            </w:r>
            <w:r w:rsidRPr="006D1DC4">
              <w:rPr>
                <w:sz w:val="24"/>
                <w:szCs w:val="38"/>
              </w:rPr>
              <w:t>a</w:t>
            </w:r>
            <w:r w:rsidRPr="006D1DC4">
              <w:rPr>
                <w:sz w:val="24"/>
                <w:szCs w:val="38"/>
              </w:rPr>
              <w:t>tional en le forgeant de concert avec d'a</w:t>
            </w:r>
            <w:r w:rsidRPr="006D1DC4">
              <w:rPr>
                <w:sz w:val="24"/>
                <w:szCs w:val="38"/>
              </w:rPr>
              <w:t>u</w:t>
            </w:r>
            <w:r w:rsidRPr="006D1DC4">
              <w:rPr>
                <w:sz w:val="24"/>
                <w:szCs w:val="38"/>
              </w:rPr>
              <w:t>tres alliés et partena</w:t>
            </w:r>
            <w:r w:rsidRPr="006D1DC4">
              <w:rPr>
                <w:sz w:val="24"/>
                <w:szCs w:val="38"/>
              </w:rPr>
              <w:t>i</w:t>
            </w:r>
            <w:r w:rsidRPr="006D1DC4">
              <w:rPr>
                <w:sz w:val="24"/>
                <w:szCs w:val="38"/>
              </w:rPr>
              <w:t>res.</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31588383" w14:textId="77777777" w:rsidR="0039793A" w:rsidRPr="006D1DC4" w:rsidRDefault="0039793A" w:rsidP="0039793A">
            <w:pPr>
              <w:spacing w:before="60" w:after="60"/>
              <w:ind w:left="50" w:right="50" w:firstLine="0"/>
              <w:rPr>
                <w:sz w:val="24"/>
              </w:rPr>
            </w:pPr>
            <w:r w:rsidRPr="006D1DC4">
              <w:rPr>
                <w:sz w:val="24"/>
                <w:szCs w:val="38"/>
              </w:rPr>
              <w:t>Institutionnaliste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2BBA12BB" w14:textId="77777777" w:rsidR="0039793A" w:rsidRPr="006D1DC4" w:rsidRDefault="0039793A" w:rsidP="0039793A">
            <w:pPr>
              <w:spacing w:before="60" w:after="60"/>
              <w:ind w:left="50" w:right="50" w:firstLine="0"/>
              <w:rPr>
                <w:sz w:val="24"/>
              </w:rPr>
            </w:pPr>
            <w:r w:rsidRPr="006D1DC4">
              <w:rPr>
                <w:sz w:val="24"/>
                <w:szCs w:val="38"/>
              </w:rPr>
              <w:t>Préservation de l'ordre international et de l'hégémonie libérale américaine</w:t>
            </w:r>
            <w:r>
              <w:rPr>
                <w:sz w:val="24"/>
                <w:szCs w:val="38"/>
              </w:rPr>
              <w:t> ;</w:t>
            </w:r>
            <w:r w:rsidRPr="006D1DC4">
              <w:rPr>
                <w:sz w:val="24"/>
                <w:szCs w:val="38"/>
              </w:rPr>
              <w:t xml:space="preserve"> Protection des intérêts nationaux américains qui doivent coïncider avec les i</w:t>
            </w:r>
            <w:r w:rsidRPr="006D1DC4">
              <w:rPr>
                <w:sz w:val="24"/>
                <w:szCs w:val="38"/>
              </w:rPr>
              <w:t>n</w:t>
            </w:r>
            <w:r w:rsidRPr="006D1DC4">
              <w:rPr>
                <w:sz w:val="24"/>
                <w:szCs w:val="38"/>
              </w:rPr>
              <w:t>térêts globaux</w:t>
            </w:r>
            <w:r>
              <w:rPr>
                <w:sz w:val="24"/>
                <w:szCs w:val="38"/>
              </w:rPr>
              <w:t> ;</w:t>
            </w:r>
            <w:r w:rsidRPr="006D1DC4">
              <w:rPr>
                <w:sz w:val="24"/>
                <w:szCs w:val="38"/>
              </w:rPr>
              <w:t xml:space="preserve"> Auto-restriction stratégique des États-Unis en utilisant les inst</w:t>
            </w:r>
            <w:r w:rsidRPr="006D1DC4">
              <w:rPr>
                <w:sz w:val="24"/>
                <w:szCs w:val="38"/>
              </w:rPr>
              <w:t>i</w:t>
            </w:r>
            <w:r w:rsidRPr="006D1DC4">
              <w:rPr>
                <w:sz w:val="24"/>
                <w:szCs w:val="38"/>
              </w:rPr>
              <w:t>tutions internationales dans lesquelles ils occupent une place prépondérante</w:t>
            </w:r>
            <w:r>
              <w:rPr>
                <w:sz w:val="24"/>
                <w:szCs w:val="38"/>
              </w:rPr>
              <w:t> ;</w:t>
            </w:r>
            <w:r w:rsidRPr="006D1DC4">
              <w:rPr>
                <w:sz w:val="24"/>
                <w:szCs w:val="38"/>
              </w:rPr>
              <w:t xml:space="preserve"> Agir de concert avec les autres acteurs du système international.</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1C6D571E" w14:textId="77777777" w:rsidR="0039793A" w:rsidRPr="006D1DC4" w:rsidRDefault="0039793A" w:rsidP="0039793A">
            <w:pPr>
              <w:spacing w:before="60" w:after="60"/>
              <w:ind w:left="50" w:right="50" w:firstLine="0"/>
              <w:rPr>
                <w:sz w:val="24"/>
              </w:rPr>
            </w:pPr>
            <w:r w:rsidRPr="006D1DC4">
              <w:rPr>
                <w:sz w:val="24"/>
                <w:szCs w:val="38"/>
              </w:rPr>
              <w:t>Ikenberry Nye</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29B3E2CE" w14:textId="77777777" w:rsidR="0039793A" w:rsidRPr="006D1DC4" w:rsidRDefault="0039793A" w:rsidP="0039793A">
            <w:pPr>
              <w:spacing w:before="60" w:after="60"/>
              <w:ind w:left="50" w:right="50" w:firstLine="0"/>
              <w:rPr>
                <w:sz w:val="24"/>
              </w:rPr>
            </w:pPr>
            <w:r w:rsidRPr="006D1DC4">
              <w:rPr>
                <w:sz w:val="24"/>
                <w:szCs w:val="38"/>
              </w:rPr>
              <w:t>Direction</w:t>
            </w:r>
          </w:p>
        </w:tc>
      </w:tr>
      <w:tr w:rsidR="0039793A" w:rsidRPr="006D1DC4" w14:paraId="0684E0C4" w14:textId="77777777">
        <w:tblPrEx>
          <w:tblCellMar>
            <w:top w:w="0" w:type="dxa"/>
            <w:bottom w:w="0" w:type="dxa"/>
          </w:tblCellMar>
        </w:tblPrEx>
        <w:tc>
          <w:tcPr>
            <w:tcW w:w="1890" w:type="dxa"/>
            <w:vMerge/>
            <w:tcBorders>
              <w:left w:val="single" w:sz="6" w:space="0" w:color="auto"/>
              <w:right w:val="single" w:sz="6" w:space="0" w:color="auto"/>
            </w:tcBorders>
            <w:shd w:val="clear" w:color="auto" w:fill="FFFFFF"/>
            <w:vAlign w:val="center"/>
          </w:tcPr>
          <w:p w14:paraId="1FEAF9FB" w14:textId="77777777" w:rsidR="0039793A" w:rsidRPr="006D1DC4" w:rsidRDefault="0039793A" w:rsidP="0039793A">
            <w:pPr>
              <w:spacing w:before="60" w:after="60"/>
              <w:ind w:left="50" w:right="50" w:firstLine="0"/>
              <w:rPr>
                <w:sz w:val="24"/>
              </w:rPr>
            </w:pPr>
          </w:p>
        </w:tc>
        <w:tc>
          <w:tcPr>
            <w:tcW w:w="2340" w:type="dxa"/>
            <w:vMerge/>
            <w:tcBorders>
              <w:left w:val="single" w:sz="6" w:space="0" w:color="auto"/>
              <w:right w:val="single" w:sz="6" w:space="0" w:color="auto"/>
            </w:tcBorders>
            <w:shd w:val="clear" w:color="auto" w:fill="FFFFFF"/>
            <w:vAlign w:val="center"/>
          </w:tcPr>
          <w:p w14:paraId="1484D88B" w14:textId="77777777" w:rsidR="0039793A" w:rsidRPr="006D1DC4" w:rsidRDefault="0039793A" w:rsidP="0039793A">
            <w:pPr>
              <w:spacing w:before="60" w:after="60"/>
              <w:ind w:left="50" w:right="50"/>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4774157A" w14:textId="77777777" w:rsidR="0039793A" w:rsidRPr="006D1DC4" w:rsidRDefault="0039793A" w:rsidP="0039793A">
            <w:pPr>
              <w:spacing w:before="60" w:after="60"/>
              <w:ind w:left="50" w:right="50" w:firstLine="0"/>
              <w:rPr>
                <w:sz w:val="24"/>
              </w:rPr>
            </w:pPr>
            <w:r w:rsidRPr="006D1DC4">
              <w:rPr>
                <w:sz w:val="24"/>
                <w:szCs w:val="38"/>
              </w:rPr>
              <w:t>Équilibriste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4B68C003" w14:textId="77777777" w:rsidR="0039793A" w:rsidRPr="006D1DC4" w:rsidRDefault="0039793A" w:rsidP="0039793A">
            <w:pPr>
              <w:spacing w:before="60" w:after="60"/>
              <w:ind w:left="50" w:right="50" w:firstLine="0"/>
              <w:rPr>
                <w:sz w:val="24"/>
              </w:rPr>
            </w:pPr>
            <w:r w:rsidRPr="006D1DC4">
              <w:rPr>
                <w:sz w:val="24"/>
                <w:szCs w:val="38"/>
              </w:rPr>
              <w:t>Maintien de l'ordre unipolaire et de la primauté américaine</w:t>
            </w:r>
            <w:r>
              <w:rPr>
                <w:sz w:val="24"/>
                <w:szCs w:val="38"/>
              </w:rPr>
              <w:t> ;</w:t>
            </w:r>
            <w:r w:rsidRPr="006D1DC4">
              <w:rPr>
                <w:sz w:val="24"/>
                <w:szCs w:val="38"/>
              </w:rPr>
              <w:t xml:space="preserve"> Soutien au mult</w:t>
            </w:r>
            <w:r w:rsidRPr="006D1DC4">
              <w:rPr>
                <w:sz w:val="24"/>
                <w:szCs w:val="38"/>
              </w:rPr>
              <w:t>i</w:t>
            </w:r>
            <w:r w:rsidRPr="006D1DC4">
              <w:rPr>
                <w:sz w:val="24"/>
                <w:szCs w:val="38"/>
              </w:rPr>
              <w:t>latéralisme, afin d'augmenter le pouvoir d'influence des États-Unis sur le sy</w:t>
            </w:r>
            <w:r w:rsidRPr="006D1DC4">
              <w:rPr>
                <w:sz w:val="24"/>
                <w:szCs w:val="38"/>
              </w:rPr>
              <w:t>s</w:t>
            </w:r>
            <w:r w:rsidRPr="006D1DC4">
              <w:rPr>
                <w:sz w:val="24"/>
                <w:szCs w:val="38"/>
              </w:rPr>
              <w:t>tème international</w:t>
            </w:r>
            <w:r>
              <w:rPr>
                <w:sz w:val="24"/>
                <w:szCs w:val="38"/>
              </w:rPr>
              <w:t> ;</w:t>
            </w:r>
            <w:r w:rsidRPr="006D1DC4">
              <w:rPr>
                <w:sz w:val="24"/>
                <w:szCs w:val="38"/>
              </w:rPr>
              <w:t xml:space="preserve"> Utilisation instrumentale des institutions internationales pour favoriser les intérêts américains</w:t>
            </w:r>
            <w:r>
              <w:rPr>
                <w:sz w:val="24"/>
                <w:szCs w:val="38"/>
              </w:rPr>
              <w:t> ;</w:t>
            </w:r>
            <w:r w:rsidRPr="006D1DC4">
              <w:rPr>
                <w:sz w:val="24"/>
                <w:szCs w:val="38"/>
              </w:rPr>
              <w:t xml:space="preserve"> Auto-restriction stratégique des États-Unis pour éviter la formation d'une coalition leur faisant contrepoids</w:t>
            </w:r>
            <w:r>
              <w:rPr>
                <w:sz w:val="24"/>
                <w:szCs w:val="38"/>
              </w:rPr>
              <w:t> ;</w:t>
            </w:r>
            <w:r w:rsidRPr="006D1DC4">
              <w:rPr>
                <w:sz w:val="24"/>
                <w:szCs w:val="38"/>
              </w:rPr>
              <w:t xml:space="preserve"> Utilis</w:t>
            </w:r>
            <w:r w:rsidRPr="006D1DC4">
              <w:rPr>
                <w:sz w:val="24"/>
                <w:szCs w:val="38"/>
              </w:rPr>
              <w:t>a</w:t>
            </w:r>
            <w:r w:rsidRPr="006D1DC4">
              <w:rPr>
                <w:sz w:val="24"/>
                <w:szCs w:val="38"/>
              </w:rPr>
              <w:t>tion minimale de la force armée (en dernier ressort).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C9B1300" w14:textId="77777777" w:rsidR="0039793A" w:rsidRPr="006D1DC4" w:rsidRDefault="0039793A" w:rsidP="0039793A">
            <w:pPr>
              <w:spacing w:before="60" w:after="60"/>
              <w:ind w:left="50" w:right="50" w:firstLine="0"/>
              <w:rPr>
                <w:sz w:val="24"/>
              </w:rPr>
            </w:pPr>
            <w:r w:rsidRPr="006D1DC4">
              <w:rPr>
                <w:sz w:val="24"/>
                <w:szCs w:val="38"/>
              </w:rPr>
              <w:t>Walt</w:t>
            </w:r>
          </w:p>
          <w:p w14:paraId="3434ADA9" w14:textId="77777777" w:rsidR="0039793A" w:rsidRPr="006D1DC4" w:rsidRDefault="0039793A" w:rsidP="0039793A">
            <w:pPr>
              <w:spacing w:before="60" w:after="60"/>
              <w:ind w:left="50" w:right="50" w:firstLine="0"/>
              <w:rPr>
                <w:sz w:val="24"/>
              </w:rPr>
            </w:pPr>
            <w:r w:rsidRPr="006D1DC4">
              <w:rPr>
                <w:sz w:val="24"/>
                <w:szCs w:val="38"/>
              </w:rPr>
              <w:t>Wolhforth</w:t>
            </w:r>
          </w:p>
          <w:p w14:paraId="63F6EAE2" w14:textId="77777777" w:rsidR="0039793A" w:rsidRPr="006D1DC4" w:rsidRDefault="0039793A" w:rsidP="0039793A">
            <w:pPr>
              <w:spacing w:before="60" w:after="60"/>
              <w:ind w:left="50" w:right="50" w:firstLine="0"/>
              <w:rPr>
                <w:sz w:val="24"/>
                <w:szCs w:val="38"/>
              </w:rPr>
            </w:pPr>
            <w:r w:rsidRPr="006D1DC4">
              <w:rPr>
                <w:sz w:val="24"/>
                <w:szCs w:val="38"/>
              </w:rPr>
              <w:t>Zakaria</w:t>
            </w:r>
          </w:p>
          <w:p w14:paraId="129DCCAD" w14:textId="77777777" w:rsidR="0039793A" w:rsidRPr="006D1DC4" w:rsidRDefault="0039793A" w:rsidP="0039793A">
            <w:pPr>
              <w:spacing w:before="60" w:after="60"/>
              <w:ind w:left="50" w:right="50" w:firstLine="0"/>
              <w:rPr>
                <w:sz w:val="24"/>
              </w:rPr>
            </w:pPr>
            <w:r w:rsidRPr="006D1DC4">
              <w:rPr>
                <w:sz w:val="24"/>
                <w:szCs w:val="38"/>
              </w:rPr>
              <w:t>Kupchan</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4AC1C3E4" w14:textId="77777777" w:rsidR="0039793A" w:rsidRPr="006D1DC4" w:rsidRDefault="0039793A" w:rsidP="0039793A">
            <w:pPr>
              <w:spacing w:before="60" w:after="60"/>
              <w:ind w:left="50" w:right="50" w:firstLine="0"/>
              <w:rPr>
                <w:sz w:val="24"/>
              </w:rPr>
            </w:pPr>
            <w:r w:rsidRPr="006D1DC4">
              <w:rPr>
                <w:sz w:val="24"/>
                <w:szCs w:val="38"/>
              </w:rPr>
              <w:t>Direction</w:t>
            </w:r>
          </w:p>
        </w:tc>
      </w:tr>
      <w:tr w:rsidR="0039793A" w:rsidRPr="006D1DC4" w14:paraId="7E4579CB" w14:textId="77777777">
        <w:tblPrEx>
          <w:tblCellMar>
            <w:top w:w="0" w:type="dxa"/>
            <w:bottom w:w="0" w:type="dxa"/>
          </w:tblCellMar>
        </w:tblPrEx>
        <w:tc>
          <w:tcPr>
            <w:tcW w:w="1890" w:type="dxa"/>
            <w:vMerge/>
            <w:tcBorders>
              <w:left w:val="single" w:sz="6" w:space="0" w:color="auto"/>
              <w:bottom w:val="single" w:sz="6" w:space="0" w:color="auto"/>
              <w:right w:val="single" w:sz="6" w:space="0" w:color="auto"/>
            </w:tcBorders>
            <w:shd w:val="clear" w:color="auto" w:fill="FFFFFF"/>
            <w:vAlign w:val="center"/>
          </w:tcPr>
          <w:p w14:paraId="32AF7800" w14:textId="77777777" w:rsidR="0039793A" w:rsidRPr="006D1DC4" w:rsidRDefault="0039793A" w:rsidP="0039793A">
            <w:pPr>
              <w:spacing w:before="60" w:after="60"/>
              <w:ind w:left="50" w:right="50" w:firstLine="0"/>
              <w:rPr>
                <w:sz w:val="24"/>
              </w:rPr>
            </w:pPr>
          </w:p>
        </w:tc>
        <w:tc>
          <w:tcPr>
            <w:tcW w:w="2340" w:type="dxa"/>
            <w:vMerge/>
            <w:tcBorders>
              <w:left w:val="single" w:sz="6" w:space="0" w:color="auto"/>
              <w:bottom w:val="single" w:sz="6" w:space="0" w:color="auto"/>
              <w:right w:val="single" w:sz="6" w:space="0" w:color="auto"/>
            </w:tcBorders>
            <w:shd w:val="clear" w:color="auto" w:fill="FFFFFF"/>
            <w:vAlign w:val="center"/>
          </w:tcPr>
          <w:p w14:paraId="109B65B4" w14:textId="77777777" w:rsidR="0039793A" w:rsidRPr="006D1DC4" w:rsidRDefault="0039793A" w:rsidP="0039793A">
            <w:pPr>
              <w:spacing w:before="60" w:after="60"/>
              <w:ind w:left="50" w:right="50" w:firstLine="0"/>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34996BBB" w14:textId="77777777" w:rsidR="0039793A" w:rsidRPr="006D1DC4" w:rsidRDefault="0039793A" w:rsidP="0039793A">
            <w:pPr>
              <w:spacing w:before="60" w:after="60"/>
              <w:ind w:left="50" w:right="50" w:firstLine="0"/>
              <w:rPr>
                <w:sz w:val="24"/>
              </w:rPr>
            </w:pPr>
            <w:r w:rsidRPr="006D1DC4">
              <w:rPr>
                <w:sz w:val="24"/>
                <w:szCs w:val="38"/>
              </w:rPr>
              <w:t>Idéaliste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7CC6A764" w14:textId="77777777" w:rsidR="0039793A" w:rsidRPr="006D1DC4" w:rsidRDefault="0039793A" w:rsidP="0039793A">
            <w:pPr>
              <w:spacing w:before="60" w:after="60"/>
              <w:ind w:left="50" w:right="50" w:firstLine="0"/>
              <w:rPr>
                <w:sz w:val="24"/>
              </w:rPr>
            </w:pPr>
            <w:r w:rsidRPr="006D1DC4">
              <w:rPr>
                <w:sz w:val="24"/>
                <w:szCs w:val="38"/>
              </w:rPr>
              <w:t>Fin de l'histoire</w:t>
            </w:r>
            <w:r>
              <w:rPr>
                <w:sz w:val="24"/>
                <w:szCs w:val="38"/>
              </w:rPr>
              <w:t> ;</w:t>
            </w:r>
            <w:r w:rsidRPr="006D1DC4">
              <w:rPr>
                <w:sz w:val="24"/>
                <w:szCs w:val="38"/>
              </w:rPr>
              <w:t xml:space="preserve"> Protection des droits humains par le droit international et un mode de gouvernance globale égalitaire</w:t>
            </w:r>
            <w:r>
              <w:rPr>
                <w:sz w:val="24"/>
                <w:szCs w:val="38"/>
              </w:rPr>
              <w:t> ;</w:t>
            </w:r>
            <w:r w:rsidRPr="006D1DC4">
              <w:rPr>
                <w:sz w:val="24"/>
                <w:szCs w:val="38"/>
              </w:rPr>
              <w:t xml:space="preserve"> Promotion de la libéralisation dém</w:t>
            </w:r>
            <w:r w:rsidRPr="006D1DC4">
              <w:rPr>
                <w:sz w:val="24"/>
                <w:szCs w:val="38"/>
              </w:rPr>
              <w:t>o</w:t>
            </w:r>
            <w:r w:rsidRPr="006D1DC4">
              <w:rPr>
                <w:sz w:val="24"/>
                <w:szCs w:val="38"/>
              </w:rPr>
              <w:t>cratique du monde pour pacifier le monde (les démocraties ne se battraient pas entre elles)</w:t>
            </w:r>
            <w:r>
              <w:rPr>
                <w:sz w:val="24"/>
                <w:szCs w:val="38"/>
              </w:rPr>
              <w:t> ;</w:t>
            </w:r>
            <w:r w:rsidRPr="006D1DC4">
              <w:rPr>
                <w:sz w:val="24"/>
                <w:szCs w:val="38"/>
              </w:rPr>
              <w:t xml:space="preserve"> Idéal kantien de la paix perpétuelle avec une fédération de dém</w:t>
            </w:r>
            <w:r w:rsidRPr="006D1DC4">
              <w:rPr>
                <w:sz w:val="24"/>
                <w:szCs w:val="38"/>
              </w:rPr>
              <w:t>o</w:t>
            </w:r>
            <w:r w:rsidRPr="006D1DC4">
              <w:rPr>
                <w:sz w:val="24"/>
                <w:szCs w:val="38"/>
              </w:rPr>
              <w:t>craties.</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C10ABF3" w14:textId="77777777" w:rsidR="0039793A" w:rsidRPr="006D1DC4" w:rsidRDefault="0039793A" w:rsidP="0039793A">
            <w:pPr>
              <w:spacing w:before="60" w:after="60"/>
              <w:ind w:left="50" w:right="50" w:firstLine="0"/>
              <w:rPr>
                <w:sz w:val="24"/>
              </w:rPr>
            </w:pPr>
            <w:r w:rsidRPr="006D1DC4">
              <w:rPr>
                <w:sz w:val="24"/>
                <w:szCs w:val="38"/>
              </w:rPr>
              <w:t>Falk</w:t>
            </w:r>
          </w:p>
          <w:p w14:paraId="56A17699" w14:textId="77777777" w:rsidR="0039793A" w:rsidRPr="006D1DC4" w:rsidRDefault="0039793A" w:rsidP="0039793A">
            <w:pPr>
              <w:spacing w:before="60" w:after="60"/>
              <w:ind w:left="50" w:right="50" w:firstLine="0"/>
              <w:rPr>
                <w:sz w:val="24"/>
              </w:rPr>
            </w:pPr>
            <w:r w:rsidRPr="006D1DC4">
              <w:rPr>
                <w:sz w:val="24"/>
                <w:szCs w:val="38"/>
              </w:rPr>
              <w:t>Fukuyama</w:t>
            </w:r>
          </w:p>
          <w:p w14:paraId="0B4FA606" w14:textId="77777777" w:rsidR="0039793A" w:rsidRPr="006D1DC4" w:rsidRDefault="0039793A" w:rsidP="0039793A">
            <w:pPr>
              <w:spacing w:before="60" w:after="60"/>
              <w:ind w:left="50" w:right="50" w:firstLine="0"/>
              <w:rPr>
                <w:sz w:val="24"/>
              </w:rPr>
            </w:pPr>
            <w:r w:rsidRPr="006D1DC4">
              <w:rPr>
                <w:sz w:val="24"/>
                <w:szCs w:val="38"/>
              </w:rPr>
              <w:t>Mandelbaum</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09A0F0E0" w14:textId="77777777" w:rsidR="0039793A" w:rsidRPr="006D1DC4" w:rsidRDefault="0039793A" w:rsidP="0039793A">
            <w:pPr>
              <w:spacing w:before="60" w:after="60"/>
              <w:ind w:left="50" w:right="50" w:firstLine="0"/>
              <w:rPr>
                <w:sz w:val="24"/>
              </w:rPr>
            </w:pPr>
            <w:r w:rsidRPr="006D1DC4">
              <w:rPr>
                <w:sz w:val="24"/>
                <w:szCs w:val="38"/>
              </w:rPr>
              <w:t>Direction</w:t>
            </w:r>
          </w:p>
        </w:tc>
      </w:tr>
      <w:tr w:rsidR="0039793A" w:rsidRPr="006D1DC4" w14:paraId="206F8AD3" w14:textId="77777777">
        <w:tblPrEx>
          <w:tblCellMar>
            <w:top w:w="0" w:type="dxa"/>
            <w:bottom w:w="0" w:type="dxa"/>
          </w:tblCellMar>
        </w:tblPrEx>
        <w:tc>
          <w:tcPr>
            <w:tcW w:w="17280" w:type="dxa"/>
            <w:gridSpan w:val="6"/>
            <w:tcBorders>
              <w:left w:val="single" w:sz="6" w:space="0" w:color="auto"/>
              <w:bottom w:val="single" w:sz="6" w:space="0" w:color="auto"/>
              <w:right w:val="single" w:sz="6" w:space="0" w:color="auto"/>
            </w:tcBorders>
            <w:shd w:val="clear" w:color="auto" w:fill="FFFFFF"/>
            <w:vAlign w:val="center"/>
          </w:tcPr>
          <w:p w14:paraId="4A5E5855" w14:textId="77777777" w:rsidR="0039793A" w:rsidRPr="006D1DC4" w:rsidRDefault="0039793A" w:rsidP="0039793A">
            <w:pPr>
              <w:spacing w:before="60" w:after="60"/>
              <w:ind w:left="50" w:right="50" w:firstLine="0"/>
              <w:rPr>
                <w:sz w:val="24"/>
                <w:szCs w:val="38"/>
              </w:rPr>
            </w:pPr>
            <w:r>
              <w:t>[105]</w:t>
            </w:r>
          </w:p>
        </w:tc>
      </w:tr>
      <w:tr w:rsidR="0039793A" w:rsidRPr="00954D26" w14:paraId="0B9361DF" w14:textId="77777777">
        <w:tblPrEx>
          <w:tblCellMar>
            <w:top w:w="0" w:type="dxa"/>
            <w:bottom w:w="0" w:type="dxa"/>
          </w:tblCellMar>
        </w:tblPrEx>
        <w:tc>
          <w:tcPr>
            <w:tcW w:w="1890" w:type="dxa"/>
            <w:vMerge w:val="restart"/>
            <w:tcBorders>
              <w:top w:val="single" w:sz="6" w:space="0" w:color="auto"/>
              <w:left w:val="single" w:sz="6" w:space="0" w:color="auto"/>
              <w:right w:val="single" w:sz="6" w:space="0" w:color="auto"/>
            </w:tcBorders>
            <w:shd w:val="clear" w:color="auto" w:fill="FFFFFF"/>
            <w:vAlign w:val="center"/>
          </w:tcPr>
          <w:p w14:paraId="722D813D" w14:textId="77777777" w:rsidR="0039793A" w:rsidRPr="006D1DC4" w:rsidRDefault="0039793A" w:rsidP="0039793A">
            <w:pPr>
              <w:spacing w:before="60" w:after="60"/>
              <w:ind w:left="50" w:right="50" w:firstLine="0"/>
              <w:rPr>
                <w:sz w:val="24"/>
              </w:rPr>
            </w:pPr>
            <w:r w:rsidRPr="006D1DC4">
              <w:rPr>
                <w:sz w:val="24"/>
              </w:rPr>
              <w:t>Minimaliste</w:t>
            </w:r>
          </w:p>
        </w:tc>
        <w:tc>
          <w:tcPr>
            <w:tcW w:w="2340" w:type="dxa"/>
            <w:vMerge w:val="restart"/>
            <w:tcBorders>
              <w:top w:val="nil"/>
              <w:left w:val="single" w:sz="6" w:space="0" w:color="auto"/>
              <w:right w:val="single" w:sz="6" w:space="0" w:color="auto"/>
            </w:tcBorders>
            <w:shd w:val="clear" w:color="auto" w:fill="FFFFFF"/>
            <w:vAlign w:val="center"/>
          </w:tcPr>
          <w:p w14:paraId="56C3F107" w14:textId="77777777" w:rsidR="0039793A" w:rsidRPr="006D1DC4" w:rsidRDefault="0039793A" w:rsidP="0039793A">
            <w:pPr>
              <w:spacing w:before="60" w:after="60"/>
              <w:ind w:left="50" w:right="50" w:firstLine="0"/>
              <w:rPr>
                <w:sz w:val="24"/>
              </w:rPr>
            </w:pPr>
            <w:r w:rsidRPr="006D1DC4">
              <w:rPr>
                <w:sz w:val="24"/>
                <w:szCs w:val="38"/>
              </w:rPr>
              <w:t>Repli stratégique des États-Unis et abandon d'un rôle actif sur la scène internationale, afin de s'en remettre aux équilibres nat</w:t>
            </w:r>
            <w:r w:rsidRPr="006D1DC4">
              <w:rPr>
                <w:sz w:val="24"/>
                <w:szCs w:val="38"/>
              </w:rPr>
              <w:t>u</w:t>
            </w:r>
            <w:r w:rsidRPr="006D1DC4">
              <w:rPr>
                <w:sz w:val="24"/>
                <w:szCs w:val="38"/>
              </w:rPr>
              <w:t>rels pour maintenir la paix.</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36027ABA" w14:textId="77777777" w:rsidR="0039793A" w:rsidRPr="006D1DC4" w:rsidRDefault="0039793A" w:rsidP="0039793A">
            <w:pPr>
              <w:spacing w:before="60" w:after="60"/>
              <w:ind w:left="50" w:right="50" w:firstLine="0"/>
              <w:rPr>
                <w:sz w:val="24"/>
              </w:rPr>
            </w:pPr>
            <w:r w:rsidRPr="006D1DC4">
              <w:rPr>
                <w:sz w:val="24"/>
                <w:szCs w:val="38"/>
              </w:rPr>
              <w:t>Souverainiste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182AFB9A" w14:textId="77777777" w:rsidR="0039793A" w:rsidRPr="006D1DC4" w:rsidRDefault="0039793A" w:rsidP="0039793A">
            <w:pPr>
              <w:spacing w:before="60" w:after="60"/>
              <w:ind w:left="50" w:right="50" w:firstLine="0"/>
              <w:rPr>
                <w:sz w:val="24"/>
              </w:rPr>
            </w:pPr>
            <w:r w:rsidRPr="006D1DC4">
              <w:rPr>
                <w:sz w:val="24"/>
              </w:rPr>
              <w:br w:type="column"/>
            </w:r>
            <w:r w:rsidRPr="006D1DC4">
              <w:rPr>
                <w:sz w:val="24"/>
                <w:szCs w:val="38"/>
              </w:rPr>
              <w:t>Protection de la souveraineté des États-Unis</w:t>
            </w:r>
            <w:r>
              <w:rPr>
                <w:sz w:val="24"/>
                <w:szCs w:val="38"/>
              </w:rPr>
              <w:t> ;</w:t>
            </w:r>
            <w:r w:rsidRPr="006D1DC4">
              <w:rPr>
                <w:sz w:val="24"/>
                <w:szCs w:val="38"/>
              </w:rPr>
              <w:t xml:space="preserve"> Primat de la Constitution sur tout traité international</w:t>
            </w:r>
            <w:r>
              <w:rPr>
                <w:sz w:val="24"/>
                <w:szCs w:val="38"/>
              </w:rPr>
              <w:t> ;</w:t>
            </w:r>
            <w:r w:rsidRPr="006D1DC4">
              <w:rPr>
                <w:sz w:val="24"/>
                <w:szCs w:val="38"/>
              </w:rPr>
              <w:t xml:space="preserve"> Désengagement sur le plan international et repli sur le rôle plus restreint et sûr de « réserve stratégique » de l'Ouest. La guerre froide te</w:t>
            </w:r>
            <w:r w:rsidRPr="006D1DC4">
              <w:rPr>
                <w:sz w:val="24"/>
                <w:szCs w:val="38"/>
              </w:rPr>
              <w:t>r</w:t>
            </w:r>
            <w:r w:rsidRPr="006D1DC4">
              <w:rPr>
                <w:sz w:val="24"/>
                <w:szCs w:val="38"/>
              </w:rPr>
              <w:t>minée, un retour à l'isolationnisme est possible, car ce n'est plus nécessaire de protéger les États-Unis à partir de l'étranger (</w:t>
            </w:r>
            <w:r w:rsidRPr="006D1DC4">
              <w:rPr>
                <w:i/>
                <w:sz w:val="24"/>
                <w:szCs w:val="38"/>
              </w:rPr>
              <w:t>from abroad</w:t>
            </w:r>
            <w:r w:rsidRPr="006D1DC4">
              <w:rPr>
                <w:sz w:val="24"/>
                <w:szCs w:val="38"/>
              </w:rPr>
              <w:t>) : il faut plutôt ass</w:t>
            </w:r>
            <w:r w:rsidRPr="006D1DC4">
              <w:rPr>
                <w:sz w:val="24"/>
                <w:szCs w:val="38"/>
              </w:rPr>
              <w:t>u</w:t>
            </w:r>
            <w:r w:rsidRPr="006D1DC4">
              <w:rPr>
                <w:sz w:val="24"/>
                <w:szCs w:val="38"/>
              </w:rPr>
              <w:t>rer la défense de la Forteresse Amérique, retirer les États-Unis des traités et pactes de sécurité et défense collectives ce ramener les troupes américaines installées à l'étranger.</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4403081B" w14:textId="77777777" w:rsidR="0039793A" w:rsidRPr="006D1DC4" w:rsidRDefault="0039793A" w:rsidP="0039793A">
            <w:pPr>
              <w:spacing w:before="60" w:after="60"/>
              <w:ind w:left="50" w:right="50" w:firstLine="0"/>
              <w:rPr>
                <w:sz w:val="24"/>
              </w:rPr>
            </w:pPr>
            <w:r w:rsidRPr="006D1DC4">
              <w:rPr>
                <w:sz w:val="24"/>
                <w:szCs w:val="40"/>
              </w:rPr>
              <w:t>Rabkin</w:t>
            </w:r>
            <w:r w:rsidRPr="006D1DC4">
              <w:rPr>
                <w:sz w:val="24"/>
                <w:szCs w:val="40"/>
              </w:rPr>
              <w:br/>
            </w:r>
            <w:r w:rsidRPr="006D1DC4">
              <w:rPr>
                <w:sz w:val="24"/>
                <w:szCs w:val="38"/>
              </w:rPr>
              <w:t>Nordlinger</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435AC063" w14:textId="77777777" w:rsidR="0039793A" w:rsidRPr="006D1DC4" w:rsidRDefault="0039793A" w:rsidP="0039793A">
            <w:pPr>
              <w:spacing w:before="60" w:after="60"/>
              <w:ind w:left="50" w:right="50" w:firstLine="0"/>
              <w:rPr>
                <w:sz w:val="24"/>
              </w:rPr>
            </w:pPr>
            <w:r w:rsidRPr="006D1DC4">
              <w:rPr>
                <w:sz w:val="24"/>
              </w:rPr>
              <w:t>Abstention</w:t>
            </w:r>
          </w:p>
        </w:tc>
      </w:tr>
      <w:tr w:rsidR="0039793A" w:rsidRPr="00954D26" w14:paraId="2825479C" w14:textId="77777777">
        <w:tblPrEx>
          <w:tblCellMar>
            <w:top w:w="0" w:type="dxa"/>
            <w:bottom w:w="0" w:type="dxa"/>
          </w:tblCellMar>
        </w:tblPrEx>
        <w:tc>
          <w:tcPr>
            <w:tcW w:w="1890" w:type="dxa"/>
            <w:vMerge/>
            <w:tcBorders>
              <w:left w:val="single" w:sz="6" w:space="0" w:color="auto"/>
              <w:right w:val="single" w:sz="6" w:space="0" w:color="auto"/>
            </w:tcBorders>
            <w:shd w:val="clear" w:color="auto" w:fill="FFFFFF"/>
            <w:vAlign w:val="center"/>
          </w:tcPr>
          <w:p w14:paraId="301E5B90" w14:textId="77777777" w:rsidR="0039793A" w:rsidRPr="006D1DC4" w:rsidRDefault="0039793A" w:rsidP="0039793A">
            <w:pPr>
              <w:spacing w:before="60" w:after="60"/>
              <w:ind w:left="50" w:right="50" w:firstLine="0"/>
              <w:rPr>
                <w:sz w:val="24"/>
              </w:rPr>
            </w:pPr>
          </w:p>
        </w:tc>
        <w:tc>
          <w:tcPr>
            <w:tcW w:w="2340" w:type="dxa"/>
            <w:vMerge/>
            <w:tcBorders>
              <w:left w:val="single" w:sz="6" w:space="0" w:color="auto"/>
              <w:right w:val="single" w:sz="6" w:space="0" w:color="auto"/>
            </w:tcBorders>
            <w:shd w:val="clear" w:color="auto" w:fill="FFFFFF"/>
            <w:vAlign w:val="center"/>
          </w:tcPr>
          <w:p w14:paraId="17AB7BF5" w14:textId="77777777" w:rsidR="0039793A" w:rsidRPr="006D1DC4" w:rsidRDefault="0039793A" w:rsidP="0039793A">
            <w:pPr>
              <w:spacing w:before="60" w:after="60"/>
              <w:ind w:left="50" w:right="50" w:firstLine="0"/>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28BF14E9" w14:textId="77777777" w:rsidR="0039793A" w:rsidRPr="006D1DC4" w:rsidRDefault="0039793A" w:rsidP="0039793A">
            <w:pPr>
              <w:spacing w:before="60" w:after="60"/>
              <w:ind w:left="50" w:right="50" w:firstLine="0"/>
              <w:rPr>
                <w:sz w:val="24"/>
              </w:rPr>
            </w:pPr>
            <w:r w:rsidRPr="006D1DC4">
              <w:rPr>
                <w:sz w:val="24"/>
              </w:rPr>
              <w:t>Mondialiste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4591FD3F" w14:textId="77777777" w:rsidR="0039793A" w:rsidRPr="006D1DC4" w:rsidRDefault="0039793A" w:rsidP="0039793A">
            <w:pPr>
              <w:spacing w:before="60" w:after="60"/>
              <w:ind w:left="50" w:right="50" w:firstLine="0"/>
              <w:rPr>
                <w:sz w:val="24"/>
              </w:rPr>
            </w:pPr>
            <w:r w:rsidRPr="006D1DC4">
              <w:rPr>
                <w:sz w:val="24"/>
              </w:rPr>
              <w:br w:type="column"/>
            </w:r>
            <w:r w:rsidRPr="006D1DC4">
              <w:rPr>
                <w:sz w:val="24"/>
                <w:szCs w:val="38"/>
              </w:rPr>
              <w:t>Néolibéralisme économique (libéralisation économique)</w:t>
            </w:r>
            <w:r>
              <w:rPr>
                <w:sz w:val="24"/>
                <w:szCs w:val="38"/>
              </w:rPr>
              <w:t> ;</w:t>
            </w:r>
            <w:r w:rsidRPr="006D1DC4">
              <w:rPr>
                <w:sz w:val="24"/>
                <w:szCs w:val="38"/>
              </w:rPr>
              <w:t xml:space="preserve"> L'économique su</w:t>
            </w:r>
            <w:r w:rsidRPr="006D1DC4">
              <w:rPr>
                <w:sz w:val="24"/>
                <w:szCs w:val="38"/>
              </w:rPr>
              <w:t>p</w:t>
            </w:r>
            <w:r w:rsidRPr="006D1DC4">
              <w:rPr>
                <w:sz w:val="24"/>
                <w:szCs w:val="38"/>
              </w:rPr>
              <w:t>plante le politique (promotion du libre marché et de l'ouverture des frontières économiques et affaiblissement de la souveraineté des États)</w:t>
            </w:r>
            <w:r>
              <w:rPr>
                <w:sz w:val="24"/>
                <w:szCs w:val="38"/>
              </w:rPr>
              <w:t> ;</w:t>
            </w:r>
            <w:r w:rsidRPr="006D1DC4">
              <w:rPr>
                <w:sz w:val="24"/>
                <w:szCs w:val="38"/>
              </w:rPr>
              <w:t xml:space="preserve"> Paix par le commerce</w:t>
            </w:r>
            <w:r>
              <w:rPr>
                <w:sz w:val="24"/>
                <w:szCs w:val="38"/>
              </w:rPr>
              <w:t> ;</w:t>
            </w:r>
            <w:r w:rsidRPr="006D1DC4">
              <w:rPr>
                <w:sz w:val="24"/>
                <w:szCs w:val="38"/>
              </w:rPr>
              <w:t xml:space="preserve"> Système international basé sur l'interdépendance économique des États</w:t>
            </w:r>
            <w:r>
              <w:rPr>
                <w:sz w:val="24"/>
                <w:szCs w:val="38"/>
              </w:rPr>
              <w:t> ;</w:t>
            </w:r>
            <w:r w:rsidRPr="006D1DC4">
              <w:rPr>
                <w:sz w:val="24"/>
                <w:szCs w:val="38"/>
              </w:rPr>
              <w:t xml:space="preserve"> Plus de guerres majeures sanglantes entre les grandes puissances</w:t>
            </w:r>
            <w:r>
              <w:rPr>
                <w:sz w:val="24"/>
                <w:szCs w:val="38"/>
              </w:rPr>
              <w:t> ;</w:t>
            </w:r>
            <w:r w:rsidRPr="006D1DC4">
              <w:rPr>
                <w:sz w:val="24"/>
                <w:szCs w:val="38"/>
              </w:rPr>
              <w:t xml:space="preserve"> V</w:t>
            </w:r>
            <w:r w:rsidRPr="006D1DC4">
              <w:rPr>
                <w:sz w:val="24"/>
                <w:szCs w:val="38"/>
              </w:rPr>
              <w:t>i</w:t>
            </w:r>
            <w:r w:rsidRPr="006D1DC4">
              <w:rPr>
                <w:sz w:val="24"/>
                <w:szCs w:val="38"/>
              </w:rPr>
              <w:t>sion optimiste de la mondialisation comme source productrice de richesses pour tous</w:t>
            </w:r>
            <w:r>
              <w:rPr>
                <w:sz w:val="24"/>
                <w:szCs w:val="38"/>
              </w:rPr>
              <w:t> ;</w:t>
            </w:r>
            <w:r w:rsidRPr="006D1DC4">
              <w:rPr>
                <w:sz w:val="24"/>
                <w:szCs w:val="38"/>
              </w:rPr>
              <w:t xml:space="preserve"> Montée des acteurs transnationaux (organisations non gouvern</w:t>
            </w:r>
            <w:r w:rsidRPr="006D1DC4">
              <w:rPr>
                <w:sz w:val="24"/>
                <w:szCs w:val="38"/>
              </w:rPr>
              <w:t>e</w:t>
            </w:r>
            <w:r w:rsidRPr="006D1DC4">
              <w:rPr>
                <w:sz w:val="24"/>
                <w:szCs w:val="38"/>
              </w:rPr>
              <w:t>mentales, firmes multinationales)</w:t>
            </w:r>
            <w:r>
              <w:rPr>
                <w:sz w:val="24"/>
                <w:szCs w:val="38"/>
              </w:rPr>
              <w:t> ;</w:t>
            </w:r>
            <w:r w:rsidRPr="006D1DC4">
              <w:rPr>
                <w:sz w:val="24"/>
                <w:szCs w:val="38"/>
              </w:rPr>
              <w:t xml:space="preserve"> Maintien des armées pour contrer la crim</w:t>
            </w:r>
            <w:r w:rsidRPr="006D1DC4">
              <w:rPr>
                <w:sz w:val="24"/>
                <w:szCs w:val="38"/>
              </w:rPr>
              <w:t>i</w:t>
            </w:r>
            <w:r w:rsidRPr="006D1DC4">
              <w:rPr>
                <w:sz w:val="24"/>
                <w:szCs w:val="38"/>
              </w:rPr>
              <w:t>nalité et le terrorisme transnationaux</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CAD221F" w14:textId="77777777" w:rsidR="0039793A" w:rsidRPr="006D1DC4" w:rsidRDefault="0039793A" w:rsidP="0039793A">
            <w:pPr>
              <w:spacing w:before="60" w:after="60"/>
              <w:ind w:left="50" w:right="50" w:firstLine="0"/>
              <w:rPr>
                <w:sz w:val="24"/>
              </w:rPr>
            </w:pPr>
            <w:r w:rsidRPr="006D1DC4">
              <w:rPr>
                <w:sz w:val="24"/>
              </w:rPr>
              <w:t>Friedman</w:t>
            </w:r>
            <w:r w:rsidRPr="006D1DC4">
              <w:rPr>
                <w:sz w:val="24"/>
              </w:rPr>
              <w:br/>
              <w:t>Bergsten</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6902B6A2" w14:textId="77777777" w:rsidR="0039793A" w:rsidRPr="006D1DC4" w:rsidRDefault="0039793A" w:rsidP="0039793A">
            <w:pPr>
              <w:spacing w:before="60" w:after="60"/>
              <w:ind w:left="50" w:right="50" w:firstLine="0"/>
              <w:rPr>
                <w:sz w:val="24"/>
              </w:rPr>
            </w:pPr>
            <w:r w:rsidRPr="006D1DC4">
              <w:rPr>
                <w:sz w:val="24"/>
              </w:rPr>
              <w:t>Abstention</w:t>
            </w:r>
          </w:p>
        </w:tc>
      </w:tr>
      <w:tr w:rsidR="0039793A" w:rsidRPr="00954D26" w14:paraId="392052C7" w14:textId="77777777">
        <w:tblPrEx>
          <w:tblCellMar>
            <w:top w:w="0" w:type="dxa"/>
            <w:bottom w:w="0" w:type="dxa"/>
          </w:tblCellMar>
        </w:tblPrEx>
        <w:tc>
          <w:tcPr>
            <w:tcW w:w="1890" w:type="dxa"/>
            <w:vMerge/>
            <w:tcBorders>
              <w:left w:val="single" w:sz="6" w:space="0" w:color="auto"/>
              <w:bottom w:val="single" w:sz="6" w:space="0" w:color="auto"/>
              <w:right w:val="single" w:sz="6" w:space="0" w:color="auto"/>
            </w:tcBorders>
            <w:shd w:val="clear" w:color="auto" w:fill="FFFFFF"/>
            <w:vAlign w:val="center"/>
          </w:tcPr>
          <w:p w14:paraId="3938EE95" w14:textId="77777777" w:rsidR="0039793A" w:rsidRPr="006D1DC4" w:rsidRDefault="0039793A" w:rsidP="0039793A">
            <w:pPr>
              <w:spacing w:before="60" w:after="60"/>
              <w:ind w:left="50" w:right="50" w:firstLine="0"/>
              <w:rPr>
                <w:sz w:val="24"/>
              </w:rPr>
            </w:pPr>
          </w:p>
        </w:tc>
        <w:tc>
          <w:tcPr>
            <w:tcW w:w="2340" w:type="dxa"/>
            <w:vMerge/>
            <w:tcBorders>
              <w:left w:val="single" w:sz="6" w:space="0" w:color="auto"/>
              <w:bottom w:val="single" w:sz="6" w:space="0" w:color="auto"/>
              <w:right w:val="single" w:sz="6" w:space="0" w:color="auto"/>
            </w:tcBorders>
            <w:shd w:val="clear" w:color="auto" w:fill="FFFFFF"/>
            <w:vAlign w:val="center"/>
          </w:tcPr>
          <w:p w14:paraId="5825ABD6" w14:textId="77777777" w:rsidR="0039793A" w:rsidRPr="006D1DC4" w:rsidRDefault="0039793A" w:rsidP="0039793A">
            <w:pPr>
              <w:spacing w:before="60" w:after="60"/>
              <w:ind w:left="50" w:right="50" w:firstLine="0"/>
              <w:rPr>
                <w:sz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14:paraId="383E0530" w14:textId="77777777" w:rsidR="0039793A" w:rsidRPr="006D1DC4" w:rsidRDefault="0039793A" w:rsidP="0039793A">
            <w:pPr>
              <w:spacing w:before="60" w:after="60"/>
              <w:ind w:left="50" w:right="50" w:firstLine="0"/>
              <w:rPr>
                <w:sz w:val="24"/>
              </w:rPr>
            </w:pPr>
            <w:r w:rsidRPr="006D1DC4">
              <w:rPr>
                <w:sz w:val="24"/>
              </w:rPr>
              <w:t>Isolationniste</w:t>
            </w:r>
            <w:r w:rsidRPr="006D1DC4">
              <w:rPr>
                <w:sz w:val="24"/>
              </w:rPr>
              <w:br/>
              <w:t>antimondialiste</w:t>
            </w:r>
          </w:p>
        </w:tc>
        <w:tc>
          <w:tcPr>
            <w:tcW w:w="7830" w:type="dxa"/>
            <w:tcBorders>
              <w:top w:val="single" w:sz="6" w:space="0" w:color="auto"/>
              <w:left w:val="single" w:sz="6" w:space="0" w:color="auto"/>
              <w:bottom w:val="single" w:sz="6" w:space="0" w:color="auto"/>
              <w:right w:val="single" w:sz="6" w:space="0" w:color="auto"/>
            </w:tcBorders>
            <w:shd w:val="clear" w:color="auto" w:fill="FFFFFF"/>
          </w:tcPr>
          <w:p w14:paraId="3E59D11D" w14:textId="77777777" w:rsidR="0039793A" w:rsidRPr="006D1DC4" w:rsidRDefault="0039793A" w:rsidP="0039793A">
            <w:pPr>
              <w:spacing w:before="60" w:after="60"/>
              <w:ind w:left="50" w:right="50" w:firstLine="0"/>
              <w:rPr>
                <w:sz w:val="24"/>
              </w:rPr>
            </w:pPr>
            <w:r w:rsidRPr="006D1DC4">
              <w:rPr>
                <w:sz w:val="24"/>
                <w:szCs w:val="38"/>
              </w:rPr>
              <w:t>Opposé à la volonté interventionniste des États-Unis dans les affaires intern</w:t>
            </w:r>
            <w:r w:rsidRPr="006D1DC4">
              <w:rPr>
                <w:sz w:val="24"/>
                <w:szCs w:val="38"/>
              </w:rPr>
              <w:t>a</w:t>
            </w:r>
            <w:r w:rsidRPr="006D1DC4">
              <w:rPr>
                <w:sz w:val="24"/>
                <w:szCs w:val="38"/>
              </w:rPr>
              <w:t>tionales</w:t>
            </w:r>
            <w:r>
              <w:rPr>
                <w:sz w:val="24"/>
                <w:szCs w:val="38"/>
              </w:rPr>
              <w:t> ;</w:t>
            </w:r>
            <w:r w:rsidRPr="006D1DC4">
              <w:rPr>
                <w:sz w:val="24"/>
                <w:szCs w:val="38"/>
              </w:rPr>
              <w:t xml:space="preserve"> ne croit pas aux bonnes intentions de la superpuissance américaine</w:t>
            </w:r>
            <w:r>
              <w:rPr>
                <w:sz w:val="24"/>
                <w:szCs w:val="38"/>
              </w:rPr>
              <w:t> ;</w:t>
            </w:r>
            <w:r w:rsidRPr="006D1DC4">
              <w:rPr>
                <w:sz w:val="24"/>
                <w:szCs w:val="38"/>
              </w:rPr>
              <w:t xml:space="preserve"> Discours des élites perçu comme fortement idéologique, et servant à promo</w:t>
            </w:r>
            <w:r w:rsidRPr="006D1DC4">
              <w:rPr>
                <w:sz w:val="24"/>
                <w:szCs w:val="38"/>
              </w:rPr>
              <w:t>u</w:t>
            </w:r>
            <w:r w:rsidRPr="006D1DC4">
              <w:rPr>
                <w:sz w:val="24"/>
                <w:szCs w:val="38"/>
              </w:rPr>
              <w:t>voir la vision libérale du monde</w:t>
            </w:r>
            <w:r>
              <w:rPr>
                <w:sz w:val="24"/>
                <w:szCs w:val="38"/>
              </w:rPr>
              <w:t> ;</w:t>
            </w:r>
            <w:r w:rsidRPr="006D1DC4">
              <w:rPr>
                <w:sz w:val="24"/>
                <w:szCs w:val="38"/>
              </w:rPr>
              <w:t xml:space="preserve"> Mondialisation perçue comme une dynam</w:t>
            </w:r>
            <w:r w:rsidRPr="006D1DC4">
              <w:rPr>
                <w:sz w:val="24"/>
                <w:szCs w:val="38"/>
              </w:rPr>
              <w:t>i</w:t>
            </w:r>
            <w:r w:rsidRPr="006D1DC4">
              <w:rPr>
                <w:sz w:val="24"/>
                <w:szCs w:val="38"/>
              </w:rPr>
              <w:t>que profitable imposée par les élites des États, des organisations internationales et des entreprises, et non comme une amélioration des conditions de vie des travailleurs et des citoyens du monde</w:t>
            </w:r>
            <w:r>
              <w:rPr>
                <w:sz w:val="24"/>
                <w:szCs w:val="38"/>
              </w:rPr>
              <w:t> ;</w:t>
            </w:r>
            <w:r w:rsidRPr="006D1DC4">
              <w:rPr>
                <w:sz w:val="24"/>
                <w:szCs w:val="38"/>
              </w:rPr>
              <w:t xml:space="preserve"> Dénonciation de l'impérialisme des États-Unis, inexorablement associé aux projets liés a la mondialisation en ra</w:t>
            </w:r>
            <w:r w:rsidRPr="006D1DC4">
              <w:rPr>
                <w:sz w:val="24"/>
                <w:szCs w:val="38"/>
              </w:rPr>
              <w:t>i</w:t>
            </w:r>
            <w:r w:rsidRPr="006D1DC4">
              <w:rPr>
                <w:sz w:val="24"/>
                <w:szCs w:val="38"/>
              </w:rPr>
              <w:t>son de leur puissance.</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16B814BD" w14:textId="77777777" w:rsidR="0039793A" w:rsidRPr="006D1DC4" w:rsidRDefault="0039793A" w:rsidP="0039793A">
            <w:pPr>
              <w:spacing w:before="60" w:after="60"/>
              <w:ind w:left="50" w:right="50" w:firstLine="0"/>
              <w:rPr>
                <w:sz w:val="24"/>
              </w:rPr>
            </w:pPr>
            <w:r w:rsidRPr="006D1DC4">
              <w:rPr>
                <w:sz w:val="24"/>
              </w:rPr>
              <w:t>Chomsky</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2F0049EA" w14:textId="77777777" w:rsidR="0039793A" w:rsidRPr="006D1DC4" w:rsidRDefault="0039793A" w:rsidP="0039793A">
            <w:pPr>
              <w:spacing w:before="60" w:after="60"/>
              <w:ind w:left="50" w:right="50" w:firstLine="0"/>
              <w:rPr>
                <w:sz w:val="24"/>
              </w:rPr>
            </w:pPr>
            <w:r w:rsidRPr="006D1DC4">
              <w:rPr>
                <w:sz w:val="24"/>
              </w:rPr>
              <w:t>Abstention</w:t>
            </w:r>
          </w:p>
        </w:tc>
      </w:tr>
    </w:tbl>
    <w:p w14:paraId="28145BAF" w14:textId="77777777" w:rsidR="0039793A" w:rsidRDefault="0039793A" w:rsidP="0039793A">
      <w:pPr>
        <w:rPr>
          <w:sz w:val="24"/>
          <w:szCs w:val="38"/>
        </w:rPr>
      </w:pPr>
    </w:p>
    <w:p w14:paraId="300E15AD" w14:textId="77777777" w:rsidR="0039793A" w:rsidRDefault="0039793A" w:rsidP="0039793A">
      <w:pPr>
        <w:rPr>
          <w:sz w:val="24"/>
          <w:szCs w:val="38"/>
        </w:rPr>
      </w:pPr>
      <w:r>
        <w:rPr>
          <w:sz w:val="24"/>
          <w:szCs w:val="38"/>
        </w:rPr>
        <w:br w:type="page"/>
      </w:r>
    </w:p>
    <w:p w14:paraId="2762642B" w14:textId="77777777" w:rsidR="0039793A" w:rsidRPr="006D1DC4" w:rsidRDefault="0039793A" w:rsidP="0039793A">
      <w:pPr>
        <w:rPr>
          <w:sz w:val="24"/>
        </w:rPr>
      </w:pPr>
      <w:r w:rsidRPr="006D1DC4">
        <w:rPr>
          <w:sz w:val="24"/>
          <w:szCs w:val="38"/>
        </w:rPr>
        <w:t xml:space="preserve">Les trois approches identifiées dans la dernière colonne sont inspirées des écoles de pensée définies par Charles Williams Maynes. à savoir les </w:t>
      </w:r>
      <w:r w:rsidRPr="006D1DC4">
        <w:rPr>
          <w:i/>
          <w:sz w:val="24"/>
          <w:szCs w:val="38"/>
        </w:rPr>
        <w:t>controllers</w:t>
      </w:r>
      <w:r w:rsidRPr="006D1DC4">
        <w:rPr>
          <w:sz w:val="24"/>
          <w:szCs w:val="38"/>
        </w:rPr>
        <w:t xml:space="preserve">, les </w:t>
      </w:r>
      <w:r w:rsidRPr="006D1DC4">
        <w:rPr>
          <w:i/>
          <w:sz w:val="24"/>
          <w:szCs w:val="38"/>
        </w:rPr>
        <w:t>shapers</w:t>
      </w:r>
      <w:r w:rsidRPr="006D1DC4">
        <w:rPr>
          <w:sz w:val="24"/>
          <w:szCs w:val="38"/>
        </w:rPr>
        <w:t xml:space="preserve"> et les </w:t>
      </w:r>
      <w:r w:rsidRPr="006D1DC4">
        <w:rPr>
          <w:i/>
          <w:sz w:val="24"/>
          <w:szCs w:val="38"/>
        </w:rPr>
        <w:t>abstainers</w:t>
      </w:r>
      <w:r w:rsidRPr="006D1DC4">
        <w:rPr>
          <w:sz w:val="24"/>
          <w:szCs w:val="38"/>
        </w:rPr>
        <w:t xml:space="preserve">. Voir Charles Williams Maynes, « Contending Schools », </w:t>
      </w:r>
      <w:r w:rsidRPr="006D1DC4">
        <w:rPr>
          <w:i/>
          <w:sz w:val="24"/>
          <w:szCs w:val="38"/>
        </w:rPr>
        <w:t>The National Interest</w:t>
      </w:r>
      <w:r w:rsidRPr="006D1DC4">
        <w:rPr>
          <w:sz w:val="24"/>
          <w:szCs w:val="38"/>
        </w:rPr>
        <w:t>, 63, printemps 2001, p. 49-58. Bien entendu, la classification retenue ici ne se veut ni exhaustive, ni exclusive. Pour aider ï la compréhension, un nombre restreint d'auteurs a été sélectionné. On notera également que plusieurs des auteurs figurant dans ce tableau ont écrit des analyses qui pourraient appartenir ï l'une ou l'autre des approches. Pour cène raison, dans le chapitre, les écrits des analystes qui sont pris en compte pour établir cette t</w:t>
      </w:r>
      <w:r w:rsidRPr="006D1DC4">
        <w:rPr>
          <w:sz w:val="24"/>
          <w:szCs w:val="38"/>
        </w:rPr>
        <w:t>y</w:t>
      </w:r>
      <w:r w:rsidRPr="006D1DC4">
        <w:rPr>
          <w:sz w:val="24"/>
          <w:szCs w:val="38"/>
        </w:rPr>
        <w:t xml:space="preserve">pologie sont indiqués. </w:t>
      </w:r>
    </w:p>
    <w:p w14:paraId="04A982B1" w14:textId="77777777" w:rsidR="0039793A" w:rsidRDefault="0039793A" w:rsidP="0039793A">
      <w:pPr>
        <w:spacing w:before="120" w:after="120"/>
        <w:jc w:val="both"/>
        <w:rPr>
          <w:szCs w:val="2"/>
        </w:rPr>
      </w:pPr>
    </w:p>
    <w:p w14:paraId="76077532" w14:textId="77777777" w:rsidR="0039793A" w:rsidRDefault="0039793A" w:rsidP="0039793A">
      <w:pPr>
        <w:spacing w:before="120" w:after="120"/>
        <w:ind w:firstLine="0"/>
        <w:jc w:val="both"/>
        <w:rPr>
          <w:szCs w:val="2"/>
        </w:rPr>
        <w:sectPr w:rsidR="0039793A" w:rsidSect="0039793A">
          <w:pgSz w:w="20160" w:h="12240" w:orient="landscape"/>
          <w:pgMar w:top="1440" w:right="1440" w:bottom="1440" w:left="1440" w:header="720" w:footer="720" w:gutter="0"/>
          <w:cols w:space="720"/>
        </w:sectPr>
      </w:pPr>
    </w:p>
    <w:p w14:paraId="17280883" w14:textId="77777777" w:rsidR="0039793A" w:rsidRDefault="0039793A" w:rsidP="0039793A">
      <w:pPr>
        <w:spacing w:before="120" w:after="120"/>
        <w:ind w:firstLine="0"/>
        <w:jc w:val="both"/>
        <w:rPr>
          <w:szCs w:val="2"/>
        </w:rPr>
      </w:pPr>
      <w:r>
        <w:rPr>
          <w:szCs w:val="2"/>
        </w:rPr>
        <w:t>[106]</w:t>
      </w:r>
    </w:p>
    <w:p w14:paraId="75DB3B1D" w14:textId="77777777" w:rsidR="0039793A" w:rsidRPr="00594A23" w:rsidRDefault="0039793A" w:rsidP="0039793A">
      <w:pPr>
        <w:spacing w:before="120" w:after="120"/>
        <w:ind w:firstLine="0"/>
        <w:jc w:val="both"/>
      </w:pPr>
      <w:r w:rsidRPr="00594A23">
        <w:t>« </w:t>
      </w:r>
      <w:r w:rsidRPr="00594A23">
        <w:rPr>
          <w:lang w:eastAsia="fr-FR" w:bidi="fr-FR"/>
        </w:rPr>
        <w:t>lorsque vient le temps de s’occuper des régimes tyranniques, spéci</w:t>
      </w:r>
      <w:r w:rsidRPr="00594A23">
        <w:rPr>
          <w:lang w:eastAsia="fr-FR" w:bidi="fr-FR"/>
        </w:rPr>
        <w:t>a</w:t>
      </w:r>
      <w:r w:rsidRPr="00594A23">
        <w:rPr>
          <w:lang w:eastAsia="fr-FR" w:bidi="fr-FR"/>
        </w:rPr>
        <w:t>lement ceux qui ont le pouvoir d’infliger des dommages [aux États-Unis] ou à [leurs] alliés, les États-Unis devraient chercher, non la coexistence, mais la tran</w:t>
      </w:r>
      <w:r w:rsidRPr="00594A23">
        <w:rPr>
          <w:lang w:eastAsia="fr-FR" w:bidi="fr-FR"/>
        </w:rPr>
        <w:t>s</w:t>
      </w:r>
      <w:r w:rsidRPr="00594A23">
        <w:rPr>
          <w:lang w:eastAsia="fr-FR" w:bidi="fr-FR"/>
        </w:rPr>
        <w:t>formation</w:t>
      </w:r>
      <w:r>
        <w:rPr>
          <w:lang w:eastAsia="fr-FR" w:bidi="fr-FR"/>
        </w:rPr>
        <w:t> </w:t>
      </w:r>
      <w:r>
        <w:rPr>
          <w:rStyle w:val="Appelnotedebasdep"/>
          <w:lang w:eastAsia="fr-FR" w:bidi="fr-FR"/>
        </w:rPr>
        <w:footnoteReference w:id="232"/>
      </w:r>
      <w:r w:rsidRPr="00594A23">
        <w:t> »</w:t>
      </w:r>
      <w:r w:rsidRPr="00594A23">
        <w:rPr>
          <w:lang w:eastAsia="fr-FR" w:bidi="fr-FR"/>
        </w:rPr>
        <w:t>.</w:t>
      </w:r>
    </w:p>
    <w:p w14:paraId="7677CA35" w14:textId="77777777" w:rsidR="0039793A" w:rsidRPr="00594A23" w:rsidRDefault="0039793A" w:rsidP="0039793A">
      <w:pPr>
        <w:spacing w:before="120" w:after="120"/>
        <w:jc w:val="both"/>
      </w:pPr>
      <w:r w:rsidRPr="00594A23">
        <w:rPr>
          <w:lang w:eastAsia="fr-FR" w:bidi="fr-FR"/>
        </w:rPr>
        <w:t>Le maintien de l’hégémonie américaine exige que les États-Unis continuent à jouer un rôle actif dans l’ordre i</w:t>
      </w:r>
      <w:r w:rsidRPr="00594A23">
        <w:rPr>
          <w:lang w:eastAsia="fr-FR" w:bidi="fr-FR"/>
        </w:rPr>
        <w:t>n</w:t>
      </w:r>
      <w:r w:rsidRPr="00594A23">
        <w:rPr>
          <w:lang w:eastAsia="fr-FR" w:bidi="fr-FR"/>
        </w:rPr>
        <w:t xml:space="preserve">ternational. Or, pour Kagan et Kristol, après la guerre froide, </w:t>
      </w:r>
      <w:r w:rsidRPr="00594A23">
        <w:t>« </w:t>
      </w:r>
      <w:r w:rsidRPr="00594A23">
        <w:rPr>
          <w:lang w:eastAsia="fr-FR" w:bidi="fr-FR"/>
        </w:rPr>
        <w:t>le but de la politique étra</w:t>
      </w:r>
      <w:r w:rsidRPr="00594A23">
        <w:rPr>
          <w:lang w:eastAsia="fr-FR" w:bidi="fr-FR"/>
        </w:rPr>
        <w:t>n</w:t>
      </w:r>
      <w:r w:rsidRPr="00594A23">
        <w:rPr>
          <w:lang w:eastAsia="fr-FR" w:bidi="fr-FR"/>
        </w:rPr>
        <w:t xml:space="preserve">gère américaine aurait dû être de transformer le </w:t>
      </w:r>
      <w:r w:rsidRPr="00B71317">
        <w:rPr>
          <w:i/>
          <w:iCs/>
        </w:rPr>
        <w:t>moment</w:t>
      </w:r>
      <w:r w:rsidRPr="00594A23">
        <w:rPr>
          <w:lang w:eastAsia="fr-FR" w:bidi="fr-FR"/>
        </w:rPr>
        <w:t xml:space="preserve"> unipolaire en une ère unipolaire</w:t>
      </w:r>
      <w:r>
        <w:rPr>
          <w:lang w:eastAsia="fr-FR" w:bidi="fr-FR"/>
        </w:rPr>
        <w:t> </w:t>
      </w:r>
      <w:r>
        <w:rPr>
          <w:rStyle w:val="Appelnotedebasdep"/>
          <w:lang w:eastAsia="fr-FR" w:bidi="fr-FR"/>
        </w:rPr>
        <w:footnoteReference w:id="233"/>
      </w:r>
      <w:r w:rsidRPr="00594A23">
        <w:t> »</w:t>
      </w:r>
      <w:r w:rsidRPr="00594A23">
        <w:rPr>
          <w:lang w:eastAsia="fr-FR" w:bidi="fr-FR"/>
        </w:rPr>
        <w:t>. Ils rappellent que les Administrations des pr</w:t>
      </w:r>
      <w:r w:rsidRPr="00594A23">
        <w:rPr>
          <w:lang w:eastAsia="fr-FR" w:bidi="fr-FR"/>
        </w:rPr>
        <w:t>é</w:t>
      </w:r>
      <w:r w:rsidRPr="00594A23">
        <w:rPr>
          <w:lang w:eastAsia="fr-FR" w:bidi="fr-FR"/>
        </w:rPr>
        <w:t xml:space="preserve">sidents Bush et Clinton ont cherché à bénéficier des </w:t>
      </w:r>
      <w:r w:rsidRPr="00594A23">
        <w:t>« </w:t>
      </w:r>
      <w:r w:rsidRPr="00594A23">
        <w:rPr>
          <w:lang w:eastAsia="fr-FR" w:bidi="fr-FR"/>
        </w:rPr>
        <w:t>dividendes de la paix</w:t>
      </w:r>
      <w:r w:rsidRPr="00594A23">
        <w:t> »</w:t>
      </w:r>
      <w:r w:rsidRPr="00594A23">
        <w:rPr>
          <w:lang w:eastAsia="fr-FR" w:bidi="fr-FR"/>
        </w:rPr>
        <w:t xml:space="preserve"> en diminuant les budgets militaires et en choisissant la voie du désengagement stratégique oubliant les fondements de la pol</w:t>
      </w:r>
      <w:r w:rsidRPr="00594A23">
        <w:rPr>
          <w:lang w:eastAsia="fr-FR" w:bidi="fr-FR"/>
        </w:rPr>
        <w:t>i</w:t>
      </w:r>
      <w:r w:rsidRPr="00594A23">
        <w:rPr>
          <w:lang w:eastAsia="fr-FR" w:bidi="fr-FR"/>
        </w:rPr>
        <w:t>tique étrangère depuis la s</w:t>
      </w:r>
      <w:r w:rsidRPr="00594A23">
        <w:rPr>
          <w:lang w:eastAsia="fr-FR" w:bidi="fr-FR"/>
        </w:rPr>
        <w:t>e</w:t>
      </w:r>
      <w:r w:rsidRPr="00594A23">
        <w:rPr>
          <w:lang w:eastAsia="fr-FR" w:bidi="fr-FR"/>
        </w:rPr>
        <w:t>conde guerre mondiale</w:t>
      </w:r>
      <w:r w:rsidRPr="00594A23">
        <w:t> :</w:t>
      </w:r>
      <w:r w:rsidRPr="00594A23">
        <w:rPr>
          <w:lang w:eastAsia="fr-FR" w:bidi="fr-FR"/>
        </w:rPr>
        <w:t xml:space="preserve"> la promotion d’un ordre international compatible avec les valeurs et les intérêts amér</w:t>
      </w:r>
      <w:r w:rsidRPr="00594A23">
        <w:rPr>
          <w:lang w:eastAsia="fr-FR" w:bidi="fr-FR"/>
        </w:rPr>
        <w:t>i</w:t>
      </w:r>
      <w:r w:rsidRPr="00594A23">
        <w:rPr>
          <w:lang w:eastAsia="fr-FR" w:bidi="fr-FR"/>
        </w:rPr>
        <w:t>cains - donc un ordre libéral - et la défense contre les obstacles imm</w:t>
      </w:r>
      <w:r w:rsidRPr="00594A23">
        <w:rPr>
          <w:lang w:eastAsia="fr-FR" w:bidi="fr-FR"/>
        </w:rPr>
        <w:t>é</w:t>
      </w:r>
      <w:r w:rsidRPr="00594A23">
        <w:rPr>
          <w:lang w:eastAsia="fr-FR" w:bidi="fr-FR"/>
        </w:rPr>
        <w:t>diats à la constitution de cet ordre</w:t>
      </w:r>
      <w:r>
        <w:rPr>
          <w:lang w:eastAsia="fr-FR" w:bidi="fr-FR"/>
        </w:rPr>
        <w:t> </w:t>
      </w:r>
      <w:r>
        <w:rPr>
          <w:rStyle w:val="Appelnotedebasdep"/>
          <w:lang w:eastAsia="fr-FR" w:bidi="fr-FR"/>
        </w:rPr>
        <w:footnoteReference w:id="234"/>
      </w:r>
      <w:r w:rsidRPr="00594A23">
        <w:rPr>
          <w:lang w:eastAsia="fr-FR" w:bidi="fr-FR"/>
        </w:rPr>
        <w:t>. La fin de la guerre froide aurait pourtant exigé une implication importante des États-Unis pour assurer le mai</w:t>
      </w:r>
      <w:r w:rsidRPr="00594A23">
        <w:rPr>
          <w:lang w:eastAsia="fr-FR" w:bidi="fr-FR"/>
        </w:rPr>
        <w:t>n</w:t>
      </w:r>
      <w:r w:rsidRPr="00594A23">
        <w:rPr>
          <w:lang w:eastAsia="fr-FR" w:bidi="fr-FR"/>
        </w:rPr>
        <w:t>tien de cet ordre</w:t>
      </w:r>
      <w:r>
        <w:rPr>
          <w:lang w:eastAsia="fr-FR" w:bidi="fr-FR"/>
        </w:rPr>
        <w:t> </w:t>
      </w:r>
      <w:r>
        <w:rPr>
          <w:rStyle w:val="Appelnotedebasdep"/>
          <w:lang w:eastAsia="fr-FR" w:bidi="fr-FR"/>
        </w:rPr>
        <w:footnoteReference w:id="235"/>
      </w:r>
      <w:r w:rsidRPr="00594A23">
        <w:rPr>
          <w:lang w:eastAsia="fr-FR" w:bidi="fr-FR"/>
        </w:rPr>
        <w:t>.</w:t>
      </w:r>
    </w:p>
    <w:p w14:paraId="6C954B10" w14:textId="77777777" w:rsidR="0039793A" w:rsidRDefault="0039793A" w:rsidP="0039793A">
      <w:pPr>
        <w:spacing w:before="120" w:after="120"/>
        <w:jc w:val="both"/>
      </w:pPr>
      <w:r w:rsidRPr="00594A23">
        <w:rPr>
          <w:lang w:eastAsia="fr-FR" w:bidi="fr-FR"/>
        </w:rPr>
        <w:t xml:space="preserve">L’affirmation de la puissance hégémonique américaine ne signifie pourtant pas, pour Kagan et Kristol, que les États-Unis négligent leurs alliés. Au contraire, les États-Unis doivent même s’engager encore plus envers eux. Dans leur vision imprégnée par la politique de la puissance et la </w:t>
      </w:r>
      <w:r w:rsidRPr="008F6E0A">
        <w:rPr>
          <w:i/>
          <w:iCs/>
        </w:rPr>
        <w:t>realpolitik</w:t>
      </w:r>
      <w:r w:rsidRPr="00594A23">
        <w:t>,</w:t>
      </w:r>
      <w:r w:rsidRPr="00594A23">
        <w:rPr>
          <w:lang w:eastAsia="fr-FR" w:bidi="fr-FR"/>
        </w:rPr>
        <w:t xml:space="preserve"> cet engagement ne peut cependant pas se faire d’égal à égal. Cela nécessite que les États-Unis défendent les i</w:t>
      </w:r>
      <w:r w:rsidRPr="00594A23">
        <w:rPr>
          <w:lang w:eastAsia="fr-FR" w:bidi="fr-FR"/>
        </w:rPr>
        <w:t>n</w:t>
      </w:r>
      <w:r w:rsidRPr="00594A23">
        <w:rPr>
          <w:lang w:eastAsia="fr-FR" w:bidi="fr-FR"/>
        </w:rPr>
        <w:t>térêts de leurs alliés, même lorsque ces alliés ne pe</w:t>
      </w:r>
      <w:r w:rsidRPr="00594A23">
        <w:rPr>
          <w:lang w:eastAsia="fr-FR" w:bidi="fr-FR"/>
        </w:rPr>
        <w:t>r</w:t>
      </w:r>
      <w:r w:rsidRPr="00594A23">
        <w:rPr>
          <w:lang w:eastAsia="fr-FR" w:bidi="fr-FR"/>
        </w:rPr>
        <w:t>çoivent pas les menaces à leurs propres intérêts</w:t>
      </w:r>
      <w:r w:rsidRPr="00594A23">
        <w:t> :</w:t>
      </w:r>
    </w:p>
    <w:p w14:paraId="366D8FBC" w14:textId="77777777" w:rsidR="0039793A" w:rsidRPr="00594A23" w:rsidRDefault="0039793A" w:rsidP="0039793A">
      <w:pPr>
        <w:spacing w:before="120" w:after="120"/>
        <w:jc w:val="both"/>
      </w:pPr>
      <w:r>
        <w:br w:type="page"/>
      </w:r>
    </w:p>
    <w:p w14:paraId="243000EE" w14:textId="77777777" w:rsidR="0039793A" w:rsidRDefault="0039793A" w:rsidP="0039793A">
      <w:pPr>
        <w:pStyle w:val="Grillecouleur-Accent1"/>
      </w:pPr>
      <w:r w:rsidRPr="00594A23">
        <w:t>« </w:t>
      </w:r>
      <w:r w:rsidRPr="00594A23">
        <w:rPr>
          <w:lang w:eastAsia="fr-FR" w:bidi="fr-FR"/>
        </w:rPr>
        <w:t>Les États-Unis se concevraient comme étant en même temps une puissance européenne, une puissance asiatique, une puissance moyen- orientale et, évidemment, une pui</w:t>
      </w:r>
      <w:r w:rsidRPr="00594A23">
        <w:rPr>
          <w:lang w:eastAsia="fr-FR" w:bidi="fr-FR"/>
        </w:rPr>
        <w:t>s</w:t>
      </w:r>
      <w:r w:rsidRPr="00594A23">
        <w:rPr>
          <w:lang w:eastAsia="fr-FR" w:bidi="fr-FR"/>
        </w:rPr>
        <w:t>sance occidentale. Ils agiraient comme si les menaces aux intérêts de [leurs] alliés constituaient des menaces pour [eux], [...] Agir autreme</w:t>
      </w:r>
      <w:r>
        <w:rPr>
          <w:lang w:eastAsia="fr-FR" w:bidi="fr-FR"/>
        </w:rPr>
        <w:t>nt ferait des États-Unis un par</w:t>
      </w:r>
      <w:r w:rsidRPr="00594A23">
        <w:rPr>
          <w:lang w:eastAsia="fr-FR" w:bidi="fr-FR"/>
        </w:rPr>
        <w:t>tenaire</w:t>
      </w:r>
      <w:r>
        <w:t xml:space="preserve"> [107]</w:t>
      </w:r>
      <w:r w:rsidRPr="00594A23">
        <w:rPr>
          <w:lang w:eastAsia="fr-FR" w:bidi="fr-FR"/>
        </w:rPr>
        <w:t xml:space="preserve"> peu fiable dans les affaires internationales, une perce</w:t>
      </w:r>
      <w:r w:rsidRPr="00594A23">
        <w:rPr>
          <w:lang w:eastAsia="fr-FR" w:bidi="fr-FR"/>
        </w:rPr>
        <w:t>p</w:t>
      </w:r>
      <w:r w:rsidRPr="00594A23">
        <w:rPr>
          <w:lang w:eastAsia="fr-FR" w:bidi="fr-FR"/>
        </w:rPr>
        <w:t>tion qui diminuerait à la fois la prééminence des États-Unis et l’ordre international. Éventuell</w:t>
      </w:r>
      <w:r w:rsidRPr="00594A23">
        <w:rPr>
          <w:lang w:eastAsia="fr-FR" w:bidi="fr-FR"/>
        </w:rPr>
        <w:t>e</w:t>
      </w:r>
      <w:r w:rsidRPr="00594A23">
        <w:rPr>
          <w:lang w:eastAsia="fr-FR" w:bidi="fr-FR"/>
        </w:rPr>
        <w:t>ment, les crises apparaîtraient à [leurs] portes. C’est ce que s</w:t>
      </w:r>
      <w:r w:rsidRPr="00594A23">
        <w:rPr>
          <w:lang w:eastAsia="fr-FR" w:bidi="fr-FR"/>
        </w:rPr>
        <w:t>i</w:t>
      </w:r>
      <w:r w:rsidRPr="00594A23">
        <w:rPr>
          <w:lang w:eastAsia="fr-FR" w:bidi="fr-FR"/>
        </w:rPr>
        <w:t>gnifie être une superpuissance globale avec des responsabilités glob</w:t>
      </w:r>
      <w:r w:rsidRPr="00594A23">
        <w:rPr>
          <w:lang w:eastAsia="fr-FR" w:bidi="fr-FR"/>
        </w:rPr>
        <w:t>a</w:t>
      </w:r>
      <w:r w:rsidRPr="00594A23">
        <w:rPr>
          <w:lang w:eastAsia="fr-FR" w:bidi="fr-FR"/>
        </w:rPr>
        <w:t>les</w:t>
      </w:r>
      <w:r w:rsidRPr="00594A23">
        <w:t> »</w:t>
      </w:r>
      <w:r>
        <w:rPr>
          <w:lang w:eastAsia="fr-FR" w:bidi="fr-FR"/>
        </w:rPr>
        <w:t> </w:t>
      </w:r>
      <w:r>
        <w:rPr>
          <w:rStyle w:val="Appelnotedebasdep"/>
          <w:lang w:eastAsia="fr-FR" w:bidi="fr-FR"/>
        </w:rPr>
        <w:footnoteReference w:id="236"/>
      </w:r>
      <w:r>
        <w:t>.</w:t>
      </w:r>
    </w:p>
    <w:p w14:paraId="60A077EF" w14:textId="77777777" w:rsidR="0039793A" w:rsidRPr="00594A23" w:rsidRDefault="0039793A" w:rsidP="0039793A">
      <w:pPr>
        <w:pStyle w:val="Grillecouleur-Accent1"/>
      </w:pPr>
    </w:p>
    <w:p w14:paraId="072604FD" w14:textId="77777777" w:rsidR="0039793A" w:rsidRPr="00594A23" w:rsidRDefault="0039793A" w:rsidP="0039793A">
      <w:pPr>
        <w:spacing w:before="120" w:after="120"/>
        <w:jc w:val="both"/>
      </w:pPr>
      <w:r w:rsidRPr="00594A23">
        <w:rPr>
          <w:lang w:eastAsia="fr-FR" w:bidi="fr-FR"/>
        </w:rPr>
        <w:t xml:space="preserve">Dans son article </w:t>
      </w:r>
      <w:r w:rsidRPr="00594A23">
        <w:t>« </w:t>
      </w:r>
      <w:r w:rsidRPr="00594A23">
        <w:rPr>
          <w:lang w:eastAsia="fr-FR" w:bidi="fr-FR"/>
        </w:rPr>
        <w:t>Power and Weakness</w:t>
      </w:r>
      <w:r>
        <w:rPr>
          <w:lang w:eastAsia="fr-FR" w:bidi="fr-FR"/>
        </w:rPr>
        <w:t> </w:t>
      </w:r>
      <w:r>
        <w:rPr>
          <w:rStyle w:val="Appelnotedebasdep"/>
          <w:lang w:eastAsia="fr-FR" w:bidi="fr-FR"/>
        </w:rPr>
        <w:footnoteReference w:id="237"/>
      </w:r>
      <w:r w:rsidRPr="00594A23">
        <w:t> »</w:t>
      </w:r>
      <w:r w:rsidRPr="00594A23">
        <w:rPr>
          <w:lang w:eastAsia="fr-FR" w:bidi="fr-FR"/>
        </w:rPr>
        <w:t>, Robert Kagan ex</w:t>
      </w:r>
      <w:r w:rsidRPr="00594A23">
        <w:rPr>
          <w:lang w:eastAsia="fr-FR" w:bidi="fr-FR"/>
        </w:rPr>
        <w:t>a</w:t>
      </w:r>
      <w:r w:rsidRPr="00594A23">
        <w:rPr>
          <w:lang w:eastAsia="fr-FR" w:bidi="fr-FR"/>
        </w:rPr>
        <w:t>mine les incompréhensions entre Européens et les Américains eu égard au leadership du système international. Il affirme ainsi que les Amér</w:t>
      </w:r>
      <w:r w:rsidRPr="00594A23">
        <w:rPr>
          <w:lang w:eastAsia="fr-FR" w:bidi="fr-FR"/>
        </w:rPr>
        <w:t>i</w:t>
      </w:r>
      <w:r w:rsidRPr="00594A23">
        <w:rPr>
          <w:lang w:eastAsia="fr-FR" w:bidi="fr-FR"/>
        </w:rPr>
        <w:t>cains viennent de Mars et les Européens, de Vénus. Dans une analyse très réaliste, il fonde leurs divergences sur la disparité énorme de pui</w:t>
      </w:r>
      <w:r w:rsidRPr="00594A23">
        <w:rPr>
          <w:lang w:eastAsia="fr-FR" w:bidi="fr-FR"/>
        </w:rPr>
        <w:t>s</w:t>
      </w:r>
      <w:r w:rsidRPr="00594A23">
        <w:rPr>
          <w:lang w:eastAsia="fr-FR" w:bidi="fr-FR"/>
        </w:rPr>
        <w:t>sance</w:t>
      </w:r>
      <w:r w:rsidRPr="00594A23">
        <w:t> :</w:t>
      </w:r>
      <w:r w:rsidRPr="00594A23">
        <w:rPr>
          <w:lang w:eastAsia="fr-FR" w:bidi="fr-FR"/>
        </w:rPr>
        <w:t xml:space="preserve"> les Américains se comportent comme doit le faire une supe</w:t>
      </w:r>
      <w:r w:rsidRPr="00594A23">
        <w:rPr>
          <w:lang w:eastAsia="fr-FR" w:bidi="fr-FR"/>
        </w:rPr>
        <w:t>r</w:t>
      </w:r>
      <w:r w:rsidRPr="00594A23">
        <w:rPr>
          <w:lang w:eastAsia="fr-FR" w:bidi="fr-FR"/>
        </w:rPr>
        <w:t>puissance, alors que les Européens agissent plutôt comme une pui</w:t>
      </w:r>
      <w:r w:rsidRPr="00594A23">
        <w:rPr>
          <w:lang w:eastAsia="fr-FR" w:bidi="fr-FR"/>
        </w:rPr>
        <w:t>s</w:t>
      </w:r>
      <w:r w:rsidRPr="00594A23">
        <w:rPr>
          <w:lang w:eastAsia="fr-FR" w:bidi="fr-FR"/>
        </w:rPr>
        <w:t>sance faible qui tente de faire contrepoids à la superpuissance. Les États-Unis possèdent une force milita</w:t>
      </w:r>
      <w:r w:rsidRPr="00594A23">
        <w:rPr>
          <w:lang w:eastAsia="fr-FR" w:bidi="fr-FR"/>
        </w:rPr>
        <w:t>i</w:t>
      </w:r>
      <w:r w:rsidRPr="00594A23">
        <w:rPr>
          <w:lang w:eastAsia="fr-FR" w:bidi="fr-FR"/>
        </w:rPr>
        <w:t>re considérable qu’ils utilisent volontiers pour atteindre leurs objectifs de politique étrangère. L’Europe, plus faible militairement, doit s’en remettre à l’État de droit internati</w:t>
      </w:r>
      <w:r w:rsidRPr="00594A23">
        <w:rPr>
          <w:lang w:eastAsia="fr-FR" w:bidi="fr-FR"/>
        </w:rPr>
        <w:t>o</w:t>
      </w:r>
      <w:r w:rsidRPr="00594A23">
        <w:rPr>
          <w:lang w:eastAsia="fr-FR" w:bidi="fr-FR"/>
        </w:rPr>
        <w:t xml:space="preserve">nal et au respect des institutions et des traités internationaux pour garantir sa puissance. Selon Kagan, l’Europe vit dans un monde kantien et rejette le monde hobbesien où chaque État doit assurer lui-même sa sécurité. C’est pourquoi, selon Kagan, l’Europe essaie de </w:t>
      </w:r>
      <w:r w:rsidRPr="00594A23">
        <w:t>« </w:t>
      </w:r>
      <w:r w:rsidRPr="00594A23">
        <w:rPr>
          <w:lang w:eastAsia="fr-FR" w:bidi="fr-FR"/>
        </w:rPr>
        <w:t>multilatéraliser</w:t>
      </w:r>
      <w:r w:rsidRPr="00594A23">
        <w:t> »</w:t>
      </w:r>
      <w:r w:rsidRPr="00594A23">
        <w:rPr>
          <w:lang w:eastAsia="fr-FR" w:bidi="fr-FR"/>
        </w:rPr>
        <w:t xml:space="preserve"> les États-Unis</w:t>
      </w:r>
      <w:r w:rsidRPr="00594A23">
        <w:t> :</w:t>
      </w:r>
      <w:r w:rsidRPr="00594A23">
        <w:rPr>
          <w:lang w:eastAsia="fr-FR" w:bidi="fr-FR"/>
        </w:rPr>
        <w:t xml:space="preserve"> c’est le moyen de contrer leur puissance sans faire usage de la sienne. Pour Kagan, c’est la réalité politique qui impose aux États-Unis de mettre en jeu la puissance, quitte à violer certaines normes</w:t>
      </w:r>
      <w:r w:rsidRPr="00594A23">
        <w:t> :</w:t>
      </w:r>
      <w:r w:rsidRPr="00594A23">
        <w:rPr>
          <w:lang w:eastAsia="fr-FR" w:bidi="fr-FR"/>
        </w:rPr>
        <w:t xml:space="preserve"> ce double standard américain - e</w:t>
      </w:r>
      <w:r w:rsidRPr="00594A23">
        <w:rPr>
          <w:lang w:eastAsia="fr-FR" w:bidi="fr-FR"/>
        </w:rPr>
        <w:t>n</w:t>
      </w:r>
      <w:r w:rsidRPr="00594A23">
        <w:rPr>
          <w:lang w:eastAsia="fr-FR" w:bidi="fr-FR"/>
        </w:rPr>
        <w:t>joindre les autres États à respecter les règles du droit i</w:t>
      </w:r>
      <w:r w:rsidRPr="00594A23">
        <w:rPr>
          <w:lang w:eastAsia="fr-FR" w:bidi="fr-FR"/>
        </w:rPr>
        <w:t>n</w:t>
      </w:r>
      <w:r w:rsidRPr="00594A23">
        <w:rPr>
          <w:lang w:eastAsia="fr-FR" w:bidi="fr-FR"/>
        </w:rPr>
        <w:t>ternational tout en se réservant le droit de les transgresser pour assurer la stabilité de l’ordre international - s’avère une nécessité systémique. Bien que la conduite parfois unilatér</w:t>
      </w:r>
      <w:r w:rsidRPr="00594A23">
        <w:rPr>
          <w:lang w:eastAsia="fr-FR" w:bidi="fr-FR"/>
        </w:rPr>
        <w:t>a</w:t>
      </w:r>
      <w:r w:rsidRPr="00594A23">
        <w:rPr>
          <w:lang w:eastAsia="fr-FR" w:bidi="fr-FR"/>
        </w:rPr>
        <w:t>le et belliqueuse des États-Unis soit parfois regrettable, K</w:t>
      </w:r>
      <w:r w:rsidRPr="00594A23">
        <w:rPr>
          <w:lang w:eastAsia="fr-FR" w:bidi="fr-FR"/>
        </w:rPr>
        <w:t>a</w:t>
      </w:r>
      <w:r w:rsidRPr="00594A23">
        <w:rPr>
          <w:lang w:eastAsia="fr-FR" w:bidi="fr-FR"/>
        </w:rPr>
        <w:t xml:space="preserve">gan croit qu’elle </w:t>
      </w:r>
      <w:r w:rsidRPr="00594A23">
        <w:t>« </w:t>
      </w:r>
      <w:r w:rsidRPr="00594A23">
        <w:rPr>
          <w:lang w:eastAsia="fr-FR" w:bidi="fr-FR"/>
        </w:rPr>
        <w:t>peut être le meilleur moyen de faire avancer le progrès humain - et peut-être même le seul moyen</w:t>
      </w:r>
      <w:r>
        <w:rPr>
          <w:lang w:eastAsia="fr-FR" w:bidi="fr-FR"/>
        </w:rPr>
        <w:t> </w:t>
      </w:r>
      <w:r>
        <w:rPr>
          <w:rStyle w:val="Appelnotedebasdep"/>
          <w:lang w:eastAsia="fr-FR" w:bidi="fr-FR"/>
        </w:rPr>
        <w:footnoteReference w:id="238"/>
      </w:r>
      <w:r w:rsidRPr="00594A23">
        <w:t> »</w:t>
      </w:r>
      <w:r w:rsidRPr="00594A23">
        <w:rPr>
          <w:lang w:eastAsia="fr-FR" w:bidi="fr-FR"/>
        </w:rPr>
        <w:t>.</w:t>
      </w:r>
    </w:p>
    <w:p w14:paraId="589A065F" w14:textId="77777777" w:rsidR="0039793A" w:rsidRDefault="0039793A" w:rsidP="0039793A">
      <w:pPr>
        <w:spacing w:before="120" w:after="120"/>
        <w:jc w:val="both"/>
      </w:pPr>
      <w:r>
        <w:t>[108]</w:t>
      </w:r>
    </w:p>
    <w:p w14:paraId="27F347A6" w14:textId="77777777" w:rsidR="0039793A" w:rsidRPr="00594A23" w:rsidRDefault="0039793A" w:rsidP="0039793A">
      <w:pPr>
        <w:spacing w:before="120" w:after="120"/>
        <w:jc w:val="both"/>
      </w:pPr>
    </w:p>
    <w:p w14:paraId="3B107CAD" w14:textId="77777777" w:rsidR="0039793A" w:rsidRPr="008F6E0A" w:rsidRDefault="0039793A" w:rsidP="0039793A">
      <w:pPr>
        <w:pStyle w:val="b"/>
      </w:pPr>
      <w:r w:rsidRPr="008F6E0A">
        <w:rPr>
          <w:lang w:eastAsia="fr-FR" w:bidi="fr-FR"/>
        </w:rPr>
        <w:t>Charles Krauthammer</w:t>
      </w:r>
    </w:p>
    <w:p w14:paraId="028BDCBB" w14:textId="77777777" w:rsidR="0039793A" w:rsidRDefault="0039793A" w:rsidP="0039793A">
      <w:pPr>
        <w:spacing w:before="120" w:after="120"/>
        <w:jc w:val="both"/>
        <w:rPr>
          <w:lang w:eastAsia="fr-FR" w:bidi="fr-FR"/>
        </w:rPr>
      </w:pPr>
    </w:p>
    <w:p w14:paraId="4A9FAA48" w14:textId="77777777" w:rsidR="0039793A" w:rsidRPr="00594A23" w:rsidRDefault="0039793A" w:rsidP="0039793A">
      <w:pPr>
        <w:spacing w:before="120" w:after="120"/>
        <w:jc w:val="both"/>
      </w:pPr>
      <w:r w:rsidRPr="00594A23">
        <w:rPr>
          <w:lang w:eastAsia="fr-FR" w:bidi="fr-FR"/>
        </w:rPr>
        <w:t xml:space="preserve">À l’issue de la guerre froide, Charles Krauthammer a été le premier à évoquer un </w:t>
      </w:r>
      <w:r w:rsidRPr="00594A23">
        <w:t>« </w:t>
      </w:r>
      <w:r w:rsidRPr="00594A23">
        <w:rPr>
          <w:lang w:eastAsia="fr-FR" w:bidi="fr-FR"/>
        </w:rPr>
        <w:t>moment unipolaire</w:t>
      </w:r>
      <w:r w:rsidRPr="00594A23">
        <w:t> »</w:t>
      </w:r>
      <w:r w:rsidRPr="00594A23">
        <w:rPr>
          <w:lang w:eastAsia="fr-FR" w:bidi="fr-FR"/>
        </w:rPr>
        <w:t xml:space="preserve"> pendant lequel les États-Unis a</w:t>
      </w:r>
      <w:r w:rsidRPr="00594A23">
        <w:rPr>
          <w:lang w:eastAsia="fr-FR" w:bidi="fr-FR"/>
        </w:rPr>
        <w:t>s</w:t>
      </w:r>
      <w:r w:rsidRPr="00594A23">
        <w:rPr>
          <w:lang w:eastAsia="fr-FR" w:bidi="fr-FR"/>
        </w:rPr>
        <w:t>sumeraient seuls la gestion de l’ordre international</w:t>
      </w:r>
      <w:r>
        <w:rPr>
          <w:lang w:eastAsia="fr-FR" w:bidi="fr-FR"/>
        </w:rPr>
        <w:t> </w:t>
      </w:r>
      <w:r>
        <w:rPr>
          <w:rStyle w:val="Appelnotedebasdep"/>
          <w:lang w:eastAsia="fr-FR" w:bidi="fr-FR"/>
        </w:rPr>
        <w:footnoteReference w:id="239"/>
      </w:r>
      <w:r>
        <w:rPr>
          <w:lang w:eastAsia="fr-FR" w:bidi="fr-FR"/>
        </w:rPr>
        <w:t>.</w:t>
      </w:r>
      <w:r w:rsidRPr="00594A23">
        <w:rPr>
          <w:lang w:eastAsia="fr-FR" w:bidi="fr-FR"/>
        </w:rPr>
        <w:t xml:space="preserve"> Cependant, loin d’être intéressé à débattre de la structure du système international, il préconise plutôt que les États-Unis utilisent leur position préém</w:t>
      </w:r>
      <w:r w:rsidRPr="00594A23">
        <w:rPr>
          <w:lang w:eastAsia="fr-FR" w:bidi="fr-FR"/>
        </w:rPr>
        <w:t>i</w:t>
      </w:r>
      <w:r w:rsidRPr="00594A23">
        <w:rPr>
          <w:lang w:eastAsia="fr-FR" w:bidi="fr-FR"/>
        </w:rPr>
        <w:t>nente pour maintenir l’ordre politique et économique de l’après-guerre froide reflétant les valeurs et les intérêts des États-Unis. Pour Kra</w:t>
      </w:r>
      <w:r w:rsidRPr="00594A23">
        <w:rPr>
          <w:lang w:eastAsia="fr-FR" w:bidi="fr-FR"/>
        </w:rPr>
        <w:t>u</w:t>
      </w:r>
      <w:r w:rsidRPr="00594A23">
        <w:rPr>
          <w:lang w:eastAsia="fr-FR" w:bidi="fr-FR"/>
        </w:rPr>
        <w:t>thammer, les intérêts nationaux doivent toujours primer sur les instit</w:t>
      </w:r>
      <w:r w:rsidRPr="00594A23">
        <w:rPr>
          <w:lang w:eastAsia="fr-FR" w:bidi="fr-FR"/>
        </w:rPr>
        <w:t>u</w:t>
      </w:r>
      <w:r w:rsidRPr="00594A23">
        <w:rPr>
          <w:lang w:eastAsia="fr-FR" w:bidi="fr-FR"/>
        </w:rPr>
        <w:t>tions internationales.</w:t>
      </w:r>
    </w:p>
    <w:p w14:paraId="6A545669" w14:textId="77777777" w:rsidR="0039793A" w:rsidRPr="00594A23" w:rsidRDefault="0039793A" w:rsidP="0039793A">
      <w:pPr>
        <w:spacing w:before="120" w:after="120"/>
        <w:jc w:val="both"/>
      </w:pPr>
      <w:r w:rsidRPr="00594A23">
        <w:rPr>
          <w:lang w:eastAsia="fr-FR" w:bidi="fr-FR"/>
        </w:rPr>
        <w:t>Sans rejeter l’internationalisme, il s’attaque par contre à l’internationalisme libéral qui privilégie le multilatéralisme et qui d</w:t>
      </w:r>
      <w:r w:rsidRPr="00594A23">
        <w:rPr>
          <w:lang w:eastAsia="fr-FR" w:bidi="fr-FR"/>
        </w:rPr>
        <w:t>é</w:t>
      </w:r>
      <w:r w:rsidRPr="00594A23">
        <w:rPr>
          <w:lang w:eastAsia="fr-FR" w:bidi="fr-FR"/>
        </w:rPr>
        <w:t>laisse la politique de puissance et parfois même les intérêts nationaux. Il voit cet internationalisme, illustré d’abord par la coalition dirigée par les États-Unis lors de la guerre du Golfe de 1991, comme un pseudo-multilatéralisme</w:t>
      </w:r>
      <w:r w:rsidRPr="00594A23">
        <w:t> :</w:t>
      </w:r>
      <w:r w:rsidRPr="00594A23">
        <w:rPr>
          <w:lang w:eastAsia="fr-FR" w:bidi="fr-FR"/>
        </w:rPr>
        <w:t xml:space="preserve"> une grande puissance dominante agit esse</w:t>
      </w:r>
      <w:r w:rsidRPr="00594A23">
        <w:rPr>
          <w:lang w:eastAsia="fr-FR" w:bidi="fr-FR"/>
        </w:rPr>
        <w:t>n</w:t>
      </w:r>
      <w:r w:rsidRPr="00594A23">
        <w:rPr>
          <w:lang w:eastAsia="fr-FR" w:bidi="fr-FR"/>
        </w:rPr>
        <w:t>tiellement seule. Elle n’intègre les alliés que pour habiller son inte</w:t>
      </w:r>
      <w:r w:rsidRPr="00594A23">
        <w:rPr>
          <w:lang w:eastAsia="fr-FR" w:bidi="fr-FR"/>
        </w:rPr>
        <w:t>r</w:t>
      </w:r>
      <w:r w:rsidRPr="00594A23">
        <w:rPr>
          <w:lang w:eastAsia="fr-FR" w:bidi="fr-FR"/>
        </w:rPr>
        <w:t>vention de multilatéralisme, afin de légitimer son action aux yeux de sa population</w:t>
      </w:r>
      <w:r>
        <w:rPr>
          <w:lang w:eastAsia="fr-FR" w:bidi="fr-FR"/>
        </w:rPr>
        <w:t> </w:t>
      </w:r>
      <w:r>
        <w:rPr>
          <w:rStyle w:val="Appelnotedebasdep"/>
          <w:lang w:eastAsia="fr-FR" w:bidi="fr-FR"/>
        </w:rPr>
        <w:footnoteReference w:id="240"/>
      </w:r>
      <w:r w:rsidRPr="00594A23">
        <w:rPr>
          <w:lang w:eastAsia="fr-FR" w:bidi="fr-FR"/>
        </w:rPr>
        <w:t>. Le problème, pour Krauthammer, est que ces inte</w:t>
      </w:r>
      <w:r w:rsidRPr="00594A23">
        <w:rPr>
          <w:lang w:eastAsia="fr-FR" w:bidi="fr-FR"/>
        </w:rPr>
        <w:t>r</w:t>
      </w:r>
      <w:r w:rsidRPr="00594A23">
        <w:rPr>
          <w:lang w:eastAsia="fr-FR" w:bidi="fr-FR"/>
        </w:rPr>
        <w:t>nationalistes libéraux en viennent à croire cette prétention multilatér</w:t>
      </w:r>
      <w:r w:rsidRPr="00594A23">
        <w:rPr>
          <w:lang w:eastAsia="fr-FR" w:bidi="fr-FR"/>
        </w:rPr>
        <w:t>a</w:t>
      </w:r>
      <w:r w:rsidRPr="00594A23">
        <w:rPr>
          <w:lang w:eastAsia="fr-FR" w:bidi="fr-FR"/>
        </w:rPr>
        <w:t>liste. Lui d</w:t>
      </w:r>
      <w:r w:rsidRPr="00594A23">
        <w:rPr>
          <w:lang w:eastAsia="fr-FR" w:bidi="fr-FR"/>
        </w:rPr>
        <w:t>é</w:t>
      </w:r>
      <w:r w:rsidRPr="00594A23">
        <w:rPr>
          <w:lang w:eastAsia="fr-FR" w:bidi="fr-FR"/>
        </w:rPr>
        <w:t xml:space="preserve">fend plutôt un nouvel unilatéralisme </w:t>
      </w:r>
      <w:r w:rsidRPr="00594A23">
        <w:t>(</w:t>
      </w:r>
      <w:r w:rsidRPr="008F6E0A">
        <w:rPr>
          <w:i/>
          <w:iCs/>
        </w:rPr>
        <w:t>new unilateralism</w:t>
      </w:r>
      <w:r w:rsidRPr="00594A23">
        <w:rPr>
          <w:lang w:eastAsia="fr-FR" w:bidi="fr-FR"/>
        </w:rPr>
        <w:t>) mis au service des intérêts nationaux américains, parmi lesquels on retro</w:t>
      </w:r>
      <w:r w:rsidRPr="00594A23">
        <w:rPr>
          <w:lang w:eastAsia="fr-FR" w:bidi="fr-FR"/>
        </w:rPr>
        <w:t>u</w:t>
      </w:r>
      <w:r w:rsidRPr="00594A23">
        <w:rPr>
          <w:lang w:eastAsia="fr-FR" w:bidi="fr-FR"/>
        </w:rPr>
        <w:t>ve, entre autres, la volonté d’étendre la paix en promouvant la dém</w:t>
      </w:r>
      <w:r w:rsidRPr="00594A23">
        <w:rPr>
          <w:lang w:eastAsia="fr-FR" w:bidi="fr-FR"/>
        </w:rPr>
        <w:t>o</w:t>
      </w:r>
      <w:r w:rsidRPr="00594A23">
        <w:rPr>
          <w:lang w:eastAsia="fr-FR" w:bidi="fr-FR"/>
        </w:rPr>
        <w:t>cratie et de la préserver en agissant comme dernier recours de la sécurité internationale</w:t>
      </w:r>
      <w:r>
        <w:rPr>
          <w:lang w:eastAsia="fr-FR" w:bidi="fr-FR"/>
        </w:rPr>
        <w:t> </w:t>
      </w:r>
      <w:r>
        <w:rPr>
          <w:rStyle w:val="Appelnotedebasdep"/>
          <w:lang w:eastAsia="fr-FR" w:bidi="fr-FR"/>
        </w:rPr>
        <w:footnoteReference w:id="241"/>
      </w:r>
      <w:r w:rsidRPr="00594A23">
        <w:rPr>
          <w:lang w:eastAsia="fr-FR" w:bidi="fr-FR"/>
        </w:rPr>
        <w:t>. Bien qu’il respecte l’isolationnisme amér</w:t>
      </w:r>
      <w:r w:rsidRPr="00594A23">
        <w:rPr>
          <w:lang w:eastAsia="fr-FR" w:bidi="fr-FR"/>
        </w:rPr>
        <w:t>i</w:t>
      </w:r>
      <w:r w:rsidRPr="00594A23">
        <w:rPr>
          <w:lang w:eastAsia="fr-FR" w:bidi="fr-FR"/>
        </w:rPr>
        <w:t>cain, que l’on voit revenir en force dans les années 1990, Krautha</w:t>
      </w:r>
      <w:r w:rsidRPr="00594A23">
        <w:rPr>
          <w:lang w:eastAsia="fr-FR" w:bidi="fr-FR"/>
        </w:rPr>
        <w:t>m</w:t>
      </w:r>
      <w:r w:rsidRPr="00594A23">
        <w:rPr>
          <w:lang w:eastAsia="fr-FR" w:bidi="fr-FR"/>
        </w:rPr>
        <w:t>mer le rejette à double titre. D’une part, l’isolationnisme fait une le</w:t>
      </w:r>
      <w:r w:rsidRPr="00594A23">
        <w:rPr>
          <w:lang w:eastAsia="fr-FR" w:bidi="fr-FR"/>
        </w:rPr>
        <w:t>c</w:t>
      </w:r>
      <w:r w:rsidRPr="00594A23">
        <w:rPr>
          <w:lang w:eastAsia="fr-FR" w:bidi="fr-FR"/>
        </w:rPr>
        <w:t>ture trop étroite des intérêts nationaux, confinés à la sécurité physique du continent américain, et d’autre part, la stabilité internationale n’est jamais innée et doit être construite par la superpuissance américa</w:t>
      </w:r>
      <w:r w:rsidRPr="00594A23">
        <w:rPr>
          <w:lang w:eastAsia="fr-FR" w:bidi="fr-FR"/>
        </w:rPr>
        <w:t>i</w:t>
      </w:r>
      <w:r w:rsidRPr="00594A23">
        <w:rPr>
          <w:lang w:eastAsia="fr-FR" w:bidi="fr-FR"/>
        </w:rPr>
        <w:t>ne</w:t>
      </w:r>
      <w:r>
        <w:rPr>
          <w:lang w:eastAsia="fr-FR" w:bidi="fr-FR"/>
        </w:rPr>
        <w:t> </w:t>
      </w:r>
      <w:r>
        <w:rPr>
          <w:rStyle w:val="Appelnotedebasdep"/>
          <w:lang w:eastAsia="fr-FR" w:bidi="fr-FR"/>
        </w:rPr>
        <w:footnoteReference w:id="242"/>
      </w:r>
      <w:r w:rsidRPr="00594A23">
        <w:rPr>
          <w:lang w:eastAsia="fr-FR" w:bidi="fr-FR"/>
        </w:rPr>
        <w:t>. À l’instar de Kagan et Kristol, Krauthammer soutient que l’hégémonie américaine est bonne pour le monde, car elle évite le chaos en apportant une stabilité au système. De plus, il la croit préf</w:t>
      </w:r>
      <w:r w:rsidRPr="00594A23">
        <w:rPr>
          <w:lang w:eastAsia="fr-FR" w:bidi="fr-FR"/>
        </w:rPr>
        <w:t>é</w:t>
      </w:r>
      <w:r w:rsidRPr="00594A23">
        <w:rPr>
          <w:lang w:eastAsia="fr-FR" w:bidi="fr-FR"/>
        </w:rPr>
        <w:t>rable à</w:t>
      </w:r>
      <w:r>
        <w:t xml:space="preserve"> [109] </w:t>
      </w:r>
      <w:r w:rsidRPr="00594A23">
        <w:rPr>
          <w:lang w:eastAsia="fr-FR" w:bidi="fr-FR"/>
        </w:rPr>
        <w:t>toute autre hégémonie, parce que les États-Unis repr</w:t>
      </w:r>
      <w:r w:rsidRPr="00594A23">
        <w:rPr>
          <w:lang w:eastAsia="fr-FR" w:bidi="fr-FR"/>
        </w:rPr>
        <w:t>é</w:t>
      </w:r>
      <w:r w:rsidRPr="00594A23">
        <w:rPr>
          <w:lang w:eastAsia="fr-FR" w:bidi="fr-FR"/>
        </w:rPr>
        <w:t>sentent, d</w:t>
      </w:r>
      <w:r w:rsidRPr="00594A23">
        <w:rPr>
          <w:lang w:eastAsia="fr-FR" w:bidi="fr-FR"/>
        </w:rPr>
        <w:t>e</w:t>
      </w:r>
      <w:r w:rsidRPr="00594A23">
        <w:rPr>
          <w:lang w:eastAsia="fr-FR" w:bidi="fr-FR"/>
        </w:rPr>
        <w:t>puis les débuts de leur Union, la défense et la promotion de la libe</w:t>
      </w:r>
      <w:r w:rsidRPr="00594A23">
        <w:rPr>
          <w:lang w:eastAsia="fr-FR" w:bidi="fr-FR"/>
        </w:rPr>
        <w:t>r</w:t>
      </w:r>
      <w:r w:rsidRPr="00594A23">
        <w:rPr>
          <w:lang w:eastAsia="fr-FR" w:bidi="fr-FR"/>
        </w:rPr>
        <w:t>té</w:t>
      </w:r>
      <w:r>
        <w:rPr>
          <w:lang w:eastAsia="fr-FR" w:bidi="fr-FR"/>
        </w:rPr>
        <w:t> </w:t>
      </w:r>
      <w:r>
        <w:rPr>
          <w:rStyle w:val="Appelnotedebasdep"/>
          <w:lang w:eastAsia="fr-FR" w:bidi="fr-FR"/>
        </w:rPr>
        <w:footnoteReference w:id="243"/>
      </w:r>
      <w:r w:rsidRPr="00594A23">
        <w:rPr>
          <w:lang w:eastAsia="fr-FR" w:bidi="fr-FR"/>
        </w:rPr>
        <w:t>.</w:t>
      </w:r>
    </w:p>
    <w:p w14:paraId="4083EB36" w14:textId="77777777" w:rsidR="0039793A" w:rsidRPr="00594A23" w:rsidRDefault="0039793A" w:rsidP="0039793A">
      <w:pPr>
        <w:spacing w:before="120" w:after="120"/>
        <w:jc w:val="both"/>
      </w:pPr>
      <w:r w:rsidRPr="00594A23">
        <w:rPr>
          <w:lang w:eastAsia="fr-FR" w:bidi="fr-FR"/>
        </w:rPr>
        <w:t>La vision hégémoniste de Krauthammer met donc en r</w:t>
      </w:r>
      <w:r w:rsidRPr="00594A23">
        <w:rPr>
          <w:lang w:eastAsia="fr-FR" w:bidi="fr-FR"/>
        </w:rPr>
        <w:t>e</w:t>
      </w:r>
      <w:r w:rsidRPr="00594A23">
        <w:rPr>
          <w:lang w:eastAsia="fr-FR" w:bidi="fr-FR"/>
        </w:rPr>
        <w:t>lief l’utilisation instrumentale des institutions internation</w:t>
      </w:r>
      <w:r w:rsidRPr="00594A23">
        <w:rPr>
          <w:lang w:eastAsia="fr-FR" w:bidi="fr-FR"/>
        </w:rPr>
        <w:t>a</w:t>
      </w:r>
      <w:r w:rsidRPr="00594A23">
        <w:rPr>
          <w:lang w:eastAsia="fr-FR" w:bidi="fr-FR"/>
        </w:rPr>
        <w:t>les par les États-Unis. En tout temps, les considérations de sécurité nationale et le maintien de la primauté américaine doivent primer sur des objectifs visant à asseoir l’ordre international sur le respect du droit internati</w:t>
      </w:r>
      <w:r w:rsidRPr="00594A23">
        <w:rPr>
          <w:lang w:eastAsia="fr-FR" w:bidi="fr-FR"/>
        </w:rPr>
        <w:t>o</w:t>
      </w:r>
      <w:r w:rsidRPr="00594A23">
        <w:rPr>
          <w:lang w:eastAsia="fr-FR" w:bidi="fr-FR"/>
        </w:rPr>
        <w:t>nal</w:t>
      </w:r>
      <w:r w:rsidRPr="00594A23">
        <w:t> :</w:t>
      </w:r>
    </w:p>
    <w:p w14:paraId="1FE35421" w14:textId="77777777" w:rsidR="0039793A" w:rsidRDefault="0039793A" w:rsidP="0039793A">
      <w:pPr>
        <w:pStyle w:val="Grillecouleur-Accent1"/>
      </w:pPr>
    </w:p>
    <w:p w14:paraId="6F1F43D6" w14:textId="77777777" w:rsidR="0039793A" w:rsidRDefault="0039793A" w:rsidP="0039793A">
      <w:pPr>
        <w:pStyle w:val="Grillecouleur-Accent1"/>
        <w:rPr>
          <w:lang w:eastAsia="fr-FR" w:bidi="fr-FR"/>
        </w:rPr>
      </w:pPr>
      <w:r w:rsidRPr="00594A23">
        <w:t>« </w:t>
      </w:r>
      <w:r w:rsidRPr="00594A23">
        <w:rPr>
          <w:lang w:eastAsia="fr-FR" w:bidi="fr-FR"/>
        </w:rPr>
        <w:t>L’internationalisme libéral prévoit un ordre mondial qui, comme la société nationale, est gouverné par des lois et non des hommes. Les réali</w:t>
      </w:r>
      <w:r w:rsidRPr="00594A23">
        <w:rPr>
          <w:lang w:eastAsia="fr-FR" w:bidi="fr-FR"/>
        </w:rPr>
        <w:t>s</w:t>
      </w:r>
      <w:r w:rsidRPr="00594A23">
        <w:rPr>
          <w:lang w:eastAsia="fr-FR" w:bidi="fr-FR"/>
        </w:rPr>
        <w:t>tes voient cette vision comme complètement utopique. [...] [U]n réaliste échangerait difficilement l’unipolarité actuelle contre la pr</w:t>
      </w:r>
      <w:r w:rsidRPr="00594A23">
        <w:rPr>
          <w:lang w:eastAsia="fr-FR" w:bidi="fr-FR"/>
        </w:rPr>
        <w:t>o</w:t>
      </w:r>
      <w:r w:rsidRPr="00594A23">
        <w:rPr>
          <w:lang w:eastAsia="fr-FR" w:bidi="fr-FR"/>
        </w:rPr>
        <w:t>messe vaine d’un mondialisme unifié dont on ne présente que les bons côtés. La forme de réalisme que je propose - appelez-la le nouvel un</w:t>
      </w:r>
      <w:r w:rsidRPr="00594A23">
        <w:rPr>
          <w:lang w:eastAsia="fr-FR" w:bidi="fr-FR"/>
        </w:rPr>
        <w:t>i</w:t>
      </w:r>
      <w:r w:rsidRPr="00594A23">
        <w:rPr>
          <w:lang w:eastAsia="fr-FR" w:bidi="fr-FR"/>
        </w:rPr>
        <w:t>latéralisme — est claire dans sa détermination de déployer conscie</w:t>
      </w:r>
      <w:r w:rsidRPr="00594A23">
        <w:rPr>
          <w:lang w:eastAsia="fr-FR" w:bidi="fr-FR"/>
        </w:rPr>
        <w:t>m</w:t>
      </w:r>
      <w:r w:rsidRPr="00594A23">
        <w:rPr>
          <w:lang w:eastAsia="fr-FR" w:bidi="fr-FR"/>
        </w:rPr>
        <w:t>ment et en toute confiance la puissance américaine afin d’atteindre ces fins globales</w:t>
      </w:r>
      <w:r w:rsidRPr="00594A23">
        <w:t> »</w:t>
      </w:r>
      <w:r>
        <w:rPr>
          <w:lang w:eastAsia="fr-FR" w:bidi="fr-FR"/>
        </w:rPr>
        <w:t> </w:t>
      </w:r>
      <w:r>
        <w:rPr>
          <w:rStyle w:val="Appelnotedebasdep"/>
          <w:lang w:eastAsia="fr-FR" w:bidi="fr-FR"/>
        </w:rPr>
        <w:footnoteReference w:id="244"/>
      </w:r>
      <w:r w:rsidRPr="00594A23">
        <w:rPr>
          <w:lang w:eastAsia="fr-FR" w:bidi="fr-FR"/>
        </w:rPr>
        <w:t>.</w:t>
      </w:r>
    </w:p>
    <w:p w14:paraId="1D7A5E62" w14:textId="77777777" w:rsidR="0039793A" w:rsidRPr="00594A23" w:rsidRDefault="0039793A" w:rsidP="0039793A">
      <w:pPr>
        <w:pStyle w:val="Grillecouleur-Accent1"/>
      </w:pPr>
    </w:p>
    <w:p w14:paraId="7A838FF8" w14:textId="77777777" w:rsidR="0039793A" w:rsidRPr="00594A23" w:rsidRDefault="0039793A" w:rsidP="0039793A">
      <w:pPr>
        <w:spacing w:before="120" w:after="120"/>
        <w:jc w:val="both"/>
      </w:pPr>
      <w:r w:rsidRPr="00594A23">
        <w:rPr>
          <w:lang w:eastAsia="fr-FR" w:bidi="fr-FR"/>
        </w:rPr>
        <w:t>Globalement, l’école hégémoniste tend à s’opposer à une perce</w:t>
      </w:r>
      <w:r w:rsidRPr="00594A23">
        <w:rPr>
          <w:lang w:eastAsia="fr-FR" w:bidi="fr-FR"/>
        </w:rPr>
        <w:t>p</w:t>
      </w:r>
      <w:r w:rsidRPr="00594A23">
        <w:rPr>
          <w:lang w:eastAsia="fr-FR" w:bidi="fr-FR"/>
        </w:rPr>
        <w:t>tion qui voudrait que l’on puisse développer une politique multilatér</w:t>
      </w:r>
      <w:r w:rsidRPr="00594A23">
        <w:rPr>
          <w:lang w:eastAsia="fr-FR" w:bidi="fr-FR"/>
        </w:rPr>
        <w:t>a</w:t>
      </w:r>
      <w:r w:rsidRPr="00594A23">
        <w:rPr>
          <w:lang w:eastAsia="fr-FR" w:bidi="fr-FR"/>
        </w:rPr>
        <w:t>liste en en assurant la direction</w:t>
      </w:r>
      <w:r w:rsidRPr="00594A23">
        <w:t> ;</w:t>
      </w:r>
      <w:r w:rsidRPr="00594A23">
        <w:rPr>
          <w:lang w:eastAsia="fr-FR" w:bidi="fr-FR"/>
        </w:rPr>
        <w:t xml:space="preserve"> les États-Unis sont mieux d’agir en </w:t>
      </w:r>
      <w:r w:rsidRPr="00594A23">
        <w:t>« </w:t>
      </w:r>
      <w:r w:rsidRPr="008F6E0A">
        <w:rPr>
          <w:i/>
          <w:iCs/>
        </w:rPr>
        <w:t>hégémon</w:t>
      </w:r>
      <w:r w:rsidRPr="00594A23">
        <w:rPr>
          <w:lang w:eastAsia="fr-FR" w:bidi="fr-FR"/>
        </w:rPr>
        <w:t xml:space="preserve"> bienveillant</w:t>
      </w:r>
      <w:r w:rsidRPr="00594A23">
        <w:t> »</w:t>
      </w:r>
      <w:r w:rsidRPr="00594A23">
        <w:rPr>
          <w:lang w:eastAsia="fr-FR" w:bidi="fr-FR"/>
        </w:rPr>
        <w:t xml:space="preserve"> pour assurer le contrôle du système intern</w:t>
      </w:r>
      <w:r w:rsidRPr="00594A23">
        <w:rPr>
          <w:lang w:eastAsia="fr-FR" w:bidi="fr-FR"/>
        </w:rPr>
        <w:t>a</w:t>
      </w:r>
      <w:r w:rsidRPr="00594A23">
        <w:rPr>
          <w:lang w:eastAsia="fr-FR" w:bidi="fr-FR"/>
        </w:rPr>
        <w:t>tional.</w:t>
      </w:r>
    </w:p>
    <w:p w14:paraId="24370A0B" w14:textId="77777777" w:rsidR="0039793A" w:rsidRDefault="0039793A" w:rsidP="0039793A">
      <w:pPr>
        <w:spacing w:before="120" w:after="120"/>
        <w:jc w:val="both"/>
        <w:rPr>
          <w:lang w:eastAsia="fr-FR" w:bidi="fr-FR"/>
        </w:rPr>
      </w:pPr>
    </w:p>
    <w:p w14:paraId="6E88FFAA" w14:textId="77777777" w:rsidR="0039793A" w:rsidRPr="008F6E0A" w:rsidRDefault="0039793A" w:rsidP="0039793A">
      <w:pPr>
        <w:pStyle w:val="planche"/>
      </w:pPr>
      <w:bookmarkStart w:id="17" w:name="Pol_EU_pt_1_chap_04_2"/>
      <w:r w:rsidRPr="008F6E0A">
        <w:rPr>
          <w:lang w:eastAsia="fr-FR" w:bidi="fr-FR"/>
        </w:rPr>
        <w:t>Le multilatéralisme</w:t>
      </w:r>
      <w:r>
        <w:rPr>
          <w:lang w:eastAsia="fr-FR" w:bidi="fr-FR"/>
        </w:rPr>
        <w:br/>
      </w:r>
      <w:r w:rsidRPr="008F6E0A">
        <w:rPr>
          <w:lang w:eastAsia="fr-FR" w:bidi="fr-FR"/>
        </w:rPr>
        <w:t>par la direction du système inte</w:t>
      </w:r>
      <w:r w:rsidRPr="008F6E0A">
        <w:rPr>
          <w:lang w:eastAsia="fr-FR" w:bidi="fr-FR"/>
        </w:rPr>
        <w:t>r</w:t>
      </w:r>
      <w:r w:rsidRPr="008F6E0A">
        <w:rPr>
          <w:lang w:eastAsia="fr-FR" w:bidi="fr-FR"/>
        </w:rPr>
        <w:t>national</w:t>
      </w:r>
    </w:p>
    <w:bookmarkEnd w:id="17"/>
    <w:p w14:paraId="18C51B64" w14:textId="77777777" w:rsidR="0039793A" w:rsidRDefault="0039793A" w:rsidP="0039793A">
      <w:pPr>
        <w:spacing w:before="120" w:after="120"/>
        <w:jc w:val="both"/>
        <w:rPr>
          <w:lang w:eastAsia="fr-FR" w:bidi="fr-FR"/>
        </w:rPr>
      </w:pPr>
    </w:p>
    <w:p w14:paraId="5CB87DE7"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CC2F810" w14:textId="77777777" w:rsidR="0039793A" w:rsidRPr="00594A23" w:rsidRDefault="0039793A" w:rsidP="0039793A">
      <w:pPr>
        <w:spacing w:before="120" w:after="120"/>
        <w:jc w:val="both"/>
      </w:pPr>
      <w:r w:rsidRPr="00594A23">
        <w:rPr>
          <w:lang w:eastAsia="fr-FR" w:bidi="fr-FR"/>
        </w:rPr>
        <w:t>Les écoles institutionnalistes, équilibristes et idéalistes sont des approches multilatéralistes qui mettent l’accent sur l’importance, pour les États-Unis, de diriger le système i</w:t>
      </w:r>
      <w:r w:rsidRPr="00594A23">
        <w:rPr>
          <w:lang w:eastAsia="fr-FR" w:bidi="fr-FR"/>
        </w:rPr>
        <w:t>n</w:t>
      </w:r>
      <w:r w:rsidRPr="00594A23">
        <w:rPr>
          <w:lang w:eastAsia="fr-FR" w:bidi="fr-FR"/>
        </w:rPr>
        <w:t>ternational de concert avec les institutions internationales et les autres grandes puissances.</w:t>
      </w:r>
    </w:p>
    <w:p w14:paraId="4EB33BED" w14:textId="77777777" w:rsidR="0039793A" w:rsidRDefault="0039793A" w:rsidP="0039793A">
      <w:pPr>
        <w:spacing w:before="120" w:after="120"/>
        <w:jc w:val="both"/>
      </w:pPr>
      <w:r>
        <w:t>[110]</w:t>
      </w:r>
    </w:p>
    <w:p w14:paraId="4D0EE331" w14:textId="77777777" w:rsidR="0039793A" w:rsidRDefault="0039793A" w:rsidP="0039793A">
      <w:pPr>
        <w:spacing w:before="120" w:after="120"/>
        <w:jc w:val="both"/>
      </w:pPr>
    </w:p>
    <w:p w14:paraId="4F2E9E73" w14:textId="77777777" w:rsidR="0039793A" w:rsidRPr="00594A23" w:rsidRDefault="0039793A" w:rsidP="0039793A">
      <w:pPr>
        <w:pStyle w:val="a"/>
      </w:pPr>
      <w:r w:rsidRPr="00594A23">
        <w:t>L’école institutionnaliste</w:t>
      </w:r>
    </w:p>
    <w:p w14:paraId="4A817ED7" w14:textId="77777777" w:rsidR="0039793A" w:rsidRDefault="0039793A" w:rsidP="0039793A">
      <w:pPr>
        <w:spacing w:before="120" w:after="120"/>
        <w:jc w:val="both"/>
        <w:rPr>
          <w:lang w:eastAsia="fr-FR" w:bidi="fr-FR"/>
        </w:rPr>
      </w:pPr>
    </w:p>
    <w:p w14:paraId="64EBC882" w14:textId="77777777" w:rsidR="0039793A" w:rsidRPr="00594A23" w:rsidRDefault="0039793A" w:rsidP="0039793A">
      <w:pPr>
        <w:spacing w:before="120" w:after="120"/>
        <w:jc w:val="both"/>
      </w:pPr>
      <w:r w:rsidRPr="00594A23">
        <w:rPr>
          <w:lang w:eastAsia="fr-FR" w:bidi="fr-FR"/>
        </w:rPr>
        <w:t>Les institutionnalistes veulent préserver l’ordre intern</w:t>
      </w:r>
      <w:r w:rsidRPr="00594A23">
        <w:rPr>
          <w:lang w:eastAsia="fr-FR" w:bidi="fr-FR"/>
        </w:rPr>
        <w:t>a</w:t>
      </w:r>
      <w:r w:rsidRPr="00594A23">
        <w:rPr>
          <w:lang w:eastAsia="fr-FR" w:bidi="fr-FR"/>
        </w:rPr>
        <w:t>tional et l’hégémonie libérale américaine. Par conséquent, les intérêts nati</w:t>
      </w:r>
      <w:r w:rsidRPr="00594A23">
        <w:rPr>
          <w:lang w:eastAsia="fr-FR" w:bidi="fr-FR"/>
        </w:rPr>
        <w:t>o</w:t>
      </w:r>
      <w:r w:rsidRPr="00594A23">
        <w:rPr>
          <w:lang w:eastAsia="fr-FR" w:bidi="fr-FR"/>
        </w:rPr>
        <w:t>naux américains doivent le plus souvent coïncider avec les intérêts globaux de la communauté internationale. Les institutionnalistes pr</w:t>
      </w:r>
      <w:r w:rsidRPr="00594A23">
        <w:rPr>
          <w:lang w:eastAsia="fr-FR" w:bidi="fr-FR"/>
        </w:rPr>
        <w:t>é</w:t>
      </w:r>
      <w:r w:rsidRPr="00594A23">
        <w:rPr>
          <w:lang w:eastAsia="fr-FR" w:bidi="fr-FR"/>
        </w:rPr>
        <w:t>conisent dans les faits une auto-restriction stratégique des États-Unis, rendue po</w:t>
      </w:r>
      <w:r w:rsidRPr="00594A23">
        <w:rPr>
          <w:lang w:eastAsia="fr-FR" w:bidi="fr-FR"/>
        </w:rPr>
        <w:t>s</w:t>
      </w:r>
      <w:r w:rsidRPr="00594A23">
        <w:rPr>
          <w:lang w:eastAsia="fr-FR" w:bidi="fr-FR"/>
        </w:rPr>
        <w:t>sible par l’utilisation des institutions internationales dans lesquelles ils occupent une place prépondérante</w:t>
      </w:r>
      <w:r>
        <w:rPr>
          <w:lang w:eastAsia="fr-FR" w:bidi="fr-FR"/>
        </w:rPr>
        <w:t> </w:t>
      </w:r>
      <w:r>
        <w:rPr>
          <w:rStyle w:val="Appelnotedebasdep"/>
          <w:lang w:eastAsia="fr-FR" w:bidi="fr-FR"/>
        </w:rPr>
        <w:footnoteReference w:id="245"/>
      </w:r>
      <w:r>
        <w:rPr>
          <w:lang w:eastAsia="fr-FR" w:bidi="fr-FR"/>
        </w:rPr>
        <w:t>.</w:t>
      </w:r>
      <w:r w:rsidRPr="00594A23">
        <w:rPr>
          <w:lang w:eastAsia="fr-FR" w:bidi="fr-FR"/>
        </w:rPr>
        <w:t xml:space="preserve"> Cela s</w:t>
      </w:r>
      <w:r w:rsidRPr="00594A23">
        <w:rPr>
          <w:lang w:eastAsia="fr-FR" w:bidi="fr-FR"/>
        </w:rPr>
        <w:t>i</w:t>
      </w:r>
      <w:r w:rsidRPr="00594A23">
        <w:rPr>
          <w:lang w:eastAsia="fr-FR" w:bidi="fr-FR"/>
        </w:rPr>
        <w:t>gnifie qu’en dépit de leurs capacités considérables de pui</w:t>
      </w:r>
      <w:r w:rsidRPr="00594A23">
        <w:rPr>
          <w:lang w:eastAsia="fr-FR" w:bidi="fr-FR"/>
        </w:rPr>
        <w:t>s</w:t>
      </w:r>
      <w:r w:rsidRPr="00594A23">
        <w:rPr>
          <w:lang w:eastAsia="fr-FR" w:bidi="fr-FR"/>
        </w:rPr>
        <w:t>sance, les États-Unis doivent réfréner leurs ambitions en restant à l’écoute des autres a</w:t>
      </w:r>
      <w:r w:rsidRPr="00594A23">
        <w:rPr>
          <w:lang w:eastAsia="fr-FR" w:bidi="fr-FR"/>
        </w:rPr>
        <w:t>c</w:t>
      </w:r>
      <w:r w:rsidRPr="00594A23">
        <w:rPr>
          <w:lang w:eastAsia="fr-FR" w:bidi="fr-FR"/>
        </w:rPr>
        <w:t>teurs, dans les enceintes et les forums internationaux, ce qui rend du coup leur conduite plus acceptable et leur permet d’en retirer une plus grande influence encore. Les institutionnalistes privilégient donc l’action multilatérale et recommandent aux États-Unis d’agir de concert avec les autres acteurs du système intern</w:t>
      </w:r>
      <w:r w:rsidRPr="00594A23">
        <w:rPr>
          <w:lang w:eastAsia="fr-FR" w:bidi="fr-FR"/>
        </w:rPr>
        <w:t>a</w:t>
      </w:r>
      <w:r w:rsidRPr="00594A23">
        <w:rPr>
          <w:lang w:eastAsia="fr-FR" w:bidi="fr-FR"/>
        </w:rPr>
        <w:t>tional pour assurer leur leadership du système international.</w:t>
      </w:r>
    </w:p>
    <w:p w14:paraId="44780B3A" w14:textId="77777777" w:rsidR="0039793A" w:rsidRDefault="0039793A" w:rsidP="0039793A">
      <w:pPr>
        <w:spacing w:before="120" w:after="120"/>
        <w:jc w:val="both"/>
        <w:rPr>
          <w:lang w:eastAsia="fr-FR" w:bidi="fr-FR"/>
        </w:rPr>
      </w:pPr>
      <w:r>
        <w:rPr>
          <w:lang w:eastAsia="fr-FR" w:bidi="fr-FR"/>
        </w:rPr>
        <w:br w:type="page"/>
      </w:r>
    </w:p>
    <w:p w14:paraId="4C538E68" w14:textId="77777777" w:rsidR="0039793A" w:rsidRPr="008F6E0A" w:rsidRDefault="0039793A" w:rsidP="0039793A">
      <w:pPr>
        <w:pStyle w:val="b"/>
      </w:pPr>
      <w:r w:rsidRPr="008F6E0A">
        <w:rPr>
          <w:lang w:eastAsia="fr-FR" w:bidi="fr-FR"/>
        </w:rPr>
        <w:t>John Ikenberry</w:t>
      </w:r>
    </w:p>
    <w:p w14:paraId="3C8AF98F" w14:textId="77777777" w:rsidR="0039793A" w:rsidRDefault="0039793A" w:rsidP="0039793A">
      <w:pPr>
        <w:spacing w:before="120" w:after="120"/>
        <w:jc w:val="both"/>
        <w:rPr>
          <w:lang w:eastAsia="fr-FR" w:bidi="fr-FR"/>
        </w:rPr>
      </w:pPr>
    </w:p>
    <w:p w14:paraId="3A94AB41" w14:textId="77777777" w:rsidR="0039793A" w:rsidRPr="00594A23" w:rsidRDefault="0039793A" w:rsidP="0039793A">
      <w:pPr>
        <w:spacing w:before="120" w:after="120"/>
        <w:jc w:val="both"/>
      </w:pPr>
      <w:r w:rsidRPr="00594A23">
        <w:rPr>
          <w:lang w:eastAsia="fr-FR" w:bidi="fr-FR"/>
        </w:rPr>
        <w:t>John Ikenberry est avant tout intéressé par la constitution des o</w:t>
      </w:r>
      <w:r w:rsidRPr="00594A23">
        <w:rPr>
          <w:lang w:eastAsia="fr-FR" w:bidi="fr-FR"/>
        </w:rPr>
        <w:t>r</w:t>
      </w:r>
      <w:r w:rsidRPr="00594A23">
        <w:rPr>
          <w:lang w:eastAsia="fr-FR" w:bidi="fr-FR"/>
        </w:rPr>
        <w:t xml:space="preserve">dres internationaux qui surviennent après les guerres entre grandes puissances, </w:t>
      </w:r>
      <w:r w:rsidRPr="00594A23">
        <w:t>« </w:t>
      </w:r>
      <w:r w:rsidRPr="00594A23">
        <w:rPr>
          <w:lang w:eastAsia="fr-FR" w:bidi="fr-FR"/>
        </w:rPr>
        <w:t>après la victoire</w:t>
      </w:r>
      <w:r>
        <w:rPr>
          <w:lang w:eastAsia="fr-FR" w:bidi="fr-FR"/>
        </w:rPr>
        <w:t> </w:t>
      </w:r>
      <w:r>
        <w:rPr>
          <w:rStyle w:val="Appelnotedebasdep"/>
          <w:lang w:eastAsia="fr-FR" w:bidi="fr-FR"/>
        </w:rPr>
        <w:footnoteReference w:id="246"/>
      </w:r>
      <w:r w:rsidRPr="00594A23">
        <w:t> »</w:t>
      </w:r>
      <w:r w:rsidRPr="00594A23">
        <w:rPr>
          <w:lang w:eastAsia="fr-FR" w:bidi="fr-FR"/>
        </w:rPr>
        <w:t>. Il affirme que les grandes pui</w:t>
      </w:r>
      <w:r w:rsidRPr="00594A23">
        <w:rPr>
          <w:lang w:eastAsia="fr-FR" w:bidi="fr-FR"/>
        </w:rPr>
        <w:t>s</w:t>
      </w:r>
      <w:r w:rsidRPr="00594A23">
        <w:rPr>
          <w:lang w:eastAsia="fr-FR" w:bidi="fr-FR"/>
        </w:rPr>
        <w:t>sances victorieuses cherchent toutes à créer un ordre stable et des rel</w:t>
      </w:r>
      <w:r w:rsidRPr="00594A23">
        <w:rPr>
          <w:lang w:eastAsia="fr-FR" w:bidi="fr-FR"/>
        </w:rPr>
        <w:t>a</w:t>
      </w:r>
      <w:r w:rsidRPr="00594A23">
        <w:rPr>
          <w:lang w:eastAsia="fr-FR" w:bidi="fr-FR"/>
        </w:rPr>
        <w:t>tions de coopération interét</w:t>
      </w:r>
      <w:r w:rsidRPr="00594A23">
        <w:rPr>
          <w:lang w:eastAsia="fr-FR" w:bidi="fr-FR"/>
        </w:rPr>
        <w:t>a</w:t>
      </w:r>
      <w:r w:rsidRPr="00594A23">
        <w:rPr>
          <w:lang w:eastAsia="fr-FR" w:bidi="fr-FR"/>
        </w:rPr>
        <w:t>tiques. Il explique cependant que la nature de l’ordre international influera sur leurs capacités à prendre des e</w:t>
      </w:r>
      <w:r w:rsidRPr="00594A23">
        <w:rPr>
          <w:lang w:eastAsia="fr-FR" w:bidi="fr-FR"/>
        </w:rPr>
        <w:t>n</w:t>
      </w:r>
      <w:r w:rsidRPr="00594A23">
        <w:rPr>
          <w:lang w:eastAsia="fr-FR" w:bidi="fr-FR"/>
        </w:rPr>
        <w:t>gag</w:t>
      </w:r>
      <w:r w:rsidRPr="00594A23">
        <w:rPr>
          <w:lang w:eastAsia="fr-FR" w:bidi="fr-FR"/>
        </w:rPr>
        <w:t>e</w:t>
      </w:r>
      <w:r w:rsidRPr="00594A23">
        <w:rPr>
          <w:lang w:eastAsia="fr-FR" w:bidi="fr-FR"/>
        </w:rPr>
        <w:t>ments et à restreindre la puissance.</w:t>
      </w:r>
    </w:p>
    <w:p w14:paraId="747AC150" w14:textId="77777777" w:rsidR="0039793A" w:rsidRPr="00594A23" w:rsidRDefault="0039793A" w:rsidP="0039793A">
      <w:pPr>
        <w:spacing w:before="120" w:after="120"/>
        <w:jc w:val="both"/>
      </w:pPr>
      <w:r w:rsidRPr="00594A23">
        <w:rPr>
          <w:lang w:eastAsia="fr-FR" w:bidi="fr-FR"/>
        </w:rPr>
        <w:t>Pour John Ikenberry, la période de la guerre froide et de l’après-guerre froide est celle de l’hégémonie libérale am</w:t>
      </w:r>
      <w:r w:rsidRPr="00594A23">
        <w:rPr>
          <w:lang w:eastAsia="fr-FR" w:bidi="fr-FR"/>
        </w:rPr>
        <w:t>é</w:t>
      </w:r>
      <w:r w:rsidRPr="00594A23">
        <w:rPr>
          <w:lang w:eastAsia="fr-FR" w:bidi="fr-FR"/>
        </w:rPr>
        <w:t>ricaine</w:t>
      </w:r>
      <w:r>
        <w:rPr>
          <w:lang w:eastAsia="fr-FR" w:bidi="fr-FR"/>
        </w:rPr>
        <w:t> </w:t>
      </w:r>
      <w:r>
        <w:rPr>
          <w:rStyle w:val="Appelnotedebasdep"/>
          <w:lang w:eastAsia="fr-FR" w:bidi="fr-FR"/>
        </w:rPr>
        <w:footnoteReference w:id="247"/>
      </w:r>
      <w:r w:rsidRPr="00594A23">
        <w:rPr>
          <w:lang w:eastAsia="fr-FR" w:bidi="fr-FR"/>
        </w:rPr>
        <w:t>. Il met en relation la propagation du régime démo</w:t>
      </w:r>
      <w:r>
        <w:rPr>
          <w:lang w:eastAsia="fr-FR" w:bidi="fr-FR"/>
        </w:rPr>
        <w:t>cra</w:t>
      </w:r>
      <w:r w:rsidRPr="00594A23">
        <w:rPr>
          <w:lang w:eastAsia="fr-FR" w:bidi="fr-FR"/>
        </w:rPr>
        <w:t>tique</w:t>
      </w:r>
      <w:r>
        <w:t xml:space="preserve"> [111]</w:t>
      </w:r>
      <w:r w:rsidRPr="00594A23">
        <w:rPr>
          <w:lang w:eastAsia="fr-FR" w:bidi="fr-FR"/>
        </w:rPr>
        <w:t xml:space="preserve"> au </w:t>
      </w:r>
      <w:r w:rsidRPr="00594A23">
        <w:t>XX</w:t>
      </w:r>
      <w:r w:rsidRPr="00594A23">
        <w:rPr>
          <w:vertAlign w:val="superscript"/>
        </w:rPr>
        <w:t>e</w:t>
      </w:r>
      <w:r w:rsidRPr="00594A23">
        <w:t xml:space="preserve"> </w:t>
      </w:r>
      <w:r w:rsidRPr="00594A23">
        <w:rPr>
          <w:lang w:eastAsia="fr-FR" w:bidi="fr-FR"/>
        </w:rPr>
        <w:t>si</w:t>
      </w:r>
      <w:r w:rsidRPr="00594A23">
        <w:rPr>
          <w:lang w:eastAsia="fr-FR" w:bidi="fr-FR"/>
        </w:rPr>
        <w:t>è</w:t>
      </w:r>
      <w:r w:rsidRPr="00594A23">
        <w:rPr>
          <w:lang w:eastAsia="fr-FR" w:bidi="fr-FR"/>
        </w:rPr>
        <w:t>cle</w:t>
      </w:r>
      <w:r>
        <w:rPr>
          <w:lang w:eastAsia="fr-FR" w:bidi="fr-FR"/>
        </w:rPr>
        <w:t> </w:t>
      </w:r>
      <w:r>
        <w:rPr>
          <w:rStyle w:val="Appelnotedebasdep"/>
          <w:lang w:eastAsia="fr-FR" w:bidi="fr-FR"/>
        </w:rPr>
        <w:footnoteReference w:id="248"/>
      </w:r>
      <w:r w:rsidRPr="00594A23">
        <w:rPr>
          <w:lang w:eastAsia="fr-FR" w:bidi="fr-FR"/>
        </w:rPr>
        <w:t xml:space="preserve"> et la construction et l’utilisation des institutions internationales, pour caractériser l’ordre intern</w:t>
      </w:r>
      <w:r w:rsidRPr="00594A23">
        <w:rPr>
          <w:lang w:eastAsia="fr-FR" w:bidi="fr-FR"/>
        </w:rPr>
        <w:t>a</w:t>
      </w:r>
      <w:r w:rsidRPr="00594A23">
        <w:rPr>
          <w:lang w:eastAsia="fr-FR" w:bidi="fr-FR"/>
        </w:rPr>
        <w:t>tional mis en place après la seconde guerre mondiale</w:t>
      </w:r>
      <w:r>
        <w:rPr>
          <w:lang w:eastAsia="fr-FR" w:bidi="fr-FR"/>
        </w:rPr>
        <w:t> </w:t>
      </w:r>
      <w:r>
        <w:rPr>
          <w:rStyle w:val="Appelnotedebasdep"/>
          <w:lang w:eastAsia="fr-FR" w:bidi="fr-FR"/>
        </w:rPr>
        <w:footnoteReference w:id="249"/>
      </w:r>
      <w:r w:rsidRPr="00594A23">
        <w:rPr>
          <w:lang w:eastAsia="fr-FR" w:bidi="fr-FR"/>
        </w:rPr>
        <w:t xml:space="preserve">. Les </w:t>
      </w:r>
      <w:r>
        <w:rPr>
          <w:lang w:eastAsia="fr-FR" w:bidi="fr-FR"/>
        </w:rPr>
        <w:t>État</w:t>
      </w:r>
      <w:r w:rsidRPr="00594A23">
        <w:rPr>
          <w:lang w:eastAsia="fr-FR" w:bidi="fr-FR"/>
        </w:rPr>
        <w:t>s-Unis étant au centre de l’ordre intern</w:t>
      </w:r>
      <w:r w:rsidRPr="00594A23">
        <w:rPr>
          <w:lang w:eastAsia="fr-FR" w:bidi="fr-FR"/>
        </w:rPr>
        <w:t>a</w:t>
      </w:r>
      <w:r w:rsidRPr="00594A23">
        <w:rPr>
          <w:lang w:eastAsia="fr-FR" w:bidi="fr-FR"/>
        </w:rPr>
        <w:t>tional, Ikenberry explique la stabilité de cet ordre par le caractère lib</w:t>
      </w:r>
      <w:r w:rsidRPr="00594A23">
        <w:rPr>
          <w:lang w:eastAsia="fr-FR" w:bidi="fr-FR"/>
        </w:rPr>
        <w:t>é</w:t>
      </w:r>
      <w:r w:rsidRPr="00594A23">
        <w:rPr>
          <w:lang w:eastAsia="fr-FR" w:bidi="fr-FR"/>
        </w:rPr>
        <w:t>ral du système politique américain, et fonde cet équilibre sur l’auto-restriction stratégique des États-Unis et sur les institutions multilatér</w:t>
      </w:r>
      <w:r w:rsidRPr="00594A23">
        <w:rPr>
          <w:lang w:eastAsia="fr-FR" w:bidi="fr-FR"/>
        </w:rPr>
        <w:t>a</w:t>
      </w:r>
      <w:r w:rsidRPr="00594A23">
        <w:rPr>
          <w:lang w:eastAsia="fr-FR" w:bidi="fr-FR"/>
        </w:rPr>
        <w:t xml:space="preserve">les dites contraignantes </w:t>
      </w:r>
      <w:r w:rsidRPr="00594A23">
        <w:t>(</w:t>
      </w:r>
      <w:r w:rsidRPr="002874E0">
        <w:rPr>
          <w:i/>
          <w:iCs/>
        </w:rPr>
        <w:t>binding institutions</w:t>
      </w:r>
      <w:r w:rsidRPr="00594A23">
        <w:rPr>
          <w:lang w:eastAsia="fr-FR" w:bidi="fr-FR"/>
        </w:rPr>
        <w:t>). Ces dernières astrei</w:t>
      </w:r>
      <w:r w:rsidRPr="00594A23">
        <w:rPr>
          <w:lang w:eastAsia="fr-FR" w:bidi="fr-FR"/>
        </w:rPr>
        <w:t>n</w:t>
      </w:r>
      <w:r w:rsidRPr="00594A23">
        <w:rPr>
          <w:lang w:eastAsia="fr-FR" w:bidi="fr-FR"/>
        </w:rPr>
        <w:t>draient en effet les États-Unis à restreindre leur liberté d’action co</w:t>
      </w:r>
      <w:r w:rsidRPr="00594A23">
        <w:rPr>
          <w:lang w:eastAsia="fr-FR" w:bidi="fr-FR"/>
        </w:rPr>
        <w:t>m</w:t>
      </w:r>
      <w:r w:rsidRPr="00594A23">
        <w:rPr>
          <w:lang w:eastAsia="fr-FR" w:bidi="fr-FR"/>
        </w:rPr>
        <w:t>me puissance hégémonique pour favoriser un ordre international st</w:t>
      </w:r>
      <w:r w:rsidRPr="00594A23">
        <w:rPr>
          <w:lang w:eastAsia="fr-FR" w:bidi="fr-FR"/>
        </w:rPr>
        <w:t>a</w:t>
      </w:r>
      <w:r w:rsidRPr="00594A23">
        <w:rPr>
          <w:lang w:eastAsia="fr-FR" w:bidi="fr-FR"/>
        </w:rPr>
        <w:t>ble et pacifique entre les démocraties industrielles. L’adoption du lib</w:t>
      </w:r>
      <w:r w:rsidRPr="00594A23">
        <w:rPr>
          <w:lang w:eastAsia="fr-FR" w:bidi="fr-FR"/>
        </w:rPr>
        <w:t>é</w:t>
      </w:r>
      <w:r w:rsidRPr="00594A23">
        <w:rPr>
          <w:lang w:eastAsia="fr-FR" w:bidi="fr-FR"/>
        </w:rPr>
        <w:t>ralisme démocratique sur le plan national conduirait à la mise sur pied d’institutions internationales fonctionnant sur une logique de sépar</w:t>
      </w:r>
      <w:r w:rsidRPr="00594A23">
        <w:rPr>
          <w:lang w:eastAsia="fr-FR" w:bidi="fr-FR"/>
        </w:rPr>
        <w:t>a</w:t>
      </w:r>
      <w:r w:rsidRPr="00594A23">
        <w:rPr>
          <w:lang w:eastAsia="fr-FR" w:bidi="fr-FR"/>
        </w:rPr>
        <w:t>tion des pouvoirs et de freins et contrepoids entre les grandes puissa</w:t>
      </w:r>
      <w:r w:rsidRPr="00594A23">
        <w:rPr>
          <w:lang w:eastAsia="fr-FR" w:bidi="fr-FR"/>
        </w:rPr>
        <w:t>n</w:t>
      </w:r>
      <w:r w:rsidRPr="00594A23">
        <w:rPr>
          <w:lang w:eastAsia="fr-FR" w:bidi="fr-FR"/>
        </w:rPr>
        <w:t>ces et les institutions internationales. Cet ordre inte</w:t>
      </w:r>
      <w:r w:rsidRPr="00594A23">
        <w:rPr>
          <w:lang w:eastAsia="fr-FR" w:bidi="fr-FR"/>
        </w:rPr>
        <w:t>r</w:t>
      </w:r>
      <w:r w:rsidRPr="00594A23">
        <w:rPr>
          <w:lang w:eastAsia="fr-FR" w:bidi="fr-FR"/>
        </w:rPr>
        <w:t>national comporte des institutions et des normes acceptées par les États membres, lim</w:t>
      </w:r>
      <w:r w:rsidRPr="00594A23">
        <w:rPr>
          <w:lang w:eastAsia="fr-FR" w:bidi="fr-FR"/>
        </w:rPr>
        <w:t>i</w:t>
      </w:r>
      <w:r w:rsidRPr="00594A23">
        <w:rPr>
          <w:lang w:eastAsia="fr-FR" w:bidi="fr-FR"/>
        </w:rPr>
        <w:t>tant l’exercice de la puissance (les États-Unis notamment). Cela e</w:t>
      </w:r>
      <w:r w:rsidRPr="00594A23">
        <w:rPr>
          <w:lang w:eastAsia="fr-FR" w:bidi="fr-FR"/>
        </w:rPr>
        <w:t>n</w:t>
      </w:r>
      <w:r w:rsidRPr="00594A23">
        <w:rPr>
          <w:lang w:eastAsia="fr-FR" w:bidi="fr-FR"/>
        </w:rPr>
        <w:t>traîne Ikenberry à soutenir, étant donné l’institutionnalisation des pr</w:t>
      </w:r>
      <w:r w:rsidRPr="00594A23">
        <w:rPr>
          <w:lang w:eastAsia="fr-FR" w:bidi="fr-FR"/>
        </w:rPr>
        <w:t>o</w:t>
      </w:r>
      <w:r w:rsidRPr="00594A23">
        <w:rPr>
          <w:lang w:eastAsia="fr-FR" w:bidi="fr-FR"/>
        </w:rPr>
        <w:t>cessus de participation et de prise de d</w:t>
      </w:r>
      <w:r w:rsidRPr="00594A23">
        <w:rPr>
          <w:lang w:eastAsia="fr-FR" w:bidi="fr-FR"/>
        </w:rPr>
        <w:t>é</w:t>
      </w:r>
      <w:r w:rsidRPr="00594A23">
        <w:rPr>
          <w:lang w:eastAsia="fr-FR" w:bidi="fr-FR"/>
        </w:rPr>
        <w:t>cision, que l’on retrouve les conditions suffisa</w:t>
      </w:r>
      <w:r w:rsidRPr="00594A23">
        <w:rPr>
          <w:lang w:eastAsia="fr-FR" w:bidi="fr-FR"/>
        </w:rPr>
        <w:t>n</w:t>
      </w:r>
      <w:r w:rsidRPr="00594A23">
        <w:rPr>
          <w:lang w:eastAsia="fr-FR" w:bidi="fr-FR"/>
        </w:rPr>
        <w:t xml:space="preserve">tes pour qualifier l’ordre politique international prévalant depuis la fin de la seconde guerre mondiale de modèle </w:t>
      </w:r>
      <w:r w:rsidRPr="00594A23">
        <w:t>« </w:t>
      </w:r>
      <w:r w:rsidRPr="00594A23">
        <w:rPr>
          <w:lang w:eastAsia="fr-FR" w:bidi="fr-FR"/>
        </w:rPr>
        <w:t>constitutionnel</w:t>
      </w:r>
      <w:r w:rsidRPr="00594A23">
        <w:t> »</w:t>
      </w:r>
      <w:r w:rsidRPr="00594A23">
        <w:rPr>
          <w:lang w:eastAsia="fr-FR" w:bidi="fr-FR"/>
        </w:rPr>
        <w:t>, par opposition à un ordre basé soit sur une pui</w:t>
      </w:r>
      <w:r w:rsidRPr="00594A23">
        <w:rPr>
          <w:lang w:eastAsia="fr-FR" w:bidi="fr-FR"/>
        </w:rPr>
        <w:t>s</w:t>
      </w:r>
      <w:r w:rsidRPr="00594A23">
        <w:rPr>
          <w:lang w:eastAsia="fr-FR" w:bidi="fr-FR"/>
        </w:rPr>
        <w:t>sance hégémonique œuvrant dans un système d</w:t>
      </w:r>
      <w:r w:rsidRPr="00594A23">
        <w:rPr>
          <w:lang w:eastAsia="fr-FR" w:bidi="fr-FR"/>
        </w:rPr>
        <w:t>é</w:t>
      </w:r>
      <w:r w:rsidRPr="00594A23">
        <w:rPr>
          <w:lang w:eastAsia="fr-FR" w:bidi="fr-FR"/>
        </w:rPr>
        <w:t>pourvu d’institutions multilatérales, soit sur un équilibre des puissances</w:t>
      </w:r>
      <w:r>
        <w:rPr>
          <w:lang w:eastAsia="fr-FR" w:bidi="fr-FR"/>
        </w:rPr>
        <w:t> </w:t>
      </w:r>
      <w:r>
        <w:rPr>
          <w:rStyle w:val="Appelnotedebasdep"/>
          <w:lang w:eastAsia="fr-FR" w:bidi="fr-FR"/>
        </w:rPr>
        <w:footnoteReference w:id="250"/>
      </w:r>
      <w:r w:rsidRPr="00594A23">
        <w:rPr>
          <w:lang w:eastAsia="fr-FR" w:bidi="fr-FR"/>
        </w:rPr>
        <w:t>.</w:t>
      </w:r>
    </w:p>
    <w:p w14:paraId="24571F10" w14:textId="77777777" w:rsidR="0039793A" w:rsidRPr="00594A23" w:rsidRDefault="0039793A" w:rsidP="0039793A">
      <w:pPr>
        <w:spacing w:before="120" w:after="120"/>
        <w:jc w:val="both"/>
      </w:pPr>
      <w:r w:rsidRPr="00594A23">
        <w:rPr>
          <w:lang w:eastAsia="fr-FR" w:bidi="fr-FR"/>
        </w:rPr>
        <w:t>Se prononçant sur le maintien de l’unipolarité américaine, Ikenbe</w:t>
      </w:r>
      <w:r w:rsidRPr="00594A23">
        <w:rPr>
          <w:lang w:eastAsia="fr-FR" w:bidi="fr-FR"/>
        </w:rPr>
        <w:t>r</w:t>
      </w:r>
      <w:r w:rsidRPr="00594A23">
        <w:rPr>
          <w:lang w:eastAsia="fr-FR" w:bidi="fr-FR"/>
        </w:rPr>
        <w:t>ry insiste sur le nécessaire recours aux instit</w:t>
      </w:r>
      <w:r w:rsidRPr="00594A23">
        <w:rPr>
          <w:lang w:eastAsia="fr-FR" w:bidi="fr-FR"/>
        </w:rPr>
        <w:t>u</w:t>
      </w:r>
      <w:r w:rsidRPr="00594A23">
        <w:rPr>
          <w:lang w:eastAsia="fr-FR" w:bidi="fr-FR"/>
        </w:rPr>
        <w:t>tions internationales par les États-Unis pour favoriser la stabilité de l’ordre</w:t>
      </w:r>
      <w:r>
        <w:t xml:space="preserve"> [112] </w:t>
      </w:r>
      <w:r w:rsidRPr="00594A23">
        <w:rPr>
          <w:lang w:eastAsia="fr-FR" w:bidi="fr-FR"/>
        </w:rPr>
        <w:t>internati</w:t>
      </w:r>
      <w:r w:rsidRPr="00594A23">
        <w:rPr>
          <w:lang w:eastAsia="fr-FR" w:bidi="fr-FR"/>
        </w:rPr>
        <w:t>o</w:t>
      </w:r>
      <w:r w:rsidRPr="00594A23">
        <w:rPr>
          <w:lang w:eastAsia="fr-FR" w:bidi="fr-FR"/>
        </w:rPr>
        <w:t>nal</w:t>
      </w:r>
      <w:r>
        <w:rPr>
          <w:lang w:eastAsia="fr-FR" w:bidi="fr-FR"/>
        </w:rPr>
        <w:t> </w:t>
      </w:r>
      <w:r>
        <w:rPr>
          <w:rStyle w:val="Appelnotedebasdep"/>
          <w:lang w:eastAsia="fr-FR" w:bidi="fr-FR"/>
        </w:rPr>
        <w:footnoteReference w:id="251"/>
      </w:r>
      <w:r w:rsidRPr="00594A23">
        <w:rPr>
          <w:lang w:eastAsia="fr-FR" w:bidi="fr-FR"/>
        </w:rPr>
        <w:t>. Bien qu’elles impliquent une certaine restriction de la puissa</w:t>
      </w:r>
      <w:r w:rsidRPr="00594A23">
        <w:rPr>
          <w:lang w:eastAsia="fr-FR" w:bidi="fr-FR"/>
        </w:rPr>
        <w:t>n</w:t>
      </w:r>
      <w:r w:rsidRPr="00594A23">
        <w:rPr>
          <w:lang w:eastAsia="fr-FR" w:bidi="fr-FR"/>
        </w:rPr>
        <w:t>ce américaine, elles permettent aux États-Unis d’exercer une plus grande influence sur les autres grandes puissances et acteurs du sy</w:t>
      </w:r>
      <w:r w:rsidRPr="00594A23">
        <w:rPr>
          <w:lang w:eastAsia="fr-FR" w:bidi="fr-FR"/>
        </w:rPr>
        <w:t>s</w:t>
      </w:r>
      <w:r w:rsidRPr="00594A23">
        <w:rPr>
          <w:lang w:eastAsia="fr-FR" w:bidi="fr-FR"/>
        </w:rPr>
        <w:t>tème international. Commentant la conduite de l’Administration de George W. Bush, Ikenberry a d’abord cru que le contexte de l’après-11 septembre 2001 serait favorable à une coopér</w:t>
      </w:r>
      <w:r w:rsidRPr="00594A23">
        <w:rPr>
          <w:lang w:eastAsia="fr-FR" w:bidi="fr-FR"/>
        </w:rPr>
        <w:t>a</w:t>
      </w:r>
      <w:r w:rsidRPr="00594A23">
        <w:rPr>
          <w:lang w:eastAsia="fr-FR" w:bidi="fr-FR"/>
        </w:rPr>
        <w:t>tion accrue entre les grandes puissances</w:t>
      </w:r>
      <w:r>
        <w:rPr>
          <w:lang w:eastAsia="fr-FR" w:bidi="fr-FR"/>
        </w:rPr>
        <w:t> </w:t>
      </w:r>
      <w:r>
        <w:rPr>
          <w:rStyle w:val="Appelnotedebasdep"/>
          <w:lang w:eastAsia="fr-FR" w:bidi="fr-FR"/>
        </w:rPr>
        <w:footnoteReference w:id="252"/>
      </w:r>
      <w:r w:rsidRPr="00594A23">
        <w:rPr>
          <w:lang w:eastAsia="fr-FR" w:bidi="fr-FR"/>
        </w:rPr>
        <w:t>. Cela a d’ailleurs été temporairement le cas. Toutefois, la conduite unilatéraliste de l’Administration américa</w:t>
      </w:r>
      <w:r w:rsidRPr="00594A23">
        <w:rPr>
          <w:lang w:eastAsia="fr-FR" w:bidi="fr-FR"/>
        </w:rPr>
        <w:t>i</w:t>
      </w:r>
      <w:r w:rsidRPr="00594A23">
        <w:rPr>
          <w:lang w:eastAsia="fr-FR" w:bidi="fr-FR"/>
        </w:rPr>
        <w:t xml:space="preserve">ne (comme le retrait du traité </w:t>
      </w:r>
      <w:r w:rsidRPr="00594A23">
        <w:t xml:space="preserve">ABM </w:t>
      </w:r>
      <w:r w:rsidRPr="00594A23">
        <w:rPr>
          <w:lang w:eastAsia="fr-FR" w:bidi="fr-FR"/>
        </w:rPr>
        <w:t>de 1972) et son obstination dans la question irakienne ont amené Ikenberry à critiquer les visées néoi</w:t>
      </w:r>
      <w:r w:rsidRPr="00594A23">
        <w:rPr>
          <w:lang w:eastAsia="fr-FR" w:bidi="fr-FR"/>
        </w:rPr>
        <w:t>m</w:t>
      </w:r>
      <w:r w:rsidRPr="00594A23">
        <w:rPr>
          <w:lang w:eastAsia="fr-FR" w:bidi="fr-FR"/>
        </w:rPr>
        <w:t>périalistes des États-Unis</w:t>
      </w:r>
      <w:r w:rsidRPr="00594A23">
        <w:t> :</w:t>
      </w:r>
      <w:r w:rsidRPr="00594A23">
        <w:rPr>
          <w:lang w:eastAsia="fr-FR" w:bidi="fr-FR"/>
        </w:rPr>
        <w:t xml:space="preserve"> il préconise plutôt un retour à la str</w:t>
      </w:r>
      <w:r w:rsidRPr="00594A23">
        <w:rPr>
          <w:lang w:eastAsia="fr-FR" w:bidi="fr-FR"/>
        </w:rPr>
        <w:t>a</w:t>
      </w:r>
      <w:r w:rsidRPr="00594A23">
        <w:rPr>
          <w:lang w:eastAsia="fr-FR" w:bidi="fr-FR"/>
        </w:rPr>
        <w:t>tégie globale qui a assuré la stabilité de l’ordre international libéral amér</w:t>
      </w:r>
      <w:r w:rsidRPr="00594A23">
        <w:rPr>
          <w:lang w:eastAsia="fr-FR" w:bidi="fr-FR"/>
        </w:rPr>
        <w:t>i</w:t>
      </w:r>
      <w:r w:rsidRPr="00594A23">
        <w:rPr>
          <w:lang w:eastAsia="fr-FR" w:bidi="fr-FR"/>
        </w:rPr>
        <w:t>cain depuis la fin de la seconde gue</w:t>
      </w:r>
      <w:r w:rsidRPr="00594A23">
        <w:rPr>
          <w:lang w:eastAsia="fr-FR" w:bidi="fr-FR"/>
        </w:rPr>
        <w:t>r</w:t>
      </w:r>
      <w:r w:rsidRPr="00594A23">
        <w:rPr>
          <w:lang w:eastAsia="fr-FR" w:bidi="fr-FR"/>
        </w:rPr>
        <w:t>re mondiale, en conjuguant l’approche réaliste de l’équilibre des puissances et l’approche multil</w:t>
      </w:r>
      <w:r w:rsidRPr="00594A23">
        <w:rPr>
          <w:lang w:eastAsia="fr-FR" w:bidi="fr-FR"/>
        </w:rPr>
        <w:t>a</w:t>
      </w:r>
      <w:r w:rsidRPr="00594A23">
        <w:rPr>
          <w:lang w:eastAsia="fr-FR" w:bidi="fr-FR"/>
        </w:rPr>
        <w:t>téraliste libérale</w:t>
      </w:r>
      <w:r>
        <w:rPr>
          <w:lang w:eastAsia="fr-FR" w:bidi="fr-FR"/>
        </w:rPr>
        <w:t> </w:t>
      </w:r>
      <w:r>
        <w:rPr>
          <w:rStyle w:val="Appelnotedebasdep"/>
          <w:lang w:eastAsia="fr-FR" w:bidi="fr-FR"/>
        </w:rPr>
        <w:footnoteReference w:id="253"/>
      </w:r>
      <w:r w:rsidRPr="00594A23">
        <w:rPr>
          <w:lang w:eastAsia="fr-FR" w:bidi="fr-FR"/>
        </w:rPr>
        <w:t>.</w:t>
      </w:r>
    </w:p>
    <w:p w14:paraId="3D4F6C2C" w14:textId="77777777" w:rsidR="0039793A" w:rsidRDefault="0039793A" w:rsidP="0039793A">
      <w:pPr>
        <w:spacing w:before="120" w:after="120"/>
        <w:jc w:val="both"/>
        <w:rPr>
          <w:lang w:eastAsia="fr-FR" w:bidi="fr-FR"/>
        </w:rPr>
      </w:pPr>
    </w:p>
    <w:p w14:paraId="2AF5B924" w14:textId="77777777" w:rsidR="0039793A" w:rsidRPr="007D10B6" w:rsidRDefault="0039793A" w:rsidP="0039793A">
      <w:pPr>
        <w:pStyle w:val="b"/>
      </w:pPr>
      <w:r w:rsidRPr="007D10B6">
        <w:rPr>
          <w:lang w:eastAsia="fr-FR" w:bidi="fr-FR"/>
        </w:rPr>
        <w:t>Joseph Nye</w:t>
      </w:r>
    </w:p>
    <w:p w14:paraId="2FCC55CC" w14:textId="77777777" w:rsidR="0039793A" w:rsidRDefault="0039793A" w:rsidP="0039793A">
      <w:pPr>
        <w:spacing w:before="120" w:after="120"/>
        <w:jc w:val="both"/>
        <w:rPr>
          <w:lang w:eastAsia="fr-FR" w:bidi="fr-FR"/>
        </w:rPr>
      </w:pPr>
    </w:p>
    <w:p w14:paraId="4D044408" w14:textId="77777777" w:rsidR="0039793A" w:rsidRPr="00594A23" w:rsidRDefault="0039793A" w:rsidP="0039793A">
      <w:pPr>
        <w:spacing w:before="120" w:after="120"/>
        <w:jc w:val="both"/>
      </w:pPr>
      <w:r>
        <w:rPr>
          <w:lang w:eastAsia="fr-FR" w:bidi="fr-FR"/>
        </w:rPr>
        <w:t>À</w:t>
      </w:r>
      <w:r w:rsidRPr="00594A23">
        <w:rPr>
          <w:lang w:eastAsia="fr-FR" w:bidi="fr-FR"/>
        </w:rPr>
        <w:t xml:space="preserve"> la fin de la guerre froide, Joseph Nye, l’actuel doyen de la </w:t>
      </w:r>
      <w:r w:rsidRPr="007D10B6">
        <w:rPr>
          <w:i/>
          <w:iCs/>
        </w:rPr>
        <w:t>Ke</w:t>
      </w:r>
      <w:r w:rsidRPr="007D10B6">
        <w:rPr>
          <w:i/>
          <w:iCs/>
        </w:rPr>
        <w:t>n</w:t>
      </w:r>
      <w:r w:rsidRPr="007D10B6">
        <w:rPr>
          <w:i/>
          <w:iCs/>
        </w:rPr>
        <w:t>nedy School of Government</w:t>
      </w:r>
      <w:r w:rsidRPr="00594A23">
        <w:rPr>
          <w:lang w:eastAsia="fr-FR" w:bidi="fr-FR"/>
        </w:rPr>
        <w:t xml:space="preserve"> de l’Université Harvard, publiait un o</w:t>
      </w:r>
      <w:r w:rsidRPr="00594A23">
        <w:rPr>
          <w:lang w:eastAsia="fr-FR" w:bidi="fr-FR"/>
        </w:rPr>
        <w:t>u</w:t>
      </w:r>
      <w:r w:rsidRPr="00594A23">
        <w:rPr>
          <w:lang w:eastAsia="fr-FR" w:bidi="fr-FR"/>
        </w:rPr>
        <w:t>vrage très influent</w:t>
      </w:r>
      <w:r w:rsidRPr="00594A23">
        <w:t> :</w:t>
      </w:r>
      <w:r w:rsidRPr="00594A23">
        <w:rPr>
          <w:lang w:eastAsia="fr-FR" w:bidi="fr-FR"/>
        </w:rPr>
        <w:t xml:space="preserve"> </w:t>
      </w:r>
      <w:r w:rsidRPr="007D10B6">
        <w:rPr>
          <w:i/>
          <w:iCs/>
        </w:rPr>
        <w:t>Bound to Lead : The Changing Nature of Amer</w:t>
      </w:r>
      <w:r w:rsidRPr="007D10B6">
        <w:rPr>
          <w:i/>
          <w:iCs/>
        </w:rPr>
        <w:t>i</w:t>
      </w:r>
      <w:r w:rsidRPr="007D10B6">
        <w:rPr>
          <w:i/>
          <w:iCs/>
        </w:rPr>
        <w:t>can Leadership</w:t>
      </w:r>
      <w:r w:rsidRPr="00594A23">
        <w:t>.</w:t>
      </w:r>
      <w:r w:rsidRPr="00594A23">
        <w:rPr>
          <w:lang w:eastAsia="fr-FR" w:bidi="fr-FR"/>
        </w:rPr>
        <w:t xml:space="preserve"> Il s’interrogeait sur le leadership américain du syst</w:t>
      </w:r>
      <w:r w:rsidRPr="00594A23">
        <w:rPr>
          <w:lang w:eastAsia="fr-FR" w:bidi="fr-FR"/>
        </w:rPr>
        <w:t>è</w:t>
      </w:r>
      <w:r w:rsidRPr="00594A23">
        <w:rPr>
          <w:lang w:eastAsia="fr-FR" w:bidi="fr-FR"/>
        </w:rPr>
        <w:t>me international et sur la nature de la puissance américaine. Il en di</w:t>
      </w:r>
      <w:r w:rsidRPr="00594A23">
        <w:rPr>
          <w:lang w:eastAsia="fr-FR" w:bidi="fr-FR"/>
        </w:rPr>
        <w:t>s</w:t>
      </w:r>
      <w:r w:rsidRPr="00594A23">
        <w:rPr>
          <w:lang w:eastAsia="fr-FR" w:bidi="fr-FR"/>
        </w:rPr>
        <w:t>tinguait deux formes</w:t>
      </w:r>
      <w:r w:rsidRPr="00594A23">
        <w:t> :</w:t>
      </w:r>
      <w:r w:rsidRPr="00594A23">
        <w:rPr>
          <w:lang w:eastAsia="fr-FR" w:bidi="fr-FR"/>
        </w:rPr>
        <w:t xml:space="preserve"> la puissance brute </w:t>
      </w:r>
      <w:r>
        <w:t>(</w:t>
      </w:r>
      <w:r w:rsidRPr="007D10B6">
        <w:rPr>
          <w:i/>
          <w:iCs/>
        </w:rPr>
        <w:t>hard power</w:t>
      </w:r>
      <w:r w:rsidRPr="00594A23">
        <w:t>),</w:t>
      </w:r>
      <w:r w:rsidRPr="00594A23">
        <w:rPr>
          <w:lang w:eastAsia="fr-FR" w:bidi="fr-FR"/>
        </w:rPr>
        <w:t xml:space="preserve"> qui désigne essentiellement la puissance militaire traditionnelle, et la puissa</w:t>
      </w:r>
      <w:r w:rsidRPr="00594A23">
        <w:rPr>
          <w:lang w:eastAsia="fr-FR" w:bidi="fr-FR"/>
        </w:rPr>
        <w:t>n</w:t>
      </w:r>
      <w:r w:rsidRPr="00594A23">
        <w:rPr>
          <w:lang w:eastAsia="fr-FR" w:bidi="fr-FR"/>
        </w:rPr>
        <w:t>ce souple (</w:t>
      </w:r>
      <w:r w:rsidRPr="007D10B6">
        <w:rPr>
          <w:i/>
          <w:iCs/>
        </w:rPr>
        <w:t>soft power</w:t>
      </w:r>
      <w:r w:rsidRPr="00594A23">
        <w:t>),</w:t>
      </w:r>
      <w:r w:rsidRPr="00594A23">
        <w:rPr>
          <w:lang w:eastAsia="fr-FR" w:bidi="fr-FR"/>
        </w:rPr>
        <w:t xml:space="preserve"> qui met l’accent sur la séduction pour convaincre. C’est cette dernière facette de la puissance qui intéresse particulièr</w:t>
      </w:r>
      <w:r w:rsidRPr="00594A23">
        <w:rPr>
          <w:lang w:eastAsia="fr-FR" w:bidi="fr-FR"/>
        </w:rPr>
        <w:t>e</w:t>
      </w:r>
      <w:r w:rsidRPr="00594A23">
        <w:rPr>
          <w:lang w:eastAsia="fr-FR" w:bidi="fr-FR"/>
        </w:rPr>
        <w:t>ment Nye.</w:t>
      </w:r>
    </w:p>
    <w:p w14:paraId="37B2C757" w14:textId="77777777" w:rsidR="0039793A" w:rsidRPr="00594A23" w:rsidRDefault="0039793A" w:rsidP="0039793A">
      <w:pPr>
        <w:spacing w:before="120" w:after="120"/>
        <w:jc w:val="both"/>
      </w:pPr>
      <w:r w:rsidRPr="00594A23">
        <w:rPr>
          <w:lang w:eastAsia="fr-FR" w:bidi="fr-FR"/>
        </w:rPr>
        <w:t>La puissance souple préfère la cooptation à la coercition. Plus que l’art de persuader ou de convaincre par l’argumentation, elle se fonde sur le pouvoir d’attraction et de mimétisme</w:t>
      </w:r>
      <w:r>
        <w:rPr>
          <w:lang w:eastAsia="fr-FR" w:bidi="fr-FR"/>
        </w:rPr>
        <w:t> </w:t>
      </w:r>
      <w:r>
        <w:rPr>
          <w:rStyle w:val="Appelnotedebasdep"/>
          <w:lang w:eastAsia="fr-FR" w:bidi="fr-FR"/>
        </w:rPr>
        <w:footnoteReference w:id="254"/>
      </w:r>
      <w:r w:rsidRPr="00594A23">
        <w:rPr>
          <w:lang w:eastAsia="fr-FR" w:bidi="fr-FR"/>
        </w:rPr>
        <w:t>. Une politique étrang</w:t>
      </w:r>
      <w:r w:rsidRPr="00594A23">
        <w:rPr>
          <w:lang w:eastAsia="fr-FR" w:bidi="fr-FR"/>
        </w:rPr>
        <w:t>è</w:t>
      </w:r>
      <w:r w:rsidRPr="00594A23">
        <w:rPr>
          <w:lang w:eastAsia="fr-FR" w:bidi="fr-FR"/>
        </w:rPr>
        <w:t>re américaine qui veut utiliser à la fois les deux composantes de la puissance (brute et souple) doit avoir le plus</w:t>
      </w:r>
      <w:r>
        <w:t xml:space="preserve"> [113] </w:t>
      </w:r>
      <w:r w:rsidRPr="00594A23">
        <w:rPr>
          <w:lang w:eastAsia="fr-FR" w:bidi="fr-FR"/>
        </w:rPr>
        <w:t>souvent une appr</w:t>
      </w:r>
      <w:r w:rsidRPr="00594A23">
        <w:rPr>
          <w:lang w:eastAsia="fr-FR" w:bidi="fr-FR"/>
        </w:rPr>
        <w:t>o</w:t>
      </w:r>
      <w:r w:rsidRPr="00594A23">
        <w:rPr>
          <w:lang w:eastAsia="fr-FR" w:bidi="fr-FR"/>
        </w:rPr>
        <w:t>che multilatéraliste</w:t>
      </w:r>
      <w:r>
        <w:rPr>
          <w:lang w:eastAsia="fr-FR" w:bidi="fr-FR"/>
        </w:rPr>
        <w:t> </w:t>
      </w:r>
      <w:r>
        <w:rPr>
          <w:rStyle w:val="Appelnotedebasdep"/>
          <w:lang w:eastAsia="fr-FR" w:bidi="fr-FR"/>
        </w:rPr>
        <w:footnoteReference w:id="255"/>
      </w:r>
      <w:r w:rsidRPr="00594A23">
        <w:t>.</w:t>
      </w:r>
      <w:r w:rsidRPr="00594A23">
        <w:rPr>
          <w:lang w:eastAsia="fr-FR" w:bidi="fr-FR"/>
        </w:rPr>
        <w:t xml:space="preserve"> En effet, selon Nye, c’est l’influence des États-Unis sur les autres acteurs qui importe. Il préc</w:t>
      </w:r>
      <w:r w:rsidRPr="00594A23">
        <w:rPr>
          <w:lang w:eastAsia="fr-FR" w:bidi="fr-FR"/>
        </w:rPr>
        <w:t>o</w:t>
      </w:r>
      <w:r w:rsidRPr="00594A23">
        <w:rPr>
          <w:lang w:eastAsia="fr-FR" w:bidi="fr-FR"/>
        </w:rPr>
        <w:t xml:space="preserve">nise une sorte de voie mitoyenne entre le </w:t>
      </w:r>
      <w:r w:rsidRPr="00594A23">
        <w:t>« </w:t>
      </w:r>
      <w:r w:rsidRPr="00594A23">
        <w:rPr>
          <w:lang w:eastAsia="fr-FR" w:bidi="fr-FR"/>
        </w:rPr>
        <w:t>triomphalisme</w:t>
      </w:r>
      <w:r w:rsidRPr="00594A23">
        <w:t> »</w:t>
      </w:r>
      <w:r w:rsidRPr="00594A23">
        <w:rPr>
          <w:lang w:eastAsia="fr-FR" w:bidi="fr-FR"/>
        </w:rPr>
        <w:t xml:space="preserve"> (c’est le courant désigné par Nye pour référer aux hégémonistes) des partisans d’un nouvel un</w:t>
      </w:r>
      <w:r w:rsidRPr="00594A23">
        <w:rPr>
          <w:lang w:eastAsia="fr-FR" w:bidi="fr-FR"/>
        </w:rPr>
        <w:t>i</w:t>
      </w:r>
      <w:r w:rsidRPr="00594A23">
        <w:rPr>
          <w:lang w:eastAsia="fr-FR" w:bidi="fr-FR"/>
        </w:rPr>
        <w:t>latéralisme (tels Kagan, Kristol et Kra</w:t>
      </w:r>
      <w:r w:rsidRPr="00594A23">
        <w:rPr>
          <w:lang w:eastAsia="fr-FR" w:bidi="fr-FR"/>
        </w:rPr>
        <w:t>u</w:t>
      </w:r>
      <w:r w:rsidRPr="00594A23">
        <w:rPr>
          <w:lang w:eastAsia="fr-FR" w:bidi="fr-FR"/>
        </w:rPr>
        <w:t xml:space="preserve">thammer) et le </w:t>
      </w:r>
      <w:r w:rsidRPr="00594A23">
        <w:t>« </w:t>
      </w:r>
      <w:r w:rsidRPr="00594A23">
        <w:rPr>
          <w:lang w:eastAsia="fr-FR" w:bidi="fr-FR"/>
        </w:rPr>
        <w:t>déclinisme</w:t>
      </w:r>
      <w:r w:rsidRPr="00594A23">
        <w:t> »</w:t>
      </w:r>
      <w:r w:rsidRPr="00594A23">
        <w:rPr>
          <w:lang w:eastAsia="fr-FR" w:bidi="fr-FR"/>
        </w:rPr>
        <w:t xml:space="preserve"> d’un équilibriste comme Kupchan (Kupchan dit obse</w:t>
      </w:r>
      <w:r w:rsidRPr="00594A23">
        <w:rPr>
          <w:lang w:eastAsia="fr-FR" w:bidi="fr-FR"/>
        </w:rPr>
        <w:t>r</w:t>
      </w:r>
      <w:r w:rsidRPr="00594A23">
        <w:rPr>
          <w:lang w:eastAsia="fr-FR" w:bidi="fr-FR"/>
        </w:rPr>
        <w:t>ver un déclin de la puissance relative des États-Unis, une analyse trop prudente dont Nye craint qu’elle pourrait pr</w:t>
      </w:r>
      <w:r w:rsidRPr="00594A23">
        <w:rPr>
          <w:lang w:eastAsia="fr-FR" w:bidi="fr-FR"/>
        </w:rPr>
        <w:t>o</w:t>
      </w:r>
      <w:r w:rsidRPr="00594A23">
        <w:rPr>
          <w:lang w:eastAsia="fr-FR" w:bidi="fr-FR"/>
        </w:rPr>
        <w:t>voquer une perte d’influence des États-Unis)</w:t>
      </w:r>
      <w:r>
        <w:rPr>
          <w:lang w:eastAsia="fr-FR" w:bidi="fr-FR"/>
        </w:rPr>
        <w:t> </w:t>
      </w:r>
      <w:r>
        <w:rPr>
          <w:rStyle w:val="Appelnotedebasdep"/>
          <w:lang w:eastAsia="fr-FR" w:bidi="fr-FR"/>
        </w:rPr>
        <w:footnoteReference w:id="256"/>
      </w:r>
      <w:r w:rsidRPr="00594A23">
        <w:rPr>
          <w:lang w:eastAsia="fr-FR" w:bidi="fr-FR"/>
        </w:rPr>
        <w:t>.</w:t>
      </w:r>
    </w:p>
    <w:p w14:paraId="609625AD" w14:textId="77777777" w:rsidR="0039793A" w:rsidRPr="00594A23" w:rsidRDefault="0039793A" w:rsidP="0039793A">
      <w:pPr>
        <w:spacing w:before="120" w:after="120"/>
        <w:jc w:val="both"/>
      </w:pPr>
      <w:r w:rsidRPr="00594A23">
        <w:rPr>
          <w:lang w:eastAsia="fr-FR" w:bidi="fr-FR"/>
        </w:rPr>
        <w:t>Tout comme Ikenberry, Nye croit qu’il serait préférable pour les États-Unis d’utiliser leur puissance prépondérante pour maximiser leur pouvoir d’influence. Comme l’indique le titre de son dernier o</w:t>
      </w:r>
      <w:r w:rsidRPr="00594A23">
        <w:rPr>
          <w:lang w:eastAsia="fr-FR" w:bidi="fr-FR"/>
        </w:rPr>
        <w:t>u</w:t>
      </w:r>
      <w:r w:rsidRPr="00594A23">
        <w:rPr>
          <w:lang w:eastAsia="fr-FR" w:bidi="fr-FR"/>
        </w:rPr>
        <w:t xml:space="preserve">vrage </w:t>
      </w:r>
      <w:r w:rsidRPr="00A54DD1">
        <w:rPr>
          <w:i/>
          <w:iCs/>
        </w:rPr>
        <w:t>The Paradox of American Power : Why the World’s Only S</w:t>
      </w:r>
      <w:r w:rsidRPr="00A54DD1">
        <w:rPr>
          <w:i/>
          <w:iCs/>
        </w:rPr>
        <w:t>u</w:t>
      </w:r>
      <w:r w:rsidRPr="00A54DD1">
        <w:rPr>
          <w:i/>
          <w:iCs/>
        </w:rPr>
        <w:t xml:space="preserve">perpower Can’t Go </w:t>
      </w:r>
      <w:r w:rsidRPr="00DA0504">
        <w:rPr>
          <w:i/>
        </w:rPr>
        <w:t>It</w:t>
      </w:r>
      <w:r w:rsidRPr="00DA0504">
        <w:t xml:space="preserve"> </w:t>
      </w:r>
      <w:r w:rsidRPr="00A54DD1">
        <w:rPr>
          <w:i/>
          <w:iCs/>
        </w:rPr>
        <w:t>Alone</w:t>
      </w:r>
      <w:r w:rsidRPr="00594A23">
        <w:rPr>
          <w:lang w:eastAsia="fr-FR" w:bidi="fr-FR"/>
        </w:rPr>
        <w:t>, les États-Unis ne peuvent agir seuls sur la scène i</w:t>
      </w:r>
      <w:r w:rsidRPr="00594A23">
        <w:rPr>
          <w:lang w:eastAsia="fr-FR" w:bidi="fr-FR"/>
        </w:rPr>
        <w:t>n</w:t>
      </w:r>
      <w:r w:rsidRPr="00594A23">
        <w:rPr>
          <w:lang w:eastAsia="fr-FR" w:bidi="fr-FR"/>
        </w:rPr>
        <w:t>ternationale, malgré leur superpuissance</w:t>
      </w:r>
      <w:r>
        <w:rPr>
          <w:lang w:eastAsia="fr-FR" w:bidi="fr-FR"/>
        </w:rPr>
        <w:t> </w:t>
      </w:r>
      <w:r>
        <w:rPr>
          <w:rStyle w:val="Appelnotedebasdep"/>
          <w:lang w:eastAsia="fr-FR" w:bidi="fr-FR"/>
        </w:rPr>
        <w:footnoteReference w:id="257"/>
      </w:r>
      <w:r w:rsidRPr="00594A23">
        <w:rPr>
          <w:lang w:eastAsia="fr-FR" w:bidi="fr-FR"/>
        </w:rPr>
        <w:t>. Pour Nye, il est inapproprié d’aborder, après le 11 septembre 2001, la puissance am</w:t>
      </w:r>
      <w:r w:rsidRPr="00594A23">
        <w:rPr>
          <w:lang w:eastAsia="fr-FR" w:bidi="fr-FR"/>
        </w:rPr>
        <w:t>é</w:t>
      </w:r>
      <w:r w:rsidRPr="00594A23">
        <w:rPr>
          <w:lang w:eastAsia="fr-FR" w:bidi="fr-FR"/>
        </w:rPr>
        <w:t xml:space="preserve">ricaine en parlant </w:t>
      </w:r>
      <w:r w:rsidRPr="00594A23">
        <w:t>« </w:t>
      </w:r>
      <w:r w:rsidRPr="00594A23">
        <w:rPr>
          <w:lang w:eastAsia="fr-FR" w:bidi="fr-FR"/>
        </w:rPr>
        <w:t>d’hégémonie</w:t>
      </w:r>
      <w:r w:rsidRPr="00594A23">
        <w:t> » ;</w:t>
      </w:r>
      <w:r w:rsidRPr="00594A23">
        <w:rPr>
          <w:lang w:eastAsia="fr-FR" w:bidi="fr-FR"/>
        </w:rPr>
        <w:t xml:space="preserve"> il serait plus juste d’utiliser le terme </w:t>
      </w:r>
      <w:r w:rsidRPr="00594A23">
        <w:t>« </w:t>
      </w:r>
      <w:r w:rsidRPr="00594A23">
        <w:rPr>
          <w:lang w:eastAsia="fr-FR" w:bidi="fr-FR"/>
        </w:rPr>
        <w:t>prépondérance</w:t>
      </w:r>
      <w:r>
        <w:rPr>
          <w:lang w:eastAsia="fr-FR" w:bidi="fr-FR"/>
        </w:rPr>
        <w:t> </w:t>
      </w:r>
      <w:r>
        <w:rPr>
          <w:rStyle w:val="Appelnotedebasdep"/>
          <w:lang w:eastAsia="fr-FR" w:bidi="fr-FR"/>
        </w:rPr>
        <w:footnoteReference w:id="258"/>
      </w:r>
      <w:r w:rsidRPr="00594A23">
        <w:t> »</w:t>
      </w:r>
      <w:r w:rsidRPr="00594A23">
        <w:rPr>
          <w:lang w:eastAsia="fr-FR" w:bidi="fr-FR"/>
        </w:rPr>
        <w:t>. En effet, les États-Unis ne sont pas en m</w:t>
      </w:r>
      <w:r w:rsidRPr="00594A23">
        <w:rPr>
          <w:lang w:eastAsia="fr-FR" w:bidi="fr-FR"/>
        </w:rPr>
        <w:t>e</w:t>
      </w:r>
      <w:r w:rsidRPr="00594A23">
        <w:rPr>
          <w:lang w:eastAsia="fr-FR" w:bidi="fr-FR"/>
        </w:rPr>
        <w:t xml:space="preserve">sure de dicter aux autres États leur ligne de conduite, comme l’ont montré les négociations précédant l’opération militaire </w:t>
      </w:r>
      <w:r w:rsidRPr="00594A23">
        <w:t>Liberté en Irak</w:t>
      </w:r>
      <w:r w:rsidRPr="00594A23">
        <w:rPr>
          <w:lang w:eastAsia="fr-FR" w:bidi="fr-FR"/>
        </w:rPr>
        <w:t xml:space="preserve"> (</w:t>
      </w:r>
      <w:r w:rsidRPr="00594A23">
        <w:t>Iraqi Fre</w:t>
      </w:r>
      <w:r w:rsidRPr="00594A23">
        <w:t>e</w:t>
      </w:r>
      <w:r w:rsidRPr="00594A23">
        <w:t>dom</w:t>
      </w:r>
      <w:r w:rsidRPr="00594A23">
        <w:rPr>
          <w:lang w:eastAsia="fr-FR" w:bidi="fr-FR"/>
        </w:rPr>
        <w:t>) en 2003, au Conseil de sécurité</w:t>
      </w:r>
      <w:r>
        <w:rPr>
          <w:lang w:eastAsia="fr-FR" w:bidi="fr-FR"/>
        </w:rPr>
        <w:t> </w:t>
      </w:r>
      <w:r>
        <w:rPr>
          <w:rStyle w:val="Appelnotedebasdep"/>
          <w:lang w:eastAsia="fr-FR" w:bidi="fr-FR"/>
        </w:rPr>
        <w:footnoteReference w:id="259"/>
      </w:r>
      <w:r w:rsidRPr="00594A23">
        <w:rPr>
          <w:lang w:eastAsia="fr-FR" w:bidi="fr-FR"/>
        </w:rPr>
        <w:t>.</w:t>
      </w:r>
    </w:p>
    <w:p w14:paraId="7B304C37" w14:textId="77777777" w:rsidR="0039793A" w:rsidRPr="00594A23" w:rsidRDefault="0039793A" w:rsidP="0039793A">
      <w:pPr>
        <w:spacing w:before="120" w:after="120"/>
        <w:jc w:val="both"/>
      </w:pPr>
      <w:r w:rsidRPr="00594A23">
        <w:rPr>
          <w:lang w:eastAsia="fr-FR" w:bidi="fr-FR"/>
        </w:rPr>
        <w:t>Pour que les autres États et populations veuillent suivre les États-Unis dans les affaires internationales, il faut néce</w:t>
      </w:r>
      <w:r w:rsidRPr="00594A23">
        <w:rPr>
          <w:lang w:eastAsia="fr-FR" w:bidi="fr-FR"/>
        </w:rPr>
        <w:t>s</w:t>
      </w:r>
      <w:r w:rsidRPr="00594A23">
        <w:rPr>
          <w:lang w:eastAsia="fr-FR" w:bidi="fr-FR"/>
        </w:rPr>
        <w:t>sairement que les valeurs véhiculées par les politiques, la culture et la conduite intern</w:t>
      </w:r>
      <w:r w:rsidRPr="00594A23">
        <w:rPr>
          <w:lang w:eastAsia="fr-FR" w:bidi="fr-FR"/>
        </w:rPr>
        <w:t>a</w:t>
      </w:r>
      <w:r w:rsidRPr="00594A23">
        <w:rPr>
          <w:lang w:eastAsia="fr-FR" w:bidi="fr-FR"/>
        </w:rPr>
        <w:t xml:space="preserve">tionale des États-Unis soient attrayantes. Une conduite arrogante et </w:t>
      </w:r>
      <w:r>
        <w:t xml:space="preserve">[114] </w:t>
      </w:r>
      <w:r w:rsidRPr="00594A23">
        <w:rPr>
          <w:lang w:eastAsia="fr-FR" w:bidi="fr-FR"/>
        </w:rPr>
        <w:t xml:space="preserve">l’Administration Bush dans le dossier irakien en 2002-2003, n’est pas </w:t>
      </w:r>
      <w:r w:rsidRPr="00594A23">
        <w:t xml:space="preserve">à </w:t>
      </w:r>
      <w:r w:rsidRPr="00594A23">
        <w:rPr>
          <w:lang w:eastAsia="fr-FR" w:bidi="fr-FR"/>
        </w:rPr>
        <w:t>même de rassembler et ne peut qu’attiser l’antiaméricanisme. Aux yeux de Nye, la lutte globale contre le terr</w:t>
      </w:r>
      <w:r w:rsidRPr="00594A23">
        <w:rPr>
          <w:lang w:eastAsia="fr-FR" w:bidi="fr-FR"/>
        </w:rPr>
        <w:t>o</w:t>
      </w:r>
      <w:r w:rsidRPr="00594A23">
        <w:rPr>
          <w:lang w:eastAsia="fr-FR" w:bidi="fr-FR"/>
        </w:rPr>
        <w:t xml:space="preserve">risme tend </w:t>
      </w:r>
      <w:r w:rsidRPr="00594A23">
        <w:t xml:space="preserve">à </w:t>
      </w:r>
      <w:r w:rsidRPr="00594A23">
        <w:rPr>
          <w:lang w:eastAsia="fr-FR" w:bidi="fr-FR"/>
        </w:rPr>
        <w:t>promouvoir une approche multilatéraliste</w:t>
      </w:r>
      <w:r>
        <w:rPr>
          <w:lang w:eastAsia="fr-FR" w:bidi="fr-FR"/>
        </w:rPr>
        <w:t> </w:t>
      </w:r>
      <w:r>
        <w:rPr>
          <w:rStyle w:val="Appelnotedebasdep"/>
          <w:lang w:eastAsia="fr-FR" w:bidi="fr-FR"/>
        </w:rPr>
        <w:footnoteReference w:id="260"/>
      </w:r>
      <w:r w:rsidRPr="00594A23">
        <w:t>.</w:t>
      </w:r>
      <w:r w:rsidRPr="00594A23">
        <w:rPr>
          <w:lang w:eastAsia="fr-FR" w:bidi="fr-FR"/>
        </w:rPr>
        <w:t xml:space="preserve"> Il est c</w:t>
      </w:r>
      <w:r w:rsidRPr="00594A23">
        <w:rPr>
          <w:lang w:eastAsia="fr-FR" w:bidi="fr-FR"/>
        </w:rPr>
        <w:t>e</w:t>
      </w:r>
      <w:r w:rsidRPr="00594A23">
        <w:rPr>
          <w:lang w:eastAsia="fr-FR" w:bidi="fr-FR"/>
        </w:rPr>
        <w:t>pendant particulièr</w:t>
      </w:r>
      <w:r w:rsidRPr="00594A23">
        <w:rPr>
          <w:lang w:eastAsia="fr-FR" w:bidi="fr-FR"/>
        </w:rPr>
        <w:t>e</w:t>
      </w:r>
      <w:r w:rsidRPr="00594A23">
        <w:rPr>
          <w:lang w:eastAsia="fr-FR" w:bidi="fr-FR"/>
        </w:rPr>
        <w:t xml:space="preserve">ment conscient de l’existence d’une tendance, bien représentée aux côtés du président Bush, qui défend plutôt l’affirmation d’un </w:t>
      </w:r>
      <w:r w:rsidRPr="00594A23">
        <w:t>« </w:t>
      </w:r>
      <w:r w:rsidRPr="00594A23">
        <w:rPr>
          <w:lang w:eastAsia="fr-FR" w:bidi="fr-FR"/>
        </w:rPr>
        <w:t>nouvel unilat</w:t>
      </w:r>
      <w:r w:rsidRPr="00594A23">
        <w:rPr>
          <w:lang w:eastAsia="fr-FR" w:bidi="fr-FR"/>
        </w:rPr>
        <w:t>é</w:t>
      </w:r>
      <w:r w:rsidRPr="00594A23">
        <w:rPr>
          <w:lang w:eastAsia="fr-FR" w:bidi="fr-FR"/>
        </w:rPr>
        <w:t>ralisme</w:t>
      </w:r>
      <w:r w:rsidRPr="00594A23">
        <w:t> »</w:t>
      </w:r>
      <w:r w:rsidRPr="00594A23">
        <w:rPr>
          <w:lang w:eastAsia="fr-FR" w:bidi="fr-FR"/>
        </w:rPr>
        <w:t xml:space="preserve">. Nye soutient que les États-Unis devraient chercher </w:t>
      </w:r>
      <w:r w:rsidRPr="00594A23">
        <w:t xml:space="preserve">à </w:t>
      </w:r>
      <w:r w:rsidRPr="00594A23">
        <w:rPr>
          <w:lang w:eastAsia="fr-FR" w:bidi="fr-FR"/>
        </w:rPr>
        <w:t>définir leurs intérêts nationaux en les liant aux intérêts de la communauté i</w:t>
      </w:r>
      <w:r w:rsidRPr="00594A23">
        <w:rPr>
          <w:lang w:eastAsia="fr-FR" w:bidi="fr-FR"/>
        </w:rPr>
        <w:t>n</w:t>
      </w:r>
      <w:r w:rsidRPr="00594A23">
        <w:rPr>
          <w:lang w:eastAsia="fr-FR" w:bidi="fr-FR"/>
        </w:rPr>
        <w:t xml:space="preserve">ternationale, ce qui implique le plus souvent une conduite multilatérale. Ils auraient tout avantage </w:t>
      </w:r>
      <w:r w:rsidRPr="00594A23">
        <w:t xml:space="preserve">à </w:t>
      </w:r>
      <w:r w:rsidRPr="00594A23">
        <w:rPr>
          <w:lang w:eastAsia="fr-FR" w:bidi="fr-FR"/>
        </w:rPr>
        <w:t>privilégier une stratégie globale faisant la promotion d’un ordre inte</w:t>
      </w:r>
      <w:r w:rsidRPr="00594A23">
        <w:rPr>
          <w:lang w:eastAsia="fr-FR" w:bidi="fr-FR"/>
        </w:rPr>
        <w:t>r</w:t>
      </w:r>
      <w:r w:rsidRPr="00594A23">
        <w:rPr>
          <w:lang w:eastAsia="fr-FR" w:bidi="fr-FR"/>
        </w:rPr>
        <w:t xml:space="preserve">national basé sur le bien commun, ce qui obligerait les États-Unis </w:t>
      </w:r>
      <w:r w:rsidRPr="00594A23">
        <w:t xml:space="preserve">à </w:t>
      </w:r>
      <w:r w:rsidRPr="00594A23">
        <w:rPr>
          <w:lang w:eastAsia="fr-FR" w:bidi="fr-FR"/>
        </w:rPr>
        <w:t>jouer le rôle de balancier dans certaines r</w:t>
      </w:r>
      <w:r w:rsidRPr="00594A23">
        <w:rPr>
          <w:lang w:eastAsia="fr-FR" w:bidi="fr-FR"/>
        </w:rPr>
        <w:t>é</w:t>
      </w:r>
      <w:r w:rsidRPr="00594A23">
        <w:rPr>
          <w:lang w:eastAsia="fr-FR" w:bidi="fr-FR"/>
        </w:rPr>
        <w:t xml:space="preserve">gions du monde. En somme, pour Nye, si les États-Unis sont investis d’un rôle de </w:t>
      </w:r>
      <w:r w:rsidRPr="001F7518">
        <w:rPr>
          <w:i/>
          <w:iCs/>
        </w:rPr>
        <w:t>leader</w:t>
      </w:r>
      <w:r w:rsidRPr="00594A23">
        <w:rPr>
          <w:lang w:eastAsia="fr-FR" w:bidi="fr-FR"/>
        </w:rPr>
        <w:t>, ils do</w:t>
      </w:r>
      <w:r w:rsidRPr="00594A23">
        <w:rPr>
          <w:lang w:eastAsia="fr-FR" w:bidi="fr-FR"/>
        </w:rPr>
        <w:t>i</w:t>
      </w:r>
      <w:r w:rsidRPr="00594A23">
        <w:rPr>
          <w:lang w:eastAsia="fr-FR" w:bidi="fr-FR"/>
        </w:rPr>
        <w:t xml:space="preserve">vent s’assurer de ne pas nuire </w:t>
      </w:r>
      <w:r w:rsidRPr="00594A23">
        <w:t xml:space="preserve">à </w:t>
      </w:r>
      <w:r w:rsidRPr="00594A23">
        <w:rPr>
          <w:lang w:eastAsia="fr-FR" w:bidi="fr-FR"/>
        </w:rPr>
        <w:t>leur position prépondérante en util</w:t>
      </w:r>
      <w:r w:rsidRPr="00594A23">
        <w:rPr>
          <w:lang w:eastAsia="fr-FR" w:bidi="fr-FR"/>
        </w:rPr>
        <w:t>i</w:t>
      </w:r>
      <w:r w:rsidRPr="00594A23">
        <w:rPr>
          <w:lang w:eastAsia="fr-FR" w:bidi="fr-FR"/>
        </w:rPr>
        <w:t>sant leur puissance brute pour servir égoïstement leurs intérêts nati</w:t>
      </w:r>
      <w:r w:rsidRPr="00594A23">
        <w:rPr>
          <w:lang w:eastAsia="fr-FR" w:bidi="fr-FR"/>
        </w:rPr>
        <w:t>o</w:t>
      </w:r>
      <w:r w:rsidRPr="00594A23">
        <w:rPr>
          <w:lang w:eastAsia="fr-FR" w:bidi="fr-FR"/>
        </w:rPr>
        <w:t>naux. Par conséquent, ils doivent faire la promotion d’une économie internationale ouverte, aider au développement économique intern</w:t>
      </w:r>
      <w:r w:rsidRPr="00594A23">
        <w:rPr>
          <w:lang w:eastAsia="fr-FR" w:bidi="fr-FR"/>
        </w:rPr>
        <w:t>a</w:t>
      </w:r>
      <w:r w:rsidRPr="00594A23">
        <w:rPr>
          <w:lang w:eastAsia="fr-FR" w:bidi="fr-FR"/>
        </w:rPr>
        <w:t>tional et agir comme médiateur dans des cr</w:t>
      </w:r>
      <w:r w:rsidRPr="00594A23">
        <w:rPr>
          <w:lang w:eastAsia="fr-FR" w:bidi="fr-FR"/>
        </w:rPr>
        <w:t>i</w:t>
      </w:r>
      <w:r w:rsidRPr="00594A23">
        <w:rPr>
          <w:lang w:eastAsia="fr-FR" w:bidi="fr-FR"/>
        </w:rPr>
        <w:t>ses majeures.</w:t>
      </w:r>
    </w:p>
    <w:p w14:paraId="06E8C92E" w14:textId="77777777" w:rsidR="0039793A" w:rsidRDefault="0039793A" w:rsidP="0039793A">
      <w:pPr>
        <w:spacing w:before="120" w:after="120"/>
        <w:jc w:val="both"/>
        <w:rPr>
          <w:lang w:eastAsia="fr-FR" w:bidi="fr-FR"/>
        </w:rPr>
      </w:pPr>
    </w:p>
    <w:p w14:paraId="2B7A8C1B" w14:textId="77777777" w:rsidR="0039793A" w:rsidRPr="00594A23" w:rsidRDefault="0039793A" w:rsidP="0039793A">
      <w:pPr>
        <w:pStyle w:val="a"/>
      </w:pPr>
      <w:r w:rsidRPr="00594A23">
        <w:t>L’école équilibriste</w:t>
      </w:r>
    </w:p>
    <w:p w14:paraId="175DA999" w14:textId="77777777" w:rsidR="0039793A" w:rsidRPr="00DA0504" w:rsidRDefault="0039793A" w:rsidP="0039793A">
      <w:pPr>
        <w:jc w:val="both"/>
        <w:rPr>
          <w:sz w:val="20"/>
        </w:rPr>
      </w:pPr>
    </w:p>
    <w:p w14:paraId="7F40187D" w14:textId="77777777" w:rsidR="0039793A" w:rsidRPr="00594A23" w:rsidRDefault="0039793A" w:rsidP="0039793A">
      <w:pPr>
        <w:spacing w:before="120" w:after="120"/>
        <w:jc w:val="both"/>
      </w:pPr>
      <w:r w:rsidRPr="00594A23">
        <w:rPr>
          <w:lang w:eastAsia="fr-FR" w:bidi="fr-FR"/>
        </w:rPr>
        <w:t>Les équilibristes observent l’ordre international unipola</w:t>
      </w:r>
      <w:r w:rsidRPr="00594A23">
        <w:rPr>
          <w:lang w:eastAsia="fr-FR" w:bidi="fr-FR"/>
        </w:rPr>
        <w:t>i</w:t>
      </w:r>
      <w:r w:rsidRPr="00594A23">
        <w:rPr>
          <w:lang w:eastAsia="fr-FR" w:bidi="fr-FR"/>
        </w:rPr>
        <w:t>re hérité de la fin de la guerre froide et s’interrogent sur le maintien de la pr</w:t>
      </w:r>
      <w:r w:rsidRPr="00594A23">
        <w:rPr>
          <w:lang w:eastAsia="fr-FR" w:bidi="fr-FR"/>
        </w:rPr>
        <w:t>i</w:t>
      </w:r>
      <w:r w:rsidRPr="00594A23">
        <w:rPr>
          <w:lang w:eastAsia="fr-FR" w:bidi="fr-FR"/>
        </w:rPr>
        <w:t>mauté américaine. La plupart d’entre eux croient qu’il est possible de maintenir cette prédominance en soutenant autant que possible le mu</w:t>
      </w:r>
      <w:r w:rsidRPr="00594A23">
        <w:rPr>
          <w:lang w:eastAsia="fr-FR" w:bidi="fr-FR"/>
        </w:rPr>
        <w:t>l</w:t>
      </w:r>
      <w:r w:rsidRPr="00594A23">
        <w:rPr>
          <w:lang w:eastAsia="fr-FR" w:bidi="fr-FR"/>
        </w:rPr>
        <w:t>tilatéralisme. Ils pr</w:t>
      </w:r>
      <w:r w:rsidRPr="00594A23">
        <w:rPr>
          <w:lang w:eastAsia="fr-FR" w:bidi="fr-FR"/>
        </w:rPr>
        <w:t>i</w:t>
      </w:r>
      <w:r w:rsidRPr="00594A23">
        <w:rPr>
          <w:lang w:eastAsia="fr-FR" w:bidi="fr-FR"/>
        </w:rPr>
        <w:t>vilégient ainsi l’influence des États-Unis sur les autres a</w:t>
      </w:r>
      <w:r w:rsidRPr="00594A23">
        <w:rPr>
          <w:lang w:eastAsia="fr-FR" w:bidi="fr-FR"/>
        </w:rPr>
        <w:t>c</w:t>
      </w:r>
      <w:r w:rsidRPr="00594A23">
        <w:rPr>
          <w:lang w:eastAsia="fr-FR" w:bidi="fr-FR"/>
        </w:rPr>
        <w:t xml:space="preserve">teurs du système international plutôt que la démonstration de la puissance militaire des États-Unis. Ils sont favorables </w:t>
      </w:r>
      <w:r w:rsidRPr="00594A23">
        <w:t xml:space="preserve">à </w:t>
      </w:r>
      <w:r w:rsidRPr="00594A23">
        <w:rPr>
          <w:lang w:eastAsia="fr-FR" w:bidi="fr-FR"/>
        </w:rPr>
        <w:t xml:space="preserve">l’utilisation, voire </w:t>
      </w:r>
      <w:r w:rsidRPr="00594A23">
        <w:t xml:space="preserve">à </w:t>
      </w:r>
      <w:r w:rsidRPr="00594A23">
        <w:rPr>
          <w:lang w:eastAsia="fr-FR" w:bidi="fr-FR"/>
        </w:rPr>
        <w:t xml:space="preserve">l’instrumentalisation, des institutions internationales par les États-Unis pour favoriser leurs intérêts nationaux. </w:t>
      </w:r>
      <w:r>
        <w:rPr>
          <w:lang w:eastAsia="fr-FR" w:bidi="fr-FR"/>
        </w:rPr>
        <w:t>À</w:t>
      </w:r>
      <w:r w:rsidRPr="00594A23">
        <w:rPr>
          <w:lang w:eastAsia="fr-FR" w:bidi="fr-FR"/>
        </w:rPr>
        <w:t xml:space="preserve"> l’instar des inst</w:t>
      </w:r>
      <w:r w:rsidRPr="00594A23">
        <w:rPr>
          <w:lang w:eastAsia="fr-FR" w:bidi="fr-FR"/>
        </w:rPr>
        <w:t>i</w:t>
      </w:r>
      <w:r w:rsidRPr="00594A23">
        <w:rPr>
          <w:lang w:eastAsia="fr-FR" w:bidi="fr-FR"/>
        </w:rPr>
        <w:t xml:space="preserve">tutionnalistes, ils prônent une auto-restriction stratégique des États- Unis pour éviter la formation d’une coalition visant </w:t>
      </w:r>
      <w:r w:rsidRPr="00594A23">
        <w:t xml:space="preserve">à </w:t>
      </w:r>
      <w:r w:rsidRPr="00594A23">
        <w:rPr>
          <w:lang w:eastAsia="fr-FR" w:bidi="fr-FR"/>
        </w:rPr>
        <w:t>leur faire contrepoids</w:t>
      </w:r>
      <w:r w:rsidRPr="00594A23">
        <w:t> :</w:t>
      </w:r>
      <w:r w:rsidRPr="00594A23">
        <w:rPr>
          <w:lang w:eastAsia="fr-FR" w:bidi="fr-FR"/>
        </w:rPr>
        <w:t xml:space="preserve"> l’utilisation des forces armées américaines ne doit inte</w:t>
      </w:r>
      <w:r w:rsidRPr="00594A23">
        <w:rPr>
          <w:lang w:eastAsia="fr-FR" w:bidi="fr-FR"/>
        </w:rPr>
        <w:t>r</w:t>
      </w:r>
      <w:r w:rsidRPr="00594A23">
        <w:rPr>
          <w:lang w:eastAsia="fr-FR" w:bidi="fr-FR"/>
        </w:rPr>
        <w:t>venir qu’en dernier recours.</w:t>
      </w:r>
    </w:p>
    <w:p w14:paraId="58F85F4E" w14:textId="77777777" w:rsidR="0039793A" w:rsidRDefault="0039793A" w:rsidP="0039793A">
      <w:pPr>
        <w:spacing w:before="120" w:after="120"/>
        <w:jc w:val="both"/>
      </w:pPr>
      <w:r>
        <w:t>[115]</w:t>
      </w:r>
    </w:p>
    <w:p w14:paraId="4B6D22C1" w14:textId="77777777" w:rsidR="0039793A" w:rsidRPr="00DA0504" w:rsidRDefault="0039793A" w:rsidP="0039793A">
      <w:pPr>
        <w:jc w:val="both"/>
        <w:rPr>
          <w:sz w:val="20"/>
        </w:rPr>
      </w:pPr>
    </w:p>
    <w:p w14:paraId="34DB23C6" w14:textId="77777777" w:rsidR="0039793A" w:rsidRPr="001F7518" w:rsidRDefault="0039793A" w:rsidP="0039793A">
      <w:pPr>
        <w:pStyle w:val="b"/>
      </w:pPr>
      <w:r w:rsidRPr="001F7518">
        <w:rPr>
          <w:lang w:eastAsia="fr-FR" w:bidi="fr-FR"/>
        </w:rPr>
        <w:t>Stephen Walt</w:t>
      </w:r>
    </w:p>
    <w:p w14:paraId="55F83EB7" w14:textId="77777777" w:rsidR="0039793A" w:rsidRPr="00DA0504" w:rsidRDefault="0039793A" w:rsidP="0039793A">
      <w:pPr>
        <w:jc w:val="both"/>
        <w:rPr>
          <w:sz w:val="20"/>
        </w:rPr>
      </w:pPr>
    </w:p>
    <w:p w14:paraId="2F8ADFE1" w14:textId="77777777" w:rsidR="0039793A" w:rsidRPr="00594A23" w:rsidRDefault="0039793A" w:rsidP="0039793A">
      <w:pPr>
        <w:spacing w:before="120" w:after="120"/>
        <w:jc w:val="both"/>
      </w:pPr>
      <w:r w:rsidRPr="00594A23">
        <w:rPr>
          <w:lang w:eastAsia="fr-FR" w:bidi="fr-FR"/>
        </w:rPr>
        <w:t>Dans une monographie faisant autorité sur la formation et la log</w:t>
      </w:r>
      <w:r w:rsidRPr="00594A23">
        <w:rPr>
          <w:lang w:eastAsia="fr-FR" w:bidi="fr-FR"/>
        </w:rPr>
        <w:t>i</w:t>
      </w:r>
      <w:r w:rsidRPr="00594A23">
        <w:rPr>
          <w:lang w:eastAsia="fr-FR" w:bidi="fr-FR"/>
        </w:rPr>
        <w:t>que interne des alliances, Step</w:t>
      </w:r>
      <w:r>
        <w:rPr>
          <w:lang w:eastAsia="fr-FR" w:bidi="fr-FR"/>
        </w:rPr>
        <w:t>hen Walt expliquait, en 1987, q</w:t>
      </w:r>
      <w:r w:rsidRPr="00594A23">
        <w:rPr>
          <w:lang w:eastAsia="fr-FR" w:bidi="fr-FR"/>
        </w:rPr>
        <w:t>ue les alliances étaient une forme de protection utilisée par les États pour assurer leur sécurité ou leur survie devant une menace. Walt voulait aller au-delà de la théorie de l’équilibre des puissances qui prédisait une éternelle alliance des États contre l’État le plus puissant du syst</w:t>
      </w:r>
      <w:r w:rsidRPr="00594A23">
        <w:rPr>
          <w:lang w:eastAsia="fr-FR" w:bidi="fr-FR"/>
        </w:rPr>
        <w:t>è</w:t>
      </w:r>
      <w:r w:rsidRPr="00594A23">
        <w:rPr>
          <w:lang w:eastAsia="fr-FR" w:bidi="fr-FR"/>
        </w:rPr>
        <w:t xml:space="preserve">me. Sa théorie, qu’il nomme la </w:t>
      </w:r>
      <w:r w:rsidRPr="00594A23">
        <w:t>« </w:t>
      </w:r>
      <w:r w:rsidRPr="00594A23">
        <w:rPr>
          <w:lang w:eastAsia="fr-FR" w:bidi="fr-FR"/>
        </w:rPr>
        <w:t>théorie de l’équilibre des men</w:t>
      </w:r>
      <w:r w:rsidRPr="00594A23">
        <w:rPr>
          <w:lang w:eastAsia="fr-FR" w:bidi="fr-FR"/>
        </w:rPr>
        <w:t>a</w:t>
      </w:r>
      <w:r w:rsidRPr="00594A23">
        <w:rPr>
          <w:lang w:eastAsia="fr-FR" w:bidi="fr-FR"/>
        </w:rPr>
        <w:t>ces</w:t>
      </w:r>
      <w:r w:rsidRPr="00594A23">
        <w:t> »</w:t>
      </w:r>
      <w:r w:rsidRPr="00594A23">
        <w:rPr>
          <w:lang w:eastAsia="fr-FR" w:bidi="fr-FR"/>
        </w:rPr>
        <w:t>, se fonde sur le fait qu’au contraire, ils s’allieront contre des menaces. Confrontée à la réalité de l’après- gue</w:t>
      </w:r>
      <w:r w:rsidRPr="00594A23">
        <w:rPr>
          <w:lang w:eastAsia="fr-FR" w:bidi="fr-FR"/>
        </w:rPr>
        <w:t>r</w:t>
      </w:r>
      <w:r w:rsidRPr="00594A23">
        <w:rPr>
          <w:lang w:eastAsia="fr-FR" w:bidi="fr-FR"/>
        </w:rPr>
        <w:t>re froide, sa théorie explique la politique étr</w:t>
      </w:r>
      <w:r>
        <w:rPr>
          <w:lang w:eastAsia="fr-FR" w:bidi="fr-FR"/>
        </w:rPr>
        <w:t>angère des États-U</w:t>
      </w:r>
      <w:r w:rsidRPr="00594A23">
        <w:rPr>
          <w:lang w:eastAsia="fr-FR" w:bidi="fr-FR"/>
        </w:rPr>
        <w:t>nis et des autres grandes puissances en insistant sur la réponse des États à une menace</w:t>
      </w:r>
      <w:r>
        <w:rPr>
          <w:lang w:eastAsia="fr-FR" w:bidi="fr-FR"/>
        </w:rPr>
        <w:t> </w:t>
      </w:r>
      <w:r>
        <w:rPr>
          <w:rStyle w:val="Appelnotedebasdep"/>
          <w:lang w:eastAsia="fr-FR" w:bidi="fr-FR"/>
        </w:rPr>
        <w:footnoteReference w:id="261"/>
      </w:r>
      <w:r>
        <w:rPr>
          <w:lang w:eastAsia="fr-FR" w:bidi="fr-FR"/>
        </w:rPr>
        <w:t>.</w:t>
      </w:r>
      <w:r w:rsidRPr="00594A23">
        <w:rPr>
          <w:lang w:eastAsia="fr-FR" w:bidi="fr-FR"/>
        </w:rPr>
        <w:t xml:space="preserve"> Alors que l’on a</w:t>
      </w:r>
      <w:r w:rsidRPr="00594A23">
        <w:rPr>
          <w:lang w:eastAsia="fr-FR" w:bidi="fr-FR"/>
        </w:rPr>
        <w:t>u</w:t>
      </w:r>
      <w:r w:rsidRPr="00594A23">
        <w:rPr>
          <w:lang w:eastAsia="fr-FR" w:bidi="fr-FR"/>
        </w:rPr>
        <w:t>rait dû s’attendre à ce que les grandes puissances se liguent contre la s</w:t>
      </w:r>
      <w:r w:rsidRPr="00594A23">
        <w:rPr>
          <w:lang w:eastAsia="fr-FR" w:bidi="fr-FR"/>
        </w:rPr>
        <w:t>u</w:t>
      </w:r>
      <w:r w:rsidRPr="00594A23">
        <w:rPr>
          <w:lang w:eastAsia="fr-FR" w:bidi="fr-FR"/>
        </w:rPr>
        <w:t>perpuissance américaine (l’hégémonie des États-Unis étant souvent perçue comme menaçante par les autres États du système internati</w:t>
      </w:r>
      <w:r w:rsidRPr="00594A23">
        <w:rPr>
          <w:lang w:eastAsia="fr-FR" w:bidi="fr-FR"/>
        </w:rPr>
        <w:t>o</w:t>
      </w:r>
      <w:r w:rsidRPr="00594A23">
        <w:rPr>
          <w:lang w:eastAsia="fr-FR" w:bidi="fr-FR"/>
        </w:rPr>
        <w:t xml:space="preserve">nal) la logique unipolaire du système a contribué à ce que les États soient attirés par la force. À tel point qu’une alliance comme </w:t>
      </w:r>
      <w:r w:rsidRPr="00594A23">
        <w:t xml:space="preserve">l’OTAN </w:t>
      </w:r>
      <w:r w:rsidRPr="00594A23">
        <w:rPr>
          <w:lang w:eastAsia="fr-FR" w:bidi="fr-FR"/>
        </w:rPr>
        <w:t>non seulement d</w:t>
      </w:r>
      <w:r w:rsidRPr="00594A23">
        <w:rPr>
          <w:lang w:eastAsia="fr-FR" w:bidi="fr-FR"/>
        </w:rPr>
        <w:t>e</w:t>
      </w:r>
      <w:r w:rsidRPr="00594A23">
        <w:rPr>
          <w:lang w:eastAsia="fr-FR" w:bidi="fr-FR"/>
        </w:rPr>
        <w:t>meure mais est élargie à d’autres États. Ainsi, en l’absence d’une menace précise, les autres États ont préféré s’allier à la superpuissance américaine</w:t>
      </w:r>
      <w:r>
        <w:rPr>
          <w:lang w:eastAsia="fr-FR" w:bidi="fr-FR"/>
        </w:rPr>
        <w:t> </w:t>
      </w:r>
      <w:r>
        <w:rPr>
          <w:rStyle w:val="Appelnotedebasdep"/>
          <w:lang w:eastAsia="fr-FR" w:bidi="fr-FR"/>
        </w:rPr>
        <w:footnoteReference w:id="262"/>
      </w:r>
      <w:r w:rsidRPr="00594A23">
        <w:rPr>
          <w:lang w:eastAsia="fr-FR" w:bidi="fr-FR"/>
        </w:rPr>
        <w:t>.</w:t>
      </w:r>
    </w:p>
    <w:p w14:paraId="7DBB75B4" w14:textId="77777777" w:rsidR="0039793A" w:rsidRPr="00594A23" w:rsidRDefault="0039793A" w:rsidP="0039793A">
      <w:pPr>
        <w:spacing w:before="120" w:after="120"/>
        <w:jc w:val="both"/>
      </w:pPr>
      <w:r w:rsidRPr="00594A23">
        <w:rPr>
          <w:lang w:eastAsia="fr-FR" w:bidi="fr-FR"/>
        </w:rPr>
        <w:t>Selon Walt, on peut arguer qu’un monde unipolaire sera viable tant et aussi longtemps que les États-Unis ne se f</w:t>
      </w:r>
      <w:r w:rsidRPr="00594A23">
        <w:rPr>
          <w:lang w:eastAsia="fr-FR" w:bidi="fr-FR"/>
        </w:rPr>
        <w:t>e</w:t>
      </w:r>
      <w:r w:rsidRPr="00594A23">
        <w:rPr>
          <w:lang w:eastAsia="fr-FR" w:bidi="fr-FR"/>
        </w:rPr>
        <w:t>ront pas menaçants en empruntant de plus en plus la voie unilatéraliste. Les dirigeants amér</w:t>
      </w:r>
      <w:r w:rsidRPr="00594A23">
        <w:rPr>
          <w:lang w:eastAsia="fr-FR" w:bidi="fr-FR"/>
        </w:rPr>
        <w:t>i</w:t>
      </w:r>
      <w:r w:rsidRPr="00594A23">
        <w:rPr>
          <w:lang w:eastAsia="fr-FR" w:bidi="fr-FR"/>
        </w:rPr>
        <w:t>cains ont intérêt à tout mettre en œuvre pour prolonger le plus lon</w:t>
      </w:r>
      <w:r w:rsidRPr="00594A23">
        <w:rPr>
          <w:lang w:eastAsia="fr-FR" w:bidi="fr-FR"/>
        </w:rPr>
        <w:t>g</w:t>
      </w:r>
      <w:r w:rsidRPr="00594A23">
        <w:rPr>
          <w:lang w:eastAsia="fr-FR" w:bidi="fr-FR"/>
        </w:rPr>
        <w:t>temps possible le système unipolaire</w:t>
      </w:r>
      <w:r>
        <w:rPr>
          <w:lang w:eastAsia="fr-FR" w:bidi="fr-FR"/>
        </w:rPr>
        <w:t> </w:t>
      </w:r>
      <w:r>
        <w:rPr>
          <w:rStyle w:val="Appelnotedebasdep"/>
          <w:lang w:eastAsia="fr-FR" w:bidi="fr-FR"/>
        </w:rPr>
        <w:footnoteReference w:id="263"/>
      </w:r>
      <w:r w:rsidRPr="00594A23">
        <w:rPr>
          <w:lang w:eastAsia="fr-FR" w:bidi="fr-FR"/>
        </w:rPr>
        <w:t>. Walt souligne que la prima</w:t>
      </w:r>
      <w:r w:rsidRPr="00594A23">
        <w:rPr>
          <w:lang w:eastAsia="fr-FR" w:bidi="fr-FR"/>
        </w:rPr>
        <w:t>u</w:t>
      </w:r>
      <w:r w:rsidRPr="00594A23">
        <w:rPr>
          <w:lang w:eastAsia="fr-FR" w:bidi="fr-FR"/>
        </w:rPr>
        <w:t>té des États-Unis depuis la fin de la guerre froide maximise leur i</w:t>
      </w:r>
      <w:r w:rsidRPr="00594A23">
        <w:rPr>
          <w:lang w:eastAsia="fr-FR" w:bidi="fr-FR"/>
        </w:rPr>
        <w:t>n</w:t>
      </w:r>
      <w:r w:rsidRPr="00594A23">
        <w:rPr>
          <w:lang w:eastAsia="fr-FR" w:bidi="fr-FR"/>
        </w:rPr>
        <w:t>flue</w:t>
      </w:r>
      <w:r w:rsidRPr="00594A23">
        <w:rPr>
          <w:lang w:eastAsia="fr-FR" w:bidi="fr-FR"/>
        </w:rPr>
        <w:t>n</w:t>
      </w:r>
      <w:r w:rsidRPr="00594A23">
        <w:rPr>
          <w:lang w:eastAsia="fr-FR" w:bidi="fr-FR"/>
        </w:rPr>
        <w:t>ce et, par conséquent, leur puissance. Les États-Unis jouissent d’une plus grande liberté d’action et d’une plus grande influence pour gérer l’ordre international, lequel, ce faisant, devient plus stable</w:t>
      </w:r>
      <w:r>
        <w:rPr>
          <w:lang w:eastAsia="fr-FR" w:bidi="fr-FR"/>
        </w:rPr>
        <w:t> </w:t>
      </w:r>
      <w:r>
        <w:rPr>
          <w:rStyle w:val="Appelnotedebasdep"/>
          <w:lang w:eastAsia="fr-FR" w:bidi="fr-FR"/>
        </w:rPr>
        <w:footnoteReference w:id="264"/>
      </w:r>
      <w:r w:rsidRPr="00594A23">
        <w:t> :</w:t>
      </w:r>
      <w:r w:rsidRPr="00594A23">
        <w:rPr>
          <w:lang w:eastAsia="fr-FR" w:bidi="fr-FR"/>
        </w:rPr>
        <w:t xml:space="preserve"> la pri</w:t>
      </w:r>
      <w:r>
        <w:rPr>
          <w:lang w:eastAsia="fr-FR" w:bidi="fr-FR"/>
        </w:rPr>
        <w:t>mauté amé</w:t>
      </w:r>
      <w:r w:rsidRPr="00594A23">
        <w:rPr>
          <w:lang w:eastAsia="fr-FR" w:bidi="fr-FR"/>
        </w:rPr>
        <w:t>ricaine</w:t>
      </w:r>
      <w:r>
        <w:t xml:space="preserve"> [116]</w:t>
      </w:r>
      <w:r w:rsidRPr="00594A23">
        <w:rPr>
          <w:lang w:eastAsia="fr-FR" w:bidi="fr-FR"/>
        </w:rPr>
        <w:t xml:space="preserve"> assure une plus grande sécurité nation</w:t>
      </w:r>
      <w:r w:rsidRPr="00594A23">
        <w:rPr>
          <w:lang w:eastAsia="fr-FR" w:bidi="fr-FR"/>
        </w:rPr>
        <w:t>a</w:t>
      </w:r>
      <w:r w:rsidRPr="00594A23">
        <w:rPr>
          <w:lang w:eastAsia="fr-FR" w:bidi="fr-FR"/>
        </w:rPr>
        <w:t>le, elle permet d’éviter des guerres avec les autres grandes puissa</w:t>
      </w:r>
      <w:r w:rsidRPr="00594A23">
        <w:rPr>
          <w:lang w:eastAsia="fr-FR" w:bidi="fr-FR"/>
        </w:rPr>
        <w:t>n</w:t>
      </w:r>
      <w:r w:rsidRPr="00594A23">
        <w:rPr>
          <w:lang w:eastAsia="fr-FR" w:bidi="fr-FR"/>
        </w:rPr>
        <w:t xml:space="preserve">ces et facilite la prospérité des </w:t>
      </w:r>
      <w:r>
        <w:rPr>
          <w:lang w:eastAsia="fr-FR" w:bidi="fr-FR"/>
        </w:rPr>
        <w:t>État</w:t>
      </w:r>
      <w:r w:rsidRPr="00594A23">
        <w:rPr>
          <w:lang w:eastAsia="fr-FR" w:bidi="fr-FR"/>
        </w:rPr>
        <w:t>s-Unis. Walt rappelle que la réponse américaine aux attaques terroristes contre Wa</w:t>
      </w:r>
      <w:r w:rsidRPr="00594A23">
        <w:rPr>
          <w:lang w:eastAsia="fr-FR" w:bidi="fr-FR"/>
        </w:rPr>
        <w:t>s</w:t>
      </w:r>
      <w:r w:rsidRPr="00594A23">
        <w:rPr>
          <w:lang w:eastAsia="fr-FR" w:bidi="fr-FR"/>
        </w:rPr>
        <w:t>hington et New York a montré l’importance de l’appui des autres États</w:t>
      </w:r>
      <w:r>
        <w:rPr>
          <w:lang w:eastAsia="fr-FR" w:bidi="fr-FR"/>
        </w:rPr>
        <w:t> </w:t>
      </w:r>
      <w:r>
        <w:rPr>
          <w:rStyle w:val="Appelnotedebasdep"/>
          <w:lang w:eastAsia="fr-FR" w:bidi="fr-FR"/>
        </w:rPr>
        <w:footnoteReference w:id="265"/>
      </w:r>
      <w:r w:rsidRPr="00594A23">
        <w:rPr>
          <w:lang w:eastAsia="fr-FR" w:bidi="fr-FR"/>
        </w:rPr>
        <w:t>. Il s’avère effect</w:t>
      </w:r>
      <w:r w:rsidRPr="00594A23">
        <w:rPr>
          <w:lang w:eastAsia="fr-FR" w:bidi="fr-FR"/>
        </w:rPr>
        <w:t>i</w:t>
      </w:r>
      <w:r w:rsidRPr="00594A23">
        <w:rPr>
          <w:lang w:eastAsia="fr-FR" w:bidi="fr-FR"/>
        </w:rPr>
        <w:t>vement primordial pour les États-Unis de minimiser les éléments o</w:t>
      </w:r>
      <w:r w:rsidRPr="00594A23">
        <w:rPr>
          <w:lang w:eastAsia="fr-FR" w:bidi="fr-FR"/>
        </w:rPr>
        <w:t>f</w:t>
      </w:r>
      <w:r w:rsidRPr="00594A23">
        <w:rPr>
          <w:lang w:eastAsia="fr-FR" w:bidi="fr-FR"/>
        </w:rPr>
        <w:t>fensifs de leur pui</w:t>
      </w:r>
      <w:r w:rsidRPr="00594A23">
        <w:rPr>
          <w:lang w:eastAsia="fr-FR" w:bidi="fr-FR"/>
        </w:rPr>
        <w:t>s</w:t>
      </w:r>
      <w:r w:rsidRPr="00594A23">
        <w:rPr>
          <w:lang w:eastAsia="fr-FR" w:bidi="fr-FR"/>
        </w:rPr>
        <w:t>sance et d’annoncer le plus souvent possible des intentions bénignes, ce qui implique de privilégier des actions qui r</w:t>
      </w:r>
      <w:r w:rsidRPr="00594A23">
        <w:rPr>
          <w:lang w:eastAsia="fr-FR" w:bidi="fr-FR"/>
        </w:rPr>
        <w:t>é</w:t>
      </w:r>
      <w:r w:rsidRPr="00594A23">
        <w:rPr>
          <w:lang w:eastAsia="fr-FR" w:bidi="fr-FR"/>
        </w:rPr>
        <w:t>pondent aux aspirations des alliés et d’autres acteurs et non aux seuls intérêts n</w:t>
      </w:r>
      <w:r w:rsidRPr="00594A23">
        <w:rPr>
          <w:lang w:eastAsia="fr-FR" w:bidi="fr-FR"/>
        </w:rPr>
        <w:t>a</w:t>
      </w:r>
      <w:r w:rsidRPr="00594A23">
        <w:rPr>
          <w:lang w:eastAsia="fr-FR" w:bidi="fr-FR"/>
        </w:rPr>
        <w:t>tionaux américains</w:t>
      </w:r>
      <w:r>
        <w:rPr>
          <w:lang w:eastAsia="fr-FR" w:bidi="fr-FR"/>
        </w:rPr>
        <w:t> </w:t>
      </w:r>
      <w:r>
        <w:rPr>
          <w:rStyle w:val="Appelnotedebasdep"/>
          <w:lang w:eastAsia="fr-FR" w:bidi="fr-FR"/>
        </w:rPr>
        <w:footnoteReference w:id="266"/>
      </w:r>
      <w:r w:rsidRPr="00594A23">
        <w:rPr>
          <w:lang w:eastAsia="fr-FR" w:bidi="fr-FR"/>
        </w:rPr>
        <w:t>.</w:t>
      </w:r>
    </w:p>
    <w:p w14:paraId="1B9F78B9" w14:textId="77777777" w:rsidR="0039793A" w:rsidRPr="00594A23" w:rsidRDefault="0039793A" w:rsidP="0039793A">
      <w:pPr>
        <w:spacing w:before="120" w:after="120"/>
        <w:jc w:val="both"/>
      </w:pPr>
      <w:r w:rsidRPr="00594A23">
        <w:rPr>
          <w:lang w:eastAsia="fr-FR" w:bidi="fr-FR"/>
        </w:rPr>
        <w:t xml:space="preserve">Puisque les capacités d’un État reposent d’abord sur sa puissance, les États-Unis doivent continuer </w:t>
      </w:r>
      <w:r w:rsidRPr="00594A23">
        <w:t xml:space="preserve">à </w:t>
      </w:r>
      <w:r w:rsidRPr="00594A23">
        <w:rPr>
          <w:lang w:eastAsia="fr-FR" w:bidi="fr-FR"/>
        </w:rPr>
        <w:t xml:space="preserve">s’intéresser </w:t>
      </w:r>
      <w:r w:rsidRPr="00594A23">
        <w:t xml:space="preserve">à </w:t>
      </w:r>
      <w:r w:rsidRPr="00594A23">
        <w:rPr>
          <w:lang w:eastAsia="fr-FR" w:bidi="fr-FR"/>
        </w:rPr>
        <w:t>la répartition de la puissance au sein du système international</w:t>
      </w:r>
      <w:r>
        <w:rPr>
          <w:lang w:eastAsia="fr-FR" w:bidi="fr-FR"/>
        </w:rPr>
        <w:t> </w:t>
      </w:r>
      <w:r>
        <w:rPr>
          <w:rStyle w:val="Appelnotedebasdep"/>
          <w:lang w:eastAsia="fr-FR" w:bidi="fr-FR"/>
        </w:rPr>
        <w:footnoteReference w:id="267"/>
      </w:r>
      <w:r w:rsidRPr="00594A23">
        <w:rPr>
          <w:lang w:eastAsia="fr-FR" w:bidi="fr-FR"/>
        </w:rPr>
        <w:t>. Ils doivent donc préf</w:t>
      </w:r>
      <w:r w:rsidRPr="00594A23">
        <w:rPr>
          <w:lang w:eastAsia="fr-FR" w:bidi="fr-FR"/>
        </w:rPr>
        <w:t>é</w:t>
      </w:r>
      <w:r w:rsidRPr="00594A23">
        <w:rPr>
          <w:lang w:eastAsia="fr-FR" w:bidi="fr-FR"/>
        </w:rPr>
        <w:t xml:space="preserve">rablement recourir </w:t>
      </w:r>
      <w:r w:rsidRPr="00594A23">
        <w:t xml:space="preserve">à </w:t>
      </w:r>
      <w:r w:rsidRPr="00594A23">
        <w:rPr>
          <w:lang w:eastAsia="fr-FR" w:bidi="fr-FR"/>
        </w:rPr>
        <w:t>la dissu</w:t>
      </w:r>
      <w:r w:rsidRPr="00594A23">
        <w:rPr>
          <w:lang w:eastAsia="fr-FR" w:bidi="fr-FR"/>
        </w:rPr>
        <w:t>a</w:t>
      </w:r>
      <w:r w:rsidRPr="00594A23">
        <w:rPr>
          <w:lang w:eastAsia="fr-FR" w:bidi="fr-FR"/>
        </w:rPr>
        <w:t xml:space="preserve">sion et </w:t>
      </w:r>
      <w:r w:rsidRPr="00594A23">
        <w:t xml:space="preserve">à </w:t>
      </w:r>
      <w:r w:rsidRPr="00594A23">
        <w:rPr>
          <w:lang w:eastAsia="fr-FR" w:bidi="fr-FR"/>
        </w:rPr>
        <w:t>la riposte plutôt que mener des opérations préve</w:t>
      </w:r>
      <w:r w:rsidRPr="00594A23">
        <w:rPr>
          <w:lang w:eastAsia="fr-FR" w:bidi="fr-FR"/>
        </w:rPr>
        <w:t>n</w:t>
      </w:r>
      <w:r w:rsidRPr="00594A23">
        <w:rPr>
          <w:lang w:eastAsia="fr-FR" w:bidi="fr-FR"/>
        </w:rPr>
        <w:t xml:space="preserve">tives comme ils l’ont fait en Irak en 2003. Comme l’indique Walt, les États-Unis devraient user de la force en dernier recours et, autant que possible, dans un cadre multilatéral. L’objectif étant de réduire la perception de menace chez les décideurs des autres États, Walt soutient que les États-Unis ne devraient utiliser la force que s’ils parviennent </w:t>
      </w:r>
      <w:r w:rsidRPr="00594A23">
        <w:t xml:space="preserve">à </w:t>
      </w:r>
      <w:r w:rsidRPr="00594A23">
        <w:rPr>
          <w:lang w:eastAsia="fr-FR" w:bidi="fr-FR"/>
        </w:rPr>
        <w:t>persu</w:t>
      </w:r>
      <w:r w:rsidRPr="00594A23">
        <w:rPr>
          <w:lang w:eastAsia="fr-FR" w:bidi="fr-FR"/>
        </w:rPr>
        <w:t>a</w:t>
      </w:r>
      <w:r w:rsidRPr="00594A23">
        <w:rPr>
          <w:lang w:eastAsia="fr-FR" w:bidi="fr-FR"/>
        </w:rPr>
        <w:t xml:space="preserve">der d’autres grandes puissances </w:t>
      </w:r>
      <w:r w:rsidRPr="00594A23">
        <w:t xml:space="preserve">à </w:t>
      </w:r>
      <w:r w:rsidRPr="00594A23">
        <w:rPr>
          <w:lang w:eastAsia="fr-FR" w:bidi="fr-FR"/>
        </w:rPr>
        <w:t>s’y joindre. En définitive, puisque l’influence sur les autres États est fo</w:t>
      </w:r>
      <w:r w:rsidRPr="00594A23">
        <w:rPr>
          <w:lang w:eastAsia="fr-FR" w:bidi="fr-FR"/>
        </w:rPr>
        <w:t>n</w:t>
      </w:r>
      <w:r w:rsidRPr="00594A23">
        <w:rPr>
          <w:lang w:eastAsia="fr-FR" w:bidi="fr-FR"/>
        </w:rPr>
        <w:t>damentale pour les États-Unis, le sacrifice de recourir aux institutions internationales dans l’affirmation de leur puissance est n</w:t>
      </w:r>
      <w:r w:rsidRPr="00594A23">
        <w:rPr>
          <w:lang w:eastAsia="fr-FR" w:bidi="fr-FR"/>
        </w:rPr>
        <w:t>é</w:t>
      </w:r>
      <w:r w:rsidRPr="00594A23">
        <w:rPr>
          <w:lang w:eastAsia="fr-FR" w:bidi="fr-FR"/>
        </w:rPr>
        <w:t>gligeable</w:t>
      </w:r>
      <w:r w:rsidRPr="00594A23">
        <w:t> :</w:t>
      </w:r>
      <w:r w:rsidRPr="00594A23">
        <w:rPr>
          <w:lang w:eastAsia="fr-FR" w:bidi="fr-FR"/>
        </w:rPr>
        <w:t xml:space="preserve"> c’est un </w:t>
      </w:r>
      <w:r w:rsidRPr="001F7518">
        <w:rPr>
          <w:i/>
          <w:iCs/>
        </w:rPr>
        <w:t>modus operandi</w:t>
      </w:r>
      <w:r w:rsidRPr="00594A23">
        <w:rPr>
          <w:lang w:eastAsia="fr-FR" w:bidi="fr-FR"/>
        </w:rPr>
        <w:t xml:space="preserve"> moins menaçant, et su</w:t>
      </w:r>
      <w:r w:rsidRPr="00594A23">
        <w:rPr>
          <w:lang w:eastAsia="fr-FR" w:bidi="fr-FR"/>
        </w:rPr>
        <w:t>r</w:t>
      </w:r>
      <w:r w:rsidRPr="00594A23">
        <w:rPr>
          <w:lang w:eastAsia="fr-FR" w:bidi="fr-FR"/>
        </w:rPr>
        <w:t>tout plus acceptable, pour les autres États</w:t>
      </w:r>
      <w:r>
        <w:rPr>
          <w:lang w:eastAsia="fr-FR" w:bidi="fr-FR"/>
        </w:rPr>
        <w:t> </w:t>
      </w:r>
      <w:r>
        <w:rPr>
          <w:rStyle w:val="Appelnotedebasdep"/>
          <w:lang w:eastAsia="fr-FR" w:bidi="fr-FR"/>
        </w:rPr>
        <w:footnoteReference w:id="268"/>
      </w:r>
      <w:r w:rsidRPr="00594A23">
        <w:t>.</w:t>
      </w:r>
      <w:r w:rsidRPr="00594A23">
        <w:rPr>
          <w:lang w:eastAsia="fr-FR" w:bidi="fr-FR"/>
        </w:rPr>
        <w:t xml:space="preserve"> Selon ses pr</w:t>
      </w:r>
      <w:r w:rsidRPr="00594A23">
        <w:rPr>
          <w:lang w:eastAsia="fr-FR" w:bidi="fr-FR"/>
        </w:rPr>
        <w:t>o</w:t>
      </w:r>
      <w:r w:rsidRPr="00594A23">
        <w:rPr>
          <w:lang w:eastAsia="fr-FR" w:bidi="fr-FR"/>
        </w:rPr>
        <w:t xml:space="preserve">pres termes, </w:t>
      </w:r>
      <w:r w:rsidRPr="00594A23">
        <w:t>« </w:t>
      </w:r>
      <w:r w:rsidRPr="00594A23">
        <w:rPr>
          <w:lang w:eastAsia="fr-FR" w:bidi="fr-FR"/>
        </w:rPr>
        <w:t xml:space="preserve">si les États-Unis veulent exercer un leadership global, ils ne peuvent s’arrêter </w:t>
      </w:r>
      <w:r w:rsidRPr="00594A23">
        <w:t xml:space="preserve">à </w:t>
      </w:r>
      <w:r w:rsidRPr="00594A23">
        <w:rPr>
          <w:lang w:eastAsia="fr-FR" w:bidi="fr-FR"/>
        </w:rPr>
        <w:t>la si</w:t>
      </w:r>
      <w:r w:rsidRPr="00594A23">
        <w:rPr>
          <w:lang w:eastAsia="fr-FR" w:bidi="fr-FR"/>
        </w:rPr>
        <w:t>m</w:t>
      </w:r>
      <w:r w:rsidRPr="00594A23">
        <w:rPr>
          <w:lang w:eastAsia="fr-FR" w:bidi="fr-FR"/>
        </w:rPr>
        <w:t>ple contrainte par la force</w:t>
      </w:r>
      <w:r w:rsidRPr="00594A23">
        <w:t> ;</w:t>
      </w:r>
      <w:r w:rsidRPr="00594A23">
        <w:rPr>
          <w:lang w:eastAsia="fr-FR" w:bidi="fr-FR"/>
        </w:rPr>
        <w:t xml:space="preserve"> ils doivent </w:t>
      </w:r>
      <w:r w:rsidRPr="001F7518">
        <w:rPr>
          <w:i/>
          <w:iCs/>
        </w:rPr>
        <w:t>persuader</w:t>
      </w:r>
      <w:r w:rsidRPr="00594A23">
        <w:rPr>
          <w:lang w:eastAsia="fr-FR" w:bidi="fr-FR"/>
        </w:rPr>
        <w:t xml:space="preserve"> — et parfois ils do</w:t>
      </w:r>
      <w:r w:rsidRPr="00594A23">
        <w:rPr>
          <w:lang w:eastAsia="fr-FR" w:bidi="fr-FR"/>
        </w:rPr>
        <w:t>i</w:t>
      </w:r>
      <w:r w:rsidRPr="00594A23">
        <w:rPr>
          <w:lang w:eastAsia="fr-FR" w:bidi="fr-FR"/>
        </w:rPr>
        <w:t>vent ég</w:t>
      </w:r>
      <w:r w:rsidRPr="00594A23">
        <w:rPr>
          <w:lang w:eastAsia="fr-FR" w:bidi="fr-FR"/>
        </w:rPr>
        <w:t>a</w:t>
      </w:r>
      <w:r w:rsidRPr="00594A23">
        <w:rPr>
          <w:lang w:eastAsia="fr-FR" w:bidi="fr-FR"/>
        </w:rPr>
        <w:t xml:space="preserve">lement </w:t>
      </w:r>
      <w:r w:rsidRPr="001F7518">
        <w:rPr>
          <w:i/>
          <w:iCs/>
        </w:rPr>
        <w:t>faire des compromis</w:t>
      </w:r>
      <w:r>
        <w:rPr>
          <w:lang w:eastAsia="fr-FR" w:bidi="fr-FR"/>
        </w:rPr>
        <w:t> </w:t>
      </w:r>
      <w:r>
        <w:rPr>
          <w:rStyle w:val="Appelnotedebasdep"/>
          <w:lang w:eastAsia="fr-FR" w:bidi="fr-FR"/>
        </w:rPr>
        <w:footnoteReference w:id="269"/>
      </w:r>
      <w:r w:rsidRPr="00594A23">
        <w:t> »</w:t>
      </w:r>
      <w:r w:rsidRPr="00594A23">
        <w:rPr>
          <w:lang w:eastAsia="fr-FR" w:bidi="fr-FR"/>
        </w:rPr>
        <w:t>.</w:t>
      </w:r>
    </w:p>
    <w:p w14:paraId="4FE70E46" w14:textId="77777777" w:rsidR="0039793A" w:rsidRDefault="0039793A" w:rsidP="0039793A">
      <w:pPr>
        <w:spacing w:before="120" w:after="120"/>
        <w:jc w:val="both"/>
      </w:pPr>
      <w:r w:rsidRPr="00594A23">
        <w:br w:type="page"/>
      </w:r>
      <w:r>
        <w:t>[117]</w:t>
      </w:r>
    </w:p>
    <w:p w14:paraId="6E1B6EB1" w14:textId="77777777" w:rsidR="0039793A" w:rsidRPr="00594A23" w:rsidRDefault="0039793A" w:rsidP="0039793A">
      <w:pPr>
        <w:spacing w:before="120" w:after="120"/>
        <w:jc w:val="both"/>
      </w:pPr>
    </w:p>
    <w:p w14:paraId="2D725F48" w14:textId="77777777" w:rsidR="0039793A" w:rsidRPr="001F7518" w:rsidRDefault="0039793A" w:rsidP="0039793A">
      <w:pPr>
        <w:pStyle w:val="b"/>
      </w:pPr>
      <w:r w:rsidRPr="001F7518">
        <w:rPr>
          <w:lang w:eastAsia="fr-FR" w:bidi="fr-FR"/>
        </w:rPr>
        <w:t>William Wohlforth</w:t>
      </w:r>
    </w:p>
    <w:p w14:paraId="17BE250D" w14:textId="77777777" w:rsidR="0039793A" w:rsidRDefault="0039793A" w:rsidP="0039793A">
      <w:pPr>
        <w:spacing w:before="120" w:after="120"/>
        <w:jc w:val="both"/>
        <w:rPr>
          <w:lang w:eastAsia="fr-FR" w:bidi="fr-FR"/>
        </w:rPr>
      </w:pPr>
    </w:p>
    <w:p w14:paraId="74A019AB" w14:textId="77777777" w:rsidR="0039793A" w:rsidRPr="00594A23" w:rsidRDefault="0039793A" w:rsidP="0039793A">
      <w:pPr>
        <w:spacing w:before="120" w:after="120"/>
        <w:jc w:val="both"/>
      </w:pPr>
      <w:r w:rsidRPr="00594A23">
        <w:rPr>
          <w:lang w:eastAsia="fr-FR" w:bidi="fr-FR"/>
        </w:rPr>
        <w:t>Pour l’équilibriste William Wohlforth, la pérennité de l’unipolarité du système international actuel repose sur deux piliers</w:t>
      </w:r>
      <w:r w:rsidRPr="00594A23">
        <w:t> :</w:t>
      </w:r>
      <w:r w:rsidRPr="00594A23">
        <w:rPr>
          <w:lang w:eastAsia="fr-FR" w:bidi="fr-FR"/>
        </w:rPr>
        <w:t xml:space="preserve"> la prépond</w:t>
      </w:r>
      <w:r w:rsidRPr="00594A23">
        <w:rPr>
          <w:lang w:eastAsia="fr-FR" w:bidi="fr-FR"/>
        </w:rPr>
        <w:t>é</w:t>
      </w:r>
      <w:r w:rsidRPr="00594A23">
        <w:rPr>
          <w:lang w:eastAsia="fr-FR" w:bidi="fr-FR"/>
        </w:rPr>
        <w:t>rance de la puissance américaine et sa géographie. En tant que pui</w:t>
      </w:r>
      <w:r w:rsidRPr="00594A23">
        <w:rPr>
          <w:lang w:eastAsia="fr-FR" w:bidi="fr-FR"/>
        </w:rPr>
        <w:t>s</w:t>
      </w:r>
      <w:r w:rsidRPr="00594A23">
        <w:rPr>
          <w:lang w:eastAsia="fr-FR" w:bidi="fr-FR"/>
        </w:rPr>
        <w:t xml:space="preserve">sance insulaire, les États-Unis n’ont pas eu à faire face aux assauts constants de voisins (à l’inverse par exemple de </w:t>
      </w:r>
      <w:r w:rsidRPr="00594A23">
        <w:t xml:space="preserve">l’URSS </w:t>
      </w:r>
      <w:r w:rsidRPr="00594A23">
        <w:rPr>
          <w:lang w:eastAsia="fr-FR" w:bidi="fr-FR"/>
        </w:rPr>
        <w:t>qui a dû combattre à mai</w:t>
      </w:r>
      <w:r w:rsidRPr="00594A23">
        <w:rPr>
          <w:lang w:eastAsia="fr-FR" w:bidi="fr-FR"/>
        </w:rPr>
        <w:t>n</w:t>
      </w:r>
      <w:r w:rsidRPr="00594A23">
        <w:rPr>
          <w:lang w:eastAsia="fr-FR" w:bidi="fr-FR"/>
        </w:rPr>
        <w:t xml:space="preserve">tes reprises la Chine à l’est et l’Allemagne à l’ouest). La seule menace pesant sur la durabilité de l’unipolarité est l’inertie des États-Unis. Le maintien de l’unipolarité dépend ainsi de l’efficacité des dirigeants américains à gérer cette </w:t>
      </w:r>
      <w:r w:rsidRPr="001F7518">
        <w:rPr>
          <w:i/>
          <w:iCs/>
        </w:rPr>
        <w:t>pax americana</w:t>
      </w:r>
      <w:r w:rsidRPr="00594A23">
        <w:rPr>
          <w:lang w:eastAsia="fr-FR" w:bidi="fr-FR"/>
        </w:rPr>
        <w:t xml:space="preserve"> et à coopérer avec les autres États du système international</w:t>
      </w:r>
      <w:r>
        <w:rPr>
          <w:lang w:eastAsia="fr-FR" w:bidi="fr-FR"/>
        </w:rPr>
        <w:t> </w:t>
      </w:r>
      <w:r>
        <w:rPr>
          <w:rStyle w:val="Appelnotedebasdep"/>
          <w:lang w:eastAsia="fr-FR" w:bidi="fr-FR"/>
        </w:rPr>
        <w:footnoteReference w:id="270"/>
      </w:r>
      <w:r>
        <w:rPr>
          <w:lang w:eastAsia="fr-FR" w:bidi="fr-FR"/>
        </w:rPr>
        <w:t>.</w:t>
      </w:r>
      <w:r w:rsidRPr="00594A23">
        <w:rPr>
          <w:lang w:eastAsia="fr-FR" w:bidi="fr-FR"/>
        </w:rPr>
        <w:t xml:space="preserve"> Faisant écho à Walt et Nye, William Wohlforth (avec Stephen Brooks) affi</w:t>
      </w:r>
      <w:r w:rsidRPr="00594A23">
        <w:rPr>
          <w:lang w:eastAsia="fr-FR" w:bidi="fr-FR"/>
        </w:rPr>
        <w:t>r</w:t>
      </w:r>
      <w:r w:rsidRPr="00594A23">
        <w:rPr>
          <w:lang w:eastAsia="fr-FR" w:bidi="fr-FR"/>
        </w:rPr>
        <w:t xml:space="preserve">me que </w:t>
      </w:r>
      <w:r w:rsidRPr="00594A23">
        <w:t>« </w:t>
      </w:r>
      <w:r w:rsidRPr="00594A23">
        <w:rPr>
          <w:lang w:eastAsia="fr-FR" w:bidi="fr-FR"/>
        </w:rPr>
        <w:t xml:space="preserve">Washington doit être concerné par le degré de ressentiment qu’une conduite unilatéraliste agressive américaine pourrait engendrer chez [ses] alliés majeurs. </w:t>
      </w:r>
      <w:r w:rsidRPr="001F7518">
        <w:rPr>
          <w:i/>
          <w:iCs/>
        </w:rPr>
        <w:t>Après tout, c’est l’influence, et non la pui</w:t>
      </w:r>
      <w:r w:rsidRPr="001F7518">
        <w:rPr>
          <w:i/>
          <w:iCs/>
        </w:rPr>
        <w:t>s</w:t>
      </w:r>
      <w:r w:rsidRPr="001F7518">
        <w:rPr>
          <w:i/>
          <w:iCs/>
        </w:rPr>
        <w:t>sance, qui est la plus précieuse</w:t>
      </w:r>
      <w:r>
        <w:rPr>
          <w:lang w:eastAsia="fr-FR" w:bidi="fr-FR"/>
        </w:rPr>
        <w:t> </w:t>
      </w:r>
      <w:r>
        <w:rPr>
          <w:rStyle w:val="Appelnotedebasdep"/>
          <w:lang w:eastAsia="fr-FR" w:bidi="fr-FR"/>
        </w:rPr>
        <w:footnoteReference w:id="271"/>
      </w:r>
      <w:r w:rsidRPr="00594A23">
        <w:t> »</w:t>
      </w:r>
      <w:r w:rsidRPr="00594A23">
        <w:rPr>
          <w:lang w:eastAsia="fr-FR" w:bidi="fr-FR"/>
        </w:rPr>
        <w:t>.</w:t>
      </w:r>
    </w:p>
    <w:p w14:paraId="3D05ACEF" w14:textId="77777777" w:rsidR="0039793A" w:rsidRPr="00594A23" w:rsidRDefault="0039793A" w:rsidP="0039793A">
      <w:pPr>
        <w:spacing w:before="120" w:after="120"/>
        <w:jc w:val="both"/>
      </w:pPr>
      <w:r w:rsidRPr="00594A23">
        <w:rPr>
          <w:lang w:eastAsia="fr-FR" w:bidi="fr-FR"/>
        </w:rPr>
        <w:t>Dans l’unipolarité, les capacités de l’État dominant sont tellement grandes que l’on ne peut leur faire contrepoids</w:t>
      </w:r>
      <w:r>
        <w:rPr>
          <w:lang w:eastAsia="fr-FR" w:bidi="fr-FR"/>
        </w:rPr>
        <w:t> </w:t>
      </w:r>
      <w:r>
        <w:rPr>
          <w:rStyle w:val="Appelnotedebasdep"/>
          <w:lang w:eastAsia="fr-FR" w:bidi="fr-FR"/>
        </w:rPr>
        <w:footnoteReference w:id="272"/>
      </w:r>
      <w:r w:rsidRPr="00594A23">
        <w:rPr>
          <w:lang w:eastAsia="fr-FR" w:bidi="fr-FR"/>
        </w:rPr>
        <w:t>. C’est ce qui fait dire à Wohlforth qu’aucune puissance ne peut essayer de changer la répa</w:t>
      </w:r>
      <w:r w:rsidRPr="00594A23">
        <w:rPr>
          <w:lang w:eastAsia="fr-FR" w:bidi="fr-FR"/>
        </w:rPr>
        <w:t>r</w:t>
      </w:r>
      <w:r w:rsidRPr="00594A23">
        <w:rPr>
          <w:lang w:eastAsia="fr-FR" w:bidi="fr-FR"/>
        </w:rPr>
        <w:t>tition de la puissance, et ce, pour deux raisons</w:t>
      </w:r>
      <w:r w:rsidRPr="00594A23">
        <w:t> :</w:t>
      </w:r>
      <w:r w:rsidRPr="00594A23">
        <w:rPr>
          <w:lang w:eastAsia="fr-FR" w:bidi="fr-FR"/>
        </w:rPr>
        <w:t xml:space="preserve"> d’une part, la démocratie et la mondialisation auraient changé la nature de la polit</w:t>
      </w:r>
      <w:r w:rsidRPr="00594A23">
        <w:rPr>
          <w:lang w:eastAsia="fr-FR" w:bidi="fr-FR"/>
        </w:rPr>
        <w:t>i</w:t>
      </w:r>
      <w:r w:rsidRPr="00594A23">
        <w:rPr>
          <w:lang w:eastAsia="fr-FR" w:bidi="fr-FR"/>
        </w:rPr>
        <w:t>que internation</w:t>
      </w:r>
      <w:r w:rsidRPr="00594A23">
        <w:rPr>
          <w:lang w:eastAsia="fr-FR" w:bidi="fr-FR"/>
        </w:rPr>
        <w:t>a</w:t>
      </w:r>
      <w:r w:rsidRPr="00594A23">
        <w:rPr>
          <w:lang w:eastAsia="fr-FR" w:bidi="fr-FR"/>
        </w:rPr>
        <w:t>le et, d’autre part, les efforts de compétition avec les États-Unis sont tellement vains que nul n’essaie de modifier le syst</w:t>
      </w:r>
      <w:r w:rsidRPr="00594A23">
        <w:rPr>
          <w:lang w:eastAsia="fr-FR" w:bidi="fr-FR"/>
        </w:rPr>
        <w:t>è</w:t>
      </w:r>
      <w:r w:rsidRPr="00594A23">
        <w:rPr>
          <w:lang w:eastAsia="fr-FR" w:bidi="fr-FR"/>
        </w:rPr>
        <w:t>me. Si les dirigeants américains se rendent compte de l’opportunité qui s’offre à eux et prennent conscience qu’il est plus profitable de maintenir l’unipolarité, en continuant d’investir massivement dans la défense, Wohlforth croit que l’unipolarité pourrait être appelée à durer aussi longtemps que la guerre froide</w:t>
      </w:r>
      <w:r>
        <w:rPr>
          <w:lang w:eastAsia="fr-FR" w:bidi="fr-FR"/>
        </w:rPr>
        <w:t> </w:t>
      </w:r>
      <w:r>
        <w:rPr>
          <w:rStyle w:val="Appelnotedebasdep"/>
          <w:lang w:eastAsia="fr-FR" w:bidi="fr-FR"/>
        </w:rPr>
        <w:footnoteReference w:id="273"/>
      </w:r>
      <w:r w:rsidRPr="00594A23">
        <w:rPr>
          <w:lang w:eastAsia="fr-FR" w:bidi="fr-FR"/>
        </w:rPr>
        <w:t>. L’unipolarité permettrait ai</w:t>
      </w:r>
      <w:r w:rsidRPr="00594A23">
        <w:rPr>
          <w:lang w:eastAsia="fr-FR" w:bidi="fr-FR"/>
        </w:rPr>
        <w:t>n</w:t>
      </w:r>
      <w:r w:rsidRPr="00594A23">
        <w:rPr>
          <w:lang w:eastAsia="fr-FR" w:bidi="fr-FR"/>
        </w:rPr>
        <w:t>si d’éviter une nouvelle course aux armements entre les grandes pui</w:t>
      </w:r>
      <w:r w:rsidRPr="00594A23">
        <w:rPr>
          <w:lang w:eastAsia="fr-FR" w:bidi="fr-FR"/>
        </w:rPr>
        <w:t>s</w:t>
      </w:r>
      <w:r w:rsidRPr="00594A23">
        <w:rPr>
          <w:lang w:eastAsia="fr-FR" w:bidi="fr-FR"/>
        </w:rPr>
        <w:t>sances et assurerait aux États-Unis une prépondérance quasi perm</w:t>
      </w:r>
      <w:r w:rsidRPr="00594A23">
        <w:rPr>
          <w:lang w:eastAsia="fr-FR" w:bidi="fr-FR"/>
        </w:rPr>
        <w:t>a</w:t>
      </w:r>
      <w:r w:rsidRPr="00594A23">
        <w:rPr>
          <w:lang w:eastAsia="fr-FR" w:bidi="fr-FR"/>
        </w:rPr>
        <w:t>nente. Quant aux puissances susceptibles de tenir tête aux</w:t>
      </w:r>
      <w:r>
        <w:t xml:space="preserve"> [118] </w:t>
      </w:r>
      <w:r w:rsidRPr="00594A23">
        <w:rPr>
          <w:lang w:eastAsia="fr-FR" w:bidi="fr-FR"/>
        </w:rPr>
        <w:t>États-Unis, elles ne jouissent pas du contexte régional permettant de vra</w:t>
      </w:r>
      <w:r w:rsidRPr="00594A23">
        <w:rPr>
          <w:lang w:eastAsia="fr-FR" w:bidi="fr-FR"/>
        </w:rPr>
        <w:t>i</w:t>
      </w:r>
      <w:r w:rsidRPr="00594A23">
        <w:rPr>
          <w:lang w:eastAsia="fr-FR" w:bidi="fr-FR"/>
        </w:rPr>
        <w:t>ment altérer la puissance des États-Unis au sein du système intern</w:t>
      </w:r>
      <w:r w:rsidRPr="00594A23">
        <w:rPr>
          <w:lang w:eastAsia="fr-FR" w:bidi="fr-FR"/>
        </w:rPr>
        <w:t>a</w:t>
      </w:r>
      <w:r w:rsidRPr="00594A23">
        <w:rPr>
          <w:lang w:eastAsia="fr-FR" w:bidi="fr-FR"/>
        </w:rPr>
        <w:t>tional.</w:t>
      </w:r>
    </w:p>
    <w:p w14:paraId="1DC81163" w14:textId="77777777" w:rsidR="0039793A" w:rsidRPr="00594A23" w:rsidRDefault="0039793A" w:rsidP="0039793A">
      <w:pPr>
        <w:spacing w:before="120" w:after="120"/>
        <w:jc w:val="both"/>
      </w:pPr>
      <w:r w:rsidRPr="00594A23">
        <w:rPr>
          <w:lang w:eastAsia="fr-FR" w:bidi="fr-FR"/>
        </w:rPr>
        <w:t>La seule crainte formulée par Wohlforth concerne les institutions politiques américaines. En refusant la plupart du temps d’adopter une approche américaine multilatéraliste dans l’arène internationale, les institutions politiques américaines (la présidence et le Congrès) pou</w:t>
      </w:r>
      <w:r w:rsidRPr="00594A23">
        <w:rPr>
          <w:lang w:eastAsia="fr-FR" w:bidi="fr-FR"/>
        </w:rPr>
        <w:t>r</w:t>
      </w:r>
      <w:r w:rsidRPr="00594A23">
        <w:rPr>
          <w:lang w:eastAsia="fr-FR" w:bidi="fr-FR"/>
        </w:rPr>
        <w:t>raient constituer la menace essentielle à la stabilité unipolaire et au maintien de la primauté des États-Unis</w:t>
      </w:r>
      <w:r>
        <w:rPr>
          <w:lang w:eastAsia="fr-FR" w:bidi="fr-FR"/>
        </w:rPr>
        <w:t> </w:t>
      </w:r>
      <w:r>
        <w:rPr>
          <w:rStyle w:val="Appelnotedebasdep"/>
          <w:lang w:eastAsia="fr-FR" w:bidi="fr-FR"/>
        </w:rPr>
        <w:footnoteReference w:id="274"/>
      </w:r>
      <w:r>
        <w:rPr>
          <w:lang w:eastAsia="fr-FR" w:bidi="fr-FR"/>
        </w:rPr>
        <w:t>.</w:t>
      </w:r>
      <w:r w:rsidRPr="00594A23">
        <w:rPr>
          <w:lang w:eastAsia="fr-FR" w:bidi="fr-FR"/>
        </w:rPr>
        <w:t xml:space="preserve"> Selon Wohlforth, pour a</w:t>
      </w:r>
      <w:r w:rsidRPr="00594A23">
        <w:rPr>
          <w:lang w:eastAsia="fr-FR" w:bidi="fr-FR"/>
        </w:rPr>
        <w:t>s</w:t>
      </w:r>
      <w:r w:rsidRPr="00594A23">
        <w:rPr>
          <w:lang w:eastAsia="fr-FR" w:bidi="fr-FR"/>
        </w:rPr>
        <w:t>s</w:t>
      </w:r>
      <w:r w:rsidRPr="00594A23">
        <w:rPr>
          <w:lang w:eastAsia="fr-FR" w:bidi="fr-FR"/>
        </w:rPr>
        <w:t>u</w:t>
      </w:r>
      <w:r w:rsidRPr="00594A23">
        <w:rPr>
          <w:lang w:eastAsia="fr-FR" w:bidi="fr-FR"/>
        </w:rPr>
        <w:t>rer le maintien de leur primauté, les États-Unis doivent jouer selon les règles internationales, c’est-à-dire dans le respect du droit intern</w:t>
      </w:r>
      <w:r w:rsidRPr="00594A23">
        <w:rPr>
          <w:lang w:eastAsia="fr-FR" w:bidi="fr-FR"/>
        </w:rPr>
        <w:t>a</w:t>
      </w:r>
      <w:r w:rsidRPr="00594A23">
        <w:rPr>
          <w:lang w:eastAsia="fr-FR" w:bidi="fr-FR"/>
        </w:rPr>
        <w:t>tional et en privilégiant l’action multilatérale</w:t>
      </w:r>
      <w:r>
        <w:rPr>
          <w:lang w:eastAsia="fr-FR" w:bidi="fr-FR"/>
        </w:rPr>
        <w:t> </w:t>
      </w:r>
      <w:r>
        <w:rPr>
          <w:rStyle w:val="Appelnotedebasdep"/>
          <w:lang w:eastAsia="fr-FR" w:bidi="fr-FR"/>
        </w:rPr>
        <w:footnoteReference w:id="275"/>
      </w:r>
      <w:r w:rsidRPr="00594A23">
        <w:rPr>
          <w:lang w:eastAsia="fr-FR" w:bidi="fr-FR"/>
        </w:rPr>
        <w:t>. Toutefois, pour d</w:t>
      </w:r>
      <w:r w:rsidRPr="00594A23">
        <w:rPr>
          <w:lang w:eastAsia="fr-FR" w:bidi="fr-FR"/>
        </w:rPr>
        <w:t>é</w:t>
      </w:r>
      <w:r w:rsidRPr="00594A23">
        <w:rPr>
          <w:lang w:eastAsia="fr-FR" w:bidi="fr-FR"/>
        </w:rPr>
        <w:t>fendre leurs intérêts nationaux, ils doivent se réserver une porte de sortie</w:t>
      </w:r>
      <w:r w:rsidRPr="00594A23">
        <w:t> :</w:t>
      </w:r>
      <w:r w:rsidRPr="00594A23">
        <w:rPr>
          <w:lang w:eastAsia="fr-FR" w:bidi="fr-FR"/>
        </w:rPr>
        <w:t xml:space="preserve"> ils doivent pouvoir agir unilatéralement, même si cela impl</w:t>
      </w:r>
      <w:r w:rsidRPr="00594A23">
        <w:rPr>
          <w:lang w:eastAsia="fr-FR" w:bidi="fr-FR"/>
        </w:rPr>
        <w:t>i</w:t>
      </w:r>
      <w:r w:rsidRPr="00594A23">
        <w:rPr>
          <w:lang w:eastAsia="fr-FR" w:bidi="fr-FR"/>
        </w:rPr>
        <w:t>que d’aller à l’encontre des institutions internationales. Cela suppose que les dirigeants soient conscients des conséquences néfastes poss</w:t>
      </w:r>
      <w:r w:rsidRPr="00594A23">
        <w:rPr>
          <w:lang w:eastAsia="fr-FR" w:bidi="fr-FR"/>
        </w:rPr>
        <w:t>i</w:t>
      </w:r>
      <w:r w:rsidRPr="00594A23">
        <w:rPr>
          <w:lang w:eastAsia="fr-FR" w:bidi="fr-FR"/>
        </w:rPr>
        <w:t>bles et qu’ils présentent aux autres États cette situation comme une mesure d’exception.</w:t>
      </w:r>
    </w:p>
    <w:p w14:paraId="1F4FBE29" w14:textId="77777777" w:rsidR="0039793A" w:rsidRDefault="0039793A" w:rsidP="0039793A">
      <w:pPr>
        <w:spacing w:before="120" w:after="120"/>
        <w:jc w:val="both"/>
        <w:rPr>
          <w:lang w:eastAsia="fr-FR" w:bidi="fr-FR"/>
        </w:rPr>
      </w:pPr>
    </w:p>
    <w:p w14:paraId="513EF167" w14:textId="77777777" w:rsidR="0039793A" w:rsidRPr="00E66369" w:rsidRDefault="0039793A" w:rsidP="0039793A">
      <w:pPr>
        <w:pStyle w:val="b"/>
      </w:pPr>
      <w:r w:rsidRPr="00E66369">
        <w:rPr>
          <w:lang w:eastAsia="fr-FR" w:bidi="fr-FR"/>
        </w:rPr>
        <w:t>Fareed Zakaria</w:t>
      </w:r>
    </w:p>
    <w:p w14:paraId="76BFD355" w14:textId="77777777" w:rsidR="0039793A" w:rsidRDefault="0039793A" w:rsidP="0039793A">
      <w:pPr>
        <w:spacing w:before="120" w:after="120"/>
        <w:jc w:val="both"/>
        <w:rPr>
          <w:lang w:eastAsia="fr-FR" w:bidi="fr-FR"/>
        </w:rPr>
      </w:pPr>
    </w:p>
    <w:p w14:paraId="381B58B1" w14:textId="77777777" w:rsidR="0039793A" w:rsidRPr="00594A23" w:rsidRDefault="0039793A" w:rsidP="0039793A">
      <w:pPr>
        <w:spacing w:before="120" w:after="120"/>
        <w:jc w:val="both"/>
      </w:pPr>
      <w:r w:rsidRPr="00594A23">
        <w:rPr>
          <w:lang w:eastAsia="fr-FR" w:bidi="fr-FR"/>
        </w:rPr>
        <w:t>Dans le champ de la théorie des relations internationales, le né</w:t>
      </w:r>
      <w:r w:rsidRPr="00594A23">
        <w:rPr>
          <w:lang w:eastAsia="fr-FR" w:bidi="fr-FR"/>
        </w:rPr>
        <w:t>o</w:t>
      </w:r>
      <w:r w:rsidRPr="00594A23">
        <w:rPr>
          <w:lang w:eastAsia="fr-FR" w:bidi="fr-FR"/>
        </w:rPr>
        <w:t>réalisme est l’approche la plus commune. La principale lacune de ce</w:t>
      </w:r>
      <w:r w:rsidRPr="00594A23">
        <w:rPr>
          <w:lang w:eastAsia="fr-FR" w:bidi="fr-FR"/>
        </w:rPr>
        <w:t>t</w:t>
      </w:r>
      <w:r w:rsidRPr="00594A23">
        <w:rPr>
          <w:lang w:eastAsia="fr-FR" w:bidi="fr-FR"/>
        </w:rPr>
        <w:t>te théorie est qu’elle ne peut être appliquée à l’analyse de la politique étrangère, car elle adopte un point de vue systémique</w:t>
      </w:r>
      <w:r w:rsidRPr="00594A23">
        <w:t> :</w:t>
      </w:r>
      <w:r w:rsidRPr="00594A23">
        <w:rPr>
          <w:lang w:eastAsia="fr-FR" w:bidi="fr-FR"/>
        </w:rPr>
        <w:t xml:space="preserve"> seule la stru</w:t>
      </w:r>
      <w:r w:rsidRPr="00594A23">
        <w:rPr>
          <w:lang w:eastAsia="fr-FR" w:bidi="fr-FR"/>
        </w:rPr>
        <w:t>c</w:t>
      </w:r>
      <w:r w:rsidRPr="00594A23">
        <w:rPr>
          <w:lang w:eastAsia="fr-FR" w:bidi="fr-FR"/>
        </w:rPr>
        <w:t>ture du système internati</w:t>
      </w:r>
      <w:r w:rsidRPr="00594A23">
        <w:rPr>
          <w:lang w:eastAsia="fr-FR" w:bidi="fr-FR"/>
        </w:rPr>
        <w:t>o</w:t>
      </w:r>
      <w:r w:rsidRPr="00594A23">
        <w:rPr>
          <w:lang w:eastAsia="fr-FR" w:bidi="fr-FR"/>
        </w:rPr>
        <w:t>nal compte. Celui-ci est composé d’unités étatiques prés</w:t>
      </w:r>
      <w:r w:rsidRPr="00594A23">
        <w:rPr>
          <w:lang w:eastAsia="fr-FR" w:bidi="fr-FR"/>
        </w:rPr>
        <w:t>u</w:t>
      </w:r>
      <w:r w:rsidRPr="00594A23">
        <w:rPr>
          <w:lang w:eastAsia="fr-FR" w:bidi="fr-FR"/>
        </w:rPr>
        <w:t>mées identiques et définies par des caractéristiques exogènes. Voulant expliquer le comportement des États-Unis en pol</w:t>
      </w:r>
      <w:r w:rsidRPr="00594A23">
        <w:rPr>
          <w:lang w:eastAsia="fr-FR" w:bidi="fr-FR"/>
        </w:rPr>
        <w:t>i</w:t>
      </w:r>
      <w:r w:rsidRPr="00594A23">
        <w:rPr>
          <w:lang w:eastAsia="fr-FR" w:bidi="fr-FR"/>
        </w:rPr>
        <w:t>tique internationale, Fareed Zakaria a entrepris de réi</w:t>
      </w:r>
      <w:r w:rsidRPr="00594A23">
        <w:rPr>
          <w:lang w:eastAsia="fr-FR" w:bidi="fr-FR"/>
        </w:rPr>
        <w:t>n</w:t>
      </w:r>
      <w:r w:rsidRPr="00594A23">
        <w:rPr>
          <w:lang w:eastAsia="fr-FR" w:bidi="fr-FR"/>
        </w:rPr>
        <w:t>tégrer l’État dans son cadre d’analyse - l’appareil étatique - en conservant néa</w:t>
      </w:r>
      <w:r w:rsidRPr="00594A23">
        <w:rPr>
          <w:lang w:eastAsia="fr-FR" w:bidi="fr-FR"/>
        </w:rPr>
        <w:t>n</w:t>
      </w:r>
      <w:r w:rsidRPr="00594A23">
        <w:rPr>
          <w:lang w:eastAsia="fr-FR" w:bidi="fr-FR"/>
        </w:rPr>
        <w:t>moins une considération systémique, à savoir la puissance relative, qui découle de la répartition et de la hiérarchisation de la puissance à l’échelle internation</w:t>
      </w:r>
      <w:r w:rsidRPr="00594A23">
        <w:rPr>
          <w:lang w:eastAsia="fr-FR" w:bidi="fr-FR"/>
        </w:rPr>
        <w:t>a</w:t>
      </w:r>
      <w:r w:rsidRPr="00594A23">
        <w:rPr>
          <w:lang w:eastAsia="fr-FR" w:bidi="fr-FR"/>
        </w:rPr>
        <w:t>le.</w:t>
      </w:r>
    </w:p>
    <w:p w14:paraId="0C265F09" w14:textId="77777777" w:rsidR="0039793A" w:rsidRPr="00594A23" w:rsidRDefault="0039793A" w:rsidP="0039793A">
      <w:pPr>
        <w:spacing w:before="120" w:after="120"/>
        <w:jc w:val="both"/>
      </w:pPr>
      <w:r w:rsidRPr="00594A23">
        <w:rPr>
          <w:lang w:eastAsia="fr-FR" w:bidi="fr-FR"/>
        </w:rPr>
        <w:t>Il a ainsi élaboré une théorie de la politique étrangère d</w:t>
      </w:r>
      <w:r w:rsidRPr="00594A23">
        <w:rPr>
          <w:lang w:eastAsia="fr-FR" w:bidi="fr-FR"/>
        </w:rPr>
        <w:t>i</w:t>
      </w:r>
      <w:r w:rsidRPr="00594A23">
        <w:rPr>
          <w:lang w:eastAsia="fr-FR" w:bidi="fr-FR"/>
        </w:rPr>
        <w:t xml:space="preserve">te </w:t>
      </w:r>
      <w:r w:rsidRPr="00594A23">
        <w:t>« </w:t>
      </w:r>
      <w:r w:rsidRPr="00594A23">
        <w:rPr>
          <w:lang w:eastAsia="fr-FR" w:bidi="fr-FR"/>
        </w:rPr>
        <w:t>réaliste étato-centrée</w:t>
      </w:r>
      <w:r w:rsidRPr="00594A23">
        <w:t> »</w:t>
      </w:r>
      <w:r w:rsidRPr="00594A23">
        <w:rPr>
          <w:lang w:eastAsia="fr-FR" w:bidi="fr-FR"/>
        </w:rPr>
        <w:t xml:space="preserve"> en ana</w:t>
      </w:r>
      <w:r>
        <w:rPr>
          <w:lang w:eastAsia="fr-FR" w:bidi="fr-FR"/>
        </w:rPr>
        <w:t>lysant l’affirmation de la puis</w:t>
      </w:r>
      <w:r w:rsidRPr="00594A23">
        <w:rPr>
          <w:lang w:eastAsia="fr-FR" w:bidi="fr-FR"/>
        </w:rPr>
        <w:t>sance</w:t>
      </w:r>
      <w:r>
        <w:t xml:space="preserve"> [119]</w:t>
      </w:r>
      <w:r w:rsidRPr="00594A23">
        <w:rPr>
          <w:lang w:eastAsia="fr-FR" w:bidi="fr-FR"/>
        </w:rPr>
        <w:t xml:space="preserve"> amér</w:t>
      </w:r>
      <w:r w:rsidRPr="00594A23">
        <w:rPr>
          <w:lang w:eastAsia="fr-FR" w:bidi="fr-FR"/>
        </w:rPr>
        <w:t>i</w:t>
      </w:r>
      <w:r w:rsidRPr="00594A23">
        <w:rPr>
          <w:lang w:eastAsia="fr-FR" w:bidi="fr-FR"/>
        </w:rPr>
        <w:t xml:space="preserve">caine au </w:t>
      </w:r>
      <w:r w:rsidRPr="00594A23">
        <w:t>XX</w:t>
      </w:r>
      <w:r w:rsidRPr="00594A23">
        <w:rPr>
          <w:vertAlign w:val="superscript"/>
        </w:rPr>
        <w:t>e</w:t>
      </w:r>
      <w:r w:rsidRPr="00594A23">
        <w:t xml:space="preserve"> </w:t>
      </w:r>
      <w:r w:rsidRPr="00594A23">
        <w:rPr>
          <w:lang w:eastAsia="fr-FR" w:bidi="fr-FR"/>
        </w:rPr>
        <w:t>siècle</w:t>
      </w:r>
      <w:r>
        <w:rPr>
          <w:lang w:eastAsia="fr-FR" w:bidi="fr-FR"/>
        </w:rPr>
        <w:t> </w:t>
      </w:r>
      <w:r>
        <w:rPr>
          <w:rStyle w:val="Appelnotedebasdep"/>
          <w:lang w:eastAsia="fr-FR" w:bidi="fr-FR"/>
        </w:rPr>
        <w:footnoteReference w:id="276"/>
      </w:r>
      <w:r w:rsidRPr="00594A23">
        <w:rPr>
          <w:lang w:eastAsia="fr-FR" w:bidi="fr-FR"/>
        </w:rPr>
        <w:t>. Critiquant le réalisme d</w:t>
      </w:r>
      <w:r w:rsidRPr="00594A23">
        <w:rPr>
          <w:lang w:eastAsia="fr-FR" w:bidi="fr-FR"/>
        </w:rPr>
        <w:t>é</w:t>
      </w:r>
      <w:r w:rsidRPr="00594A23">
        <w:rPr>
          <w:lang w:eastAsia="fr-FR" w:bidi="fr-FR"/>
        </w:rPr>
        <w:t>fensif, qui postule que les États ne sont intéressés que par leur sécurité et que c’est dans ce but unique qu’ils cherchent à étendre leur puissance, Zakaria so</w:t>
      </w:r>
      <w:r w:rsidRPr="00594A23">
        <w:rPr>
          <w:lang w:eastAsia="fr-FR" w:bidi="fr-FR"/>
        </w:rPr>
        <w:t>u</w:t>
      </w:r>
      <w:r w:rsidRPr="00594A23">
        <w:rPr>
          <w:lang w:eastAsia="fr-FR" w:bidi="fr-FR"/>
        </w:rPr>
        <w:t>tient au contraire, dans une perspective réaliste o</w:t>
      </w:r>
      <w:r w:rsidRPr="00594A23">
        <w:rPr>
          <w:lang w:eastAsia="fr-FR" w:bidi="fr-FR"/>
        </w:rPr>
        <w:t>f</w:t>
      </w:r>
      <w:r w:rsidRPr="00594A23">
        <w:rPr>
          <w:lang w:eastAsia="fr-FR" w:bidi="fr-FR"/>
        </w:rPr>
        <w:t xml:space="preserve">fensive, que les États-Unis ont, au cours du </w:t>
      </w:r>
      <w:r w:rsidRPr="00594A23">
        <w:t>XX</w:t>
      </w:r>
      <w:r w:rsidRPr="00594A23">
        <w:rPr>
          <w:vertAlign w:val="superscript"/>
        </w:rPr>
        <w:t>e</w:t>
      </w:r>
      <w:r w:rsidRPr="00594A23">
        <w:t xml:space="preserve"> </w:t>
      </w:r>
      <w:r w:rsidRPr="00594A23">
        <w:rPr>
          <w:lang w:eastAsia="fr-FR" w:bidi="fr-FR"/>
        </w:rPr>
        <w:t>siècle, profité de nombreuses occ</w:t>
      </w:r>
      <w:r w:rsidRPr="00594A23">
        <w:rPr>
          <w:lang w:eastAsia="fr-FR" w:bidi="fr-FR"/>
        </w:rPr>
        <w:t>a</w:t>
      </w:r>
      <w:r w:rsidRPr="00594A23">
        <w:rPr>
          <w:lang w:eastAsia="fr-FR" w:bidi="fr-FR"/>
        </w:rPr>
        <w:t>sions pour accroître leur puissance relative</w:t>
      </w:r>
      <w:r>
        <w:rPr>
          <w:lang w:eastAsia="fr-FR" w:bidi="fr-FR"/>
        </w:rPr>
        <w:t> </w:t>
      </w:r>
      <w:r>
        <w:rPr>
          <w:rStyle w:val="Appelnotedebasdep"/>
          <w:lang w:eastAsia="fr-FR" w:bidi="fr-FR"/>
        </w:rPr>
        <w:footnoteReference w:id="277"/>
      </w:r>
      <w:r>
        <w:rPr>
          <w:lang w:eastAsia="fr-FR" w:bidi="fr-FR"/>
        </w:rPr>
        <w:t>.</w:t>
      </w:r>
      <w:r w:rsidRPr="00594A23">
        <w:rPr>
          <w:lang w:eastAsia="fr-FR" w:bidi="fr-FR"/>
        </w:rPr>
        <w:t xml:space="preserve"> Pour Zakaria, cette consid</w:t>
      </w:r>
      <w:r w:rsidRPr="00594A23">
        <w:rPr>
          <w:lang w:eastAsia="fr-FR" w:bidi="fr-FR"/>
        </w:rPr>
        <w:t>é</w:t>
      </w:r>
      <w:r w:rsidRPr="00594A23">
        <w:rPr>
          <w:lang w:eastAsia="fr-FR" w:bidi="fr-FR"/>
        </w:rPr>
        <w:t xml:space="preserve">ration systémique — la puissance relative </w:t>
      </w:r>
      <w:r>
        <w:rPr>
          <w:lang w:eastAsia="fr-FR" w:bidi="fr-FR"/>
        </w:rPr>
        <w:t>—</w:t>
      </w:r>
      <w:r w:rsidRPr="00594A23">
        <w:rPr>
          <w:lang w:eastAsia="fr-FR" w:bidi="fr-FR"/>
        </w:rPr>
        <w:t xml:space="preserve"> doit être alliée à une considération étatique et ainsi prendre en compte les facteurs int</w:t>
      </w:r>
      <w:r w:rsidRPr="00594A23">
        <w:rPr>
          <w:lang w:eastAsia="fr-FR" w:bidi="fr-FR"/>
        </w:rPr>
        <w:t>é</w:t>
      </w:r>
      <w:r w:rsidRPr="00594A23">
        <w:rPr>
          <w:lang w:eastAsia="fr-FR" w:bidi="fr-FR"/>
        </w:rPr>
        <w:t>rieurs façonnant la politique étrangère des États-Unis. Par cons</w:t>
      </w:r>
      <w:r w:rsidRPr="00594A23">
        <w:rPr>
          <w:lang w:eastAsia="fr-FR" w:bidi="fr-FR"/>
        </w:rPr>
        <w:t>é</w:t>
      </w:r>
      <w:r w:rsidRPr="00594A23">
        <w:rPr>
          <w:lang w:eastAsia="fr-FR" w:bidi="fr-FR"/>
        </w:rPr>
        <w:t>quent, la personnalité des membres de l’Administration, les valeurs et la culture politique nationales, le contexte politique intérieur et la pui</w:t>
      </w:r>
      <w:r w:rsidRPr="00594A23">
        <w:rPr>
          <w:lang w:eastAsia="fr-FR" w:bidi="fr-FR"/>
        </w:rPr>
        <w:t>s</w:t>
      </w:r>
      <w:r w:rsidRPr="00594A23">
        <w:rPr>
          <w:lang w:eastAsia="fr-FR" w:bidi="fr-FR"/>
        </w:rPr>
        <w:t>sance de l’appareil étatique ont un rôle fondamental à jouer dans la définition qui est faite (par les dirigeants) des intérêts nati</w:t>
      </w:r>
      <w:r w:rsidRPr="00594A23">
        <w:rPr>
          <w:lang w:eastAsia="fr-FR" w:bidi="fr-FR"/>
        </w:rPr>
        <w:t>o</w:t>
      </w:r>
      <w:r w:rsidRPr="00594A23">
        <w:rPr>
          <w:lang w:eastAsia="fr-FR" w:bidi="fr-FR"/>
        </w:rPr>
        <w:t>naux. Ce sont ces intérêts qui détermineront, avec la perce</w:t>
      </w:r>
      <w:r w:rsidRPr="00594A23">
        <w:rPr>
          <w:lang w:eastAsia="fr-FR" w:bidi="fr-FR"/>
        </w:rPr>
        <w:t>p</w:t>
      </w:r>
      <w:r w:rsidRPr="00594A23">
        <w:rPr>
          <w:lang w:eastAsia="fr-FR" w:bidi="fr-FR"/>
        </w:rPr>
        <w:t>tion (des dirigeants) de la puissance relative des États-Unis, les actions extérieures amér</w:t>
      </w:r>
      <w:r w:rsidRPr="00594A23">
        <w:rPr>
          <w:lang w:eastAsia="fr-FR" w:bidi="fr-FR"/>
        </w:rPr>
        <w:t>i</w:t>
      </w:r>
      <w:r w:rsidRPr="00594A23">
        <w:rPr>
          <w:lang w:eastAsia="fr-FR" w:bidi="fr-FR"/>
        </w:rPr>
        <w:t>caines visant à augmenter leur puissance relative et leur influence.</w:t>
      </w:r>
    </w:p>
    <w:p w14:paraId="3718A2DA" w14:textId="77777777" w:rsidR="0039793A" w:rsidRPr="00594A23" w:rsidRDefault="0039793A" w:rsidP="0039793A">
      <w:pPr>
        <w:spacing w:before="120" w:after="120"/>
        <w:jc w:val="both"/>
      </w:pPr>
      <w:r w:rsidRPr="00594A23">
        <w:rPr>
          <w:lang w:eastAsia="fr-FR" w:bidi="fr-FR"/>
        </w:rPr>
        <w:t>Dans son analyse de la politique étrangère des États-Unis depuis la fin de la guerre froide, Zakaria identifie une o</w:t>
      </w:r>
      <w:r w:rsidRPr="00594A23">
        <w:rPr>
          <w:lang w:eastAsia="fr-FR" w:bidi="fr-FR"/>
        </w:rPr>
        <w:t>p</w:t>
      </w:r>
      <w:r w:rsidRPr="00594A23">
        <w:rPr>
          <w:lang w:eastAsia="fr-FR" w:bidi="fr-FR"/>
        </w:rPr>
        <w:t>portunité perdue par les États-Unis pour accroître leur pui</w:t>
      </w:r>
      <w:r w:rsidRPr="00594A23">
        <w:rPr>
          <w:lang w:eastAsia="fr-FR" w:bidi="fr-FR"/>
        </w:rPr>
        <w:t>s</w:t>
      </w:r>
      <w:r w:rsidRPr="00594A23">
        <w:rPr>
          <w:lang w:eastAsia="fr-FR" w:bidi="fr-FR"/>
        </w:rPr>
        <w:t>sance relative</w:t>
      </w:r>
      <w:r>
        <w:rPr>
          <w:lang w:eastAsia="fr-FR" w:bidi="fr-FR"/>
        </w:rPr>
        <w:t> </w:t>
      </w:r>
      <w:r>
        <w:rPr>
          <w:rStyle w:val="Appelnotedebasdep"/>
          <w:lang w:eastAsia="fr-FR" w:bidi="fr-FR"/>
        </w:rPr>
        <w:footnoteReference w:id="278"/>
      </w:r>
      <w:r w:rsidRPr="00594A23">
        <w:rPr>
          <w:lang w:eastAsia="fr-FR" w:bidi="fr-FR"/>
        </w:rPr>
        <w:t>. Il soutient que les États-Unis ont semblé davantage contrôlé par le monde, adoptant une attitude réa</w:t>
      </w:r>
      <w:r w:rsidRPr="00594A23">
        <w:rPr>
          <w:lang w:eastAsia="fr-FR" w:bidi="fr-FR"/>
        </w:rPr>
        <w:t>c</w:t>
      </w:r>
      <w:r w:rsidRPr="00594A23">
        <w:rPr>
          <w:lang w:eastAsia="fr-FR" w:bidi="fr-FR"/>
        </w:rPr>
        <w:t>tive, qu’ils ne l’ont contrôlé en misant sur leur puissance souple (</w:t>
      </w:r>
      <w:r w:rsidRPr="00E66369">
        <w:rPr>
          <w:i/>
          <w:iCs/>
          <w:lang w:eastAsia="fr-FR" w:bidi="fr-FR"/>
        </w:rPr>
        <w:t xml:space="preserve">le </w:t>
      </w:r>
      <w:r w:rsidRPr="00E66369">
        <w:rPr>
          <w:i/>
          <w:iCs/>
        </w:rPr>
        <w:t>soft power</w:t>
      </w:r>
      <w:r w:rsidRPr="00594A23">
        <w:t xml:space="preserve"> </w:t>
      </w:r>
      <w:r w:rsidRPr="00594A23">
        <w:rPr>
          <w:lang w:eastAsia="fr-FR" w:bidi="fr-FR"/>
        </w:rPr>
        <w:t>dont parle Nye). L’Amérique, seule superpui</w:t>
      </w:r>
      <w:r w:rsidRPr="00594A23">
        <w:rPr>
          <w:lang w:eastAsia="fr-FR" w:bidi="fr-FR"/>
        </w:rPr>
        <w:t>s</w:t>
      </w:r>
      <w:r w:rsidRPr="00594A23">
        <w:rPr>
          <w:lang w:eastAsia="fr-FR" w:bidi="fr-FR"/>
        </w:rPr>
        <w:t>sance de l’ordre international unipolaire, aurait dû asseoir sa puissance sur sa capacité à diriger les institutions internationales et à établir les règles les régissant. Encore plus que les composantes culturelles de la puissance souple (tel le fait que les idées et la culture américaines soient fac</w:t>
      </w:r>
      <w:r w:rsidRPr="00594A23">
        <w:rPr>
          <w:lang w:eastAsia="fr-FR" w:bidi="fr-FR"/>
        </w:rPr>
        <w:t>i</w:t>
      </w:r>
      <w:r w:rsidRPr="00594A23">
        <w:rPr>
          <w:lang w:eastAsia="fr-FR" w:bidi="fr-FR"/>
        </w:rPr>
        <w:t xml:space="preserve">lement diffusées à travers le monde, et que l’anglais soit la nouvelle </w:t>
      </w:r>
      <w:r w:rsidRPr="00E66369">
        <w:rPr>
          <w:i/>
          <w:iCs/>
        </w:rPr>
        <w:t>lingua franco</w:t>
      </w:r>
      <w:r w:rsidRPr="00594A23">
        <w:rPr>
          <w:lang w:eastAsia="fr-FR" w:bidi="fr-FR"/>
        </w:rPr>
        <w:t>), ce sont les éléments idéologiques qui d</w:t>
      </w:r>
      <w:r w:rsidRPr="00594A23">
        <w:rPr>
          <w:lang w:eastAsia="fr-FR" w:bidi="fr-FR"/>
        </w:rPr>
        <w:t>e</w:t>
      </w:r>
      <w:r w:rsidRPr="00594A23">
        <w:rPr>
          <w:lang w:eastAsia="fr-FR" w:bidi="fr-FR"/>
        </w:rPr>
        <w:t>vraient être exportés par les États-Unis, notamment la libéralisation des marchés et la démocratie libérale</w:t>
      </w:r>
      <w:r>
        <w:rPr>
          <w:lang w:eastAsia="fr-FR" w:bidi="fr-FR"/>
        </w:rPr>
        <w:t> </w:t>
      </w:r>
      <w:r>
        <w:rPr>
          <w:rStyle w:val="Appelnotedebasdep"/>
          <w:lang w:eastAsia="fr-FR" w:bidi="fr-FR"/>
        </w:rPr>
        <w:footnoteReference w:id="279"/>
      </w:r>
      <w:r w:rsidRPr="00594A23">
        <w:rPr>
          <w:lang w:eastAsia="fr-FR" w:bidi="fr-FR"/>
        </w:rPr>
        <w:t>. En e</w:t>
      </w:r>
      <w:r w:rsidRPr="00594A23">
        <w:rPr>
          <w:lang w:eastAsia="fr-FR" w:bidi="fr-FR"/>
        </w:rPr>
        <w:t>f</w:t>
      </w:r>
      <w:r w:rsidRPr="00594A23">
        <w:rPr>
          <w:lang w:eastAsia="fr-FR" w:bidi="fr-FR"/>
        </w:rPr>
        <w:t>fet, en soutenant à</w:t>
      </w:r>
      <w:r>
        <w:rPr>
          <w:lang w:eastAsia="fr-FR" w:bidi="fr-FR"/>
        </w:rPr>
        <w:t xml:space="preserve"> l’étranger leurs intérêts poli</w:t>
      </w:r>
      <w:r w:rsidRPr="00594A23">
        <w:rPr>
          <w:lang w:eastAsia="fr-FR" w:bidi="fr-FR"/>
        </w:rPr>
        <w:t>tiques,</w:t>
      </w:r>
      <w:r>
        <w:t xml:space="preserve"> [120]</w:t>
      </w:r>
      <w:r w:rsidRPr="00594A23">
        <w:rPr>
          <w:lang w:eastAsia="fr-FR" w:bidi="fr-FR"/>
        </w:rPr>
        <w:t xml:space="preserve"> les États-Unis pourraient alors augmenter leur puissance r</w:t>
      </w:r>
      <w:r w:rsidRPr="00594A23">
        <w:rPr>
          <w:lang w:eastAsia="fr-FR" w:bidi="fr-FR"/>
        </w:rPr>
        <w:t>e</w:t>
      </w:r>
      <w:r w:rsidRPr="00594A23">
        <w:rPr>
          <w:lang w:eastAsia="fr-FR" w:bidi="fr-FR"/>
        </w:rPr>
        <w:t>lative.</w:t>
      </w:r>
    </w:p>
    <w:p w14:paraId="472C6315" w14:textId="77777777" w:rsidR="0039793A" w:rsidRPr="00594A23" w:rsidRDefault="0039793A" w:rsidP="0039793A">
      <w:pPr>
        <w:spacing w:before="120" w:after="120"/>
        <w:jc w:val="both"/>
      </w:pPr>
      <w:r w:rsidRPr="00594A23">
        <w:rPr>
          <w:lang w:eastAsia="fr-FR" w:bidi="fr-FR"/>
        </w:rPr>
        <w:t>La paix relative caractérisant l’après-guerre froide - étant donné l’absence de conflits entre les grandes puissances — pourrait toutefois être mise à mal par une politique néo-impérialiste qui négligerait la puissance relative des États-Unis et leur puissance souple au profit de la simple recherche de la puissance (idée associée à l’école hégém</w:t>
      </w:r>
      <w:r w:rsidRPr="00594A23">
        <w:rPr>
          <w:lang w:eastAsia="fr-FR" w:bidi="fr-FR"/>
        </w:rPr>
        <w:t>o</w:t>
      </w:r>
      <w:r w:rsidRPr="00594A23">
        <w:rPr>
          <w:lang w:eastAsia="fr-FR" w:bidi="fr-FR"/>
        </w:rPr>
        <w:t>niste). Zakaria explique donc que l’Administration Clinton, même si elle est intervenue en Bosnie, à Haïti et au Kosovo, n’a pas inquiété ni même provoqué de manifestations antiam</w:t>
      </w:r>
      <w:r w:rsidRPr="00594A23">
        <w:rPr>
          <w:lang w:eastAsia="fr-FR" w:bidi="fr-FR"/>
        </w:rPr>
        <w:t>é</w:t>
      </w:r>
      <w:r w:rsidRPr="00594A23">
        <w:rPr>
          <w:lang w:eastAsia="fr-FR" w:bidi="fr-FR"/>
        </w:rPr>
        <w:t>ricaines susceptibles de miner l’influence des États-Unis, contrairement à l’Administration Bush</w:t>
      </w:r>
      <w:r>
        <w:rPr>
          <w:lang w:eastAsia="fr-FR" w:bidi="fr-FR"/>
        </w:rPr>
        <w:t> </w:t>
      </w:r>
      <w:r>
        <w:rPr>
          <w:rStyle w:val="Appelnotedebasdep"/>
          <w:lang w:eastAsia="fr-FR" w:bidi="fr-FR"/>
        </w:rPr>
        <w:footnoteReference w:id="280"/>
      </w:r>
      <w:r>
        <w:rPr>
          <w:lang w:eastAsia="fr-FR" w:bidi="fr-FR"/>
        </w:rPr>
        <w:t>.</w:t>
      </w:r>
      <w:r w:rsidRPr="00594A23">
        <w:rPr>
          <w:lang w:eastAsia="fr-FR" w:bidi="fr-FR"/>
        </w:rPr>
        <w:t xml:space="preserve"> Même si, comme pour l’intervention en Irak en 2003, ces i</w:t>
      </w:r>
      <w:r w:rsidRPr="00594A23">
        <w:rPr>
          <w:lang w:eastAsia="fr-FR" w:bidi="fr-FR"/>
        </w:rPr>
        <w:t>n</w:t>
      </w:r>
      <w:r w:rsidRPr="00594A23">
        <w:rPr>
          <w:lang w:eastAsia="fr-FR" w:bidi="fr-FR"/>
        </w:rPr>
        <w:t xml:space="preserve">terventions se sont faites sans l’aval du Conseil de sécurité de </w:t>
      </w:r>
      <w:r w:rsidRPr="00594A23">
        <w:t xml:space="preserve">l’ONU, </w:t>
      </w:r>
      <w:r w:rsidRPr="00594A23">
        <w:rPr>
          <w:lang w:eastAsia="fr-FR" w:bidi="fr-FR"/>
        </w:rPr>
        <w:t>le style de l’Administration Clinton a contribué à rassurer la communauté internationale sur ses intentions. Par contre, cette derni</w:t>
      </w:r>
      <w:r w:rsidRPr="00594A23">
        <w:rPr>
          <w:lang w:eastAsia="fr-FR" w:bidi="fr-FR"/>
        </w:rPr>
        <w:t>è</w:t>
      </w:r>
      <w:r w:rsidRPr="00594A23">
        <w:rPr>
          <w:lang w:eastAsia="fr-FR" w:bidi="fr-FR"/>
        </w:rPr>
        <w:t>re a perçu les intentions de l’Administration Bush comme impériali</w:t>
      </w:r>
      <w:r w:rsidRPr="00594A23">
        <w:rPr>
          <w:lang w:eastAsia="fr-FR" w:bidi="fr-FR"/>
        </w:rPr>
        <w:t>s</w:t>
      </w:r>
      <w:r w:rsidRPr="00594A23">
        <w:rPr>
          <w:lang w:eastAsia="fr-FR" w:bidi="fr-FR"/>
        </w:rPr>
        <w:t>tes et be</w:t>
      </w:r>
      <w:r w:rsidRPr="00594A23">
        <w:rPr>
          <w:lang w:eastAsia="fr-FR" w:bidi="fr-FR"/>
        </w:rPr>
        <w:t>l</w:t>
      </w:r>
      <w:r w:rsidRPr="00594A23">
        <w:rPr>
          <w:lang w:eastAsia="fr-FR" w:bidi="fr-FR"/>
        </w:rPr>
        <w:t>liqueuses et uniquement motivées par la préservation de la sécurité nationale amér</w:t>
      </w:r>
      <w:r w:rsidRPr="00594A23">
        <w:rPr>
          <w:lang w:eastAsia="fr-FR" w:bidi="fr-FR"/>
        </w:rPr>
        <w:t>i</w:t>
      </w:r>
      <w:r w:rsidRPr="00594A23">
        <w:rPr>
          <w:lang w:eastAsia="fr-FR" w:bidi="fr-FR"/>
        </w:rPr>
        <w:t>caine. Zakaria appréhende une politique étrangère américaine qui ne tiendrait pas compte de la puissance rel</w:t>
      </w:r>
      <w:r w:rsidRPr="00594A23">
        <w:rPr>
          <w:lang w:eastAsia="fr-FR" w:bidi="fr-FR"/>
        </w:rPr>
        <w:t>a</w:t>
      </w:r>
      <w:r w:rsidRPr="00594A23">
        <w:rPr>
          <w:lang w:eastAsia="fr-FR" w:bidi="fr-FR"/>
        </w:rPr>
        <w:t>tive des États-Unis, car elle finirait par menacer l’équilibre de l’ordre intern</w:t>
      </w:r>
      <w:r w:rsidRPr="00594A23">
        <w:rPr>
          <w:lang w:eastAsia="fr-FR" w:bidi="fr-FR"/>
        </w:rPr>
        <w:t>a</w:t>
      </w:r>
      <w:r w:rsidRPr="00594A23">
        <w:rPr>
          <w:lang w:eastAsia="fr-FR" w:bidi="fr-FR"/>
        </w:rPr>
        <w:t>tional. Il souligne que, nonobstant la menace soviétique, l’équilibre des puissances ayant marqué la gue</w:t>
      </w:r>
      <w:r w:rsidRPr="00594A23">
        <w:rPr>
          <w:lang w:eastAsia="fr-FR" w:bidi="fr-FR"/>
        </w:rPr>
        <w:t>r</w:t>
      </w:r>
      <w:r w:rsidRPr="00594A23">
        <w:rPr>
          <w:lang w:eastAsia="fr-FR" w:bidi="fr-FR"/>
        </w:rPr>
        <w:t>re froide reposait avant tout sur la puissance américaine, gérée et utilisée avec sagesse et re</w:t>
      </w:r>
      <w:r w:rsidRPr="00594A23">
        <w:rPr>
          <w:lang w:eastAsia="fr-FR" w:bidi="fr-FR"/>
        </w:rPr>
        <w:t>s</w:t>
      </w:r>
      <w:r w:rsidRPr="00594A23">
        <w:rPr>
          <w:lang w:eastAsia="fr-FR" w:bidi="fr-FR"/>
        </w:rPr>
        <w:t>triction</w:t>
      </w:r>
      <w:r>
        <w:rPr>
          <w:lang w:eastAsia="fr-FR" w:bidi="fr-FR"/>
        </w:rPr>
        <w:t> </w:t>
      </w:r>
      <w:r>
        <w:rPr>
          <w:rStyle w:val="Appelnotedebasdep"/>
          <w:lang w:eastAsia="fr-FR" w:bidi="fr-FR"/>
        </w:rPr>
        <w:footnoteReference w:id="281"/>
      </w:r>
      <w:r w:rsidRPr="00594A23">
        <w:rPr>
          <w:lang w:eastAsia="fr-FR" w:bidi="fr-FR"/>
        </w:rPr>
        <w:t>. Depuis l’émergence des États-Unis comme grande pui</w:t>
      </w:r>
      <w:r w:rsidRPr="00594A23">
        <w:rPr>
          <w:lang w:eastAsia="fr-FR" w:bidi="fr-FR"/>
        </w:rPr>
        <w:t>s</w:t>
      </w:r>
      <w:r w:rsidRPr="00594A23">
        <w:rPr>
          <w:lang w:eastAsia="fr-FR" w:bidi="fr-FR"/>
        </w:rPr>
        <w:t>sance (en ra</w:t>
      </w:r>
      <w:r w:rsidRPr="00594A23">
        <w:rPr>
          <w:lang w:eastAsia="fr-FR" w:bidi="fr-FR"/>
        </w:rPr>
        <w:t>i</w:t>
      </w:r>
      <w:r w:rsidRPr="00594A23">
        <w:rPr>
          <w:lang w:eastAsia="fr-FR" w:bidi="fr-FR"/>
        </w:rPr>
        <w:t>son de leurs nouvelles capacités matérielles</w:t>
      </w:r>
      <w:r w:rsidRPr="00594A23">
        <w:t> :</w:t>
      </w:r>
      <w:r w:rsidRPr="00594A23">
        <w:rPr>
          <w:lang w:eastAsia="fr-FR" w:bidi="fr-FR"/>
        </w:rPr>
        <w:t xml:space="preserve"> militaires, économiques et diplomatiques) au début des années 1890, Zakaria affirme que les responsables étatiques de la polit</w:t>
      </w:r>
      <w:r w:rsidRPr="00594A23">
        <w:rPr>
          <w:lang w:eastAsia="fr-FR" w:bidi="fr-FR"/>
        </w:rPr>
        <w:t>i</w:t>
      </w:r>
      <w:r w:rsidRPr="00594A23">
        <w:rPr>
          <w:lang w:eastAsia="fr-FR" w:bidi="fr-FR"/>
        </w:rPr>
        <w:t>que étrangère des États-Unis ont toujours prêté attention à la puissance relative des États-Unis et ont cherché à accroître l’influence du gouvernement des États-Unis sur l’environnement international</w:t>
      </w:r>
      <w:r>
        <w:rPr>
          <w:lang w:eastAsia="fr-FR" w:bidi="fr-FR"/>
        </w:rPr>
        <w:t> </w:t>
      </w:r>
      <w:r>
        <w:rPr>
          <w:rStyle w:val="Appelnotedebasdep"/>
          <w:lang w:eastAsia="fr-FR" w:bidi="fr-FR"/>
        </w:rPr>
        <w:footnoteReference w:id="282"/>
      </w:r>
      <w:r w:rsidRPr="00594A23">
        <w:rPr>
          <w:lang w:eastAsia="fr-FR" w:bidi="fr-FR"/>
        </w:rPr>
        <w:t>. Aussi le maintien de l’ordre unipola</w:t>
      </w:r>
      <w:r w:rsidRPr="00594A23">
        <w:rPr>
          <w:lang w:eastAsia="fr-FR" w:bidi="fr-FR"/>
        </w:rPr>
        <w:t>i</w:t>
      </w:r>
      <w:r w:rsidRPr="00594A23">
        <w:rPr>
          <w:lang w:eastAsia="fr-FR" w:bidi="fr-FR"/>
        </w:rPr>
        <w:t>re américain dépendra-t-il de la capacité des États-Unis à saisir l’importance de leur puissance souple</w:t>
      </w:r>
      <w:r w:rsidRPr="00594A23">
        <w:t> :</w:t>
      </w:r>
      <w:r w:rsidRPr="00594A23">
        <w:rPr>
          <w:lang w:eastAsia="fr-FR" w:bidi="fr-FR"/>
        </w:rPr>
        <w:t xml:space="preserve"> </w:t>
      </w:r>
      <w:r w:rsidRPr="00594A23">
        <w:t>« </w:t>
      </w:r>
      <w:r w:rsidRPr="00594A23">
        <w:rPr>
          <w:lang w:eastAsia="fr-FR" w:bidi="fr-FR"/>
        </w:rPr>
        <w:t>La stabilité et la prospérité du monde dépendent en grande pa</w:t>
      </w:r>
      <w:r w:rsidRPr="00594A23">
        <w:rPr>
          <w:lang w:eastAsia="fr-FR" w:bidi="fr-FR"/>
        </w:rPr>
        <w:t>r</w:t>
      </w:r>
      <w:r w:rsidRPr="00594A23">
        <w:rPr>
          <w:lang w:eastAsia="fr-FR" w:bidi="fr-FR"/>
        </w:rPr>
        <w:t>tie</w:t>
      </w:r>
      <w:r>
        <w:t xml:space="preserve"> [121] </w:t>
      </w:r>
      <w:r w:rsidRPr="00594A23">
        <w:rPr>
          <w:lang w:eastAsia="fr-FR" w:bidi="fr-FR"/>
        </w:rPr>
        <w:t>de la qualité de la politique étrangère américaine</w:t>
      </w:r>
      <w:r>
        <w:rPr>
          <w:lang w:eastAsia="fr-FR" w:bidi="fr-FR"/>
        </w:rPr>
        <w:t> </w:t>
      </w:r>
      <w:r>
        <w:rPr>
          <w:rStyle w:val="Appelnotedebasdep"/>
          <w:lang w:eastAsia="fr-FR" w:bidi="fr-FR"/>
        </w:rPr>
        <w:footnoteReference w:id="283"/>
      </w:r>
      <w:r>
        <w:rPr>
          <w:lang w:eastAsia="fr-FR" w:bidi="fr-FR"/>
        </w:rPr>
        <w:t>.</w:t>
      </w:r>
      <w:r w:rsidRPr="00594A23">
        <w:t> »</w:t>
      </w:r>
      <w:r w:rsidRPr="00594A23">
        <w:rPr>
          <w:lang w:eastAsia="fr-FR" w:bidi="fr-FR"/>
        </w:rPr>
        <w:t xml:space="preserve"> Une reche</w:t>
      </w:r>
      <w:r w:rsidRPr="00594A23">
        <w:rPr>
          <w:lang w:eastAsia="fr-FR" w:bidi="fr-FR"/>
        </w:rPr>
        <w:t>r</w:t>
      </w:r>
      <w:r w:rsidRPr="00594A23">
        <w:rPr>
          <w:lang w:eastAsia="fr-FR" w:bidi="fr-FR"/>
        </w:rPr>
        <w:t>che de la puissance hégémonique réduirait, plus qu’elle n’accroîtrait en réalité, l’influence relative des États-Unis au sein du système inte</w:t>
      </w:r>
      <w:r w:rsidRPr="00594A23">
        <w:rPr>
          <w:lang w:eastAsia="fr-FR" w:bidi="fr-FR"/>
        </w:rPr>
        <w:t>r</w:t>
      </w:r>
      <w:r w:rsidRPr="00594A23">
        <w:rPr>
          <w:lang w:eastAsia="fr-FR" w:bidi="fr-FR"/>
        </w:rPr>
        <w:t>national. Le pouvoir de coerc</w:t>
      </w:r>
      <w:r w:rsidRPr="00594A23">
        <w:rPr>
          <w:lang w:eastAsia="fr-FR" w:bidi="fr-FR"/>
        </w:rPr>
        <w:t>i</w:t>
      </w:r>
      <w:r w:rsidRPr="00594A23">
        <w:rPr>
          <w:lang w:eastAsia="fr-FR" w:bidi="fr-FR"/>
        </w:rPr>
        <w:t>tion est une chose, le pouvoir d’influence et d’attraction en est une autre.</w:t>
      </w:r>
    </w:p>
    <w:p w14:paraId="0CE1E6F6" w14:textId="77777777" w:rsidR="0039793A" w:rsidRDefault="0039793A" w:rsidP="0039793A">
      <w:pPr>
        <w:spacing w:before="120" w:after="120"/>
        <w:jc w:val="both"/>
        <w:rPr>
          <w:lang w:eastAsia="fr-FR" w:bidi="fr-FR"/>
        </w:rPr>
      </w:pPr>
    </w:p>
    <w:p w14:paraId="51662609" w14:textId="77777777" w:rsidR="0039793A" w:rsidRPr="00E66369" w:rsidRDefault="0039793A" w:rsidP="0039793A">
      <w:pPr>
        <w:pStyle w:val="b"/>
      </w:pPr>
      <w:r w:rsidRPr="00E66369">
        <w:rPr>
          <w:lang w:eastAsia="fr-FR" w:bidi="fr-FR"/>
        </w:rPr>
        <w:t>Charles Kupchan</w:t>
      </w:r>
    </w:p>
    <w:p w14:paraId="56CE09B9" w14:textId="77777777" w:rsidR="0039793A" w:rsidRDefault="0039793A" w:rsidP="0039793A">
      <w:pPr>
        <w:spacing w:before="120" w:after="120"/>
        <w:jc w:val="both"/>
        <w:rPr>
          <w:lang w:eastAsia="fr-FR" w:bidi="fr-FR"/>
        </w:rPr>
      </w:pPr>
    </w:p>
    <w:p w14:paraId="3957F1F9" w14:textId="77777777" w:rsidR="0039793A" w:rsidRPr="00594A23" w:rsidRDefault="0039793A" w:rsidP="0039793A">
      <w:pPr>
        <w:spacing w:before="120" w:after="120"/>
        <w:jc w:val="both"/>
      </w:pPr>
      <w:r w:rsidRPr="00594A23">
        <w:rPr>
          <w:lang w:eastAsia="fr-FR" w:bidi="fr-FR"/>
        </w:rPr>
        <w:t>À l’image des autres auteurs équilibristes, Charles Kupchan cons</w:t>
      </w:r>
      <w:r w:rsidRPr="00594A23">
        <w:rPr>
          <w:lang w:eastAsia="fr-FR" w:bidi="fr-FR"/>
        </w:rPr>
        <w:t>i</w:t>
      </w:r>
      <w:r w:rsidRPr="00594A23">
        <w:rPr>
          <w:lang w:eastAsia="fr-FR" w:bidi="fr-FR"/>
        </w:rPr>
        <w:t>dère les grandes puissances comme les principaux acteurs de la polit</w:t>
      </w:r>
      <w:r w:rsidRPr="00594A23">
        <w:rPr>
          <w:lang w:eastAsia="fr-FR" w:bidi="fr-FR"/>
        </w:rPr>
        <w:t>i</w:t>
      </w:r>
      <w:r w:rsidRPr="00594A23">
        <w:rPr>
          <w:lang w:eastAsia="fr-FR" w:bidi="fr-FR"/>
        </w:rPr>
        <w:t xml:space="preserve">que internationale et soutient qu’elles cherchent </w:t>
      </w:r>
      <w:r w:rsidRPr="00594A23">
        <w:t xml:space="preserve">à </w:t>
      </w:r>
      <w:r w:rsidRPr="00594A23">
        <w:rPr>
          <w:lang w:eastAsia="fr-FR" w:bidi="fr-FR"/>
        </w:rPr>
        <w:t>assurer leur sécurité tout en poursuivant leurs ambitions de puissance</w:t>
      </w:r>
      <w:r>
        <w:rPr>
          <w:lang w:eastAsia="fr-FR" w:bidi="fr-FR"/>
        </w:rPr>
        <w:t> </w:t>
      </w:r>
      <w:r>
        <w:rPr>
          <w:rStyle w:val="Appelnotedebasdep"/>
          <w:lang w:eastAsia="fr-FR" w:bidi="fr-FR"/>
        </w:rPr>
        <w:footnoteReference w:id="284"/>
      </w:r>
      <w:r w:rsidRPr="00594A23">
        <w:rPr>
          <w:lang w:eastAsia="fr-FR" w:bidi="fr-FR"/>
        </w:rPr>
        <w:t xml:space="preserve">. Leur capacité </w:t>
      </w:r>
      <w:r w:rsidRPr="00594A23">
        <w:t xml:space="preserve">à </w:t>
      </w:r>
      <w:r w:rsidRPr="00594A23">
        <w:rPr>
          <w:lang w:eastAsia="fr-FR" w:bidi="fr-FR"/>
        </w:rPr>
        <w:t xml:space="preserve">se maintenir comme grande puissance dépend de leur aptitude </w:t>
      </w:r>
      <w:r w:rsidRPr="00594A23">
        <w:t xml:space="preserve">à </w:t>
      </w:r>
      <w:r w:rsidRPr="00594A23">
        <w:rPr>
          <w:lang w:eastAsia="fr-FR" w:bidi="fr-FR"/>
        </w:rPr>
        <w:t>a</w:t>
      </w:r>
      <w:r w:rsidRPr="00594A23">
        <w:rPr>
          <w:lang w:eastAsia="fr-FR" w:bidi="fr-FR"/>
        </w:rPr>
        <w:t>t</w:t>
      </w:r>
      <w:r w:rsidRPr="00594A23">
        <w:rPr>
          <w:lang w:eastAsia="fr-FR" w:bidi="fr-FR"/>
        </w:rPr>
        <w:t>teindre un équilibre entre leurs engagements et leurs re</w:t>
      </w:r>
      <w:r w:rsidRPr="00594A23">
        <w:rPr>
          <w:lang w:eastAsia="fr-FR" w:bidi="fr-FR"/>
        </w:rPr>
        <w:t>s</w:t>
      </w:r>
      <w:r w:rsidRPr="00594A23">
        <w:rPr>
          <w:lang w:eastAsia="fr-FR" w:bidi="fr-FR"/>
        </w:rPr>
        <w:t>sources. Leurs visées sur l’environnement global doivent donc être compatibles avec leurs moyens. Étudiant la strat</w:t>
      </w:r>
      <w:r w:rsidRPr="00594A23">
        <w:rPr>
          <w:lang w:eastAsia="fr-FR" w:bidi="fr-FR"/>
        </w:rPr>
        <w:t>é</w:t>
      </w:r>
      <w:r w:rsidRPr="00594A23">
        <w:rPr>
          <w:lang w:eastAsia="fr-FR" w:bidi="fr-FR"/>
        </w:rPr>
        <w:t xml:space="preserve">gie globale </w:t>
      </w:r>
      <w:r>
        <w:rPr>
          <w:lang w:eastAsia="fr-FR" w:bidi="fr-FR"/>
        </w:rPr>
        <w:t>(</w:t>
      </w:r>
      <w:r w:rsidRPr="00BA6ED4">
        <w:rPr>
          <w:i/>
          <w:iCs/>
        </w:rPr>
        <w:t>grand strategy</w:t>
      </w:r>
      <w:r w:rsidRPr="00594A23">
        <w:t>)</w:t>
      </w:r>
      <w:r w:rsidRPr="00594A23">
        <w:rPr>
          <w:lang w:eastAsia="fr-FR" w:bidi="fr-FR"/>
        </w:rPr>
        <w:t xml:space="preserve"> des États-Unis depuis la fin de la guerre froide, Kupchan aborde la primauté amér</w:t>
      </w:r>
      <w:r w:rsidRPr="00594A23">
        <w:rPr>
          <w:lang w:eastAsia="fr-FR" w:bidi="fr-FR"/>
        </w:rPr>
        <w:t>i</w:t>
      </w:r>
      <w:r w:rsidRPr="00594A23">
        <w:rPr>
          <w:lang w:eastAsia="fr-FR" w:bidi="fr-FR"/>
        </w:rPr>
        <w:t xml:space="preserve">caine en soulignant que l’hégémonie d’une grande puissance invite souvent les autres grandes puissances </w:t>
      </w:r>
      <w:r w:rsidRPr="00594A23">
        <w:t xml:space="preserve">à </w:t>
      </w:r>
      <w:r w:rsidRPr="00594A23">
        <w:rPr>
          <w:lang w:eastAsia="fr-FR" w:bidi="fr-FR"/>
        </w:rPr>
        <w:t>former des coal</w:t>
      </w:r>
      <w:r w:rsidRPr="00594A23">
        <w:rPr>
          <w:lang w:eastAsia="fr-FR" w:bidi="fr-FR"/>
        </w:rPr>
        <w:t>i</w:t>
      </w:r>
      <w:r w:rsidRPr="00594A23">
        <w:rPr>
          <w:lang w:eastAsia="fr-FR" w:bidi="fr-FR"/>
        </w:rPr>
        <w:t>tions pour lui faire contrepoids. Ce faisant, il applique la théorie classique de l’équilibre des puissances. Il faut donc que la grande puissance, la s</w:t>
      </w:r>
      <w:r w:rsidRPr="00594A23">
        <w:rPr>
          <w:lang w:eastAsia="fr-FR" w:bidi="fr-FR"/>
        </w:rPr>
        <w:t>u</w:t>
      </w:r>
      <w:r w:rsidRPr="00594A23">
        <w:rPr>
          <w:lang w:eastAsia="fr-FR" w:bidi="fr-FR"/>
        </w:rPr>
        <w:t xml:space="preserve">perpuissance dans ce cas-ci, agisse prudemment de façon </w:t>
      </w:r>
      <w:r w:rsidRPr="00594A23">
        <w:t xml:space="preserve">à </w:t>
      </w:r>
      <w:r w:rsidRPr="00594A23">
        <w:rPr>
          <w:lang w:eastAsia="fr-FR" w:bidi="fr-FR"/>
        </w:rPr>
        <w:t>ne pas susciter d’hostilité chez les autres grandes puissances du système i</w:t>
      </w:r>
      <w:r w:rsidRPr="00594A23">
        <w:rPr>
          <w:lang w:eastAsia="fr-FR" w:bidi="fr-FR"/>
        </w:rPr>
        <w:t>n</w:t>
      </w:r>
      <w:r w:rsidRPr="00594A23">
        <w:rPr>
          <w:lang w:eastAsia="fr-FR" w:bidi="fr-FR"/>
        </w:rPr>
        <w:t>ternational.</w:t>
      </w:r>
    </w:p>
    <w:p w14:paraId="7DEAA948" w14:textId="77777777" w:rsidR="0039793A" w:rsidRPr="00594A23" w:rsidRDefault="0039793A" w:rsidP="0039793A">
      <w:pPr>
        <w:spacing w:before="120" w:after="120"/>
        <w:jc w:val="both"/>
      </w:pPr>
      <w:r w:rsidRPr="00594A23">
        <w:rPr>
          <w:lang w:eastAsia="fr-FR" w:bidi="fr-FR"/>
        </w:rPr>
        <w:t>À la lumière de la conduite des États-Unis depuis le milieu des a</w:t>
      </w:r>
      <w:r w:rsidRPr="00594A23">
        <w:rPr>
          <w:lang w:eastAsia="fr-FR" w:bidi="fr-FR"/>
        </w:rPr>
        <w:t>n</w:t>
      </w:r>
      <w:r w:rsidRPr="00594A23">
        <w:rPr>
          <w:lang w:eastAsia="fr-FR" w:bidi="fr-FR"/>
        </w:rPr>
        <w:t xml:space="preserve">nées 1990, il semble, d’après Kupchan, que la </w:t>
      </w:r>
      <w:r w:rsidRPr="00BA6ED4">
        <w:rPr>
          <w:i/>
          <w:iCs/>
        </w:rPr>
        <w:t>pax americana</w:t>
      </w:r>
      <w:r w:rsidRPr="00594A23">
        <w:rPr>
          <w:lang w:eastAsia="fr-FR" w:bidi="fr-FR"/>
        </w:rPr>
        <w:t xml:space="preserve"> te</w:t>
      </w:r>
      <w:r w:rsidRPr="00594A23">
        <w:rPr>
          <w:lang w:eastAsia="fr-FR" w:bidi="fr-FR"/>
        </w:rPr>
        <w:t>n</w:t>
      </w:r>
      <w:r w:rsidRPr="00594A23">
        <w:rPr>
          <w:lang w:eastAsia="fr-FR" w:bidi="fr-FR"/>
        </w:rPr>
        <w:t xml:space="preserve">drait </w:t>
      </w:r>
      <w:r w:rsidRPr="00594A23">
        <w:t xml:space="preserve">à </w:t>
      </w:r>
      <w:r w:rsidRPr="00594A23">
        <w:rPr>
          <w:lang w:eastAsia="fr-FR" w:bidi="fr-FR"/>
        </w:rPr>
        <w:t xml:space="preserve">sa fin. Contrairement </w:t>
      </w:r>
      <w:r w:rsidRPr="00594A23">
        <w:t xml:space="preserve">à </w:t>
      </w:r>
      <w:r w:rsidRPr="00594A23">
        <w:rPr>
          <w:lang w:eastAsia="fr-FR" w:bidi="fr-FR"/>
        </w:rPr>
        <w:t>Walt, Wohlforth et Zakaria, Kupchan affi</w:t>
      </w:r>
      <w:r w:rsidRPr="00594A23">
        <w:rPr>
          <w:lang w:eastAsia="fr-FR" w:bidi="fr-FR"/>
        </w:rPr>
        <w:t>r</w:t>
      </w:r>
      <w:r w:rsidRPr="00594A23">
        <w:rPr>
          <w:lang w:eastAsia="fr-FR" w:bidi="fr-FR"/>
        </w:rPr>
        <w:t>me que le maintien de la primauté américaine, bien que souhait</w:t>
      </w:r>
      <w:r w:rsidRPr="00594A23">
        <w:rPr>
          <w:lang w:eastAsia="fr-FR" w:bidi="fr-FR"/>
        </w:rPr>
        <w:t>a</w:t>
      </w:r>
      <w:r w:rsidRPr="00594A23">
        <w:rPr>
          <w:lang w:eastAsia="fr-FR" w:bidi="fr-FR"/>
        </w:rPr>
        <w:t>ble, ne devrait pas être possible. Il entrevoit l’émergence d’une Eur</w:t>
      </w:r>
      <w:r w:rsidRPr="00594A23">
        <w:rPr>
          <w:lang w:eastAsia="fr-FR" w:bidi="fr-FR"/>
        </w:rPr>
        <w:t>o</w:t>
      </w:r>
      <w:r w:rsidRPr="00594A23">
        <w:rPr>
          <w:lang w:eastAsia="fr-FR" w:bidi="fr-FR"/>
        </w:rPr>
        <w:t>pe forte géopolitiquement et croit que les États-Unis sont actuell</w:t>
      </w:r>
      <w:r w:rsidRPr="00594A23">
        <w:rPr>
          <w:lang w:eastAsia="fr-FR" w:bidi="fr-FR"/>
        </w:rPr>
        <w:t>e</w:t>
      </w:r>
      <w:r w:rsidRPr="00594A23">
        <w:rPr>
          <w:lang w:eastAsia="fr-FR" w:bidi="fr-FR"/>
        </w:rPr>
        <w:t>ment une puissance sur le déclin. Selon lui, l’Administration de George W. Bush, comme l’Administration de Bill Clinton, ne prend pas en com</w:t>
      </w:r>
      <w:r w:rsidRPr="00594A23">
        <w:rPr>
          <w:lang w:eastAsia="fr-FR" w:bidi="fr-FR"/>
        </w:rPr>
        <w:t>p</w:t>
      </w:r>
      <w:r w:rsidRPr="00594A23">
        <w:rPr>
          <w:lang w:eastAsia="fr-FR" w:bidi="fr-FR"/>
        </w:rPr>
        <w:t>te l’émergence de cette puissance européenne. Si les événements du 11 septembre 2001 a</w:t>
      </w:r>
      <w:r w:rsidRPr="00594A23">
        <w:rPr>
          <w:lang w:eastAsia="fr-FR" w:bidi="fr-FR"/>
        </w:rPr>
        <w:t>u</w:t>
      </w:r>
      <w:r w:rsidRPr="00594A23">
        <w:rPr>
          <w:lang w:eastAsia="fr-FR" w:bidi="fr-FR"/>
        </w:rPr>
        <w:t>raient d</w:t>
      </w:r>
      <w:r>
        <w:rPr>
          <w:lang w:eastAsia="fr-FR" w:bidi="fr-FR"/>
        </w:rPr>
        <w:t>û rappeler aux dirigeants améri</w:t>
      </w:r>
      <w:r w:rsidRPr="00594A23">
        <w:rPr>
          <w:lang w:eastAsia="fr-FR" w:bidi="fr-FR"/>
        </w:rPr>
        <w:t>cains</w:t>
      </w:r>
      <w:r>
        <w:t xml:space="preserve"> [122]</w:t>
      </w:r>
      <w:r w:rsidRPr="00594A23">
        <w:rPr>
          <w:lang w:eastAsia="fr-FR" w:bidi="fr-FR"/>
        </w:rPr>
        <w:t xml:space="preserve"> l’importance du multilatéralisme, la conduite toujours plus un</w:t>
      </w:r>
      <w:r w:rsidRPr="00594A23">
        <w:rPr>
          <w:lang w:eastAsia="fr-FR" w:bidi="fr-FR"/>
        </w:rPr>
        <w:t>i</w:t>
      </w:r>
      <w:r w:rsidRPr="00594A23">
        <w:rPr>
          <w:lang w:eastAsia="fr-FR" w:bidi="fr-FR"/>
        </w:rPr>
        <w:t>latéraliste de l’Administration Bush a convaincu les Eur</w:t>
      </w:r>
      <w:r w:rsidRPr="00594A23">
        <w:rPr>
          <w:lang w:eastAsia="fr-FR" w:bidi="fr-FR"/>
        </w:rPr>
        <w:t>o</w:t>
      </w:r>
      <w:r w:rsidRPr="00594A23">
        <w:rPr>
          <w:lang w:eastAsia="fr-FR" w:bidi="fr-FR"/>
        </w:rPr>
        <w:t>péens des divergences entre les deux p</w:t>
      </w:r>
      <w:r w:rsidRPr="00594A23">
        <w:rPr>
          <w:lang w:eastAsia="fr-FR" w:bidi="fr-FR"/>
        </w:rPr>
        <w:t>ô</w:t>
      </w:r>
      <w:r w:rsidRPr="00594A23">
        <w:rPr>
          <w:lang w:eastAsia="fr-FR" w:bidi="fr-FR"/>
        </w:rPr>
        <w:t>les de puissance</w:t>
      </w:r>
      <w:r>
        <w:rPr>
          <w:lang w:eastAsia="fr-FR" w:bidi="fr-FR"/>
        </w:rPr>
        <w:t> </w:t>
      </w:r>
      <w:r>
        <w:rPr>
          <w:rStyle w:val="Appelnotedebasdep"/>
          <w:lang w:eastAsia="fr-FR" w:bidi="fr-FR"/>
        </w:rPr>
        <w:footnoteReference w:id="285"/>
      </w:r>
      <w:r>
        <w:rPr>
          <w:lang w:eastAsia="fr-FR" w:bidi="fr-FR"/>
        </w:rPr>
        <w:t>.</w:t>
      </w:r>
      <w:r w:rsidRPr="00594A23">
        <w:rPr>
          <w:lang w:eastAsia="fr-FR" w:bidi="fr-FR"/>
        </w:rPr>
        <w:t xml:space="preserve"> Kupchan est par conséquent persuadé que l’Europe va s’élever pour devenir le rival principal de la puissance américaine. Le prochain choc de civil</w:t>
      </w:r>
      <w:r w:rsidRPr="00594A23">
        <w:rPr>
          <w:lang w:eastAsia="fr-FR" w:bidi="fr-FR"/>
        </w:rPr>
        <w:t>i</w:t>
      </w:r>
      <w:r w:rsidRPr="00594A23">
        <w:rPr>
          <w:lang w:eastAsia="fr-FR" w:bidi="fr-FR"/>
        </w:rPr>
        <w:t>sations ne serait donc pas entre l’Ouest et le reste du monde comme l’a affi</w:t>
      </w:r>
      <w:r w:rsidRPr="00594A23">
        <w:rPr>
          <w:lang w:eastAsia="fr-FR" w:bidi="fr-FR"/>
        </w:rPr>
        <w:t>r</w:t>
      </w:r>
      <w:r w:rsidRPr="00594A23">
        <w:rPr>
          <w:lang w:eastAsia="fr-FR" w:bidi="fr-FR"/>
        </w:rPr>
        <w:t>mé Samuel Huntington</w:t>
      </w:r>
      <w:r>
        <w:rPr>
          <w:lang w:eastAsia="fr-FR" w:bidi="fr-FR"/>
        </w:rPr>
        <w:t> </w:t>
      </w:r>
      <w:r>
        <w:rPr>
          <w:rStyle w:val="Appelnotedebasdep"/>
          <w:lang w:eastAsia="fr-FR" w:bidi="fr-FR"/>
        </w:rPr>
        <w:footnoteReference w:id="286"/>
      </w:r>
      <w:r w:rsidRPr="00594A23">
        <w:rPr>
          <w:lang w:eastAsia="fr-FR" w:bidi="fr-FR"/>
        </w:rPr>
        <w:t xml:space="preserve"> mais davantage au sein de l’Occident.</w:t>
      </w:r>
    </w:p>
    <w:p w14:paraId="2E6D2877" w14:textId="77777777" w:rsidR="0039793A" w:rsidRPr="00594A23" w:rsidRDefault="0039793A" w:rsidP="0039793A">
      <w:pPr>
        <w:spacing w:before="120" w:after="120"/>
        <w:jc w:val="both"/>
      </w:pPr>
      <w:r w:rsidRPr="00594A23">
        <w:rPr>
          <w:lang w:eastAsia="fr-FR" w:bidi="fr-FR"/>
        </w:rPr>
        <w:t xml:space="preserve">Kupchan annonce la fin de la </w:t>
      </w:r>
      <w:r w:rsidRPr="00BA6ED4">
        <w:rPr>
          <w:i/>
          <w:iCs/>
        </w:rPr>
        <w:t>pax americana</w:t>
      </w:r>
      <w:r w:rsidRPr="00594A23">
        <w:rPr>
          <w:lang w:eastAsia="fr-FR" w:bidi="fr-FR"/>
        </w:rPr>
        <w:t xml:space="preserve"> depuis déjà quelques années</w:t>
      </w:r>
      <w:r>
        <w:rPr>
          <w:lang w:eastAsia="fr-FR" w:bidi="fr-FR"/>
        </w:rPr>
        <w:t> </w:t>
      </w:r>
      <w:r>
        <w:rPr>
          <w:rStyle w:val="Appelnotedebasdep"/>
          <w:lang w:eastAsia="fr-FR" w:bidi="fr-FR"/>
        </w:rPr>
        <w:footnoteReference w:id="287"/>
      </w:r>
      <w:r w:rsidRPr="00594A23">
        <w:rPr>
          <w:lang w:eastAsia="fr-FR" w:bidi="fr-FR"/>
        </w:rPr>
        <w:t>. Il écrivait, en 1998, que les États-Unis devraient non se</w:t>
      </w:r>
      <w:r w:rsidRPr="00594A23">
        <w:rPr>
          <w:lang w:eastAsia="fr-FR" w:bidi="fr-FR"/>
        </w:rPr>
        <w:t>u</w:t>
      </w:r>
      <w:r w:rsidRPr="00594A23">
        <w:rPr>
          <w:lang w:eastAsia="fr-FR" w:bidi="fr-FR"/>
        </w:rPr>
        <w:t>lement accepter le déclin de leur prépo</w:t>
      </w:r>
      <w:r w:rsidRPr="00594A23">
        <w:rPr>
          <w:lang w:eastAsia="fr-FR" w:bidi="fr-FR"/>
        </w:rPr>
        <w:t>n</w:t>
      </w:r>
      <w:r w:rsidRPr="00594A23">
        <w:rPr>
          <w:lang w:eastAsia="fr-FR" w:bidi="fr-FR"/>
        </w:rPr>
        <w:t>dérance mais encourager l’émergence d’une unipolarité dans chacune des trois régions indu</w:t>
      </w:r>
      <w:r w:rsidRPr="00594A23">
        <w:rPr>
          <w:lang w:eastAsia="fr-FR" w:bidi="fr-FR"/>
        </w:rPr>
        <w:t>s</w:t>
      </w:r>
      <w:r w:rsidRPr="00594A23">
        <w:rPr>
          <w:lang w:eastAsia="fr-FR" w:bidi="fr-FR"/>
        </w:rPr>
        <w:t>trialisées du monde</w:t>
      </w:r>
      <w:r w:rsidRPr="00594A23">
        <w:t> :</w:t>
      </w:r>
      <w:r w:rsidRPr="00594A23">
        <w:rPr>
          <w:lang w:eastAsia="fr-FR" w:bidi="fr-FR"/>
        </w:rPr>
        <w:t xml:space="preserve"> les États-Unis en Amérique du Nord, l’Europe unifiée en Eur</w:t>
      </w:r>
      <w:r w:rsidRPr="00594A23">
        <w:rPr>
          <w:lang w:eastAsia="fr-FR" w:bidi="fr-FR"/>
        </w:rPr>
        <w:t>o</w:t>
      </w:r>
      <w:r w:rsidRPr="00594A23">
        <w:rPr>
          <w:lang w:eastAsia="fr-FR" w:bidi="fr-FR"/>
        </w:rPr>
        <w:t>pe et un centre sino-japonais en Asie de l’Est</w:t>
      </w:r>
      <w:r>
        <w:rPr>
          <w:lang w:eastAsia="fr-FR" w:bidi="fr-FR"/>
        </w:rPr>
        <w:t> </w:t>
      </w:r>
      <w:r>
        <w:rPr>
          <w:rStyle w:val="Appelnotedebasdep"/>
          <w:lang w:eastAsia="fr-FR" w:bidi="fr-FR"/>
        </w:rPr>
        <w:footnoteReference w:id="288"/>
      </w:r>
      <w:r w:rsidRPr="00594A23">
        <w:rPr>
          <w:lang w:eastAsia="fr-FR" w:bidi="fr-FR"/>
        </w:rPr>
        <w:t>. L’unipolarité régionale, en réduisant les risques de conflits au niveau régional, permettrait d’éviter la compétition entre les grandes puissa</w:t>
      </w:r>
      <w:r w:rsidRPr="00594A23">
        <w:rPr>
          <w:lang w:eastAsia="fr-FR" w:bidi="fr-FR"/>
        </w:rPr>
        <w:t>n</w:t>
      </w:r>
      <w:r w:rsidRPr="00594A23">
        <w:rPr>
          <w:lang w:eastAsia="fr-FR" w:bidi="fr-FR"/>
        </w:rPr>
        <w:t>ces qui accompagnerait inévitablement un déclin de l’hégémonie am</w:t>
      </w:r>
      <w:r w:rsidRPr="00594A23">
        <w:rPr>
          <w:lang w:eastAsia="fr-FR" w:bidi="fr-FR"/>
        </w:rPr>
        <w:t>é</w:t>
      </w:r>
      <w:r w:rsidRPr="00594A23">
        <w:rPr>
          <w:lang w:eastAsia="fr-FR" w:bidi="fr-FR"/>
        </w:rPr>
        <w:t>ricaine.</w:t>
      </w:r>
    </w:p>
    <w:p w14:paraId="2CB63A11" w14:textId="77777777" w:rsidR="0039793A" w:rsidRPr="00594A23" w:rsidRDefault="0039793A" w:rsidP="0039793A">
      <w:pPr>
        <w:spacing w:before="120" w:after="120"/>
        <w:jc w:val="both"/>
      </w:pPr>
      <w:r w:rsidRPr="00594A23">
        <w:rPr>
          <w:lang w:eastAsia="fr-FR" w:bidi="fr-FR"/>
        </w:rPr>
        <w:t>Ne voyant pas l’unipolarité systémique actuelle comme stable, Kupchan est partisan d’une promotion, par les dir</w:t>
      </w:r>
      <w:r w:rsidRPr="00594A23">
        <w:rPr>
          <w:lang w:eastAsia="fr-FR" w:bidi="fr-FR"/>
        </w:rPr>
        <w:t>i</w:t>
      </w:r>
      <w:r w:rsidRPr="00594A23">
        <w:rPr>
          <w:lang w:eastAsia="fr-FR" w:bidi="fr-FR"/>
        </w:rPr>
        <w:t>geants américains, d’ordres régionaux pacifiques et stables au détriment d’une affirm</w:t>
      </w:r>
      <w:r w:rsidRPr="00594A23">
        <w:rPr>
          <w:lang w:eastAsia="fr-FR" w:bidi="fr-FR"/>
        </w:rPr>
        <w:t>a</w:t>
      </w:r>
      <w:r w:rsidRPr="00594A23">
        <w:rPr>
          <w:lang w:eastAsia="fr-FR" w:bidi="fr-FR"/>
        </w:rPr>
        <w:t>tion de l’influence américaine</w:t>
      </w:r>
      <w:r w:rsidRPr="00594A23">
        <w:t> ;</w:t>
      </w:r>
      <w:r w:rsidRPr="00594A23">
        <w:rPr>
          <w:lang w:eastAsia="fr-FR" w:bidi="fr-FR"/>
        </w:rPr>
        <w:t xml:space="preserve"> la construction de la multipolarité sy</w:t>
      </w:r>
      <w:r w:rsidRPr="00594A23">
        <w:rPr>
          <w:lang w:eastAsia="fr-FR" w:bidi="fr-FR"/>
        </w:rPr>
        <w:t>s</w:t>
      </w:r>
      <w:r w:rsidRPr="00594A23">
        <w:rPr>
          <w:lang w:eastAsia="fr-FR" w:bidi="fr-FR"/>
        </w:rPr>
        <w:t>témique serait donc la voie du salut américain. En d’autres termes, Kupchan croit que le leadership américain devrait savoir se retirer de ces régions du monde</w:t>
      </w:r>
      <w:r w:rsidRPr="00594A23">
        <w:t> :</w:t>
      </w:r>
      <w:r w:rsidRPr="00594A23">
        <w:rPr>
          <w:lang w:eastAsia="fr-FR" w:bidi="fr-FR"/>
        </w:rPr>
        <w:t xml:space="preserve"> il bénéficierait alors de la stabilité de ces o</w:t>
      </w:r>
      <w:r w:rsidRPr="00594A23">
        <w:rPr>
          <w:lang w:eastAsia="fr-FR" w:bidi="fr-FR"/>
        </w:rPr>
        <w:t>r</w:t>
      </w:r>
      <w:r w:rsidRPr="00594A23">
        <w:rPr>
          <w:lang w:eastAsia="fr-FR" w:bidi="fr-FR"/>
        </w:rPr>
        <w:t>dres régionaux et, en conséquence, de la stabilité de l’ordre internati</w:t>
      </w:r>
      <w:r w:rsidRPr="00594A23">
        <w:rPr>
          <w:lang w:eastAsia="fr-FR" w:bidi="fr-FR"/>
        </w:rPr>
        <w:t>o</w:t>
      </w:r>
      <w:r w:rsidRPr="00594A23">
        <w:rPr>
          <w:lang w:eastAsia="fr-FR" w:bidi="fr-FR"/>
        </w:rPr>
        <w:t>nal global, minimisant ainsi les effets de son déclin hégémonique. C’est là l’essence du désengag</w:t>
      </w:r>
      <w:r w:rsidRPr="00594A23">
        <w:rPr>
          <w:lang w:eastAsia="fr-FR" w:bidi="fr-FR"/>
        </w:rPr>
        <w:t>e</w:t>
      </w:r>
      <w:r w:rsidRPr="00594A23">
        <w:rPr>
          <w:lang w:eastAsia="fr-FR" w:bidi="fr-FR"/>
        </w:rPr>
        <w:t>ment stratégique prôné par l’Administration Clinton et que l’Administration Bush a contré dès son arrivée par une po</w:t>
      </w:r>
      <w:r w:rsidRPr="00594A23">
        <w:rPr>
          <w:lang w:eastAsia="fr-FR" w:bidi="fr-FR"/>
        </w:rPr>
        <w:t>s</w:t>
      </w:r>
      <w:r w:rsidRPr="00594A23">
        <w:rPr>
          <w:lang w:eastAsia="fr-FR" w:bidi="fr-FR"/>
        </w:rPr>
        <w:t>ture unilatéraliste. Cette dynamique n’a été que moment</w:t>
      </w:r>
      <w:r w:rsidRPr="00594A23">
        <w:rPr>
          <w:lang w:eastAsia="fr-FR" w:bidi="fr-FR"/>
        </w:rPr>
        <w:t>a</w:t>
      </w:r>
      <w:r w:rsidRPr="00594A23">
        <w:rPr>
          <w:lang w:eastAsia="fr-FR" w:bidi="fr-FR"/>
        </w:rPr>
        <w:t>nément suspendue par les événements du 11 sep</w:t>
      </w:r>
      <w:r>
        <w:rPr>
          <w:lang w:eastAsia="fr-FR" w:bidi="fr-FR"/>
        </w:rPr>
        <w:t>tembre 2001 qui ont</w:t>
      </w:r>
      <w:r>
        <w:t xml:space="preserve"> [123] </w:t>
      </w:r>
      <w:r w:rsidRPr="00594A23">
        <w:rPr>
          <w:lang w:eastAsia="fr-FR" w:bidi="fr-FR"/>
        </w:rPr>
        <w:t>convaincu l’Administration Bush que les États-Unis d</w:t>
      </w:r>
      <w:r w:rsidRPr="00594A23">
        <w:rPr>
          <w:lang w:eastAsia="fr-FR" w:bidi="fr-FR"/>
        </w:rPr>
        <w:t>e</w:t>
      </w:r>
      <w:r w:rsidRPr="00594A23">
        <w:rPr>
          <w:lang w:eastAsia="fr-FR" w:bidi="fr-FR"/>
        </w:rPr>
        <w:t>vaient assurer seuls leur défense et demeurer la seule supe</w:t>
      </w:r>
      <w:r w:rsidRPr="00594A23">
        <w:rPr>
          <w:lang w:eastAsia="fr-FR" w:bidi="fr-FR"/>
        </w:rPr>
        <w:t>r</w:t>
      </w:r>
      <w:r w:rsidRPr="00594A23">
        <w:rPr>
          <w:lang w:eastAsia="fr-FR" w:bidi="fr-FR"/>
        </w:rPr>
        <w:t xml:space="preserve">puissance du monde. Fidèle à son approche mettant l’accent sur </w:t>
      </w:r>
      <w:r>
        <w:rPr>
          <w:lang w:eastAsia="fr-FR" w:bidi="fr-FR"/>
        </w:rPr>
        <w:t>l’</w:t>
      </w:r>
      <w:r w:rsidRPr="00594A23">
        <w:rPr>
          <w:lang w:eastAsia="fr-FR" w:bidi="fr-FR"/>
        </w:rPr>
        <w:t>après</w:t>
      </w:r>
      <w:r w:rsidRPr="00594A23">
        <w:t>-</w:t>
      </w:r>
      <w:r w:rsidRPr="00BA6ED4">
        <w:rPr>
          <w:i/>
          <w:iCs/>
        </w:rPr>
        <w:t>pax americana</w:t>
      </w:r>
      <w:r w:rsidRPr="00594A23">
        <w:rPr>
          <w:lang w:eastAsia="fr-FR" w:bidi="fr-FR"/>
        </w:rPr>
        <w:t xml:space="preserve"> et son insistance sur la recherche d’un équilibre stratég</w:t>
      </w:r>
      <w:r w:rsidRPr="00594A23">
        <w:rPr>
          <w:lang w:eastAsia="fr-FR" w:bidi="fr-FR"/>
        </w:rPr>
        <w:t>i</w:t>
      </w:r>
      <w:r w:rsidRPr="00594A23">
        <w:rPr>
          <w:lang w:eastAsia="fr-FR" w:bidi="fr-FR"/>
        </w:rPr>
        <w:t>que, Kupchan affirme que ces attaques terroristes auraient dû conduire à une réduction des engagements outre-mer des forces armées amér</w:t>
      </w:r>
      <w:r w:rsidRPr="00594A23">
        <w:rPr>
          <w:lang w:eastAsia="fr-FR" w:bidi="fr-FR"/>
        </w:rPr>
        <w:t>i</w:t>
      </w:r>
      <w:r w:rsidRPr="00594A23">
        <w:rPr>
          <w:lang w:eastAsia="fr-FR" w:bidi="fr-FR"/>
        </w:rPr>
        <w:t>caines. E</w:t>
      </w:r>
      <w:r w:rsidRPr="00594A23">
        <w:rPr>
          <w:lang w:eastAsia="fr-FR" w:bidi="fr-FR"/>
        </w:rPr>
        <w:t>l</w:t>
      </w:r>
      <w:r w:rsidRPr="00594A23">
        <w:rPr>
          <w:lang w:eastAsia="fr-FR" w:bidi="fr-FR"/>
        </w:rPr>
        <w:t>les auraient dû être rapatriées du Moyen- Orient et d’Asie, comme ce fut le cas pour les attaques contre des Américains au Liban en 1983, en Somalie en 1993 et au Yémen en 2000</w:t>
      </w:r>
      <w:r>
        <w:rPr>
          <w:lang w:eastAsia="fr-FR" w:bidi="fr-FR"/>
        </w:rPr>
        <w:t> </w:t>
      </w:r>
      <w:r>
        <w:rPr>
          <w:rStyle w:val="Appelnotedebasdep"/>
          <w:lang w:eastAsia="fr-FR" w:bidi="fr-FR"/>
        </w:rPr>
        <w:footnoteReference w:id="289"/>
      </w:r>
      <w:r w:rsidRPr="00594A23">
        <w:rPr>
          <w:lang w:eastAsia="fr-FR" w:bidi="fr-FR"/>
        </w:rPr>
        <w:t>. Les États-Unis ne devraient pas se battre contre des terr</w:t>
      </w:r>
      <w:r w:rsidRPr="00594A23">
        <w:rPr>
          <w:lang w:eastAsia="fr-FR" w:bidi="fr-FR"/>
        </w:rPr>
        <w:t>o</w:t>
      </w:r>
      <w:r w:rsidRPr="00594A23">
        <w:rPr>
          <w:lang w:eastAsia="fr-FR" w:bidi="fr-FR"/>
        </w:rPr>
        <w:t>ristes dans leurs sanctuaires, mais plutôt chercher à renforcer la sécurité de leur territoire national. Ku</w:t>
      </w:r>
      <w:r w:rsidRPr="00594A23">
        <w:rPr>
          <w:lang w:eastAsia="fr-FR" w:bidi="fr-FR"/>
        </w:rPr>
        <w:t>p</w:t>
      </w:r>
      <w:r w:rsidRPr="00594A23">
        <w:rPr>
          <w:lang w:eastAsia="fr-FR" w:bidi="fr-FR"/>
        </w:rPr>
        <w:t>chan remarque avec dépit que l’Administration Bush a plutôt choisi de combattre les terroristes et les États voyous chez eux, prov</w:t>
      </w:r>
      <w:r w:rsidRPr="00594A23">
        <w:rPr>
          <w:lang w:eastAsia="fr-FR" w:bidi="fr-FR"/>
        </w:rPr>
        <w:t>o</w:t>
      </w:r>
      <w:r w:rsidRPr="00594A23">
        <w:rPr>
          <w:lang w:eastAsia="fr-FR" w:bidi="fr-FR"/>
        </w:rPr>
        <w:t>quant par le fait même l’affaiblissement du réseau d’institutions et d’alliances qui assurait jusque-là la prospérité et la sécurité internati</w:t>
      </w:r>
      <w:r w:rsidRPr="00594A23">
        <w:rPr>
          <w:lang w:eastAsia="fr-FR" w:bidi="fr-FR"/>
        </w:rPr>
        <w:t>o</w:t>
      </w:r>
      <w:r w:rsidRPr="00594A23">
        <w:rPr>
          <w:lang w:eastAsia="fr-FR" w:bidi="fr-FR"/>
        </w:rPr>
        <w:t>nales</w:t>
      </w:r>
      <w:r>
        <w:rPr>
          <w:lang w:eastAsia="fr-FR" w:bidi="fr-FR"/>
        </w:rPr>
        <w:t> </w:t>
      </w:r>
      <w:r>
        <w:rPr>
          <w:rStyle w:val="Appelnotedebasdep"/>
          <w:lang w:eastAsia="fr-FR" w:bidi="fr-FR"/>
        </w:rPr>
        <w:footnoteReference w:id="290"/>
      </w:r>
      <w:r w:rsidRPr="00594A23">
        <w:rPr>
          <w:lang w:eastAsia="fr-FR" w:bidi="fr-FR"/>
        </w:rPr>
        <w:t>.</w:t>
      </w:r>
    </w:p>
    <w:p w14:paraId="65DE7A09" w14:textId="77777777" w:rsidR="0039793A" w:rsidRDefault="0039793A" w:rsidP="0039793A">
      <w:pPr>
        <w:spacing w:before="120" w:after="120"/>
        <w:jc w:val="both"/>
        <w:rPr>
          <w:lang w:eastAsia="fr-FR" w:bidi="fr-FR"/>
        </w:rPr>
      </w:pPr>
    </w:p>
    <w:p w14:paraId="22FC9FA3" w14:textId="77777777" w:rsidR="0039793A" w:rsidRPr="00594A23" w:rsidRDefault="0039793A" w:rsidP="0039793A">
      <w:pPr>
        <w:pStyle w:val="a"/>
      </w:pPr>
      <w:r w:rsidRPr="00594A23">
        <w:t>L’école idéaliste</w:t>
      </w:r>
    </w:p>
    <w:p w14:paraId="5084E710" w14:textId="77777777" w:rsidR="0039793A" w:rsidRDefault="0039793A" w:rsidP="0039793A">
      <w:pPr>
        <w:spacing w:before="120" w:after="120"/>
        <w:jc w:val="both"/>
        <w:rPr>
          <w:lang w:eastAsia="fr-FR" w:bidi="fr-FR"/>
        </w:rPr>
      </w:pPr>
    </w:p>
    <w:p w14:paraId="15A12928" w14:textId="77777777" w:rsidR="0039793A" w:rsidRPr="00594A23" w:rsidRDefault="0039793A" w:rsidP="0039793A">
      <w:pPr>
        <w:spacing w:before="120" w:after="120"/>
        <w:jc w:val="both"/>
      </w:pPr>
      <w:r w:rsidRPr="00594A23">
        <w:rPr>
          <w:lang w:eastAsia="fr-FR" w:bidi="fr-FR"/>
        </w:rPr>
        <w:t xml:space="preserve">Un certain nombre d’auteurs prônent une </w:t>
      </w:r>
      <w:r w:rsidRPr="00BA6ED4">
        <w:rPr>
          <w:i/>
          <w:iCs/>
        </w:rPr>
        <w:t>pax democratica</w:t>
      </w:r>
      <w:r w:rsidRPr="00594A23">
        <w:rPr>
          <w:lang w:eastAsia="fr-FR" w:bidi="fr-FR"/>
        </w:rPr>
        <w:t xml:space="preserve"> et r</w:t>
      </w:r>
      <w:r w:rsidRPr="00594A23">
        <w:rPr>
          <w:lang w:eastAsia="fr-FR" w:bidi="fr-FR"/>
        </w:rPr>
        <w:t>e</w:t>
      </w:r>
      <w:r w:rsidRPr="00594A23">
        <w:rPr>
          <w:lang w:eastAsia="fr-FR" w:bidi="fr-FR"/>
        </w:rPr>
        <w:t>vendiquent une nouvelle façon de gouverner les affaires internation</w:t>
      </w:r>
      <w:r w:rsidRPr="00594A23">
        <w:rPr>
          <w:lang w:eastAsia="fr-FR" w:bidi="fr-FR"/>
        </w:rPr>
        <w:t>a</w:t>
      </w:r>
      <w:r w:rsidRPr="00594A23">
        <w:rPr>
          <w:lang w:eastAsia="fr-FR" w:bidi="fr-FR"/>
        </w:rPr>
        <w:t>les. Dans cette école de pensée, se retro</w:t>
      </w:r>
      <w:r w:rsidRPr="00594A23">
        <w:rPr>
          <w:lang w:eastAsia="fr-FR" w:bidi="fr-FR"/>
        </w:rPr>
        <w:t>u</w:t>
      </w:r>
      <w:r w:rsidRPr="00594A23">
        <w:rPr>
          <w:lang w:eastAsia="fr-FR" w:bidi="fr-FR"/>
        </w:rPr>
        <w:t xml:space="preserve">ve une tendance très utopiste, représentée par Richard Falk et Francis Fukuyama, et une tendance plus pragmatique, associée à Michael Mandelbaum. Évidemment, ces deux courants divergent sur certains points, les </w:t>
      </w:r>
      <w:r w:rsidRPr="00594A23">
        <w:t>« </w:t>
      </w:r>
      <w:r w:rsidRPr="00594A23">
        <w:rPr>
          <w:lang w:eastAsia="fr-FR" w:bidi="fr-FR"/>
        </w:rPr>
        <w:t>libéraux réali</w:t>
      </w:r>
      <w:r w:rsidRPr="00594A23">
        <w:rPr>
          <w:lang w:eastAsia="fr-FR" w:bidi="fr-FR"/>
        </w:rPr>
        <w:t>s</w:t>
      </w:r>
      <w:r w:rsidRPr="00594A23">
        <w:rPr>
          <w:lang w:eastAsia="fr-FR" w:bidi="fr-FR"/>
        </w:rPr>
        <w:t>tes</w:t>
      </w:r>
      <w:r w:rsidRPr="00594A23">
        <w:t> »</w:t>
      </w:r>
      <w:r w:rsidRPr="00594A23">
        <w:rPr>
          <w:lang w:eastAsia="fr-FR" w:bidi="fr-FR"/>
        </w:rPr>
        <w:t xml:space="preserve"> comme Mandelbaum acceptant dans une certaine mesure la pol</w:t>
      </w:r>
      <w:r w:rsidRPr="00594A23">
        <w:rPr>
          <w:lang w:eastAsia="fr-FR" w:bidi="fr-FR"/>
        </w:rPr>
        <w:t>i</w:t>
      </w:r>
      <w:r w:rsidRPr="00594A23">
        <w:rPr>
          <w:lang w:eastAsia="fr-FR" w:bidi="fr-FR"/>
        </w:rPr>
        <w:t>tique de la puissance tout en cherchant cependant à la minimiser. Les idé</w:t>
      </w:r>
      <w:r w:rsidRPr="00594A23">
        <w:rPr>
          <w:lang w:eastAsia="fr-FR" w:bidi="fr-FR"/>
        </w:rPr>
        <w:t>a</w:t>
      </w:r>
      <w:r w:rsidRPr="00594A23">
        <w:rPr>
          <w:lang w:eastAsia="fr-FR" w:bidi="fr-FR"/>
        </w:rPr>
        <w:t>listes sont d’avis que si le droit i</w:t>
      </w:r>
      <w:r w:rsidRPr="00594A23">
        <w:rPr>
          <w:lang w:eastAsia="fr-FR" w:bidi="fr-FR"/>
        </w:rPr>
        <w:t>n</w:t>
      </w:r>
      <w:r w:rsidRPr="00594A23">
        <w:rPr>
          <w:lang w:eastAsia="fr-FR" w:bidi="fr-FR"/>
        </w:rPr>
        <w:t>ternational était mieux respecté, un mode de gouvernance globale égalitaire pourrait être mis en place et assurerait la protection des droits fondamentaux de tous les h</w:t>
      </w:r>
      <w:r w:rsidRPr="00594A23">
        <w:rPr>
          <w:lang w:eastAsia="fr-FR" w:bidi="fr-FR"/>
        </w:rPr>
        <w:t>u</w:t>
      </w:r>
      <w:r w:rsidRPr="00594A23">
        <w:rPr>
          <w:lang w:eastAsia="fr-FR" w:bidi="fr-FR"/>
        </w:rPr>
        <w:t>mains. Convaincus que les démocraties ne se battent pas entre elles, ils adh</w:t>
      </w:r>
      <w:r w:rsidRPr="00594A23">
        <w:rPr>
          <w:lang w:eastAsia="fr-FR" w:bidi="fr-FR"/>
        </w:rPr>
        <w:t>è</w:t>
      </w:r>
      <w:r w:rsidRPr="00594A23">
        <w:rPr>
          <w:lang w:eastAsia="fr-FR" w:bidi="fr-FR"/>
        </w:rPr>
        <w:t>rent à l’idéal kantien d’une paix perpétuelle engendrée par une fédér</w:t>
      </w:r>
      <w:r w:rsidRPr="00594A23">
        <w:rPr>
          <w:lang w:eastAsia="fr-FR" w:bidi="fr-FR"/>
        </w:rPr>
        <w:t>a</w:t>
      </w:r>
      <w:r w:rsidRPr="00594A23">
        <w:rPr>
          <w:lang w:eastAsia="fr-FR" w:bidi="fr-FR"/>
        </w:rPr>
        <w:t>tion de démocraties. En somme, ils promeuvent la libéralisation d</w:t>
      </w:r>
      <w:r w:rsidRPr="00594A23">
        <w:rPr>
          <w:lang w:eastAsia="fr-FR" w:bidi="fr-FR"/>
        </w:rPr>
        <w:t>é</w:t>
      </w:r>
      <w:r w:rsidRPr="00594A23">
        <w:rPr>
          <w:lang w:eastAsia="fr-FR" w:bidi="fr-FR"/>
        </w:rPr>
        <w:t xml:space="preserve">mocratique du monde pour construire un monde pacifique et juste et </w:t>
      </w:r>
      <w:r>
        <w:rPr>
          <w:lang w:eastAsia="fr-FR" w:bidi="fr-FR"/>
        </w:rPr>
        <w:t>ils considèrent le modèle écono</w:t>
      </w:r>
      <w:r w:rsidRPr="00594A23">
        <w:rPr>
          <w:lang w:eastAsia="fr-FR" w:bidi="fr-FR"/>
        </w:rPr>
        <w:t>mique</w:t>
      </w:r>
      <w:r>
        <w:t xml:space="preserve"> [124]</w:t>
      </w:r>
      <w:r w:rsidRPr="00594A23">
        <w:rPr>
          <w:lang w:eastAsia="fr-FR" w:bidi="fr-FR"/>
        </w:rPr>
        <w:t xml:space="preserve"> libéral comme le système le plus à même de créer une r</w:t>
      </w:r>
      <w:r w:rsidRPr="00594A23">
        <w:rPr>
          <w:lang w:eastAsia="fr-FR" w:bidi="fr-FR"/>
        </w:rPr>
        <w:t>i</w:t>
      </w:r>
      <w:r w:rsidRPr="00594A23">
        <w:rPr>
          <w:lang w:eastAsia="fr-FR" w:bidi="fr-FR"/>
        </w:rPr>
        <w:t>chesse globale profitant au plus grand nombre d’individus.</w:t>
      </w:r>
    </w:p>
    <w:p w14:paraId="62B49CED" w14:textId="77777777" w:rsidR="0039793A" w:rsidRDefault="0039793A" w:rsidP="0039793A">
      <w:pPr>
        <w:spacing w:before="120" w:after="120"/>
        <w:jc w:val="both"/>
        <w:rPr>
          <w:lang w:eastAsia="fr-FR" w:bidi="fr-FR"/>
        </w:rPr>
      </w:pPr>
    </w:p>
    <w:p w14:paraId="45F50F2E" w14:textId="77777777" w:rsidR="0039793A" w:rsidRPr="00BA6ED4" w:rsidRDefault="0039793A" w:rsidP="0039793A">
      <w:pPr>
        <w:pStyle w:val="b"/>
      </w:pPr>
      <w:r w:rsidRPr="00BA6ED4">
        <w:rPr>
          <w:lang w:eastAsia="fr-FR" w:bidi="fr-FR"/>
        </w:rPr>
        <w:t>Richard Falk</w:t>
      </w:r>
    </w:p>
    <w:p w14:paraId="655444CE" w14:textId="77777777" w:rsidR="0039793A" w:rsidRDefault="0039793A" w:rsidP="0039793A">
      <w:pPr>
        <w:spacing w:before="120" w:after="120"/>
        <w:jc w:val="both"/>
        <w:rPr>
          <w:lang w:eastAsia="fr-FR" w:bidi="fr-FR"/>
        </w:rPr>
      </w:pPr>
    </w:p>
    <w:p w14:paraId="6CE07EA8" w14:textId="77777777" w:rsidR="0039793A" w:rsidRPr="00594A23" w:rsidRDefault="0039793A" w:rsidP="0039793A">
      <w:pPr>
        <w:spacing w:before="120" w:after="120"/>
        <w:jc w:val="both"/>
      </w:pPr>
      <w:r w:rsidRPr="00594A23">
        <w:rPr>
          <w:lang w:eastAsia="fr-FR" w:bidi="fr-FR"/>
        </w:rPr>
        <w:t>Le professeur de droit international de l’Université Princeton, R</w:t>
      </w:r>
      <w:r w:rsidRPr="00594A23">
        <w:rPr>
          <w:lang w:eastAsia="fr-FR" w:bidi="fr-FR"/>
        </w:rPr>
        <w:t>i</w:t>
      </w:r>
      <w:r w:rsidRPr="00594A23">
        <w:rPr>
          <w:lang w:eastAsia="fr-FR" w:bidi="fr-FR"/>
        </w:rPr>
        <w:t>chard Falk, est considéré aujourd’hui comme l’une des figures de proue de l’école idéaliste</w:t>
      </w:r>
      <w:r>
        <w:rPr>
          <w:lang w:eastAsia="fr-FR" w:bidi="fr-FR"/>
        </w:rPr>
        <w:t> </w:t>
      </w:r>
      <w:r>
        <w:rPr>
          <w:rStyle w:val="Appelnotedebasdep"/>
          <w:lang w:eastAsia="fr-FR" w:bidi="fr-FR"/>
        </w:rPr>
        <w:footnoteReference w:id="291"/>
      </w:r>
      <w:r w:rsidRPr="00594A23">
        <w:rPr>
          <w:lang w:eastAsia="fr-FR" w:bidi="fr-FR"/>
        </w:rPr>
        <w:t>. Au cours de sa longue carrière, amorcée en 1955, il a défendu l’idée d’un ordre juridique international mené par des autorités mondi</w:t>
      </w:r>
      <w:r w:rsidRPr="00594A23">
        <w:rPr>
          <w:lang w:eastAsia="fr-FR" w:bidi="fr-FR"/>
        </w:rPr>
        <w:t>a</w:t>
      </w:r>
      <w:r w:rsidRPr="00594A23">
        <w:rPr>
          <w:lang w:eastAsia="fr-FR" w:bidi="fr-FR"/>
        </w:rPr>
        <w:t>les ou des normes universelles (dans un projet de gouve</w:t>
      </w:r>
      <w:r w:rsidRPr="00594A23">
        <w:rPr>
          <w:lang w:eastAsia="fr-FR" w:bidi="fr-FR"/>
        </w:rPr>
        <w:t>r</w:t>
      </w:r>
      <w:r w:rsidRPr="00594A23">
        <w:rPr>
          <w:lang w:eastAsia="fr-FR" w:bidi="fr-FR"/>
        </w:rPr>
        <w:t>nance globale), un ordre qui pourrait se substituer à l’ordre actuel, fondé sur la politique de la puissance.</w:t>
      </w:r>
    </w:p>
    <w:p w14:paraId="7B67DB7A" w14:textId="77777777" w:rsidR="0039793A" w:rsidRPr="00594A23" w:rsidRDefault="0039793A" w:rsidP="0039793A">
      <w:pPr>
        <w:spacing w:before="120" w:after="120"/>
        <w:jc w:val="both"/>
      </w:pPr>
      <w:r w:rsidRPr="00594A23">
        <w:rPr>
          <w:lang w:eastAsia="fr-FR" w:bidi="fr-FR"/>
        </w:rPr>
        <w:t>Au fil du temps, Falk s’est révélé être l’un des critiques les plus v</w:t>
      </w:r>
      <w:r w:rsidRPr="00594A23">
        <w:rPr>
          <w:lang w:eastAsia="fr-FR" w:bidi="fr-FR"/>
        </w:rPr>
        <w:t>i</w:t>
      </w:r>
      <w:r w:rsidRPr="00594A23">
        <w:rPr>
          <w:lang w:eastAsia="fr-FR" w:bidi="fr-FR"/>
        </w:rPr>
        <w:t>rulents de la politique internationale américaine, trop focalisée sur la défense de leurs intérêts nationaux et bafouant souvent l’autorité des institutions internationales. Dans le débat aux Nations unies sur l’Irak, dès le 12 se</w:t>
      </w:r>
      <w:r w:rsidRPr="00594A23">
        <w:rPr>
          <w:lang w:eastAsia="fr-FR" w:bidi="fr-FR"/>
        </w:rPr>
        <w:t>p</w:t>
      </w:r>
      <w:r w:rsidRPr="00594A23">
        <w:rPr>
          <w:lang w:eastAsia="fr-FR" w:bidi="fr-FR"/>
        </w:rPr>
        <w:t>tembre 2002, Falk a vivement critiqué l’instrumentalisation pernicieuse des Nations unies par l’Administration Bush</w:t>
      </w:r>
      <w:r>
        <w:rPr>
          <w:lang w:eastAsia="fr-FR" w:bidi="fr-FR"/>
        </w:rPr>
        <w:t> </w:t>
      </w:r>
      <w:r>
        <w:rPr>
          <w:rStyle w:val="Appelnotedebasdep"/>
          <w:lang w:eastAsia="fr-FR" w:bidi="fr-FR"/>
        </w:rPr>
        <w:footnoteReference w:id="292"/>
      </w:r>
      <w:r w:rsidRPr="00594A23">
        <w:rPr>
          <w:lang w:eastAsia="fr-FR" w:bidi="fr-FR"/>
        </w:rPr>
        <w:t>. Il a particulièrement mis en exergue l’inadéquation de la structure onusienne. En effet, le Conseil de séc</w:t>
      </w:r>
      <w:r w:rsidRPr="00594A23">
        <w:rPr>
          <w:lang w:eastAsia="fr-FR" w:bidi="fr-FR"/>
        </w:rPr>
        <w:t>u</w:t>
      </w:r>
      <w:r w:rsidRPr="00594A23">
        <w:rPr>
          <w:lang w:eastAsia="fr-FR" w:bidi="fr-FR"/>
        </w:rPr>
        <w:t>rité est basé sur une logique réaliste d’équilibre entre les grandes pui</w:t>
      </w:r>
      <w:r w:rsidRPr="00594A23">
        <w:rPr>
          <w:lang w:eastAsia="fr-FR" w:bidi="fr-FR"/>
        </w:rPr>
        <w:t>s</w:t>
      </w:r>
      <w:r w:rsidRPr="00594A23">
        <w:rPr>
          <w:lang w:eastAsia="fr-FR" w:bidi="fr-FR"/>
        </w:rPr>
        <w:t>sances dont les origines remontent au début de la guerre froide. Aussi les Nations unies ne seraient-elles ni plus ni moins qu’un instrument géopolitique servant les grandes puissances</w:t>
      </w:r>
      <w:r>
        <w:rPr>
          <w:lang w:eastAsia="fr-FR" w:bidi="fr-FR"/>
        </w:rPr>
        <w:t> </w:t>
      </w:r>
      <w:r>
        <w:rPr>
          <w:rStyle w:val="Appelnotedebasdep"/>
          <w:lang w:eastAsia="fr-FR" w:bidi="fr-FR"/>
        </w:rPr>
        <w:footnoteReference w:id="293"/>
      </w:r>
      <w:r w:rsidRPr="00594A23">
        <w:rPr>
          <w:lang w:eastAsia="fr-FR" w:bidi="fr-FR"/>
        </w:rPr>
        <w:t xml:space="preserve">. En tant que membre permanent du Conseil de sécurité, et seule superpuissance, les </w:t>
      </w:r>
      <w:r>
        <w:rPr>
          <w:lang w:eastAsia="fr-FR" w:bidi="fr-FR"/>
        </w:rPr>
        <w:t>État</w:t>
      </w:r>
      <w:r w:rsidRPr="00594A23">
        <w:rPr>
          <w:lang w:eastAsia="fr-FR" w:bidi="fr-FR"/>
        </w:rPr>
        <w:t>s-Unis sont en m</w:t>
      </w:r>
      <w:r w:rsidRPr="00594A23">
        <w:rPr>
          <w:lang w:eastAsia="fr-FR" w:bidi="fr-FR"/>
        </w:rPr>
        <w:t>e</w:t>
      </w:r>
      <w:r w:rsidRPr="00594A23">
        <w:rPr>
          <w:lang w:eastAsia="fr-FR" w:bidi="fr-FR"/>
        </w:rPr>
        <w:t>sure de définir en grande partie l’agenda des Nations unies. Falk critique leur mépris de la communauté internationale, la suffisance avec laquelle ils lancent un ultimatum aux N</w:t>
      </w:r>
      <w:r w:rsidRPr="00594A23">
        <w:rPr>
          <w:lang w:eastAsia="fr-FR" w:bidi="fr-FR"/>
        </w:rPr>
        <w:t>a</w:t>
      </w:r>
      <w:r w:rsidRPr="00594A23">
        <w:rPr>
          <w:lang w:eastAsia="fr-FR" w:bidi="fr-FR"/>
        </w:rPr>
        <w:t>tions unies en leur demandant, dès septembre 2002, de prouver leur pertinence comme l’institution garante de la sécurité internationale. De plus, il déplore la politique am</w:t>
      </w:r>
      <w:r w:rsidRPr="00594A23">
        <w:rPr>
          <w:lang w:eastAsia="fr-FR" w:bidi="fr-FR"/>
        </w:rPr>
        <w:t>é</w:t>
      </w:r>
      <w:r w:rsidRPr="00594A23">
        <w:rPr>
          <w:lang w:eastAsia="fr-FR" w:bidi="fr-FR"/>
        </w:rPr>
        <w:t>ricaine du deux poids, deux mesures quant au respect des résolutions onusiennes</w:t>
      </w:r>
      <w:r w:rsidRPr="00594A23">
        <w:t> :</w:t>
      </w:r>
      <w:r w:rsidRPr="00594A23">
        <w:rPr>
          <w:lang w:eastAsia="fr-FR" w:bidi="fr-FR"/>
        </w:rPr>
        <w:t xml:space="preserve"> d’un côté, les </w:t>
      </w:r>
      <w:r>
        <w:rPr>
          <w:lang w:eastAsia="fr-FR" w:bidi="fr-FR"/>
        </w:rPr>
        <w:t>État</w:t>
      </w:r>
      <w:r w:rsidRPr="00594A23">
        <w:rPr>
          <w:lang w:eastAsia="fr-FR" w:bidi="fr-FR"/>
        </w:rPr>
        <w:t>s-Unis s’en pre</w:t>
      </w:r>
      <w:r w:rsidRPr="00594A23">
        <w:rPr>
          <w:lang w:eastAsia="fr-FR" w:bidi="fr-FR"/>
        </w:rPr>
        <w:t>n</w:t>
      </w:r>
      <w:r w:rsidRPr="00594A23">
        <w:rPr>
          <w:lang w:eastAsia="fr-FR" w:bidi="fr-FR"/>
        </w:rPr>
        <w:t>nent à l’Irak en invoquant des violations des résolutions du Consei</w:t>
      </w:r>
      <w:r>
        <w:rPr>
          <w:lang w:eastAsia="fr-FR" w:bidi="fr-FR"/>
        </w:rPr>
        <w:t>l de sécurité et menacent d’uti</w:t>
      </w:r>
      <w:r w:rsidRPr="00594A23">
        <w:rPr>
          <w:lang w:eastAsia="fr-FR" w:bidi="fr-FR"/>
        </w:rPr>
        <w:t>liser</w:t>
      </w:r>
      <w:r>
        <w:t xml:space="preserve"> [125]</w:t>
      </w:r>
      <w:r w:rsidRPr="00594A23">
        <w:rPr>
          <w:lang w:eastAsia="fr-FR" w:bidi="fr-FR"/>
        </w:rPr>
        <w:t xml:space="preserve"> la force de façon pr</w:t>
      </w:r>
      <w:r w:rsidRPr="00594A23">
        <w:rPr>
          <w:lang w:eastAsia="fr-FR" w:bidi="fr-FR"/>
        </w:rPr>
        <w:t>é</w:t>
      </w:r>
      <w:r w:rsidRPr="00594A23">
        <w:rPr>
          <w:lang w:eastAsia="fr-FR" w:bidi="fr-FR"/>
        </w:rPr>
        <w:t>ventive, et de l’autre, ils tolèrent les vi</w:t>
      </w:r>
      <w:r w:rsidRPr="00594A23">
        <w:rPr>
          <w:lang w:eastAsia="fr-FR" w:bidi="fr-FR"/>
        </w:rPr>
        <w:t>o</w:t>
      </w:r>
      <w:r w:rsidRPr="00594A23">
        <w:rPr>
          <w:lang w:eastAsia="fr-FR" w:bidi="fr-FR"/>
        </w:rPr>
        <w:t>lations de plusieurs résolutions par le régime israélien, sans che</w:t>
      </w:r>
      <w:r w:rsidRPr="00594A23">
        <w:rPr>
          <w:lang w:eastAsia="fr-FR" w:bidi="fr-FR"/>
        </w:rPr>
        <w:t>r</w:t>
      </w:r>
      <w:r w:rsidRPr="00594A23">
        <w:rPr>
          <w:lang w:eastAsia="fr-FR" w:bidi="fr-FR"/>
        </w:rPr>
        <w:t>cher à faire pression sur leur allié.</w:t>
      </w:r>
    </w:p>
    <w:p w14:paraId="5A5BDF9D" w14:textId="77777777" w:rsidR="0039793A" w:rsidRPr="00594A23" w:rsidRDefault="0039793A" w:rsidP="0039793A">
      <w:pPr>
        <w:spacing w:before="120" w:after="120"/>
        <w:jc w:val="both"/>
      </w:pPr>
      <w:r w:rsidRPr="00594A23">
        <w:rPr>
          <w:lang w:eastAsia="fr-FR" w:bidi="fr-FR"/>
        </w:rPr>
        <w:t>Falk rejette d’emblée le mode de pensée réaliste, qui juge négat</w:t>
      </w:r>
      <w:r w:rsidRPr="00594A23">
        <w:rPr>
          <w:lang w:eastAsia="fr-FR" w:bidi="fr-FR"/>
        </w:rPr>
        <w:t>i</w:t>
      </w:r>
      <w:r w:rsidRPr="00594A23">
        <w:rPr>
          <w:lang w:eastAsia="fr-FR" w:bidi="fr-FR"/>
        </w:rPr>
        <w:t>vement le rôle normatif joué par les institutions internationales et pr</w:t>
      </w:r>
      <w:r w:rsidRPr="00594A23">
        <w:rPr>
          <w:lang w:eastAsia="fr-FR" w:bidi="fr-FR"/>
        </w:rPr>
        <w:t>é</w:t>
      </w:r>
      <w:r w:rsidRPr="00594A23">
        <w:rPr>
          <w:lang w:eastAsia="fr-FR" w:bidi="fr-FR"/>
        </w:rPr>
        <w:t>fère maintenir la paix par l’équilibre des puissances plutôt que par les institutions internationales. Selon lui, c’est aux États-Unis que cette attitude est la plus profondément ancrée dans la pensée des dirigeants, qui considèrent tout projet de justice globale comme étant ut</w:t>
      </w:r>
      <w:r w:rsidRPr="00594A23">
        <w:rPr>
          <w:lang w:eastAsia="fr-FR" w:bidi="fr-FR"/>
        </w:rPr>
        <w:t>o</w:t>
      </w:r>
      <w:r w:rsidRPr="00594A23">
        <w:rPr>
          <w:lang w:eastAsia="fr-FR" w:bidi="fr-FR"/>
        </w:rPr>
        <w:t>pique, idéaliste et dilatoire</w:t>
      </w:r>
      <w:r>
        <w:rPr>
          <w:lang w:eastAsia="fr-FR" w:bidi="fr-FR"/>
        </w:rPr>
        <w:t> </w:t>
      </w:r>
      <w:r>
        <w:rPr>
          <w:rStyle w:val="Appelnotedebasdep"/>
          <w:lang w:eastAsia="fr-FR" w:bidi="fr-FR"/>
        </w:rPr>
        <w:footnoteReference w:id="294"/>
      </w:r>
      <w:r w:rsidRPr="00594A23">
        <w:rPr>
          <w:lang w:eastAsia="fr-FR" w:bidi="fr-FR"/>
        </w:rPr>
        <w:t>. Les dirigeants américains g</w:t>
      </w:r>
      <w:r w:rsidRPr="00594A23">
        <w:rPr>
          <w:lang w:eastAsia="fr-FR" w:bidi="fr-FR"/>
        </w:rPr>
        <w:t>è</w:t>
      </w:r>
      <w:r w:rsidRPr="00594A23">
        <w:rPr>
          <w:lang w:eastAsia="fr-FR" w:bidi="fr-FR"/>
        </w:rPr>
        <w:t>rent les affaires internationales en fonction des intérêts str</w:t>
      </w:r>
      <w:r w:rsidRPr="00594A23">
        <w:rPr>
          <w:lang w:eastAsia="fr-FR" w:bidi="fr-FR"/>
        </w:rPr>
        <w:t>a</w:t>
      </w:r>
      <w:r w:rsidRPr="00594A23">
        <w:rPr>
          <w:lang w:eastAsia="fr-FR" w:bidi="fr-FR"/>
        </w:rPr>
        <w:t>tégiques des États-Unis. Ainsi, les Nations unies ne seront saisies de questions liées à la sécur</w:t>
      </w:r>
      <w:r w:rsidRPr="00594A23">
        <w:rPr>
          <w:lang w:eastAsia="fr-FR" w:bidi="fr-FR"/>
        </w:rPr>
        <w:t>i</w:t>
      </w:r>
      <w:r w:rsidRPr="00594A23">
        <w:rPr>
          <w:lang w:eastAsia="fr-FR" w:bidi="fr-FR"/>
        </w:rPr>
        <w:t>té internationale que si elles ont un intérêt pour les États-Unis et qu’elles sont co</w:t>
      </w:r>
      <w:r w:rsidRPr="00594A23">
        <w:rPr>
          <w:lang w:eastAsia="fr-FR" w:bidi="fr-FR"/>
        </w:rPr>
        <w:t>m</w:t>
      </w:r>
      <w:r w:rsidRPr="00594A23">
        <w:rPr>
          <w:lang w:eastAsia="fr-FR" w:bidi="fr-FR"/>
        </w:rPr>
        <w:t>patibles avec leurs sensibilités normatives. Pour l’utopiste Falk, les Nations unies devraient plutôt servir d’agence d’intervention humanitaire et agir pour la promotion des idéaux d</w:t>
      </w:r>
      <w:r w:rsidRPr="00594A23">
        <w:rPr>
          <w:lang w:eastAsia="fr-FR" w:bidi="fr-FR"/>
        </w:rPr>
        <w:t>é</w:t>
      </w:r>
      <w:r w:rsidRPr="00594A23">
        <w:rPr>
          <w:lang w:eastAsia="fr-FR" w:bidi="fr-FR"/>
        </w:rPr>
        <w:t xml:space="preserve">mocratiques nécessaires à la fondation morale d’une </w:t>
      </w:r>
      <w:r w:rsidRPr="00594A23">
        <w:t>« </w:t>
      </w:r>
      <w:r w:rsidRPr="00594A23">
        <w:rPr>
          <w:lang w:eastAsia="fr-FR" w:bidi="fr-FR"/>
        </w:rPr>
        <w:t>gouvernance humaine</w:t>
      </w:r>
      <w:r w:rsidRPr="00594A23">
        <w:t> »</w:t>
      </w:r>
      <w:r w:rsidRPr="00594A23">
        <w:rPr>
          <w:lang w:eastAsia="fr-FR" w:bidi="fr-FR"/>
        </w:rPr>
        <w:t xml:space="preserve"> au service des droits de la personne</w:t>
      </w:r>
      <w:r>
        <w:rPr>
          <w:lang w:eastAsia="fr-FR" w:bidi="fr-FR"/>
        </w:rPr>
        <w:t> </w:t>
      </w:r>
      <w:r>
        <w:rPr>
          <w:rStyle w:val="Appelnotedebasdep"/>
          <w:lang w:eastAsia="fr-FR" w:bidi="fr-FR"/>
        </w:rPr>
        <w:footnoteReference w:id="295"/>
      </w:r>
      <w:r w:rsidRPr="00594A23">
        <w:rPr>
          <w:lang w:eastAsia="fr-FR" w:bidi="fr-FR"/>
        </w:rPr>
        <w:t>.</w:t>
      </w:r>
    </w:p>
    <w:p w14:paraId="119E7376" w14:textId="77777777" w:rsidR="0039793A" w:rsidRDefault="0039793A" w:rsidP="0039793A">
      <w:pPr>
        <w:spacing w:before="120" w:after="120"/>
        <w:jc w:val="both"/>
        <w:rPr>
          <w:lang w:eastAsia="fr-FR" w:bidi="fr-FR"/>
        </w:rPr>
      </w:pPr>
      <w:r>
        <w:rPr>
          <w:lang w:eastAsia="fr-FR" w:bidi="fr-FR"/>
        </w:rPr>
        <w:br w:type="page"/>
      </w:r>
    </w:p>
    <w:p w14:paraId="06C03F27" w14:textId="77777777" w:rsidR="0039793A" w:rsidRPr="003114C5" w:rsidRDefault="0039793A" w:rsidP="0039793A">
      <w:pPr>
        <w:pStyle w:val="b"/>
      </w:pPr>
      <w:r w:rsidRPr="003114C5">
        <w:rPr>
          <w:lang w:eastAsia="fr-FR" w:bidi="fr-FR"/>
        </w:rPr>
        <w:t>Francis Fukuyama</w:t>
      </w:r>
    </w:p>
    <w:p w14:paraId="18436102" w14:textId="77777777" w:rsidR="0039793A" w:rsidRDefault="0039793A" w:rsidP="0039793A">
      <w:pPr>
        <w:spacing w:before="120" w:after="120"/>
        <w:jc w:val="both"/>
        <w:rPr>
          <w:lang w:eastAsia="fr-FR" w:bidi="fr-FR"/>
        </w:rPr>
      </w:pPr>
    </w:p>
    <w:p w14:paraId="6BED5926" w14:textId="77777777" w:rsidR="0039793A" w:rsidRPr="00594A23" w:rsidRDefault="0039793A" w:rsidP="0039793A">
      <w:pPr>
        <w:spacing w:before="120" w:after="120"/>
        <w:jc w:val="both"/>
      </w:pPr>
      <w:r w:rsidRPr="00594A23">
        <w:rPr>
          <w:lang w:eastAsia="fr-FR" w:bidi="fr-FR"/>
        </w:rPr>
        <w:t xml:space="preserve">Fukuyama applique sa thèse de la </w:t>
      </w:r>
      <w:r w:rsidRPr="00594A23">
        <w:t>« </w:t>
      </w:r>
      <w:r w:rsidRPr="00594A23">
        <w:rPr>
          <w:lang w:eastAsia="fr-FR" w:bidi="fr-FR"/>
        </w:rPr>
        <w:t>fin de l’Histoire</w:t>
      </w:r>
      <w:r w:rsidRPr="00594A23">
        <w:t> »</w:t>
      </w:r>
      <w:r w:rsidRPr="00594A23">
        <w:rPr>
          <w:lang w:eastAsia="fr-FR" w:bidi="fr-FR"/>
        </w:rPr>
        <w:t xml:space="preserve"> aux évén</w:t>
      </w:r>
      <w:r w:rsidRPr="00594A23">
        <w:rPr>
          <w:lang w:eastAsia="fr-FR" w:bidi="fr-FR"/>
        </w:rPr>
        <w:t>e</w:t>
      </w:r>
      <w:r w:rsidRPr="00594A23">
        <w:rPr>
          <w:lang w:eastAsia="fr-FR" w:bidi="fr-FR"/>
        </w:rPr>
        <w:t>ments du 11 septembre 2001 et affirme le reno</w:t>
      </w:r>
      <w:r w:rsidRPr="00594A23">
        <w:rPr>
          <w:lang w:eastAsia="fr-FR" w:bidi="fr-FR"/>
        </w:rPr>
        <w:t>u</w:t>
      </w:r>
      <w:r w:rsidRPr="00594A23">
        <w:rPr>
          <w:lang w:eastAsia="fr-FR" w:bidi="fr-FR"/>
        </w:rPr>
        <w:t>veau des idées de libre marché et de démocratie. Pas plus qu’en 1989, l’intérêt national prisé par les auteurs réalistes n’a sa place dans l’État universel défini par Hegel, lequel constitue la destination rationnelle des hommes et des n</w:t>
      </w:r>
      <w:r w:rsidRPr="00594A23">
        <w:rPr>
          <w:lang w:eastAsia="fr-FR" w:bidi="fr-FR"/>
        </w:rPr>
        <w:t>a</w:t>
      </w:r>
      <w:r w:rsidRPr="00594A23">
        <w:rPr>
          <w:lang w:eastAsia="fr-FR" w:bidi="fr-FR"/>
        </w:rPr>
        <w:t>tions</w:t>
      </w:r>
      <w:r w:rsidRPr="00594A23">
        <w:t> :</w:t>
      </w:r>
      <w:r w:rsidRPr="00594A23">
        <w:rPr>
          <w:lang w:eastAsia="fr-FR" w:bidi="fr-FR"/>
        </w:rPr>
        <w:t xml:space="preserve"> aux yeux de Fukuyama, </w:t>
      </w:r>
      <w:r w:rsidRPr="00594A23">
        <w:t>« </w:t>
      </w:r>
      <w:r w:rsidRPr="00594A23">
        <w:rPr>
          <w:lang w:eastAsia="fr-FR" w:bidi="fr-FR"/>
        </w:rPr>
        <w:t>nous sommes toujours à la fin de l’Histoire</w:t>
      </w:r>
      <w:r>
        <w:rPr>
          <w:lang w:eastAsia="fr-FR" w:bidi="fr-FR"/>
        </w:rPr>
        <w:t> </w:t>
      </w:r>
      <w:r>
        <w:rPr>
          <w:rStyle w:val="Appelnotedebasdep"/>
          <w:lang w:eastAsia="fr-FR" w:bidi="fr-FR"/>
        </w:rPr>
        <w:footnoteReference w:id="296"/>
      </w:r>
      <w:r w:rsidRPr="00594A23">
        <w:t> »</w:t>
      </w:r>
      <w:r w:rsidRPr="00594A23">
        <w:rPr>
          <w:lang w:eastAsia="fr-FR" w:bidi="fr-FR"/>
        </w:rPr>
        <w:t>. Il persiste donc dans son utopisme</w:t>
      </w:r>
      <w:r w:rsidRPr="00594A23">
        <w:t> :</w:t>
      </w:r>
      <w:r w:rsidRPr="00594A23">
        <w:rPr>
          <w:lang w:eastAsia="fr-FR" w:bidi="fr-FR"/>
        </w:rPr>
        <w:t xml:space="preserve"> la marche vers l’État universel libéral a atteint son but.</w:t>
      </w:r>
    </w:p>
    <w:p w14:paraId="0B81F554" w14:textId="77777777" w:rsidR="0039793A" w:rsidRPr="00594A23" w:rsidRDefault="0039793A" w:rsidP="0039793A">
      <w:pPr>
        <w:spacing w:before="120" w:after="120"/>
        <w:jc w:val="both"/>
      </w:pPr>
      <w:r w:rsidRPr="00594A23">
        <w:rPr>
          <w:lang w:eastAsia="fr-FR" w:bidi="fr-FR"/>
        </w:rPr>
        <w:t>En 1989, il écrivait que la fin de la guerre froide ma</w:t>
      </w:r>
      <w:r w:rsidRPr="00594A23">
        <w:rPr>
          <w:lang w:eastAsia="fr-FR" w:bidi="fr-FR"/>
        </w:rPr>
        <w:t>r</w:t>
      </w:r>
      <w:r w:rsidRPr="00594A23">
        <w:rPr>
          <w:lang w:eastAsia="fr-FR" w:bidi="fr-FR"/>
        </w:rPr>
        <w:t>quait la fin de l’Histoire, que la guerre idéologique appartenait désormais au pa</w:t>
      </w:r>
      <w:r w:rsidRPr="00594A23">
        <w:rPr>
          <w:lang w:eastAsia="fr-FR" w:bidi="fr-FR"/>
        </w:rPr>
        <w:t>s</w:t>
      </w:r>
      <w:r w:rsidRPr="00594A23">
        <w:rPr>
          <w:lang w:eastAsia="fr-FR" w:bidi="fr-FR"/>
        </w:rPr>
        <w:t>sé</w:t>
      </w:r>
      <w:r>
        <w:rPr>
          <w:lang w:eastAsia="fr-FR" w:bidi="fr-FR"/>
        </w:rPr>
        <w:t> </w:t>
      </w:r>
      <w:r>
        <w:rPr>
          <w:rStyle w:val="Appelnotedebasdep"/>
          <w:lang w:eastAsia="fr-FR" w:bidi="fr-FR"/>
        </w:rPr>
        <w:footnoteReference w:id="297"/>
      </w:r>
      <w:r w:rsidRPr="00594A23">
        <w:rPr>
          <w:lang w:eastAsia="fr-FR" w:bidi="fr-FR"/>
        </w:rPr>
        <w:t>. Dans son esprit, i</w:t>
      </w:r>
      <w:r>
        <w:rPr>
          <w:lang w:eastAsia="fr-FR" w:bidi="fr-FR"/>
        </w:rPr>
        <w:t>l n’y a plus de concurrence pos</w:t>
      </w:r>
      <w:r w:rsidRPr="00594A23">
        <w:rPr>
          <w:lang w:eastAsia="fr-FR" w:bidi="fr-FR"/>
        </w:rPr>
        <w:t>sible</w:t>
      </w:r>
      <w:r>
        <w:t xml:space="preserve"> [126]</w:t>
      </w:r>
      <w:r w:rsidRPr="00594A23">
        <w:rPr>
          <w:lang w:eastAsia="fr-FR" w:bidi="fr-FR"/>
        </w:rPr>
        <w:t xml:space="preserve"> au libéralisme démocratique occidental. L’humanité a</w:t>
      </w:r>
      <w:r w:rsidRPr="00594A23">
        <w:rPr>
          <w:lang w:eastAsia="fr-FR" w:bidi="fr-FR"/>
        </w:rPr>
        <w:t>u</w:t>
      </w:r>
      <w:r w:rsidRPr="00594A23">
        <w:rPr>
          <w:lang w:eastAsia="fr-FR" w:bidi="fr-FR"/>
        </w:rPr>
        <w:t>rait ainsi atteint le stade suprême de son évolution idéologique</w:t>
      </w:r>
      <w:r w:rsidRPr="00594A23">
        <w:t> :</w:t>
      </w:r>
      <w:r w:rsidRPr="00594A23">
        <w:rPr>
          <w:lang w:eastAsia="fr-FR" w:bidi="fr-FR"/>
        </w:rPr>
        <w:t xml:space="preserve"> </w:t>
      </w:r>
      <w:r w:rsidRPr="00594A23">
        <w:t>« </w:t>
      </w:r>
      <w:r w:rsidRPr="00594A23">
        <w:rPr>
          <w:lang w:eastAsia="fr-FR" w:bidi="fr-FR"/>
        </w:rPr>
        <w:t>Au-delà de la dém</w:t>
      </w:r>
      <w:r w:rsidRPr="00594A23">
        <w:rPr>
          <w:lang w:eastAsia="fr-FR" w:bidi="fr-FR"/>
        </w:rPr>
        <w:t>o</w:t>
      </w:r>
      <w:r w:rsidRPr="00594A23">
        <w:rPr>
          <w:lang w:eastAsia="fr-FR" w:bidi="fr-FR"/>
        </w:rPr>
        <w:t>cratie libérale et des marchés, il n’existe rien d’autre vers quoi espérer évoluer, d’où la fin de l’Histoire</w:t>
      </w:r>
      <w:r>
        <w:rPr>
          <w:lang w:eastAsia="fr-FR" w:bidi="fr-FR"/>
        </w:rPr>
        <w:t> </w:t>
      </w:r>
      <w:r>
        <w:rPr>
          <w:rStyle w:val="Appelnotedebasdep"/>
          <w:lang w:eastAsia="fr-FR" w:bidi="fr-FR"/>
        </w:rPr>
        <w:footnoteReference w:id="298"/>
      </w:r>
      <w:r>
        <w:rPr>
          <w:lang w:eastAsia="fr-FR" w:bidi="fr-FR"/>
        </w:rPr>
        <w:t>.</w:t>
      </w:r>
      <w:r w:rsidRPr="00594A23">
        <w:t> »</w:t>
      </w:r>
      <w:r w:rsidRPr="00594A23">
        <w:rPr>
          <w:lang w:eastAsia="fr-FR" w:bidi="fr-FR"/>
        </w:rPr>
        <w:t xml:space="preserve"> Les institutions de la démocr</w:t>
      </w:r>
      <w:r w:rsidRPr="00594A23">
        <w:rPr>
          <w:lang w:eastAsia="fr-FR" w:bidi="fr-FR"/>
        </w:rPr>
        <w:t>a</w:t>
      </w:r>
      <w:r w:rsidRPr="00594A23">
        <w:rPr>
          <w:lang w:eastAsia="fr-FR" w:bidi="fr-FR"/>
        </w:rPr>
        <w:t>tie libérale et du capitalisme, défendues pendant toute la guerre froide par la superpuissance américaine, l’ont e</w:t>
      </w:r>
      <w:r w:rsidRPr="00594A23">
        <w:rPr>
          <w:lang w:eastAsia="fr-FR" w:bidi="fr-FR"/>
        </w:rPr>
        <w:t>m</w:t>
      </w:r>
      <w:r w:rsidRPr="00594A23">
        <w:rPr>
          <w:lang w:eastAsia="fr-FR" w:bidi="fr-FR"/>
        </w:rPr>
        <w:t>porté parce quelles sont les seules à pouvoir assurer la libe</w:t>
      </w:r>
      <w:r w:rsidRPr="00594A23">
        <w:rPr>
          <w:lang w:eastAsia="fr-FR" w:bidi="fr-FR"/>
        </w:rPr>
        <w:t>r</w:t>
      </w:r>
      <w:r w:rsidRPr="00594A23">
        <w:rPr>
          <w:lang w:eastAsia="fr-FR" w:bidi="fr-FR"/>
        </w:rPr>
        <w:t xml:space="preserve">té et la dignité des hommes. En effet, le besoin de liberté de l’individu satisfait dans l’État </w:t>
      </w:r>
      <w:r>
        <w:rPr>
          <w:lang w:eastAsia="fr-FR" w:bidi="fr-FR"/>
        </w:rPr>
        <w:t>-</w:t>
      </w:r>
      <w:r w:rsidRPr="00594A23">
        <w:rPr>
          <w:lang w:eastAsia="fr-FR" w:bidi="fr-FR"/>
        </w:rPr>
        <w:t xml:space="preserve"> le moteur de l’histoire pour Hegel - et son identification r</w:t>
      </w:r>
      <w:r w:rsidRPr="00594A23">
        <w:rPr>
          <w:lang w:eastAsia="fr-FR" w:bidi="fr-FR"/>
        </w:rPr>
        <w:t>a</w:t>
      </w:r>
      <w:r w:rsidRPr="00594A23">
        <w:rPr>
          <w:lang w:eastAsia="fr-FR" w:bidi="fr-FR"/>
        </w:rPr>
        <w:t xml:space="preserve">tionnelle à l’État sont comblés avec la </w:t>
      </w:r>
      <w:r w:rsidRPr="00594A23">
        <w:t>« </w:t>
      </w:r>
      <w:r w:rsidRPr="00594A23">
        <w:rPr>
          <w:lang w:eastAsia="fr-FR" w:bidi="fr-FR"/>
        </w:rPr>
        <w:t>fin de l’Histoire</w:t>
      </w:r>
      <w:r>
        <w:rPr>
          <w:lang w:eastAsia="fr-FR" w:bidi="fr-FR"/>
        </w:rPr>
        <w:t> </w:t>
      </w:r>
      <w:r>
        <w:rPr>
          <w:rStyle w:val="Appelnotedebasdep"/>
          <w:lang w:eastAsia="fr-FR" w:bidi="fr-FR"/>
        </w:rPr>
        <w:footnoteReference w:id="299"/>
      </w:r>
      <w:r w:rsidRPr="00594A23">
        <w:t> »</w:t>
      </w:r>
      <w:r w:rsidRPr="00594A23">
        <w:rPr>
          <w:lang w:eastAsia="fr-FR" w:bidi="fr-FR"/>
        </w:rPr>
        <w:t>.</w:t>
      </w:r>
    </w:p>
    <w:p w14:paraId="13AD47FF" w14:textId="77777777" w:rsidR="0039793A" w:rsidRPr="00594A23" w:rsidRDefault="0039793A" w:rsidP="0039793A">
      <w:pPr>
        <w:spacing w:before="120" w:after="120"/>
        <w:jc w:val="both"/>
      </w:pPr>
      <w:r w:rsidRPr="00594A23">
        <w:rPr>
          <w:lang w:eastAsia="fr-FR" w:bidi="fr-FR"/>
        </w:rPr>
        <w:t>Fukuyama espère et semble croire, après les attentats du 11 se</w:t>
      </w:r>
      <w:r w:rsidRPr="00594A23">
        <w:rPr>
          <w:lang w:eastAsia="fr-FR" w:bidi="fr-FR"/>
        </w:rPr>
        <w:t>p</w:t>
      </w:r>
      <w:r w:rsidRPr="00594A23">
        <w:rPr>
          <w:lang w:eastAsia="fr-FR" w:bidi="fr-FR"/>
        </w:rPr>
        <w:t>tembre 2001, que les États-Unis vont se ranger aux côtés des autres démocraties libérales occidentales</w:t>
      </w:r>
      <w:r w:rsidRPr="00594A23">
        <w:t> :</w:t>
      </w:r>
      <w:r w:rsidRPr="00594A23">
        <w:rPr>
          <w:lang w:eastAsia="fr-FR" w:bidi="fr-FR"/>
        </w:rPr>
        <w:t xml:space="preserve"> </w:t>
      </w:r>
      <w:r w:rsidRPr="00594A23">
        <w:t>« </w:t>
      </w:r>
      <w:r w:rsidRPr="00594A23">
        <w:rPr>
          <w:lang w:eastAsia="fr-FR" w:bidi="fr-FR"/>
        </w:rPr>
        <w:t>Les États-Unis vont sans doute devenir, après ces attentats, un pays différent, plus uni, moins occupé de lui-même, qui a</w:t>
      </w:r>
      <w:r w:rsidRPr="00594A23">
        <w:rPr>
          <w:lang w:eastAsia="fr-FR" w:bidi="fr-FR"/>
        </w:rPr>
        <w:t>u</w:t>
      </w:r>
      <w:r w:rsidRPr="00594A23">
        <w:rPr>
          <w:lang w:eastAsia="fr-FR" w:bidi="fr-FR"/>
        </w:rPr>
        <w:t>ra beaucoup plus besoin de l’aide de ses amis pour mener à bien le nouveau projet national de victoire contre le terrori</w:t>
      </w:r>
      <w:r w:rsidRPr="00594A23">
        <w:rPr>
          <w:lang w:eastAsia="fr-FR" w:bidi="fr-FR"/>
        </w:rPr>
        <w:t>s</w:t>
      </w:r>
      <w:r w:rsidRPr="00594A23">
        <w:rPr>
          <w:lang w:eastAsia="fr-FR" w:bidi="fr-FR"/>
        </w:rPr>
        <w:t>me. Ils deviendront peut- être aussi un pays plus ordina</w:t>
      </w:r>
      <w:r w:rsidRPr="00594A23">
        <w:rPr>
          <w:lang w:eastAsia="fr-FR" w:bidi="fr-FR"/>
        </w:rPr>
        <w:t>i</w:t>
      </w:r>
      <w:r w:rsidRPr="00594A23">
        <w:rPr>
          <w:lang w:eastAsia="fr-FR" w:bidi="fr-FR"/>
        </w:rPr>
        <w:t>re, qui a des intérêts concrets et une vulnérabilité réelle, au lieu de se penser cap</w:t>
      </w:r>
      <w:r w:rsidRPr="00594A23">
        <w:rPr>
          <w:lang w:eastAsia="fr-FR" w:bidi="fr-FR"/>
        </w:rPr>
        <w:t>a</w:t>
      </w:r>
      <w:r w:rsidRPr="00594A23">
        <w:rPr>
          <w:lang w:eastAsia="fr-FR" w:bidi="fr-FR"/>
        </w:rPr>
        <w:t>ble de décider unilatéralement de la nature du monde dans lequel il vit</w:t>
      </w:r>
      <w:r>
        <w:rPr>
          <w:lang w:eastAsia="fr-FR" w:bidi="fr-FR"/>
        </w:rPr>
        <w:t> </w:t>
      </w:r>
      <w:r>
        <w:rPr>
          <w:rStyle w:val="Appelnotedebasdep"/>
          <w:lang w:eastAsia="fr-FR" w:bidi="fr-FR"/>
        </w:rPr>
        <w:footnoteReference w:id="300"/>
      </w:r>
      <w:r w:rsidRPr="00594A23">
        <w:rPr>
          <w:lang w:eastAsia="fr-FR" w:bidi="fr-FR"/>
        </w:rPr>
        <w:t>.</w:t>
      </w:r>
      <w:r w:rsidRPr="00594A23">
        <w:t> »</w:t>
      </w:r>
      <w:r w:rsidRPr="00594A23">
        <w:rPr>
          <w:lang w:eastAsia="fr-FR" w:bidi="fr-FR"/>
        </w:rPr>
        <w:t xml:space="preserve"> Idéaliste en ce qui a trait à la politique étrangère américaine par rapport au pragmatisme de Mandelbaum, Fukuyama ne prévoit pas une conduite plus unilatéraliste des États-Unis sur la scène inte</w:t>
      </w:r>
      <w:r w:rsidRPr="00594A23">
        <w:rPr>
          <w:lang w:eastAsia="fr-FR" w:bidi="fr-FR"/>
        </w:rPr>
        <w:t>r</w:t>
      </w:r>
      <w:r w:rsidRPr="00594A23">
        <w:rPr>
          <w:lang w:eastAsia="fr-FR" w:bidi="fr-FR"/>
        </w:rPr>
        <w:t>nati</w:t>
      </w:r>
      <w:r w:rsidRPr="00594A23">
        <w:rPr>
          <w:lang w:eastAsia="fr-FR" w:bidi="fr-FR"/>
        </w:rPr>
        <w:t>o</w:t>
      </w:r>
      <w:r w:rsidRPr="00594A23">
        <w:rPr>
          <w:lang w:eastAsia="fr-FR" w:bidi="fr-FR"/>
        </w:rPr>
        <w:t>nale. Au contraire, il est d’avis que l’attaque subie par les États-Unis sur leur territoire national pourrait unir davantage la société am</w:t>
      </w:r>
      <w:r w:rsidRPr="00594A23">
        <w:rPr>
          <w:lang w:eastAsia="fr-FR" w:bidi="fr-FR"/>
        </w:rPr>
        <w:t>é</w:t>
      </w:r>
      <w:r w:rsidRPr="00594A23">
        <w:rPr>
          <w:lang w:eastAsia="fr-FR" w:bidi="fr-FR"/>
        </w:rPr>
        <w:t>rica</w:t>
      </w:r>
      <w:r w:rsidRPr="00594A23">
        <w:rPr>
          <w:lang w:eastAsia="fr-FR" w:bidi="fr-FR"/>
        </w:rPr>
        <w:t>i</w:t>
      </w:r>
      <w:r w:rsidRPr="00594A23">
        <w:rPr>
          <w:lang w:eastAsia="fr-FR" w:bidi="fr-FR"/>
        </w:rPr>
        <w:t xml:space="preserve">ne et amener les dirigeants à choisir une voie plus constructive dans les affaires internationales. Comme il le dit lui-même, </w:t>
      </w:r>
      <w:r w:rsidRPr="00594A23">
        <w:t>« </w:t>
      </w:r>
      <w:r w:rsidRPr="00594A23">
        <w:rPr>
          <w:lang w:eastAsia="fr-FR" w:bidi="fr-FR"/>
        </w:rPr>
        <w:t>la d</w:t>
      </w:r>
      <w:r w:rsidRPr="00594A23">
        <w:rPr>
          <w:lang w:eastAsia="fr-FR" w:bidi="fr-FR"/>
        </w:rPr>
        <w:t>é</w:t>
      </w:r>
      <w:r w:rsidRPr="00594A23">
        <w:rPr>
          <w:lang w:eastAsia="fr-FR" w:bidi="fr-FR"/>
        </w:rPr>
        <w:t>mocratie et le libre-échange continueront de s’étendre, avec le temps, comme les principes présidant à l’organisation d’une grande partie du monde. [...] [L]e temps et les moyens sont du côté de la modernité, et je ne vois pas que la volonté de l’emporter manque dans l’Occident d’aujourd’hui</w:t>
      </w:r>
      <w:r>
        <w:rPr>
          <w:lang w:eastAsia="fr-FR" w:bidi="fr-FR"/>
        </w:rPr>
        <w:t> </w:t>
      </w:r>
      <w:r>
        <w:rPr>
          <w:rStyle w:val="Appelnotedebasdep"/>
          <w:lang w:eastAsia="fr-FR" w:bidi="fr-FR"/>
        </w:rPr>
        <w:footnoteReference w:id="301"/>
      </w:r>
      <w:r w:rsidRPr="00594A23">
        <w:t> »</w:t>
      </w:r>
      <w:r w:rsidRPr="00594A23">
        <w:rPr>
          <w:lang w:eastAsia="fr-FR" w:bidi="fr-FR"/>
        </w:rPr>
        <w:t>.</w:t>
      </w:r>
    </w:p>
    <w:p w14:paraId="79AFC91D" w14:textId="77777777" w:rsidR="0039793A" w:rsidRDefault="0039793A" w:rsidP="0039793A">
      <w:pPr>
        <w:spacing w:before="120" w:after="120"/>
        <w:jc w:val="both"/>
      </w:pPr>
      <w:r>
        <w:t>[127]</w:t>
      </w:r>
    </w:p>
    <w:p w14:paraId="67C368AD" w14:textId="77777777" w:rsidR="0039793A" w:rsidRDefault="0039793A" w:rsidP="0039793A">
      <w:pPr>
        <w:spacing w:before="120" w:after="120"/>
        <w:jc w:val="both"/>
      </w:pPr>
    </w:p>
    <w:p w14:paraId="4E939A86" w14:textId="77777777" w:rsidR="0039793A" w:rsidRPr="003114C5" w:rsidRDefault="0039793A" w:rsidP="0039793A">
      <w:pPr>
        <w:pStyle w:val="b"/>
      </w:pPr>
      <w:r w:rsidRPr="003114C5">
        <w:rPr>
          <w:lang w:eastAsia="fr-FR" w:bidi="fr-FR"/>
        </w:rPr>
        <w:t>Michael Mandelbaum</w:t>
      </w:r>
    </w:p>
    <w:p w14:paraId="0F9BF32E" w14:textId="77777777" w:rsidR="0039793A" w:rsidRDefault="0039793A" w:rsidP="0039793A">
      <w:pPr>
        <w:spacing w:before="120" w:after="120"/>
        <w:jc w:val="both"/>
        <w:rPr>
          <w:lang w:eastAsia="fr-FR" w:bidi="fr-FR"/>
        </w:rPr>
      </w:pPr>
    </w:p>
    <w:p w14:paraId="6CCCDFC9" w14:textId="77777777" w:rsidR="0039793A" w:rsidRPr="00594A23" w:rsidRDefault="0039793A" w:rsidP="0039793A">
      <w:pPr>
        <w:spacing w:before="120" w:after="120"/>
        <w:jc w:val="both"/>
      </w:pPr>
      <w:r w:rsidRPr="00594A23">
        <w:rPr>
          <w:lang w:eastAsia="fr-FR" w:bidi="fr-FR"/>
        </w:rPr>
        <w:t xml:space="preserve">Pragmatique, Michael Mandelbaum analyse la politique étrangère américaine des </w:t>
      </w:r>
      <w:r>
        <w:rPr>
          <w:lang w:eastAsia="fr-FR" w:bidi="fr-FR"/>
        </w:rPr>
        <w:t>État</w:t>
      </w:r>
      <w:r w:rsidRPr="00594A23">
        <w:rPr>
          <w:lang w:eastAsia="fr-FR" w:bidi="fr-FR"/>
        </w:rPr>
        <w:t>s-Unis en misant sur la force motrice des idées l</w:t>
      </w:r>
      <w:r w:rsidRPr="00594A23">
        <w:rPr>
          <w:lang w:eastAsia="fr-FR" w:bidi="fr-FR"/>
        </w:rPr>
        <w:t>i</w:t>
      </w:r>
      <w:r w:rsidRPr="00594A23">
        <w:rPr>
          <w:lang w:eastAsia="fr-FR" w:bidi="fr-FR"/>
        </w:rPr>
        <w:t>bérales depuis la fin de la première gue</w:t>
      </w:r>
      <w:r w:rsidRPr="00594A23">
        <w:rPr>
          <w:lang w:eastAsia="fr-FR" w:bidi="fr-FR"/>
        </w:rPr>
        <w:t>r</w:t>
      </w:r>
      <w:r w:rsidRPr="00594A23">
        <w:rPr>
          <w:lang w:eastAsia="fr-FR" w:bidi="fr-FR"/>
        </w:rPr>
        <w:t>re mondiale. Dans le monde imaginé par le président américain Woodrow Wilson, la paix, la d</w:t>
      </w:r>
      <w:r w:rsidRPr="00594A23">
        <w:rPr>
          <w:lang w:eastAsia="fr-FR" w:bidi="fr-FR"/>
        </w:rPr>
        <w:t>é</w:t>
      </w:r>
      <w:r w:rsidRPr="00594A23">
        <w:rPr>
          <w:lang w:eastAsia="fr-FR" w:bidi="fr-FR"/>
        </w:rPr>
        <w:t>mocratie et le libre marché s’affirment comme les idées maîtresses organisant les relations politiques, économiques et internationales. En libéral convaincu, Mandelbaum ne voit aucune opposition à cette tri</w:t>
      </w:r>
      <w:r w:rsidRPr="00594A23">
        <w:rPr>
          <w:lang w:eastAsia="fr-FR" w:bidi="fr-FR"/>
        </w:rPr>
        <w:t>a</w:t>
      </w:r>
      <w:r w:rsidRPr="00594A23">
        <w:rPr>
          <w:lang w:eastAsia="fr-FR" w:bidi="fr-FR"/>
        </w:rPr>
        <w:t>de wilsonienne</w:t>
      </w:r>
      <w:r w:rsidRPr="00594A23">
        <w:t> :</w:t>
      </w:r>
      <w:r w:rsidRPr="00594A23">
        <w:rPr>
          <w:lang w:eastAsia="fr-FR" w:bidi="fr-FR"/>
        </w:rPr>
        <w:t xml:space="preserve"> premièrement, la paix demeure la base préférée des relations entre les </w:t>
      </w:r>
      <w:r>
        <w:rPr>
          <w:lang w:eastAsia="fr-FR" w:bidi="fr-FR"/>
        </w:rPr>
        <w:t>État</w:t>
      </w:r>
      <w:r w:rsidRPr="00594A23">
        <w:rPr>
          <w:lang w:eastAsia="fr-FR" w:bidi="fr-FR"/>
        </w:rPr>
        <w:t>s</w:t>
      </w:r>
      <w:r w:rsidRPr="00594A23">
        <w:t> ;</w:t>
      </w:r>
      <w:r w:rsidRPr="00594A23">
        <w:rPr>
          <w:lang w:eastAsia="fr-FR" w:bidi="fr-FR"/>
        </w:rPr>
        <w:t xml:space="preserve"> deuxièmement, la démocratie est le moyen optimal d’organiser la vie polit</w:t>
      </w:r>
      <w:r w:rsidRPr="00594A23">
        <w:rPr>
          <w:lang w:eastAsia="fr-FR" w:bidi="fr-FR"/>
        </w:rPr>
        <w:t>i</w:t>
      </w:r>
      <w:r w:rsidRPr="00594A23">
        <w:rPr>
          <w:lang w:eastAsia="fr-FR" w:bidi="fr-FR"/>
        </w:rPr>
        <w:t>que et, troisièmement, le libre marché s’avère la source i</w:t>
      </w:r>
      <w:r w:rsidRPr="00594A23">
        <w:rPr>
          <w:lang w:eastAsia="fr-FR" w:bidi="fr-FR"/>
        </w:rPr>
        <w:t>n</w:t>
      </w:r>
      <w:r w:rsidRPr="00594A23">
        <w:rPr>
          <w:lang w:eastAsia="fr-FR" w:bidi="fr-FR"/>
        </w:rPr>
        <w:t>dispensable de création de la richesse. Si l’ordre internati</w:t>
      </w:r>
      <w:r w:rsidRPr="00594A23">
        <w:rPr>
          <w:lang w:eastAsia="fr-FR" w:bidi="fr-FR"/>
        </w:rPr>
        <w:t>o</w:t>
      </w:r>
      <w:r w:rsidRPr="00594A23">
        <w:rPr>
          <w:lang w:eastAsia="fr-FR" w:bidi="fr-FR"/>
        </w:rPr>
        <w:t xml:space="preserve">nal basé sur ces principes wilsoniens n’a atteint sa maturité qu’avec la fin de la guerre froide, il n’en demeure pas moins que les idées occidentales libérales ont dominé l’histoire politique du </w:t>
      </w:r>
      <w:r w:rsidRPr="00594A23">
        <w:t>XX</w:t>
      </w:r>
      <w:r w:rsidRPr="00594A23">
        <w:rPr>
          <w:vertAlign w:val="superscript"/>
        </w:rPr>
        <w:t>e</w:t>
      </w:r>
      <w:r w:rsidRPr="00594A23">
        <w:t xml:space="preserve"> </w:t>
      </w:r>
      <w:r w:rsidRPr="00594A23">
        <w:rPr>
          <w:lang w:eastAsia="fr-FR" w:bidi="fr-FR"/>
        </w:rPr>
        <w:t>siècle.</w:t>
      </w:r>
    </w:p>
    <w:p w14:paraId="0AB20514" w14:textId="77777777" w:rsidR="0039793A" w:rsidRPr="00594A23" w:rsidRDefault="0039793A" w:rsidP="0039793A">
      <w:pPr>
        <w:spacing w:before="120" w:after="120"/>
        <w:jc w:val="both"/>
      </w:pPr>
      <w:r w:rsidRPr="00594A23">
        <w:rPr>
          <w:lang w:eastAsia="fr-FR" w:bidi="fr-FR"/>
        </w:rPr>
        <w:t>D’anciens opposants au libéralisme politique wilsonien — comme l’Allemagne et le Japon — en sont aujourd’hui devenus des emblèmes de sa réussite globale</w:t>
      </w:r>
      <w:r>
        <w:rPr>
          <w:lang w:eastAsia="fr-FR" w:bidi="fr-FR"/>
        </w:rPr>
        <w:t> </w:t>
      </w:r>
      <w:r>
        <w:rPr>
          <w:rStyle w:val="Appelnotedebasdep"/>
          <w:lang w:eastAsia="fr-FR" w:bidi="fr-FR"/>
        </w:rPr>
        <w:footnoteReference w:id="302"/>
      </w:r>
      <w:r w:rsidRPr="00594A23">
        <w:rPr>
          <w:lang w:eastAsia="fr-FR" w:bidi="fr-FR"/>
        </w:rPr>
        <w:t>. Si ces deux principaux ennemis du libér</w:t>
      </w:r>
      <w:r w:rsidRPr="00594A23">
        <w:rPr>
          <w:lang w:eastAsia="fr-FR" w:bidi="fr-FR"/>
        </w:rPr>
        <w:t>a</w:t>
      </w:r>
      <w:r w:rsidRPr="00594A23">
        <w:rPr>
          <w:lang w:eastAsia="fr-FR" w:bidi="fr-FR"/>
        </w:rPr>
        <w:t>lisme durant l’entre-deux-guerres et la seconde guerre mondiale ont pu voir son pote</w:t>
      </w:r>
      <w:r w:rsidRPr="00594A23">
        <w:rPr>
          <w:lang w:eastAsia="fr-FR" w:bidi="fr-FR"/>
        </w:rPr>
        <w:t>n</w:t>
      </w:r>
      <w:r w:rsidRPr="00594A23">
        <w:rPr>
          <w:lang w:eastAsia="fr-FR" w:bidi="fr-FR"/>
        </w:rPr>
        <w:t xml:space="preserve">tiel de puissance économique, Mandelbaum est d’avis que la Russie et la Chine devraient en faire autant et </w:t>
      </w:r>
      <w:r w:rsidRPr="00594A23">
        <w:t>« </w:t>
      </w:r>
      <w:r w:rsidRPr="00594A23">
        <w:rPr>
          <w:lang w:eastAsia="fr-FR" w:bidi="fr-FR"/>
        </w:rPr>
        <w:t>s’occidentaliser</w:t>
      </w:r>
      <w:r w:rsidRPr="00594A23">
        <w:t> »</w:t>
      </w:r>
      <w:r w:rsidRPr="00594A23">
        <w:rPr>
          <w:lang w:eastAsia="fr-FR" w:bidi="fr-FR"/>
        </w:rPr>
        <w:t xml:space="preserve"> en embrassant le modèle érigé par Wi</w:t>
      </w:r>
      <w:r w:rsidRPr="00594A23">
        <w:rPr>
          <w:lang w:eastAsia="fr-FR" w:bidi="fr-FR"/>
        </w:rPr>
        <w:t>l</w:t>
      </w:r>
      <w:r w:rsidRPr="00594A23">
        <w:rPr>
          <w:lang w:eastAsia="fr-FR" w:bidi="fr-FR"/>
        </w:rPr>
        <w:t>son</w:t>
      </w:r>
      <w:r>
        <w:rPr>
          <w:lang w:eastAsia="fr-FR" w:bidi="fr-FR"/>
        </w:rPr>
        <w:t> </w:t>
      </w:r>
      <w:r>
        <w:rPr>
          <w:rStyle w:val="Appelnotedebasdep"/>
          <w:lang w:eastAsia="fr-FR" w:bidi="fr-FR"/>
        </w:rPr>
        <w:footnoteReference w:id="303"/>
      </w:r>
      <w:r w:rsidRPr="00594A23">
        <w:rPr>
          <w:lang w:eastAsia="fr-FR" w:bidi="fr-FR"/>
        </w:rPr>
        <w:t>. Ces deux grandes puissances ont, depuis la fin de la guerre froide, pou</w:t>
      </w:r>
      <w:r w:rsidRPr="00594A23">
        <w:rPr>
          <w:lang w:eastAsia="fr-FR" w:bidi="fr-FR"/>
        </w:rPr>
        <w:t>r</w:t>
      </w:r>
      <w:r w:rsidRPr="00594A23">
        <w:rPr>
          <w:lang w:eastAsia="fr-FR" w:bidi="fr-FR"/>
        </w:rPr>
        <w:t>suivi des politiques étrang</w:t>
      </w:r>
      <w:r w:rsidRPr="00594A23">
        <w:rPr>
          <w:lang w:eastAsia="fr-FR" w:bidi="fr-FR"/>
        </w:rPr>
        <w:t>è</w:t>
      </w:r>
      <w:r w:rsidRPr="00594A23">
        <w:rPr>
          <w:lang w:eastAsia="fr-FR" w:bidi="fr-FR"/>
        </w:rPr>
        <w:t>res plus ou moins pacifiques, adopté des politiques intérieures au mieux partiellement démocratiques et ouvert leur économie au l</w:t>
      </w:r>
      <w:r w:rsidRPr="00594A23">
        <w:rPr>
          <w:lang w:eastAsia="fr-FR" w:bidi="fr-FR"/>
        </w:rPr>
        <w:t>i</w:t>
      </w:r>
      <w:r w:rsidRPr="00594A23">
        <w:rPr>
          <w:lang w:eastAsia="fr-FR" w:bidi="fr-FR"/>
        </w:rPr>
        <w:t xml:space="preserve">bre marché. Mandelbaum croit cependant que l’utilisation directe de la puissance (par les </w:t>
      </w:r>
      <w:r>
        <w:rPr>
          <w:lang w:eastAsia="fr-FR" w:bidi="fr-FR"/>
        </w:rPr>
        <w:t>État</w:t>
      </w:r>
      <w:r w:rsidRPr="00594A23">
        <w:rPr>
          <w:lang w:eastAsia="fr-FR" w:bidi="fr-FR"/>
        </w:rPr>
        <w:t>s-Unis) peut difficil</w:t>
      </w:r>
      <w:r w:rsidRPr="00594A23">
        <w:rPr>
          <w:lang w:eastAsia="fr-FR" w:bidi="fr-FR"/>
        </w:rPr>
        <w:t>e</w:t>
      </w:r>
      <w:r w:rsidRPr="00594A23">
        <w:rPr>
          <w:lang w:eastAsia="fr-FR" w:bidi="fr-FR"/>
        </w:rPr>
        <w:t>ment mener la Russie et la Chine sur la voie du libéralisme démocr</w:t>
      </w:r>
      <w:r w:rsidRPr="00594A23">
        <w:rPr>
          <w:lang w:eastAsia="fr-FR" w:bidi="fr-FR"/>
        </w:rPr>
        <w:t>a</w:t>
      </w:r>
      <w:r w:rsidRPr="00594A23">
        <w:rPr>
          <w:lang w:eastAsia="fr-FR" w:bidi="fr-FR"/>
        </w:rPr>
        <w:t xml:space="preserve">tique et économique, laquelle passe inexorablement par la création d’un </w:t>
      </w:r>
      <w:r>
        <w:rPr>
          <w:lang w:eastAsia="fr-FR" w:bidi="fr-FR"/>
        </w:rPr>
        <w:t>État</w:t>
      </w:r>
      <w:r w:rsidRPr="00594A23">
        <w:rPr>
          <w:lang w:eastAsia="fr-FR" w:bidi="fr-FR"/>
        </w:rPr>
        <w:t xml:space="preserve"> libéral. Seul un changement de mentalité et de culture pol</w:t>
      </w:r>
      <w:r w:rsidRPr="00594A23">
        <w:rPr>
          <w:lang w:eastAsia="fr-FR" w:bidi="fr-FR"/>
        </w:rPr>
        <w:t>i</w:t>
      </w:r>
      <w:r w:rsidRPr="00594A23">
        <w:rPr>
          <w:lang w:eastAsia="fr-FR" w:bidi="fr-FR"/>
        </w:rPr>
        <w:t xml:space="preserve">tique au sein de ces </w:t>
      </w:r>
      <w:r>
        <w:rPr>
          <w:lang w:eastAsia="fr-FR" w:bidi="fr-FR"/>
        </w:rPr>
        <w:t>État</w:t>
      </w:r>
      <w:r w:rsidRPr="00594A23">
        <w:rPr>
          <w:lang w:eastAsia="fr-FR" w:bidi="fr-FR"/>
        </w:rPr>
        <w:t>s che</w:t>
      </w:r>
      <w:r w:rsidRPr="00594A23">
        <w:rPr>
          <w:lang w:eastAsia="fr-FR" w:bidi="fr-FR"/>
        </w:rPr>
        <w:t>r</w:t>
      </w:r>
      <w:r w:rsidRPr="00594A23">
        <w:rPr>
          <w:lang w:eastAsia="fr-FR" w:bidi="fr-FR"/>
        </w:rPr>
        <w:t>chant à imiter le modèle occidental et américain est à même de cha</w:t>
      </w:r>
      <w:r w:rsidRPr="00594A23">
        <w:rPr>
          <w:lang w:eastAsia="fr-FR" w:bidi="fr-FR"/>
        </w:rPr>
        <w:t>n</w:t>
      </w:r>
      <w:r w:rsidRPr="00594A23">
        <w:rPr>
          <w:lang w:eastAsia="fr-FR" w:bidi="fr-FR"/>
        </w:rPr>
        <w:t xml:space="preserve">ger </w:t>
      </w:r>
      <w:r>
        <w:rPr>
          <w:lang w:eastAsia="fr-FR" w:bidi="fr-FR"/>
        </w:rPr>
        <w:t>véritable</w:t>
      </w:r>
      <w:r w:rsidRPr="00594A23">
        <w:rPr>
          <w:lang w:eastAsia="fr-FR" w:bidi="fr-FR"/>
        </w:rPr>
        <w:t>ment</w:t>
      </w:r>
      <w:r>
        <w:t xml:space="preserve"> [128]</w:t>
      </w:r>
      <w:r w:rsidRPr="00594A23">
        <w:rPr>
          <w:lang w:eastAsia="fr-FR" w:bidi="fr-FR"/>
        </w:rPr>
        <w:t xml:space="preserve"> l’état des choses et de mener à des politiques étrangères pr</w:t>
      </w:r>
      <w:r w:rsidRPr="00594A23">
        <w:rPr>
          <w:lang w:eastAsia="fr-FR" w:bidi="fr-FR"/>
        </w:rPr>
        <w:t>o</w:t>
      </w:r>
      <w:r w:rsidRPr="00594A23">
        <w:rPr>
          <w:lang w:eastAsia="fr-FR" w:bidi="fr-FR"/>
        </w:rPr>
        <w:t>fondément pacifiques</w:t>
      </w:r>
      <w:r>
        <w:rPr>
          <w:lang w:eastAsia="fr-FR" w:bidi="fr-FR"/>
        </w:rPr>
        <w:t> </w:t>
      </w:r>
      <w:r>
        <w:rPr>
          <w:rStyle w:val="Appelnotedebasdep"/>
          <w:lang w:eastAsia="fr-FR" w:bidi="fr-FR"/>
        </w:rPr>
        <w:footnoteReference w:id="304"/>
      </w:r>
      <w:r w:rsidRPr="00594A23">
        <w:rPr>
          <w:lang w:eastAsia="fr-FR" w:bidi="fr-FR"/>
        </w:rPr>
        <w:t>.</w:t>
      </w:r>
    </w:p>
    <w:p w14:paraId="6A7988D6" w14:textId="77777777" w:rsidR="0039793A" w:rsidRPr="00594A23" w:rsidRDefault="0039793A" w:rsidP="0039793A">
      <w:pPr>
        <w:spacing w:before="120" w:after="120"/>
        <w:jc w:val="both"/>
      </w:pPr>
      <w:r w:rsidRPr="00594A23">
        <w:rPr>
          <w:lang w:eastAsia="fr-FR" w:bidi="fr-FR"/>
        </w:rPr>
        <w:t>Si Mandelbaum insiste sur ces deux grands joueurs de la politique internationale, c’est que leur conduite internation</w:t>
      </w:r>
      <w:r w:rsidRPr="00594A23">
        <w:rPr>
          <w:lang w:eastAsia="fr-FR" w:bidi="fr-FR"/>
        </w:rPr>
        <w:t>a</w:t>
      </w:r>
      <w:r w:rsidRPr="00594A23">
        <w:rPr>
          <w:lang w:eastAsia="fr-FR" w:bidi="fr-FR"/>
        </w:rPr>
        <w:t xml:space="preserve">le aura, au cours du </w:t>
      </w:r>
      <w:r w:rsidRPr="00594A23">
        <w:t>XXI</w:t>
      </w:r>
      <w:r w:rsidRPr="00594A23">
        <w:rPr>
          <w:vertAlign w:val="superscript"/>
        </w:rPr>
        <w:t>e</w:t>
      </w:r>
      <w:r w:rsidRPr="00594A23">
        <w:t xml:space="preserve"> </w:t>
      </w:r>
      <w:r w:rsidRPr="00594A23">
        <w:rPr>
          <w:lang w:eastAsia="fr-FR" w:bidi="fr-FR"/>
        </w:rPr>
        <w:t>siècle, un impact sur la nature de l’ordre international actuell</w:t>
      </w:r>
      <w:r w:rsidRPr="00594A23">
        <w:rPr>
          <w:lang w:eastAsia="fr-FR" w:bidi="fr-FR"/>
        </w:rPr>
        <w:t>e</w:t>
      </w:r>
      <w:r w:rsidRPr="00594A23">
        <w:rPr>
          <w:lang w:eastAsia="fr-FR" w:bidi="fr-FR"/>
        </w:rPr>
        <w:t>ment basé sur une concertation des grandes puissances et de la supe</w:t>
      </w:r>
      <w:r w:rsidRPr="00594A23">
        <w:rPr>
          <w:lang w:eastAsia="fr-FR" w:bidi="fr-FR"/>
        </w:rPr>
        <w:t>r</w:t>
      </w:r>
      <w:r w:rsidRPr="00594A23">
        <w:rPr>
          <w:lang w:eastAsia="fr-FR" w:bidi="fr-FR"/>
        </w:rPr>
        <w:t>puissance autour de grands idéaux</w:t>
      </w:r>
      <w:r>
        <w:rPr>
          <w:lang w:eastAsia="fr-FR" w:bidi="fr-FR"/>
        </w:rPr>
        <w:t> </w:t>
      </w:r>
      <w:r>
        <w:rPr>
          <w:rStyle w:val="Appelnotedebasdep"/>
          <w:lang w:eastAsia="fr-FR" w:bidi="fr-FR"/>
        </w:rPr>
        <w:footnoteReference w:id="305"/>
      </w:r>
      <w:r w:rsidRPr="00594A23">
        <w:rPr>
          <w:lang w:eastAsia="fr-FR" w:bidi="fr-FR"/>
        </w:rPr>
        <w:t>. Au centre de cet ordre, on retro</w:t>
      </w:r>
      <w:r w:rsidRPr="00594A23">
        <w:rPr>
          <w:lang w:eastAsia="fr-FR" w:bidi="fr-FR"/>
        </w:rPr>
        <w:t>u</w:t>
      </w:r>
      <w:r w:rsidRPr="00594A23">
        <w:rPr>
          <w:lang w:eastAsia="fr-FR" w:bidi="fr-FR"/>
        </w:rPr>
        <w:t xml:space="preserve">ve les </w:t>
      </w:r>
      <w:r>
        <w:rPr>
          <w:lang w:eastAsia="fr-FR" w:bidi="fr-FR"/>
        </w:rPr>
        <w:t>État</w:t>
      </w:r>
      <w:r w:rsidRPr="00594A23">
        <w:rPr>
          <w:lang w:eastAsia="fr-FR" w:bidi="fr-FR"/>
        </w:rPr>
        <w:t>s-Unis, forts de leur puissance militaire et économique pr</w:t>
      </w:r>
      <w:r w:rsidRPr="00594A23">
        <w:rPr>
          <w:lang w:eastAsia="fr-FR" w:bidi="fr-FR"/>
        </w:rPr>
        <w:t>é</w:t>
      </w:r>
      <w:r w:rsidRPr="00594A23">
        <w:rPr>
          <w:lang w:eastAsia="fr-FR" w:bidi="fr-FR"/>
        </w:rPr>
        <w:t>pondérante. Aux dires de Mandelbaum, le fait le plus notoire au tournant du millénaire est l’absence de guerre entre les grandes pui</w:t>
      </w:r>
      <w:r w:rsidRPr="00594A23">
        <w:rPr>
          <w:lang w:eastAsia="fr-FR" w:bidi="fr-FR"/>
        </w:rPr>
        <w:t>s</w:t>
      </w:r>
      <w:r w:rsidRPr="00594A23">
        <w:rPr>
          <w:lang w:eastAsia="fr-FR" w:bidi="fr-FR"/>
        </w:rPr>
        <w:t xml:space="preserve">sances. Apôtre pragmatique de la </w:t>
      </w:r>
      <w:r w:rsidRPr="004E1E0C">
        <w:rPr>
          <w:i/>
          <w:iCs/>
        </w:rPr>
        <w:t>pax democratica</w:t>
      </w:r>
      <w:r w:rsidRPr="00594A23">
        <w:t>,</w:t>
      </w:r>
      <w:r w:rsidRPr="00594A23">
        <w:rPr>
          <w:lang w:eastAsia="fr-FR" w:bidi="fr-FR"/>
        </w:rPr>
        <w:t xml:space="preserve"> il considère tout</w:t>
      </w:r>
      <w:r w:rsidRPr="00594A23">
        <w:rPr>
          <w:lang w:eastAsia="fr-FR" w:bidi="fr-FR"/>
        </w:rPr>
        <w:t>e</w:t>
      </w:r>
      <w:r w:rsidRPr="00594A23">
        <w:rPr>
          <w:lang w:eastAsia="fr-FR" w:bidi="fr-FR"/>
        </w:rPr>
        <w:t>fois, en raison de la réalité politique, que le maintien de cet ordre lib</w:t>
      </w:r>
      <w:r w:rsidRPr="00594A23">
        <w:rPr>
          <w:lang w:eastAsia="fr-FR" w:bidi="fr-FR"/>
        </w:rPr>
        <w:t>é</w:t>
      </w:r>
      <w:r w:rsidRPr="00594A23">
        <w:rPr>
          <w:lang w:eastAsia="fr-FR" w:bidi="fr-FR"/>
        </w:rPr>
        <w:t>ral wilsonien repose sur ,1a capacité des États-Unis à accepter les re</w:t>
      </w:r>
      <w:r w:rsidRPr="00594A23">
        <w:rPr>
          <w:lang w:eastAsia="fr-FR" w:bidi="fr-FR"/>
        </w:rPr>
        <w:t>s</w:t>
      </w:r>
      <w:r w:rsidRPr="00594A23">
        <w:rPr>
          <w:lang w:eastAsia="fr-FR" w:bidi="fr-FR"/>
        </w:rPr>
        <w:t>ponsabilités de défense, de maintien des institutions et les prat</w:t>
      </w:r>
      <w:r w:rsidRPr="00594A23">
        <w:rPr>
          <w:lang w:eastAsia="fr-FR" w:bidi="fr-FR"/>
        </w:rPr>
        <w:t>i</w:t>
      </w:r>
      <w:r w:rsidRPr="00594A23">
        <w:rPr>
          <w:lang w:eastAsia="fr-FR" w:bidi="fr-FR"/>
        </w:rPr>
        <w:t>ques de celui-ci.</w:t>
      </w:r>
    </w:p>
    <w:p w14:paraId="538358E6" w14:textId="77777777" w:rsidR="0039793A" w:rsidRPr="00DA0504" w:rsidRDefault="0039793A" w:rsidP="0039793A">
      <w:pPr>
        <w:jc w:val="both"/>
        <w:rPr>
          <w:sz w:val="20"/>
          <w:lang w:eastAsia="fr-FR" w:bidi="fr-FR"/>
        </w:rPr>
      </w:pPr>
    </w:p>
    <w:p w14:paraId="70F6639E" w14:textId="77777777" w:rsidR="0039793A" w:rsidRPr="004E1E0C" w:rsidRDefault="0039793A" w:rsidP="0039793A">
      <w:pPr>
        <w:pStyle w:val="planche"/>
      </w:pPr>
      <w:bookmarkStart w:id="18" w:name="Pol_EU_pt_1_chap_04_3"/>
      <w:r w:rsidRPr="004E1E0C">
        <w:rPr>
          <w:lang w:eastAsia="fr-FR" w:bidi="fr-FR"/>
        </w:rPr>
        <w:t>Le minimalisme par l'abstention</w:t>
      </w:r>
      <w:r>
        <w:rPr>
          <w:lang w:eastAsia="fr-FR" w:bidi="fr-FR"/>
        </w:rPr>
        <w:br/>
      </w:r>
      <w:r w:rsidRPr="004E1E0C">
        <w:rPr>
          <w:lang w:eastAsia="fr-FR" w:bidi="fr-FR"/>
        </w:rPr>
        <w:t>au niveau internati</w:t>
      </w:r>
      <w:r w:rsidRPr="004E1E0C">
        <w:rPr>
          <w:lang w:eastAsia="fr-FR" w:bidi="fr-FR"/>
        </w:rPr>
        <w:t>o</w:t>
      </w:r>
      <w:r w:rsidRPr="004E1E0C">
        <w:rPr>
          <w:lang w:eastAsia="fr-FR" w:bidi="fr-FR"/>
        </w:rPr>
        <w:t>nal</w:t>
      </w:r>
    </w:p>
    <w:bookmarkEnd w:id="18"/>
    <w:p w14:paraId="37588C1A" w14:textId="77777777" w:rsidR="0039793A" w:rsidRPr="00DA0504" w:rsidRDefault="0039793A" w:rsidP="0039793A">
      <w:pPr>
        <w:jc w:val="both"/>
        <w:rPr>
          <w:sz w:val="20"/>
          <w:lang w:eastAsia="fr-FR" w:bidi="fr-FR"/>
        </w:rPr>
      </w:pPr>
    </w:p>
    <w:p w14:paraId="5B0383E8"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0E8398B" w14:textId="77777777" w:rsidR="0039793A" w:rsidRPr="00594A23" w:rsidRDefault="0039793A" w:rsidP="0039793A">
      <w:pPr>
        <w:spacing w:before="120" w:after="120"/>
        <w:jc w:val="both"/>
      </w:pPr>
      <w:r w:rsidRPr="00594A23">
        <w:rPr>
          <w:lang w:eastAsia="fr-FR" w:bidi="fr-FR"/>
        </w:rPr>
        <w:t>Les écoles souverainistes, mondialistes et isolationnistes anti- mondialistes sont des approches minimalistes qui pr</w:t>
      </w:r>
      <w:r w:rsidRPr="00594A23">
        <w:rPr>
          <w:lang w:eastAsia="fr-FR" w:bidi="fr-FR"/>
        </w:rPr>
        <w:t>é</w:t>
      </w:r>
      <w:r w:rsidRPr="00594A23">
        <w:rPr>
          <w:lang w:eastAsia="fr-FR" w:bidi="fr-FR"/>
        </w:rPr>
        <w:t>conisent une non-intervention des États-Unis dans les affaires internationales, pr</w:t>
      </w:r>
      <w:r w:rsidRPr="00594A23">
        <w:rPr>
          <w:lang w:eastAsia="fr-FR" w:bidi="fr-FR"/>
        </w:rPr>
        <w:t>é</w:t>
      </w:r>
      <w:r w:rsidRPr="00594A23">
        <w:rPr>
          <w:lang w:eastAsia="fr-FR" w:bidi="fr-FR"/>
        </w:rPr>
        <w:t>férant les voir effectuer un repli str</w:t>
      </w:r>
      <w:r w:rsidRPr="00594A23">
        <w:rPr>
          <w:lang w:eastAsia="fr-FR" w:bidi="fr-FR"/>
        </w:rPr>
        <w:t>a</w:t>
      </w:r>
      <w:r w:rsidRPr="00594A23">
        <w:rPr>
          <w:lang w:eastAsia="fr-FR" w:bidi="fr-FR"/>
        </w:rPr>
        <w:t>tégique et abandonner leur rôle actif sur la scène internati</w:t>
      </w:r>
      <w:r w:rsidRPr="00594A23">
        <w:rPr>
          <w:lang w:eastAsia="fr-FR" w:bidi="fr-FR"/>
        </w:rPr>
        <w:t>o</w:t>
      </w:r>
      <w:r w:rsidRPr="00594A23">
        <w:rPr>
          <w:lang w:eastAsia="fr-FR" w:bidi="fr-FR"/>
        </w:rPr>
        <w:t>nale.</w:t>
      </w:r>
    </w:p>
    <w:p w14:paraId="57F4504D" w14:textId="77777777" w:rsidR="0039793A" w:rsidRDefault="0039793A" w:rsidP="0039793A">
      <w:pPr>
        <w:spacing w:before="120" w:after="120"/>
        <w:jc w:val="both"/>
        <w:rPr>
          <w:lang w:eastAsia="fr-FR" w:bidi="fr-FR"/>
        </w:rPr>
      </w:pPr>
    </w:p>
    <w:p w14:paraId="52B98CC3" w14:textId="77777777" w:rsidR="0039793A" w:rsidRPr="00594A23" w:rsidRDefault="0039793A" w:rsidP="0039793A">
      <w:pPr>
        <w:pStyle w:val="a"/>
      </w:pPr>
      <w:r w:rsidRPr="00594A23">
        <w:t>L’école souverainiste</w:t>
      </w:r>
    </w:p>
    <w:p w14:paraId="3359F92C" w14:textId="77777777" w:rsidR="0039793A" w:rsidRPr="00DA0504" w:rsidRDefault="0039793A" w:rsidP="0039793A">
      <w:pPr>
        <w:jc w:val="both"/>
        <w:rPr>
          <w:sz w:val="20"/>
          <w:lang w:eastAsia="fr-FR" w:bidi="fr-FR"/>
        </w:rPr>
      </w:pPr>
    </w:p>
    <w:p w14:paraId="1DB8C8C8" w14:textId="77777777" w:rsidR="0039793A" w:rsidRPr="00594A23" w:rsidRDefault="0039793A" w:rsidP="0039793A">
      <w:pPr>
        <w:spacing w:before="120" w:after="120"/>
        <w:jc w:val="both"/>
      </w:pPr>
      <w:r w:rsidRPr="00594A23">
        <w:rPr>
          <w:lang w:eastAsia="fr-FR" w:bidi="fr-FR"/>
        </w:rPr>
        <w:t>Les souverainistes veulent avant tout protéger la souv</w:t>
      </w:r>
      <w:r w:rsidRPr="00594A23">
        <w:rPr>
          <w:lang w:eastAsia="fr-FR" w:bidi="fr-FR"/>
        </w:rPr>
        <w:t>e</w:t>
      </w:r>
      <w:r w:rsidRPr="00594A23">
        <w:rPr>
          <w:lang w:eastAsia="fr-FR" w:bidi="fr-FR"/>
        </w:rPr>
        <w:t>raineté des États-Unis. Cela se traduit immédiatement dans leur conception de la hiérarchie des normes</w:t>
      </w:r>
      <w:r w:rsidRPr="00594A23">
        <w:t> :</w:t>
      </w:r>
      <w:r w:rsidRPr="00594A23">
        <w:rPr>
          <w:lang w:eastAsia="fr-FR" w:bidi="fr-FR"/>
        </w:rPr>
        <w:t xml:space="preserve"> la Constitution doit primer sur toute conve</w:t>
      </w:r>
      <w:r w:rsidRPr="00594A23">
        <w:rPr>
          <w:lang w:eastAsia="fr-FR" w:bidi="fr-FR"/>
        </w:rPr>
        <w:t>n</w:t>
      </w:r>
      <w:r w:rsidRPr="00594A23">
        <w:rPr>
          <w:lang w:eastAsia="fr-FR" w:bidi="fr-FR"/>
        </w:rPr>
        <w:t>tion internationale. Maintenant que la guerre froide est terminée, ils croient qu’un retour à l’isolationnisme est possible</w:t>
      </w:r>
      <w:r w:rsidRPr="00594A23">
        <w:t> :</w:t>
      </w:r>
      <w:r w:rsidRPr="00594A23">
        <w:rPr>
          <w:lang w:eastAsia="fr-FR" w:bidi="fr-FR"/>
        </w:rPr>
        <w:t xml:space="preserve"> il n’est en effet plus nécessa</w:t>
      </w:r>
      <w:r w:rsidRPr="00594A23">
        <w:rPr>
          <w:lang w:eastAsia="fr-FR" w:bidi="fr-FR"/>
        </w:rPr>
        <w:t>i</w:t>
      </w:r>
      <w:r w:rsidRPr="00594A23">
        <w:rPr>
          <w:lang w:eastAsia="fr-FR" w:bidi="fr-FR"/>
        </w:rPr>
        <w:t xml:space="preserve">re de protéger les États-Unis depuis l’étranger </w:t>
      </w:r>
      <w:r w:rsidRPr="00594A23">
        <w:t>(</w:t>
      </w:r>
      <w:r w:rsidRPr="004E1E0C">
        <w:rPr>
          <w:i/>
          <w:iCs/>
        </w:rPr>
        <w:t>from abroad</w:t>
      </w:r>
      <w:r w:rsidRPr="00594A23">
        <w:t>).</w:t>
      </w:r>
      <w:r w:rsidRPr="00594A23">
        <w:rPr>
          <w:lang w:eastAsia="fr-FR" w:bidi="fr-FR"/>
        </w:rPr>
        <w:t xml:space="preserve"> Ils croient plutôt qu’il faut assurer la défense de la </w:t>
      </w:r>
      <w:r w:rsidRPr="00594A23">
        <w:t>« </w:t>
      </w:r>
      <w:r w:rsidRPr="00594A23">
        <w:rPr>
          <w:lang w:eastAsia="fr-FR" w:bidi="fr-FR"/>
        </w:rPr>
        <w:t>Forteresse Amérique</w:t>
      </w:r>
      <w:r w:rsidRPr="00594A23">
        <w:t> »</w:t>
      </w:r>
      <w:r>
        <w:rPr>
          <w:lang w:eastAsia="fr-FR" w:bidi="fr-FR"/>
        </w:rPr>
        <w:t>, rapa</w:t>
      </w:r>
      <w:r w:rsidRPr="00594A23">
        <w:rPr>
          <w:lang w:eastAsia="fr-FR" w:bidi="fr-FR"/>
        </w:rPr>
        <w:t>trier</w:t>
      </w:r>
      <w:r>
        <w:t xml:space="preserve"> [129]</w:t>
      </w:r>
      <w:r w:rsidRPr="00594A23">
        <w:rPr>
          <w:lang w:eastAsia="fr-FR" w:bidi="fr-FR"/>
        </w:rPr>
        <w:t xml:space="preserve"> les troupes américaines st</w:t>
      </w:r>
      <w:r w:rsidRPr="00594A23">
        <w:rPr>
          <w:lang w:eastAsia="fr-FR" w:bidi="fr-FR"/>
        </w:rPr>
        <w:t>a</w:t>
      </w:r>
      <w:r w:rsidRPr="00594A23">
        <w:rPr>
          <w:lang w:eastAsia="fr-FR" w:bidi="fr-FR"/>
        </w:rPr>
        <w:t>tionnées à l’étranger et se retirer des mécanismes de sécurité et de d</w:t>
      </w:r>
      <w:r w:rsidRPr="00594A23">
        <w:rPr>
          <w:lang w:eastAsia="fr-FR" w:bidi="fr-FR"/>
        </w:rPr>
        <w:t>é</w:t>
      </w:r>
      <w:r w:rsidRPr="00594A23">
        <w:rPr>
          <w:lang w:eastAsia="fr-FR" w:bidi="fr-FR"/>
        </w:rPr>
        <w:t>fense collectives. En définit</w:t>
      </w:r>
      <w:r w:rsidRPr="00594A23">
        <w:rPr>
          <w:lang w:eastAsia="fr-FR" w:bidi="fr-FR"/>
        </w:rPr>
        <w:t>i</w:t>
      </w:r>
      <w:r w:rsidRPr="00594A23">
        <w:rPr>
          <w:lang w:eastAsia="fr-FR" w:bidi="fr-FR"/>
        </w:rPr>
        <w:t>ve, les États-Unis doivent se désengager sur le plan international et rev</w:t>
      </w:r>
      <w:r w:rsidRPr="00594A23">
        <w:rPr>
          <w:lang w:eastAsia="fr-FR" w:bidi="fr-FR"/>
        </w:rPr>
        <w:t>e</w:t>
      </w:r>
      <w:r w:rsidRPr="00594A23">
        <w:rPr>
          <w:lang w:eastAsia="fr-FR" w:bidi="fr-FR"/>
        </w:rPr>
        <w:t xml:space="preserve">nir à un rôle plus restreint et plus sûr de </w:t>
      </w:r>
      <w:r w:rsidRPr="00594A23">
        <w:t>« </w:t>
      </w:r>
      <w:r w:rsidRPr="00594A23">
        <w:rPr>
          <w:lang w:eastAsia="fr-FR" w:bidi="fr-FR"/>
        </w:rPr>
        <w:t>réserve stratégique</w:t>
      </w:r>
      <w:r w:rsidRPr="00594A23">
        <w:t> »</w:t>
      </w:r>
      <w:r w:rsidRPr="00594A23">
        <w:rPr>
          <w:lang w:eastAsia="fr-FR" w:bidi="fr-FR"/>
        </w:rPr>
        <w:t xml:space="preserve"> de l’Ouest.</w:t>
      </w:r>
    </w:p>
    <w:p w14:paraId="54FB522F" w14:textId="77777777" w:rsidR="0039793A" w:rsidRPr="00DA0504" w:rsidRDefault="0039793A" w:rsidP="0039793A">
      <w:pPr>
        <w:jc w:val="both"/>
        <w:rPr>
          <w:sz w:val="20"/>
          <w:lang w:eastAsia="fr-FR" w:bidi="fr-FR"/>
        </w:rPr>
      </w:pPr>
    </w:p>
    <w:p w14:paraId="488CB163" w14:textId="77777777" w:rsidR="0039793A" w:rsidRPr="004E1E0C" w:rsidRDefault="0039793A" w:rsidP="0039793A">
      <w:pPr>
        <w:pStyle w:val="b"/>
      </w:pPr>
      <w:r w:rsidRPr="004E1E0C">
        <w:rPr>
          <w:lang w:eastAsia="fr-FR" w:bidi="fr-FR"/>
        </w:rPr>
        <w:t>Jeremy Rabkin</w:t>
      </w:r>
    </w:p>
    <w:p w14:paraId="587DF469" w14:textId="77777777" w:rsidR="0039793A" w:rsidRPr="00DA0504" w:rsidRDefault="0039793A" w:rsidP="0039793A">
      <w:pPr>
        <w:jc w:val="both"/>
        <w:rPr>
          <w:sz w:val="20"/>
          <w:lang w:eastAsia="fr-FR" w:bidi="fr-FR"/>
        </w:rPr>
      </w:pPr>
    </w:p>
    <w:p w14:paraId="73164AFD" w14:textId="77777777" w:rsidR="0039793A" w:rsidRPr="00594A23" w:rsidRDefault="0039793A" w:rsidP="0039793A">
      <w:pPr>
        <w:spacing w:before="120" w:after="120"/>
        <w:jc w:val="both"/>
      </w:pPr>
      <w:r w:rsidRPr="00594A23">
        <w:rPr>
          <w:lang w:eastAsia="fr-FR" w:bidi="fr-FR"/>
        </w:rPr>
        <w:t>Pour le souverainiste Jeremy Rabkin, la souveraineté des États-Unis est menacée d’un côté par le rôle prépondérant joué par les États-Unis depuis la seconde guerre mondiale et de l’autre par l’accroissement des pouvoirs de politique étrangère de la présidence au détriment du Congrès.</w:t>
      </w:r>
    </w:p>
    <w:p w14:paraId="3947CCDD" w14:textId="77777777" w:rsidR="0039793A" w:rsidRPr="00594A23" w:rsidRDefault="0039793A" w:rsidP="0039793A">
      <w:pPr>
        <w:spacing w:before="120" w:after="120"/>
        <w:jc w:val="both"/>
      </w:pPr>
      <w:r w:rsidRPr="00594A23">
        <w:rPr>
          <w:lang w:eastAsia="fr-FR" w:bidi="fr-FR"/>
        </w:rPr>
        <w:t>Ce qui inquiète tout particulièrement Rabkin, c’est la s</w:t>
      </w:r>
      <w:r w:rsidRPr="00594A23">
        <w:rPr>
          <w:lang w:eastAsia="fr-FR" w:bidi="fr-FR"/>
        </w:rPr>
        <w:t>i</w:t>
      </w:r>
      <w:r w:rsidRPr="00594A23">
        <w:rPr>
          <w:lang w:eastAsia="fr-FR" w:bidi="fr-FR"/>
        </w:rPr>
        <w:t>gnature de nombreuses conventions internationales en fo</w:t>
      </w:r>
      <w:r w:rsidRPr="00594A23">
        <w:rPr>
          <w:lang w:eastAsia="fr-FR" w:bidi="fr-FR"/>
        </w:rPr>
        <w:t>r</w:t>
      </w:r>
      <w:r w:rsidRPr="00594A23">
        <w:rPr>
          <w:lang w:eastAsia="fr-FR" w:bidi="fr-FR"/>
        </w:rPr>
        <w:t>me d’accords exécutifs par les présidents, c’est-à-dire sans l’approbation du Sénat, contrair</w:t>
      </w:r>
      <w:r w:rsidRPr="00594A23">
        <w:rPr>
          <w:lang w:eastAsia="fr-FR" w:bidi="fr-FR"/>
        </w:rPr>
        <w:t>e</w:t>
      </w:r>
      <w:r w:rsidRPr="00594A23">
        <w:rPr>
          <w:lang w:eastAsia="fr-FR" w:bidi="fr-FR"/>
        </w:rPr>
        <w:t>ment à ce que requière la Constitution. Rabkin soutient que le Congrès devrait reg</w:t>
      </w:r>
      <w:r w:rsidRPr="00594A23">
        <w:rPr>
          <w:lang w:eastAsia="fr-FR" w:bidi="fr-FR"/>
        </w:rPr>
        <w:t>a</w:t>
      </w:r>
      <w:r w:rsidRPr="00594A23">
        <w:rPr>
          <w:lang w:eastAsia="fr-FR" w:bidi="fr-FR"/>
        </w:rPr>
        <w:t>gner ses fonctions traditionnelles. De façon fondamentale, il réfute toute forme de supranationalité, puisque par essence, elle alt</w:t>
      </w:r>
      <w:r w:rsidRPr="00594A23">
        <w:rPr>
          <w:lang w:eastAsia="fr-FR" w:bidi="fr-FR"/>
        </w:rPr>
        <w:t>é</w:t>
      </w:r>
      <w:r w:rsidRPr="00594A23">
        <w:rPr>
          <w:lang w:eastAsia="fr-FR" w:bidi="fr-FR"/>
        </w:rPr>
        <w:t>rera la souveraineté des États-Unis, qui doit pourtant toujours pr</w:t>
      </w:r>
      <w:r w:rsidRPr="00594A23">
        <w:rPr>
          <w:lang w:eastAsia="fr-FR" w:bidi="fr-FR"/>
        </w:rPr>
        <w:t>i</w:t>
      </w:r>
      <w:r w:rsidRPr="00594A23">
        <w:rPr>
          <w:lang w:eastAsia="fr-FR" w:bidi="fr-FR"/>
        </w:rPr>
        <w:t>mer</w:t>
      </w:r>
      <w:r>
        <w:rPr>
          <w:lang w:eastAsia="fr-FR" w:bidi="fr-FR"/>
        </w:rPr>
        <w:t> </w:t>
      </w:r>
      <w:r>
        <w:rPr>
          <w:rStyle w:val="Appelnotedebasdep"/>
          <w:lang w:eastAsia="fr-FR" w:bidi="fr-FR"/>
        </w:rPr>
        <w:footnoteReference w:id="306"/>
      </w:r>
      <w:r w:rsidRPr="00594A23">
        <w:rPr>
          <w:lang w:eastAsia="fr-FR" w:bidi="fr-FR"/>
        </w:rPr>
        <w:t>.</w:t>
      </w:r>
    </w:p>
    <w:p w14:paraId="128B04FE" w14:textId="77777777" w:rsidR="0039793A" w:rsidRPr="00594A23" w:rsidRDefault="0039793A" w:rsidP="0039793A">
      <w:pPr>
        <w:spacing w:before="120" w:after="120"/>
        <w:jc w:val="both"/>
      </w:pPr>
      <w:r w:rsidRPr="00594A23">
        <w:rPr>
          <w:lang w:eastAsia="fr-FR" w:bidi="fr-FR"/>
        </w:rPr>
        <w:t>Pour Rabkin, le droit international désigne le droit qui régit les r</w:t>
      </w:r>
      <w:r w:rsidRPr="00594A23">
        <w:rPr>
          <w:lang w:eastAsia="fr-FR" w:bidi="fr-FR"/>
        </w:rPr>
        <w:t>e</w:t>
      </w:r>
      <w:r w:rsidRPr="00594A23">
        <w:rPr>
          <w:lang w:eastAsia="fr-FR" w:bidi="fr-FR"/>
        </w:rPr>
        <w:t>lations entre les nations et qui ne doit en aucun cas interférer dans le gouvernement d’un État</w:t>
      </w:r>
      <w:r>
        <w:rPr>
          <w:lang w:eastAsia="fr-FR" w:bidi="fr-FR"/>
        </w:rPr>
        <w:t> </w:t>
      </w:r>
      <w:r>
        <w:rPr>
          <w:rStyle w:val="Appelnotedebasdep"/>
          <w:lang w:eastAsia="fr-FR" w:bidi="fr-FR"/>
        </w:rPr>
        <w:footnoteReference w:id="307"/>
      </w:r>
      <w:r w:rsidRPr="00594A23">
        <w:rPr>
          <w:lang w:eastAsia="fr-FR" w:bidi="fr-FR"/>
        </w:rPr>
        <w:t>. Le droit international est, dans cette per</w:t>
      </w:r>
      <w:r w:rsidRPr="00594A23">
        <w:rPr>
          <w:lang w:eastAsia="fr-FR" w:bidi="fr-FR"/>
        </w:rPr>
        <w:t>s</w:t>
      </w:r>
      <w:r w:rsidRPr="00594A23">
        <w:rPr>
          <w:lang w:eastAsia="fr-FR" w:bidi="fr-FR"/>
        </w:rPr>
        <w:t>pective, le droit consenti par les États souverains (et non imposé par une entité supranationale) - et appliqué dans le strict respect de la so</w:t>
      </w:r>
      <w:r w:rsidRPr="00594A23">
        <w:rPr>
          <w:lang w:eastAsia="fr-FR" w:bidi="fr-FR"/>
        </w:rPr>
        <w:t>u</w:t>
      </w:r>
      <w:r w:rsidRPr="00594A23">
        <w:rPr>
          <w:lang w:eastAsia="fr-FR" w:bidi="fr-FR"/>
        </w:rPr>
        <w:t>veraineté de chacun des États. Même si les États-Unis ont été à l’origine de la création de nombreuses institutions intern</w:t>
      </w:r>
      <w:r w:rsidRPr="00594A23">
        <w:rPr>
          <w:lang w:eastAsia="fr-FR" w:bidi="fr-FR"/>
        </w:rPr>
        <w:t>a</w:t>
      </w:r>
      <w:r w:rsidRPr="00594A23">
        <w:rPr>
          <w:lang w:eastAsia="fr-FR" w:bidi="fr-FR"/>
        </w:rPr>
        <w:t>tionales et ont été les instigateurs des tribunaux pénaux internationaux de N</w:t>
      </w:r>
      <w:r w:rsidRPr="00594A23">
        <w:rPr>
          <w:lang w:eastAsia="fr-FR" w:bidi="fr-FR"/>
        </w:rPr>
        <w:t>u</w:t>
      </w:r>
      <w:r w:rsidRPr="00594A23">
        <w:rPr>
          <w:lang w:eastAsia="fr-FR" w:bidi="fr-FR"/>
        </w:rPr>
        <w:t>remberg et de La Haye, les souveraini</w:t>
      </w:r>
      <w:r w:rsidRPr="00594A23">
        <w:rPr>
          <w:lang w:eastAsia="fr-FR" w:bidi="fr-FR"/>
        </w:rPr>
        <w:t>s</w:t>
      </w:r>
      <w:r w:rsidRPr="00594A23">
        <w:rPr>
          <w:lang w:eastAsia="fr-FR" w:bidi="fr-FR"/>
        </w:rPr>
        <w:t>tes comme Rabkin soulignent le fait que les États-Unis ont toujours été réticents à reconnaître une autorité qui préva</w:t>
      </w:r>
      <w:r w:rsidRPr="00594A23">
        <w:rPr>
          <w:lang w:eastAsia="fr-FR" w:bidi="fr-FR"/>
        </w:rPr>
        <w:t>u</w:t>
      </w:r>
      <w:r w:rsidRPr="00594A23">
        <w:rPr>
          <w:lang w:eastAsia="fr-FR" w:bidi="fr-FR"/>
        </w:rPr>
        <w:t xml:space="preserve">drait sur leur Constitution. Ainsi, Rabkin évoque le cas des personnes, capturées dans le cadre de l’opération </w:t>
      </w:r>
      <w:r w:rsidRPr="004E1E0C">
        <w:rPr>
          <w:i/>
          <w:iCs/>
        </w:rPr>
        <w:t>Liberté i</w:t>
      </w:r>
      <w:r w:rsidRPr="004E1E0C">
        <w:rPr>
          <w:i/>
          <w:iCs/>
        </w:rPr>
        <w:t>m</w:t>
      </w:r>
      <w:r w:rsidRPr="004E1E0C">
        <w:rPr>
          <w:i/>
          <w:iCs/>
        </w:rPr>
        <w:t>muable</w:t>
      </w:r>
      <w:r w:rsidRPr="00594A23">
        <w:rPr>
          <w:lang w:eastAsia="fr-FR" w:bidi="fr-FR"/>
        </w:rPr>
        <w:t xml:space="preserve"> en Afghanistan et détenus à la base navale amér</w:t>
      </w:r>
      <w:r w:rsidRPr="00594A23">
        <w:rPr>
          <w:lang w:eastAsia="fr-FR" w:bidi="fr-FR"/>
        </w:rPr>
        <w:t>i</w:t>
      </w:r>
      <w:r w:rsidRPr="00594A23">
        <w:rPr>
          <w:lang w:eastAsia="fr-FR" w:bidi="fr-FR"/>
        </w:rPr>
        <w:t>caine de Guant</w:t>
      </w:r>
      <w:r>
        <w:rPr>
          <w:lang w:eastAsia="fr-FR" w:bidi="fr-FR"/>
        </w:rPr>
        <w:t>á</w:t>
      </w:r>
      <w:r w:rsidRPr="00594A23">
        <w:rPr>
          <w:lang w:eastAsia="fr-FR" w:bidi="fr-FR"/>
        </w:rPr>
        <w:t>namo (Cuba)</w:t>
      </w:r>
      <w:r w:rsidRPr="00594A23">
        <w:t> :</w:t>
      </w:r>
      <w:r w:rsidRPr="00594A23">
        <w:rPr>
          <w:lang w:eastAsia="fr-FR" w:bidi="fr-FR"/>
        </w:rPr>
        <w:t xml:space="preserve"> tandis que le statut de ces captifs fait</w:t>
      </w:r>
      <w:r>
        <w:t xml:space="preserve"> [130] </w:t>
      </w:r>
      <w:r w:rsidRPr="00594A23">
        <w:rPr>
          <w:lang w:eastAsia="fr-FR" w:bidi="fr-FR"/>
        </w:rPr>
        <w:t xml:space="preserve">l’objet d’abondantes arguties juridiques, Rabkin est d’avis que les </w:t>
      </w:r>
      <w:r>
        <w:rPr>
          <w:lang w:eastAsia="fr-FR" w:bidi="fr-FR"/>
        </w:rPr>
        <w:t>État</w:t>
      </w:r>
      <w:r w:rsidRPr="00594A23">
        <w:rPr>
          <w:lang w:eastAsia="fr-FR" w:bidi="fr-FR"/>
        </w:rPr>
        <w:t>s-Unis ne doivent pas déléguer leurs re</w:t>
      </w:r>
      <w:r w:rsidRPr="00594A23">
        <w:rPr>
          <w:lang w:eastAsia="fr-FR" w:bidi="fr-FR"/>
        </w:rPr>
        <w:t>s</w:t>
      </w:r>
      <w:r w:rsidRPr="00594A23">
        <w:rPr>
          <w:lang w:eastAsia="fr-FR" w:bidi="fr-FR"/>
        </w:rPr>
        <w:t>ponsabilités de défense nationale à des instances autres que les leurs</w:t>
      </w:r>
      <w:r w:rsidRPr="00594A23">
        <w:t> ;</w:t>
      </w:r>
      <w:r w:rsidRPr="00594A23">
        <w:rPr>
          <w:lang w:eastAsia="fr-FR" w:bidi="fr-FR"/>
        </w:rPr>
        <w:t xml:space="preserve"> c’est là une décision relevant de leur droit souv</w:t>
      </w:r>
      <w:r w:rsidRPr="00594A23">
        <w:rPr>
          <w:lang w:eastAsia="fr-FR" w:bidi="fr-FR"/>
        </w:rPr>
        <w:t>e</w:t>
      </w:r>
      <w:r w:rsidRPr="00594A23">
        <w:rPr>
          <w:lang w:eastAsia="fr-FR" w:bidi="fr-FR"/>
        </w:rPr>
        <w:t>rain</w:t>
      </w:r>
      <w:r>
        <w:rPr>
          <w:lang w:eastAsia="fr-FR" w:bidi="fr-FR"/>
        </w:rPr>
        <w:t> </w:t>
      </w:r>
      <w:r>
        <w:rPr>
          <w:rStyle w:val="Appelnotedebasdep"/>
          <w:lang w:eastAsia="fr-FR" w:bidi="fr-FR"/>
        </w:rPr>
        <w:footnoteReference w:id="308"/>
      </w:r>
      <w:r>
        <w:rPr>
          <w:lang w:eastAsia="fr-FR" w:bidi="fr-FR"/>
        </w:rPr>
        <w:t>.</w:t>
      </w:r>
      <w:r w:rsidRPr="00594A23">
        <w:rPr>
          <w:lang w:eastAsia="fr-FR" w:bidi="fr-FR"/>
        </w:rPr>
        <w:t xml:space="preserve"> En ce qui a trait, par exemple, à la lutte contre les r</w:t>
      </w:r>
      <w:r w:rsidRPr="00594A23">
        <w:rPr>
          <w:lang w:eastAsia="fr-FR" w:bidi="fr-FR"/>
        </w:rPr>
        <w:t>é</w:t>
      </w:r>
      <w:r w:rsidRPr="00594A23">
        <w:rPr>
          <w:lang w:eastAsia="fr-FR" w:bidi="fr-FR"/>
        </w:rPr>
        <w:t xml:space="preserve">seaux terroristes internationaux, elle devrait, selon lui, être l’affaire de chaque </w:t>
      </w:r>
      <w:r>
        <w:rPr>
          <w:lang w:eastAsia="fr-FR" w:bidi="fr-FR"/>
        </w:rPr>
        <w:t>État</w:t>
      </w:r>
      <w:r w:rsidRPr="00594A23">
        <w:rPr>
          <w:lang w:eastAsia="fr-FR" w:bidi="fr-FR"/>
        </w:rPr>
        <w:t xml:space="preserve">. Les </w:t>
      </w:r>
      <w:r>
        <w:rPr>
          <w:lang w:eastAsia="fr-FR" w:bidi="fr-FR"/>
        </w:rPr>
        <w:t>État</w:t>
      </w:r>
      <w:r w:rsidRPr="00594A23">
        <w:rPr>
          <w:lang w:eastAsia="fr-FR" w:bidi="fr-FR"/>
        </w:rPr>
        <w:t>s-Unis ne devraient pas y assumer un rôle prépondérant</w:t>
      </w:r>
      <w:r w:rsidRPr="00594A23">
        <w:t> :</w:t>
      </w:r>
      <w:r w:rsidRPr="00594A23">
        <w:rPr>
          <w:lang w:eastAsia="fr-FR" w:bidi="fr-FR"/>
        </w:rPr>
        <w:t xml:space="preserve"> </w:t>
      </w:r>
      <w:r w:rsidRPr="00594A23">
        <w:t>« </w:t>
      </w:r>
      <w:r w:rsidRPr="00594A23">
        <w:rPr>
          <w:lang w:eastAsia="fr-FR" w:bidi="fr-FR"/>
        </w:rPr>
        <w:t xml:space="preserve">Les </w:t>
      </w:r>
      <w:r>
        <w:rPr>
          <w:lang w:eastAsia="fr-FR" w:bidi="fr-FR"/>
        </w:rPr>
        <w:t>État</w:t>
      </w:r>
      <w:r w:rsidRPr="00594A23">
        <w:rPr>
          <w:lang w:eastAsia="fr-FR" w:bidi="fr-FR"/>
        </w:rPr>
        <w:t xml:space="preserve">s-Unis mettent de l’avant que chaque </w:t>
      </w:r>
      <w:r>
        <w:rPr>
          <w:lang w:eastAsia="fr-FR" w:bidi="fr-FR"/>
        </w:rPr>
        <w:t>État</w:t>
      </w:r>
      <w:r w:rsidRPr="00594A23">
        <w:rPr>
          <w:lang w:eastAsia="fr-FR" w:bidi="fr-FR"/>
        </w:rPr>
        <w:t xml:space="preserve"> doit agir comme un </w:t>
      </w:r>
      <w:r>
        <w:rPr>
          <w:lang w:eastAsia="fr-FR" w:bidi="fr-FR"/>
        </w:rPr>
        <w:t>État</w:t>
      </w:r>
      <w:r w:rsidRPr="00594A23">
        <w:rPr>
          <w:lang w:eastAsia="fr-FR" w:bidi="fr-FR"/>
        </w:rPr>
        <w:t xml:space="preserve"> respons</w:t>
      </w:r>
      <w:r w:rsidRPr="00594A23">
        <w:rPr>
          <w:lang w:eastAsia="fr-FR" w:bidi="fr-FR"/>
        </w:rPr>
        <w:t>a</w:t>
      </w:r>
      <w:r w:rsidRPr="00594A23">
        <w:rPr>
          <w:lang w:eastAsia="fr-FR" w:bidi="fr-FR"/>
        </w:rPr>
        <w:t xml:space="preserve">ble - il doit assumer le contrôle de son propre territoire et être responsable des individus qui planifient ou lancent des opérations terroristes sur son territoire. Les </w:t>
      </w:r>
      <w:r>
        <w:rPr>
          <w:lang w:eastAsia="fr-FR" w:bidi="fr-FR"/>
        </w:rPr>
        <w:t>État</w:t>
      </w:r>
      <w:r w:rsidRPr="00594A23">
        <w:rPr>
          <w:lang w:eastAsia="fr-FR" w:bidi="fr-FR"/>
        </w:rPr>
        <w:t xml:space="preserve">s-Unis ne peuvent pas établir une force de police globale qui inspectera chaque </w:t>
      </w:r>
      <w:r>
        <w:rPr>
          <w:lang w:eastAsia="fr-FR" w:bidi="fr-FR"/>
        </w:rPr>
        <w:t>État</w:t>
      </w:r>
      <w:r w:rsidRPr="00594A23">
        <w:rPr>
          <w:lang w:eastAsia="fr-FR" w:bidi="fr-FR"/>
        </w:rPr>
        <w:t>. Il faut s’en remettre aux gouvernements a</w:t>
      </w:r>
      <w:r w:rsidRPr="00594A23">
        <w:rPr>
          <w:lang w:eastAsia="fr-FR" w:bidi="fr-FR"/>
        </w:rPr>
        <w:t>c</w:t>
      </w:r>
      <w:r w:rsidRPr="00594A23">
        <w:rPr>
          <w:lang w:eastAsia="fr-FR" w:bidi="fr-FR"/>
        </w:rPr>
        <w:t xml:space="preserve">tuels. En ce sens, plus que jamais, les </w:t>
      </w:r>
      <w:r>
        <w:rPr>
          <w:lang w:eastAsia="fr-FR" w:bidi="fr-FR"/>
        </w:rPr>
        <w:t>État</w:t>
      </w:r>
      <w:r w:rsidRPr="00594A23">
        <w:rPr>
          <w:lang w:eastAsia="fr-FR" w:bidi="fr-FR"/>
        </w:rPr>
        <w:t xml:space="preserve">s-Unis doivent renforcer le sentiment de responsabilité des </w:t>
      </w:r>
      <w:r>
        <w:rPr>
          <w:lang w:eastAsia="fr-FR" w:bidi="fr-FR"/>
        </w:rPr>
        <w:t>État</w:t>
      </w:r>
      <w:r w:rsidRPr="00594A23">
        <w:rPr>
          <w:lang w:eastAsia="fr-FR" w:bidi="fr-FR"/>
        </w:rPr>
        <w:t>s — cela renvoie, dans des termes plus traditionnels, aux principes de souveraineté étatique</w:t>
      </w:r>
      <w:r>
        <w:rPr>
          <w:lang w:eastAsia="fr-FR" w:bidi="fr-FR"/>
        </w:rPr>
        <w:t> </w:t>
      </w:r>
      <w:r>
        <w:rPr>
          <w:rStyle w:val="Appelnotedebasdep"/>
          <w:lang w:eastAsia="fr-FR" w:bidi="fr-FR"/>
        </w:rPr>
        <w:footnoteReference w:id="309"/>
      </w:r>
      <w:r w:rsidRPr="00594A23">
        <w:rPr>
          <w:lang w:eastAsia="fr-FR" w:bidi="fr-FR"/>
        </w:rPr>
        <w:t>.</w:t>
      </w:r>
      <w:r w:rsidRPr="00594A23">
        <w:t> »</w:t>
      </w:r>
    </w:p>
    <w:p w14:paraId="7A4B3B6B" w14:textId="77777777" w:rsidR="0039793A" w:rsidRDefault="0039793A" w:rsidP="0039793A">
      <w:pPr>
        <w:spacing w:before="120" w:after="120"/>
        <w:jc w:val="both"/>
        <w:rPr>
          <w:lang w:eastAsia="fr-FR" w:bidi="fr-FR"/>
        </w:rPr>
      </w:pPr>
    </w:p>
    <w:p w14:paraId="33336C16" w14:textId="77777777" w:rsidR="0039793A" w:rsidRPr="00614B1F" w:rsidRDefault="0039793A" w:rsidP="0039793A">
      <w:pPr>
        <w:pStyle w:val="b"/>
      </w:pPr>
      <w:r w:rsidRPr="00614B1F">
        <w:rPr>
          <w:lang w:eastAsia="fr-FR" w:bidi="fr-FR"/>
        </w:rPr>
        <w:t>Eric Nordlinger</w:t>
      </w:r>
    </w:p>
    <w:p w14:paraId="56C65757" w14:textId="77777777" w:rsidR="0039793A" w:rsidRDefault="0039793A" w:rsidP="0039793A">
      <w:pPr>
        <w:spacing w:before="120" w:after="120"/>
        <w:jc w:val="both"/>
        <w:rPr>
          <w:lang w:eastAsia="fr-FR" w:bidi="fr-FR"/>
        </w:rPr>
      </w:pPr>
    </w:p>
    <w:p w14:paraId="12118C29" w14:textId="77777777" w:rsidR="0039793A" w:rsidRPr="00594A23" w:rsidRDefault="0039793A" w:rsidP="0039793A">
      <w:pPr>
        <w:spacing w:before="120" w:after="120"/>
        <w:jc w:val="both"/>
      </w:pPr>
      <w:r w:rsidRPr="00594A23">
        <w:rPr>
          <w:lang w:eastAsia="fr-FR" w:bidi="fr-FR"/>
        </w:rPr>
        <w:t>Avec Eric Nordlinger, on assiste à un retour en force de l’isolationnisme. L’originalité de son analyse repose sur sa présent</w:t>
      </w:r>
      <w:r w:rsidRPr="00594A23">
        <w:rPr>
          <w:lang w:eastAsia="fr-FR" w:bidi="fr-FR"/>
        </w:rPr>
        <w:t>a</w:t>
      </w:r>
      <w:r w:rsidRPr="00594A23">
        <w:rPr>
          <w:lang w:eastAsia="fr-FR" w:bidi="fr-FR"/>
        </w:rPr>
        <w:t>tion de l’isolationnisme comme la stratégie nation</w:t>
      </w:r>
      <w:r w:rsidRPr="00594A23">
        <w:rPr>
          <w:lang w:eastAsia="fr-FR" w:bidi="fr-FR"/>
        </w:rPr>
        <w:t>a</w:t>
      </w:r>
      <w:r w:rsidRPr="00594A23">
        <w:rPr>
          <w:lang w:eastAsia="fr-FR" w:bidi="fr-FR"/>
        </w:rPr>
        <w:t xml:space="preserve">le qu’auraient dû suivre les </w:t>
      </w:r>
      <w:r>
        <w:rPr>
          <w:lang w:eastAsia="fr-FR" w:bidi="fr-FR"/>
        </w:rPr>
        <w:t>État</w:t>
      </w:r>
      <w:r w:rsidRPr="00594A23">
        <w:rPr>
          <w:lang w:eastAsia="fr-FR" w:bidi="fr-FR"/>
        </w:rPr>
        <w:t xml:space="preserve">s-Unis tout au long du </w:t>
      </w:r>
      <w:r w:rsidRPr="00594A23">
        <w:t>XX</w:t>
      </w:r>
      <w:r w:rsidRPr="00594A23">
        <w:rPr>
          <w:vertAlign w:val="superscript"/>
        </w:rPr>
        <w:t>e</w:t>
      </w:r>
      <w:r w:rsidRPr="00594A23">
        <w:t xml:space="preserve"> </w:t>
      </w:r>
      <w:r w:rsidRPr="00594A23">
        <w:rPr>
          <w:lang w:eastAsia="fr-FR" w:bidi="fr-FR"/>
        </w:rPr>
        <w:t>siècle.</w:t>
      </w:r>
    </w:p>
    <w:p w14:paraId="463AB56B" w14:textId="77777777" w:rsidR="0039793A" w:rsidRPr="00594A23" w:rsidRDefault="0039793A" w:rsidP="0039793A">
      <w:pPr>
        <w:spacing w:before="120" w:after="120"/>
        <w:jc w:val="both"/>
      </w:pPr>
      <w:r w:rsidRPr="00594A23">
        <w:rPr>
          <w:lang w:eastAsia="fr-FR" w:bidi="fr-FR"/>
        </w:rPr>
        <w:t xml:space="preserve">Contrairement à l’idée que les </w:t>
      </w:r>
      <w:r>
        <w:rPr>
          <w:lang w:eastAsia="fr-FR" w:bidi="fr-FR"/>
        </w:rPr>
        <w:t>État</w:t>
      </w:r>
      <w:r w:rsidRPr="00594A23">
        <w:rPr>
          <w:lang w:eastAsia="fr-FR" w:bidi="fr-FR"/>
        </w:rPr>
        <w:t>s-Unis doivent assurer leur s</w:t>
      </w:r>
      <w:r w:rsidRPr="00594A23">
        <w:rPr>
          <w:lang w:eastAsia="fr-FR" w:bidi="fr-FR"/>
        </w:rPr>
        <w:t>é</w:t>
      </w:r>
      <w:r w:rsidRPr="00594A23">
        <w:rPr>
          <w:lang w:eastAsia="fr-FR" w:bidi="fr-FR"/>
        </w:rPr>
        <w:t>curité et leur défense nationales à partir de l’étranger, donc en interv</w:t>
      </w:r>
      <w:r w:rsidRPr="00594A23">
        <w:rPr>
          <w:lang w:eastAsia="fr-FR" w:bidi="fr-FR"/>
        </w:rPr>
        <w:t>e</w:t>
      </w:r>
      <w:r w:rsidRPr="00594A23">
        <w:rPr>
          <w:lang w:eastAsia="fr-FR" w:bidi="fr-FR"/>
        </w:rPr>
        <w:t>nant dans les affaires internationales, No</w:t>
      </w:r>
      <w:r w:rsidRPr="00594A23">
        <w:rPr>
          <w:lang w:eastAsia="fr-FR" w:bidi="fr-FR"/>
        </w:rPr>
        <w:t>r</w:t>
      </w:r>
      <w:r w:rsidRPr="00594A23">
        <w:rPr>
          <w:lang w:eastAsia="fr-FR" w:bidi="fr-FR"/>
        </w:rPr>
        <w:t xml:space="preserve">dlinger justifie l’isolationnisme des </w:t>
      </w:r>
      <w:r>
        <w:rPr>
          <w:lang w:eastAsia="fr-FR" w:bidi="fr-FR"/>
        </w:rPr>
        <w:t>État</w:t>
      </w:r>
      <w:r w:rsidRPr="00594A23">
        <w:rPr>
          <w:lang w:eastAsia="fr-FR" w:bidi="fr-FR"/>
        </w:rPr>
        <w:t xml:space="preserve">s-Unis en soutenant que </w:t>
      </w:r>
      <w:r w:rsidRPr="00594A23">
        <w:t>« </w:t>
      </w:r>
      <w:r w:rsidRPr="00594A23">
        <w:rPr>
          <w:lang w:eastAsia="fr-FR" w:bidi="fr-FR"/>
        </w:rPr>
        <w:t xml:space="preserve">[l]es </w:t>
      </w:r>
      <w:r>
        <w:rPr>
          <w:lang w:eastAsia="fr-FR" w:bidi="fr-FR"/>
        </w:rPr>
        <w:t>État</w:t>
      </w:r>
      <w:r w:rsidRPr="00594A23">
        <w:rPr>
          <w:lang w:eastAsia="fr-FR" w:bidi="fr-FR"/>
        </w:rPr>
        <w:t>s-Unis sont stratégiquement immunisés par leur insularité, invulnérabilité, imperméabilité et étanchéité, et ont donc peu de raisons de s’engager militairement et politiquement pour leur sécurité</w:t>
      </w:r>
      <w:r>
        <w:rPr>
          <w:lang w:eastAsia="fr-FR" w:bidi="fr-FR"/>
        </w:rPr>
        <w:t> </w:t>
      </w:r>
      <w:r>
        <w:rPr>
          <w:rStyle w:val="Appelnotedebasdep"/>
          <w:lang w:eastAsia="fr-FR" w:bidi="fr-FR"/>
        </w:rPr>
        <w:footnoteReference w:id="310"/>
      </w:r>
      <w:r w:rsidRPr="00594A23">
        <w:t> »</w:t>
      </w:r>
      <w:r w:rsidRPr="00594A23">
        <w:rPr>
          <w:lang w:eastAsia="fr-FR" w:bidi="fr-FR"/>
        </w:rPr>
        <w:t>. Nordlinger priv</w:t>
      </w:r>
      <w:r w:rsidRPr="00594A23">
        <w:rPr>
          <w:lang w:eastAsia="fr-FR" w:bidi="fr-FR"/>
        </w:rPr>
        <w:t>i</w:t>
      </w:r>
      <w:r w:rsidRPr="00594A23">
        <w:rPr>
          <w:lang w:eastAsia="fr-FR" w:bidi="fr-FR"/>
        </w:rPr>
        <w:t xml:space="preserve">légie ainsi l’image de la </w:t>
      </w:r>
      <w:r w:rsidRPr="00594A23">
        <w:t>« </w:t>
      </w:r>
      <w:r w:rsidRPr="00594A23">
        <w:rPr>
          <w:lang w:eastAsia="fr-FR" w:bidi="fr-FR"/>
        </w:rPr>
        <w:t>Forteresse Amérique</w:t>
      </w:r>
      <w:r w:rsidRPr="00594A23">
        <w:t> »</w:t>
      </w:r>
      <w:r w:rsidRPr="00594A23">
        <w:rPr>
          <w:lang w:eastAsia="fr-FR" w:bidi="fr-FR"/>
        </w:rPr>
        <w:t xml:space="preserve">, où les </w:t>
      </w:r>
      <w:r>
        <w:rPr>
          <w:lang w:eastAsia="fr-FR" w:bidi="fr-FR"/>
        </w:rPr>
        <w:t>État</w:t>
      </w:r>
      <w:r w:rsidRPr="00594A23">
        <w:rPr>
          <w:lang w:eastAsia="fr-FR" w:bidi="fr-FR"/>
        </w:rPr>
        <w:t>s-Unis bénéficient d’une force militaire imposante et suffisante pour dissu</w:t>
      </w:r>
      <w:r w:rsidRPr="00594A23">
        <w:rPr>
          <w:lang w:eastAsia="fr-FR" w:bidi="fr-FR"/>
        </w:rPr>
        <w:t>a</w:t>
      </w:r>
      <w:r w:rsidRPr="00594A23">
        <w:rPr>
          <w:lang w:eastAsia="fr-FR" w:bidi="fr-FR"/>
        </w:rPr>
        <w:t xml:space="preserve">der les ennemis potentiels. Les </w:t>
      </w:r>
      <w:r>
        <w:rPr>
          <w:lang w:eastAsia="fr-FR" w:bidi="fr-FR"/>
        </w:rPr>
        <w:t>État</w:t>
      </w:r>
      <w:r w:rsidRPr="00594A23">
        <w:rPr>
          <w:lang w:eastAsia="fr-FR" w:bidi="fr-FR"/>
        </w:rPr>
        <w:t>s-Unis ne doivent pas aliéner leur souveraineté</w:t>
      </w:r>
      <w:r w:rsidRPr="00594A23">
        <w:t> :</w:t>
      </w:r>
      <w:r w:rsidRPr="00594A23">
        <w:rPr>
          <w:lang w:eastAsia="fr-FR" w:bidi="fr-FR"/>
        </w:rPr>
        <w:t xml:space="preserve"> ils ne doivent pas entrer dans des alliances contraigna</w:t>
      </w:r>
      <w:r w:rsidRPr="00594A23">
        <w:rPr>
          <w:lang w:eastAsia="fr-FR" w:bidi="fr-FR"/>
        </w:rPr>
        <w:t>n</w:t>
      </w:r>
      <w:r w:rsidRPr="00594A23">
        <w:rPr>
          <w:lang w:eastAsia="fr-FR" w:bidi="fr-FR"/>
        </w:rPr>
        <w:t xml:space="preserve">tes </w:t>
      </w:r>
      <w:r w:rsidRPr="00594A23">
        <w:t>(</w:t>
      </w:r>
      <w:r w:rsidRPr="00614B1F">
        <w:rPr>
          <w:i/>
          <w:iCs/>
        </w:rPr>
        <w:t>no entangling</w:t>
      </w:r>
      <w:r>
        <w:t xml:space="preserve"> [131]</w:t>
      </w:r>
      <w:r w:rsidRPr="00614B1F">
        <w:rPr>
          <w:i/>
          <w:iCs/>
        </w:rPr>
        <w:t xml:space="preserve"> alliances</w:t>
      </w:r>
      <w:r w:rsidRPr="00594A23">
        <w:rPr>
          <w:lang w:eastAsia="fr-FR" w:bidi="fr-FR"/>
        </w:rPr>
        <w:t>), comme le voulaient jadis les Pères fond</w:t>
      </w:r>
      <w:r w:rsidRPr="00594A23">
        <w:rPr>
          <w:lang w:eastAsia="fr-FR" w:bidi="fr-FR"/>
        </w:rPr>
        <w:t>a</w:t>
      </w:r>
      <w:r w:rsidRPr="00594A23">
        <w:rPr>
          <w:lang w:eastAsia="fr-FR" w:bidi="fr-FR"/>
        </w:rPr>
        <w:t>teurs. L’Amérique du Nord devient le seul périmètre de sécurité que doivent protéger les États-Unis. Dans cette perspective, la sécurité des États-Unis ne peut pas être m</w:t>
      </w:r>
      <w:r w:rsidRPr="00594A23">
        <w:rPr>
          <w:lang w:eastAsia="fr-FR" w:bidi="fr-FR"/>
        </w:rPr>
        <w:t>e</w:t>
      </w:r>
      <w:r w:rsidRPr="00594A23">
        <w:rPr>
          <w:lang w:eastAsia="fr-FR" w:bidi="fr-FR"/>
        </w:rPr>
        <w:t>nacée à l’étranger, puisque les États-Unis n’interviennent pas et n’entretiennent pas d’intérêts à l’étranger</w:t>
      </w:r>
      <w:r>
        <w:rPr>
          <w:lang w:eastAsia="fr-FR" w:bidi="fr-FR"/>
        </w:rPr>
        <w:t> </w:t>
      </w:r>
      <w:r>
        <w:rPr>
          <w:rStyle w:val="Appelnotedebasdep"/>
          <w:lang w:eastAsia="fr-FR" w:bidi="fr-FR"/>
        </w:rPr>
        <w:footnoteReference w:id="311"/>
      </w:r>
      <w:r w:rsidRPr="00594A23">
        <w:t>.</w:t>
      </w:r>
    </w:p>
    <w:p w14:paraId="554EB05F" w14:textId="77777777" w:rsidR="0039793A" w:rsidRPr="00594A23" w:rsidRDefault="0039793A" w:rsidP="0039793A">
      <w:pPr>
        <w:spacing w:before="120" w:after="120"/>
        <w:jc w:val="both"/>
      </w:pPr>
      <w:r w:rsidRPr="00594A23">
        <w:rPr>
          <w:lang w:eastAsia="fr-FR" w:bidi="fr-FR"/>
        </w:rPr>
        <w:t>La crédibilité de la puissance américaine, qui a reposé sur un réel activisme, pourrait désormais découler du non-engagement des États-Unis dans les affaires internationales</w:t>
      </w:r>
      <w:r>
        <w:rPr>
          <w:lang w:eastAsia="fr-FR" w:bidi="fr-FR"/>
        </w:rPr>
        <w:t> </w:t>
      </w:r>
      <w:r>
        <w:rPr>
          <w:rStyle w:val="Appelnotedebasdep"/>
          <w:lang w:eastAsia="fr-FR" w:bidi="fr-FR"/>
        </w:rPr>
        <w:footnoteReference w:id="312"/>
      </w:r>
      <w:r w:rsidRPr="00594A23">
        <w:rPr>
          <w:lang w:eastAsia="fr-FR" w:bidi="fr-FR"/>
        </w:rPr>
        <w:t>. En maintenant de fortes c</w:t>
      </w:r>
      <w:r w:rsidRPr="00594A23">
        <w:rPr>
          <w:lang w:eastAsia="fr-FR" w:bidi="fr-FR"/>
        </w:rPr>
        <w:t>a</w:t>
      </w:r>
      <w:r w:rsidRPr="00594A23">
        <w:rPr>
          <w:lang w:eastAsia="fr-FR" w:bidi="fr-FR"/>
        </w:rPr>
        <w:t>pacités de défense et en cho</w:t>
      </w:r>
      <w:r w:rsidRPr="00594A23">
        <w:rPr>
          <w:lang w:eastAsia="fr-FR" w:bidi="fr-FR"/>
        </w:rPr>
        <w:t>i</w:t>
      </w:r>
      <w:r w:rsidRPr="00594A23">
        <w:rPr>
          <w:lang w:eastAsia="fr-FR" w:bidi="fr-FR"/>
        </w:rPr>
        <w:t>sissant délibérément de ne pas s’impliquer dans la politique internationale, la crédibilité des États-Unis serait a</w:t>
      </w:r>
      <w:r w:rsidRPr="00594A23">
        <w:rPr>
          <w:lang w:eastAsia="fr-FR" w:bidi="fr-FR"/>
        </w:rPr>
        <w:t>s</w:t>
      </w:r>
      <w:r w:rsidRPr="00594A23">
        <w:rPr>
          <w:lang w:eastAsia="fr-FR" w:bidi="fr-FR"/>
        </w:rPr>
        <w:t>surée, car leurs intentions seraient claires. Il ne serait alors pas question de plier face aux autres grandes puissances, pui</w:t>
      </w:r>
      <w:r w:rsidRPr="00594A23">
        <w:rPr>
          <w:lang w:eastAsia="fr-FR" w:bidi="fr-FR"/>
        </w:rPr>
        <w:t>s</w:t>
      </w:r>
      <w:r w:rsidRPr="00594A23">
        <w:rPr>
          <w:lang w:eastAsia="fr-FR" w:bidi="fr-FR"/>
        </w:rPr>
        <w:t>que les États-Unis ne participeraient même pas au jeu de la politique de la puissa</w:t>
      </w:r>
      <w:r w:rsidRPr="00594A23">
        <w:rPr>
          <w:lang w:eastAsia="fr-FR" w:bidi="fr-FR"/>
        </w:rPr>
        <w:t>n</w:t>
      </w:r>
      <w:r w:rsidRPr="00594A23">
        <w:rPr>
          <w:lang w:eastAsia="fr-FR" w:bidi="fr-FR"/>
        </w:rPr>
        <w:t>ce avec elles. Nordlinger est donc d’avis que les États-Unis pourraient finalement servir de modèle international en adoptant une politique étrangère reposant sur autre chose que l’implication militaire à l’étranger, une politique étrangère leur permettant peut-être même d’exercer un leadership moral aux Nations unies</w:t>
      </w:r>
      <w:r>
        <w:rPr>
          <w:lang w:eastAsia="fr-FR" w:bidi="fr-FR"/>
        </w:rPr>
        <w:t> </w:t>
      </w:r>
      <w:r>
        <w:rPr>
          <w:rStyle w:val="Appelnotedebasdep"/>
          <w:lang w:eastAsia="fr-FR" w:bidi="fr-FR"/>
        </w:rPr>
        <w:footnoteReference w:id="313"/>
      </w:r>
      <w:r w:rsidRPr="00594A23">
        <w:rPr>
          <w:lang w:eastAsia="fr-FR" w:bidi="fr-FR"/>
        </w:rPr>
        <w:t>. En somme, No</w:t>
      </w:r>
      <w:r w:rsidRPr="00594A23">
        <w:rPr>
          <w:lang w:eastAsia="fr-FR" w:bidi="fr-FR"/>
        </w:rPr>
        <w:t>r</w:t>
      </w:r>
      <w:r w:rsidRPr="00594A23">
        <w:rPr>
          <w:lang w:eastAsia="fr-FR" w:bidi="fr-FR"/>
        </w:rPr>
        <w:t xml:space="preserve">dlinger préconise une </w:t>
      </w:r>
      <w:r w:rsidRPr="00594A23">
        <w:t>« </w:t>
      </w:r>
      <w:r w:rsidRPr="00594A23">
        <w:rPr>
          <w:lang w:eastAsia="fr-FR" w:bidi="fr-FR"/>
        </w:rPr>
        <w:t>nouvelle</w:t>
      </w:r>
      <w:r w:rsidRPr="00594A23">
        <w:t> »</w:t>
      </w:r>
      <w:r w:rsidRPr="00594A23">
        <w:rPr>
          <w:lang w:eastAsia="fr-FR" w:bidi="fr-FR"/>
        </w:rPr>
        <w:t xml:space="preserve"> approche de la politique étrangère pour les États-Unis, isolationniste se concentrant uniquement sur la défense de l’Amérique du Nord, comme c’était le cas jusqu’au milieu du </w:t>
      </w:r>
      <w:r w:rsidRPr="00594A23">
        <w:t>XIX</w:t>
      </w:r>
      <w:r w:rsidRPr="00594A23">
        <w:rPr>
          <w:vertAlign w:val="superscript"/>
        </w:rPr>
        <w:t>e</w:t>
      </w:r>
      <w:r w:rsidRPr="00594A23">
        <w:t xml:space="preserve"> </w:t>
      </w:r>
      <w:r w:rsidRPr="00594A23">
        <w:rPr>
          <w:lang w:eastAsia="fr-FR" w:bidi="fr-FR"/>
        </w:rPr>
        <w:t>siècle. L’isolationnisme ainsi repensé serait selon lui la mei</w:t>
      </w:r>
      <w:r w:rsidRPr="00594A23">
        <w:rPr>
          <w:lang w:eastAsia="fr-FR" w:bidi="fr-FR"/>
        </w:rPr>
        <w:t>l</w:t>
      </w:r>
      <w:r w:rsidRPr="00594A23">
        <w:rPr>
          <w:lang w:eastAsia="fr-FR" w:bidi="fr-FR"/>
        </w:rPr>
        <w:t>leure voie pour défendre les valeurs les plus fondamentales des États-Unis.</w:t>
      </w:r>
    </w:p>
    <w:p w14:paraId="46D118EF" w14:textId="77777777" w:rsidR="0039793A" w:rsidRDefault="0039793A" w:rsidP="0039793A">
      <w:pPr>
        <w:spacing w:before="120" w:after="120"/>
        <w:jc w:val="both"/>
        <w:rPr>
          <w:lang w:eastAsia="fr-FR" w:bidi="fr-FR"/>
        </w:rPr>
      </w:pPr>
    </w:p>
    <w:p w14:paraId="5EB65C4B" w14:textId="77777777" w:rsidR="0039793A" w:rsidRPr="00594A23" w:rsidRDefault="0039793A" w:rsidP="0039793A">
      <w:pPr>
        <w:pStyle w:val="a"/>
      </w:pPr>
      <w:r w:rsidRPr="00594A23">
        <w:t>L’école mondialiste</w:t>
      </w:r>
    </w:p>
    <w:p w14:paraId="14FF906D" w14:textId="77777777" w:rsidR="0039793A" w:rsidRDefault="0039793A" w:rsidP="0039793A">
      <w:pPr>
        <w:spacing w:before="120" w:after="120"/>
        <w:jc w:val="both"/>
        <w:rPr>
          <w:lang w:eastAsia="fr-FR" w:bidi="fr-FR"/>
        </w:rPr>
      </w:pPr>
    </w:p>
    <w:p w14:paraId="2B545DA5" w14:textId="77777777" w:rsidR="0039793A" w:rsidRPr="00594A23" w:rsidRDefault="0039793A" w:rsidP="0039793A">
      <w:pPr>
        <w:spacing w:before="120" w:after="120"/>
        <w:jc w:val="both"/>
      </w:pPr>
      <w:r w:rsidRPr="00594A23">
        <w:rPr>
          <w:lang w:eastAsia="fr-FR" w:bidi="fr-FR"/>
        </w:rPr>
        <w:t>Glorifiant le néolibéralisme économique — la libéralisation éc</w:t>
      </w:r>
      <w:r w:rsidRPr="00594A23">
        <w:rPr>
          <w:lang w:eastAsia="fr-FR" w:bidi="fr-FR"/>
        </w:rPr>
        <w:t>o</w:t>
      </w:r>
      <w:r w:rsidRPr="00594A23">
        <w:rPr>
          <w:lang w:eastAsia="fr-FR" w:bidi="fr-FR"/>
        </w:rPr>
        <w:t>nomique —, les mondialistes considèrent que l’économique supplante le politique. Ils font l’apologie du libre marché, de l’ouverture des frontières économiques et de l’affaiblissement de la souveraineté des États au profit d’acteurs transnationaux (organisations non gouvern</w:t>
      </w:r>
      <w:r w:rsidRPr="00594A23">
        <w:rPr>
          <w:lang w:eastAsia="fr-FR" w:bidi="fr-FR"/>
        </w:rPr>
        <w:t>e</w:t>
      </w:r>
      <w:r w:rsidRPr="00594A23">
        <w:rPr>
          <w:lang w:eastAsia="fr-FR" w:bidi="fr-FR"/>
        </w:rPr>
        <w:t>mentales, firmes multinationales et même des individus)</w:t>
      </w:r>
      <w:r w:rsidRPr="00594A23">
        <w:t> :</w:t>
      </w:r>
      <w:r w:rsidRPr="00594A23">
        <w:rPr>
          <w:lang w:eastAsia="fr-FR" w:bidi="fr-FR"/>
        </w:rPr>
        <w:t xml:space="preserve"> la paix pa</w:t>
      </w:r>
      <w:r w:rsidRPr="00594A23">
        <w:rPr>
          <w:lang w:eastAsia="fr-FR" w:bidi="fr-FR"/>
        </w:rPr>
        <w:t>s</w:t>
      </w:r>
      <w:r w:rsidRPr="00594A23">
        <w:rPr>
          <w:lang w:eastAsia="fr-FR" w:bidi="fr-FR"/>
        </w:rPr>
        <w:t>se par le commerce entre les acteurs internationaux et il n’y aura plus de guerre majeure entre les grandes puissa</w:t>
      </w:r>
      <w:r w:rsidRPr="00594A23">
        <w:rPr>
          <w:lang w:eastAsia="fr-FR" w:bidi="fr-FR"/>
        </w:rPr>
        <w:t>n</w:t>
      </w:r>
      <w:r w:rsidRPr="00594A23">
        <w:rPr>
          <w:lang w:eastAsia="fr-FR" w:bidi="fr-FR"/>
        </w:rPr>
        <w:t>ces. Pour les m</w:t>
      </w:r>
      <w:r>
        <w:rPr>
          <w:lang w:eastAsia="fr-FR" w:bidi="fr-FR"/>
        </w:rPr>
        <w:t>ondialistes, le système interna</w:t>
      </w:r>
      <w:r w:rsidRPr="00594A23">
        <w:rPr>
          <w:lang w:eastAsia="fr-FR" w:bidi="fr-FR"/>
        </w:rPr>
        <w:t>tional</w:t>
      </w:r>
      <w:r>
        <w:t xml:space="preserve"> [132]</w:t>
      </w:r>
      <w:r w:rsidRPr="00594A23">
        <w:rPr>
          <w:lang w:eastAsia="fr-FR" w:bidi="fr-FR"/>
        </w:rPr>
        <w:t xml:space="preserve"> est basé sur l’interdépendance écon</w:t>
      </w:r>
      <w:r w:rsidRPr="00594A23">
        <w:rPr>
          <w:lang w:eastAsia="fr-FR" w:bidi="fr-FR"/>
        </w:rPr>
        <w:t>o</w:t>
      </w:r>
      <w:r w:rsidRPr="00594A23">
        <w:rPr>
          <w:lang w:eastAsia="fr-FR" w:bidi="fr-FR"/>
        </w:rPr>
        <w:t>mique qui lie les États entre eux. Ils ont une vision très optimiste de la mondialisation, source de richesses pour tous, et en ce sens, les a</w:t>
      </w:r>
      <w:r w:rsidRPr="00594A23">
        <w:rPr>
          <w:lang w:eastAsia="fr-FR" w:bidi="fr-FR"/>
        </w:rPr>
        <w:t>r</w:t>
      </w:r>
      <w:r w:rsidRPr="00594A23">
        <w:rPr>
          <w:lang w:eastAsia="fr-FR" w:bidi="fr-FR"/>
        </w:rPr>
        <w:t>mées ne sont maintenues que pour contrer les problèmes de criminal</w:t>
      </w:r>
      <w:r w:rsidRPr="00594A23">
        <w:rPr>
          <w:lang w:eastAsia="fr-FR" w:bidi="fr-FR"/>
        </w:rPr>
        <w:t>i</w:t>
      </w:r>
      <w:r w:rsidRPr="00594A23">
        <w:rPr>
          <w:lang w:eastAsia="fr-FR" w:bidi="fr-FR"/>
        </w:rPr>
        <w:t>té et de terrorisme transn</w:t>
      </w:r>
      <w:r w:rsidRPr="00594A23">
        <w:rPr>
          <w:lang w:eastAsia="fr-FR" w:bidi="fr-FR"/>
        </w:rPr>
        <w:t>a</w:t>
      </w:r>
      <w:r w:rsidRPr="00594A23">
        <w:rPr>
          <w:lang w:eastAsia="fr-FR" w:bidi="fr-FR"/>
        </w:rPr>
        <w:t>tionaux.</w:t>
      </w:r>
    </w:p>
    <w:p w14:paraId="5E9957AF" w14:textId="77777777" w:rsidR="0039793A" w:rsidRDefault="0039793A" w:rsidP="0039793A">
      <w:pPr>
        <w:spacing w:before="120" w:after="120"/>
        <w:jc w:val="both"/>
        <w:rPr>
          <w:lang w:eastAsia="fr-FR" w:bidi="fr-FR"/>
        </w:rPr>
      </w:pPr>
    </w:p>
    <w:p w14:paraId="3BC5BF1F" w14:textId="77777777" w:rsidR="0039793A" w:rsidRPr="00614B1F" w:rsidRDefault="0039793A" w:rsidP="0039793A">
      <w:pPr>
        <w:pStyle w:val="b"/>
      </w:pPr>
      <w:r w:rsidRPr="00614B1F">
        <w:rPr>
          <w:lang w:eastAsia="fr-FR" w:bidi="fr-FR"/>
        </w:rPr>
        <w:t>Thomas Friedman</w:t>
      </w:r>
    </w:p>
    <w:p w14:paraId="2C41ED57" w14:textId="77777777" w:rsidR="0039793A" w:rsidRDefault="0039793A" w:rsidP="0039793A">
      <w:pPr>
        <w:spacing w:before="120" w:after="120"/>
        <w:jc w:val="both"/>
        <w:rPr>
          <w:lang w:eastAsia="fr-FR" w:bidi="fr-FR"/>
        </w:rPr>
      </w:pPr>
    </w:p>
    <w:p w14:paraId="783AFDB7" w14:textId="77777777" w:rsidR="0039793A" w:rsidRPr="00594A23" w:rsidRDefault="0039793A" w:rsidP="0039793A">
      <w:pPr>
        <w:spacing w:before="120" w:after="120"/>
        <w:jc w:val="both"/>
      </w:pPr>
      <w:r w:rsidRPr="00594A23">
        <w:rPr>
          <w:lang w:eastAsia="fr-FR" w:bidi="fr-FR"/>
        </w:rPr>
        <w:t xml:space="preserve">Le chroniqueur du </w:t>
      </w:r>
      <w:r w:rsidRPr="00614B1F">
        <w:rPr>
          <w:i/>
          <w:iCs/>
        </w:rPr>
        <w:t>New York Times</w:t>
      </w:r>
      <w:r w:rsidRPr="00594A23">
        <w:rPr>
          <w:lang w:eastAsia="fr-FR" w:bidi="fr-FR"/>
        </w:rPr>
        <w:t xml:space="preserve"> et analyste de la p</w:t>
      </w:r>
      <w:r w:rsidRPr="00594A23">
        <w:rPr>
          <w:lang w:eastAsia="fr-FR" w:bidi="fr-FR"/>
        </w:rPr>
        <w:t>o</w:t>
      </w:r>
      <w:r w:rsidRPr="00594A23">
        <w:rPr>
          <w:lang w:eastAsia="fr-FR" w:bidi="fr-FR"/>
        </w:rPr>
        <w:t xml:space="preserve">litique étrangère américaine Thomas Friedman considère que si un État veut profiter des bienfaits de la mondialisation, il doit </w:t>
      </w:r>
      <w:r w:rsidRPr="00594A23">
        <w:t>« </w:t>
      </w:r>
      <w:r w:rsidRPr="00594A23">
        <w:rPr>
          <w:lang w:eastAsia="fr-FR" w:bidi="fr-FR"/>
        </w:rPr>
        <w:t>revêtir une camis</w:t>
      </w:r>
      <w:r w:rsidRPr="00594A23">
        <w:rPr>
          <w:lang w:eastAsia="fr-FR" w:bidi="fr-FR"/>
        </w:rPr>
        <w:t>o</w:t>
      </w:r>
      <w:r w:rsidRPr="00594A23">
        <w:rPr>
          <w:lang w:eastAsia="fr-FR" w:bidi="fr-FR"/>
        </w:rPr>
        <w:t>le de force dorée</w:t>
      </w:r>
      <w:r w:rsidRPr="00594A23">
        <w:t> »</w:t>
      </w:r>
      <w:r w:rsidRPr="00594A23">
        <w:rPr>
          <w:lang w:eastAsia="fr-FR" w:bidi="fr-FR"/>
        </w:rPr>
        <w:t xml:space="preserve"> </w:t>
      </w:r>
      <w:r>
        <w:t>(</w:t>
      </w:r>
      <w:r w:rsidRPr="00614B1F">
        <w:rPr>
          <w:i/>
          <w:iCs/>
        </w:rPr>
        <w:t>put on a golden straitjacket</w:t>
      </w:r>
      <w:r w:rsidRPr="00594A23">
        <w:t>).</w:t>
      </w:r>
      <w:r w:rsidRPr="00594A23">
        <w:rPr>
          <w:lang w:eastAsia="fr-FR" w:bidi="fr-FR"/>
        </w:rPr>
        <w:t xml:space="preserve"> Il doit chercher à stimuler sa croissance économique tout en intervenant moins dans l’économie. L’effet qui se fait immédiatement sentir dans cet État est une augmentation de l’économique au détriment du polit</w:t>
      </w:r>
      <w:r w:rsidRPr="00594A23">
        <w:rPr>
          <w:lang w:eastAsia="fr-FR" w:bidi="fr-FR"/>
        </w:rPr>
        <w:t>i</w:t>
      </w:r>
      <w:r w:rsidRPr="00594A23">
        <w:rPr>
          <w:lang w:eastAsia="fr-FR" w:bidi="fr-FR"/>
        </w:rPr>
        <w:t>que</w:t>
      </w:r>
      <w:r>
        <w:rPr>
          <w:lang w:eastAsia="fr-FR" w:bidi="fr-FR"/>
        </w:rPr>
        <w:t> </w:t>
      </w:r>
      <w:r>
        <w:rPr>
          <w:rStyle w:val="Appelnotedebasdep"/>
          <w:lang w:eastAsia="fr-FR" w:bidi="fr-FR"/>
        </w:rPr>
        <w:footnoteReference w:id="314"/>
      </w:r>
      <w:r w:rsidRPr="00594A23">
        <w:rPr>
          <w:lang w:eastAsia="fr-FR" w:bidi="fr-FR"/>
        </w:rPr>
        <w:t>. En d’autres termes, les dirigeants ont moins d’options politiques pour d</w:t>
      </w:r>
      <w:r w:rsidRPr="00594A23">
        <w:rPr>
          <w:lang w:eastAsia="fr-FR" w:bidi="fr-FR"/>
        </w:rPr>
        <w:t>i</w:t>
      </w:r>
      <w:r w:rsidRPr="00594A23">
        <w:rPr>
          <w:lang w:eastAsia="fr-FR" w:bidi="fr-FR"/>
        </w:rPr>
        <w:t>riger leur économie</w:t>
      </w:r>
      <w:r w:rsidRPr="00594A23">
        <w:t> :</w:t>
      </w:r>
      <w:r w:rsidRPr="00594A23">
        <w:rPr>
          <w:lang w:eastAsia="fr-FR" w:bidi="fr-FR"/>
        </w:rPr>
        <w:t xml:space="preserve"> ils ont les mains liées (l’image de la camisole de force), mais augmentent les richesses de l’État (ce pourquoi la cam</w:t>
      </w:r>
      <w:r w:rsidRPr="00594A23">
        <w:rPr>
          <w:lang w:eastAsia="fr-FR" w:bidi="fr-FR"/>
        </w:rPr>
        <w:t>i</w:t>
      </w:r>
      <w:r w:rsidRPr="00594A23">
        <w:rPr>
          <w:lang w:eastAsia="fr-FR" w:bidi="fr-FR"/>
        </w:rPr>
        <w:t>sole de force est d</w:t>
      </w:r>
      <w:r w:rsidRPr="00594A23">
        <w:rPr>
          <w:lang w:eastAsia="fr-FR" w:bidi="fr-FR"/>
        </w:rPr>
        <w:t>o</w:t>
      </w:r>
      <w:r w:rsidRPr="00594A23">
        <w:rPr>
          <w:lang w:eastAsia="fr-FR" w:bidi="fr-FR"/>
        </w:rPr>
        <w:t>rée).</w:t>
      </w:r>
    </w:p>
    <w:p w14:paraId="0A2450E4" w14:textId="77777777" w:rsidR="0039793A" w:rsidRPr="00594A23" w:rsidRDefault="0039793A" w:rsidP="0039793A">
      <w:pPr>
        <w:spacing w:before="120" w:after="120"/>
        <w:jc w:val="both"/>
      </w:pPr>
      <w:r w:rsidRPr="00594A23">
        <w:rPr>
          <w:lang w:eastAsia="fr-FR" w:bidi="fr-FR"/>
        </w:rPr>
        <w:t>Pour Friedman, la mondialisation constitue le système qui a re</w:t>
      </w:r>
      <w:r w:rsidRPr="00594A23">
        <w:rPr>
          <w:lang w:eastAsia="fr-FR" w:bidi="fr-FR"/>
        </w:rPr>
        <w:t>m</w:t>
      </w:r>
      <w:r w:rsidRPr="00594A23">
        <w:rPr>
          <w:lang w:eastAsia="fr-FR" w:bidi="fr-FR"/>
        </w:rPr>
        <w:t>placé celui de la guerre froide. Il dépeint cette mondialisation comme une démocratisation (ou une intégr</w:t>
      </w:r>
      <w:r w:rsidRPr="00594A23">
        <w:rPr>
          <w:lang w:eastAsia="fr-FR" w:bidi="fr-FR"/>
        </w:rPr>
        <w:t>a</w:t>
      </w:r>
      <w:r w:rsidRPr="00594A23">
        <w:rPr>
          <w:lang w:eastAsia="fr-FR" w:bidi="fr-FR"/>
        </w:rPr>
        <w:t>tion) du capital, de la technologie et de l’information dépa</w:t>
      </w:r>
      <w:r w:rsidRPr="00594A23">
        <w:rPr>
          <w:lang w:eastAsia="fr-FR" w:bidi="fr-FR"/>
        </w:rPr>
        <w:t>s</w:t>
      </w:r>
      <w:r w:rsidRPr="00594A23">
        <w:rPr>
          <w:lang w:eastAsia="fr-FR" w:bidi="fr-FR"/>
        </w:rPr>
        <w:t>sant les frontières de façon à créer un marché global. Contrairement au système statique de la guerre froide, la mo</w:t>
      </w:r>
      <w:r w:rsidRPr="00594A23">
        <w:rPr>
          <w:lang w:eastAsia="fr-FR" w:bidi="fr-FR"/>
        </w:rPr>
        <w:t>n</w:t>
      </w:r>
      <w:r w:rsidRPr="00594A23">
        <w:rPr>
          <w:lang w:eastAsia="fr-FR" w:bidi="fr-FR"/>
        </w:rPr>
        <w:t>dialisation est un processus dynamique dont le moteur est le capit</w:t>
      </w:r>
      <w:r w:rsidRPr="00594A23">
        <w:rPr>
          <w:lang w:eastAsia="fr-FR" w:bidi="fr-FR"/>
        </w:rPr>
        <w:t>a</w:t>
      </w:r>
      <w:r w:rsidRPr="00594A23">
        <w:rPr>
          <w:lang w:eastAsia="fr-FR" w:bidi="fr-FR"/>
        </w:rPr>
        <w:t>lisme du libre marché</w:t>
      </w:r>
      <w:r>
        <w:rPr>
          <w:lang w:eastAsia="fr-FR" w:bidi="fr-FR"/>
        </w:rPr>
        <w:t> </w:t>
      </w:r>
      <w:r>
        <w:rPr>
          <w:rStyle w:val="Appelnotedebasdep"/>
          <w:lang w:eastAsia="fr-FR" w:bidi="fr-FR"/>
        </w:rPr>
        <w:footnoteReference w:id="315"/>
      </w:r>
      <w:r w:rsidRPr="00594A23">
        <w:rPr>
          <w:lang w:eastAsia="fr-FR" w:bidi="fr-FR"/>
        </w:rPr>
        <w:t>. La vision de Friedman des relations intern</w:t>
      </w:r>
      <w:r w:rsidRPr="00594A23">
        <w:rPr>
          <w:lang w:eastAsia="fr-FR" w:bidi="fr-FR"/>
        </w:rPr>
        <w:t>a</w:t>
      </w:r>
      <w:r w:rsidRPr="00594A23">
        <w:rPr>
          <w:lang w:eastAsia="fr-FR" w:bidi="fr-FR"/>
        </w:rPr>
        <w:t>tionales est très optimiste. Les échanges économiques se multipliant, les États s’intègrent du coup à la structure internationale financière et du fait de cette interdépendance accrue, les possibilités de conflits a</w:t>
      </w:r>
      <w:r w:rsidRPr="00594A23">
        <w:rPr>
          <w:lang w:eastAsia="fr-FR" w:bidi="fr-FR"/>
        </w:rPr>
        <w:t>r</w:t>
      </w:r>
      <w:r w:rsidRPr="00594A23">
        <w:rPr>
          <w:lang w:eastAsia="fr-FR" w:bidi="fr-FR"/>
        </w:rPr>
        <w:t>més entre ces États diminuent substantiellement.</w:t>
      </w:r>
    </w:p>
    <w:p w14:paraId="2E3FF499" w14:textId="77777777" w:rsidR="0039793A" w:rsidRPr="00594A23" w:rsidRDefault="0039793A" w:rsidP="0039793A">
      <w:pPr>
        <w:spacing w:before="120" w:after="120"/>
        <w:jc w:val="both"/>
      </w:pPr>
      <w:r w:rsidRPr="00594A23">
        <w:rPr>
          <w:lang w:eastAsia="fr-FR" w:bidi="fr-FR"/>
        </w:rPr>
        <w:t>Les États-Unis demeurent le principal joueur des relations intern</w:t>
      </w:r>
      <w:r w:rsidRPr="00594A23">
        <w:rPr>
          <w:lang w:eastAsia="fr-FR" w:bidi="fr-FR"/>
        </w:rPr>
        <w:t>a</w:t>
      </w:r>
      <w:r w:rsidRPr="00594A23">
        <w:rPr>
          <w:lang w:eastAsia="fr-FR" w:bidi="fr-FR"/>
        </w:rPr>
        <w:t>tionales — la seule superpuissance —, mais ils ne peuvent pas contraindre les autres joueurs ou influencer leurs actions comme ils ont pu le faire dans le contexte b</w:t>
      </w:r>
      <w:r w:rsidRPr="00594A23">
        <w:rPr>
          <w:lang w:eastAsia="fr-FR" w:bidi="fr-FR"/>
        </w:rPr>
        <w:t>i</w:t>
      </w:r>
      <w:r w:rsidRPr="00594A23">
        <w:rPr>
          <w:lang w:eastAsia="fr-FR" w:bidi="fr-FR"/>
        </w:rPr>
        <w:t>polaire de la guerre froide. Pour Friedman, le maintien d’une force militaire américaine se</w:t>
      </w:r>
      <w:r>
        <w:t xml:space="preserve"> [133] </w:t>
      </w:r>
      <w:r w:rsidRPr="00594A23">
        <w:rPr>
          <w:lang w:eastAsia="fr-FR" w:bidi="fr-FR"/>
        </w:rPr>
        <w:t>just</w:t>
      </w:r>
      <w:r w:rsidRPr="00594A23">
        <w:rPr>
          <w:lang w:eastAsia="fr-FR" w:bidi="fr-FR"/>
        </w:rPr>
        <w:t>i</w:t>
      </w:r>
      <w:r w:rsidRPr="00594A23">
        <w:rPr>
          <w:lang w:eastAsia="fr-FR" w:bidi="fr-FR"/>
        </w:rPr>
        <w:t>fie par le fait que tous les acteurs ne sont pas ratio</w:t>
      </w:r>
      <w:r w:rsidRPr="00594A23">
        <w:rPr>
          <w:lang w:eastAsia="fr-FR" w:bidi="fr-FR"/>
        </w:rPr>
        <w:t>n</w:t>
      </w:r>
      <w:r w:rsidRPr="00594A23">
        <w:rPr>
          <w:lang w:eastAsia="fr-FR" w:bidi="fr-FR"/>
        </w:rPr>
        <w:t>nels et que des menaces transnationales comme le crime organisé et le terrorisme demeurent. Les autres acteurs ne sont plus uniquement des États</w:t>
      </w:r>
      <w:r w:rsidRPr="00594A23">
        <w:t> :</w:t>
      </w:r>
      <w:r w:rsidRPr="00594A23">
        <w:rPr>
          <w:lang w:eastAsia="fr-FR" w:bidi="fr-FR"/>
        </w:rPr>
        <w:t xml:space="preserve"> des centres financiers i</w:t>
      </w:r>
      <w:r w:rsidRPr="00594A23">
        <w:rPr>
          <w:lang w:eastAsia="fr-FR" w:bidi="fr-FR"/>
        </w:rPr>
        <w:t>m</w:t>
      </w:r>
      <w:r w:rsidRPr="00594A23">
        <w:rPr>
          <w:lang w:eastAsia="fr-FR" w:bidi="fr-FR"/>
        </w:rPr>
        <w:t xml:space="preserve">portants comme Wall Street et Hong Kong et des magnats de la finance ou de l’industrie (des </w:t>
      </w:r>
      <w:r w:rsidRPr="009A68DE">
        <w:rPr>
          <w:i/>
          <w:iCs/>
        </w:rPr>
        <w:t>super-empowered-individuals</w:t>
      </w:r>
      <w:r w:rsidRPr="00594A23">
        <w:rPr>
          <w:lang w:eastAsia="fr-FR" w:bidi="fr-FR"/>
        </w:rPr>
        <w:t xml:space="preserve"> comme Bill Gates par exemple) peuvent également tenir tête à la superpuissance</w:t>
      </w:r>
      <w:r>
        <w:rPr>
          <w:lang w:eastAsia="fr-FR" w:bidi="fr-FR"/>
        </w:rPr>
        <w:t> </w:t>
      </w:r>
      <w:r>
        <w:rPr>
          <w:rStyle w:val="Appelnotedebasdep"/>
          <w:lang w:eastAsia="fr-FR" w:bidi="fr-FR"/>
        </w:rPr>
        <w:footnoteReference w:id="316"/>
      </w:r>
      <w:r>
        <w:rPr>
          <w:lang w:eastAsia="fr-FR" w:bidi="fr-FR"/>
        </w:rPr>
        <w:t>.</w:t>
      </w:r>
      <w:r w:rsidRPr="00594A23">
        <w:rPr>
          <w:lang w:eastAsia="fr-FR" w:bidi="fr-FR"/>
        </w:rPr>
        <w:t xml:space="preserve"> La mondialisation fou</w:t>
      </w:r>
      <w:r w:rsidRPr="00594A23">
        <w:rPr>
          <w:lang w:eastAsia="fr-FR" w:bidi="fr-FR"/>
        </w:rPr>
        <w:t>r</w:t>
      </w:r>
      <w:r w:rsidRPr="00594A23">
        <w:rPr>
          <w:lang w:eastAsia="fr-FR" w:bidi="fr-FR"/>
        </w:rPr>
        <w:t>nissant les moyens de renforcer le pouvoir des individus (par l’accès facile à la technol</w:t>
      </w:r>
      <w:r w:rsidRPr="00594A23">
        <w:rPr>
          <w:lang w:eastAsia="fr-FR" w:bidi="fr-FR"/>
        </w:rPr>
        <w:t>o</w:t>
      </w:r>
      <w:r w:rsidRPr="00594A23">
        <w:rPr>
          <w:lang w:eastAsia="fr-FR" w:bidi="fr-FR"/>
        </w:rPr>
        <w:t>gie, à l’information et au capital), Friedman voit comme menaces i</w:t>
      </w:r>
      <w:r w:rsidRPr="00594A23">
        <w:rPr>
          <w:lang w:eastAsia="fr-FR" w:bidi="fr-FR"/>
        </w:rPr>
        <w:t>m</w:t>
      </w:r>
      <w:r w:rsidRPr="00594A23">
        <w:rPr>
          <w:lang w:eastAsia="fr-FR" w:bidi="fr-FR"/>
        </w:rPr>
        <w:t>médiates à la sécurité nationale des États-Unis des magnats m</w:t>
      </w:r>
      <w:r w:rsidRPr="00594A23">
        <w:rPr>
          <w:lang w:eastAsia="fr-FR" w:bidi="fr-FR"/>
        </w:rPr>
        <w:t>é</w:t>
      </w:r>
      <w:r w:rsidRPr="00594A23">
        <w:rPr>
          <w:lang w:eastAsia="fr-FR" w:bidi="fr-FR"/>
        </w:rPr>
        <w:t>contents (comme Oussama Ben Laden) face à l’américanisation du monde</w:t>
      </w:r>
      <w:r>
        <w:rPr>
          <w:lang w:eastAsia="fr-FR" w:bidi="fr-FR"/>
        </w:rPr>
        <w:t> </w:t>
      </w:r>
      <w:r>
        <w:rPr>
          <w:rStyle w:val="Appelnotedebasdep"/>
          <w:lang w:eastAsia="fr-FR" w:bidi="fr-FR"/>
        </w:rPr>
        <w:footnoteReference w:id="317"/>
      </w:r>
      <w:r w:rsidRPr="00594A23">
        <w:rPr>
          <w:lang w:eastAsia="fr-FR" w:bidi="fr-FR"/>
        </w:rPr>
        <w:t>. C’est ce qui lui fait dire que si les États-Unis do</w:t>
      </w:r>
      <w:r w:rsidRPr="00594A23">
        <w:rPr>
          <w:lang w:eastAsia="fr-FR" w:bidi="fr-FR"/>
        </w:rPr>
        <w:t>i</w:t>
      </w:r>
      <w:r w:rsidRPr="00594A23">
        <w:rPr>
          <w:lang w:eastAsia="fr-FR" w:bidi="fr-FR"/>
        </w:rPr>
        <w:t>vent jouer un rôle minimal dans les relations internationales, la mondialisation ne peut pas perdurer sans une réelle politique étrangère des États-Unis fermement menée. Comme il le dit si bien</w:t>
      </w:r>
      <w:r w:rsidRPr="00594A23">
        <w:t> :</w:t>
      </w:r>
      <w:r w:rsidRPr="00594A23">
        <w:rPr>
          <w:lang w:eastAsia="fr-FR" w:bidi="fr-FR"/>
        </w:rPr>
        <w:t xml:space="preserve"> </w:t>
      </w:r>
      <w:r w:rsidRPr="00594A23">
        <w:t>« </w:t>
      </w:r>
      <w:r w:rsidRPr="00594A23">
        <w:rPr>
          <w:lang w:eastAsia="fr-FR" w:bidi="fr-FR"/>
        </w:rPr>
        <w:t>Attention Kmart sho</w:t>
      </w:r>
      <w:r w:rsidRPr="00594A23">
        <w:rPr>
          <w:lang w:eastAsia="fr-FR" w:bidi="fr-FR"/>
        </w:rPr>
        <w:t>p</w:t>
      </w:r>
      <w:r w:rsidRPr="00594A23">
        <w:rPr>
          <w:lang w:eastAsia="fr-FR" w:bidi="fr-FR"/>
        </w:rPr>
        <w:t>per</w:t>
      </w:r>
      <w:r w:rsidRPr="00594A23">
        <w:t> :</w:t>
      </w:r>
      <w:r w:rsidRPr="00594A23">
        <w:rPr>
          <w:lang w:eastAsia="fr-FR" w:bidi="fr-FR"/>
        </w:rPr>
        <w:t xml:space="preserve"> Without America on duty, there will be no America Online</w:t>
      </w:r>
      <w:r>
        <w:rPr>
          <w:lang w:eastAsia="fr-FR" w:bidi="fr-FR"/>
        </w:rPr>
        <w:t> </w:t>
      </w:r>
      <w:r>
        <w:rPr>
          <w:rStyle w:val="Appelnotedebasdep"/>
          <w:lang w:eastAsia="fr-FR" w:bidi="fr-FR"/>
        </w:rPr>
        <w:footnoteReference w:id="318"/>
      </w:r>
      <w:r w:rsidRPr="00594A23">
        <w:rPr>
          <w:lang w:eastAsia="fr-FR" w:bidi="fr-FR"/>
        </w:rPr>
        <w:t>.</w:t>
      </w:r>
      <w:r w:rsidRPr="00594A23">
        <w:t> »</w:t>
      </w:r>
    </w:p>
    <w:p w14:paraId="66976D24" w14:textId="77777777" w:rsidR="0039793A" w:rsidRDefault="0039793A" w:rsidP="0039793A">
      <w:pPr>
        <w:spacing w:before="120" w:after="120"/>
        <w:jc w:val="both"/>
        <w:rPr>
          <w:lang w:eastAsia="fr-FR" w:bidi="fr-FR"/>
        </w:rPr>
      </w:pPr>
    </w:p>
    <w:p w14:paraId="5A42FCEE" w14:textId="77777777" w:rsidR="0039793A" w:rsidRPr="00272DB6" w:rsidRDefault="0039793A" w:rsidP="0039793A">
      <w:pPr>
        <w:pStyle w:val="b"/>
      </w:pPr>
      <w:r w:rsidRPr="00272DB6">
        <w:rPr>
          <w:lang w:eastAsia="fr-FR" w:bidi="fr-FR"/>
        </w:rPr>
        <w:t>Fred Bergsten</w:t>
      </w:r>
    </w:p>
    <w:p w14:paraId="56EE2428" w14:textId="77777777" w:rsidR="0039793A" w:rsidRDefault="0039793A" w:rsidP="0039793A">
      <w:pPr>
        <w:spacing w:before="120" w:after="120"/>
        <w:jc w:val="both"/>
        <w:rPr>
          <w:lang w:eastAsia="fr-FR" w:bidi="fr-FR"/>
        </w:rPr>
      </w:pPr>
    </w:p>
    <w:p w14:paraId="08EDE960" w14:textId="77777777" w:rsidR="0039793A" w:rsidRPr="00594A23" w:rsidRDefault="0039793A" w:rsidP="0039793A">
      <w:pPr>
        <w:spacing w:before="120" w:after="120"/>
        <w:jc w:val="both"/>
      </w:pPr>
      <w:r w:rsidRPr="00594A23">
        <w:rPr>
          <w:lang w:eastAsia="fr-FR" w:bidi="fr-FR"/>
        </w:rPr>
        <w:t>Pour Fred Bergsten, avec la fin de la guerre froide, la p</w:t>
      </w:r>
      <w:r w:rsidRPr="00594A23">
        <w:rPr>
          <w:lang w:eastAsia="fr-FR" w:bidi="fr-FR"/>
        </w:rPr>
        <w:t>o</w:t>
      </w:r>
      <w:r w:rsidRPr="00594A23">
        <w:rPr>
          <w:lang w:eastAsia="fr-FR" w:bidi="fr-FR"/>
        </w:rPr>
        <w:t>litique étrangère des États-Unis a dû mettre en avant l’économie, à laquelle sont de plus en plus liés leurs intérêts nationaux. Étant donné l’absence de menace à la paix mo</w:t>
      </w:r>
      <w:r w:rsidRPr="00594A23">
        <w:rPr>
          <w:lang w:eastAsia="fr-FR" w:bidi="fr-FR"/>
        </w:rPr>
        <w:t>n</w:t>
      </w:r>
      <w:r w:rsidRPr="00594A23">
        <w:rPr>
          <w:lang w:eastAsia="fr-FR" w:bidi="fr-FR"/>
        </w:rPr>
        <w:t>diale avec la fin du communisme soviétique, Bergsten considère que l’économie prime désormais sur la sécurité. Si les événements du 11 septembre 2001 viennent ébranler quelque peu sa position, il insiste cependant sur l’importance de s’occuper du front économique de la guerre — son financement et ses retombées financières sur les marchés et les investissements — autant que le front sécuritaire, et ce, dans une stratégie économique multil</w:t>
      </w:r>
      <w:r w:rsidRPr="00594A23">
        <w:rPr>
          <w:lang w:eastAsia="fr-FR" w:bidi="fr-FR"/>
        </w:rPr>
        <w:t>a</w:t>
      </w:r>
      <w:r w:rsidRPr="00594A23">
        <w:rPr>
          <w:lang w:eastAsia="fr-FR" w:bidi="fr-FR"/>
        </w:rPr>
        <w:t>térale r</w:t>
      </w:r>
      <w:r w:rsidRPr="00594A23">
        <w:rPr>
          <w:lang w:eastAsia="fr-FR" w:bidi="fr-FR"/>
        </w:rPr>
        <w:t>é</w:t>
      </w:r>
      <w:r w:rsidRPr="00594A23">
        <w:rPr>
          <w:lang w:eastAsia="fr-FR" w:bidi="fr-FR"/>
        </w:rPr>
        <w:t>unissant les trois pôles de puissance économique que sont les États-Unis, l’Europe et l’Asie de l’Est</w:t>
      </w:r>
      <w:r>
        <w:rPr>
          <w:lang w:eastAsia="fr-FR" w:bidi="fr-FR"/>
        </w:rPr>
        <w:t> </w:t>
      </w:r>
      <w:r>
        <w:rPr>
          <w:rStyle w:val="Appelnotedebasdep"/>
          <w:lang w:eastAsia="fr-FR" w:bidi="fr-FR"/>
        </w:rPr>
        <w:footnoteReference w:id="319"/>
      </w:r>
      <w:r w:rsidRPr="00594A23">
        <w:rPr>
          <w:lang w:eastAsia="fr-FR" w:bidi="fr-FR"/>
        </w:rPr>
        <w:t>.</w:t>
      </w:r>
    </w:p>
    <w:p w14:paraId="2A1ECF5C" w14:textId="77777777" w:rsidR="0039793A" w:rsidRPr="00594A23" w:rsidRDefault="0039793A" w:rsidP="0039793A">
      <w:pPr>
        <w:spacing w:before="120" w:after="120"/>
        <w:jc w:val="both"/>
      </w:pPr>
      <w:r w:rsidRPr="00594A23">
        <w:rPr>
          <w:lang w:eastAsia="fr-FR" w:bidi="fr-FR"/>
        </w:rPr>
        <w:t xml:space="preserve">Avec la mondialisation, Bergsten souligne combien il est devenu fondamental pour les </w:t>
      </w:r>
      <w:r>
        <w:rPr>
          <w:lang w:eastAsia="fr-FR" w:bidi="fr-FR"/>
        </w:rPr>
        <w:t>États-Unis, en matière de poli</w:t>
      </w:r>
      <w:r w:rsidRPr="00594A23">
        <w:rPr>
          <w:lang w:eastAsia="fr-FR" w:bidi="fr-FR"/>
        </w:rPr>
        <w:t>tique</w:t>
      </w:r>
      <w:r>
        <w:t xml:space="preserve"> [134]</w:t>
      </w:r>
      <w:r w:rsidRPr="00594A23">
        <w:rPr>
          <w:lang w:eastAsia="fr-FR" w:bidi="fr-FR"/>
        </w:rPr>
        <w:t xml:space="preserve"> étra</w:t>
      </w:r>
      <w:r w:rsidRPr="00594A23">
        <w:rPr>
          <w:lang w:eastAsia="fr-FR" w:bidi="fr-FR"/>
        </w:rPr>
        <w:t>n</w:t>
      </w:r>
      <w:r w:rsidRPr="00594A23">
        <w:rPr>
          <w:lang w:eastAsia="fr-FR" w:bidi="fr-FR"/>
        </w:rPr>
        <w:t>gère, de poursuivre des objectifs économiques pour assurer leur le</w:t>
      </w:r>
      <w:r w:rsidRPr="00594A23">
        <w:rPr>
          <w:lang w:eastAsia="fr-FR" w:bidi="fr-FR"/>
        </w:rPr>
        <w:t>a</w:t>
      </w:r>
      <w:r w:rsidRPr="00594A23">
        <w:rPr>
          <w:lang w:eastAsia="fr-FR" w:bidi="fr-FR"/>
        </w:rPr>
        <w:t>dership mondial. Dans la sphère de la puissance écon</w:t>
      </w:r>
      <w:r w:rsidRPr="00594A23">
        <w:rPr>
          <w:lang w:eastAsia="fr-FR" w:bidi="fr-FR"/>
        </w:rPr>
        <w:t>o</w:t>
      </w:r>
      <w:r w:rsidRPr="00594A23">
        <w:rPr>
          <w:lang w:eastAsia="fr-FR" w:bidi="fr-FR"/>
        </w:rPr>
        <w:t xml:space="preserve">mique, les </w:t>
      </w:r>
      <w:r>
        <w:rPr>
          <w:lang w:eastAsia="fr-FR" w:bidi="fr-FR"/>
        </w:rPr>
        <w:t>État</w:t>
      </w:r>
      <w:r w:rsidRPr="00594A23">
        <w:rPr>
          <w:lang w:eastAsia="fr-FR" w:bidi="fr-FR"/>
        </w:rPr>
        <w:t>s-Unis ne sont pas les joueurs prédominants comme ils le sont sur le plan politico-militaire. Il est donc primordial que les relations éc</w:t>
      </w:r>
      <w:r w:rsidRPr="00594A23">
        <w:rPr>
          <w:lang w:eastAsia="fr-FR" w:bidi="fr-FR"/>
        </w:rPr>
        <w:t>o</w:t>
      </w:r>
      <w:r w:rsidRPr="00594A23">
        <w:rPr>
          <w:lang w:eastAsia="fr-FR" w:bidi="fr-FR"/>
        </w:rPr>
        <w:t>nomiques entre les grandes puissances soient privilégiées. Ég</w:t>
      </w:r>
      <w:r w:rsidRPr="00594A23">
        <w:rPr>
          <w:lang w:eastAsia="fr-FR" w:bidi="fr-FR"/>
        </w:rPr>
        <w:t>a</w:t>
      </w:r>
      <w:r w:rsidRPr="00594A23">
        <w:rPr>
          <w:lang w:eastAsia="fr-FR" w:bidi="fr-FR"/>
        </w:rPr>
        <w:t>lement centrales pour la politique étrangère américaine sont la performance et la compétitivité de l’économie américa</w:t>
      </w:r>
      <w:r w:rsidRPr="00594A23">
        <w:rPr>
          <w:lang w:eastAsia="fr-FR" w:bidi="fr-FR"/>
        </w:rPr>
        <w:t>i</w:t>
      </w:r>
      <w:r w:rsidRPr="00594A23">
        <w:rPr>
          <w:lang w:eastAsia="fr-FR" w:bidi="fr-FR"/>
        </w:rPr>
        <w:t xml:space="preserve">ne, </w:t>
      </w:r>
      <w:r w:rsidRPr="00594A23">
        <w:t xml:space="preserve">à </w:t>
      </w:r>
      <w:r w:rsidRPr="00594A23">
        <w:rPr>
          <w:lang w:eastAsia="fr-FR" w:bidi="fr-FR"/>
        </w:rPr>
        <w:t xml:space="preserve">défaut de quoi il devient difficile pour les États-Unis de jouer un rôle clé face </w:t>
      </w:r>
      <w:r w:rsidRPr="00594A23">
        <w:t xml:space="preserve">à </w:t>
      </w:r>
      <w:r w:rsidRPr="00594A23">
        <w:rPr>
          <w:lang w:eastAsia="fr-FR" w:bidi="fr-FR"/>
        </w:rPr>
        <w:t>des problém</w:t>
      </w:r>
      <w:r w:rsidRPr="00594A23">
        <w:rPr>
          <w:lang w:eastAsia="fr-FR" w:bidi="fr-FR"/>
        </w:rPr>
        <w:t>a</w:t>
      </w:r>
      <w:r w:rsidRPr="00594A23">
        <w:rPr>
          <w:lang w:eastAsia="fr-FR" w:bidi="fr-FR"/>
        </w:rPr>
        <w:t>tiques globales</w:t>
      </w:r>
      <w:r>
        <w:rPr>
          <w:lang w:eastAsia="fr-FR" w:bidi="fr-FR"/>
        </w:rPr>
        <w:t> </w:t>
      </w:r>
      <w:r>
        <w:rPr>
          <w:rStyle w:val="Appelnotedebasdep"/>
          <w:lang w:eastAsia="fr-FR" w:bidi="fr-FR"/>
        </w:rPr>
        <w:footnoteReference w:id="320"/>
      </w:r>
      <w:r w:rsidRPr="00594A23">
        <w:rPr>
          <w:lang w:eastAsia="fr-FR" w:bidi="fr-FR"/>
        </w:rPr>
        <w:t>. La politique étrangère am</w:t>
      </w:r>
      <w:r w:rsidRPr="00594A23">
        <w:rPr>
          <w:lang w:eastAsia="fr-FR" w:bidi="fr-FR"/>
        </w:rPr>
        <w:t>é</w:t>
      </w:r>
      <w:r w:rsidRPr="00594A23">
        <w:rPr>
          <w:lang w:eastAsia="fr-FR" w:bidi="fr-FR"/>
        </w:rPr>
        <w:t>ricaine doit donc avoir une forte composante économique intérieure, pui</w:t>
      </w:r>
      <w:r w:rsidRPr="00594A23">
        <w:rPr>
          <w:lang w:eastAsia="fr-FR" w:bidi="fr-FR"/>
        </w:rPr>
        <w:t>s</w:t>
      </w:r>
      <w:r w:rsidRPr="00594A23">
        <w:rPr>
          <w:lang w:eastAsia="fr-FR" w:bidi="fr-FR"/>
        </w:rPr>
        <w:t xml:space="preserve">qu’une faiblesse économique intérieure nuirait considérablement </w:t>
      </w:r>
      <w:r w:rsidRPr="00594A23">
        <w:t xml:space="preserve">à </w:t>
      </w:r>
      <w:r w:rsidRPr="00594A23">
        <w:rPr>
          <w:lang w:eastAsia="fr-FR" w:bidi="fr-FR"/>
        </w:rPr>
        <w:t>une politique étra</w:t>
      </w:r>
      <w:r w:rsidRPr="00594A23">
        <w:rPr>
          <w:lang w:eastAsia="fr-FR" w:bidi="fr-FR"/>
        </w:rPr>
        <w:t>n</w:t>
      </w:r>
      <w:r w:rsidRPr="00594A23">
        <w:rPr>
          <w:lang w:eastAsia="fr-FR" w:bidi="fr-FR"/>
        </w:rPr>
        <w:t xml:space="preserve">gère activiste, notamment </w:t>
      </w:r>
      <w:r w:rsidRPr="00594A23">
        <w:t xml:space="preserve">à </w:t>
      </w:r>
      <w:r w:rsidRPr="00594A23">
        <w:rPr>
          <w:lang w:eastAsia="fr-FR" w:bidi="fr-FR"/>
        </w:rPr>
        <w:t>son soutien popula</w:t>
      </w:r>
      <w:r w:rsidRPr="00594A23">
        <w:rPr>
          <w:lang w:eastAsia="fr-FR" w:bidi="fr-FR"/>
        </w:rPr>
        <w:t>i</w:t>
      </w:r>
      <w:r w:rsidRPr="00594A23">
        <w:rPr>
          <w:lang w:eastAsia="fr-FR" w:bidi="fr-FR"/>
        </w:rPr>
        <w:t>re.</w:t>
      </w:r>
    </w:p>
    <w:p w14:paraId="7B05BAD5" w14:textId="77777777" w:rsidR="0039793A" w:rsidRPr="00594A23" w:rsidRDefault="0039793A" w:rsidP="0039793A">
      <w:pPr>
        <w:spacing w:before="120" w:after="120"/>
        <w:jc w:val="both"/>
      </w:pPr>
      <w:r w:rsidRPr="00594A23">
        <w:rPr>
          <w:lang w:eastAsia="fr-FR" w:bidi="fr-FR"/>
        </w:rPr>
        <w:t>Bergsten met en relief les liens serrés entre le rôle global des États-Unis sur le plan de la sécurité et sur celui de l’économie. Après la fin de la guerre froide, Bergsten croyait même qu’aux blocs économiques régionaux pourrait se superposer une dynamique similaire en matière de défense et de sécurité</w:t>
      </w:r>
      <w:r>
        <w:rPr>
          <w:lang w:eastAsia="fr-FR" w:bidi="fr-FR"/>
        </w:rPr>
        <w:t> </w:t>
      </w:r>
      <w:r>
        <w:rPr>
          <w:rStyle w:val="Appelnotedebasdep"/>
          <w:lang w:eastAsia="fr-FR" w:bidi="fr-FR"/>
        </w:rPr>
        <w:footnoteReference w:id="321"/>
      </w:r>
      <w:r w:rsidRPr="00594A23">
        <w:rPr>
          <w:lang w:eastAsia="fr-FR" w:bidi="fr-FR"/>
        </w:rPr>
        <w:t>, des zones de sécurité régionale. Cette dynamique aurait pour conséquence de favoriser une mult</w:t>
      </w:r>
      <w:r w:rsidRPr="00594A23">
        <w:rPr>
          <w:lang w:eastAsia="fr-FR" w:bidi="fr-FR"/>
        </w:rPr>
        <w:t>i</w:t>
      </w:r>
      <w:r w:rsidRPr="00594A23">
        <w:rPr>
          <w:lang w:eastAsia="fr-FR" w:bidi="fr-FR"/>
        </w:rPr>
        <w:t>polarité au sein du système international, réduisant alors le rôle prépondérant des États-Unis (l’Europe et l’Asie de l’Est étant les autres pôles de la puissance). Or, comme le reconnaît Bergsten plus tard, si la domin</w:t>
      </w:r>
      <w:r w:rsidRPr="00594A23">
        <w:rPr>
          <w:lang w:eastAsia="fr-FR" w:bidi="fr-FR"/>
        </w:rPr>
        <w:t>a</w:t>
      </w:r>
      <w:r w:rsidRPr="00594A23">
        <w:rPr>
          <w:lang w:eastAsia="fr-FR" w:bidi="fr-FR"/>
        </w:rPr>
        <w:t>tion américaine s’est accrue sur le plan militaire, par contre, dans la sphère éc</w:t>
      </w:r>
      <w:r w:rsidRPr="00594A23">
        <w:rPr>
          <w:lang w:eastAsia="fr-FR" w:bidi="fr-FR"/>
        </w:rPr>
        <w:t>o</w:t>
      </w:r>
      <w:r w:rsidRPr="00594A23">
        <w:rPr>
          <w:lang w:eastAsia="fr-FR" w:bidi="fr-FR"/>
        </w:rPr>
        <w:t>nomique, avec la forte percée de l’euro, l’Europe s’affirme maintenant plus que jamais comme le principal concurrent des États-Unis</w:t>
      </w:r>
      <w:r>
        <w:rPr>
          <w:lang w:eastAsia="fr-FR" w:bidi="fr-FR"/>
        </w:rPr>
        <w:t> </w:t>
      </w:r>
      <w:r>
        <w:rPr>
          <w:rStyle w:val="Appelnotedebasdep"/>
          <w:lang w:eastAsia="fr-FR" w:bidi="fr-FR"/>
        </w:rPr>
        <w:footnoteReference w:id="322"/>
      </w:r>
      <w:r w:rsidRPr="00594A23">
        <w:rPr>
          <w:lang w:eastAsia="fr-FR" w:bidi="fr-FR"/>
        </w:rPr>
        <w:t>. Par voie de conséquence, et malgré une expansion majeure depuis 1992, la politique commerciale des États-Unis (que l’Exécutif oriente sur la promotion du libre-échange) semble glisser de plus en plus vers des prat</w:t>
      </w:r>
      <w:r w:rsidRPr="00594A23">
        <w:rPr>
          <w:lang w:eastAsia="fr-FR" w:bidi="fr-FR"/>
        </w:rPr>
        <w:t>i</w:t>
      </w:r>
      <w:r w:rsidRPr="00594A23">
        <w:rPr>
          <w:lang w:eastAsia="fr-FR" w:bidi="fr-FR"/>
        </w:rPr>
        <w:t>ques protectionnistes</w:t>
      </w:r>
      <w:r>
        <w:rPr>
          <w:lang w:eastAsia="fr-FR" w:bidi="fr-FR"/>
        </w:rPr>
        <w:t> </w:t>
      </w:r>
      <w:r>
        <w:rPr>
          <w:rStyle w:val="Appelnotedebasdep"/>
          <w:lang w:eastAsia="fr-FR" w:bidi="fr-FR"/>
        </w:rPr>
        <w:footnoteReference w:id="323"/>
      </w:r>
      <w:r w:rsidRPr="00594A23">
        <w:rPr>
          <w:lang w:eastAsia="fr-FR" w:bidi="fr-FR"/>
        </w:rPr>
        <w:t xml:space="preserve">. En effet, le Congrès s’est montré, durant les mandats présidentiels de Bill Clinton, très réticent </w:t>
      </w:r>
      <w:r w:rsidRPr="00594A23">
        <w:t xml:space="preserve">à </w:t>
      </w:r>
      <w:r w:rsidRPr="00594A23">
        <w:rPr>
          <w:lang w:eastAsia="fr-FR" w:bidi="fr-FR"/>
        </w:rPr>
        <w:t>donner le feu vert (</w:t>
      </w:r>
      <w:r w:rsidRPr="00E325F5">
        <w:rPr>
          <w:lang w:eastAsia="fr-FR" w:bidi="fr-FR"/>
        </w:rPr>
        <w:t>la</w:t>
      </w:r>
      <w:r w:rsidRPr="00272DB6">
        <w:rPr>
          <w:i/>
          <w:iCs/>
          <w:lang w:eastAsia="fr-FR" w:bidi="fr-FR"/>
        </w:rPr>
        <w:t xml:space="preserve"> </w:t>
      </w:r>
      <w:r w:rsidRPr="00272DB6">
        <w:rPr>
          <w:i/>
          <w:iCs/>
        </w:rPr>
        <w:t>Fast-track Authority</w:t>
      </w:r>
      <w:r w:rsidRPr="00594A23">
        <w:t>)</w:t>
      </w:r>
      <w:r w:rsidRPr="00594A23">
        <w:rPr>
          <w:lang w:eastAsia="fr-FR" w:bidi="fr-FR"/>
        </w:rPr>
        <w:t xml:space="preserve"> </w:t>
      </w:r>
      <w:r w:rsidRPr="00594A23">
        <w:t xml:space="preserve">à </w:t>
      </w:r>
      <w:r w:rsidRPr="00594A23">
        <w:rPr>
          <w:lang w:eastAsia="fr-FR" w:bidi="fr-FR"/>
        </w:rPr>
        <w:t>l’Exécutif pour signer des ententes internationales favorisant la libér</w:t>
      </w:r>
      <w:r w:rsidRPr="00594A23">
        <w:rPr>
          <w:lang w:eastAsia="fr-FR" w:bidi="fr-FR"/>
        </w:rPr>
        <w:t>a</w:t>
      </w:r>
      <w:r w:rsidRPr="00594A23">
        <w:rPr>
          <w:lang w:eastAsia="fr-FR" w:bidi="fr-FR"/>
        </w:rPr>
        <w:t>lisation accrue du</w:t>
      </w:r>
      <w:r>
        <w:t xml:space="preserve"> [135] </w:t>
      </w:r>
      <w:r w:rsidRPr="00594A23">
        <w:rPr>
          <w:lang w:eastAsia="fr-FR" w:bidi="fr-FR"/>
        </w:rPr>
        <w:t>commerce</w:t>
      </w:r>
      <w:r>
        <w:rPr>
          <w:lang w:eastAsia="fr-FR" w:bidi="fr-FR"/>
        </w:rPr>
        <w:t> </w:t>
      </w:r>
      <w:r>
        <w:rPr>
          <w:rStyle w:val="Appelnotedebasdep"/>
          <w:lang w:eastAsia="fr-FR" w:bidi="fr-FR"/>
        </w:rPr>
        <w:footnoteReference w:id="324"/>
      </w:r>
      <w:r>
        <w:rPr>
          <w:lang w:eastAsia="fr-FR" w:bidi="fr-FR"/>
        </w:rPr>
        <w:t>.</w:t>
      </w:r>
      <w:r w:rsidRPr="00594A23">
        <w:rPr>
          <w:lang w:eastAsia="fr-FR" w:bidi="fr-FR"/>
        </w:rPr>
        <w:t xml:space="preserve"> Les conséquences des pressions populaires ant</w:t>
      </w:r>
      <w:r w:rsidRPr="00594A23">
        <w:rPr>
          <w:lang w:eastAsia="fr-FR" w:bidi="fr-FR"/>
        </w:rPr>
        <w:t>i</w:t>
      </w:r>
      <w:r w:rsidRPr="00594A23">
        <w:rPr>
          <w:lang w:eastAsia="fr-FR" w:bidi="fr-FR"/>
        </w:rPr>
        <w:t>mon- dialistes intérieures et de l’impasse au niveau politique à Wa</w:t>
      </w:r>
      <w:r w:rsidRPr="00594A23">
        <w:rPr>
          <w:lang w:eastAsia="fr-FR" w:bidi="fr-FR"/>
        </w:rPr>
        <w:t>s</w:t>
      </w:r>
      <w:r w:rsidRPr="00594A23">
        <w:rPr>
          <w:lang w:eastAsia="fr-FR" w:bidi="fr-FR"/>
        </w:rPr>
        <w:t>hington sont réelles</w:t>
      </w:r>
      <w:r w:rsidRPr="00594A23">
        <w:t> :</w:t>
      </w:r>
      <w:r w:rsidRPr="00594A23">
        <w:rPr>
          <w:lang w:eastAsia="fr-FR" w:bidi="fr-FR"/>
        </w:rPr>
        <w:t xml:space="preserve"> les États-Unis connaissent un déclin de leur le</w:t>
      </w:r>
      <w:r w:rsidRPr="00594A23">
        <w:rPr>
          <w:lang w:eastAsia="fr-FR" w:bidi="fr-FR"/>
        </w:rPr>
        <w:t>a</w:t>
      </w:r>
      <w:r w:rsidRPr="00594A23">
        <w:rPr>
          <w:lang w:eastAsia="fr-FR" w:bidi="fr-FR"/>
        </w:rPr>
        <w:t>dership sur le plan économique.</w:t>
      </w:r>
    </w:p>
    <w:p w14:paraId="25DD8959" w14:textId="77777777" w:rsidR="0039793A" w:rsidRPr="00594A23" w:rsidRDefault="0039793A" w:rsidP="0039793A">
      <w:pPr>
        <w:spacing w:before="120" w:after="120"/>
        <w:jc w:val="both"/>
      </w:pPr>
      <w:r w:rsidRPr="00594A23">
        <w:rPr>
          <w:lang w:eastAsia="fr-FR" w:bidi="fr-FR"/>
        </w:rPr>
        <w:t>Les États-Unis demeurent cependant le plus important joueur éc</w:t>
      </w:r>
      <w:r w:rsidRPr="00594A23">
        <w:rPr>
          <w:lang w:eastAsia="fr-FR" w:bidi="fr-FR"/>
        </w:rPr>
        <w:t>o</w:t>
      </w:r>
      <w:r w:rsidRPr="00594A23">
        <w:rPr>
          <w:lang w:eastAsia="fr-FR" w:bidi="fr-FR"/>
        </w:rPr>
        <w:t>nomique mondial, en raison de leur croissance économique dans les années 1990 et de leur poids dans l’économie mondiale. S’ils n’ont toujours pas subi les effets directs de cette crise du leadership, c’est que les autres joueurs préfèrent éviter de les attaquer de front. Ber</w:t>
      </w:r>
      <w:r w:rsidRPr="00594A23">
        <w:rPr>
          <w:lang w:eastAsia="fr-FR" w:bidi="fr-FR"/>
        </w:rPr>
        <w:t>g</w:t>
      </w:r>
      <w:r w:rsidRPr="00594A23">
        <w:rPr>
          <w:lang w:eastAsia="fr-FR" w:bidi="fr-FR"/>
        </w:rPr>
        <w:t>sten croit que la résolution de cette crise de la mondialisation et de la politique étrangère économique des États-Unis devra passer par un cadre multilatéral global. Elle donnera une nouvelle vigueur à la lib</w:t>
      </w:r>
      <w:r w:rsidRPr="00594A23">
        <w:rPr>
          <w:lang w:eastAsia="fr-FR" w:bidi="fr-FR"/>
        </w:rPr>
        <w:t>é</w:t>
      </w:r>
      <w:r w:rsidRPr="00594A23">
        <w:rPr>
          <w:lang w:eastAsia="fr-FR" w:bidi="fr-FR"/>
        </w:rPr>
        <w:t>ralisation du commerce tout en permettant de réconcilier les blocs r</w:t>
      </w:r>
      <w:r w:rsidRPr="00594A23">
        <w:rPr>
          <w:lang w:eastAsia="fr-FR" w:bidi="fr-FR"/>
        </w:rPr>
        <w:t>é</w:t>
      </w:r>
      <w:r w:rsidRPr="00594A23">
        <w:rPr>
          <w:lang w:eastAsia="fr-FR" w:bidi="fr-FR"/>
        </w:rPr>
        <w:t>gionaux et de réduire les tensions entre les grandes puissances</w:t>
      </w:r>
      <w:r>
        <w:rPr>
          <w:lang w:eastAsia="fr-FR" w:bidi="fr-FR"/>
        </w:rPr>
        <w:t> </w:t>
      </w:r>
      <w:r>
        <w:rPr>
          <w:rStyle w:val="Appelnotedebasdep"/>
          <w:lang w:eastAsia="fr-FR" w:bidi="fr-FR"/>
        </w:rPr>
        <w:footnoteReference w:id="325"/>
      </w:r>
      <w:r w:rsidRPr="00594A23">
        <w:rPr>
          <w:lang w:eastAsia="fr-FR" w:bidi="fr-FR"/>
        </w:rPr>
        <w:t>. Ainsi, plutôt que d’adopter des politiques protectionnistes et de se co</w:t>
      </w:r>
      <w:r w:rsidRPr="00594A23">
        <w:rPr>
          <w:lang w:eastAsia="fr-FR" w:bidi="fr-FR"/>
        </w:rPr>
        <w:t>m</w:t>
      </w:r>
      <w:r w:rsidRPr="00594A23">
        <w:rPr>
          <w:lang w:eastAsia="fr-FR" w:bidi="fr-FR"/>
        </w:rPr>
        <w:t xml:space="preserve">porter unilatéralement dans le domaine de la politique étrangère, ce qui est susceptible d’entraîner des réponses similaires des autres blocs, les États-Unis (c’est-à-dire l’Administration </w:t>
      </w:r>
      <w:r w:rsidRPr="00594A23">
        <w:t>et</w:t>
      </w:r>
      <w:r w:rsidRPr="00594A23">
        <w:rPr>
          <w:lang w:eastAsia="fr-FR" w:bidi="fr-FR"/>
        </w:rPr>
        <w:t xml:space="preserve"> le Congrès, en l’occurrence) devraient plutôt s’efforcer d’assurer un leadership du système écon</w:t>
      </w:r>
      <w:r w:rsidRPr="00594A23">
        <w:rPr>
          <w:lang w:eastAsia="fr-FR" w:bidi="fr-FR"/>
        </w:rPr>
        <w:t>o</w:t>
      </w:r>
      <w:r w:rsidRPr="00594A23">
        <w:rPr>
          <w:lang w:eastAsia="fr-FR" w:bidi="fr-FR"/>
        </w:rPr>
        <w:t>mique mondial avec leurs partenaires européens et d’Asie du Sud-Est en adoptant une politique étrangère économique de coopération globale. A la lumière des événements de l’année 2002 en matière de politique commerciale, Bergsten avance l’idée que l’obtention, par le président Bush, de l’autorité de négocier rapid</w:t>
      </w:r>
      <w:r w:rsidRPr="00594A23">
        <w:rPr>
          <w:lang w:eastAsia="fr-FR" w:bidi="fr-FR"/>
        </w:rPr>
        <w:t>e</w:t>
      </w:r>
      <w:r w:rsidRPr="00594A23">
        <w:rPr>
          <w:lang w:eastAsia="fr-FR" w:bidi="fr-FR"/>
        </w:rPr>
        <w:t xml:space="preserve">ment les traités internationaux (la </w:t>
      </w:r>
      <w:r w:rsidRPr="00E325F5">
        <w:rPr>
          <w:i/>
          <w:iCs/>
        </w:rPr>
        <w:t>Trade Promotion Authority</w:t>
      </w:r>
      <w:r w:rsidRPr="00594A23">
        <w:t>,</w:t>
      </w:r>
      <w:r w:rsidRPr="00594A23">
        <w:rPr>
          <w:lang w:eastAsia="fr-FR" w:bidi="fr-FR"/>
        </w:rPr>
        <w:t xml:space="preserve"> ancie</w:t>
      </w:r>
      <w:r w:rsidRPr="00594A23">
        <w:rPr>
          <w:lang w:eastAsia="fr-FR" w:bidi="fr-FR"/>
        </w:rPr>
        <w:t>n</w:t>
      </w:r>
      <w:r w:rsidRPr="00594A23">
        <w:rPr>
          <w:lang w:eastAsia="fr-FR" w:bidi="fr-FR"/>
        </w:rPr>
        <w:t xml:space="preserve">nement la </w:t>
      </w:r>
      <w:r w:rsidRPr="00E325F5">
        <w:rPr>
          <w:i/>
          <w:iCs/>
        </w:rPr>
        <w:t>Fast-track Authority</w:t>
      </w:r>
      <w:r w:rsidRPr="00594A23">
        <w:t>)</w:t>
      </w:r>
      <w:r w:rsidRPr="00594A23">
        <w:rPr>
          <w:lang w:eastAsia="fr-FR" w:bidi="fr-FR"/>
        </w:rPr>
        <w:t xml:space="preserve"> annonce une transformation fond</w:t>
      </w:r>
      <w:r w:rsidRPr="00594A23">
        <w:rPr>
          <w:lang w:eastAsia="fr-FR" w:bidi="fr-FR"/>
        </w:rPr>
        <w:t>a</w:t>
      </w:r>
      <w:r w:rsidRPr="00594A23">
        <w:rPr>
          <w:lang w:eastAsia="fr-FR" w:bidi="fr-FR"/>
        </w:rPr>
        <w:t>mentale de la politique commerciale vers une plus grande ouverture du commerce international. Les mesures protectionnistes de l’Administration Bush en 2001 et 2002, que Bergsten dénonce, a</w:t>
      </w:r>
      <w:r w:rsidRPr="00594A23">
        <w:rPr>
          <w:lang w:eastAsia="fr-FR" w:bidi="fr-FR"/>
        </w:rPr>
        <w:t>u</w:t>
      </w:r>
      <w:r w:rsidRPr="00594A23">
        <w:rPr>
          <w:lang w:eastAsia="fr-FR" w:bidi="fr-FR"/>
        </w:rPr>
        <w:t>raient permis en fait de consolider la politique commerciale américa</w:t>
      </w:r>
      <w:r w:rsidRPr="00594A23">
        <w:rPr>
          <w:lang w:eastAsia="fr-FR" w:bidi="fr-FR"/>
        </w:rPr>
        <w:t>i</w:t>
      </w:r>
      <w:r w:rsidRPr="00594A23">
        <w:rPr>
          <w:lang w:eastAsia="fr-FR" w:bidi="fr-FR"/>
        </w:rPr>
        <w:t>ne</w:t>
      </w:r>
      <w:r w:rsidRPr="00594A23">
        <w:t> :</w:t>
      </w:r>
      <w:r w:rsidRPr="00594A23">
        <w:rPr>
          <w:lang w:eastAsia="fr-FR" w:bidi="fr-FR"/>
        </w:rPr>
        <w:t xml:space="preserve"> cette consolidation permettrait ensuite d’exercer des pressions sur les autres États et acteurs internationaux en vue d’une coopération a</w:t>
      </w:r>
      <w:r w:rsidRPr="00594A23">
        <w:rPr>
          <w:lang w:eastAsia="fr-FR" w:bidi="fr-FR"/>
        </w:rPr>
        <w:t>c</w:t>
      </w:r>
      <w:r w:rsidRPr="00594A23">
        <w:rPr>
          <w:lang w:eastAsia="fr-FR" w:bidi="fr-FR"/>
        </w:rPr>
        <w:t xml:space="preserve">crue favorisant une </w:t>
      </w:r>
      <w:r w:rsidRPr="00594A23">
        <w:t>« </w:t>
      </w:r>
      <w:r w:rsidRPr="00594A23">
        <w:rPr>
          <w:lang w:eastAsia="fr-FR" w:bidi="fr-FR"/>
        </w:rPr>
        <w:t>libéralisation compétitive</w:t>
      </w:r>
      <w:r>
        <w:rPr>
          <w:lang w:eastAsia="fr-FR" w:bidi="fr-FR"/>
        </w:rPr>
        <w:t> </w:t>
      </w:r>
      <w:r>
        <w:rPr>
          <w:rStyle w:val="Appelnotedebasdep"/>
          <w:lang w:eastAsia="fr-FR" w:bidi="fr-FR"/>
        </w:rPr>
        <w:footnoteReference w:id="326"/>
      </w:r>
      <w:r w:rsidRPr="00594A23">
        <w:t> »</w:t>
      </w:r>
      <w:r w:rsidRPr="00594A23">
        <w:rPr>
          <w:lang w:eastAsia="fr-FR" w:bidi="fr-FR"/>
        </w:rPr>
        <w:t>.</w:t>
      </w:r>
    </w:p>
    <w:p w14:paraId="3EEADA7F" w14:textId="77777777" w:rsidR="0039793A" w:rsidRDefault="0039793A" w:rsidP="0039793A">
      <w:pPr>
        <w:spacing w:before="120" w:after="120"/>
        <w:jc w:val="both"/>
      </w:pPr>
      <w:r>
        <w:t>[136]</w:t>
      </w:r>
    </w:p>
    <w:p w14:paraId="52CD18B2" w14:textId="77777777" w:rsidR="0039793A" w:rsidRDefault="0039793A" w:rsidP="0039793A">
      <w:pPr>
        <w:spacing w:before="120" w:after="120"/>
        <w:jc w:val="both"/>
      </w:pPr>
    </w:p>
    <w:p w14:paraId="21394759" w14:textId="77777777" w:rsidR="0039793A" w:rsidRPr="00594A23" w:rsidRDefault="0039793A" w:rsidP="0039793A">
      <w:pPr>
        <w:pStyle w:val="a"/>
      </w:pPr>
      <w:r w:rsidRPr="00594A23">
        <w:t>L’école isolationniste antimondialiste</w:t>
      </w:r>
    </w:p>
    <w:p w14:paraId="2D72DD47" w14:textId="77777777" w:rsidR="0039793A" w:rsidRDefault="0039793A" w:rsidP="0039793A">
      <w:pPr>
        <w:spacing w:before="120" w:after="120"/>
        <w:jc w:val="both"/>
        <w:rPr>
          <w:lang w:eastAsia="fr-FR" w:bidi="fr-FR"/>
        </w:rPr>
      </w:pPr>
    </w:p>
    <w:p w14:paraId="2A9FAC42" w14:textId="77777777" w:rsidR="0039793A" w:rsidRPr="00594A23" w:rsidRDefault="0039793A" w:rsidP="0039793A">
      <w:pPr>
        <w:spacing w:before="120" w:after="120"/>
        <w:jc w:val="both"/>
      </w:pPr>
      <w:r w:rsidRPr="00594A23">
        <w:rPr>
          <w:lang w:eastAsia="fr-FR" w:bidi="fr-FR"/>
        </w:rPr>
        <w:t>Les isolationnistes antimondialistes sont profondément opposés à la démarche interventionniste des États-Unis dans les affaires intern</w:t>
      </w:r>
      <w:r w:rsidRPr="00594A23">
        <w:rPr>
          <w:lang w:eastAsia="fr-FR" w:bidi="fr-FR"/>
        </w:rPr>
        <w:t>a</w:t>
      </w:r>
      <w:r w:rsidRPr="00594A23">
        <w:rPr>
          <w:lang w:eastAsia="fr-FR" w:bidi="fr-FR"/>
        </w:rPr>
        <w:t>tionales. Ils ne croient pas que les États-Unis soient mieux intentio</w:t>
      </w:r>
      <w:r w:rsidRPr="00594A23">
        <w:rPr>
          <w:lang w:eastAsia="fr-FR" w:bidi="fr-FR"/>
        </w:rPr>
        <w:t>n</w:t>
      </w:r>
      <w:r w:rsidRPr="00594A23">
        <w:rPr>
          <w:lang w:eastAsia="fr-FR" w:bidi="fr-FR"/>
        </w:rPr>
        <w:t>nés que d’autres grandes pui</w:t>
      </w:r>
      <w:r w:rsidRPr="00594A23">
        <w:rPr>
          <w:lang w:eastAsia="fr-FR" w:bidi="fr-FR"/>
        </w:rPr>
        <w:t>s</w:t>
      </w:r>
      <w:r w:rsidRPr="00594A23">
        <w:rPr>
          <w:lang w:eastAsia="fr-FR" w:bidi="fr-FR"/>
        </w:rPr>
        <w:t>sances de l’Histoire. Par conséquent, ils ne sont pas dupes des discours moralisateurs et grandiloquents des administr</w:t>
      </w:r>
      <w:r w:rsidRPr="00594A23">
        <w:rPr>
          <w:lang w:eastAsia="fr-FR" w:bidi="fr-FR"/>
        </w:rPr>
        <w:t>a</w:t>
      </w:r>
      <w:r w:rsidRPr="00594A23">
        <w:rPr>
          <w:lang w:eastAsia="fr-FR" w:bidi="fr-FR"/>
        </w:rPr>
        <w:t>tions américaines qui prétendent agir pour le progrès et le bien commun en défendant les intérêts américains. Le di</w:t>
      </w:r>
      <w:r w:rsidRPr="00594A23">
        <w:rPr>
          <w:lang w:eastAsia="fr-FR" w:bidi="fr-FR"/>
        </w:rPr>
        <w:t>s</w:t>
      </w:r>
      <w:r w:rsidRPr="00594A23">
        <w:rPr>
          <w:lang w:eastAsia="fr-FR" w:bidi="fr-FR"/>
        </w:rPr>
        <w:t>cours des élites leur semble ainsi fortement idéologique</w:t>
      </w:r>
      <w:r w:rsidRPr="00594A23">
        <w:t> :</w:t>
      </w:r>
      <w:r w:rsidRPr="00594A23">
        <w:rPr>
          <w:lang w:eastAsia="fr-FR" w:bidi="fr-FR"/>
        </w:rPr>
        <w:t xml:space="preserve"> il exercerait un contr</w:t>
      </w:r>
      <w:r w:rsidRPr="00594A23">
        <w:rPr>
          <w:lang w:eastAsia="fr-FR" w:bidi="fr-FR"/>
        </w:rPr>
        <w:t>ô</w:t>
      </w:r>
      <w:r w:rsidRPr="00594A23">
        <w:rPr>
          <w:lang w:eastAsia="fr-FR" w:bidi="fr-FR"/>
        </w:rPr>
        <w:t>le sur la pensée des individus en pr</w:t>
      </w:r>
      <w:r w:rsidRPr="00594A23">
        <w:rPr>
          <w:lang w:eastAsia="fr-FR" w:bidi="fr-FR"/>
        </w:rPr>
        <w:t>o</w:t>
      </w:r>
      <w:r w:rsidRPr="00594A23">
        <w:rPr>
          <w:lang w:eastAsia="fr-FR" w:bidi="fr-FR"/>
        </w:rPr>
        <w:t>mouvant une vision libérale du monde. Les isolationnistes sont antimondialistes, car ils considèrent que la mondialisation n’est pas un mouvement améliorant les cond</w:t>
      </w:r>
      <w:r w:rsidRPr="00594A23">
        <w:rPr>
          <w:lang w:eastAsia="fr-FR" w:bidi="fr-FR"/>
        </w:rPr>
        <w:t>i</w:t>
      </w:r>
      <w:r w:rsidRPr="00594A23">
        <w:rPr>
          <w:lang w:eastAsia="fr-FR" w:bidi="fr-FR"/>
        </w:rPr>
        <w:t>tions de vie des individus, mais plutôt une dynamique imposée par les élites des pays, des organisations internationales financières, des m</w:t>
      </w:r>
      <w:r w:rsidRPr="00594A23">
        <w:rPr>
          <w:lang w:eastAsia="fr-FR" w:bidi="fr-FR"/>
        </w:rPr>
        <w:t>i</w:t>
      </w:r>
      <w:r w:rsidRPr="00594A23">
        <w:rPr>
          <w:lang w:eastAsia="fr-FR" w:bidi="fr-FR"/>
        </w:rPr>
        <w:t>lieux d’affaires, des marchés financiers et des entreprises pour leur seul profit. Les isolationnistes ant</w:t>
      </w:r>
      <w:r w:rsidRPr="00594A23">
        <w:rPr>
          <w:lang w:eastAsia="fr-FR" w:bidi="fr-FR"/>
        </w:rPr>
        <w:t>i</w:t>
      </w:r>
      <w:r w:rsidRPr="00594A23">
        <w:rPr>
          <w:lang w:eastAsia="fr-FR" w:bidi="fr-FR"/>
        </w:rPr>
        <w:t>mondialistes dénoncent l’impérialisme américain que l’on retrouve inexorablement associé aux projets liés à la mondialisation, les États-Unis demeurant au ce</w:t>
      </w:r>
      <w:r w:rsidRPr="00594A23">
        <w:rPr>
          <w:lang w:eastAsia="fr-FR" w:bidi="fr-FR"/>
        </w:rPr>
        <w:t>n</w:t>
      </w:r>
      <w:r w:rsidRPr="00594A23">
        <w:rPr>
          <w:lang w:eastAsia="fr-FR" w:bidi="fr-FR"/>
        </w:rPr>
        <w:t>tre du système international sur les plans militaire, politique, écon</w:t>
      </w:r>
      <w:r w:rsidRPr="00594A23">
        <w:rPr>
          <w:lang w:eastAsia="fr-FR" w:bidi="fr-FR"/>
        </w:rPr>
        <w:t>o</w:t>
      </w:r>
      <w:r w:rsidRPr="00594A23">
        <w:rPr>
          <w:lang w:eastAsia="fr-FR" w:bidi="fr-FR"/>
        </w:rPr>
        <w:t>mique et culturel.</w:t>
      </w:r>
    </w:p>
    <w:p w14:paraId="4AA0340C" w14:textId="77777777" w:rsidR="0039793A" w:rsidRDefault="0039793A" w:rsidP="0039793A">
      <w:pPr>
        <w:spacing w:before="120" w:after="120"/>
        <w:jc w:val="both"/>
        <w:rPr>
          <w:lang w:eastAsia="fr-FR" w:bidi="fr-FR"/>
        </w:rPr>
      </w:pPr>
      <w:r>
        <w:rPr>
          <w:lang w:eastAsia="fr-FR" w:bidi="fr-FR"/>
        </w:rPr>
        <w:br w:type="page"/>
      </w:r>
    </w:p>
    <w:p w14:paraId="7EF9828D" w14:textId="77777777" w:rsidR="0039793A" w:rsidRPr="004F4AFA" w:rsidRDefault="0039793A" w:rsidP="0039793A">
      <w:pPr>
        <w:pStyle w:val="b"/>
      </w:pPr>
      <w:r w:rsidRPr="004F4AFA">
        <w:rPr>
          <w:lang w:eastAsia="fr-FR" w:bidi="fr-FR"/>
        </w:rPr>
        <w:t>Noam Chomsky</w:t>
      </w:r>
    </w:p>
    <w:p w14:paraId="45126564" w14:textId="77777777" w:rsidR="0039793A" w:rsidRDefault="0039793A" w:rsidP="0039793A">
      <w:pPr>
        <w:spacing w:before="120" w:after="120"/>
        <w:jc w:val="both"/>
        <w:rPr>
          <w:lang w:eastAsia="fr-FR" w:bidi="fr-FR"/>
        </w:rPr>
      </w:pPr>
    </w:p>
    <w:p w14:paraId="6DC88511" w14:textId="77777777" w:rsidR="0039793A" w:rsidRPr="00594A23" w:rsidRDefault="0039793A" w:rsidP="0039793A">
      <w:pPr>
        <w:spacing w:before="120" w:after="120"/>
        <w:jc w:val="both"/>
      </w:pPr>
      <w:r w:rsidRPr="00594A23">
        <w:rPr>
          <w:lang w:eastAsia="fr-FR" w:bidi="fr-FR"/>
        </w:rPr>
        <w:t>Affilié à l’approche minimaliste, Noam Chomsky, polémiste crit</w:t>
      </w:r>
      <w:r w:rsidRPr="00594A23">
        <w:rPr>
          <w:lang w:eastAsia="fr-FR" w:bidi="fr-FR"/>
        </w:rPr>
        <w:t>i</w:t>
      </w:r>
      <w:r w:rsidRPr="00594A23">
        <w:rPr>
          <w:lang w:eastAsia="fr-FR" w:bidi="fr-FR"/>
        </w:rPr>
        <w:t>que de la politique extérieure des États-Unis, n’est pas aisément ass</w:t>
      </w:r>
      <w:r w:rsidRPr="00594A23">
        <w:rPr>
          <w:lang w:eastAsia="fr-FR" w:bidi="fr-FR"/>
        </w:rPr>
        <w:t>o</w:t>
      </w:r>
      <w:r w:rsidRPr="00594A23">
        <w:rPr>
          <w:lang w:eastAsia="fr-FR" w:bidi="fr-FR"/>
        </w:rPr>
        <w:t>cié à un courant particulier, ayant lui-même refusé toute étiquette. Néanmoins, il se dit anarcho-syndicaliste ou encore socialiste libert</w:t>
      </w:r>
      <w:r w:rsidRPr="00594A23">
        <w:rPr>
          <w:lang w:eastAsia="fr-FR" w:bidi="fr-FR"/>
        </w:rPr>
        <w:t>a</w:t>
      </w:r>
      <w:r w:rsidRPr="00594A23">
        <w:rPr>
          <w:lang w:eastAsia="fr-FR" w:bidi="fr-FR"/>
        </w:rPr>
        <w:t>rien, c’est-à-dire a</w:t>
      </w:r>
      <w:r w:rsidRPr="00594A23">
        <w:rPr>
          <w:lang w:eastAsia="fr-FR" w:bidi="fr-FR"/>
        </w:rPr>
        <w:t>d</w:t>
      </w:r>
      <w:r w:rsidRPr="00594A23">
        <w:rPr>
          <w:lang w:eastAsia="fr-FR" w:bidi="fr-FR"/>
        </w:rPr>
        <w:t>hérent d’une philosophie politique alliant l’anarchisme et le socialisme issu des Lumières. Cette approche prône un act</w:t>
      </w:r>
      <w:r w:rsidRPr="00594A23">
        <w:rPr>
          <w:lang w:eastAsia="fr-FR" w:bidi="fr-FR"/>
        </w:rPr>
        <w:t>i</w:t>
      </w:r>
      <w:r w:rsidRPr="00594A23">
        <w:rPr>
          <w:lang w:eastAsia="fr-FR" w:bidi="fr-FR"/>
        </w:rPr>
        <w:t>visme politique et une lutte contre toute forme d’oppression, notamment de la pensée et de l’expression</w:t>
      </w:r>
      <w:r w:rsidRPr="00594A23">
        <w:t> :</w:t>
      </w:r>
      <w:r w:rsidRPr="00594A23">
        <w:rPr>
          <w:lang w:eastAsia="fr-FR" w:bidi="fr-FR"/>
        </w:rPr>
        <w:t xml:space="preserve"> </w:t>
      </w:r>
      <w:r w:rsidRPr="00594A23">
        <w:t>« </w:t>
      </w:r>
      <w:r w:rsidRPr="00594A23">
        <w:rPr>
          <w:lang w:eastAsia="fr-FR" w:bidi="fr-FR"/>
        </w:rPr>
        <w:t>dans le monde d’aujourd’hui, [...] le but d’un anarchiste engagé devrait être de d</w:t>
      </w:r>
      <w:r w:rsidRPr="00594A23">
        <w:rPr>
          <w:lang w:eastAsia="fr-FR" w:bidi="fr-FR"/>
        </w:rPr>
        <w:t>é</w:t>
      </w:r>
      <w:r w:rsidRPr="00594A23">
        <w:rPr>
          <w:lang w:eastAsia="fr-FR" w:bidi="fr-FR"/>
        </w:rPr>
        <w:t>fendre quelques institutions étatiques contre des att</w:t>
      </w:r>
      <w:r w:rsidRPr="00594A23">
        <w:rPr>
          <w:lang w:eastAsia="fr-FR" w:bidi="fr-FR"/>
        </w:rPr>
        <w:t>a</w:t>
      </w:r>
      <w:r w:rsidRPr="00594A23">
        <w:rPr>
          <w:lang w:eastAsia="fr-FR" w:bidi="fr-FR"/>
        </w:rPr>
        <w:t>ques, tout en cherchant à les rendre plus ouvertes à la part</w:t>
      </w:r>
      <w:r w:rsidRPr="00594A23">
        <w:rPr>
          <w:lang w:eastAsia="fr-FR" w:bidi="fr-FR"/>
        </w:rPr>
        <w:t>i</w:t>
      </w:r>
      <w:r w:rsidRPr="00594A23">
        <w:rPr>
          <w:lang w:eastAsia="fr-FR" w:bidi="fr-FR"/>
        </w:rPr>
        <w:t>cipation du public - et, ultimement, de les démanteler pour en arriver à une société plus libre, si les conditions circonstancielles nécessaires peuvent être r</w:t>
      </w:r>
      <w:r w:rsidRPr="00594A23">
        <w:rPr>
          <w:lang w:eastAsia="fr-FR" w:bidi="fr-FR"/>
        </w:rPr>
        <w:t>é</w:t>
      </w:r>
      <w:r w:rsidRPr="00594A23">
        <w:rPr>
          <w:lang w:eastAsia="fr-FR" w:bidi="fr-FR"/>
        </w:rPr>
        <w:t>unies</w:t>
      </w:r>
      <w:r>
        <w:rPr>
          <w:lang w:eastAsia="fr-FR" w:bidi="fr-FR"/>
        </w:rPr>
        <w:t> </w:t>
      </w:r>
      <w:r>
        <w:rPr>
          <w:rStyle w:val="Appelnotedebasdep"/>
          <w:lang w:eastAsia="fr-FR" w:bidi="fr-FR"/>
        </w:rPr>
        <w:footnoteReference w:id="327"/>
      </w:r>
      <w:r w:rsidRPr="00594A23">
        <w:t> »</w:t>
      </w:r>
      <w:r w:rsidRPr="00594A23">
        <w:rPr>
          <w:lang w:eastAsia="fr-FR" w:bidi="fr-FR"/>
        </w:rPr>
        <w:t>.</w:t>
      </w:r>
    </w:p>
    <w:p w14:paraId="40A5D1EA" w14:textId="77777777" w:rsidR="0039793A" w:rsidRPr="00594A23" w:rsidRDefault="0039793A" w:rsidP="0039793A">
      <w:pPr>
        <w:spacing w:before="120" w:after="120"/>
        <w:jc w:val="both"/>
      </w:pPr>
      <w:r>
        <w:t>[137]</w:t>
      </w:r>
    </w:p>
    <w:p w14:paraId="3472D7D9" w14:textId="77777777" w:rsidR="0039793A" w:rsidRPr="00594A23" w:rsidRDefault="0039793A" w:rsidP="0039793A">
      <w:pPr>
        <w:spacing w:before="120" w:after="120"/>
        <w:jc w:val="both"/>
      </w:pPr>
      <w:r w:rsidRPr="00594A23">
        <w:rPr>
          <w:lang w:eastAsia="fr-FR" w:bidi="fr-FR"/>
        </w:rPr>
        <w:t>Pourquoi créer une catégorie pour Chomsky et lui seul</w:t>
      </w:r>
      <w:r w:rsidRPr="00594A23">
        <w:t> ?</w:t>
      </w:r>
      <w:r w:rsidRPr="00594A23">
        <w:rPr>
          <w:lang w:eastAsia="fr-FR" w:bidi="fr-FR"/>
        </w:rPr>
        <w:t xml:space="preserve"> En pr</w:t>
      </w:r>
      <w:r w:rsidRPr="00594A23">
        <w:rPr>
          <w:lang w:eastAsia="fr-FR" w:bidi="fr-FR"/>
        </w:rPr>
        <w:t>e</w:t>
      </w:r>
      <w:r w:rsidRPr="00594A23">
        <w:rPr>
          <w:lang w:eastAsia="fr-FR" w:bidi="fr-FR"/>
        </w:rPr>
        <w:t>mier lieu, il constitue un observateur incontournable de la réalité pol</w:t>
      </w:r>
      <w:r w:rsidRPr="00594A23">
        <w:rPr>
          <w:lang w:eastAsia="fr-FR" w:bidi="fr-FR"/>
        </w:rPr>
        <w:t>i</w:t>
      </w:r>
      <w:r w:rsidRPr="00594A23">
        <w:rPr>
          <w:lang w:eastAsia="fr-FR" w:bidi="fr-FR"/>
        </w:rPr>
        <w:t>tique américaine, bien qu’il soit difficile à classer et à assimiler à d’autres. Sans se pencher sur l’ensemble des causes embrassées par Chomsky comme i</w:t>
      </w:r>
      <w:r w:rsidRPr="00594A23">
        <w:rPr>
          <w:lang w:eastAsia="fr-FR" w:bidi="fr-FR"/>
        </w:rPr>
        <w:t>n</w:t>
      </w:r>
      <w:r w:rsidRPr="00594A23">
        <w:rPr>
          <w:lang w:eastAsia="fr-FR" w:bidi="fr-FR"/>
        </w:rPr>
        <w:t>tellectuel engagé, il faut souligner sa démarche critique, s</w:t>
      </w:r>
      <w:r w:rsidRPr="00594A23">
        <w:rPr>
          <w:lang w:eastAsia="fr-FR" w:bidi="fr-FR"/>
        </w:rPr>
        <w:t>é</w:t>
      </w:r>
      <w:r w:rsidRPr="00594A23">
        <w:rPr>
          <w:lang w:eastAsia="fr-FR" w:bidi="fr-FR"/>
        </w:rPr>
        <w:t>vère, des actions des États-Unis sur la scène internationale. En dernier lieu, si l’on associe Chomsky à un certain courant isol</w:t>
      </w:r>
      <w:r w:rsidRPr="00594A23">
        <w:rPr>
          <w:lang w:eastAsia="fr-FR" w:bidi="fr-FR"/>
        </w:rPr>
        <w:t>a</w:t>
      </w:r>
      <w:r w:rsidRPr="00594A23">
        <w:rPr>
          <w:lang w:eastAsia="fr-FR" w:bidi="fr-FR"/>
        </w:rPr>
        <w:t>tionniste, c’est qu’il s’est érigé en critique radical de la politique i</w:t>
      </w:r>
      <w:r w:rsidRPr="00594A23">
        <w:rPr>
          <w:lang w:eastAsia="fr-FR" w:bidi="fr-FR"/>
        </w:rPr>
        <w:t>n</w:t>
      </w:r>
      <w:r w:rsidRPr="00594A23">
        <w:rPr>
          <w:lang w:eastAsia="fr-FR" w:bidi="fr-FR"/>
        </w:rPr>
        <w:t>ternationale interventionniste des États-Unis depuis la première guerre mondiale. La politique libérale des États-Unis cache, pour lui, les int</w:t>
      </w:r>
      <w:r w:rsidRPr="00594A23">
        <w:rPr>
          <w:lang w:eastAsia="fr-FR" w:bidi="fr-FR"/>
        </w:rPr>
        <w:t>é</w:t>
      </w:r>
      <w:r w:rsidRPr="00594A23">
        <w:rPr>
          <w:lang w:eastAsia="fr-FR" w:bidi="fr-FR"/>
        </w:rPr>
        <w:t>rêts égoïstes d’une puissance impérialiste, ayant au cours de la guerre froide soutenu de nombreux régimes dictatoriaux, dans le Tiers Mo</w:t>
      </w:r>
      <w:r w:rsidRPr="00594A23">
        <w:rPr>
          <w:lang w:eastAsia="fr-FR" w:bidi="fr-FR"/>
        </w:rPr>
        <w:t>n</w:t>
      </w:r>
      <w:r w:rsidRPr="00594A23">
        <w:rPr>
          <w:lang w:eastAsia="fr-FR" w:bidi="fr-FR"/>
        </w:rPr>
        <w:t>de et en Amérique latine particulièrement</w:t>
      </w:r>
      <w:r>
        <w:rPr>
          <w:lang w:eastAsia="fr-FR" w:bidi="fr-FR"/>
        </w:rPr>
        <w:t> </w:t>
      </w:r>
      <w:r>
        <w:rPr>
          <w:rStyle w:val="Appelnotedebasdep"/>
          <w:lang w:eastAsia="fr-FR" w:bidi="fr-FR"/>
        </w:rPr>
        <w:footnoteReference w:id="328"/>
      </w:r>
      <w:r w:rsidRPr="00594A23">
        <w:rPr>
          <w:lang w:eastAsia="fr-FR" w:bidi="fr-FR"/>
        </w:rPr>
        <w:t>. Ai</w:t>
      </w:r>
      <w:r w:rsidRPr="00594A23">
        <w:rPr>
          <w:lang w:eastAsia="fr-FR" w:bidi="fr-FR"/>
        </w:rPr>
        <w:t>n</w:t>
      </w:r>
      <w:r w:rsidRPr="00594A23">
        <w:rPr>
          <w:lang w:eastAsia="fr-FR" w:bidi="fr-FR"/>
        </w:rPr>
        <w:t xml:space="preserve">si, les interventions militaires américaines à vocation </w:t>
      </w:r>
      <w:r w:rsidRPr="00594A23">
        <w:t>« </w:t>
      </w:r>
      <w:r w:rsidRPr="00594A23">
        <w:rPr>
          <w:lang w:eastAsia="fr-FR" w:bidi="fr-FR"/>
        </w:rPr>
        <w:t>humanitaire</w:t>
      </w:r>
      <w:r w:rsidRPr="00594A23">
        <w:t> »</w:t>
      </w:r>
      <w:r w:rsidRPr="00594A23">
        <w:rPr>
          <w:lang w:eastAsia="fr-FR" w:bidi="fr-FR"/>
        </w:rPr>
        <w:t xml:space="preserve"> (ou celles menées par des coalitions dir</w:t>
      </w:r>
      <w:r w:rsidRPr="00594A23">
        <w:rPr>
          <w:lang w:eastAsia="fr-FR" w:bidi="fr-FR"/>
        </w:rPr>
        <w:t>i</w:t>
      </w:r>
      <w:r w:rsidRPr="00594A23">
        <w:rPr>
          <w:lang w:eastAsia="fr-FR" w:bidi="fr-FR"/>
        </w:rPr>
        <w:t>gées par les États-Unis) ne sont pour lui que des façons détournées de servir les ambitions globales des élites polit</w:t>
      </w:r>
      <w:r w:rsidRPr="00594A23">
        <w:rPr>
          <w:lang w:eastAsia="fr-FR" w:bidi="fr-FR"/>
        </w:rPr>
        <w:t>i</w:t>
      </w:r>
      <w:r w:rsidRPr="00594A23">
        <w:rPr>
          <w:lang w:eastAsia="fr-FR" w:bidi="fr-FR"/>
        </w:rPr>
        <w:t>ques de Washington, au détriment du respect du droit inte</w:t>
      </w:r>
      <w:r w:rsidRPr="00594A23">
        <w:rPr>
          <w:lang w:eastAsia="fr-FR" w:bidi="fr-FR"/>
        </w:rPr>
        <w:t>r</w:t>
      </w:r>
      <w:r w:rsidRPr="00594A23">
        <w:rPr>
          <w:lang w:eastAsia="fr-FR" w:bidi="fr-FR"/>
        </w:rPr>
        <w:t>national et des droits de la personne</w:t>
      </w:r>
      <w:r>
        <w:rPr>
          <w:lang w:eastAsia="fr-FR" w:bidi="fr-FR"/>
        </w:rPr>
        <w:t> </w:t>
      </w:r>
      <w:r>
        <w:rPr>
          <w:rStyle w:val="Appelnotedebasdep"/>
          <w:lang w:eastAsia="fr-FR" w:bidi="fr-FR"/>
        </w:rPr>
        <w:footnoteReference w:id="329"/>
      </w:r>
      <w:r w:rsidRPr="00594A23">
        <w:rPr>
          <w:lang w:eastAsia="fr-FR" w:bidi="fr-FR"/>
        </w:rPr>
        <w:t>. C’est pourquoi il affirme que les États-Unis sont une démocratie qui dissuade (</w:t>
      </w:r>
      <w:r w:rsidRPr="0063169C">
        <w:rPr>
          <w:i/>
          <w:iCs/>
        </w:rPr>
        <w:t>Deterring Democracy</w:t>
      </w:r>
      <w:r w:rsidRPr="00594A23">
        <w:t>)</w:t>
      </w:r>
      <w:r w:rsidRPr="00594A23">
        <w:rPr>
          <w:lang w:eastAsia="fr-FR" w:bidi="fr-FR"/>
        </w:rPr>
        <w:t xml:space="preserve"> et qui r</w:t>
      </w:r>
      <w:r w:rsidRPr="00594A23">
        <w:rPr>
          <w:lang w:eastAsia="fr-FR" w:bidi="fr-FR"/>
        </w:rPr>
        <w:t>é</w:t>
      </w:r>
      <w:r w:rsidRPr="00594A23">
        <w:rPr>
          <w:lang w:eastAsia="fr-FR" w:bidi="fr-FR"/>
        </w:rPr>
        <w:t>gente par la force les affa</w:t>
      </w:r>
      <w:r w:rsidRPr="00594A23">
        <w:rPr>
          <w:lang w:eastAsia="fr-FR" w:bidi="fr-FR"/>
        </w:rPr>
        <w:t>i</w:t>
      </w:r>
      <w:r w:rsidRPr="00594A23">
        <w:rPr>
          <w:lang w:eastAsia="fr-FR" w:bidi="fr-FR"/>
        </w:rPr>
        <w:t>res internationales. Ils sont, d’après lui, l’État voyou (</w:t>
      </w:r>
      <w:r w:rsidRPr="0063169C">
        <w:rPr>
          <w:i/>
          <w:iCs/>
        </w:rPr>
        <w:t>Rogue State</w:t>
      </w:r>
      <w:r w:rsidRPr="00594A23">
        <w:t>)</w:t>
      </w:r>
      <w:r w:rsidRPr="00594A23">
        <w:rPr>
          <w:lang w:eastAsia="fr-FR" w:bidi="fr-FR"/>
        </w:rPr>
        <w:t xml:space="preserve"> par excellence</w:t>
      </w:r>
      <w:r>
        <w:rPr>
          <w:lang w:eastAsia="fr-FR" w:bidi="fr-FR"/>
        </w:rPr>
        <w:t> </w:t>
      </w:r>
      <w:r>
        <w:rPr>
          <w:rStyle w:val="Appelnotedebasdep"/>
          <w:lang w:eastAsia="fr-FR" w:bidi="fr-FR"/>
        </w:rPr>
        <w:footnoteReference w:id="330"/>
      </w:r>
      <w:r w:rsidRPr="00594A23">
        <w:rPr>
          <w:lang w:eastAsia="fr-FR" w:bidi="fr-FR"/>
        </w:rPr>
        <w:t>.</w:t>
      </w:r>
    </w:p>
    <w:p w14:paraId="34CF7181" w14:textId="77777777" w:rsidR="0039793A" w:rsidRPr="00594A23" w:rsidRDefault="0039793A" w:rsidP="0039793A">
      <w:pPr>
        <w:spacing w:before="120" w:after="120"/>
        <w:jc w:val="both"/>
      </w:pPr>
      <w:r w:rsidRPr="00594A23">
        <w:rPr>
          <w:lang w:eastAsia="fr-FR" w:bidi="fr-FR"/>
        </w:rPr>
        <w:t>Pour bien comprendre le radicalisme de Chomsky, il faut prendre en compte son parcours d’intellectuel et de scient</w:t>
      </w:r>
      <w:r w:rsidRPr="00594A23">
        <w:rPr>
          <w:lang w:eastAsia="fr-FR" w:bidi="fr-FR"/>
        </w:rPr>
        <w:t>i</w:t>
      </w:r>
      <w:r w:rsidRPr="00594A23">
        <w:rPr>
          <w:lang w:eastAsia="fr-FR" w:bidi="fr-FR"/>
        </w:rPr>
        <w:t xml:space="preserve">fique dans la société américaine. Devenu professeur titulaire de linguistique au </w:t>
      </w:r>
      <w:r w:rsidRPr="0063169C">
        <w:rPr>
          <w:i/>
          <w:iCs/>
        </w:rPr>
        <w:t>Massach</w:t>
      </w:r>
      <w:r w:rsidRPr="0063169C">
        <w:rPr>
          <w:i/>
          <w:iCs/>
        </w:rPr>
        <w:t>u</w:t>
      </w:r>
      <w:r w:rsidRPr="0063169C">
        <w:rPr>
          <w:i/>
          <w:iCs/>
        </w:rPr>
        <w:t>setts Institute of Technology</w:t>
      </w:r>
      <w:r w:rsidRPr="00594A23">
        <w:rPr>
          <w:lang w:eastAsia="fr-FR" w:bidi="fr-FR"/>
        </w:rPr>
        <w:t xml:space="preserve"> </w:t>
      </w:r>
      <w:r w:rsidRPr="00594A23">
        <w:rPr>
          <w:rStyle w:val="Corpsdutexte285ptPetitesmajuscules"/>
        </w:rPr>
        <w:t xml:space="preserve">(mit) </w:t>
      </w:r>
      <w:r w:rsidRPr="00594A23">
        <w:rPr>
          <w:lang w:eastAsia="fr-FR" w:bidi="fr-FR"/>
        </w:rPr>
        <w:t>de Boston en 1961, Chomsky a co</w:t>
      </w:r>
      <w:r w:rsidRPr="00594A23">
        <w:rPr>
          <w:lang w:eastAsia="fr-FR" w:bidi="fr-FR"/>
        </w:rPr>
        <w:t>m</w:t>
      </w:r>
      <w:r w:rsidRPr="00594A23">
        <w:rPr>
          <w:lang w:eastAsia="fr-FR" w:bidi="fr-FR"/>
        </w:rPr>
        <w:t>mencé à assumer pleinement son rôle universitaire en s’intéressant de plus en plus à la relation entre le milieu académique et le contexte s</w:t>
      </w:r>
      <w:r w:rsidRPr="00594A23">
        <w:rPr>
          <w:lang w:eastAsia="fr-FR" w:bidi="fr-FR"/>
        </w:rPr>
        <w:t>o</w:t>
      </w:r>
      <w:r w:rsidRPr="00594A23">
        <w:rPr>
          <w:lang w:eastAsia="fr-FR" w:bidi="fr-FR"/>
        </w:rPr>
        <w:t>cial dans lequel celui-ci s’inscrit</w:t>
      </w:r>
      <w:r>
        <w:rPr>
          <w:lang w:eastAsia="fr-FR" w:bidi="fr-FR"/>
        </w:rPr>
        <w:t> </w:t>
      </w:r>
      <w:r>
        <w:rPr>
          <w:rStyle w:val="Appelnotedebasdep"/>
          <w:lang w:eastAsia="fr-FR" w:bidi="fr-FR"/>
        </w:rPr>
        <w:footnoteReference w:id="331"/>
      </w:r>
      <w:r w:rsidRPr="00594A23">
        <w:rPr>
          <w:lang w:eastAsia="fr-FR" w:bidi="fr-FR"/>
        </w:rPr>
        <w:t>. La guerre du Vie</w:t>
      </w:r>
      <w:r w:rsidRPr="00594A23">
        <w:rPr>
          <w:lang w:eastAsia="fr-FR" w:bidi="fr-FR"/>
        </w:rPr>
        <w:t>t</w:t>
      </w:r>
      <w:r w:rsidRPr="00594A23">
        <w:rPr>
          <w:lang w:eastAsia="fr-FR" w:bidi="fr-FR"/>
        </w:rPr>
        <w:t>nam était déjà amorcée et Chomsky faisait ses premières armes co</w:t>
      </w:r>
      <w:r w:rsidRPr="00594A23">
        <w:rPr>
          <w:lang w:eastAsia="fr-FR" w:bidi="fr-FR"/>
        </w:rPr>
        <w:t>m</w:t>
      </w:r>
      <w:r w:rsidRPr="00594A23">
        <w:rPr>
          <w:lang w:eastAsia="fr-FR" w:bidi="fr-FR"/>
        </w:rPr>
        <w:t>me observateur de la politique</w:t>
      </w:r>
      <w:r>
        <w:t xml:space="preserve"> [138] </w:t>
      </w:r>
      <w:r w:rsidRPr="00594A23">
        <w:rPr>
          <w:lang w:eastAsia="fr-FR" w:bidi="fr-FR"/>
        </w:rPr>
        <w:t>étrangère des États-Unis, un rôle qu’il tient ass</w:t>
      </w:r>
      <w:r w:rsidRPr="00594A23">
        <w:rPr>
          <w:lang w:eastAsia="fr-FR" w:bidi="fr-FR"/>
        </w:rPr>
        <w:t>i</w:t>
      </w:r>
      <w:r w:rsidRPr="00594A23">
        <w:rPr>
          <w:lang w:eastAsia="fr-FR" w:bidi="fr-FR"/>
        </w:rPr>
        <w:t>dûment et avec une énergie déconcertante depuis. Pour Chomsky, il aurait été schizophr</w:t>
      </w:r>
      <w:r w:rsidRPr="00594A23">
        <w:rPr>
          <w:lang w:eastAsia="fr-FR" w:bidi="fr-FR"/>
        </w:rPr>
        <w:t>é</w:t>
      </w:r>
      <w:r w:rsidRPr="00594A23">
        <w:rPr>
          <w:lang w:eastAsia="fr-FR" w:bidi="fr-FR"/>
        </w:rPr>
        <w:t>nique pour un intellectuel œuvrant dans une des plus grandes universités américaines et réellement engagé dans la r</w:t>
      </w:r>
      <w:r w:rsidRPr="00594A23">
        <w:rPr>
          <w:lang w:eastAsia="fr-FR" w:bidi="fr-FR"/>
        </w:rPr>
        <w:t>e</w:t>
      </w:r>
      <w:r w:rsidRPr="00594A23">
        <w:rPr>
          <w:lang w:eastAsia="fr-FR" w:bidi="fr-FR"/>
        </w:rPr>
        <w:t>cherche scientifique de ne pas vouloir également mettre à profit son intelligence et son éne</w:t>
      </w:r>
      <w:r w:rsidRPr="00594A23">
        <w:rPr>
          <w:lang w:eastAsia="fr-FR" w:bidi="fr-FR"/>
        </w:rPr>
        <w:t>r</w:t>
      </w:r>
      <w:r w:rsidRPr="00594A23">
        <w:rPr>
          <w:lang w:eastAsia="fr-FR" w:bidi="fr-FR"/>
        </w:rPr>
        <w:t>gie pour aider à régler des problématiques liées au monde sociopolit</w:t>
      </w:r>
      <w:r w:rsidRPr="00594A23">
        <w:rPr>
          <w:lang w:eastAsia="fr-FR" w:bidi="fr-FR"/>
        </w:rPr>
        <w:t>i</w:t>
      </w:r>
      <w:r w:rsidRPr="00594A23">
        <w:rPr>
          <w:lang w:eastAsia="fr-FR" w:bidi="fr-FR"/>
        </w:rPr>
        <w:t>que.</w:t>
      </w:r>
    </w:p>
    <w:p w14:paraId="15423B41" w14:textId="77777777" w:rsidR="0039793A" w:rsidRPr="00594A23" w:rsidRDefault="0039793A" w:rsidP="0039793A">
      <w:pPr>
        <w:spacing w:before="120" w:after="120"/>
        <w:jc w:val="both"/>
      </w:pPr>
      <w:r w:rsidRPr="00594A23">
        <w:rPr>
          <w:lang w:eastAsia="fr-FR" w:bidi="fr-FR"/>
        </w:rPr>
        <w:t xml:space="preserve">Ni lu ni cité par ses collègues américains </w:t>
      </w:r>
      <w:r w:rsidRPr="00594A23">
        <w:t>« </w:t>
      </w:r>
      <w:r w:rsidRPr="00594A23">
        <w:rPr>
          <w:lang w:eastAsia="fr-FR" w:bidi="fr-FR"/>
        </w:rPr>
        <w:t>spécialistes</w:t>
      </w:r>
      <w:r w:rsidRPr="00594A23">
        <w:t> »</w:t>
      </w:r>
      <w:r w:rsidRPr="00594A23">
        <w:rPr>
          <w:lang w:eastAsia="fr-FR" w:bidi="fr-FR"/>
        </w:rPr>
        <w:t xml:space="preserve"> de l’analyse de la politique étrangère américaine, ces de</w:t>
      </w:r>
      <w:r w:rsidRPr="00594A23">
        <w:rPr>
          <w:lang w:eastAsia="fr-FR" w:bidi="fr-FR"/>
        </w:rPr>
        <w:t>r</w:t>
      </w:r>
      <w:r w:rsidRPr="00594A23">
        <w:rPr>
          <w:lang w:eastAsia="fr-FR" w:bidi="fr-FR"/>
        </w:rPr>
        <w:t>niers le rejetant au motif qu’il n’est pas titulaire d’un doct</w:t>
      </w:r>
      <w:r w:rsidRPr="00594A23">
        <w:rPr>
          <w:lang w:eastAsia="fr-FR" w:bidi="fr-FR"/>
        </w:rPr>
        <w:t>o</w:t>
      </w:r>
      <w:r w:rsidRPr="00594A23">
        <w:rPr>
          <w:lang w:eastAsia="fr-FR" w:bidi="fr-FR"/>
        </w:rPr>
        <w:t>rat en science politique et ne dispose donc pas de l’expertise requise, il lui était impensable de ne pas critiquer l’impérialisme dont faisait preuve la superpuissance américaine. Pis encore, ces intellectuels analystes font partie du pr</w:t>
      </w:r>
      <w:r w:rsidRPr="00594A23">
        <w:rPr>
          <w:lang w:eastAsia="fr-FR" w:bidi="fr-FR"/>
        </w:rPr>
        <w:t>o</w:t>
      </w:r>
      <w:r w:rsidRPr="00594A23">
        <w:rPr>
          <w:lang w:eastAsia="fr-FR" w:bidi="fr-FR"/>
        </w:rPr>
        <w:t>blème à ses yeux. En effet, les spécialistes des sciences sociales, qui disent servir d’intermédiaires entre la population et les hommes pol</w:t>
      </w:r>
      <w:r w:rsidRPr="00594A23">
        <w:rPr>
          <w:lang w:eastAsia="fr-FR" w:bidi="fr-FR"/>
        </w:rPr>
        <w:t>i</w:t>
      </w:r>
      <w:r w:rsidRPr="00594A23">
        <w:rPr>
          <w:lang w:eastAsia="fr-FR" w:bidi="fr-FR"/>
        </w:rPr>
        <w:t>tiques, exercent un contrôle idéol</w:t>
      </w:r>
      <w:r w:rsidRPr="00594A23">
        <w:rPr>
          <w:lang w:eastAsia="fr-FR" w:bidi="fr-FR"/>
        </w:rPr>
        <w:t>o</w:t>
      </w:r>
      <w:r w:rsidRPr="00594A23">
        <w:rPr>
          <w:lang w:eastAsia="fr-FR" w:bidi="fr-FR"/>
        </w:rPr>
        <w:t>gique qui a pour effet de tenir la population à l’écart des a</w:t>
      </w:r>
      <w:r w:rsidRPr="00594A23">
        <w:rPr>
          <w:lang w:eastAsia="fr-FR" w:bidi="fr-FR"/>
        </w:rPr>
        <w:t>f</w:t>
      </w:r>
      <w:r w:rsidRPr="00594A23">
        <w:rPr>
          <w:lang w:eastAsia="fr-FR" w:bidi="fr-FR"/>
        </w:rPr>
        <w:t>faires internationales</w:t>
      </w:r>
      <w:r>
        <w:rPr>
          <w:lang w:eastAsia="fr-FR" w:bidi="fr-FR"/>
        </w:rPr>
        <w:t> </w:t>
      </w:r>
      <w:r>
        <w:rPr>
          <w:rStyle w:val="Appelnotedebasdep"/>
          <w:lang w:eastAsia="fr-FR" w:bidi="fr-FR"/>
        </w:rPr>
        <w:footnoteReference w:id="332"/>
      </w:r>
      <w:r w:rsidRPr="00594A23">
        <w:rPr>
          <w:lang w:eastAsia="fr-FR" w:bidi="fr-FR"/>
        </w:rPr>
        <w:t xml:space="preserve">. Selon ses termes, il ne croit pas </w:t>
      </w:r>
      <w:r w:rsidRPr="00594A23">
        <w:t>« </w:t>
      </w:r>
      <w:r w:rsidRPr="00594A23">
        <w:rPr>
          <w:lang w:eastAsia="fr-FR" w:bidi="fr-FR"/>
        </w:rPr>
        <w:t>que les affaires internationales soient plus pénibles [que les commentaires sportifs et l’“expertise” requise pour an</w:t>
      </w:r>
      <w:r w:rsidRPr="00594A23">
        <w:rPr>
          <w:lang w:eastAsia="fr-FR" w:bidi="fr-FR"/>
        </w:rPr>
        <w:t>a</w:t>
      </w:r>
      <w:r w:rsidRPr="00594A23">
        <w:rPr>
          <w:lang w:eastAsia="fr-FR" w:bidi="fr-FR"/>
        </w:rPr>
        <w:t>lyser le jeu d’une équipe et de ses chances contre les autres] [...] que la politique de sécurité nationale soit intellectuell</w:t>
      </w:r>
      <w:r w:rsidRPr="00594A23">
        <w:rPr>
          <w:lang w:eastAsia="fr-FR" w:bidi="fr-FR"/>
        </w:rPr>
        <w:t>e</w:t>
      </w:r>
      <w:r w:rsidRPr="00594A23">
        <w:rPr>
          <w:lang w:eastAsia="fr-FR" w:bidi="fr-FR"/>
        </w:rPr>
        <w:t>ment plus complexe [...] C’est une prétention des sciences sociales - de croire qu’elles s’occupent de questions profo</w:t>
      </w:r>
      <w:r w:rsidRPr="00594A23">
        <w:rPr>
          <w:lang w:eastAsia="fr-FR" w:bidi="fr-FR"/>
        </w:rPr>
        <w:t>n</w:t>
      </w:r>
      <w:r w:rsidRPr="00594A23">
        <w:rPr>
          <w:lang w:eastAsia="fr-FR" w:bidi="fr-FR"/>
        </w:rPr>
        <w:t>dément complexes qui vont au-delà du niveau de compr</w:t>
      </w:r>
      <w:r w:rsidRPr="00594A23">
        <w:rPr>
          <w:lang w:eastAsia="fr-FR" w:bidi="fr-FR"/>
        </w:rPr>
        <w:t>é</w:t>
      </w:r>
      <w:r w:rsidRPr="00594A23">
        <w:rPr>
          <w:lang w:eastAsia="fr-FR" w:bidi="fr-FR"/>
        </w:rPr>
        <w:t>hension d’une personne ordinaire. C’est principalement de la supercherie</w:t>
      </w:r>
      <w:r>
        <w:rPr>
          <w:lang w:eastAsia="fr-FR" w:bidi="fr-FR"/>
        </w:rPr>
        <w:t> </w:t>
      </w:r>
      <w:r>
        <w:rPr>
          <w:rStyle w:val="Appelnotedebasdep"/>
          <w:lang w:eastAsia="fr-FR" w:bidi="fr-FR"/>
        </w:rPr>
        <w:footnoteReference w:id="333"/>
      </w:r>
      <w:r w:rsidRPr="00594A23">
        <w:t> »</w:t>
      </w:r>
      <w:r w:rsidRPr="00594A23">
        <w:rPr>
          <w:lang w:eastAsia="fr-FR" w:bidi="fr-FR"/>
        </w:rPr>
        <w:t xml:space="preserve">. La fraude est, selon lui, une entreprise de contrôle de la pensée à laquelle se livrerait une </w:t>
      </w:r>
      <w:r w:rsidRPr="00594A23">
        <w:t>intelligentsia</w:t>
      </w:r>
      <w:r w:rsidRPr="00594A23">
        <w:rPr>
          <w:lang w:eastAsia="fr-FR" w:bidi="fr-FR"/>
        </w:rPr>
        <w:t xml:space="preserve"> d’historiens, de pol</w:t>
      </w:r>
      <w:r w:rsidRPr="00594A23">
        <w:rPr>
          <w:lang w:eastAsia="fr-FR" w:bidi="fr-FR"/>
        </w:rPr>
        <w:t>i</w:t>
      </w:r>
      <w:r w:rsidRPr="00594A23">
        <w:rPr>
          <w:lang w:eastAsia="fr-FR" w:bidi="fr-FR"/>
        </w:rPr>
        <w:t xml:space="preserve">tologues, de journalistes et d’analystes politiques dont les analyses seraient censées représenter la </w:t>
      </w:r>
      <w:r w:rsidRPr="00594A23">
        <w:t>« </w:t>
      </w:r>
      <w:r w:rsidRPr="00594A23">
        <w:rPr>
          <w:lang w:eastAsia="fr-FR" w:bidi="fr-FR"/>
        </w:rPr>
        <w:t>réalité</w:t>
      </w:r>
      <w:r w:rsidRPr="00594A23">
        <w:t> »</w:t>
      </w:r>
      <w:r w:rsidRPr="00594A23">
        <w:rPr>
          <w:lang w:eastAsia="fr-FR" w:bidi="fr-FR"/>
        </w:rPr>
        <w:t xml:space="preserve"> tout en avalisant, implicit</w:t>
      </w:r>
      <w:r w:rsidRPr="00594A23">
        <w:rPr>
          <w:lang w:eastAsia="fr-FR" w:bidi="fr-FR"/>
        </w:rPr>
        <w:t>e</w:t>
      </w:r>
      <w:r w:rsidRPr="00594A23">
        <w:rPr>
          <w:lang w:eastAsia="fr-FR" w:bidi="fr-FR"/>
        </w:rPr>
        <w:t>ment, les politiques, sinon le système, qui la sous-tendent. Rapid</w:t>
      </w:r>
      <w:r w:rsidRPr="00594A23">
        <w:rPr>
          <w:lang w:eastAsia="fr-FR" w:bidi="fr-FR"/>
        </w:rPr>
        <w:t>e</w:t>
      </w:r>
      <w:r w:rsidRPr="00594A23">
        <w:rPr>
          <w:lang w:eastAsia="fr-FR" w:bidi="fr-FR"/>
        </w:rPr>
        <w:t>ment, il s’est fait un devoir de dénoncer les violations des droits de la personne, l’invasion américaine du Vietnam et les actions oppressives de l’élite au pouvoir. Dans le contexte de la guerre froide, où il exi</w:t>
      </w:r>
      <w:r w:rsidRPr="00594A23">
        <w:rPr>
          <w:lang w:eastAsia="fr-FR" w:bidi="fr-FR"/>
        </w:rPr>
        <w:t>s</w:t>
      </w:r>
      <w:r w:rsidRPr="00594A23">
        <w:rPr>
          <w:lang w:eastAsia="fr-FR" w:bidi="fr-FR"/>
        </w:rPr>
        <w:t>tait un véritable débat idéologique entre l’Ouest libéral et l’Est co</w:t>
      </w:r>
      <w:r w:rsidRPr="00594A23">
        <w:rPr>
          <w:lang w:eastAsia="fr-FR" w:bidi="fr-FR"/>
        </w:rPr>
        <w:t>m</w:t>
      </w:r>
      <w:r w:rsidRPr="00594A23">
        <w:rPr>
          <w:lang w:eastAsia="fr-FR" w:bidi="fr-FR"/>
        </w:rPr>
        <w:t>muniste, Chomsky s’opposait fortement à la collaboration apparente et volo</w:t>
      </w:r>
      <w:r w:rsidRPr="00594A23">
        <w:rPr>
          <w:lang w:eastAsia="fr-FR" w:bidi="fr-FR"/>
        </w:rPr>
        <w:t>n</w:t>
      </w:r>
      <w:r w:rsidRPr="00594A23">
        <w:rPr>
          <w:lang w:eastAsia="fr-FR" w:bidi="fr-FR"/>
        </w:rPr>
        <w:t>taire de la communauté intellectuelle et de l’</w:t>
      </w:r>
      <w:r>
        <w:rPr>
          <w:lang w:eastAsia="fr-FR" w:bidi="fr-FR"/>
        </w:rPr>
        <w:t>État</w:t>
      </w:r>
      <w:r w:rsidRPr="00594A23">
        <w:t> ;</w:t>
      </w:r>
      <w:r w:rsidRPr="00594A23">
        <w:rPr>
          <w:lang w:eastAsia="fr-FR" w:bidi="fr-FR"/>
        </w:rPr>
        <w:t xml:space="preserve"> un </w:t>
      </w:r>
      <w:r w:rsidRPr="00594A23">
        <w:t>« </w:t>
      </w:r>
      <w:r w:rsidRPr="00594A23">
        <w:rPr>
          <w:lang w:eastAsia="fr-FR" w:bidi="fr-FR"/>
        </w:rPr>
        <w:t>intellectuel responsable</w:t>
      </w:r>
      <w:r w:rsidRPr="00594A23">
        <w:t> »</w:t>
      </w:r>
      <w:r w:rsidRPr="00594A23">
        <w:rPr>
          <w:lang w:eastAsia="fr-FR" w:bidi="fr-FR"/>
        </w:rPr>
        <w:t xml:space="preserve"> se devait</w:t>
      </w:r>
      <w:r>
        <w:t xml:space="preserve"> [139] </w:t>
      </w:r>
      <w:r w:rsidRPr="00594A23">
        <w:rPr>
          <w:lang w:eastAsia="fr-FR" w:bidi="fr-FR"/>
        </w:rPr>
        <w:t>d’être conséquent et coh</w:t>
      </w:r>
      <w:r w:rsidRPr="00594A23">
        <w:rPr>
          <w:lang w:eastAsia="fr-FR" w:bidi="fr-FR"/>
        </w:rPr>
        <w:t>é</w:t>
      </w:r>
      <w:r w:rsidRPr="00594A23">
        <w:rPr>
          <w:lang w:eastAsia="fr-FR" w:bidi="fr-FR"/>
        </w:rPr>
        <w:t>rent en tant qu’universitaire</w:t>
      </w:r>
      <w:r>
        <w:rPr>
          <w:lang w:eastAsia="fr-FR" w:bidi="fr-FR"/>
        </w:rPr>
        <w:t> </w:t>
      </w:r>
      <w:r>
        <w:rPr>
          <w:rStyle w:val="Appelnotedebasdep"/>
          <w:lang w:eastAsia="fr-FR" w:bidi="fr-FR"/>
        </w:rPr>
        <w:footnoteReference w:id="334"/>
      </w:r>
      <w:r w:rsidRPr="00594A23">
        <w:rPr>
          <w:lang w:eastAsia="fr-FR" w:bidi="fr-FR"/>
        </w:rPr>
        <w:t>. Il préf</w:t>
      </w:r>
      <w:r w:rsidRPr="00594A23">
        <w:rPr>
          <w:lang w:eastAsia="fr-FR" w:bidi="fr-FR"/>
        </w:rPr>
        <w:t>é</w:t>
      </w:r>
      <w:r w:rsidRPr="00594A23">
        <w:rPr>
          <w:lang w:eastAsia="fr-FR" w:bidi="fr-FR"/>
        </w:rPr>
        <w:t>rait participer à tous les forums de discussion qui réunissaient activi</w:t>
      </w:r>
      <w:r w:rsidRPr="00594A23">
        <w:rPr>
          <w:lang w:eastAsia="fr-FR" w:bidi="fr-FR"/>
        </w:rPr>
        <w:t>s</w:t>
      </w:r>
      <w:r w:rsidRPr="00594A23">
        <w:rPr>
          <w:lang w:eastAsia="fr-FR" w:bidi="fr-FR"/>
        </w:rPr>
        <w:t>tes politiques et contestataires de la guerre du Vietnam plutôt que de donner des conférences académ</w:t>
      </w:r>
      <w:r w:rsidRPr="00594A23">
        <w:rPr>
          <w:lang w:eastAsia="fr-FR" w:bidi="fr-FR"/>
        </w:rPr>
        <w:t>i</w:t>
      </w:r>
      <w:r w:rsidRPr="00594A23">
        <w:rPr>
          <w:lang w:eastAsia="fr-FR" w:bidi="fr-FR"/>
        </w:rPr>
        <w:t>ques, faisant primer son engagement s</w:t>
      </w:r>
      <w:r w:rsidRPr="00594A23">
        <w:rPr>
          <w:lang w:eastAsia="fr-FR" w:bidi="fr-FR"/>
        </w:rPr>
        <w:t>o</w:t>
      </w:r>
      <w:r w:rsidRPr="00594A23">
        <w:rPr>
          <w:lang w:eastAsia="fr-FR" w:bidi="fr-FR"/>
        </w:rPr>
        <w:t>cial sur sa carrière.</w:t>
      </w:r>
    </w:p>
    <w:p w14:paraId="28E7FAD7" w14:textId="77777777" w:rsidR="0039793A" w:rsidRPr="00594A23" w:rsidRDefault="0039793A" w:rsidP="0039793A">
      <w:pPr>
        <w:spacing w:before="120" w:after="120"/>
        <w:jc w:val="both"/>
      </w:pPr>
      <w:r w:rsidRPr="00594A23">
        <w:rPr>
          <w:lang w:eastAsia="fr-FR" w:bidi="fr-FR"/>
        </w:rPr>
        <w:t>Quarante ans plus tard, il demeure encore l’un des crit</w:t>
      </w:r>
      <w:r w:rsidRPr="00594A23">
        <w:rPr>
          <w:lang w:eastAsia="fr-FR" w:bidi="fr-FR"/>
        </w:rPr>
        <w:t>i</w:t>
      </w:r>
      <w:r w:rsidRPr="00594A23">
        <w:rPr>
          <w:lang w:eastAsia="fr-FR" w:bidi="fr-FR"/>
        </w:rPr>
        <w:t>ques les plus prolifiques de la conduite internationale des États-Unis et a une audience au sein de courants de gauche, notamment chez les antimo</w:t>
      </w:r>
      <w:r w:rsidRPr="00594A23">
        <w:rPr>
          <w:lang w:eastAsia="fr-FR" w:bidi="fr-FR"/>
        </w:rPr>
        <w:t>n</w:t>
      </w:r>
      <w:r w:rsidRPr="00594A23">
        <w:rPr>
          <w:lang w:eastAsia="fr-FR" w:bidi="fr-FR"/>
        </w:rPr>
        <w:t>dialistes.</w:t>
      </w:r>
    </w:p>
    <w:p w14:paraId="668ED5DB" w14:textId="77777777" w:rsidR="0039793A" w:rsidRPr="00594A23" w:rsidRDefault="0039793A" w:rsidP="0039793A">
      <w:pPr>
        <w:pStyle w:val="c"/>
      </w:pPr>
      <w:r w:rsidRPr="00594A23">
        <w:t>*</w:t>
      </w:r>
    </w:p>
    <w:p w14:paraId="10AF24E7" w14:textId="77777777" w:rsidR="0039793A" w:rsidRPr="00594A23" w:rsidRDefault="0039793A" w:rsidP="0039793A">
      <w:pPr>
        <w:spacing w:before="120" w:after="120"/>
        <w:jc w:val="both"/>
      </w:pPr>
      <w:r w:rsidRPr="00594A23">
        <w:rPr>
          <w:lang w:eastAsia="fr-FR" w:bidi="fr-FR"/>
        </w:rPr>
        <w:t>Ce panorama des approches académiques n’est pas e</w:t>
      </w:r>
      <w:r w:rsidRPr="00594A23">
        <w:rPr>
          <w:lang w:eastAsia="fr-FR" w:bidi="fr-FR"/>
        </w:rPr>
        <w:t>x</w:t>
      </w:r>
      <w:r w:rsidRPr="00594A23">
        <w:rPr>
          <w:lang w:eastAsia="fr-FR" w:bidi="fr-FR"/>
        </w:rPr>
        <w:t>haustif. Comme bien souvent chez les acteurs politiques et les praticiens de la politique étrangère américaine, les anal</w:t>
      </w:r>
      <w:r w:rsidRPr="00594A23">
        <w:rPr>
          <w:lang w:eastAsia="fr-FR" w:bidi="fr-FR"/>
        </w:rPr>
        <w:t>y</w:t>
      </w:r>
      <w:r w:rsidRPr="00594A23">
        <w:rPr>
          <w:lang w:eastAsia="fr-FR" w:bidi="fr-FR"/>
        </w:rPr>
        <w:t>ses se confrontent et s’entrecroisent dans les milieux ac</w:t>
      </w:r>
      <w:r w:rsidRPr="00594A23">
        <w:rPr>
          <w:lang w:eastAsia="fr-FR" w:bidi="fr-FR"/>
        </w:rPr>
        <w:t>a</w:t>
      </w:r>
      <w:r w:rsidRPr="00594A23">
        <w:rPr>
          <w:lang w:eastAsia="fr-FR" w:bidi="fr-FR"/>
        </w:rPr>
        <w:t>démiques. D’une part, il semble que certains courants soient plus influents par moments, selon les a</w:t>
      </w:r>
      <w:r w:rsidRPr="00594A23">
        <w:rPr>
          <w:lang w:eastAsia="fr-FR" w:bidi="fr-FR"/>
        </w:rPr>
        <w:t>d</w:t>
      </w:r>
      <w:r w:rsidRPr="00594A23">
        <w:rPr>
          <w:lang w:eastAsia="fr-FR" w:bidi="fr-FR"/>
        </w:rPr>
        <w:t xml:space="preserve">ministrations en place. Les </w:t>
      </w:r>
      <w:r w:rsidRPr="00C70582">
        <w:rPr>
          <w:i/>
          <w:iCs/>
        </w:rPr>
        <w:t>équilibristes</w:t>
      </w:r>
      <w:r w:rsidRPr="00C70582">
        <w:rPr>
          <w:i/>
          <w:iCs/>
          <w:lang w:eastAsia="fr-FR" w:bidi="fr-FR"/>
        </w:rPr>
        <w:t xml:space="preserve"> et les </w:t>
      </w:r>
      <w:r w:rsidRPr="00C70582">
        <w:rPr>
          <w:i/>
          <w:iCs/>
        </w:rPr>
        <w:t>institutionnalistes</w:t>
      </w:r>
      <w:r w:rsidRPr="00594A23">
        <w:rPr>
          <w:lang w:eastAsia="fr-FR" w:bidi="fr-FR"/>
        </w:rPr>
        <w:t xml:space="preserve"> sont plus écoutés par une administration démocrate comme celle de Bill Clinton, notamment parce qu’ils mettent en relief l’importance du multilatéralisme et du leadership américain dans les affaires intern</w:t>
      </w:r>
      <w:r w:rsidRPr="00594A23">
        <w:rPr>
          <w:lang w:eastAsia="fr-FR" w:bidi="fr-FR"/>
        </w:rPr>
        <w:t>a</w:t>
      </w:r>
      <w:r w:rsidRPr="00594A23">
        <w:rPr>
          <w:lang w:eastAsia="fr-FR" w:bidi="fr-FR"/>
        </w:rPr>
        <w:t xml:space="preserve">tionales de façon à maximiser le pouvoir d’influence des États-Unis sur les autres acteurs. Les </w:t>
      </w:r>
      <w:r w:rsidRPr="00C70582">
        <w:rPr>
          <w:i/>
          <w:iCs/>
        </w:rPr>
        <w:t>hégémonistes</w:t>
      </w:r>
      <w:r w:rsidRPr="00594A23">
        <w:rPr>
          <w:lang w:eastAsia="fr-FR" w:bidi="fr-FR"/>
        </w:rPr>
        <w:t xml:space="preserve"> Kagan, Kristol et Krautha</w:t>
      </w:r>
      <w:r w:rsidRPr="00594A23">
        <w:rPr>
          <w:lang w:eastAsia="fr-FR" w:bidi="fr-FR"/>
        </w:rPr>
        <w:t>m</w:t>
      </w:r>
      <w:r w:rsidRPr="00594A23">
        <w:rPr>
          <w:lang w:eastAsia="fr-FR" w:bidi="fr-FR"/>
        </w:rPr>
        <w:t>mer entr</w:t>
      </w:r>
      <w:r w:rsidRPr="00594A23">
        <w:rPr>
          <w:lang w:eastAsia="fr-FR" w:bidi="fr-FR"/>
        </w:rPr>
        <w:t>e</w:t>
      </w:r>
      <w:r w:rsidRPr="00594A23">
        <w:rPr>
          <w:lang w:eastAsia="fr-FR" w:bidi="fr-FR"/>
        </w:rPr>
        <w:t>tiennent quant à eux des liens étroits avec l’Administration républicaine de George W. Bush. Présentée comme l’héritière idéol</w:t>
      </w:r>
      <w:r w:rsidRPr="00594A23">
        <w:rPr>
          <w:lang w:eastAsia="fr-FR" w:bidi="fr-FR"/>
        </w:rPr>
        <w:t>o</w:t>
      </w:r>
      <w:r w:rsidRPr="00594A23">
        <w:rPr>
          <w:lang w:eastAsia="fr-FR" w:bidi="fr-FR"/>
        </w:rPr>
        <w:t>gique de Reagan, cette Administration suit effectiv</w:t>
      </w:r>
      <w:r w:rsidRPr="00594A23">
        <w:rPr>
          <w:lang w:eastAsia="fr-FR" w:bidi="fr-FR"/>
        </w:rPr>
        <w:t>e</w:t>
      </w:r>
      <w:r w:rsidRPr="00594A23">
        <w:rPr>
          <w:lang w:eastAsia="fr-FR" w:bidi="fr-FR"/>
        </w:rPr>
        <w:t>ment de près les recommandations et les lignes directrices des anal</w:t>
      </w:r>
      <w:r w:rsidRPr="00594A23">
        <w:rPr>
          <w:lang w:eastAsia="fr-FR" w:bidi="fr-FR"/>
        </w:rPr>
        <w:t>y</w:t>
      </w:r>
      <w:r w:rsidRPr="00594A23">
        <w:rPr>
          <w:lang w:eastAsia="fr-FR" w:bidi="fr-FR"/>
        </w:rPr>
        <w:t>ses néo-reaganiennes de Kristol et Kagan</w:t>
      </w:r>
      <w:r>
        <w:rPr>
          <w:lang w:eastAsia="fr-FR" w:bidi="fr-FR"/>
        </w:rPr>
        <w:t> </w:t>
      </w:r>
      <w:r>
        <w:rPr>
          <w:rStyle w:val="Appelnotedebasdep"/>
          <w:lang w:eastAsia="fr-FR" w:bidi="fr-FR"/>
        </w:rPr>
        <w:footnoteReference w:id="335"/>
      </w:r>
      <w:r w:rsidRPr="00594A23">
        <w:rPr>
          <w:lang w:eastAsia="fr-FR" w:bidi="fr-FR"/>
        </w:rPr>
        <w:t>. En effet, ce sont eux qui préc</w:t>
      </w:r>
      <w:r w:rsidRPr="00594A23">
        <w:rPr>
          <w:lang w:eastAsia="fr-FR" w:bidi="fr-FR"/>
        </w:rPr>
        <w:t>o</w:t>
      </w:r>
      <w:r w:rsidRPr="00594A23">
        <w:rPr>
          <w:lang w:eastAsia="fr-FR" w:bidi="fr-FR"/>
        </w:rPr>
        <w:t>nisaient avant tout un changement de régime pour les États m</w:t>
      </w:r>
      <w:r w:rsidRPr="00594A23">
        <w:rPr>
          <w:lang w:eastAsia="fr-FR" w:bidi="fr-FR"/>
        </w:rPr>
        <w:t>e</w:t>
      </w:r>
      <w:r w:rsidRPr="00594A23">
        <w:rPr>
          <w:lang w:eastAsia="fr-FR" w:bidi="fr-FR"/>
        </w:rPr>
        <w:t>naçant l’hégémonie américaine et ce sont eux qui s’avèrent les plus fervents pa</w:t>
      </w:r>
      <w:r w:rsidRPr="00594A23">
        <w:rPr>
          <w:lang w:eastAsia="fr-FR" w:bidi="fr-FR"/>
        </w:rPr>
        <w:t>r</w:t>
      </w:r>
      <w:r w:rsidRPr="00594A23">
        <w:rPr>
          <w:lang w:eastAsia="fr-FR" w:bidi="fr-FR"/>
        </w:rPr>
        <w:t>tisans d’un hégémonisme qui permettrait aux États-Unis de forger, peu importent les obstacles, un ordre international épousant leurs int</w:t>
      </w:r>
      <w:r w:rsidRPr="00594A23">
        <w:rPr>
          <w:lang w:eastAsia="fr-FR" w:bidi="fr-FR"/>
        </w:rPr>
        <w:t>é</w:t>
      </w:r>
      <w:r w:rsidRPr="00594A23">
        <w:rPr>
          <w:lang w:eastAsia="fr-FR" w:bidi="fr-FR"/>
        </w:rPr>
        <w:t>rêts et leurs valeurs</w:t>
      </w:r>
      <w:r>
        <w:rPr>
          <w:lang w:eastAsia="fr-FR" w:bidi="fr-FR"/>
        </w:rPr>
        <w:t> </w:t>
      </w:r>
      <w:r>
        <w:rPr>
          <w:rStyle w:val="Appelnotedebasdep"/>
          <w:lang w:eastAsia="fr-FR" w:bidi="fr-FR"/>
        </w:rPr>
        <w:footnoteReference w:id="336"/>
      </w:r>
      <w:r>
        <w:rPr>
          <w:lang w:eastAsia="fr-FR" w:bidi="fr-FR"/>
        </w:rPr>
        <w:t>.</w:t>
      </w:r>
      <w:r w:rsidRPr="00594A23">
        <w:rPr>
          <w:lang w:eastAsia="fr-FR" w:bidi="fr-FR"/>
        </w:rPr>
        <w:t xml:space="preserve"> L’opération milita</w:t>
      </w:r>
      <w:r w:rsidRPr="00594A23">
        <w:rPr>
          <w:lang w:eastAsia="fr-FR" w:bidi="fr-FR"/>
        </w:rPr>
        <w:t>i</w:t>
      </w:r>
      <w:r w:rsidRPr="00594A23">
        <w:rPr>
          <w:lang w:eastAsia="fr-FR" w:bidi="fr-FR"/>
        </w:rPr>
        <w:t xml:space="preserve">re </w:t>
      </w:r>
      <w:r w:rsidRPr="00C70582">
        <w:rPr>
          <w:i/>
          <w:iCs/>
        </w:rPr>
        <w:t>Liberté de l’Irak</w:t>
      </w:r>
      <w:r w:rsidRPr="00594A23">
        <w:rPr>
          <w:lang w:eastAsia="fr-FR" w:bidi="fr-FR"/>
        </w:rPr>
        <w:t xml:space="preserve"> en 2003 s’inscrit dans ce</w:t>
      </w:r>
      <w:r>
        <w:rPr>
          <w:lang w:eastAsia="fr-FR" w:bidi="fr-FR"/>
        </w:rPr>
        <w:t>tte stratégie globale unilatéra</w:t>
      </w:r>
      <w:r w:rsidRPr="00594A23">
        <w:rPr>
          <w:lang w:eastAsia="fr-FR" w:bidi="fr-FR"/>
        </w:rPr>
        <w:t>liste</w:t>
      </w:r>
      <w:r>
        <w:t xml:space="preserve"> [140]</w:t>
      </w:r>
      <w:r w:rsidRPr="00594A23">
        <w:rPr>
          <w:lang w:eastAsia="fr-FR" w:bidi="fr-FR"/>
        </w:rPr>
        <w:t xml:space="preserve"> cherchant à maximiser la puissance américaine en agi</w:t>
      </w:r>
      <w:r w:rsidRPr="00594A23">
        <w:rPr>
          <w:lang w:eastAsia="fr-FR" w:bidi="fr-FR"/>
        </w:rPr>
        <w:t>s</w:t>
      </w:r>
      <w:r w:rsidRPr="00594A23">
        <w:rPr>
          <w:lang w:eastAsia="fr-FR" w:bidi="fr-FR"/>
        </w:rPr>
        <w:t>sant de façon préventive plutôt qu’en réagissant aux menaces à l’ordre international. En défin</w:t>
      </w:r>
      <w:r w:rsidRPr="00594A23">
        <w:rPr>
          <w:lang w:eastAsia="fr-FR" w:bidi="fr-FR"/>
        </w:rPr>
        <w:t>i</w:t>
      </w:r>
      <w:r w:rsidRPr="00594A23">
        <w:rPr>
          <w:lang w:eastAsia="fr-FR" w:bidi="fr-FR"/>
        </w:rPr>
        <w:t>tive, aucun point de vue analytique n’est vra</w:t>
      </w:r>
      <w:r w:rsidRPr="00594A23">
        <w:rPr>
          <w:lang w:eastAsia="fr-FR" w:bidi="fr-FR"/>
        </w:rPr>
        <w:t>i</w:t>
      </w:r>
      <w:r w:rsidRPr="00594A23">
        <w:rPr>
          <w:lang w:eastAsia="fr-FR" w:bidi="fr-FR"/>
        </w:rPr>
        <w:t>ment complet et aucun ne peut espérer faire autorité. Les conclusions à tirer quant à la pol</w:t>
      </w:r>
      <w:r w:rsidRPr="00594A23">
        <w:rPr>
          <w:lang w:eastAsia="fr-FR" w:bidi="fr-FR"/>
        </w:rPr>
        <w:t>i</w:t>
      </w:r>
      <w:r w:rsidRPr="00594A23">
        <w:rPr>
          <w:lang w:eastAsia="fr-FR" w:bidi="fr-FR"/>
        </w:rPr>
        <w:t>tique étrangère américaine dépendront donc des facteurs privilégiés et des objectifs visés par l’approche analytique choisie. Les débats sur les orientations et les analyses de la politique étrangère américaine sont ainsi loin d’être clos</w:t>
      </w:r>
      <w:r>
        <w:rPr>
          <w:lang w:eastAsia="fr-FR" w:bidi="fr-FR"/>
        </w:rPr>
        <w:t>. </w:t>
      </w:r>
      <w:r>
        <w:rPr>
          <w:rStyle w:val="Appelnotedebasdep"/>
          <w:lang w:eastAsia="fr-FR" w:bidi="fr-FR"/>
        </w:rPr>
        <w:footnoteReference w:id="337"/>
      </w:r>
    </w:p>
    <w:p w14:paraId="2A276C70" w14:textId="77777777" w:rsidR="0039793A" w:rsidRDefault="0039793A" w:rsidP="0039793A">
      <w:pPr>
        <w:pStyle w:val="p"/>
        <w:rPr>
          <w:lang w:eastAsia="fr-FR" w:bidi="fr-FR"/>
        </w:rPr>
      </w:pPr>
      <w:r w:rsidRPr="00594A23">
        <w:br w:type="page"/>
      </w:r>
      <w:r>
        <w:rPr>
          <w:lang w:eastAsia="fr-FR" w:bidi="fr-FR"/>
        </w:rPr>
        <w:t>[141]</w:t>
      </w:r>
    </w:p>
    <w:p w14:paraId="4577D935" w14:textId="77777777" w:rsidR="0039793A" w:rsidRPr="00E07116" w:rsidRDefault="0039793A" w:rsidP="0039793A">
      <w:pPr>
        <w:jc w:val="both"/>
      </w:pPr>
    </w:p>
    <w:p w14:paraId="21D49BE6" w14:textId="77777777" w:rsidR="0039793A" w:rsidRPr="00E07116" w:rsidRDefault="0039793A" w:rsidP="0039793A"/>
    <w:p w14:paraId="746D91A1" w14:textId="77777777" w:rsidR="0039793A" w:rsidRPr="00E07116" w:rsidRDefault="0039793A" w:rsidP="0039793A">
      <w:pPr>
        <w:jc w:val="both"/>
      </w:pPr>
    </w:p>
    <w:p w14:paraId="2A78CDD8" w14:textId="77777777" w:rsidR="0039793A" w:rsidRPr="00E07116" w:rsidRDefault="0039793A" w:rsidP="0039793A">
      <w:pPr>
        <w:jc w:val="both"/>
      </w:pPr>
    </w:p>
    <w:p w14:paraId="777D90C9" w14:textId="77777777" w:rsidR="0039793A" w:rsidRPr="00642210" w:rsidRDefault="0039793A" w:rsidP="0039793A">
      <w:pPr>
        <w:spacing w:after="120"/>
        <w:jc w:val="center"/>
      </w:pPr>
      <w:bookmarkStart w:id="19" w:name="Pol_EU_pt_2"/>
      <w:r w:rsidRPr="00642210">
        <w:rPr>
          <w:b/>
        </w:rPr>
        <w:t>La politique étrangère des «États-Unis.</w:t>
      </w:r>
      <w:r w:rsidRPr="00642210">
        <w:rPr>
          <w:b/>
        </w:rPr>
        <w:br/>
      </w:r>
      <w:r w:rsidRPr="00642210">
        <w:rPr>
          <w:i/>
        </w:rPr>
        <w:t>Fondements, acteurs, formulation</w:t>
      </w:r>
    </w:p>
    <w:p w14:paraId="27286D80" w14:textId="77777777" w:rsidR="0039793A" w:rsidRPr="00E07116" w:rsidRDefault="0039793A" w:rsidP="0039793A">
      <w:pPr>
        <w:jc w:val="both"/>
      </w:pPr>
    </w:p>
    <w:p w14:paraId="54FD925A" w14:textId="77777777" w:rsidR="0039793A" w:rsidRPr="00384B20" w:rsidRDefault="0039793A" w:rsidP="0039793A">
      <w:pPr>
        <w:pStyle w:val="partie"/>
        <w:jc w:val="center"/>
        <w:rPr>
          <w:sz w:val="72"/>
        </w:rPr>
      </w:pPr>
      <w:r>
        <w:rPr>
          <w:sz w:val="72"/>
        </w:rPr>
        <w:t>Deuxième</w:t>
      </w:r>
      <w:r w:rsidRPr="00384B20">
        <w:rPr>
          <w:sz w:val="72"/>
        </w:rPr>
        <w:t xml:space="preserve"> partie</w:t>
      </w:r>
    </w:p>
    <w:p w14:paraId="1EE47225" w14:textId="77777777" w:rsidR="0039793A" w:rsidRPr="00E07116" w:rsidRDefault="0039793A" w:rsidP="0039793A">
      <w:pPr>
        <w:jc w:val="both"/>
      </w:pPr>
    </w:p>
    <w:p w14:paraId="3CFBBB0D" w14:textId="77777777" w:rsidR="0039793A" w:rsidRPr="00384B20" w:rsidRDefault="0039793A" w:rsidP="0039793A">
      <w:pPr>
        <w:pStyle w:val="Titreniveau2"/>
      </w:pPr>
      <w:r>
        <w:t>LE POUVOIR EXÉCUTIF</w:t>
      </w:r>
      <w:r>
        <w:br/>
        <w:t>AU CŒUR DE L’ACTION</w:t>
      </w:r>
      <w:r>
        <w:br/>
        <w:t>INTERNATIONALE</w:t>
      </w:r>
    </w:p>
    <w:bookmarkEnd w:id="19"/>
    <w:p w14:paraId="2043B1C0" w14:textId="77777777" w:rsidR="0039793A" w:rsidRPr="00E07116" w:rsidRDefault="0039793A" w:rsidP="0039793A">
      <w:pPr>
        <w:jc w:val="both"/>
      </w:pPr>
    </w:p>
    <w:p w14:paraId="6006C5ED" w14:textId="77777777" w:rsidR="0039793A" w:rsidRPr="00E07116" w:rsidRDefault="0039793A" w:rsidP="0039793A">
      <w:pPr>
        <w:jc w:val="both"/>
      </w:pPr>
    </w:p>
    <w:p w14:paraId="7EE3F142" w14:textId="77777777" w:rsidR="0039793A" w:rsidRPr="00C70582" w:rsidRDefault="0039793A" w:rsidP="0039793A">
      <w:pPr>
        <w:spacing w:before="120" w:after="120"/>
        <w:jc w:val="center"/>
        <w:rPr>
          <w:i/>
          <w:iCs/>
        </w:rPr>
      </w:pPr>
      <w:r w:rsidRPr="00C70582">
        <w:rPr>
          <w:i/>
          <w:iCs/>
          <w:lang w:eastAsia="fr-FR" w:bidi="fr-FR"/>
        </w:rPr>
        <w:t xml:space="preserve">Charles-Philippe </w:t>
      </w:r>
      <w:r w:rsidRPr="00531FC2">
        <w:rPr>
          <w:i/>
          <w:iCs/>
          <w:caps/>
          <w:lang w:eastAsia="fr-FR" w:bidi="fr-FR"/>
        </w:rPr>
        <w:t>David</w:t>
      </w:r>
    </w:p>
    <w:p w14:paraId="09AB5ADB" w14:textId="77777777" w:rsidR="0039793A" w:rsidRPr="00E07116" w:rsidRDefault="0039793A" w:rsidP="0039793A">
      <w:pPr>
        <w:jc w:val="both"/>
      </w:pPr>
    </w:p>
    <w:p w14:paraId="0DC92A00" w14:textId="77777777" w:rsidR="0039793A" w:rsidRPr="00E07116" w:rsidRDefault="0039793A" w:rsidP="0039793A">
      <w:pPr>
        <w:jc w:val="both"/>
      </w:pPr>
    </w:p>
    <w:p w14:paraId="795CFC71" w14:textId="77777777" w:rsidR="0039793A" w:rsidRPr="00E07116" w:rsidRDefault="0039793A" w:rsidP="0039793A">
      <w:pPr>
        <w:jc w:val="both"/>
      </w:pPr>
    </w:p>
    <w:p w14:paraId="7F4D6EF6"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58A6D391" w14:textId="77777777" w:rsidR="0039793A" w:rsidRPr="00594A23" w:rsidRDefault="0039793A" w:rsidP="0039793A">
      <w:pPr>
        <w:spacing w:before="120" w:after="120"/>
        <w:jc w:val="both"/>
      </w:pPr>
      <w:r w:rsidRPr="00594A23">
        <w:rPr>
          <w:lang w:eastAsia="fr-FR" w:bidi="fr-FR"/>
        </w:rPr>
        <w:t>La politique étrangère des États-Unis est essentiellement élaborée par l’Exécutif. Elle est notamment le fait de la présidence et des d</w:t>
      </w:r>
      <w:r w:rsidRPr="00594A23">
        <w:rPr>
          <w:lang w:eastAsia="fr-FR" w:bidi="fr-FR"/>
        </w:rPr>
        <w:t>é</w:t>
      </w:r>
      <w:r w:rsidRPr="00594A23">
        <w:rPr>
          <w:lang w:eastAsia="fr-FR" w:bidi="fr-FR"/>
        </w:rPr>
        <w:t>partements (ministères) qui forment une imposante machine gouve</w:t>
      </w:r>
      <w:r w:rsidRPr="00594A23">
        <w:rPr>
          <w:lang w:eastAsia="fr-FR" w:bidi="fr-FR"/>
        </w:rPr>
        <w:t>r</w:t>
      </w:r>
      <w:r w:rsidRPr="00594A23">
        <w:rPr>
          <w:lang w:eastAsia="fr-FR" w:bidi="fr-FR"/>
        </w:rPr>
        <w:t>nementale qui s’est considér</w:t>
      </w:r>
      <w:r w:rsidRPr="00594A23">
        <w:rPr>
          <w:lang w:eastAsia="fr-FR" w:bidi="fr-FR"/>
        </w:rPr>
        <w:t>a</w:t>
      </w:r>
      <w:r w:rsidRPr="00594A23">
        <w:rPr>
          <w:lang w:eastAsia="fr-FR" w:bidi="fr-FR"/>
        </w:rPr>
        <w:t>blement développée depuis cinquante ans. Il s’agit d’une machinerie complexe</w:t>
      </w:r>
      <w:r w:rsidRPr="00594A23">
        <w:t> :</w:t>
      </w:r>
      <w:r w:rsidRPr="00594A23">
        <w:rPr>
          <w:lang w:eastAsia="fr-FR" w:bidi="fr-FR"/>
        </w:rPr>
        <w:t xml:space="preserve"> les réseaux et les organis</w:t>
      </w:r>
      <w:r w:rsidRPr="00594A23">
        <w:rPr>
          <w:lang w:eastAsia="fr-FR" w:bidi="fr-FR"/>
        </w:rPr>
        <w:t>a</w:t>
      </w:r>
      <w:r w:rsidRPr="00594A23">
        <w:rPr>
          <w:lang w:eastAsia="fr-FR" w:bidi="fr-FR"/>
        </w:rPr>
        <w:t>tions s’y entrecroisent et se superposent. L’exigence de cohérence qui en résulte est assurée par le président et son Conseil de sécurité nati</w:t>
      </w:r>
      <w:r w:rsidRPr="00594A23">
        <w:rPr>
          <w:lang w:eastAsia="fr-FR" w:bidi="fr-FR"/>
        </w:rPr>
        <w:t>o</w:t>
      </w:r>
      <w:r w:rsidRPr="00594A23">
        <w:rPr>
          <w:lang w:eastAsia="fr-FR" w:bidi="fr-FR"/>
        </w:rPr>
        <w:t xml:space="preserve">nale ou </w:t>
      </w:r>
      <w:r w:rsidRPr="00FB19C7">
        <w:rPr>
          <w:i/>
          <w:iCs/>
        </w:rPr>
        <w:t>National Security Council</w:t>
      </w:r>
      <w:r w:rsidRPr="00594A23">
        <w:rPr>
          <w:lang w:eastAsia="fr-FR" w:bidi="fr-FR"/>
        </w:rPr>
        <w:t xml:space="preserve"> </w:t>
      </w:r>
      <w:r w:rsidRPr="00594A23">
        <w:t xml:space="preserve">(NSC), </w:t>
      </w:r>
      <w:r w:rsidRPr="00594A23">
        <w:rPr>
          <w:lang w:eastAsia="fr-FR" w:bidi="fr-FR"/>
        </w:rPr>
        <w:t>un organisme particulièr</w:t>
      </w:r>
      <w:r w:rsidRPr="00594A23">
        <w:rPr>
          <w:lang w:eastAsia="fr-FR" w:bidi="fr-FR"/>
        </w:rPr>
        <w:t>e</w:t>
      </w:r>
      <w:r w:rsidRPr="00594A23">
        <w:rPr>
          <w:lang w:eastAsia="fr-FR" w:bidi="fr-FR"/>
        </w:rPr>
        <w:t>ment influent au cours de la guerre froide et conservant aujourd’hui encore toute sa prédom</w:t>
      </w:r>
      <w:r w:rsidRPr="00594A23">
        <w:rPr>
          <w:lang w:eastAsia="fr-FR" w:bidi="fr-FR"/>
        </w:rPr>
        <w:t>i</w:t>
      </w:r>
      <w:r w:rsidRPr="00594A23">
        <w:rPr>
          <w:lang w:eastAsia="fr-FR" w:bidi="fr-FR"/>
        </w:rPr>
        <w:t>nance.</w:t>
      </w:r>
    </w:p>
    <w:p w14:paraId="130F59CA" w14:textId="77777777" w:rsidR="0039793A" w:rsidRPr="00594A23" w:rsidRDefault="0039793A" w:rsidP="0039793A">
      <w:pPr>
        <w:spacing w:before="120" w:after="120"/>
        <w:jc w:val="both"/>
      </w:pPr>
      <w:r w:rsidRPr="00594A23">
        <w:rPr>
          <w:lang w:eastAsia="fr-FR" w:bidi="fr-FR"/>
        </w:rPr>
        <w:t>Le président, pour sa part, est certainement l’un des chefs d’État les plus importants au monde, autant en raison du fait que les États-Unis sont l’hyper-puissance, que du fait des pouvoirs étendus dont il dispose dans le domaine de la politique extérieure. Ses pouvoirs se sont considérablement accrus au cours de l’Histoire, malgré certains déboires de politique étrangère et des prises de décision abusives.</w:t>
      </w:r>
    </w:p>
    <w:p w14:paraId="4EF45460" w14:textId="77777777" w:rsidR="0039793A" w:rsidRPr="00594A23" w:rsidRDefault="0039793A" w:rsidP="0039793A">
      <w:pPr>
        <w:spacing w:before="120" w:after="120"/>
        <w:jc w:val="both"/>
      </w:pPr>
      <w:r w:rsidRPr="00594A23">
        <w:rPr>
          <w:lang w:eastAsia="fr-FR" w:bidi="fr-FR"/>
        </w:rPr>
        <w:t>Les départements qui formulent et mettent en œuvre les politiques américaines se sont largement transformés. Alors que le Département d’État a jadis connu son heure de gloire lorsqu’il était chargé de l’élaboration de la politique étra</w:t>
      </w:r>
      <w:r w:rsidRPr="00594A23">
        <w:rPr>
          <w:lang w:eastAsia="fr-FR" w:bidi="fr-FR"/>
        </w:rPr>
        <w:t>n</w:t>
      </w:r>
      <w:r w:rsidRPr="00594A23">
        <w:rPr>
          <w:lang w:eastAsia="fr-FR" w:bidi="fr-FR"/>
        </w:rPr>
        <w:t>gère, il est aujourd’hui amoindri, voire marginalisé, par une multitude de concurrents — dont le dépa</w:t>
      </w:r>
      <w:r w:rsidRPr="00594A23">
        <w:rPr>
          <w:lang w:eastAsia="fr-FR" w:bidi="fr-FR"/>
        </w:rPr>
        <w:t>r</w:t>
      </w:r>
      <w:r w:rsidRPr="00594A23">
        <w:rPr>
          <w:lang w:eastAsia="fr-FR" w:bidi="fr-FR"/>
        </w:rPr>
        <w:t>tement de la D</w:t>
      </w:r>
      <w:r w:rsidRPr="00594A23">
        <w:rPr>
          <w:lang w:eastAsia="fr-FR" w:bidi="fr-FR"/>
        </w:rPr>
        <w:t>é</w:t>
      </w:r>
      <w:r w:rsidRPr="00594A23">
        <w:rPr>
          <w:lang w:eastAsia="fr-FR" w:bidi="fr-FR"/>
        </w:rPr>
        <w:t>fense. L’élaboration de la politique étrangère est le résultat d’une rivalité constante</w:t>
      </w:r>
      <w:r>
        <w:rPr>
          <w:lang w:eastAsia="fr-FR" w:bidi="fr-FR"/>
        </w:rPr>
        <w:t xml:space="preserve"> </w:t>
      </w:r>
      <w:r>
        <w:t xml:space="preserve">[142] </w:t>
      </w:r>
      <w:r w:rsidRPr="00594A23">
        <w:rPr>
          <w:lang w:eastAsia="fr-FR" w:bidi="fr-FR"/>
        </w:rPr>
        <w:t xml:space="preserve">entre ces départements pour orienter et contrôler l’action des États-Unis dans le monde. Et le </w:t>
      </w:r>
      <w:r w:rsidRPr="00594A23">
        <w:t xml:space="preserve">NSC </w:t>
      </w:r>
      <w:r w:rsidRPr="00594A23">
        <w:rPr>
          <w:lang w:eastAsia="fr-FR" w:bidi="fr-FR"/>
        </w:rPr>
        <w:t>qui, en théorie, doit assurer la coh</w:t>
      </w:r>
      <w:r w:rsidRPr="00594A23">
        <w:rPr>
          <w:lang w:eastAsia="fr-FR" w:bidi="fr-FR"/>
        </w:rPr>
        <w:t>é</w:t>
      </w:r>
      <w:r w:rsidRPr="00594A23">
        <w:rPr>
          <w:lang w:eastAsia="fr-FR" w:bidi="fr-FR"/>
        </w:rPr>
        <w:t>rence de cette action, finit par être pris dans le jeu bureaucratique.</w:t>
      </w:r>
    </w:p>
    <w:p w14:paraId="0E55D759" w14:textId="77777777" w:rsidR="0039793A" w:rsidRPr="00594A23" w:rsidRDefault="0039793A" w:rsidP="0039793A">
      <w:pPr>
        <w:spacing w:before="120" w:after="120"/>
        <w:jc w:val="both"/>
      </w:pPr>
      <w:r w:rsidRPr="00594A23">
        <w:rPr>
          <w:lang w:eastAsia="fr-FR" w:bidi="fr-FR"/>
        </w:rPr>
        <w:t>En fin de compte, ce sont principalement le style déc</w:t>
      </w:r>
      <w:r w:rsidRPr="00594A23">
        <w:rPr>
          <w:lang w:eastAsia="fr-FR" w:bidi="fr-FR"/>
        </w:rPr>
        <w:t>i</w:t>
      </w:r>
      <w:r w:rsidRPr="00594A23">
        <w:rPr>
          <w:lang w:eastAsia="fr-FR" w:bidi="fr-FR"/>
        </w:rPr>
        <w:t>sionnel et les qualités de leadership du président qui déte</w:t>
      </w:r>
      <w:r w:rsidRPr="00594A23">
        <w:rPr>
          <w:lang w:eastAsia="fr-FR" w:bidi="fr-FR"/>
        </w:rPr>
        <w:t>r</w:t>
      </w:r>
      <w:r w:rsidRPr="00594A23">
        <w:rPr>
          <w:lang w:eastAsia="fr-FR" w:bidi="fr-FR"/>
        </w:rPr>
        <w:t>minent les orientations et l’aboutissement de la politique extérieure américaine.</w:t>
      </w:r>
    </w:p>
    <w:p w14:paraId="0E331719" w14:textId="77777777" w:rsidR="0039793A" w:rsidRPr="00594A23" w:rsidRDefault="0039793A" w:rsidP="0039793A">
      <w:pPr>
        <w:pStyle w:val="p"/>
      </w:pPr>
      <w:r w:rsidRPr="00594A23">
        <w:br w:type="page"/>
      </w:r>
      <w:r>
        <w:rPr>
          <w:lang w:eastAsia="fr-FR" w:bidi="fr-FR"/>
        </w:rPr>
        <w:t>[143]</w:t>
      </w:r>
    </w:p>
    <w:p w14:paraId="5909E289" w14:textId="77777777" w:rsidR="0039793A" w:rsidRPr="00E07116" w:rsidRDefault="0039793A" w:rsidP="0039793A">
      <w:pPr>
        <w:jc w:val="both"/>
      </w:pPr>
    </w:p>
    <w:p w14:paraId="6B449468" w14:textId="77777777" w:rsidR="0039793A" w:rsidRDefault="0039793A" w:rsidP="0039793A">
      <w:pPr>
        <w:jc w:val="both"/>
      </w:pPr>
    </w:p>
    <w:p w14:paraId="40FE568A" w14:textId="77777777" w:rsidR="0039793A" w:rsidRPr="00E07116" w:rsidRDefault="0039793A" w:rsidP="0039793A">
      <w:pPr>
        <w:jc w:val="both"/>
      </w:pPr>
    </w:p>
    <w:p w14:paraId="784AB03D" w14:textId="77777777" w:rsidR="0039793A" w:rsidRPr="00642210" w:rsidRDefault="0039793A" w:rsidP="0039793A">
      <w:pPr>
        <w:spacing w:after="120"/>
        <w:jc w:val="center"/>
      </w:pPr>
      <w:bookmarkStart w:id="20" w:name="Pol_EU_pt_2_chap_05"/>
      <w:r w:rsidRPr="00642210">
        <w:rPr>
          <w:b/>
        </w:rPr>
        <w:t>La politique étrangère des «États-Unis.</w:t>
      </w:r>
      <w:r w:rsidRPr="00642210">
        <w:rPr>
          <w:b/>
        </w:rPr>
        <w:br/>
      </w:r>
      <w:r w:rsidRPr="00642210">
        <w:rPr>
          <w:i/>
        </w:rPr>
        <w:t>Fondements, acteurs, formulation</w:t>
      </w:r>
    </w:p>
    <w:p w14:paraId="645818A2" w14:textId="77777777" w:rsidR="0039793A" w:rsidRPr="00384B20" w:rsidRDefault="0039793A" w:rsidP="0039793A">
      <w:pPr>
        <w:spacing w:after="120"/>
        <w:ind w:firstLine="0"/>
        <w:jc w:val="center"/>
        <w:rPr>
          <w:color w:val="000080"/>
          <w:sz w:val="24"/>
        </w:rPr>
      </w:pPr>
      <w:r>
        <w:rPr>
          <w:color w:val="000080"/>
          <w:sz w:val="24"/>
        </w:rPr>
        <w:t>DEUXIÈME PARTIE</w:t>
      </w:r>
    </w:p>
    <w:p w14:paraId="22B5DE16" w14:textId="77777777" w:rsidR="0039793A" w:rsidRPr="00384B20" w:rsidRDefault="0039793A" w:rsidP="0039793A">
      <w:pPr>
        <w:pStyle w:val="Titreniveau1"/>
      </w:pPr>
      <w:r w:rsidRPr="00384B20">
        <w:t xml:space="preserve">Chapitre </w:t>
      </w:r>
      <w:r>
        <w:t>5</w:t>
      </w:r>
    </w:p>
    <w:p w14:paraId="3615C6A9" w14:textId="77777777" w:rsidR="0039793A" w:rsidRPr="00E07116" w:rsidRDefault="0039793A" w:rsidP="0039793A">
      <w:pPr>
        <w:pStyle w:val="Titreniveau2"/>
      </w:pPr>
      <w:r>
        <w:t>UNE PRÉSIDENCE</w:t>
      </w:r>
      <w:r>
        <w:br/>
        <w:t>TOUJOURS IMPÉRIALE</w:t>
      </w:r>
    </w:p>
    <w:bookmarkEnd w:id="20"/>
    <w:p w14:paraId="7C7324F9" w14:textId="77777777" w:rsidR="0039793A" w:rsidRPr="00E07116" w:rsidRDefault="0039793A" w:rsidP="0039793A">
      <w:pPr>
        <w:jc w:val="both"/>
        <w:rPr>
          <w:szCs w:val="36"/>
        </w:rPr>
      </w:pPr>
    </w:p>
    <w:p w14:paraId="685E4DA7" w14:textId="77777777" w:rsidR="0039793A" w:rsidRPr="00E07116" w:rsidRDefault="0039793A" w:rsidP="0039793A">
      <w:pPr>
        <w:jc w:val="both"/>
      </w:pPr>
    </w:p>
    <w:p w14:paraId="04D600C6" w14:textId="77777777" w:rsidR="0039793A" w:rsidRPr="00E07116" w:rsidRDefault="0039793A" w:rsidP="0039793A">
      <w:pPr>
        <w:jc w:val="both"/>
      </w:pPr>
    </w:p>
    <w:p w14:paraId="20E85E22" w14:textId="77777777" w:rsidR="0039793A" w:rsidRPr="00E07116" w:rsidRDefault="0039793A" w:rsidP="0039793A">
      <w:pPr>
        <w:jc w:val="both"/>
      </w:pPr>
    </w:p>
    <w:p w14:paraId="0D700CA8"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EA23564" w14:textId="77777777" w:rsidR="0039793A" w:rsidRPr="00594A23" w:rsidRDefault="0039793A" w:rsidP="0039793A">
      <w:pPr>
        <w:spacing w:before="120" w:after="120"/>
        <w:jc w:val="both"/>
      </w:pPr>
      <w:r w:rsidRPr="00594A23">
        <w:rPr>
          <w:lang w:eastAsia="fr-FR" w:bidi="fr-FR"/>
        </w:rPr>
        <w:t>La Constitution des États-Unis a été décrite, il y a ci</w:t>
      </w:r>
      <w:r w:rsidRPr="00594A23">
        <w:rPr>
          <w:lang w:eastAsia="fr-FR" w:bidi="fr-FR"/>
        </w:rPr>
        <w:t>n</w:t>
      </w:r>
      <w:r w:rsidRPr="00594A23">
        <w:rPr>
          <w:lang w:eastAsia="fr-FR" w:bidi="fr-FR"/>
        </w:rPr>
        <w:t xml:space="preserve">quante ans, par le juriste Edward Corwin comme </w:t>
      </w:r>
      <w:r w:rsidRPr="00594A23">
        <w:t>« </w:t>
      </w:r>
      <w:r w:rsidRPr="00594A23">
        <w:rPr>
          <w:lang w:eastAsia="fr-FR" w:bidi="fr-FR"/>
        </w:rPr>
        <w:t>une inc</w:t>
      </w:r>
      <w:r w:rsidRPr="00594A23">
        <w:rPr>
          <w:lang w:eastAsia="fr-FR" w:bidi="fr-FR"/>
        </w:rPr>
        <w:t>i</w:t>
      </w:r>
      <w:r w:rsidRPr="00594A23">
        <w:rPr>
          <w:lang w:eastAsia="fr-FR" w:bidi="fr-FR"/>
        </w:rPr>
        <w:t>tation à la concurrence entre institutions pour l’obtention du privilège de diriger la politique étrangère</w:t>
      </w:r>
      <w:r>
        <w:rPr>
          <w:lang w:eastAsia="fr-FR" w:bidi="fr-FR"/>
        </w:rPr>
        <w:t> </w:t>
      </w:r>
      <w:r>
        <w:rPr>
          <w:rStyle w:val="Appelnotedebasdep"/>
          <w:lang w:eastAsia="fr-FR" w:bidi="fr-FR"/>
        </w:rPr>
        <w:footnoteReference w:id="338"/>
      </w:r>
      <w:r w:rsidRPr="00594A23">
        <w:t> »</w:t>
      </w:r>
      <w:r w:rsidRPr="00594A23">
        <w:rPr>
          <w:lang w:eastAsia="fr-FR" w:bidi="fr-FR"/>
        </w:rPr>
        <w:t>. Cette concu</w:t>
      </w:r>
      <w:r w:rsidRPr="00594A23">
        <w:rPr>
          <w:lang w:eastAsia="fr-FR" w:bidi="fr-FR"/>
        </w:rPr>
        <w:t>r</w:t>
      </w:r>
      <w:r w:rsidRPr="00594A23">
        <w:rPr>
          <w:lang w:eastAsia="fr-FR" w:bidi="fr-FR"/>
        </w:rPr>
        <w:t>rence est bien réelle, le président et le Congrès négociant les décisions et les modalités de mise en œuvre de la politique étrangère américaine. Pourtant, la présidence demeure très largement dominante dans l’élaboration de cette politique dont elle définit les orientations. Elle constitue, depuis to</w:t>
      </w:r>
      <w:r w:rsidRPr="00594A23">
        <w:rPr>
          <w:lang w:eastAsia="fr-FR" w:bidi="fr-FR"/>
        </w:rPr>
        <w:t>u</w:t>
      </w:r>
      <w:r w:rsidRPr="00594A23">
        <w:rPr>
          <w:lang w:eastAsia="fr-FR" w:bidi="fr-FR"/>
        </w:rPr>
        <w:t>jours, la référence diplomatique incontournable que reco</w:t>
      </w:r>
      <w:r w:rsidRPr="00594A23">
        <w:rPr>
          <w:lang w:eastAsia="fr-FR" w:bidi="fr-FR"/>
        </w:rPr>
        <w:t>n</w:t>
      </w:r>
      <w:r w:rsidRPr="00594A23">
        <w:rPr>
          <w:lang w:eastAsia="fr-FR" w:bidi="fr-FR"/>
        </w:rPr>
        <w:t>naissent tous les chefs d’État et est en relation directe avec les gouvernements étrangers. Aussi sur la plupart des grands enjeux de la politique extérieure, la présidence po</w:t>
      </w:r>
      <w:r w:rsidRPr="00594A23">
        <w:rPr>
          <w:lang w:eastAsia="fr-FR" w:bidi="fr-FR"/>
        </w:rPr>
        <w:t>s</w:t>
      </w:r>
      <w:r w:rsidRPr="00594A23">
        <w:rPr>
          <w:lang w:eastAsia="fr-FR" w:bidi="fr-FR"/>
        </w:rPr>
        <w:t>sède-t-elle d’énormes avantages sur le Congrès.</w:t>
      </w:r>
    </w:p>
    <w:p w14:paraId="4FE7052F" w14:textId="77777777" w:rsidR="0039793A" w:rsidRPr="00594A23" w:rsidRDefault="0039793A" w:rsidP="0039793A">
      <w:pPr>
        <w:spacing w:before="120" w:after="120"/>
        <w:jc w:val="both"/>
      </w:pPr>
      <w:r w:rsidRPr="00594A23">
        <w:rPr>
          <w:lang w:eastAsia="fr-FR" w:bidi="fr-FR"/>
        </w:rPr>
        <w:t>Il ne faudrait cependant pas conclure à l’impuissance du Congrès. De l’avis des observateurs, les relations entre l’Exécutif et le Législ</w:t>
      </w:r>
      <w:r w:rsidRPr="00594A23">
        <w:rPr>
          <w:lang w:eastAsia="fr-FR" w:bidi="fr-FR"/>
        </w:rPr>
        <w:t>a</w:t>
      </w:r>
      <w:r w:rsidRPr="00594A23">
        <w:rPr>
          <w:lang w:eastAsia="fr-FR" w:bidi="fr-FR"/>
        </w:rPr>
        <w:t>tif se sont progressivement détériorées</w:t>
      </w:r>
      <w:r>
        <w:rPr>
          <w:lang w:eastAsia="fr-FR" w:bidi="fr-FR"/>
        </w:rPr>
        <w:t> </w:t>
      </w:r>
      <w:r>
        <w:rPr>
          <w:rStyle w:val="Appelnotedebasdep"/>
          <w:lang w:eastAsia="fr-FR" w:bidi="fr-FR"/>
        </w:rPr>
        <w:footnoteReference w:id="339"/>
      </w:r>
      <w:r w:rsidRPr="00594A23">
        <w:rPr>
          <w:lang w:eastAsia="fr-FR" w:bidi="fr-FR"/>
        </w:rPr>
        <w:t>. La présidence est aux pr</w:t>
      </w:r>
      <w:r w:rsidRPr="00594A23">
        <w:rPr>
          <w:lang w:eastAsia="fr-FR" w:bidi="fr-FR"/>
        </w:rPr>
        <w:t>i</w:t>
      </w:r>
      <w:r w:rsidRPr="00594A23">
        <w:rPr>
          <w:lang w:eastAsia="fr-FR" w:bidi="fr-FR"/>
        </w:rPr>
        <w:t>ses avec de constants réalignements politiques,</w:t>
      </w:r>
      <w:r>
        <w:rPr>
          <w:lang w:eastAsia="fr-FR" w:bidi="fr-FR"/>
        </w:rPr>
        <w:t xml:space="preserve"> </w:t>
      </w:r>
      <w:r>
        <w:t xml:space="preserve">[144] </w:t>
      </w:r>
      <w:r w:rsidRPr="00594A23">
        <w:rPr>
          <w:lang w:eastAsia="fr-FR" w:bidi="fr-FR"/>
        </w:rPr>
        <w:t>souvent impr</w:t>
      </w:r>
      <w:r w:rsidRPr="00594A23">
        <w:rPr>
          <w:lang w:eastAsia="fr-FR" w:bidi="fr-FR"/>
        </w:rPr>
        <w:t>é</w:t>
      </w:r>
      <w:r w:rsidRPr="00594A23">
        <w:rPr>
          <w:lang w:eastAsia="fr-FR" w:bidi="fr-FR"/>
        </w:rPr>
        <w:t xml:space="preserve">visibles, au sein du Congrès. Alors qu’avant 1955, le parti présidentiel contrôlait </w:t>
      </w:r>
      <w:r>
        <w:rPr>
          <w:lang w:eastAsia="fr-FR" w:bidi="fr-FR"/>
        </w:rPr>
        <w:t>les deux Chambres en moyenne 85</w:t>
      </w:r>
      <w:r w:rsidRPr="00594A23">
        <w:t>%</w:t>
      </w:r>
      <w:r w:rsidRPr="00594A23">
        <w:rPr>
          <w:lang w:eastAsia="fr-FR" w:bidi="fr-FR"/>
        </w:rPr>
        <w:t xml:space="preserve"> du temps, ce contrôle dep</w:t>
      </w:r>
      <w:r>
        <w:rPr>
          <w:lang w:eastAsia="fr-FR" w:bidi="fr-FR"/>
        </w:rPr>
        <w:t>uis n’est plus qu’environ de 33</w:t>
      </w:r>
      <w:r w:rsidRPr="00594A23">
        <w:rPr>
          <w:lang w:eastAsia="fr-FR" w:bidi="fr-FR"/>
        </w:rPr>
        <w:t>%. Al</w:t>
      </w:r>
      <w:r>
        <w:rPr>
          <w:lang w:eastAsia="fr-FR" w:bidi="fr-FR"/>
        </w:rPr>
        <w:t>ors que, entre 1946 et 1949, 66</w:t>
      </w:r>
      <w:r w:rsidRPr="00594A23">
        <w:rPr>
          <w:lang w:eastAsia="fr-FR" w:bidi="fr-FR"/>
        </w:rPr>
        <w:t>% des projets de loi introduits par le président r</w:t>
      </w:r>
      <w:r w:rsidRPr="00594A23">
        <w:rPr>
          <w:lang w:eastAsia="fr-FR" w:bidi="fr-FR"/>
        </w:rPr>
        <w:t>e</w:t>
      </w:r>
      <w:r w:rsidRPr="00594A23">
        <w:rPr>
          <w:lang w:eastAsia="fr-FR" w:bidi="fr-FR"/>
        </w:rPr>
        <w:t xml:space="preserve">cueillent l’appui du </w:t>
      </w:r>
      <w:r>
        <w:rPr>
          <w:lang w:eastAsia="fr-FR" w:bidi="fr-FR"/>
        </w:rPr>
        <w:t>Congrès, entre 1992 et 1995, 24</w:t>
      </w:r>
      <w:r w:rsidRPr="00594A23">
        <w:rPr>
          <w:lang w:eastAsia="fr-FR" w:bidi="fr-FR"/>
        </w:rPr>
        <w:t>% d’entre eux seulement sont appro</w:t>
      </w:r>
      <w:r w:rsidRPr="00594A23">
        <w:rPr>
          <w:lang w:eastAsia="fr-FR" w:bidi="fr-FR"/>
        </w:rPr>
        <w:t>u</w:t>
      </w:r>
      <w:r w:rsidRPr="00594A23">
        <w:rPr>
          <w:lang w:eastAsia="fr-FR" w:bidi="fr-FR"/>
        </w:rPr>
        <w:t>vés</w:t>
      </w:r>
      <w:r>
        <w:rPr>
          <w:lang w:eastAsia="fr-FR" w:bidi="fr-FR"/>
        </w:rPr>
        <w:t> </w:t>
      </w:r>
      <w:r>
        <w:rPr>
          <w:rStyle w:val="Appelnotedebasdep"/>
          <w:lang w:eastAsia="fr-FR" w:bidi="fr-FR"/>
        </w:rPr>
        <w:footnoteReference w:id="340"/>
      </w:r>
      <w:r w:rsidRPr="00594A23">
        <w:rPr>
          <w:lang w:eastAsia="fr-FR" w:bidi="fr-FR"/>
        </w:rPr>
        <w:t>. Faute d’une major</w:t>
      </w:r>
      <w:r w:rsidRPr="00594A23">
        <w:rPr>
          <w:lang w:eastAsia="fr-FR" w:bidi="fr-FR"/>
        </w:rPr>
        <w:t>i</w:t>
      </w:r>
      <w:r w:rsidRPr="00594A23">
        <w:rPr>
          <w:lang w:eastAsia="fr-FR" w:bidi="fr-FR"/>
        </w:rPr>
        <w:t>té massive, et du fait de l’atomisation des votes, la mise en place d’une coalition compr</w:t>
      </w:r>
      <w:r w:rsidRPr="00594A23">
        <w:rPr>
          <w:lang w:eastAsia="fr-FR" w:bidi="fr-FR"/>
        </w:rPr>
        <w:t>e</w:t>
      </w:r>
      <w:r w:rsidRPr="00594A23">
        <w:rPr>
          <w:lang w:eastAsia="fr-FR" w:bidi="fr-FR"/>
        </w:rPr>
        <w:t>nant des élus des deux partis devient nécessaire pour obtenir le vote de résolutions a</w:t>
      </w:r>
      <w:r w:rsidRPr="00594A23">
        <w:rPr>
          <w:lang w:eastAsia="fr-FR" w:bidi="fr-FR"/>
        </w:rPr>
        <w:t>p</w:t>
      </w:r>
      <w:r w:rsidRPr="00594A23">
        <w:rPr>
          <w:lang w:eastAsia="fr-FR" w:bidi="fr-FR"/>
        </w:rPr>
        <w:t>puyant une intervention militaire au Congrès</w:t>
      </w:r>
      <w:r>
        <w:rPr>
          <w:lang w:eastAsia="fr-FR" w:bidi="fr-FR"/>
        </w:rPr>
        <w:t> </w:t>
      </w:r>
      <w:r>
        <w:rPr>
          <w:rStyle w:val="Appelnotedebasdep"/>
          <w:lang w:eastAsia="fr-FR" w:bidi="fr-FR"/>
        </w:rPr>
        <w:footnoteReference w:id="341"/>
      </w:r>
      <w:r w:rsidRPr="00594A23">
        <w:rPr>
          <w:lang w:eastAsia="fr-FR" w:bidi="fr-FR"/>
        </w:rPr>
        <w:t>. En l’absence d’une discipl</w:t>
      </w:r>
      <w:r w:rsidRPr="00594A23">
        <w:rPr>
          <w:lang w:eastAsia="fr-FR" w:bidi="fr-FR"/>
        </w:rPr>
        <w:t>i</w:t>
      </w:r>
      <w:r w:rsidRPr="00594A23">
        <w:rPr>
          <w:lang w:eastAsia="fr-FR" w:bidi="fr-FR"/>
        </w:rPr>
        <w:t xml:space="preserve">ne de partis, l’orientation des votes est moins prévisible, les enjeux sont éminemment politisés et chaque question est soumise aux jeux et aléas des groupes d’intérêts et des sondages. Au lieu de faire l’objet d’un consensus comme cela était le cas avant la fin des années </w:t>
      </w:r>
      <w:r>
        <w:rPr>
          <w:lang w:eastAsia="fr-FR" w:bidi="fr-FR"/>
        </w:rPr>
        <w:t>1</w:t>
      </w:r>
      <w:r w:rsidRPr="00594A23">
        <w:rPr>
          <w:lang w:eastAsia="fr-FR" w:bidi="fr-FR"/>
        </w:rPr>
        <w:t>960, du fait de ce problème structurel, la politique étrangère perd en coh</w:t>
      </w:r>
      <w:r w:rsidRPr="00594A23">
        <w:rPr>
          <w:lang w:eastAsia="fr-FR" w:bidi="fr-FR"/>
        </w:rPr>
        <w:t>é</w:t>
      </w:r>
      <w:r w:rsidRPr="00594A23">
        <w:rPr>
          <w:lang w:eastAsia="fr-FR" w:bidi="fr-FR"/>
        </w:rPr>
        <w:t>rence</w:t>
      </w:r>
      <w:r w:rsidRPr="00594A23">
        <w:t> :</w:t>
      </w:r>
      <w:r w:rsidRPr="00594A23">
        <w:rPr>
          <w:lang w:eastAsia="fr-FR" w:bidi="fr-FR"/>
        </w:rPr>
        <w:t xml:space="preserve"> elle devient le reflet de la politique domestique puisque les e</w:t>
      </w:r>
      <w:r w:rsidRPr="00594A23">
        <w:rPr>
          <w:lang w:eastAsia="fr-FR" w:bidi="fr-FR"/>
        </w:rPr>
        <w:t>n</w:t>
      </w:r>
      <w:r w:rsidRPr="00594A23">
        <w:rPr>
          <w:lang w:eastAsia="fr-FR" w:bidi="fr-FR"/>
        </w:rPr>
        <w:t xml:space="preserve">jeux internationaux sont perçus au travers du prisme de la politique intérieure. Ce climat de </w:t>
      </w:r>
      <w:r w:rsidRPr="00594A23">
        <w:t>« </w:t>
      </w:r>
      <w:r w:rsidRPr="00594A23">
        <w:rPr>
          <w:lang w:eastAsia="fr-FR" w:bidi="fr-FR"/>
        </w:rPr>
        <w:t>domestication</w:t>
      </w:r>
      <w:r w:rsidRPr="00594A23">
        <w:t> »</w:t>
      </w:r>
      <w:r w:rsidRPr="00594A23">
        <w:rPr>
          <w:lang w:eastAsia="fr-FR" w:bidi="fr-FR"/>
        </w:rPr>
        <w:t xml:space="preserve"> de la politique étrangère rendrait la présidence </w:t>
      </w:r>
      <w:r w:rsidRPr="00594A23">
        <w:t>« </w:t>
      </w:r>
      <w:r w:rsidRPr="00594A23">
        <w:rPr>
          <w:lang w:eastAsia="fr-FR" w:bidi="fr-FR"/>
        </w:rPr>
        <w:t>non exécutive</w:t>
      </w:r>
      <w:r>
        <w:rPr>
          <w:lang w:eastAsia="fr-FR" w:bidi="fr-FR"/>
        </w:rPr>
        <w:t> </w:t>
      </w:r>
      <w:r>
        <w:rPr>
          <w:rStyle w:val="Appelnotedebasdep"/>
          <w:lang w:eastAsia="fr-FR" w:bidi="fr-FR"/>
        </w:rPr>
        <w:footnoteReference w:id="342"/>
      </w:r>
      <w:r w:rsidRPr="00594A23">
        <w:t> »</w:t>
      </w:r>
      <w:r w:rsidRPr="00594A23">
        <w:rPr>
          <w:lang w:eastAsia="fr-FR" w:bidi="fr-FR"/>
        </w:rPr>
        <w:t>, paralysée par une instit</w:t>
      </w:r>
      <w:r w:rsidRPr="00594A23">
        <w:rPr>
          <w:lang w:eastAsia="fr-FR" w:bidi="fr-FR"/>
        </w:rPr>
        <w:t>u</w:t>
      </w:r>
      <w:r w:rsidRPr="00594A23">
        <w:rPr>
          <w:lang w:eastAsia="fr-FR" w:bidi="fr-FR"/>
        </w:rPr>
        <w:t>tion lég</w:t>
      </w:r>
      <w:r w:rsidRPr="00594A23">
        <w:rPr>
          <w:lang w:eastAsia="fr-FR" w:bidi="fr-FR"/>
        </w:rPr>
        <w:t>i</w:t>
      </w:r>
      <w:r w:rsidRPr="00594A23">
        <w:rPr>
          <w:lang w:eastAsia="fr-FR" w:bidi="fr-FR"/>
        </w:rPr>
        <w:t>slative peu amène. Les rapports houleux du Congrès avec le président Clinton ont ainsi démontré une tendance prononcée à la p</w:t>
      </w:r>
      <w:r w:rsidRPr="00594A23">
        <w:rPr>
          <w:lang w:eastAsia="fr-FR" w:bidi="fr-FR"/>
        </w:rPr>
        <w:t>o</w:t>
      </w:r>
      <w:r w:rsidRPr="00594A23">
        <w:rPr>
          <w:lang w:eastAsia="fr-FR" w:bidi="fr-FR"/>
        </w:rPr>
        <w:t>litisation de la politique étrangère</w:t>
      </w:r>
      <w:r w:rsidRPr="00594A23">
        <w:t> :</w:t>
      </w:r>
      <w:r w:rsidRPr="00594A23">
        <w:rPr>
          <w:lang w:eastAsia="fr-FR" w:bidi="fr-FR"/>
        </w:rPr>
        <w:t xml:space="preserve"> refus de rat</w:t>
      </w:r>
      <w:r w:rsidRPr="00594A23">
        <w:rPr>
          <w:lang w:eastAsia="fr-FR" w:bidi="fr-FR"/>
        </w:rPr>
        <w:t>i</w:t>
      </w:r>
      <w:r w:rsidRPr="00594A23">
        <w:rPr>
          <w:lang w:eastAsia="fr-FR" w:bidi="fr-FR"/>
        </w:rPr>
        <w:t>fier des traités, d’approuver des nominations et de soutenir majoritairement un eng</w:t>
      </w:r>
      <w:r w:rsidRPr="00594A23">
        <w:rPr>
          <w:lang w:eastAsia="fr-FR" w:bidi="fr-FR"/>
        </w:rPr>
        <w:t>a</w:t>
      </w:r>
      <w:r w:rsidRPr="00594A23">
        <w:rPr>
          <w:lang w:eastAsia="fr-FR" w:bidi="fr-FR"/>
        </w:rPr>
        <w:t>gement militaire, tout en enquêtant sur les moindres faits et gestes de la vie — privée et publ</w:t>
      </w:r>
      <w:r w:rsidRPr="00594A23">
        <w:rPr>
          <w:lang w:eastAsia="fr-FR" w:bidi="fr-FR"/>
        </w:rPr>
        <w:t>i</w:t>
      </w:r>
      <w:r w:rsidRPr="00594A23">
        <w:rPr>
          <w:lang w:eastAsia="fr-FR" w:bidi="fr-FR"/>
        </w:rPr>
        <w:t>que - du chef de la Maison-Blanche. On ne pourrait cependant dire que l’attitude du Congrès n’est pas fondame</w:t>
      </w:r>
      <w:r w:rsidRPr="00594A23">
        <w:rPr>
          <w:lang w:eastAsia="fr-FR" w:bidi="fr-FR"/>
        </w:rPr>
        <w:t>n</w:t>
      </w:r>
      <w:r w:rsidRPr="00594A23">
        <w:rPr>
          <w:lang w:eastAsia="fr-FR" w:bidi="fr-FR"/>
        </w:rPr>
        <w:t>talement conforme aux intentions des Pères fondateurs ou à la prat</w:t>
      </w:r>
      <w:r w:rsidRPr="00594A23">
        <w:rPr>
          <w:lang w:eastAsia="fr-FR" w:bidi="fr-FR"/>
        </w:rPr>
        <w:t>i</w:t>
      </w:r>
      <w:r w:rsidRPr="00594A23">
        <w:rPr>
          <w:lang w:eastAsia="fr-FR" w:bidi="fr-FR"/>
        </w:rPr>
        <w:t>que du siècle dernier</w:t>
      </w:r>
      <w:r w:rsidRPr="00594A23">
        <w:t> :</w:t>
      </w:r>
      <w:r w:rsidRPr="00594A23">
        <w:rPr>
          <w:lang w:eastAsia="fr-FR" w:bidi="fr-FR"/>
        </w:rPr>
        <w:t xml:space="preserve"> le Législatif joue effectiv</w:t>
      </w:r>
      <w:r w:rsidRPr="00594A23">
        <w:rPr>
          <w:lang w:eastAsia="fr-FR" w:bidi="fr-FR"/>
        </w:rPr>
        <w:t>e</w:t>
      </w:r>
      <w:r w:rsidRPr="00594A23">
        <w:rPr>
          <w:lang w:eastAsia="fr-FR" w:bidi="fr-FR"/>
        </w:rPr>
        <w:t>ment son rôle de contrepoids. Il demeure toutefois que, dans le d</w:t>
      </w:r>
      <w:r w:rsidRPr="00594A23">
        <w:rPr>
          <w:lang w:eastAsia="fr-FR" w:bidi="fr-FR"/>
        </w:rPr>
        <w:t>o</w:t>
      </w:r>
      <w:r w:rsidRPr="00594A23">
        <w:rPr>
          <w:lang w:eastAsia="fr-FR" w:bidi="fr-FR"/>
        </w:rPr>
        <w:t>maine de la politique étrangère, ce contrepoids ne gêne guère le prés</w:t>
      </w:r>
      <w:r w:rsidRPr="00594A23">
        <w:rPr>
          <w:lang w:eastAsia="fr-FR" w:bidi="fr-FR"/>
        </w:rPr>
        <w:t>i</w:t>
      </w:r>
      <w:r w:rsidRPr="00594A23">
        <w:rPr>
          <w:lang w:eastAsia="fr-FR" w:bidi="fr-FR"/>
        </w:rPr>
        <w:t>dent qui reste maître du processus décisionnel s’agissant des grands</w:t>
      </w:r>
      <w:r>
        <w:rPr>
          <w:lang w:eastAsia="fr-FR" w:bidi="fr-FR"/>
        </w:rPr>
        <w:t xml:space="preserve"> </w:t>
      </w:r>
      <w:r>
        <w:t xml:space="preserve">[145] </w:t>
      </w:r>
      <w:r w:rsidRPr="00594A23">
        <w:rPr>
          <w:lang w:eastAsia="fr-FR" w:bidi="fr-FR"/>
        </w:rPr>
        <w:t>enjeux — part</w:t>
      </w:r>
      <w:r w:rsidRPr="00594A23">
        <w:rPr>
          <w:lang w:eastAsia="fr-FR" w:bidi="fr-FR"/>
        </w:rPr>
        <w:t>i</w:t>
      </w:r>
      <w:r w:rsidRPr="00594A23">
        <w:rPr>
          <w:lang w:eastAsia="fr-FR" w:bidi="fr-FR"/>
        </w:rPr>
        <w:t>culièrement ceux qui ont trait à la guerre et à la paix</w:t>
      </w:r>
      <w:r>
        <w:rPr>
          <w:lang w:eastAsia="fr-FR" w:bidi="fr-FR"/>
        </w:rPr>
        <w:t> </w:t>
      </w:r>
      <w:r>
        <w:rPr>
          <w:rStyle w:val="Appelnotedebasdep"/>
          <w:lang w:eastAsia="fr-FR" w:bidi="fr-FR"/>
        </w:rPr>
        <w:footnoteReference w:id="343"/>
      </w:r>
      <w:r>
        <w:rPr>
          <w:lang w:eastAsia="fr-FR" w:bidi="fr-FR"/>
        </w:rPr>
        <w:t>.</w:t>
      </w:r>
    </w:p>
    <w:p w14:paraId="6CBEBD54" w14:textId="77777777" w:rsidR="0039793A" w:rsidRDefault="0039793A" w:rsidP="0039793A">
      <w:pPr>
        <w:spacing w:before="120" w:after="120"/>
        <w:jc w:val="both"/>
        <w:rPr>
          <w:lang w:eastAsia="fr-FR" w:bidi="fr-FR"/>
        </w:rPr>
      </w:pPr>
      <w:r w:rsidRPr="00594A23">
        <w:rPr>
          <w:lang w:eastAsia="fr-FR" w:bidi="fr-FR"/>
        </w:rPr>
        <w:t>Il n’est pas faux d’affirmer que le régime politique américain rep</w:t>
      </w:r>
      <w:r w:rsidRPr="00594A23">
        <w:rPr>
          <w:lang w:eastAsia="fr-FR" w:bidi="fr-FR"/>
        </w:rPr>
        <w:t>o</w:t>
      </w:r>
      <w:r w:rsidRPr="00594A23">
        <w:rPr>
          <w:lang w:eastAsia="fr-FR" w:bidi="fr-FR"/>
        </w:rPr>
        <w:t xml:space="preserve">se toujours, et avant tout, sur une présidence </w:t>
      </w:r>
      <w:r w:rsidRPr="00594A23">
        <w:t>« </w:t>
      </w:r>
      <w:r w:rsidRPr="00594A23">
        <w:rPr>
          <w:lang w:eastAsia="fr-FR" w:bidi="fr-FR"/>
        </w:rPr>
        <w:t>impériale</w:t>
      </w:r>
      <w:r>
        <w:rPr>
          <w:lang w:eastAsia="fr-FR" w:bidi="fr-FR"/>
        </w:rPr>
        <w:t> </w:t>
      </w:r>
      <w:r>
        <w:rPr>
          <w:rStyle w:val="Appelnotedebasdep"/>
          <w:lang w:eastAsia="fr-FR" w:bidi="fr-FR"/>
        </w:rPr>
        <w:footnoteReference w:id="344"/>
      </w:r>
      <w:r w:rsidRPr="00594A23">
        <w:t> »</w:t>
      </w:r>
      <w:r w:rsidRPr="00594A23">
        <w:rPr>
          <w:lang w:eastAsia="fr-FR" w:bidi="fr-FR"/>
        </w:rPr>
        <w:t xml:space="preserve"> aux po</w:t>
      </w:r>
      <w:r w:rsidRPr="00594A23">
        <w:rPr>
          <w:lang w:eastAsia="fr-FR" w:bidi="fr-FR"/>
        </w:rPr>
        <w:t>u</w:t>
      </w:r>
      <w:r w:rsidRPr="00594A23">
        <w:rPr>
          <w:lang w:eastAsia="fr-FR" w:bidi="fr-FR"/>
        </w:rPr>
        <w:t>voirs très étendus dans la conduite des affaires étrangères - certes soumise aux contraintes qui lui sont imposées par le Congrès, mais disposant d’une grande latitude dans l’exercice de ses fonctions. Le régime américain est fondé sur le principe de séparation des po</w:t>
      </w:r>
      <w:r w:rsidRPr="00594A23">
        <w:rPr>
          <w:lang w:eastAsia="fr-FR" w:bidi="fr-FR"/>
        </w:rPr>
        <w:t>u</w:t>
      </w:r>
      <w:r w:rsidRPr="00594A23">
        <w:rPr>
          <w:lang w:eastAsia="fr-FR" w:bidi="fr-FR"/>
        </w:rPr>
        <w:t xml:space="preserve">voirs doublé d’un système de poids et contrepoids </w:t>
      </w:r>
      <w:r w:rsidRPr="00594A23">
        <w:t>(</w:t>
      </w:r>
      <w:r w:rsidRPr="00A4104A">
        <w:rPr>
          <w:i/>
          <w:iCs/>
        </w:rPr>
        <w:t>Checks and Balances</w:t>
      </w:r>
      <w:r w:rsidRPr="00594A23">
        <w:t>).</w:t>
      </w:r>
      <w:r w:rsidRPr="00594A23">
        <w:rPr>
          <w:lang w:eastAsia="fr-FR" w:bidi="fr-FR"/>
        </w:rPr>
        <w:t xml:space="preserve"> Néanmoins, le postulat fondamental des in</w:t>
      </w:r>
      <w:r w:rsidRPr="00594A23">
        <w:rPr>
          <w:lang w:eastAsia="fr-FR" w:bidi="fr-FR"/>
        </w:rPr>
        <w:t>s</w:t>
      </w:r>
      <w:r w:rsidRPr="00594A23">
        <w:rPr>
          <w:lang w:eastAsia="fr-FR" w:bidi="fr-FR"/>
        </w:rPr>
        <w:t xml:space="preserve">titutions qui </w:t>
      </w:r>
      <w:r w:rsidRPr="00594A23">
        <w:t>« </w:t>
      </w:r>
      <w:r w:rsidRPr="00594A23">
        <w:rPr>
          <w:lang w:eastAsia="fr-FR" w:bidi="fr-FR"/>
        </w:rPr>
        <w:t>se partagent le pouvoir</w:t>
      </w:r>
      <w:r w:rsidRPr="00594A23">
        <w:t> »</w:t>
      </w:r>
      <w:r w:rsidRPr="00594A23">
        <w:rPr>
          <w:lang w:eastAsia="fr-FR" w:bidi="fr-FR"/>
        </w:rPr>
        <w:t xml:space="preserve"> et l’idée constit</w:t>
      </w:r>
      <w:r w:rsidRPr="00594A23">
        <w:rPr>
          <w:lang w:eastAsia="fr-FR" w:bidi="fr-FR"/>
        </w:rPr>
        <w:t>u</w:t>
      </w:r>
      <w:r w:rsidRPr="00594A23">
        <w:rPr>
          <w:lang w:eastAsia="fr-FR" w:bidi="fr-FR"/>
        </w:rPr>
        <w:t xml:space="preserve">tionnelle de cette </w:t>
      </w:r>
      <w:r w:rsidRPr="00594A23">
        <w:t>« </w:t>
      </w:r>
      <w:r w:rsidRPr="00594A23">
        <w:rPr>
          <w:lang w:eastAsia="fr-FR" w:bidi="fr-FR"/>
        </w:rPr>
        <w:t>invitation à la concurrence</w:t>
      </w:r>
      <w:r w:rsidRPr="00594A23">
        <w:t> »</w:t>
      </w:r>
      <w:r w:rsidRPr="00594A23">
        <w:rPr>
          <w:lang w:eastAsia="fr-FR" w:bidi="fr-FR"/>
        </w:rPr>
        <w:t xml:space="preserve"> sont plus ou moins surfaits</w:t>
      </w:r>
      <w:r>
        <w:rPr>
          <w:lang w:eastAsia="fr-FR" w:bidi="fr-FR"/>
        </w:rPr>
        <w:t> </w:t>
      </w:r>
      <w:r>
        <w:rPr>
          <w:rStyle w:val="Appelnotedebasdep"/>
          <w:lang w:eastAsia="fr-FR" w:bidi="fr-FR"/>
        </w:rPr>
        <w:footnoteReference w:id="345"/>
      </w:r>
      <w:r w:rsidRPr="00594A23">
        <w:rPr>
          <w:lang w:eastAsia="fr-FR" w:bidi="fr-FR"/>
        </w:rPr>
        <w:t>. Ils masquent en effet le rôle central du président, accru depuis la seconde guerre mondiale, qui n’a pas véritablement été prévu par le texte constitutionnel, nota</w:t>
      </w:r>
      <w:r w:rsidRPr="00594A23">
        <w:rPr>
          <w:lang w:eastAsia="fr-FR" w:bidi="fr-FR"/>
        </w:rPr>
        <w:t>m</w:t>
      </w:r>
      <w:r w:rsidRPr="00594A23">
        <w:rPr>
          <w:lang w:eastAsia="fr-FR" w:bidi="fr-FR"/>
        </w:rPr>
        <w:t>ment dans l’élaboration des politiques de sécurité. Plutôt que des inst</w:t>
      </w:r>
      <w:r w:rsidRPr="00594A23">
        <w:rPr>
          <w:lang w:eastAsia="fr-FR" w:bidi="fr-FR"/>
        </w:rPr>
        <w:t>i</w:t>
      </w:r>
      <w:r w:rsidRPr="00594A23">
        <w:rPr>
          <w:lang w:eastAsia="fr-FR" w:bidi="fr-FR"/>
        </w:rPr>
        <w:t>tutions qui se partagent le pouvoir, il semblerait en réalité que les ex</w:t>
      </w:r>
      <w:r w:rsidRPr="00594A23">
        <w:rPr>
          <w:lang w:eastAsia="fr-FR" w:bidi="fr-FR"/>
        </w:rPr>
        <w:t>i</w:t>
      </w:r>
      <w:r w:rsidRPr="00594A23">
        <w:rPr>
          <w:lang w:eastAsia="fr-FR" w:bidi="fr-FR"/>
        </w:rPr>
        <w:t>gences du pouvoir aient abouti à dépa</w:t>
      </w:r>
      <w:r w:rsidRPr="00594A23">
        <w:rPr>
          <w:lang w:eastAsia="fr-FR" w:bidi="fr-FR"/>
        </w:rPr>
        <w:t>r</w:t>
      </w:r>
      <w:r w:rsidRPr="00594A23">
        <w:rPr>
          <w:lang w:eastAsia="fr-FR" w:bidi="fr-FR"/>
        </w:rPr>
        <w:t>tager les institutions. Ainsi, au moins pour ce qui a trait aux pouvoirs formels, la Constitution amér</w:t>
      </w:r>
      <w:r w:rsidRPr="00594A23">
        <w:rPr>
          <w:lang w:eastAsia="fr-FR" w:bidi="fr-FR"/>
        </w:rPr>
        <w:t>i</w:t>
      </w:r>
      <w:r w:rsidRPr="00594A23">
        <w:rPr>
          <w:lang w:eastAsia="fr-FR" w:bidi="fr-FR"/>
        </w:rPr>
        <w:t xml:space="preserve">caine attribuait une importance </w:t>
      </w:r>
      <w:r w:rsidRPr="00A4104A">
        <w:rPr>
          <w:i/>
          <w:iCs/>
        </w:rPr>
        <w:t>égale</w:t>
      </w:r>
      <w:r w:rsidRPr="00594A23">
        <w:rPr>
          <w:lang w:eastAsia="fr-FR" w:bidi="fr-FR"/>
        </w:rPr>
        <w:t xml:space="preserve"> aux branches exécutive et lég</w:t>
      </w:r>
      <w:r w:rsidRPr="00594A23">
        <w:rPr>
          <w:lang w:eastAsia="fr-FR" w:bidi="fr-FR"/>
        </w:rPr>
        <w:t>i</w:t>
      </w:r>
      <w:r w:rsidRPr="00594A23">
        <w:rPr>
          <w:lang w:eastAsia="fr-FR" w:bidi="fr-FR"/>
        </w:rPr>
        <w:t>slative. La pratique constitutionnelle a été tout autre</w:t>
      </w:r>
      <w:r w:rsidRPr="00594A23">
        <w:t> :</w:t>
      </w:r>
      <w:r w:rsidRPr="00594A23">
        <w:rPr>
          <w:lang w:eastAsia="fr-FR" w:bidi="fr-FR"/>
        </w:rPr>
        <w:t xml:space="preserve"> le président a en fait bénéficié d’une autorité accrue que, hormis certains épisodes pr</w:t>
      </w:r>
      <w:r w:rsidRPr="00594A23">
        <w:rPr>
          <w:lang w:eastAsia="fr-FR" w:bidi="fr-FR"/>
        </w:rPr>
        <w:t>é</w:t>
      </w:r>
      <w:r w:rsidRPr="00594A23">
        <w:rPr>
          <w:lang w:eastAsia="fr-FR" w:bidi="fr-FR"/>
        </w:rPr>
        <w:t>cis, ni le Congrès ni la Cour suprême n’ont pu contrebalancer. Les déclins annoncés et épisodiques de l’autorité présidentielle s’avèrent, à long terme, plutôt rel</w:t>
      </w:r>
      <w:r w:rsidRPr="00594A23">
        <w:rPr>
          <w:lang w:eastAsia="fr-FR" w:bidi="fr-FR"/>
        </w:rPr>
        <w:t>a</w:t>
      </w:r>
      <w:r w:rsidRPr="00594A23">
        <w:rPr>
          <w:lang w:eastAsia="fr-FR" w:bidi="fr-FR"/>
        </w:rPr>
        <w:t>tifs</w:t>
      </w:r>
      <w:r>
        <w:rPr>
          <w:lang w:eastAsia="fr-FR" w:bidi="fr-FR"/>
        </w:rPr>
        <w:t> </w:t>
      </w:r>
      <w:r>
        <w:rPr>
          <w:rStyle w:val="Appelnotedebasdep"/>
          <w:lang w:eastAsia="fr-FR" w:bidi="fr-FR"/>
        </w:rPr>
        <w:footnoteReference w:id="346"/>
      </w:r>
      <w:r w:rsidRPr="00594A23">
        <w:rPr>
          <w:lang w:eastAsia="fr-FR" w:bidi="fr-FR"/>
        </w:rPr>
        <w:t>. En effet,</w:t>
      </w:r>
      <w:r>
        <w:t xml:space="preserve"> [146] </w:t>
      </w:r>
      <w:r w:rsidRPr="00594A23">
        <w:rPr>
          <w:lang w:eastAsia="fr-FR" w:bidi="fr-FR"/>
        </w:rPr>
        <w:t>dès lors qu’une crise survient, comme celle du 11 se</w:t>
      </w:r>
      <w:r w:rsidRPr="00594A23">
        <w:rPr>
          <w:lang w:eastAsia="fr-FR" w:bidi="fr-FR"/>
        </w:rPr>
        <w:t>p</w:t>
      </w:r>
      <w:r w:rsidRPr="00594A23">
        <w:rPr>
          <w:lang w:eastAsia="fr-FR" w:bidi="fr-FR"/>
        </w:rPr>
        <w:t>tembre 2001, la présidence réaffirme avec vigueur sa s</w:t>
      </w:r>
      <w:r w:rsidRPr="00594A23">
        <w:rPr>
          <w:lang w:eastAsia="fr-FR" w:bidi="fr-FR"/>
        </w:rPr>
        <w:t>u</w:t>
      </w:r>
      <w:r w:rsidRPr="00594A23">
        <w:rPr>
          <w:lang w:eastAsia="fr-FR" w:bidi="fr-FR"/>
        </w:rPr>
        <w:t>prématie. Les succès et les échecs de la politique étrangère américaine sont, dans ces conditions, davantage déterminés par la manière dont le président exerce son a</w:t>
      </w:r>
      <w:r w:rsidRPr="00594A23">
        <w:rPr>
          <w:lang w:eastAsia="fr-FR" w:bidi="fr-FR"/>
        </w:rPr>
        <w:t>u</w:t>
      </w:r>
      <w:r w:rsidRPr="00594A23">
        <w:rPr>
          <w:lang w:eastAsia="fr-FR" w:bidi="fr-FR"/>
        </w:rPr>
        <w:t>torité, par ses qualités personnelles et politiques et par les modes d’organisation de la prés</w:t>
      </w:r>
      <w:r w:rsidRPr="00594A23">
        <w:rPr>
          <w:lang w:eastAsia="fr-FR" w:bidi="fr-FR"/>
        </w:rPr>
        <w:t>i</w:t>
      </w:r>
      <w:r w:rsidRPr="00594A23">
        <w:rPr>
          <w:lang w:eastAsia="fr-FR" w:bidi="fr-FR"/>
        </w:rPr>
        <w:t>dence, que par le strict jeu const</w:t>
      </w:r>
      <w:r w:rsidRPr="00594A23">
        <w:rPr>
          <w:lang w:eastAsia="fr-FR" w:bidi="fr-FR"/>
        </w:rPr>
        <w:t>i</w:t>
      </w:r>
      <w:r w:rsidRPr="00594A23">
        <w:rPr>
          <w:lang w:eastAsia="fr-FR" w:bidi="fr-FR"/>
        </w:rPr>
        <w:t>tutionnel d’équilibre entre l’Exécutif et le Législatif. Quoiqu’il ne faille pas d</w:t>
      </w:r>
      <w:r w:rsidRPr="00594A23">
        <w:rPr>
          <w:lang w:eastAsia="fr-FR" w:bidi="fr-FR"/>
        </w:rPr>
        <w:t>i</w:t>
      </w:r>
      <w:r w:rsidRPr="00594A23">
        <w:rPr>
          <w:lang w:eastAsia="fr-FR" w:bidi="fr-FR"/>
        </w:rPr>
        <w:t>minuer la portée de ce jeu, le rôle du président est déterminant si l’on veut comprendre l’évolution de la politique extérieure des États-Unis.</w:t>
      </w:r>
    </w:p>
    <w:p w14:paraId="6C7236E0" w14:textId="77777777" w:rsidR="0039793A" w:rsidRPr="00594A23" w:rsidRDefault="0039793A" w:rsidP="0039793A">
      <w:pPr>
        <w:spacing w:before="120" w:after="120"/>
        <w:jc w:val="both"/>
      </w:pPr>
    </w:p>
    <w:p w14:paraId="74B016D9" w14:textId="77777777" w:rsidR="0039793A" w:rsidRPr="00594A23" w:rsidRDefault="0039793A" w:rsidP="0039793A">
      <w:pPr>
        <w:pStyle w:val="planche"/>
      </w:pPr>
      <w:bookmarkStart w:id="21" w:name="Pol_EU_pt_2_chap_05_1"/>
      <w:r>
        <w:t>L’autorité du président</w:t>
      </w:r>
      <w:r>
        <w:br/>
      </w:r>
      <w:r w:rsidRPr="00594A23">
        <w:t>en politique étrangère</w:t>
      </w:r>
    </w:p>
    <w:bookmarkEnd w:id="21"/>
    <w:p w14:paraId="22697D31" w14:textId="77777777" w:rsidR="0039793A" w:rsidRDefault="0039793A" w:rsidP="0039793A">
      <w:pPr>
        <w:spacing w:before="120" w:after="120"/>
        <w:jc w:val="both"/>
        <w:rPr>
          <w:lang w:eastAsia="fr-FR" w:bidi="fr-FR"/>
        </w:rPr>
      </w:pPr>
    </w:p>
    <w:p w14:paraId="43F48C1B"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7AFB058" w14:textId="77777777" w:rsidR="0039793A" w:rsidRPr="00594A23" w:rsidRDefault="0039793A" w:rsidP="0039793A">
      <w:pPr>
        <w:spacing w:before="120" w:after="120"/>
        <w:jc w:val="both"/>
      </w:pPr>
      <w:r w:rsidRPr="00594A23">
        <w:rPr>
          <w:lang w:eastAsia="fr-FR" w:bidi="fr-FR"/>
        </w:rPr>
        <w:t>En 1948, le président Harry Truman décrivait son autor</w:t>
      </w:r>
      <w:r w:rsidRPr="00594A23">
        <w:rPr>
          <w:lang w:eastAsia="fr-FR" w:bidi="fr-FR"/>
        </w:rPr>
        <w:t>i</w:t>
      </w:r>
      <w:r w:rsidRPr="00594A23">
        <w:rPr>
          <w:lang w:eastAsia="fr-FR" w:bidi="fr-FR"/>
        </w:rPr>
        <w:t>té ainsi</w:t>
      </w:r>
      <w:r w:rsidRPr="00594A23">
        <w:t> :</w:t>
      </w:r>
      <w:r w:rsidRPr="00594A23">
        <w:rPr>
          <w:lang w:eastAsia="fr-FR" w:bidi="fr-FR"/>
        </w:rPr>
        <w:t xml:space="preserve"> </w:t>
      </w:r>
      <w:r w:rsidRPr="00594A23">
        <w:t>« </w:t>
      </w:r>
      <w:r w:rsidRPr="00594A23">
        <w:rPr>
          <w:lang w:eastAsia="fr-FR" w:bidi="fr-FR"/>
        </w:rPr>
        <w:t>Je suis l’ar</w:t>
      </w:r>
      <w:r>
        <w:rPr>
          <w:lang w:eastAsia="fr-FR" w:bidi="fr-FR"/>
        </w:rPr>
        <w:t>tisan de la politique étrangère </w:t>
      </w:r>
      <w:r>
        <w:rPr>
          <w:rStyle w:val="Appelnotedebasdep"/>
          <w:lang w:eastAsia="fr-FR" w:bidi="fr-FR"/>
        </w:rPr>
        <w:footnoteReference w:id="347"/>
      </w:r>
      <w:r w:rsidRPr="00594A23">
        <w:t> »</w:t>
      </w:r>
      <w:r w:rsidRPr="00594A23">
        <w:rPr>
          <w:lang w:eastAsia="fr-FR" w:bidi="fr-FR"/>
        </w:rPr>
        <w:t xml:space="preserve"> En ce début de </w:t>
      </w:r>
      <w:r w:rsidRPr="00594A23">
        <w:t>XXI</w:t>
      </w:r>
      <w:r w:rsidRPr="00594A23">
        <w:rPr>
          <w:vertAlign w:val="superscript"/>
        </w:rPr>
        <w:t>e</w:t>
      </w:r>
      <w:r w:rsidRPr="00594A23">
        <w:t xml:space="preserve"> </w:t>
      </w:r>
      <w:r w:rsidRPr="00594A23">
        <w:rPr>
          <w:lang w:eastAsia="fr-FR" w:bidi="fr-FR"/>
        </w:rPr>
        <w:t>siècle, le président peut toujours se prév</w:t>
      </w:r>
      <w:r w:rsidRPr="00594A23">
        <w:rPr>
          <w:lang w:eastAsia="fr-FR" w:bidi="fr-FR"/>
        </w:rPr>
        <w:t>a</w:t>
      </w:r>
      <w:r w:rsidRPr="00594A23">
        <w:rPr>
          <w:lang w:eastAsia="fr-FR" w:bidi="fr-FR"/>
        </w:rPr>
        <w:t>loir de cette affirmation. Alors que la Constitution, par</w:t>
      </w:r>
      <w:r w:rsidRPr="00594A23">
        <w:rPr>
          <w:lang w:eastAsia="fr-FR" w:bidi="fr-FR"/>
        </w:rPr>
        <w:t>a</w:t>
      </w:r>
      <w:r w:rsidRPr="00594A23">
        <w:rPr>
          <w:lang w:eastAsia="fr-FR" w:bidi="fr-FR"/>
        </w:rPr>
        <w:t xml:space="preserve">doxalement, accorde théoriquement </w:t>
      </w:r>
      <w:r w:rsidRPr="00A4104A">
        <w:rPr>
          <w:i/>
          <w:iCs/>
        </w:rPr>
        <w:t>plus</w:t>
      </w:r>
      <w:r w:rsidRPr="00594A23">
        <w:rPr>
          <w:lang w:eastAsia="fr-FR" w:bidi="fr-FR"/>
        </w:rPr>
        <w:t xml:space="preserve"> de pouvoirs au Congrès qu’au président, ce dernier a gagné en substance et a acquis au cours du siècle dernier, et dans une certaine mesure, la maîtrise des affaires étrangères. Dans ce domaine, son st</w:t>
      </w:r>
      <w:r w:rsidRPr="00594A23">
        <w:rPr>
          <w:lang w:eastAsia="fr-FR" w:bidi="fr-FR"/>
        </w:rPr>
        <w:t>a</w:t>
      </w:r>
      <w:r w:rsidRPr="00594A23">
        <w:rPr>
          <w:lang w:eastAsia="fr-FR" w:bidi="fr-FR"/>
        </w:rPr>
        <w:t>tut et son influence, qu’il devait initialement partager avec le pouvoir législatif, s’avèrent en réalité inégalés. Pl</w:t>
      </w:r>
      <w:r w:rsidRPr="00594A23">
        <w:rPr>
          <w:lang w:eastAsia="fr-FR" w:bidi="fr-FR"/>
        </w:rPr>
        <w:t>u</w:t>
      </w:r>
      <w:r w:rsidRPr="00594A23">
        <w:rPr>
          <w:lang w:eastAsia="fr-FR" w:bidi="fr-FR"/>
        </w:rPr>
        <w:t>sieurs raisons ont contribué à renforcer sa position prédom</w:t>
      </w:r>
      <w:r w:rsidRPr="00594A23">
        <w:rPr>
          <w:lang w:eastAsia="fr-FR" w:bidi="fr-FR"/>
        </w:rPr>
        <w:t>i</w:t>
      </w:r>
      <w:r w:rsidRPr="00594A23">
        <w:rPr>
          <w:lang w:eastAsia="fr-FR" w:bidi="fr-FR"/>
        </w:rPr>
        <w:t>nante</w:t>
      </w:r>
      <w:r w:rsidRPr="00594A23">
        <w:t> :</w:t>
      </w:r>
    </w:p>
    <w:p w14:paraId="4A0CCCDA" w14:textId="77777777" w:rsidR="0039793A" w:rsidRPr="00594A23" w:rsidRDefault="0039793A" w:rsidP="0039793A">
      <w:pPr>
        <w:spacing w:before="120" w:after="120"/>
        <w:jc w:val="both"/>
      </w:pPr>
      <w:r w:rsidRPr="00594A23">
        <w:rPr>
          <w:lang w:eastAsia="fr-FR" w:bidi="fr-FR"/>
        </w:rPr>
        <w:t>Le président - avec le vice-président - est le seul repr</w:t>
      </w:r>
      <w:r w:rsidRPr="00594A23">
        <w:rPr>
          <w:lang w:eastAsia="fr-FR" w:bidi="fr-FR"/>
        </w:rPr>
        <w:t>é</w:t>
      </w:r>
      <w:r w:rsidRPr="00594A23">
        <w:rPr>
          <w:lang w:eastAsia="fr-FR" w:bidi="fr-FR"/>
        </w:rPr>
        <w:t>sentant élu par la nation américaine dans son ensemble. Chef de l’État, il est le porte-parole national auprès de la communauté internationale (lui seul d’ailleurs, et c’est là son seul pouvoir exclusif, peut recevoir les a</w:t>
      </w:r>
      <w:r w:rsidRPr="00594A23">
        <w:rPr>
          <w:lang w:eastAsia="fr-FR" w:bidi="fr-FR"/>
        </w:rPr>
        <w:t>m</w:t>
      </w:r>
      <w:r w:rsidRPr="00594A23">
        <w:rPr>
          <w:lang w:eastAsia="fr-FR" w:bidi="fr-FR"/>
        </w:rPr>
        <w:t>bassadeurs et les plénipotentiaires étrangers - tous les autres pouvoirs d</w:t>
      </w:r>
      <w:r w:rsidRPr="00594A23">
        <w:rPr>
          <w:lang w:eastAsia="fr-FR" w:bidi="fr-FR"/>
        </w:rPr>
        <w:t>e</w:t>
      </w:r>
      <w:r w:rsidRPr="00594A23">
        <w:rPr>
          <w:lang w:eastAsia="fr-FR" w:bidi="fr-FR"/>
        </w:rPr>
        <w:t>vant en principe être conciliés avec ceux du Congrès).</w:t>
      </w:r>
    </w:p>
    <w:p w14:paraId="681B9977" w14:textId="77777777" w:rsidR="0039793A" w:rsidRPr="00594A23" w:rsidRDefault="0039793A" w:rsidP="0039793A">
      <w:pPr>
        <w:spacing w:before="120" w:after="120"/>
        <w:jc w:val="both"/>
      </w:pPr>
      <w:r w:rsidRPr="00594A23">
        <w:rPr>
          <w:lang w:eastAsia="fr-FR" w:bidi="fr-FR"/>
        </w:rPr>
        <w:t xml:space="preserve">Le président est le chef des armées (le </w:t>
      </w:r>
      <w:r w:rsidRPr="00A4104A">
        <w:rPr>
          <w:i/>
          <w:iCs/>
        </w:rPr>
        <w:t>Commander in Chief</w:t>
      </w:r>
      <w:r w:rsidRPr="00594A23">
        <w:t xml:space="preserve">) </w:t>
      </w:r>
      <w:r w:rsidRPr="00594A23">
        <w:rPr>
          <w:lang w:eastAsia="fr-FR" w:bidi="fr-FR"/>
        </w:rPr>
        <w:t>ainsi que le chef du gouvernement. Il dispose à ce titre d’un appareil exéc</w:t>
      </w:r>
      <w:r w:rsidRPr="00594A23">
        <w:rPr>
          <w:lang w:eastAsia="fr-FR" w:bidi="fr-FR"/>
        </w:rPr>
        <w:t>u</w:t>
      </w:r>
      <w:r w:rsidRPr="00594A23">
        <w:rPr>
          <w:lang w:eastAsia="fr-FR" w:bidi="fr-FR"/>
        </w:rPr>
        <w:t>tif imposant. Le processus décisionnel au sein de l’organisation go</w:t>
      </w:r>
      <w:r w:rsidRPr="00594A23">
        <w:rPr>
          <w:lang w:eastAsia="fr-FR" w:bidi="fr-FR"/>
        </w:rPr>
        <w:t>u</w:t>
      </w:r>
      <w:r w:rsidRPr="00594A23">
        <w:rPr>
          <w:lang w:eastAsia="fr-FR" w:bidi="fr-FR"/>
        </w:rPr>
        <w:t>vernementale permet de répondre de manière plus cohérente et effic</w:t>
      </w:r>
      <w:r w:rsidRPr="00594A23">
        <w:rPr>
          <w:lang w:eastAsia="fr-FR" w:bidi="fr-FR"/>
        </w:rPr>
        <w:t>a</w:t>
      </w:r>
      <w:r w:rsidRPr="00594A23">
        <w:rPr>
          <w:lang w:eastAsia="fr-FR" w:bidi="fr-FR"/>
        </w:rPr>
        <w:t>ce que le Congrès aux impératifs de la politique étrangère. L’évolution de l’engagement des États-Unis dans le monde durant la période de la guerre froide a largement</w:t>
      </w:r>
      <w:r>
        <w:t xml:space="preserve"> [147] </w:t>
      </w:r>
      <w:r w:rsidRPr="00594A23">
        <w:rPr>
          <w:lang w:eastAsia="fr-FR" w:bidi="fr-FR"/>
        </w:rPr>
        <w:t>contribué à consolider cette suprématie présidentielle, notamment en conférant au président les rôles d’initiateur et d’exécutant de la p</w:t>
      </w:r>
      <w:r w:rsidRPr="00594A23">
        <w:rPr>
          <w:lang w:eastAsia="fr-FR" w:bidi="fr-FR"/>
        </w:rPr>
        <w:t>o</w:t>
      </w:r>
      <w:r w:rsidRPr="00594A23">
        <w:rPr>
          <w:lang w:eastAsia="fr-FR" w:bidi="fr-FR"/>
        </w:rPr>
        <w:t>litique extérieure.</w:t>
      </w:r>
    </w:p>
    <w:p w14:paraId="05DB5502" w14:textId="77777777" w:rsidR="0039793A" w:rsidRPr="00594A23" w:rsidRDefault="0039793A" w:rsidP="0039793A">
      <w:pPr>
        <w:spacing w:before="120" w:after="120"/>
        <w:jc w:val="both"/>
      </w:pPr>
      <w:r w:rsidRPr="00594A23">
        <w:rPr>
          <w:lang w:eastAsia="fr-FR" w:bidi="fr-FR"/>
        </w:rPr>
        <w:t>Les décisions juridictionnelles, tout particulièrement ce</w:t>
      </w:r>
      <w:r w:rsidRPr="00594A23">
        <w:rPr>
          <w:lang w:eastAsia="fr-FR" w:bidi="fr-FR"/>
        </w:rPr>
        <w:t>l</w:t>
      </w:r>
      <w:r w:rsidRPr="00594A23">
        <w:rPr>
          <w:lang w:eastAsia="fr-FR" w:bidi="fr-FR"/>
        </w:rPr>
        <w:t>les de la Cour suprême, ont en outre peu entamé, voire préservé, cette domin</w:t>
      </w:r>
      <w:r w:rsidRPr="00594A23">
        <w:rPr>
          <w:lang w:eastAsia="fr-FR" w:bidi="fr-FR"/>
        </w:rPr>
        <w:t>a</w:t>
      </w:r>
      <w:r w:rsidRPr="00594A23">
        <w:rPr>
          <w:lang w:eastAsia="fr-FR" w:bidi="fr-FR"/>
        </w:rPr>
        <w:t>tion présidentielle acquise au fil des d</w:t>
      </w:r>
      <w:r w:rsidRPr="00594A23">
        <w:rPr>
          <w:lang w:eastAsia="fr-FR" w:bidi="fr-FR"/>
        </w:rPr>
        <w:t>é</w:t>
      </w:r>
      <w:r w:rsidRPr="00594A23">
        <w:rPr>
          <w:lang w:eastAsia="fr-FR" w:bidi="fr-FR"/>
        </w:rPr>
        <w:t>cennies. Cette prédominance a d’ailleurs créé des précédents historiques que les juges ont entérinés (acquisition de terr</w:t>
      </w:r>
      <w:r w:rsidRPr="00594A23">
        <w:rPr>
          <w:lang w:eastAsia="fr-FR" w:bidi="fr-FR"/>
        </w:rPr>
        <w:t>i</w:t>
      </w:r>
      <w:r w:rsidRPr="00594A23">
        <w:rPr>
          <w:lang w:eastAsia="fr-FR" w:bidi="fr-FR"/>
        </w:rPr>
        <w:t>toires comme par exemple la Louisiane, emploi de la force ou encore signature d’accords de paix sans le consentement du Congrès). En refusant de déterminer précisément le pa</w:t>
      </w:r>
      <w:r w:rsidRPr="00594A23">
        <w:rPr>
          <w:lang w:eastAsia="fr-FR" w:bidi="fr-FR"/>
        </w:rPr>
        <w:t>r</w:t>
      </w:r>
      <w:r w:rsidRPr="00594A23">
        <w:rPr>
          <w:lang w:eastAsia="fr-FR" w:bidi="fr-FR"/>
        </w:rPr>
        <w:t>tage des pouvoirs entre le président et le Congrès, les juges ont généralement consolidé, dans le domaine des affaires étrangères, les prérogatives intrinsèques de l’Exécutif aux dépens du Législatif. En effet, en ref</w:t>
      </w:r>
      <w:r w:rsidRPr="00594A23">
        <w:rPr>
          <w:lang w:eastAsia="fr-FR" w:bidi="fr-FR"/>
        </w:rPr>
        <w:t>u</w:t>
      </w:r>
      <w:r w:rsidRPr="00594A23">
        <w:rPr>
          <w:lang w:eastAsia="fr-FR" w:bidi="fr-FR"/>
        </w:rPr>
        <w:t xml:space="preserve">sant de se prononcer sur des enjeux particuliers (tel le droit d’engager les forces armées et de procéder à des interventions militaires) arguant parfois du fait qu’ils constituaient des </w:t>
      </w:r>
      <w:r w:rsidRPr="00594A23">
        <w:t>« </w:t>
      </w:r>
      <w:r w:rsidRPr="00594A23">
        <w:rPr>
          <w:lang w:eastAsia="fr-FR" w:bidi="fr-FR"/>
        </w:rPr>
        <w:t>questions politiques</w:t>
      </w:r>
      <w:r w:rsidRPr="00594A23">
        <w:t> »</w:t>
      </w:r>
      <w:r w:rsidRPr="00594A23">
        <w:rPr>
          <w:lang w:eastAsia="fr-FR" w:bidi="fr-FR"/>
        </w:rPr>
        <w:t>, en r</w:t>
      </w:r>
      <w:r w:rsidRPr="00594A23">
        <w:rPr>
          <w:lang w:eastAsia="fr-FR" w:bidi="fr-FR"/>
        </w:rPr>
        <w:t>e</w:t>
      </w:r>
      <w:r w:rsidRPr="00594A23">
        <w:rPr>
          <w:lang w:eastAsia="fr-FR" w:bidi="fr-FR"/>
        </w:rPr>
        <w:t>fusant de sanctionner ce qui, le plus souvent, était des décisions ém</w:t>
      </w:r>
      <w:r w:rsidRPr="00594A23">
        <w:rPr>
          <w:lang w:eastAsia="fr-FR" w:bidi="fr-FR"/>
        </w:rPr>
        <w:t>a</w:t>
      </w:r>
      <w:r w:rsidRPr="00594A23">
        <w:rPr>
          <w:lang w:eastAsia="fr-FR" w:bidi="fr-FR"/>
        </w:rPr>
        <w:t xml:space="preserve">nant du président, les juges ont, par leur abstention, avalisé </w:t>
      </w:r>
      <w:r w:rsidRPr="00A4104A">
        <w:rPr>
          <w:i/>
          <w:iCs/>
        </w:rPr>
        <w:t>de facto</w:t>
      </w:r>
      <w:r w:rsidRPr="00594A23">
        <w:rPr>
          <w:lang w:eastAsia="fr-FR" w:bidi="fr-FR"/>
        </w:rPr>
        <w:t xml:space="preserve"> la suprématie présidentielle.</w:t>
      </w:r>
    </w:p>
    <w:p w14:paraId="4A58DAFC" w14:textId="77777777" w:rsidR="0039793A" w:rsidRPr="00594A23" w:rsidRDefault="0039793A" w:rsidP="0039793A">
      <w:pPr>
        <w:spacing w:before="120" w:after="120"/>
        <w:jc w:val="both"/>
      </w:pPr>
      <w:r w:rsidRPr="00594A23">
        <w:rPr>
          <w:lang w:eastAsia="fr-FR" w:bidi="fr-FR"/>
        </w:rPr>
        <w:t>Cet équilibre imparfait entre les pouvoirs et par-dessus tout l’autorité présidentielle repose sur les pouvoirs réels dont dispose le chef de l’Exécutif. Ces pouvoirs sont déte</w:t>
      </w:r>
      <w:r w:rsidRPr="00594A23">
        <w:rPr>
          <w:lang w:eastAsia="fr-FR" w:bidi="fr-FR"/>
        </w:rPr>
        <w:t>r</w:t>
      </w:r>
      <w:r w:rsidRPr="00594A23">
        <w:rPr>
          <w:lang w:eastAsia="fr-FR" w:bidi="fr-FR"/>
        </w:rPr>
        <w:t>minés par la Constitution, la loi, ou encore la pratique.</w:t>
      </w:r>
    </w:p>
    <w:p w14:paraId="4DD5C44C" w14:textId="77777777" w:rsidR="0039793A" w:rsidRDefault="0039793A" w:rsidP="0039793A">
      <w:pPr>
        <w:spacing w:before="120" w:after="120"/>
        <w:jc w:val="both"/>
        <w:rPr>
          <w:lang w:eastAsia="fr-FR" w:bidi="fr-FR"/>
        </w:rPr>
      </w:pPr>
      <w:r>
        <w:rPr>
          <w:lang w:eastAsia="fr-FR" w:bidi="fr-FR"/>
        </w:rPr>
        <w:br w:type="page"/>
      </w:r>
    </w:p>
    <w:p w14:paraId="1CD86DC8" w14:textId="77777777" w:rsidR="0039793A" w:rsidRPr="00594A23" w:rsidRDefault="0039793A" w:rsidP="0039793A">
      <w:pPr>
        <w:pStyle w:val="a"/>
      </w:pPr>
      <w:r w:rsidRPr="00594A23">
        <w:t>Les pouvoirs formels du président</w:t>
      </w:r>
    </w:p>
    <w:p w14:paraId="35F840C9" w14:textId="77777777" w:rsidR="0039793A" w:rsidRDefault="0039793A" w:rsidP="0039793A">
      <w:pPr>
        <w:spacing w:before="120" w:after="120"/>
        <w:jc w:val="both"/>
        <w:rPr>
          <w:lang w:eastAsia="fr-FR" w:bidi="fr-FR"/>
        </w:rPr>
      </w:pPr>
    </w:p>
    <w:p w14:paraId="0FDA4287" w14:textId="77777777" w:rsidR="0039793A" w:rsidRPr="00594A23" w:rsidRDefault="0039793A" w:rsidP="0039793A">
      <w:pPr>
        <w:spacing w:before="120" w:after="120"/>
        <w:jc w:val="both"/>
      </w:pPr>
      <w:r w:rsidRPr="00594A23">
        <w:rPr>
          <w:lang w:eastAsia="fr-FR" w:bidi="fr-FR"/>
        </w:rPr>
        <w:t>L’autorité présidentielle s’est consolidée autour de trois fonctions formellement reconnues par la Constitution et leur pratique a en fait accentué les pouvoirs du président dans la formulation de la politique étrangère</w:t>
      </w:r>
      <w:r w:rsidRPr="00594A23">
        <w:t> :</w:t>
      </w:r>
      <w:r w:rsidRPr="00594A23">
        <w:rPr>
          <w:lang w:eastAsia="fr-FR" w:bidi="fr-FR"/>
        </w:rPr>
        <w:t xml:space="preserve"> il s’agit des fonctions de commandant en chef des forces armées, de chef d’</w:t>
      </w:r>
      <w:r>
        <w:rPr>
          <w:lang w:eastAsia="fr-FR" w:bidi="fr-FR"/>
        </w:rPr>
        <w:t>État</w:t>
      </w:r>
      <w:r w:rsidRPr="00594A23">
        <w:rPr>
          <w:lang w:eastAsia="fr-FR" w:bidi="fr-FR"/>
        </w:rPr>
        <w:t xml:space="preserve"> et de chef de gouvernement</w:t>
      </w:r>
      <w:r>
        <w:rPr>
          <w:lang w:eastAsia="fr-FR" w:bidi="fr-FR"/>
        </w:rPr>
        <w:t> </w:t>
      </w:r>
      <w:r>
        <w:rPr>
          <w:rStyle w:val="Appelnotedebasdep"/>
          <w:lang w:eastAsia="fr-FR" w:bidi="fr-FR"/>
        </w:rPr>
        <w:footnoteReference w:id="348"/>
      </w:r>
      <w:r w:rsidRPr="00594A23">
        <w:rPr>
          <w:lang w:eastAsia="fr-FR" w:bidi="fr-FR"/>
        </w:rPr>
        <w:t>.</w:t>
      </w:r>
    </w:p>
    <w:p w14:paraId="4336F0E9" w14:textId="77777777" w:rsidR="0039793A" w:rsidRDefault="0039793A" w:rsidP="0039793A">
      <w:pPr>
        <w:spacing w:before="120" w:after="120"/>
        <w:jc w:val="both"/>
      </w:pPr>
      <w:r>
        <w:t>[148]</w:t>
      </w:r>
    </w:p>
    <w:p w14:paraId="2DC4F981" w14:textId="77777777" w:rsidR="0039793A" w:rsidRPr="00594A23" w:rsidRDefault="0039793A" w:rsidP="0039793A">
      <w:pPr>
        <w:spacing w:before="120" w:after="120"/>
        <w:jc w:val="both"/>
      </w:pPr>
    </w:p>
    <w:p w14:paraId="78A4A20D" w14:textId="77777777" w:rsidR="0039793A" w:rsidRPr="00212709" w:rsidRDefault="0039793A" w:rsidP="0039793A">
      <w:pPr>
        <w:pStyle w:val="b"/>
      </w:pPr>
      <w:r w:rsidRPr="00212709">
        <w:rPr>
          <w:lang w:eastAsia="fr-FR" w:bidi="fr-FR"/>
        </w:rPr>
        <w:t>Le commandant en chef des forces armées</w:t>
      </w:r>
    </w:p>
    <w:p w14:paraId="5EE9C4E8" w14:textId="77777777" w:rsidR="0039793A" w:rsidRDefault="0039793A" w:rsidP="0039793A">
      <w:pPr>
        <w:spacing w:before="120" w:after="120"/>
        <w:jc w:val="both"/>
        <w:rPr>
          <w:lang w:eastAsia="fr-FR" w:bidi="fr-FR"/>
        </w:rPr>
      </w:pPr>
    </w:p>
    <w:p w14:paraId="4933DF9B" w14:textId="77777777" w:rsidR="0039793A" w:rsidRPr="00594A23" w:rsidRDefault="0039793A" w:rsidP="0039793A">
      <w:pPr>
        <w:spacing w:before="120" w:after="120"/>
        <w:jc w:val="both"/>
      </w:pPr>
      <w:r w:rsidRPr="00594A23">
        <w:rPr>
          <w:lang w:eastAsia="fr-FR" w:bidi="fr-FR"/>
        </w:rPr>
        <w:t>La Constitution désigne le président comme le comma</w:t>
      </w:r>
      <w:r w:rsidRPr="00594A23">
        <w:rPr>
          <w:lang w:eastAsia="fr-FR" w:bidi="fr-FR"/>
        </w:rPr>
        <w:t>n</w:t>
      </w:r>
      <w:r w:rsidRPr="00594A23">
        <w:rPr>
          <w:lang w:eastAsia="fr-FR" w:bidi="fr-FR"/>
        </w:rPr>
        <w:t>dant en chef des forces armées. À ce titre, trois fonctions lui sont formell</w:t>
      </w:r>
      <w:r w:rsidRPr="00594A23">
        <w:rPr>
          <w:lang w:eastAsia="fr-FR" w:bidi="fr-FR"/>
        </w:rPr>
        <w:t>e</w:t>
      </w:r>
      <w:r w:rsidRPr="00594A23">
        <w:rPr>
          <w:lang w:eastAsia="fr-FR" w:bidi="fr-FR"/>
        </w:rPr>
        <w:t>ment attribuées.</w:t>
      </w:r>
    </w:p>
    <w:p w14:paraId="661629A7" w14:textId="77777777" w:rsidR="0039793A" w:rsidRPr="00594A23" w:rsidRDefault="0039793A" w:rsidP="0039793A">
      <w:pPr>
        <w:spacing w:before="120" w:after="120"/>
        <w:jc w:val="both"/>
      </w:pPr>
      <w:r w:rsidRPr="00594A23">
        <w:rPr>
          <w:lang w:eastAsia="fr-FR" w:bidi="fr-FR"/>
        </w:rPr>
        <w:t>En premier lieu, il assure le commandement et le contrôle opér</w:t>
      </w:r>
      <w:r w:rsidRPr="00594A23">
        <w:rPr>
          <w:lang w:eastAsia="fr-FR" w:bidi="fr-FR"/>
        </w:rPr>
        <w:t>a</w:t>
      </w:r>
      <w:r w:rsidRPr="00594A23">
        <w:rPr>
          <w:lang w:eastAsia="fr-FR" w:bidi="fr-FR"/>
        </w:rPr>
        <w:t>tionnel des effectifs militaires. Rarement ce pouvoir s’est traduit par un commandement réel sur le terrain (à l’exception toutefois de Wa</w:t>
      </w:r>
      <w:r w:rsidRPr="00594A23">
        <w:rPr>
          <w:lang w:eastAsia="fr-FR" w:bidi="fr-FR"/>
        </w:rPr>
        <w:t>s</w:t>
      </w:r>
      <w:r w:rsidRPr="00594A23">
        <w:rPr>
          <w:lang w:eastAsia="fr-FR" w:bidi="fr-FR"/>
        </w:rPr>
        <w:t>hington qui, en 1794, organisa la milice en vue de mater la rébellion du whisky). Toutefois, certains présidents ont imposé leurs choix contre l’avis et en dépit de l’opposition de leurs généraux, assumant ainsi ple</w:t>
      </w:r>
      <w:r w:rsidRPr="00594A23">
        <w:rPr>
          <w:lang w:eastAsia="fr-FR" w:bidi="fr-FR"/>
        </w:rPr>
        <w:t>i</w:t>
      </w:r>
      <w:r w:rsidRPr="00594A23">
        <w:rPr>
          <w:lang w:eastAsia="fr-FR" w:bidi="fr-FR"/>
        </w:rPr>
        <w:t>nement le rôle de commandant en chef. Tel fut par exemple le cas de Truman qui, en 1951, durant la guerre de Corée, dut re</w:t>
      </w:r>
      <w:r w:rsidRPr="00594A23">
        <w:rPr>
          <w:lang w:eastAsia="fr-FR" w:bidi="fr-FR"/>
        </w:rPr>
        <w:t>n</w:t>
      </w:r>
      <w:r w:rsidRPr="00594A23">
        <w:rPr>
          <w:lang w:eastAsia="fr-FR" w:bidi="fr-FR"/>
        </w:rPr>
        <w:t>voyer le général MacArthur pour insubordination</w:t>
      </w:r>
      <w:r w:rsidRPr="00594A23">
        <w:t> ;</w:t>
      </w:r>
      <w:r w:rsidRPr="00594A23">
        <w:rPr>
          <w:lang w:eastAsia="fr-FR" w:bidi="fr-FR"/>
        </w:rPr>
        <w:t xml:space="preserve"> ou encore le cas de G.H. Bush qui intervint dans le golfe Persique en 1991 contre l’avis du général Powell.</w:t>
      </w:r>
    </w:p>
    <w:p w14:paraId="7B48DE88" w14:textId="77777777" w:rsidR="0039793A" w:rsidRPr="00594A23" w:rsidRDefault="0039793A" w:rsidP="0039793A">
      <w:pPr>
        <w:spacing w:before="120" w:after="120"/>
        <w:jc w:val="both"/>
      </w:pPr>
      <w:r w:rsidRPr="00594A23">
        <w:rPr>
          <w:lang w:eastAsia="fr-FR" w:bidi="fr-FR"/>
        </w:rPr>
        <w:t>En second lieu, le président peut utiliser la force et lancer une i</w:t>
      </w:r>
      <w:r w:rsidRPr="00594A23">
        <w:rPr>
          <w:lang w:eastAsia="fr-FR" w:bidi="fr-FR"/>
        </w:rPr>
        <w:t>n</w:t>
      </w:r>
      <w:r w:rsidRPr="00594A23">
        <w:rPr>
          <w:lang w:eastAsia="fr-FR" w:bidi="fr-FR"/>
        </w:rPr>
        <w:t>tervention militaire, en cas d’urgence et de légitime défense. Cepe</w:t>
      </w:r>
      <w:r w:rsidRPr="00594A23">
        <w:rPr>
          <w:lang w:eastAsia="fr-FR" w:bidi="fr-FR"/>
        </w:rPr>
        <w:t>n</w:t>
      </w:r>
      <w:r w:rsidRPr="00594A23">
        <w:rPr>
          <w:lang w:eastAsia="fr-FR" w:bidi="fr-FR"/>
        </w:rPr>
        <w:t>dant, seul le Congrès peut déclarer la guerre</w:t>
      </w:r>
      <w:r w:rsidRPr="00594A23">
        <w:t> :</w:t>
      </w:r>
      <w:r w:rsidRPr="00594A23">
        <w:rPr>
          <w:lang w:eastAsia="fr-FR" w:bidi="fr-FR"/>
        </w:rPr>
        <w:t xml:space="preserve"> l’intervention armée est donc en principe soumise à la prérogative exclusive des deux Cha</w:t>
      </w:r>
      <w:r w:rsidRPr="00594A23">
        <w:rPr>
          <w:lang w:eastAsia="fr-FR" w:bidi="fr-FR"/>
        </w:rPr>
        <w:t>m</w:t>
      </w:r>
      <w:r w:rsidRPr="00594A23">
        <w:rPr>
          <w:lang w:eastAsia="fr-FR" w:bidi="fr-FR"/>
        </w:rPr>
        <w:t>bres. Malgré l’adoption, en 1973, de la Loi sur les pouvoirs de guerre par le Congrès, les présidents n’ont cessé de s’accaparer le droit de faire usage de la force, de mener des interventions armées, ref</w:t>
      </w:r>
      <w:r w:rsidRPr="00594A23">
        <w:rPr>
          <w:lang w:eastAsia="fr-FR" w:bidi="fr-FR"/>
        </w:rPr>
        <w:t>u</w:t>
      </w:r>
      <w:r w:rsidRPr="00594A23">
        <w:rPr>
          <w:lang w:eastAsia="fr-FR" w:bidi="fr-FR"/>
        </w:rPr>
        <w:t>sant subséquemment de reconnaître l’autorité du Congrès. En fait de décl</w:t>
      </w:r>
      <w:r w:rsidRPr="00594A23">
        <w:rPr>
          <w:lang w:eastAsia="fr-FR" w:bidi="fr-FR"/>
        </w:rPr>
        <w:t>a</w:t>
      </w:r>
      <w:r w:rsidRPr="00594A23">
        <w:rPr>
          <w:lang w:eastAsia="fr-FR" w:bidi="fr-FR"/>
        </w:rPr>
        <w:t>rer la guerre, le Congrès se voit, dans la m</w:t>
      </w:r>
      <w:r w:rsidRPr="00594A23">
        <w:rPr>
          <w:lang w:eastAsia="fr-FR" w:bidi="fr-FR"/>
        </w:rPr>
        <w:t>a</w:t>
      </w:r>
      <w:r w:rsidRPr="00594A23">
        <w:rPr>
          <w:lang w:eastAsia="fr-FR" w:bidi="fr-FR"/>
        </w:rPr>
        <w:t>jorité des cas, simplement consulté par le président sur une résolution d’utilisation de la force. Le pouvoir présidentiel de mener - avec beaucoup de latitude - des inte</w:t>
      </w:r>
      <w:r w:rsidRPr="00594A23">
        <w:rPr>
          <w:lang w:eastAsia="fr-FR" w:bidi="fr-FR"/>
        </w:rPr>
        <w:t>r</w:t>
      </w:r>
      <w:r w:rsidRPr="00594A23">
        <w:rPr>
          <w:lang w:eastAsia="fr-FR" w:bidi="fr-FR"/>
        </w:rPr>
        <w:t>ventions armées (et non des guerres, ce qui l’engagerait juridiqu</w:t>
      </w:r>
      <w:r w:rsidRPr="00594A23">
        <w:rPr>
          <w:lang w:eastAsia="fr-FR" w:bidi="fr-FR"/>
        </w:rPr>
        <w:t>e</w:t>
      </w:r>
      <w:r w:rsidRPr="00594A23">
        <w:rPr>
          <w:lang w:eastAsia="fr-FR" w:bidi="fr-FR"/>
        </w:rPr>
        <w:t>ment à se soumettre au Congrès) s’est ainsi considérabl</w:t>
      </w:r>
      <w:r w:rsidRPr="00594A23">
        <w:rPr>
          <w:lang w:eastAsia="fr-FR" w:bidi="fr-FR"/>
        </w:rPr>
        <w:t>e</w:t>
      </w:r>
      <w:r w:rsidRPr="00594A23">
        <w:rPr>
          <w:lang w:eastAsia="fr-FR" w:bidi="fr-FR"/>
        </w:rPr>
        <w:t xml:space="preserve">ment accru, surtout durant et après la guerre froide, si bien que la pratique est maintenant courante (plus d’une centaine de fois au cours du </w:t>
      </w:r>
      <w:r w:rsidRPr="00594A23">
        <w:t>XX</w:t>
      </w:r>
      <w:r w:rsidRPr="00594A23">
        <w:rPr>
          <w:vertAlign w:val="superscript"/>
        </w:rPr>
        <w:t>e</w:t>
      </w:r>
      <w:r w:rsidRPr="00594A23">
        <w:t xml:space="preserve"> </w:t>
      </w:r>
      <w:r w:rsidRPr="00594A23">
        <w:rPr>
          <w:lang w:eastAsia="fr-FR" w:bidi="fr-FR"/>
        </w:rPr>
        <w:t>siècle). Alors qu’aucune guerre n’a été déclarée depuis la seconde guerre mondi</w:t>
      </w:r>
      <w:r w:rsidRPr="00594A23">
        <w:rPr>
          <w:lang w:eastAsia="fr-FR" w:bidi="fr-FR"/>
        </w:rPr>
        <w:t>a</w:t>
      </w:r>
      <w:r w:rsidRPr="00594A23">
        <w:rPr>
          <w:lang w:eastAsia="fr-FR" w:bidi="fr-FR"/>
        </w:rPr>
        <w:t>le</w:t>
      </w:r>
      <w:r>
        <w:rPr>
          <w:lang w:eastAsia="fr-FR" w:bidi="fr-FR"/>
        </w:rPr>
        <w:t>,</w:t>
      </w:r>
      <w:r w:rsidRPr="00594A23">
        <w:rPr>
          <w:lang w:eastAsia="fr-FR" w:bidi="fr-FR"/>
        </w:rPr>
        <w:t xml:space="preserve"> les interventions militaires américaines se sont multipliées (entre a</w:t>
      </w:r>
      <w:r w:rsidRPr="00594A23">
        <w:rPr>
          <w:lang w:eastAsia="fr-FR" w:bidi="fr-FR"/>
        </w:rPr>
        <w:t>u</w:t>
      </w:r>
      <w:r w:rsidRPr="00594A23">
        <w:rPr>
          <w:lang w:eastAsia="fr-FR" w:bidi="fr-FR"/>
        </w:rPr>
        <w:t>tres en Corée, au Vietnam, au Liban, dans l’île de Grenade, au Pan</w:t>
      </w:r>
      <w:r w:rsidRPr="00594A23">
        <w:rPr>
          <w:lang w:eastAsia="fr-FR" w:bidi="fr-FR"/>
        </w:rPr>
        <w:t>a</w:t>
      </w:r>
      <w:r w:rsidRPr="00594A23">
        <w:rPr>
          <w:lang w:eastAsia="fr-FR" w:bidi="fr-FR"/>
        </w:rPr>
        <w:t>ma, en Irak, en Somalie, en Bosnie, au Kosovo ou encore en Afgh</w:t>
      </w:r>
      <w:r w:rsidRPr="00594A23">
        <w:rPr>
          <w:lang w:eastAsia="fr-FR" w:bidi="fr-FR"/>
        </w:rPr>
        <w:t>a</w:t>
      </w:r>
      <w:r>
        <w:rPr>
          <w:lang w:eastAsia="fr-FR" w:bidi="fr-FR"/>
        </w:rPr>
        <w:t>nistan). </w:t>
      </w:r>
      <w:r>
        <w:rPr>
          <w:rStyle w:val="Appelnotedebasdep"/>
          <w:lang w:eastAsia="fr-FR" w:bidi="fr-FR"/>
        </w:rPr>
        <w:footnoteReference w:id="349"/>
      </w:r>
    </w:p>
    <w:p w14:paraId="358DF2B4" w14:textId="77777777" w:rsidR="0039793A" w:rsidRPr="00594A23" w:rsidRDefault="0039793A" w:rsidP="0039793A">
      <w:pPr>
        <w:spacing w:before="120" w:after="120"/>
        <w:jc w:val="both"/>
      </w:pPr>
      <w:r>
        <w:t>[149]</w:t>
      </w:r>
    </w:p>
    <w:p w14:paraId="21A4C16E" w14:textId="77777777" w:rsidR="0039793A" w:rsidRPr="00594A23" w:rsidRDefault="0039793A" w:rsidP="0039793A">
      <w:pPr>
        <w:spacing w:before="120" w:after="120"/>
        <w:jc w:val="both"/>
      </w:pPr>
      <w:r w:rsidRPr="00594A23">
        <w:rPr>
          <w:lang w:eastAsia="fr-FR" w:bidi="fr-FR"/>
        </w:rPr>
        <w:t>En troisième lieu, le président dispose du pouvoir de mettre fin aux hostilités armées, de signer la paix — quo</w:t>
      </w:r>
      <w:r w:rsidRPr="00594A23">
        <w:rPr>
          <w:lang w:eastAsia="fr-FR" w:bidi="fr-FR"/>
        </w:rPr>
        <w:t>i</w:t>
      </w:r>
      <w:r w:rsidRPr="00594A23">
        <w:rPr>
          <w:lang w:eastAsia="fr-FR" w:bidi="fr-FR"/>
        </w:rPr>
        <w:t>que formellement le Sénat soit seul habilité à ratifier un tra</w:t>
      </w:r>
      <w:r w:rsidRPr="00594A23">
        <w:rPr>
          <w:lang w:eastAsia="fr-FR" w:bidi="fr-FR"/>
        </w:rPr>
        <w:t>i</w:t>
      </w:r>
      <w:r w:rsidRPr="00594A23">
        <w:rPr>
          <w:lang w:eastAsia="fr-FR" w:bidi="fr-FR"/>
        </w:rPr>
        <w:t>té de paix. Dans une certaine mesure, c’est cette pratique qui a progressivement permis de justifier l’engagement, par le président, de soldats américains dans des mi</w:t>
      </w:r>
      <w:r w:rsidRPr="00594A23">
        <w:rPr>
          <w:lang w:eastAsia="fr-FR" w:bidi="fr-FR"/>
        </w:rPr>
        <w:t>s</w:t>
      </w:r>
      <w:r w:rsidRPr="00594A23">
        <w:rPr>
          <w:lang w:eastAsia="fr-FR" w:bidi="fr-FR"/>
        </w:rPr>
        <w:t>sions de paix, sans prendre en compte l’autorité du Congrès (par exemple en Haïti, dans les Balkans ou en Afghanistan).</w:t>
      </w:r>
    </w:p>
    <w:p w14:paraId="489D4ADD" w14:textId="77777777" w:rsidR="0039793A" w:rsidRPr="00450BBC" w:rsidRDefault="0039793A" w:rsidP="0039793A">
      <w:pPr>
        <w:jc w:val="both"/>
        <w:rPr>
          <w:sz w:val="20"/>
          <w:lang w:eastAsia="fr-FR" w:bidi="fr-FR"/>
        </w:rPr>
      </w:pPr>
    </w:p>
    <w:p w14:paraId="554DD913" w14:textId="77777777" w:rsidR="0039793A" w:rsidRPr="0023710F" w:rsidRDefault="0039793A" w:rsidP="0039793A">
      <w:pPr>
        <w:pStyle w:val="b"/>
      </w:pPr>
      <w:r w:rsidRPr="0023710F">
        <w:rPr>
          <w:lang w:eastAsia="fr-FR" w:bidi="fr-FR"/>
        </w:rPr>
        <w:t>Le chef de l’État</w:t>
      </w:r>
    </w:p>
    <w:p w14:paraId="268D911C" w14:textId="77777777" w:rsidR="0039793A" w:rsidRPr="00450BBC" w:rsidRDefault="0039793A" w:rsidP="0039793A">
      <w:pPr>
        <w:jc w:val="both"/>
        <w:rPr>
          <w:sz w:val="20"/>
          <w:lang w:eastAsia="fr-FR" w:bidi="fr-FR"/>
        </w:rPr>
      </w:pPr>
    </w:p>
    <w:p w14:paraId="2004A588" w14:textId="77777777" w:rsidR="0039793A" w:rsidRPr="00594A23" w:rsidRDefault="0039793A" w:rsidP="0039793A">
      <w:pPr>
        <w:spacing w:before="120" w:after="120"/>
        <w:jc w:val="both"/>
      </w:pPr>
      <w:r w:rsidRPr="00594A23">
        <w:rPr>
          <w:lang w:eastAsia="fr-FR" w:bidi="fr-FR"/>
        </w:rPr>
        <w:t xml:space="preserve">La Constitution dispose également que le président est le chef de l’État. Seul le président </w:t>
      </w:r>
      <w:r>
        <w:rPr>
          <w:lang w:eastAsia="fr-FR" w:bidi="fr-FR"/>
        </w:rPr>
        <w:t>-</w:t>
      </w:r>
      <w:r w:rsidRPr="00594A23">
        <w:rPr>
          <w:lang w:eastAsia="fr-FR" w:bidi="fr-FR"/>
        </w:rPr>
        <w:t xml:space="preserve"> et ses émissaires - sont autorisés à négocier avec les représentants des gouvern</w:t>
      </w:r>
      <w:r w:rsidRPr="00594A23">
        <w:rPr>
          <w:lang w:eastAsia="fr-FR" w:bidi="fr-FR"/>
        </w:rPr>
        <w:t>e</w:t>
      </w:r>
      <w:r w:rsidRPr="00594A23">
        <w:rPr>
          <w:lang w:eastAsia="fr-FR" w:bidi="fr-FR"/>
        </w:rPr>
        <w:t>ments étrangers.</w:t>
      </w:r>
    </w:p>
    <w:p w14:paraId="6D4F1B62" w14:textId="77777777" w:rsidR="0039793A" w:rsidRPr="00594A23" w:rsidRDefault="0039793A" w:rsidP="0039793A">
      <w:pPr>
        <w:spacing w:before="120" w:after="120"/>
        <w:jc w:val="both"/>
      </w:pPr>
      <w:r w:rsidRPr="00594A23">
        <w:rPr>
          <w:lang w:eastAsia="fr-FR" w:bidi="fr-FR"/>
        </w:rPr>
        <w:t>Par exemple, le président peut négocier le contenu d’un traité i</w:t>
      </w:r>
      <w:r w:rsidRPr="00594A23">
        <w:rPr>
          <w:lang w:eastAsia="fr-FR" w:bidi="fr-FR"/>
        </w:rPr>
        <w:t>n</w:t>
      </w:r>
      <w:r w:rsidRPr="00594A23">
        <w:rPr>
          <w:lang w:eastAsia="fr-FR" w:bidi="fr-FR"/>
        </w:rPr>
        <w:t>ternational, l’approuver et le signer avant de le pr</w:t>
      </w:r>
      <w:r w:rsidRPr="00594A23">
        <w:rPr>
          <w:lang w:eastAsia="fr-FR" w:bidi="fr-FR"/>
        </w:rPr>
        <w:t>é</w:t>
      </w:r>
      <w:r w:rsidRPr="00594A23">
        <w:rPr>
          <w:lang w:eastAsia="fr-FR" w:bidi="fr-FR"/>
        </w:rPr>
        <w:t>senter au Sénat pour ratification à la majorité des deux tiers. Quoiqu’en vertu de la Constitution, le président doive obt</w:t>
      </w:r>
      <w:r w:rsidRPr="00594A23">
        <w:rPr>
          <w:lang w:eastAsia="fr-FR" w:bidi="fr-FR"/>
        </w:rPr>
        <w:t>e</w:t>
      </w:r>
      <w:r w:rsidRPr="00594A23">
        <w:rPr>
          <w:lang w:eastAsia="fr-FR" w:bidi="fr-FR"/>
        </w:rPr>
        <w:t xml:space="preserve">nir </w:t>
      </w:r>
      <w:r w:rsidRPr="00594A23">
        <w:t>« </w:t>
      </w:r>
      <w:r w:rsidRPr="00594A23">
        <w:rPr>
          <w:lang w:eastAsia="fr-FR" w:bidi="fr-FR"/>
        </w:rPr>
        <w:t>l’avis</w:t>
      </w:r>
      <w:r w:rsidRPr="00594A23">
        <w:t> »</w:t>
      </w:r>
      <w:r w:rsidRPr="00594A23">
        <w:rPr>
          <w:lang w:eastAsia="fr-FR" w:bidi="fr-FR"/>
        </w:rPr>
        <w:t xml:space="preserve"> du Sénat avant le dépôt d’un traité, aucun pr</w:t>
      </w:r>
      <w:r w:rsidRPr="00594A23">
        <w:rPr>
          <w:lang w:eastAsia="fr-FR" w:bidi="fr-FR"/>
        </w:rPr>
        <w:t>é</w:t>
      </w:r>
      <w:r w:rsidRPr="00594A23">
        <w:rPr>
          <w:lang w:eastAsia="fr-FR" w:bidi="fr-FR"/>
        </w:rPr>
        <w:t>sident, hormis Washington (en 1789) et Polk (en 1846), n’a formellement sollicité cet avis, préférant plutôt inclure le Sénat dans le processus de négociation du traité et ainsi l’influencer en vue d’obtenir sa ratification. Et, de fait, les résultats de cette démarche sont spectaculaires puisque le Sénat a ratifié 90 % des traités qui lui ont été présentés. En d’autres termes, au cours de l’Histoire, il a rejeté une vin</w:t>
      </w:r>
      <w:r w:rsidRPr="00594A23">
        <w:rPr>
          <w:lang w:eastAsia="fr-FR" w:bidi="fr-FR"/>
        </w:rPr>
        <w:t>g</w:t>
      </w:r>
      <w:r w:rsidRPr="00594A23">
        <w:rPr>
          <w:lang w:eastAsia="fr-FR" w:bidi="fr-FR"/>
        </w:rPr>
        <w:t>taine de traités sur les quelque 1</w:t>
      </w:r>
      <w:r>
        <w:rPr>
          <w:lang w:eastAsia="fr-FR" w:bidi="fr-FR"/>
        </w:rPr>
        <w:t> </w:t>
      </w:r>
      <w:r w:rsidRPr="00594A23">
        <w:rPr>
          <w:lang w:eastAsia="fr-FR" w:bidi="fr-FR"/>
        </w:rPr>
        <w:t>500 qui lui ont été soumis (le rejet du traité de Versailles en 1919 constitue à ce jour la défaite présidentielle la plus cuisante, la plus récente étant le rejet en 1999 du traité d’interdiction des essais nucléaires). Néa</w:t>
      </w:r>
      <w:r w:rsidRPr="00594A23">
        <w:rPr>
          <w:lang w:eastAsia="fr-FR" w:bidi="fr-FR"/>
        </w:rPr>
        <w:t>n</w:t>
      </w:r>
      <w:r w:rsidRPr="00594A23">
        <w:rPr>
          <w:lang w:eastAsia="fr-FR" w:bidi="fr-FR"/>
        </w:rPr>
        <w:t>moins, dans la pratique, le président peut ne pas so</w:t>
      </w:r>
      <w:r w:rsidRPr="00594A23">
        <w:rPr>
          <w:lang w:eastAsia="fr-FR" w:bidi="fr-FR"/>
        </w:rPr>
        <w:t>u</w:t>
      </w:r>
      <w:r w:rsidRPr="00594A23">
        <w:rPr>
          <w:lang w:eastAsia="fr-FR" w:bidi="fr-FR"/>
        </w:rPr>
        <w:t>mettre un traité pour approbation s’il craint de perdre le v</w:t>
      </w:r>
      <w:r w:rsidRPr="00594A23">
        <w:rPr>
          <w:lang w:eastAsia="fr-FR" w:bidi="fr-FR"/>
        </w:rPr>
        <w:t>o</w:t>
      </w:r>
      <w:r w:rsidRPr="00594A23">
        <w:rPr>
          <w:lang w:eastAsia="fr-FR" w:bidi="fr-FR"/>
        </w:rPr>
        <w:t>te. De la même façon, il peut interpréter les clauses d’un traité ou encore y mettre fin, sans obligatoirement devoir obtenir l’assentiment du Sénat (comme le montre l’abandon en 2002 par le président George W. Bush du traité de 1972 sur l’interdiction des défenses antimissiles). Compte tenu de la rigidité et de la lourdeur de la procédure de signature et de ratific</w:t>
      </w:r>
      <w:r w:rsidRPr="00594A23">
        <w:rPr>
          <w:lang w:eastAsia="fr-FR" w:bidi="fr-FR"/>
        </w:rPr>
        <w:t>a</w:t>
      </w:r>
      <w:r w:rsidRPr="00594A23">
        <w:rPr>
          <w:lang w:eastAsia="fr-FR" w:bidi="fr-FR"/>
        </w:rPr>
        <w:t>tion des traités, les présidents leur préfèrent la</w:t>
      </w:r>
      <w:r w:rsidRPr="00594A23">
        <w:rPr>
          <w:lang w:eastAsia="fr-FR" w:bidi="fr-FR"/>
        </w:rPr>
        <w:t>r</w:t>
      </w:r>
      <w:r w:rsidRPr="00594A23">
        <w:rPr>
          <w:lang w:eastAsia="fr-FR" w:bidi="fr-FR"/>
        </w:rPr>
        <w:t xml:space="preserve">gement les accords exécutifs </w:t>
      </w:r>
      <w:r>
        <w:rPr>
          <w:lang w:eastAsia="fr-FR" w:bidi="fr-FR"/>
        </w:rPr>
        <w:t>(</w:t>
      </w:r>
      <w:r w:rsidRPr="0023710F">
        <w:rPr>
          <w:i/>
          <w:iCs/>
        </w:rPr>
        <w:t>executive agreements</w:t>
      </w:r>
      <w:r w:rsidRPr="00594A23">
        <w:t>)</w:t>
      </w:r>
      <w:r w:rsidRPr="00594A23">
        <w:rPr>
          <w:lang w:eastAsia="fr-FR" w:bidi="fr-FR"/>
        </w:rPr>
        <w:t xml:space="preserve"> — qui ne sont pas soumis à l’approbation du Sénat</w:t>
      </w:r>
      <w:r>
        <w:rPr>
          <w:lang w:eastAsia="fr-FR" w:bidi="fr-FR"/>
        </w:rPr>
        <w:t> </w:t>
      </w:r>
      <w:r>
        <w:rPr>
          <w:rStyle w:val="Appelnotedebasdep"/>
          <w:lang w:eastAsia="fr-FR" w:bidi="fr-FR"/>
        </w:rPr>
        <w:footnoteReference w:id="350"/>
      </w:r>
      <w:r w:rsidRPr="00594A23">
        <w:rPr>
          <w:lang w:eastAsia="fr-FR" w:bidi="fr-FR"/>
        </w:rPr>
        <w:t>. Ainsi, les a</w:t>
      </w:r>
      <w:r w:rsidRPr="00594A23">
        <w:rPr>
          <w:lang w:eastAsia="fr-FR" w:bidi="fr-FR"/>
        </w:rPr>
        <w:t>n</w:t>
      </w:r>
      <w:r w:rsidRPr="00594A23">
        <w:rPr>
          <w:lang w:eastAsia="fr-FR" w:bidi="fr-FR"/>
        </w:rPr>
        <w:t>nexions du Texas (en 1845) et d’Hawaï</w:t>
      </w:r>
      <w:r>
        <w:t xml:space="preserve"> [150] </w:t>
      </w:r>
      <w:r w:rsidRPr="00594A23">
        <w:rPr>
          <w:lang w:eastAsia="fr-FR" w:bidi="fr-FR"/>
        </w:rPr>
        <w:t>(en 1898) furent signées et conclues par simples a</w:t>
      </w:r>
      <w:r w:rsidRPr="00594A23">
        <w:rPr>
          <w:lang w:eastAsia="fr-FR" w:bidi="fr-FR"/>
        </w:rPr>
        <w:t>c</w:t>
      </w:r>
      <w:r w:rsidRPr="00594A23">
        <w:rPr>
          <w:lang w:eastAsia="fr-FR" w:bidi="fr-FR"/>
        </w:rPr>
        <w:t>cords exécutifs. Il faut sur ce point distinguer le droit international du droit interne</w:t>
      </w:r>
      <w:r w:rsidRPr="00594A23">
        <w:t> :</w:t>
      </w:r>
      <w:r w:rsidRPr="00594A23">
        <w:rPr>
          <w:lang w:eastAsia="fr-FR" w:bidi="fr-FR"/>
        </w:rPr>
        <w:t xml:space="preserve"> un traité international et reconnu comme tel par les États membres — donc en droit international - peut en droit national être considéré comme un traité (il est alors soumis au Sénat pour rat</w:t>
      </w:r>
      <w:r w:rsidRPr="00594A23">
        <w:rPr>
          <w:lang w:eastAsia="fr-FR" w:bidi="fr-FR"/>
        </w:rPr>
        <w:t>i</w:t>
      </w:r>
      <w:r w:rsidRPr="00594A23">
        <w:rPr>
          <w:lang w:eastAsia="fr-FR" w:bidi="fr-FR"/>
        </w:rPr>
        <w:t>fication forme</w:t>
      </w:r>
      <w:r w:rsidRPr="00594A23">
        <w:rPr>
          <w:lang w:eastAsia="fr-FR" w:bidi="fr-FR"/>
        </w:rPr>
        <w:t>l</w:t>
      </w:r>
      <w:r w:rsidRPr="00594A23">
        <w:rPr>
          <w:lang w:eastAsia="fr-FR" w:bidi="fr-FR"/>
        </w:rPr>
        <w:t>le) ou comme un accord exécutif (ce n’est pas un traité au sens du droit national, il n’est donc pas soumis pour ratification au Sénat). Ainsi, les accords de paix du Vietnam (traités intern</w:t>
      </w:r>
      <w:r w:rsidRPr="00594A23">
        <w:rPr>
          <w:lang w:eastAsia="fr-FR" w:bidi="fr-FR"/>
        </w:rPr>
        <w:t>a</w:t>
      </w:r>
      <w:r w:rsidRPr="00594A23">
        <w:rPr>
          <w:lang w:eastAsia="fr-FR" w:bidi="fr-FR"/>
        </w:rPr>
        <w:t>tionaux) conclus en 1973, sont des accords exécutifs (en droit national amér</w:t>
      </w:r>
      <w:r w:rsidRPr="00594A23">
        <w:rPr>
          <w:lang w:eastAsia="fr-FR" w:bidi="fr-FR"/>
        </w:rPr>
        <w:t>i</w:t>
      </w:r>
      <w:r w:rsidRPr="00594A23">
        <w:rPr>
          <w:lang w:eastAsia="fr-FR" w:bidi="fr-FR"/>
        </w:rPr>
        <w:t>cain, pui</w:t>
      </w:r>
      <w:r w:rsidRPr="00594A23">
        <w:rPr>
          <w:lang w:eastAsia="fr-FR" w:bidi="fr-FR"/>
        </w:rPr>
        <w:t>s</w:t>
      </w:r>
      <w:r w:rsidRPr="00594A23">
        <w:rPr>
          <w:lang w:eastAsia="fr-FR" w:bidi="fr-FR"/>
        </w:rPr>
        <w:t>qu’ils n’ont pas été soumis au Sénat pour ratification). On pourrait évoquer le parallélisme des procédures et arguer du fait que puisqu’il n’y avait pas eu de déclaration de guerre, il n’y avait pas d</w:t>
      </w:r>
      <w:r w:rsidRPr="00594A23">
        <w:rPr>
          <w:lang w:eastAsia="fr-FR" w:bidi="fr-FR"/>
        </w:rPr>
        <w:t>a</w:t>
      </w:r>
      <w:r w:rsidRPr="00594A23">
        <w:rPr>
          <w:lang w:eastAsia="fr-FR" w:bidi="fr-FR"/>
        </w:rPr>
        <w:t>vantage lieu de ratifier en bonne et due forme un traité de paix. Cette pratique conduit parfois à des procédures atypiques. Ainsi, l’accord de libre-échange, conclu en 1993 entre les États-Unis et le Canada (traité i</w:t>
      </w:r>
      <w:r w:rsidRPr="00594A23">
        <w:rPr>
          <w:lang w:eastAsia="fr-FR" w:bidi="fr-FR"/>
        </w:rPr>
        <w:t>n</w:t>
      </w:r>
      <w:r w:rsidRPr="00594A23">
        <w:rPr>
          <w:lang w:eastAsia="fr-FR" w:bidi="fr-FR"/>
        </w:rPr>
        <w:t>ternational), a été entériné par majorité simple au Congrès</w:t>
      </w:r>
      <w:r w:rsidRPr="00594A23">
        <w:t> :</w:t>
      </w:r>
      <w:r w:rsidRPr="00594A23">
        <w:rPr>
          <w:lang w:eastAsia="fr-FR" w:bidi="fr-FR"/>
        </w:rPr>
        <w:t xml:space="preserve"> on a donc écarté la procédure formelle de ratification du traité par le Sénat, tout en che</w:t>
      </w:r>
      <w:r w:rsidRPr="00594A23">
        <w:rPr>
          <w:lang w:eastAsia="fr-FR" w:bidi="fr-FR"/>
        </w:rPr>
        <w:t>r</w:t>
      </w:r>
      <w:r w:rsidRPr="00594A23">
        <w:rPr>
          <w:lang w:eastAsia="fr-FR" w:bidi="fr-FR"/>
        </w:rPr>
        <w:t>chant à associer le pouvoir législatif. Le nombre d’accords exécutifs a augmenté de façon exponentielle</w:t>
      </w:r>
      <w:r w:rsidRPr="00594A23">
        <w:t> :</w:t>
      </w:r>
      <w:r w:rsidRPr="00594A23">
        <w:rPr>
          <w:lang w:eastAsia="fr-FR" w:bidi="fr-FR"/>
        </w:rPr>
        <w:t xml:space="preserve"> la proportion des traités par rapport aux accords exécutifs, qui était de 1 pour 1 entre 1789 et 1889 est passée à 1 pour 2 (1890-1932), puis à 1 pour 13 (1933-1974), et enfin à 1 pour 22 depuis 1975. Sur les 15</w:t>
      </w:r>
      <w:r>
        <w:rPr>
          <w:lang w:eastAsia="fr-FR" w:bidi="fr-FR"/>
        </w:rPr>
        <w:t> </w:t>
      </w:r>
      <w:r w:rsidRPr="00594A23">
        <w:rPr>
          <w:lang w:eastAsia="fr-FR" w:bidi="fr-FR"/>
        </w:rPr>
        <w:t>000 conventions intern</w:t>
      </w:r>
      <w:r w:rsidRPr="00594A23">
        <w:rPr>
          <w:lang w:eastAsia="fr-FR" w:bidi="fr-FR"/>
        </w:rPr>
        <w:t>a</w:t>
      </w:r>
      <w:r w:rsidRPr="00594A23">
        <w:rPr>
          <w:lang w:eastAsia="fr-FR" w:bidi="fr-FR"/>
        </w:rPr>
        <w:t>tionales auxquelles les États-Unis sont parties, 13</w:t>
      </w:r>
      <w:r>
        <w:rPr>
          <w:lang w:eastAsia="fr-FR" w:bidi="fr-FR"/>
        </w:rPr>
        <w:t> </w:t>
      </w:r>
      <w:r w:rsidRPr="00594A23">
        <w:rPr>
          <w:lang w:eastAsia="fr-FR" w:bidi="fr-FR"/>
        </w:rPr>
        <w:t>500 ont pris la fo</w:t>
      </w:r>
      <w:r w:rsidRPr="00594A23">
        <w:rPr>
          <w:lang w:eastAsia="fr-FR" w:bidi="fr-FR"/>
        </w:rPr>
        <w:t>r</w:t>
      </w:r>
      <w:r w:rsidRPr="00594A23">
        <w:rPr>
          <w:lang w:eastAsia="fr-FR" w:bidi="fr-FR"/>
        </w:rPr>
        <w:t>me d’accords exécutifs.</w:t>
      </w:r>
    </w:p>
    <w:p w14:paraId="0EDA7BA9" w14:textId="77777777" w:rsidR="0039793A" w:rsidRPr="00594A23" w:rsidRDefault="0039793A" w:rsidP="0039793A">
      <w:pPr>
        <w:spacing w:before="120" w:after="120"/>
        <w:jc w:val="both"/>
      </w:pPr>
      <w:r w:rsidRPr="00594A23">
        <w:rPr>
          <w:lang w:eastAsia="fr-FR" w:bidi="fr-FR"/>
        </w:rPr>
        <w:t>En tant que chef de l’État, c’est au président que revient également le pouvoir de reconnaître, ou non, un État et la légitimité d’un gouve</w:t>
      </w:r>
      <w:r w:rsidRPr="00594A23">
        <w:rPr>
          <w:lang w:eastAsia="fr-FR" w:bidi="fr-FR"/>
        </w:rPr>
        <w:t>r</w:t>
      </w:r>
      <w:r w:rsidRPr="00594A23">
        <w:rPr>
          <w:lang w:eastAsia="fr-FR" w:bidi="fr-FR"/>
        </w:rPr>
        <w:t>nement, ce qui ne va pas sans influencer le cours de la politique étra</w:t>
      </w:r>
      <w:r w:rsidRPr="00594A23">
        <w:rPr>
          <w:lang w:eastAsia="fr-FR" w:bidi="fr-FR"/>
        </w:rPr>
        <w:t>n</w:t>
      </w:r>
      <w:r w:rsidRPr="00594A23">
        <w:rPr>
          <w:lang w:eastAsia="fr-FR" w:bidi="fr-FR"/>
        </w:rPr>
        <w:t>gère (ainsi la reconnaissance d’Israël en 1948, ou le refus de reconna</w:t>
      </w:r>
      <w:r w:rsidRPr="00594A23">
        <w:rPr>
          <w:lang w:eastAsia="fr-FR" w:bidi="fr-FR"/>
        </w:rPr>
        <w:t>î</w:t>
      </w:r>
      <w:r w:rsidRPr="00594A23">
        <w:rPr>
          <w:lang w:eastAsia="fr-FR" w:bidi="fr-FR"/>
        </w:rPr>
        <w:t>tre le gouvernement communiste de Cuba depuis 1959, de la Ch</w:t>
      </w:r>
      <w:r w:rsidRPr="00594A23">
        <w:rPr>
          <w:lang w:eastAsia="fr-FR" w:bidi="fr-FR"/>
        </w:rPr>
        <w:t>i</w:t>
      </w:r>
      <w:r w:rsidRPr="00594A23">
        <w:rPr>
          <w:lang w:eastAsia="fr-FR" w:bidi="fr-FR"/>
        </w:rPr>
        <w:t>ne jusqu’en 1979, et du Vietnam jusqu’en 1995).</w:t>
      </w:r>
    </w:p>
    <w:p w14:paraId="6EC6BC03" w14:textId="77777777" w:rsidR="0039793A" w:rsidRDefault="0039793A" w:rsidP="0039793A">
      <w:pPr>
        <w:spacing w:before="120" w:after="120"/>
        <w:jc w:val="both"/>
        <w:rPr>
          <w:lang w:eastAsia="fr-FR" w:bidi="fr-FR"/>
        </w:rPr>
      </w:pPr>
      <w:r w:rsidRPr="00594A23">
        <w:rPr>
          <w:lang w:eastAsia="fr-FR" w:bidi="fr-FR"/>
        </w:rPr>
        <w:t>Enfin, le président possède des pouvoirs résiduels, non prévus par la Constitution, considérables sur le plan diplomatique. Il peut déte</w:t>
      </w:r>
      <w:r w:rsidRPr="00594A23">
        <w:rPr>
          <w:lang w:eastAsia="fr-FR" w:bidi="fr-FR"/>
        </w:rPr>
        <w:t>r</w:t>
      </w:r>
      <w:r w:rsidRPr="00594A23">
        <w:rPr>
          <w:lang w:eastAsia="fr-FR" w:bidi="fr-FR"/>
        </w:rPr>
        <w:t xml:space="preserve">miner la position des États-Unis dans les instances internationales (comme au Conseil de sécurité de </w:t>
      </w:r>
      <w:r>
        <w:rPr>
          <w:lang w:eastAsia="fr-FR" w:bidi="fr-FR"/>
        </w:rPr>
        <w:t>l</w:t>
      </w:r>
      <w:r w:rsidRPr="009111CB">
        <w:rPr>
          <w:smallCaps/>
        </w:rPr>
        <w:t>’</w:t>
      </w:r>
      <w:r w:rsidRPr="009111CB">
        <w:rPr>
          <w:caps/>
        </w:rPr>
        <w:t>onu</w:t>
      </w:r>
      <w:r w:rsidRPr="009111CB">
        <w:rPr>
          <w:smallCaps/>
        </w:rPr>
        <w:t>) ;</w:t>
      </w:r>
      <w:r w:rsidRPr="00594A23">
        <w:rPr>
          <w:lang w:eastAsia="fr-FR" w:bidi="fr-FR"/>
        </w:rPr>
        <w:t xml:space="preserve"> il peut proclamer la ne</w:t>
      </w:r>
      <w:r w:rsidRPr="00594A23">
        <w:rPr>
          <w:lang w:eastAsia="fr-FR" w:bidi="fr-FR"/>
        </w:rPr>
        <w:t>u</w:t>
      </w:r>
      <w:r w:rsidRPr="00594A23">
        <w:rPr>
          <w:lang w:eastAsia="fr-FR" w:bidi="fr-FR"/>
        </w:rPr>
        <w:t>tralité de la nation (comme entre 1914 et 1917)</w:t>
      </w:r>
      <w:r w:rsidRPr="00594A23">
        <w:t> ;</w:t>
      </w:r>
      <w:r w:rsidRPr="00594A23">
        <w:rPr>
          <w:lang w:eastAsia="fr-FR" w:bidi="fr-FR"/>
        </w:rPr>
        <w:t xml:space="preserve"> il peut convoquer, organ</w:t>
      </w:r>
      <w:r w:rsidRPr="00594A23">
        <w:rPr>
          <w:lang w:eastAsia="fr-FR" w:bidi="fr-FR"/>
        </w:rPr>
        <w:t>i</w:t>
      </w:r>
      <w:r w:rsidRPr="00594A23">
        <w:rPr>
          <w:lang w:eastAsia="fr-FR" w:bidi="fr-FR"/>
        </w:rPr>
        <w:t>ser, participer à des sommets et à des conférences de paix, agir comme médiateur pour mettre</w:t>
      </w:r>
      <w:r>
        <w:t xml:space="preserve"> [151] </w:t>
      </w:r>
      <w:r w:rsidRPr="00594A23">
        <w:rPr>
          <w:lang w:eastAsia="fr-FR" w:bidi="fr-FR"/>
        </w:rPr>
        <w:t>un terme à des conflits (par exemple les efforts de Clinton pour r</w:t>
      </w:r>
      <w:r w:rsidRPr="00594A23">
        <w:rPr>
          <w:lang w:eastAsia="fr-FR" w:bidi="fr-FR"/>
        </w:rPr>
        <w:t>é</w:t>
      </w:r>
      <w:r w:rsidRPr="00594A23">
        <w:rPr>
          <w:lang w:eastAsia="fr-FR" w:bidi="fr-FR"/>
        </w:rPr>
        <w:t>tablir la paix en Irlande du Nord et au Proche-Orient).</w:t>
      </w:r>
    </w:p>
    <w:p w14:paraId="5927B314" w14:textId="77777777" w:rsidR="0039793A" w:rsidRPr="00594A23" w:rsidRDefault="0039793A" w:rsidP="0039793A">
      <w:pPr>
        <w:spacing w:before="120" w:after="120"/>
        <w:jc w:val="both"/>
      </w:pPr>
    </w:p>
    <w:p w14:paraId="630DE6FF" w14:textId="77777777" w:rsidR="0039793A" w:rsidRPr="00594A23" w:rsidRDefault="0039793A" w:rsidP="0039793A">
      <w:pPr>
        <w:pStyle w:val="b"/>
      </w:pPr>
      <w:r w:rsidRPr="00594A23">
        <w:rPr>
          <w:iCs/>
        </w:rPr>
        <w:t xml:space="preserve">Le chef du </w:t>
      </w:r>
      <w:r w:rsidRPr="004616A2">
        <w:rPr>
          <w:lang w:eastAsia="fr-FR" w:bidi="fr-FR"/>
        </w:rPr>
        <w:t>gouvernement</w:t>
      </w:r>
    </w:p>
    <w:p w14:paraId="2763B196" w14:textId="77777777" w:rsidR="0039793A" w:rsidRDefault="0039793A" w:rsidP="0039793A">
      <w:pPr>
        <w:spacing w:before="120" w:after="120"/>
        <w:jc w:val="both"/>
        <w:rPr>
          <w:lang w:eastAsia="fr-FR" w:bidi="fr-FR"/>
        </w:rPr>
      </w:pPr>
    </w:p>
    <w:p w14:paraId="36A07F04" w14:textId="77777777" w:rsidR="0039793A" w:rsidRPr="00594A23" w:rsidRDefault="0039793A" w:rsidP="0039793A">
      <w:pPr>
        <w:spacing w:before="120" w:after="120"/>
        <w:jc w:val="both"/>
      </w:pPr>
      <w:r w:rsidRPr="00594A23">
        <w:rPr>
          <w:lang w:eastAsia="fr-FR" w:bidi="fr-FR"/>
        </w:rPr>
        <w:t>La Constitution, enfin, attribue au président des pouvoirs de chef de gouvernement. Dans le domaine de la politique étrangère, ces po</w:t>
      </w:r>
      <w:r w:rsidRPr="00594A23">
        <w:rPr>
          <w:lang w:eastAsia="fr-FR" w:bidi="fr-FR"/>
        </w:rPr>
        <w:t>u</w:t>
      </w:r>
      <w:r w:rsidRPr="00594A23">
        <w:rPr>
          <w:lang w:eastAsia="fr-FR" w:bidi="fr-FR"/>
        </w:rPr>
        <w:t>voirs sont de trois ordres.</w:t>
      </w:r>
    </w:p>
    <w:p w14:paraId="463586C8" w14:textId="77777777" w:rsidR="0039793A" w:rsidRPr="00594A23" w:rsidRDefault="0039793A" w:rsidP="0039793A">
      <w:pPr>
        <w:spacing w:before="120" w:after="120"/>
        <w:jc w:val="both"/>
      </w:pPr>
      <w:r w:rsidRPr="00594A23">
        <w:rPr>
          <w:lang w:eastAsia="fr-FR" w:bidi="fr-FR"/>
        </w:rPr>
        <w:t>Premièrement, le président peut nommer ou révoquer les secréta</w:t>
      </w:r>
      <w:r w:rsidRPr="00594A23">
        <w:rPr>
          <w:lang w:eastAsia="fr-FR" w:bidi="fr-FR"/>
        </w:rPr>
        <w:t>i</w:t>
      </w:r>
      <w:r w:rsidRPr="00594A23">
        <w:rPr>
          <w:lang w:eastAsia="fr-FR" w:bidi="fr-FR"/>
        </w:rPr>
        <w:t>res (ministres) de son cabinet, les hauts fonctionnaires de son admini</w:t>
      </w:r>
      <w:r w:rsidRPr="00594A23">
        <w:rPr>
          <w:lang w:eastAsia="fr-FR" w:bidi="fr-FR"/>
        </w:rPr>
        <w:t>s</w:t>
      </w:r>
      <w:r w:rsidRPr="00594A23">
        <w:rPr>
          <w:lang w:eastAsia="fr-FR" w:bidi="fr-FR"/>
        </w:rPr>
        <w:t>tration de même que les ambassadeurs. Son pouvoir de nomination, au sein de la fonction publique, se limite toutefois aux postes politiques de d</w:t>
      </w:r>
      <w:r>
        <w:rPr>
          <w:lang w:eastAsia="fr-FR" w:bidi="fr-FR"/>
        </w:rPr>
        <w:t>irection (ce qui correspond à 2</w:t>
      </w:r>
      <w:r w:rsidRPr="00594A23">
        <w:rPr>
          <w:lang w:eastAsia="fr-FR" w:bidi="fr-FR"/>
        </w:rPr>
        <w:t>% de l’ensemble des employés du Départ</w:t>
      </w:r>
      <w:r w:rsidRPr="00594A23">
        <w:rPr>
          <w:lang w:eastAsia="fr-FR" w:bidi="fr-FR"/>
        </w:rPr>
        <w:t>e</w:t>
      </w:r>
      <w:r w:rsidRPr="00594A23">
        <w:rPr>
          <w:lang w:eastAsia="fr-FR" w:bidi="fr-FR"/>
        </w:rPr>
        <w:t>ment d’</w:t>
      </w:r>
      <w:r>
        <w:rPr>
          <w:lang w:eastAsia="fr-FR" w:bidi="fr-FR"/>
        </w:rPr>
        <w:t>État</w:t>
      </w:r>
      <w:r w:rsidRPr="00594A23">
        <w:rPr>
          <w:lang w:eastAsia="fr-FR" w:bidi="fr-FR"/>
        </w:rPr>
        <w:t xml:space="preserve"> ou de la Défense). Toutes ces nominations sont sujettes à l’approbation du Sénat à la majorité simple (à l’exception de la nomination du conseiller pour la Sécurité nationale). Hormis ce</w:t>
      </w:r>
      <w:r w:rsidRPr="00594A23">
        <w:rPr>
          <w:lang w:eastAsia="fr-FR" w:bidi="fr-FR"/>
        </w:rPr>
        <w:t>r</w:t>
      </w:r>
      <w:r w:rsidRPr="00594A23">
        <w:rPr>
          <w:lang w:eastAsia="fr-FR" w:bidi="fr-FR"/>
        </w:rPr>
        <w:t>tains cas litigieux</w:t>
      </w:r>
      <w:r>
        <w:rPr>
          <w:lang w:eastAsia="fr-FR" w:bidi="fr-FR"/>
        </w:rPr>
        <w:t> </w:t>
      </w:r>
      <w:r>
        <w:rPr>
          <w:rStyle w:val="Appelnotedebasdep"/>
          <w:lang w:eastAsia="fr-FR" w:bidi="fr-FR"/>
        </w:rPr>
        <w:footnoteReference w:id="351"/>
      </w:r>
      <w:r w:rsidRPr="00594A23">
        <w:rPr>
          <w:lang w:eastAsia="fr-FR" w:bidi="fr-FR"/>
        </w:rPr>
        <w:t>, la Chambre ha</w:t>
      </w:r>
      <w:r w:rsidRPr="00594A23">
        <w:rPr>
          <w:lang w:eastAsia="fr-FR" w:bidi="fr-FR"/>
        </w:rPr>
        <w:t>u</w:t>
      </w:r>
      <w:r w:rsidRPr="00594A23">
        <w:rPr>
          <w:lang w:eastAsia="fr-FR" w:bidi="fr-FR"/>
        </w:rPr>
        <w:t>te refuse rarement d’approuver les nominations. De fait, elle confirme 99,8 % des candidatures qui lui sont soumises.</w:t>
      </w:r>
    </w:p>
    <w:p w14:paraId="0E8087B1" w14:textId="77777777" w:rsidR="0039793A" w:rsidRPr="00594A23" w:rsidRDefault="0039793A" w:rsidP="0039793A">
      <w:pPr>
        <w:spacing w:before="120" w:after="120"/>
        <w:jc w:val="both"/>
      </w:pPr>
      <w:r w:rsidRPr="00594A23">
        <w:rPr>
          <w:lang w:eastAsia="fr-FR" w:bidi="fr-FR"/>
        </w:rPr>
        <w:t>Deuxièmement, le président a toute latitude pour déte</w:t>
      </w:r>
      <w:r w:rsidRPr="00594A23">
        <w:rPr>
          <w:lang w:eastAsia="fr-FR" w:bidi="fr-FR"/>
        </w:rPr>
        <w:t>r</w:t>
      </w:r>
      <w:r w:rsidRPr="00594A23">
        <w:rPr>
          <w:lang w:eastAsia="fr-FR" w:bidi="fr-FR"/>
        </w:rPr>
        <w:t>miner les orientations des politiques gouvernementales en matière de relations extérieures, de sécurité, de commerce ou d’immigration. Il peut ég</w:t>
      </w:r>
      <w:r w:rsidRPr="00594A23">
        <w:rPr>
          <w:lang w:eastAsia="fr-FR" w:bidi="fr-FR"/>
        </w:rPr>
        <w:t>a</w:t>
      </w:r>
      <w:r w:rsidRPr="00594A23">
        <w:rPr>
          <w:lang w:eastAsia="fr-FR" w:bidi="fr-FR"/>
        </w:rPr>
        <w:t>lement décider de l’embargo contre un pays (en 1962 contre Cuba sous Kennedy, en 1983 contre le Nicaragua sous Reagan, en 1991 contre l’Irak et en 1992 contre l’ex-Yougoslavie sous le président G.H. Bush). Il peut mettre fin aux rapports diplomatiques ou ordonner le gel des avoirs d’un gouvernement (comme cela a été le cas pour l’Iran sous Carter ou l’Afghanistan sous Clinton). Il peut par exemple décider d’un programme d’assistance économique, sous réserve que le Congrès en approuve le budget.</w:t>
      </w:r>
    </w:p>
    <w:p w14:paraId="73E24D64" w14:textId="77777777" w:rsidR="0039793A" w:rsidRPr="00594A23" w:rsidRDefault="0039793A" w:rsidP="0039793A">
      <w:pPr>
        <w:spacing w:before="120" w:after="120"/>
        <w:jc w:val="both"/>
      </w:pPr>
      <w:r w:rsidRPr="00594A23">
        <w:rPr>
          <w:lang w:eastAsia="fr-FR" w:bidi="fr-FR"/>
        </w:rPr>
        <w:t>Au nombre de ces multiples prérogatives présidentielles, on peut encore citer le droit de grâce du président pour des fonctionnaires condamnés pour concussi</w:t>
      </w:r>
      <w:r>
        <w:rPr>
          <w:lang w:eastAsia="fr-FR" w:bidi="fr-FR"/>
        </w:rPr>
        <w:t>on, corruption ou malversation.</w:t>
      </w:r>
    </w:p>
    <w:p w14:paraId="4BBFE918" w14:textId="77777777" w:rsidR="0039793A" w:rsidRPr="00594A23" w:rsidRDefault="0039793A" w:rsidP="0039793A">
      <w:pPr>
        <w:spacing w:before="120" w:after="120"/>
        <w:jc w:val="both"/>
      </w:pPr>
      <w:r>
        <w:t>[152]</w:t>
      </w:r>
    </w:p>
    <w:p w14:paraId="1C5E09A0" w14:textId="77777777" w:rsidR="0039793A" w:rsidRPr="00594A23" w:rsidRDefault="0039793A" w:rsidP="0039793A">
      <w:pPr>
        <w:spacing w:before="120" w:after="120"/>
        <w:jc w:val="both"/>
      </w:pPr>
      <w:r w:rsidRPr="00594A23">
        <w:rPr>
          <w:lang w:eastAsia="fr-FR" w:bidi="fr-FR"/>
        </w:rPr>
        <w:t xml:space="preserve">La présidence demeure </w:t>
      </w:r>
      <w:r w:rsidRPr="00594A23">
        <w:t>« </w:t>
      </w:r>
      <w:r w:rsidRPr="00594A23">
        <w:rPr>
          <w:lang w:eastAsia="fr-FR" w:bidi="fr-FR"/>
        </w:rPr>
        <w:t>impériale</w:t>
      </w:r>
      <w:r w:rsidRPr="00594A23">
        <w:t> »</w:t>
      </w:r>
      <w:r w:rsidRPr="00594A23">
        <w:rPr>
          <w:lang w:eastAsia="fr-FR" w:bidi="fr-FR"/>
        </w:rPr>
        <w:t xml:space="preserve"> dans la mesure où le Congrès n’a pas réussi à entamer l’autorité du président dans l’élaboration de la politique étrangère, et ce malgré les efforts de réaffirmation de ses droits constitutionnels. Nulle part cette influence présidentielle n’est-elle aussi évidente que dans le domaine de la guerre.</w:t>
      </w:r>
    </w:p>
    <w:p w14:paraId="5EA3F2AD" w14:textId="77777777" w:rsidR="0039793A" w:rsidRDefault="0039793A" w:rsidP="0039793A">
      <w:pPr>
        <w:spacing w:before="120" w:after="120"/>
        <w:jc w:val="both"/>
        <w:rPr>
          <w:lang w:eastAsia="fr-FR" w:bidi="fr-FR"/>
        </w:rPr>
      </w:pPr>
      <w:r>
        <w:rPr>
          <w:lang w:eastAsia="fr-FR" w:bidi="fr-FR"/>
        </w:rPr>
        <w:br w:type="page"/>
      </w:r>
    </w:p>
    <w:p w14:paraId="52A1AF7D" w14:textId="77777777" w:rsidR="0039793A" w:rsidRPr="00594A23" w:rsidRDefault="0039793A" w:rsidP="0039793A">
      <w:pPr>
        <w:pStyle w:val="a"/>
      </w:pPr>
      <w:r w:rsidRPr="00594A23">
        <w:t>La loi sur les pouvoirs de guerre</w:t>
      </w:r>
    </w:p>
    <w:p w14:paraId="1FD623AE" w14:textId="77777777" w:rsidR="0039793A" w:rsidRDefault="0039793A" w:rsidP="0039793A">
      <w:pPr>
        <w:spacing w:before="120" w:after="120"/>
        <w:jc w:val="both"/>
        <w:rPr>
          <w:lang w:eastAsia="fr-FR" w:bidi="fr-FR"/>
        </w:rPr>
      </w:pPr>
    </w:p>
    <w:p w14:paraId="752398CF" w14:textId="77777777" w:rsidR="0039793A" w:rsidRPr="00594A23" w:rsidRDefault="0039793A" w:rsidP="0039793A">
      <w:pPr>
        <w:spacing w:before="120" w:after="120"/>
        <w:jc w:val="both"/>
      </w:pPr>
      <w:r w:rsidRPr="00594A23">
        <w:rPr>
          <w:lang w:eastAsia="fr-FR" w:bidi="fr-FR"/>
        </w:rPr>
        <w:t>Le président Truman faisait observer que les capacités dont il di</w:t>
      </w:r>
      <w:r w:rsidRPr="00594A23">
        <w:rPr>
          <w:lang w:eastAsia="fr-FR" w:bidi="fr-FR"/>
        </w:rPr>
        <w:t>s</w:t>
      </w:r>
      <w:r w:rsidRPr="00594A23">
        <w:rPr>
          <w:lang w:eastAsia="fr-FR" w:bidi="fr-FR"/>
        </w:rPr>
        <w:t xml:space="preserve">posait sur le plan militaire </w:t>
      </w:r>
      <w:r w:rsidRPr="00594A23">
        <w:t>« </w:t>
      </w:r>
      <w:r w:rsidRPr="00594A23">
        <w:rPr>
          <w:lang w:eastAsia="fr-FR" w:bidi="fr-FR"/>
        </w:rPr>
        <w:t>auraient rendu e</w:t>
      </w:r>
      <w:r w:rsidRPr="00594A23">
        <w:rPr>
          <w:lang w:eastAsia="fr-FR" w:bidi="fr-FR"/>
        </w:rPr>
        <w:t>n</w:t>
      </w:r>
      <w:r w:rsidRPr="00594A23">
        <w:rPr>
          <w:lang w:eastAsia="fr-FR" w:bidi="fr-FR"/>
        </w:rPr>
        <w:t>vieux César, Gengis Khan ou Napoléon</w:t>
      </w:r>
      <w:r>
        <w:rPr>
          <w:lang w:eastAsia="fr-FR" w:bidi="fr-FR"/>
        </w:rPr>
        <w:t> </w:t>
      </w:r>
      <w:r>
        <w:rPr>
          <w:rStyle w:val="Appelnotedebasdep"/>
          <w:lang w:eastAsia="fr-FR" w:bidi="fr-FR"/>
        </w:rPr>
        <w:footnoteReference w:id="352"/>
      </w:r>
      <w:r w:rsidRPr="00594A23">
        <w:t> »</w:t>
      </w:r>
      <w:r w:rsidRPr="00594A23">
        <w:rPr>
          <w:lang w:eastAsia="fr-FR" w:bidi="fr-FR"/>
        </w:rPr>
        <w:t>. L’ambiguïté de la Constitution sur l’emploi de la force, en l’absence de d</w:t>
      </w:r>
      <w:r w:rsidRPr="00594A23">
        <w:rPr>
          <w:lang w:eastAsia="fr-FR" w:bidi="fr-FR"/>
        </w:rPr>
        <w:t>é</w:t>
      </w:r>
      <w:r w:rsidRPr="00594A23">
        <w:rPr>
          <w:lang w:eastAsia="fr-FR" w:bidi="fr-FR"/>
        </w:rPr>
        <w:t>claration de guerre, est à l’origine du rôle prééminent du président dans le domaine militaire. Certes, ce rôle s’est accru au cours de l’histoire, profitant de situations exceptionne</w:t>
      </w:r>
      <w:r w:rsidRPr="00594A23">
        <w:rPr>
          <w:lang w:eastAsia="fr-FR" w:bidi="fr-FR"/>
        </w:rPr>
        <w:t>l</w:t>
      </w:r>
      <w:r w:rsidRPr="00594A23">
        <w:rPr>
          <w:lang w:eastAsia="fr-FR" w:bidi="fr-FR"/>
        </w:rPr>
        <w:t>les (la guerre civile américaine, les deux guerres mondi</w:t>
      </w:r>
      <w:r w:rsidRPr="00594A23">
        <w:rPr>
          <w:lang w:eastAsia="fr-FR" w:bidi="fr-FR"/>
        </w:rPr>
        <w:t>a</w:t>
      </w:r>
      <w:r w:rsidRPr="00594A23">
        <w:rPr>
          <w:lang w:eastAsia="fr-FR" w:bidi="fr-FR"/>
        </w:rPr>
        <w:t>les ou encore la guerre froide). En temps de guerre, certains présidents comme Li</w:t>
      </w:r>
      <w:r w:rsidRPr="00594A23">
        <w:rPr>
          <w:lang w:eastAsia="fr-FR" w:bidi="fr-FR"/>
        </w:rPr>
        <w:t>n</w:t>
      </w:r>
      <w:r w:rsidRPr="00594A23">
        <w:rPr>
          <w:lang w:eastAsia="fr-FR" w:bidi="fr-FR"/>
        </w:rPr>
        <w:t xml:space="preserve">coln ou F.D. Roosevelt ont assumé les pleins pouvoirs, que l’on a pu qualifier de quasi </w:t>
      </w:r>
      <w:r w:rsidRPr="00594A23">
        <w:t>« </w:t>
      </w:r>
      <w:r w:rsidRPr="00594A23">
        <w:rPr>
          <w:lang w:eastAsia="fr-FR" w:bidi="fr-FR"/>
        </w:rPr>
        <w:t>dictatoriaux</w:t>
      </w:r>
      <w:r w:rsidRPr="00594A23">
        <w:t> »</w:t>
      </w:r>
      <w:r w:rsidRPr="00594A23">
        <w:rPr>
          <w:lang w:eastAsia="fr-FR" w:bidi="fr-FR"/>
        </w:rPr>
        <w:t xml:space="preserve"> - allant jusqu’à soumettre entièr</w:t>
      </w:r>
      <w:r w:rsidRPr="00594A23">
        <w:rPr>
          <w:lang w:eastAsia="fr-FR" w:bidi="fr-FR"/>
        </w:rPr>
        <w:t>e</w:t>
      </w:r>
      <w:r w:rsidRPr="00594A23">
        <w:rPr>
          <w:lang w:eastAsia="fr-FR" w:bidi="fr-FR"/>
        </w:rPr>
        <w:t xml:space="preserve">ment le fonctionnement de l’économie aux besoins de la guerre. L’ambiguïté persiste toujours, et même s’accroît, malgré l’adoption, en 1973, de la Loi sur les pouvoirs de guerre </w:t>
      </w:r>
      <w:r w:rsidRPr="00594A23">
        <w:t>(</w:t>
      </w:r>
      <w:r w:rsidRPr="00B86D72">
        <w:rPr>
          <w:i/>
          <w:iCs/>
        </w:rPr>
        <w:t>War Powers Act</w:t>
      </w:r>
      <w:r w:rsidRPr="00594A23">
        <w:t>).</w:t>
      </w:r>
      <w:r w:rsidRPr="00594A23">
        <w:rPr>
          <w:lang w:eastAsia="fr-FR" w:bidi="fr-FR"/>
        </w:rPr>
        <w:t xml:space="preserve"> Cette loi avait pour objectif de donner un cadre précis à l’engagement des forces armées américaines. Elle visait notamment à contraindre le pr</w:t>
      </w:r>
      <w:r w:rsidRPr="00594A23">
        <w:rPr>
          <w:lang w:eastAsia="fr-FR" w:bidi="fr-FR"/>
        </w:rPr>
        <w:t>é</w:t>
      </w:r>
      <w:r w:rsidRPr="00594A23">
        <w:rPr>
          <w:lang w:eastAsia="fr-FR" w:bidi="fr-FR"/>
        </w:rPr>
        <w:t>sident à recueillir l’aval du Congrès dès lors que les forces armées se tro</w:t>
      </w:r>
      <w:r w:rsidRPr="00594A23">
        <w:rPr>
          <w:lang w:eastAsia="fr-FR" w:bidi="fr-FR"/>
        </w:rPr>
        <w:t>u</w:t>
      </w:r>
      <w:r w:rsidRPr="00594A23">
        <w:rPr>
          <w:lang w:eastAsia="fr-FR" w:bidi="fr-FR"/>
        </w:rPr>
        <w:t>vaient en opérations à l’étranger.</w:t>
      </w:r>
    </w:p>
    <w:p w14:paraId="71AA2BCA" w14:textId="77777777" w:rsidR="0039793A" w:rsidRDefault="0039793A" w:rsidP="0039793A">
      <w:pPr>
        <w:spacing w:before="120" w:after="120"/>
        <w:jc w:val="both"/>
        <w:rPr>
          <w:lang w:eastAsia="fr-FR" w:bidi="fr-FR"/>
        </w:rPr>
      </w:pPr>
    </w:p>
    <w:p w14:paraId="285EE87C" w14:textId="77777777" w:rsidR="0039793A" w:rsidRPr="00B86D72" w:rsidRDefault="0039793A" w:rsidP="0039793A">
      <w:pPr>
        <w:pStyle w:val="b"/>
      </w:pPr>
      <w:r w:rsidRPr="00B86D72">
        <w:rPr>
          <w:lang w:eastAsia="fr-FR" w:bidi="fr-FR"/>
        </w:rPr>
        <w:t>Le mécanisme de la loi sur les pouvoirs de guerre</w:t>
      </w:r>
    </w:p>
    <w:p w14:paraId="5C099983" w14:textId="77777777" w:rsidR="0039793A" w:rsidRDefault="0039793A" w:rsidP="0039793A">
      <w:pPr>
        <w:spacing w:before="120" w:after="120"/>
        <w:jc w:val="both"/>
        <w:rPr>
          <w:lang w:eastAsia="fr-FR" w:bidi="fr-FR"/>
        </w:rPr>
      </w:pPr>
    </w:p>
    <w:p w14:paraId="775326D4" w14:textId="77777777" w:rsidR="0039793A" w:rsidRPr="00594A23" w:rsidRDefault="0039793A" w:rsidP="0039793A">
      <w:pPr>
        <w:spacing w:before="120" w:after="120"/>
        <w:jc w:val="both"/>
      </w:pPr>
      <w:r w:rsidRPr="00594A23">
        <w:rPr>
          <w:lang w:eastAsia="fr-FR" w:bidi="fr-FR"/>
        </w:rPr>
        <w:t>Le mécanisme prévu par la loi présente trois volets.</w:t>
      </w:r>
    </w:p>
    <w:p w14:paraId="4C0596F7" w14:textId="77777777" w:rsidR="0039793A" w:rsidRPr="00594A23" w:rsidRDefault="0039793A" w:rsidP="0039793A">
      <w:pPr>
        <w:spacing w:before="120" w:after="120"/>
        <w:jc w:val="both"/>
      </w:pPr>
      <w:r w:rsidRPr="00594A23">
        <w:rPr>
          <w:lang w:eastAsia="fr-FR" w:bidi="fr-FR"/>
        </w:rPr>
        <w:t>Tout d’abord, le président a le devoir de consulter le Congrès. Cela signifie d’un côté que, dès lors que cela est possible, il doit le consu</w:t>
      </w:r>
      <w:r w:rsidRPr="00594A23">
        <w:rPr>
          <w:lang w:eastAsia="fr-FR" w:bidi="fr-FR"/>
        </w:rPr>
        <w:t>l</w:t>
      </w:r>
      <w:r w:rsidRPr="00594A23">
        <w:rPr>
          <w:lang w:eastAsia="fr-FR" w:bidi="fr-FR"/>
        </w:rPr>
        <w:t>ter avant même d’engager les tro</w:t>
      </w:r>
      <w:r w:rsidRPr="00594A23">
        <w:rPr>
          <w:lang w:eastAsia="fr-FR" w:bidi="fr-FR"/>
        </w:rPr>
        <w:t>u</w:t>
      </w:r>
      <w:r w:rsidRPr="00594A23">
        <w:rPr>
          <w:lang w:eastAsia="fr-FR" w:bidi="fr-FR"/>
        </w:rPr>
        <w:t>pes. De l’autre, pendant que les troupes américaines sont en opérations, il doit continuer à interroger régulièrement le Congrès, et ce, jusqu’à ce qu’il ait mis un terme à cette i</w:t>
      </w:r>
      <w:r w:rsidRPr="00594A23">
        <w:rPr>
          <w:lang w:eastAsia="fr-FR" w:bidi="fr-FR"/>
        </w:rPr>
        <w:t>n</w:t>
      </w:r>
      <w:r w:rsidRPr="00594A23">
        <w:rPr>
          <w:lang w:eastAsia="fr-FR" w:bidi="fr-FR"/>
        </w:rPr>
        <w:t>tervention.</w:t>
      </w:r>
    </w:p>
    <w:p w14:paraId="0D7D56A1" w14:textId="77777777" w:rsidR="0039793A" w:rsidRPr="00594A23" w:rsidRDefault="0039793A" w:rsidP="0039793A">
      <w:pPr>
        <w:spacing w:before="120" w:after="120"/>
        <w:jc w:val="both"/>
      </w:pPr>
      <w:r w:rsidRPr="00594A23">
        <w:rPr>
          <w:lang w:eastAsia="fr-FR" w:bidi="fr-FR"/>
        </w:rPr>
        <w:t>Ensuite, en l’absence de déclaration de guerre, le prés</w:t>
      </w:r>
      <w:r w:rsidRPr="00594A23">
        <w:rPr>
          <w:lang w:eastAsia="fr-FR" w:bidi="fr-FR"/>
        </w:rPr>
        <w:t>i</w:t>
      </w:r>
      <w:r w:rsidRPr="00594A23">
        <w:rPr>
          <w:lang w:eastAsia="fr-FR" w:bidi="fr-FR"/>
        </w:rPr>
        <w:t>dent dispose de quarante-huit heures pour informer Chaque chambre</w:t>
      </w:r>
      <w:r>
        <w:rPr>
          <w:lang w:eastAsia="fr-FR" w:bidi="fr-FR"/>
        </w:rPr>
        <w:t xml:space="preserve"> </w:t>
      </w:r>
      <w:r>
        <w:t xml:space="preserve">[153] </w:t>
      </w:r>
      <w:r w:rsidRPr="00594A23">
        <w:rPr>
          <w:lang w:eastAsia="fr-FR" w:bidi="fr-FR"/>
        </w:rPr>
        <w:t>de l’engagement et des circonstances de l’engagement des troupes amér</w:t>
      </w:r>
      <w:r w:rsidRPr="00594A23">
        <w:rPr>
          <w:lang w:eastAsia="fr-FR" w:bidi="fr-FR"/>
        </w:rPr>
        <w:t>i</w:t>
      </w:r>
      <w:r w:rsidRPr="00594A23">
        <w:rPr>
          <w:lang w:eastAsia="fr-FR" w:bidi="fr-FR"/>
        </w:rPr>
        <w:t xml:space="preserve">caines à l’étranger </w:t>
      </w:r>
      <w:r w:rsidRPr="00594A23">
        <w:t>« </w:t>
      </w:r>
      <w:r w:rsidRPr="00594A23">
        <w:rPr>
          <w:lang w:eastAsia="fr-FR" w:bidi="fr-FR"/>
        </w:rPr>
        <w:t>en situation hostile ou potentiellement ho</w:t>
      </w:r>
      <w:r w:rsidRPr="00594A23">
        <w:rPr>
          <w:lang w:eastAsia="fr-FR" w:bidi="fr-FR"/>
        </w:rPr>
        <w:t>s</w:t>
      </w:r>
      <w:r w:rsidRPr="00594A23">
        <w:rPr>
          <w:lang w:eastAsia="fr-FR" w:bidi="fr-FR"/>
        </w:rPr>
        <w:t>tile</w:t>
      </w:r>
      <w:r w:rsidRPr="00594A23">
        <w:t> »</w:t>
      </w:r>
      <w:r w:rsidRPr="00594A23">
        <w:rPr>
          <w:lang w:eastAsia="fr-FR" w:bidi="fr-FR"/>
        </w:rPr>
        <w:t>.</w:t>
      </w:r>
    </w:p>
    <w:p w14:paraId="1C710A40" w14:textId="77777777" w:rsidR="0039793A" w:rsidRPr="00594A23" w:rsidRDefault="0039793A" w:rsidP="0039793A">
      <w:pPr>
        <w:spacing w:before="120" w:after="120"/>
        <w:jc w:val="both"/>
      </w:pPr>
      <w:r w:rsidRPr="00594A23">
        <w:rPr>
          <w:lang w:eastAsia="fr-FR" w:bidi="fr-FR"/>
        </w:rPr>
        <w:t>Enfin, la Loi dispose que, sauf intervention contraire du Congrès, l’engagement des troupes doit cesser et cessera automatiquement au terme de soixante jours. Il est cependant entendu que le président di</w:t>
      </w:r>
      <w:r w:rsidRPr="00594A23">
        <w:rPr>
          <w:lang w:eastAsia="fr-FR" w:bidi="fr-FR"/>
        </w:rPr>
        <w:t>s</w:t>
      </w:r>
      <w:r w:rsidRPr="00594A23">
        <w:rPr>
          <w:lang w:eastAsia="fr-FR" w:bidi="fr-FR"/>
        </w:rPr>
        <w:t>posera éventuellement de trente jours supplémentaires, si nécessaires, pour retirer les troupes. Ce total de 90 jours peut varier si le Congrès en décide autrement</w:t>
      </w:r>
      <w:r w:rsidRPr="00594A23">
        <w:t> :</w:t>
      </w:r>
      <w:r w:rsidRPr="00594A23">
        <w:rPr>
          <w:lang w:eastAsia="fr-FR" w:bidi="fr-FR"/>
        </w:rPr>
        <w:t xml:space="preserve"> d’un côté, le Congrès peut prolonger ce délai par le vote d’une résolution conjointe et donc l’engagement des forces armées, de l’autre, le Congrès peut interrompre le délai. En effet, à tout moment, en application des dispositions de la loi, le Congrès peut adopter, concurremment dans les deux Chambres et à la majorité si</w:t>
      </w:r>
      <w:r w:rsidRPr="00594A23">
        <w:rPr>
          <w:lang w:eastAsia="fr-FR" w:bidi="fr-FR"/>
        </w:rPr>
        <w:t>m</w:t>
      </w:r>
      <w:r w:rsidRPr="00594A23">
        <w:rPr>
          <w:lang w:eastAsia="fr-FR" w:bidi="fr-FR"/>
        </w:rPr>
        <w:t>ple, une résolution - qui ne saurait en principe être soumise au veto présidentiel - mettant fin à l’engagement des forces armées</w:t>
      </w:r>
      <w:r>
        <w:rPr>
          <w:lang w:eastAsia="fr-FR" w:bidi="fr-FR"/>
        </w:rPr>
        <w:t> </w:t>
      </w:r>
      <w:r>
        <w:rPr>
          <w:rStyle w:val="Appelnotedebasdep"/>
          <w:lang w:eastAsia="fr-FR" w:bidi="fr-FR"/>
        </w:rPr>
        <w:footnoteReference w:id="353"/>
      </w:r>
      <w:r w:rsidRPr="00594A23">
        <w:rPr>
          <w:lang w:eastAsia="fr-FR" w:bidi="fr-FR"/>
        </w:rPr>
        <w:t>.</w:t>
      </w:r>
    </w:p>
    <w:p w14:paraId="37A2EFB9" w14:textId="77777777" w:rsidR="0039793A" w:rsidRPr="00594A23" w:rsidRDefault="0039793A" w:rsidP="0039793A">
      <w:pPr>
        <w:spacing w:before="120" w:after="120"/>
        <w:jc w:val="both"/>
      </w:pPr>
      <w:r w:rsidRPr="00594A23">
        <w:rPr>
          <w:lang w:eastAsia="fr-FR" w:bidi="fr-FR"/>
        </w:rPr>
        <w:t>Aussi aurait-on pu penser qu’en théorie, le problème épineux de l’emploi de la force avait été réglé. Cependant, la portée et l’intensité normative de la loi sur les pouvoirs de guerre sont bien inférieures à ce que souhaitaient ses cré</w:t>
      </w:r>
      <w:r w:rsidRPr="00594A23">
        <w:rPr>
          <w:lang w:eastAsia="fr-FR" w:bidi="fr-FR"/>
        </w:rPr>
        <w:t>a</w:t>
      </w:r>
      <w:r w:rsidRPr="00594A23">
        <w:rPr>
          <w:lang w:eastAsia="fr-FR" w:bidi="fr-FR"/>
        </w:rPr>
        <w:t>teurs</w:t>
      </w:r>
      <w:r>
        <w:rPr>
          <w:lang w:eastAsia="fr-FR" w:bidi="fr-FR"/>
        </w:rPr>
        <w:t> </w:t>
      </w:r>
      <w:r>
        <w:rPr>
          <w:rStyle w:val="Appelnotedebasdep"/>
          <w:lang w:eastAsia="fr-FR" w:bidi="fr-FR"/>
        </w:rPr>
        <w:footnoteReference w:id="354"/>
      </w:r>
      <w:r w:rsidRPr="00594A23">
        <w:rPr>
          <w:lang w:eastAsia="fr-FR" w:bidi="fr-FR"/>
        </w:rPr>
        <w:t>.</w:t>
      </w:r>
    </w:p>
    <w:p w14:paraId="00D36813" w14:textId="77777777" w:rsidR="0039793A" w:rsidRDefault="0039793A" w:rsidP="0039793A">
      <w:pPr>
        <w:spacing w:before="120" w:after="120"/>
        <w:jc w:val="both"/>
        <w:rPr>
          <w:lang w:eastAsia="fr-FR" w:bidi="fr-FR"/>
        </w:rPr>
      </w:pPr>
      <w:r>
        <w:rPr>
          <w:lang w:eastAsia="fr-FR" w:bidi="fr-FR"/>
        </w:rPr>
        <w:br w:type="page"/>
      </w:r>
    </w:p>
    <w:p w14:paraId="494C488A" w14:textId="77777777" w:rsidR="0039793A" w:rsidRPr="00B86D72" w:rsidRDefault="0039793A" w:rsidP="0039793A">
      <w:pPr>
        <w:pStyle w:val="b"/>
      </w:pPr>
      <w:r w:rsidRPr="00B86D72">
        <w:rPr>
          <w:lang w:eastAsia="fr-FR" w:bidi="fr-FR"/>
        </w:rPr>
        <w:t>La faibl</w:t>
      </w:r>
      <w:r>
        <w:rPr>
          <w:lang w:eastAsia="fr-FR" w:bidi="fr-FR"/>
        </w:rPr>
        <w:t>e intensité normative de la loi</w:t>
      </w:r>
      <w:r>
        <w:rPr>
          <w:lang w:eastAsia="fr-FR" w:bidi="fr-FR"/>
        </w:rPr>
        <w:br/>
      </w:r>
      <w:r w:rsidRPr="00B86D72">
        <w:rPr>
          <w:lang w:eastAsia="fr-FR" w:bidi="fr-FR"/>
        </w:rPr>
        <w:t>sur les pouvoirs de guerre</w:t>
      </w:r>
    </w:p>
    <w:p w14:paraId="0E87B359" w14:textId="77777777" w:rsidR="0039793A" w:rsidRDefault="0039793A" w:rsidP="0039793A">
      <w:pPr>
        <w:spacing w:before="120" w:after="120"/>
        <w:jc w:val="both"/>
        <w:rPr>
          <w:lang w:eastAsia="fr-FR" w:bidi="fr-FR"/>
        </w:rPr>
      </w:pPr>
    </w:p>
    <w:p w14:paraId="06F81AC7" w14:textId="77777777" w:rsidR="0039793A" w:rsidRPr="00594A23" w:rsidRDefault="0039793A" w:rsidP="0039793A">
      <w:pPr>
        <w:spacing w:before="120" w:after="120"/>
        <w:jc w:val="both"/>
      </w:pPr>
      <w:r w:rsidRPr="00594A23">
        <w:rPr>
          <w:lang w:eastAsia="fr-FR" w:bidi="fr-FR"/>
        </w:rPr>
        <w:t>Cette moindre importance d’une loi, qui aurait pu jouer un rôle d</w:t>
      </w:r>
      <w:r w:rsidRPr="00594A23">
        <w:rPr>
          <w:lang w:eastAsia="fr-FR" w:bidi="fr-FR"/>
        </w:rPr>
        <w:t>é</w:t>
      </w:r>
      <w:r w:rsidRPr="00594A23">
        <w:rPr>
          <w:lang w:eastAsia="fr-FR" w:bidi="fr-FR"/>
        </w:rPr>
        <w:t>terminant dans la redéfinition de l’équilibre des pouvoirs, est le fait d’une double interprétation</w:t>
      </w:r>
      <w:r w:rsidRPr="00594A23">
        <w:t> :</w:t>
      </w:r>
      <w:r w:rsidRPr="00594A23">
        <w:rPr>
          <w:lang w:eastAsia="fr-FR" w:bidi="fr-FR"/>
        </w:rPr>
        <w:t xml:space="preserve"> celle des juges et celle des présidents.</w:t>
      </w:r>
    </w:p>
    <w:p w14:paraId="7727F5AB" w14:textId="77777777" w:rsidR="0039793A" w:rsidRPr="00594A23" w:rsidRDefault="0039793A" w:rsidP="0039793A">
      <w:pPr>
        <w:spacing w:before="120" w:after="120"/>
        <w:jc w:val="both"/>
      </w:pPr>
      <w:r w:rsidRPr="00594A23">
        <w:rPr>
          <w:lang w:eastAsia="fr-FR" w:bidi="fr-FR"/>
        </w:rPr>
        <w:t xml:space="preserve">D’une part, les juges ont progressivement réduit la portée de la Loi sur les pouvoirs de guerre. En s’abstenant au motif qu’il s’agissait de </w:t>
      </w:r>
      <w:r w:rsidRPr="00594A23">
        <w:t>« </w:t>
      </w:r>
      <w:r w:rsidRPr="00594A23">
        <w:rPr>
          <w:lang w:eastAsia="fr-FR" w:bidi="fr-FR"/>
        </w:rPr>
        <w:t>questions politiques</w:t>
      </w:r>
      <w:r w:rsidRPr="00594A23">
        <w:t> »</w:t>
      </w:r>
      <w:r w:rsidRPr="00594A23">
        <w:rPr>
          <w:lang w:eastAsia="fr-FR" w:bidi="fr-FR"/>
        </w:rPr>
        <w:t>, sur lesquelles les instances</w:t>
      </w:r>
      <w:r>
        <w:t xml:space="preserve"> [154] </w:t>
      </w:r>
      <w:r w:rsidRPr="00594A23">
        <w:rPr>
          <w:lang w:eastAsia="fr-FR" w:bidi="fr-FR"/>
        </w:rPr>
        <w:t>juridictio</w:t>
      </w:r>
      <w:r w:rsidRPr="00594A23">
        <w:rPr>
          <w:lang w:eastAsia="fr-FR" w:bidi="fr-FR"/>
        </w:rPr>
        <w:t>n</w:t>
      </w:r>
      <w:r w:rsidRPr="00594A23">
        <w:rPr>
          <w:lang w:eastAsia="fr-FR" w:bidi="fr-FR"/>
        </w:rPr>
        <w:t>nelles ne pouvaient se prononcer, les cours fédérales ont régulièr</w:t>
      </w:r>
      <w:r w:rsidRPr="00594A23">
        <w:rPr>
          <w:lang w:eastAsia="fr-FR" w:bidi="fr-FR"/>
        </w:rPr>
        <w:t>e</w:t>
      </w:r>
      <w:r w:rsidRPr="00594A23">
        <w:rPr>
          <w:lang w:eastAsia="fr-FR" w:bidi="fr-FR"/>
        </w:rPr>
        <w:t>ment donné raison à des interprétations présidentielles de la loi. En effet, si la doctrine de la que</w:t>
      </w:r>
      <w:r w:rsidRPr="00594A23">
        <w:rPr>
          <w:lang w:eastAsia="fr-FR" w:bidi="fr-FR"/>
        </w:rPr>
        <w:t>s</w:t>
      </w:r>
      <w:r w:rsidRPr="00594A23">
        <w:rPr>
          <w:lang w:eastAsia="fr-FR" w:bidi="fr-FR"/>
        </w:rPr>
        <w:t>tion politique interdit au juge de s’immiscer dans un doma</w:t>
      </w:r>
      <w:r w:rsidRPr="00594A23">
        <w:rPr>
          <w:lang w:eastAsia="fr-FR" w:bidi="fr-FR"/>
        </w:rPr>
        <w:t>i</w:t>
      </w:r>
      <w:r w:rsidRPr="00594A23">
        <w:rPr>
          <w:lang w:eastAsia="fr-FR" w:bidi="fr-FR"/>
        </w:rPr>
        <w:t xml:space="preserve">ne relevant essentiellement de l’opportunité, elle conduit à avaliser </w:t>
      </w:r>
      <w:r w:rsidRPr="00B86D72">
        <w:rPr>
          <w:i/>
          <w:iCs/>
        </w:rPr>
        <w:t>de facto</w:t>
      </w:r>
      <w:r w:rsidRPr="00594A23">
        <w:rPr>
          <w:lang w:eastAsia="fr-FR" w:bidi="fr-FR"/>
        </w:rPr>
        <w:t xml:space="preserve"> des décisions présidentielles non conformes à la Loi sur les pouvoirs de guerre. En déboutant les r</w:t>
      </w:r>
      <w:r w:rsidRPr="00594A23">
        <w:rPr>
          <w:lang w:eastAsia="fr-FR" w:bidi="fr-FR"/>
        </w:rPr>
        <w:t>e</w:t>
      </w:r>
      <w:r w:rsidRPr="00594A23">
        <w:rPr>
          <w:lang w:eastAsia="fr-FR" w:bidi="fr-FR"/>
        </w:rPr>
        <w:t>cours des législateurs en vue de contraindre le président à respecter la loi (par exemple en 1981 dans le cas de l’aide militaire apportée au Salvador, en 1990 avant la guerre du Golfe, ou en 1999 durant la guerre contre la Serbie</w:t>
      </w:r>
      <w:r>
        <w:rPr>
          <w:lang w:eastAsia="fr-FR" w:bidi="fr-FR"/>
        </w:rPr>
        <w:t> </w:t>
      </w:r>
      <w:r>
        <w:rPr>
          <w:rStyle w:val="Appelnotedebasdep"/>
          <w:lang w:eastAsia="fr-FR" w:bidi="fr-FR"/>
        </w:rPr>
        <w:footnoteReference w:id="355"/>
      </w:r>
      <w:r w:rsidRPr="00594A23">
        <w:rPr>
          <w:lang w:eastAsia="fr-FR" w:bidi="fr-FR"/>
        </w:rPr>
        <w:t>), les cours fédérales ont du coup renforcé les prérogatives du président. En 1983</w:t>
      </w:r>
      <w:r>
        <w:rPr>
          <w:lang w:eastAsia="fr-FR" w:bidi="fr-FR"/>
        </w:rPr>
        <w:t> </w:t>
      </w:r>
      <w:r>
        <w:rPr>
          <w:rStyle w:val="Appelnotedebasdep"/>
          <w:lang w:eastAsia="fr-FR" w:bidi="fr-FR"/>
        </w:rPr>
        <w:footnoteReference w:id="356"/>
      </w:r>
      <w:r w:rsidRPr="00594A23">
        <w:rPr>
          <w:lang w:eastAsia="fr-FR" w:bidi="fr-FR"/>
        </w:rPr>
        <w:t>, la Cour suprême a décl</w:t>
      </w:r>
      <w:r w:rsidRPr="00594A23">
        <w:rPr>
          <w:lang w:eastAsia="fr-FR" w:bidi="fr-FR"/>
        </w:rPr>
        <w:t>a</w:t>
      </w:r>
      <w:r w:rsidRPr="00594A23">
        <w:rPr>
          <w:lang w:eastAsia="fr-FR" w:bidi="fr-FR"/>
        </w:rPr>
        <w:t xml:space="preserve">ré le </w:t>
      </w:r>
      <w:r w:rsidRPr="00594A23">
        <w:t>« </w:t>
      </w:r>
      <w:r w:rsidRPr="00594A23">
        <w:rPr>
          <w:lang w:eastAsia="fr-FR" w:bidi="fr-FR"/>
        </w:rPr>
        <w:t>veto législatif</w:t>
      </w:r>
      <w:r w:rsidRPr="00594A23">
        <w:t> »</w:t>
      </w:r>
      <w:r w:rsidRPr="00594A23">
        <w:rPr>
          <w:lang w:eastAsia="fr-FR" w:bidi="fr-FR"/>
        </w:rPr>
        <w:t xml:space="preserve"> (c’est-à-dire toute disposition permettant l’exercice d’un contrôle du pouvoir législatif dans l’application de la loi tandis qu’en principe cela relève de la compétence du pouvoir ex</w:t>
      </w:r>
      <w:r w:rsidRPr="00594A23">
        <w:rPr>
          <w:lang w:eastAsia="fr-FR" w:bidi="fr-FR"/>
        </w:rPr>
        <w:t>é</w:t>
      </w:r>
      <w:r w:rsidRPr="00594A23">
        <w:rPr>
          <w:lang w:eastAsia="fr-FR" w:bidi="fr-FR"/>
        </w:rPr>
        <w:t>cutif) non constitutionnel, en se fondant sur le fait que sa mise en œ</w:t>
      </w:r>
      <w:r w:rsidRPr="00594A23">
        <w:rPr>
          <w:lang w:eastAsia="fr-FR" w:bidi="fr-FR"/>
        </w:rPr>
        <w:t>u</w:t>
      </w:r>
      <w:r w:rsidRPr="00594A23">
        <w:rPr>
          <w:lang w:eastAsia="fr-FR" w:bidi="fr-FR"/>
        </w:rPr>
        <w:t>vre violait la séparation des pouvoirs. Bien qu’il s’agisse en l’espèce d’un cas bien différent, relatif à l’immigration, il demeure que, selon toute vraisemblance, cette invalidation vient s’appliquer aux te</w:t>
      </w:r>
      <w:r w:rsidRPr="00594A23">
        <w:rPr>
          <w:lang w:eastAsia="fr-FR" w:bidi="fr-FR"/>
        </w:rPr>
        <w:t>r</w:t>
      </w:r>
      <w:r w:rsidRPr="00594A23">
        <w:rPr>
          <w:lang w:eastAsia="fr-FR" w:bidi="fr-FR"/>
        </w:rPr>
        <w:t>mes de la Loi sur les pouvoirs de guerre. Cette décision i</w:t>
      </w:r>
      <w:r w:rsidRPr="00594A23">
        <w:rPr>
          <w:lang w:eastAsia="fr-FR" w:bidi="fr-FR"/>
        </w:rPr>
        <w:t>m</w:t>
      </w:r>
      <w:r w:rsidRPr="00594A23">
        <w:rPr>
          <w:lang w:eastAsia="fr-FR" w:bidi="fr-FR"/>
        </w:rPr>
        <w:t>plique donc que l’adoption par le Congrès d’une résolution concurrente aux fins de mettre un terme à l’engagement des forces armées avant l’échéance du délai de 90 jours n’est pas conforme à la Constitution. De fait, cette décision est venue affaiblir l’autorité formelle que s’était donnée le Congrès en 1973 pour mettre un terme à un engagement m</w:t>
      </w:r>
      <w:r w:rsidRPr="00594A23">
        <w:rPr>
          <w:lang w:eastAsia="fr-FR" w:bidi="fr-FR"/>
        </w:rPr>
        <w:t>i</w:t>
      </w:r>
      <w:r w:rsidRPr="00594A23">
        <w:rPr>
          <w:lang w:eastAsia="fr-FR" w:bidi="fr-FR"/>
        </w:rPr>
        <w:t>litaire même s’il faut toutefois en relativiser la portée</w:t>
      </w:r>
      <w:r>
        <w:rPr>
          <w:lang w:eastAsia="fr-FR" w:bidi="fr-FR"/>
        </w:rPr>
        <w:t> </w:t>
      </w:r>
      <w:r>
        <w:rPr>
          <w:rStyle w:val="Appelnotedebasdep"/>
          <w:lang w:eastAsia="fr-FR" w:bidi="fr-FR"/>
        </w:rPr>
        <w:footnoteReference w:id="357"/>
      </w:r>
      <w:r w:rsidRPr="00594A23">
        <w:rPr>
          <w:lang w:eastAsia="fr-FR" w:bidi="fr-FR"/>
        </w:rPr>
        <w:t>.</w:t>
      </w:r>
    </w:p>
    <w:p w14:paraId="530895DC" w14:textId="77777777" w:rsidR="0039793A" w:rsidRDefault="0039793A" w:rsidP="0039793A">
      <w:pPr>
        <w:spacing w:before="120" w:after="120"/>
        <w:jc w:val="both"/>
        <w:rPr>
          <w:lang w:eastAsia="fr-FR" w:bidi="fr-FR"/>
        </w:rPr>
      </w:pPr>
      <w:r w:rsidRPr="00594A23">
        <w:rPr>
          <w:lang w:eastAsia="fr-FR" w:bidi="fr-FR"/>
        </w:rPr>
        <w:t>D’autre part, la lecture qu’ont pu faire les présidents su</w:t>
      </w:r>
      <w:r w:rsidRPr="00594A23">
        <w:rPr>
          <w:lang w:eastAsia="fr-FR" w:bidi="fr-FR"/>
        </w:rPr>
        <w:t>c</w:t>
      </w:r>
      <w:r w:rsidRPr="00594A23">
        <w:rPr>
          <w:lang w:eastAsia="fr-FR" w:bidi="fr-FR"/>
        </w:rPr>
        <w:t xml:space="preserve">cessifs des dispositions de la Loi n’est pas allée - on s’en doutera </w:t>
      </w:r>
      <w:r>
        <w:rPr>
          <w:lang w:eastAsia="fr-FR" w:bidi="fr-FR"/>
        </w:rPr>
        <w:t>-</w:t>
      </w:r>
      <w:r w:rsidRPr="00594A23">
        <w:rPr>
          <w:lang w:eastAsia="fr-FR" w:bidi="fr-FR"/>
        </w:rPr>
        <w:t xml:space="preserve"> dans le sens d’une préservation des pouvoirs du Congrès. En effet, les présidents ont fréquemment refusé d’appliquer les termes de la Loi de 1973. Ainsi, ils ont pu, à maintes reprises, refuser de déclarer que les soldats se r</w:t>
      </w:r>
      <w:r w:rsidRPr="00594A23">
        <w:rPr>
          <w:lang w:eastAsia="fr-FR" w:bidi="fr-FR"/>
        </w:rPr>
        <w:t>e</w:t>
      </w:r>
      <w:r w:rsidRPr="00594A23">
        <w:rPr>
          <w:lang w:eastAsia="fr-FR" w:bidi="fr-FR"/>
        </w:rPr>
        <w:t>trouvaient en situation potentiellement hostile, soustrayant du coup certaines opérations, comme les missions de paix en Bosnie et au Kosovo, du</w:t>
      </w:r>
      <w:r>
        <w:t xml:space="preserve"> [155] </w:t>
      </w:r>
      <w:r w:rsidRPr="00594A23">
        <w:rPr>
          <w:lang w:eastAsia="fr-FR" w:bidi="fr-FR"/>
        </w:rPr>
        <w:t>domaine de la Loi sur les pouvoirs de guerre. De surcroît, préte</w:t>
      </w:r>
      <w:r w:rsidRPr="00594A23">
        <w:rPr>
          <w:lang w:eastAsia="fr-FR" w:bidi="fr-FR"/>
        </w:rPr>
        <w:t>x</w:t>
      </w:r>
      <w:r w:rsidRPr="00594A23">
        <w:rPr>
          <w:lang w:eastAsia="fr-FR" w:bidi="fr-FR"/>
        </w:rPr>
        <w:t>tant leurs privilèges de commandant en chef, plusieurs présidents ont largement nié toute valeur juridique (ou politique) à l’obligation de mettre fin à une intervention militaire</w:t>
      </w:r>
      <w:r>
        <w:rPr>
          <w:lang w:eastAsia="fr-FR" w:bidi="fr-FR"/>
        </w:rPr>
        <w:t> </w:t>
      </w:r>
      <w:r>
        <w:rPr>
          <w:rStyle w:val="Appelnotedebasdep"/>
          <w:lang w:eastAsia="fr-FR" w:bidi="fr-FR"/>
        </w:rPr>
        <w:footnoteReference w:id="358"/>
      </w:r>
      <w:r>
        <w:rPr>
          <w:lang w:eastAsia="fr-FR" w:bidi="fr-FR"/>
        </w:rPr>
        <w:t>.</w:t>
      </w:r>
      <w:r w:rsidRPr="00594A23">
        <w:rPr>
          <w:lang w:eastAsia="fr-FR" w:bidi="fr-FR"/>
        </w:rPr>
        <w:t xml:space="preserve"> Certains sont allés encore plus loin. C’est ainsi que certaines interventions, menées en méconnaissance des pr</w:t>
      </w:r>
      <w:r w:rsidRPr="00594A23">
        <w:rPr>
          <w:lang w:eastAsia="fr-FR" w:bidi="fr-FR"/>
        </w:rPr>
        <w:t>é</w:t>
      </w:r>
      <w:r w:rsidRPr="00594A23">
        <w:rPr>
          <w:lang w:eastAsia="fr-FR" w:bidi="fr-FR"/>
        </w:rPr>
        <w:t>rogatives du Congrès, ont pu être décidées contre l’avis des législateurs. Tel est le cas en 1999</w:t>
      </w:r>
      <w:r w:rsidRPr="00594A23">
        <w:t> :</w:t>
      </w:r>
      <w:r w:rsidRPr="00594A23">
        <w:rPr>
          <w:lang w:eastAsia="fr-FR" w:bidi="fr-FR"/>
        </w:rPr>
        <w:t xml:space="preserve"> le président Cli</w:t>
      </w:r>
      <w:r w:rsidRPr="00594A23">
        <w:rPr>
          <w:lang w:eastAsia="fr-FR" w:bidi="fr-FR"/>
        </w:rPr>
        <w:t>n</w:t>
      </w:r>
      <w:r w:rsidRPr="00594A23">
        <w:rPr>
          <w:lang w:eastAsia="fr-FR" w:bidi="fr-FR"/>
        </w:rPr>
        <w:t>ton a</w:t>
      </w:r>
      <w:r w:rsidRPr="00594A23">
        <w:rPr>
          <w:lang w:eastAsia="fr-FR" w:bidi="fr-FR"/>
        </w:rPr>
        <w:t>t</w:t>
      </w:r>
      <w:r w:rsidRPr="00594A23">
        <w:rPr>
          <w:lang w:eastAsia="fr-FR" w:bidi="fr-FR"/>
        </w:rPr>
        <w:t xml:space="preserve">taque la Serbie contre la volonté </w:t>
      </w:r>
      <w:r w:rsidRPr="00AD4292">
        <w:rPr>
          <w:i/>
          <w:iCs/>
        </w:rPr>
        <w:t>politique</w:t>
      </w:r>
      <w:r w:rsidRPr="00594A23">
        <w:rPr>
          <w:lang w:eastAsia="fr-FR" w:bidi="fr-FR"/>
        </w:rPr>
        <w:t xml:space="preserve"> du Congrès</w:t>
      </w:r>
      <w:r>
        <w:rPr>
          <w:lang w:eastAsia="fr-FR" w:bidi="fr-FR"/>
        </w:rPr>
        <w:t> </w:t>
      </w:r>
      <w:r>
        <w:rPr>
          <w:rStyle w:val="Appelnotedebasdep"/>
          <w:lang w:eastAsia="fr-FR" w:bidi="fr-FR"/>
        </w:rPr>
        <w:footnoteReference w:id="359"/>
      </w:r>
      <w:r w:rsidRPr="00594A23">
        <w:rPr>
          <w:lang w:eastAsia="fr-FR" w:bidi="fr-FR"/>
        </w:rPr>
        <w:t>. Pour la pr</w:t>
      </w:r>
      <w:r w:rsidRPr="00594A23">
        <w:rPr>
          <w:lang w:eastAsia="fr-FR" w:bidi="fr-FR"/>
        </w:rPr>
        <w:t>e</w:t>
      </w:r>
      <w:r w:rsidRPr="00594A23">
        <w:rPr>
          <w:lang w:eastAsia="fr-FR" w:bidi="fr-FR"/>
        </w:rPr>
        <w:t>mière fois de l’Histoire, alors que la Chambre des représentants lui refuse l’autorisation de déclencher la guerre, le président passe o</w:t>
      </w:r>
      <w:r w:rsidRPr="00594A23">
        <w:rPr>
          <w:lang w:eastAsia="fr-FR" w:bidi="fr-FR"/>
        </w:rPr>
        <w:t>u</w:t>
      </w:r>
      <w:r w:rsidRPr="00594A23">
        <w:rPr>
          <w:lang w:eastAsia="fr-FR" w:bidi="fr-FR"/>
        </w:rPr>
        <w:t>tre l’objection implicite — mais réelle</w:t>
      </w:r>
      <w:r>
        <w:rPr>
          <w:lang w:eastAsia="fr-FR" w:bidi="fr-FR"/>
        </w:rPr>
        <w:t> </w:t>
      </w:r>
      <w:r>
        <w:rPr>
          <w:rStyle w:val="Appelnotedebasdep"/>
          <w:lang w:eastAsia="fr-FR" w:bidi="fr-FR"/>
        </w:rPr>
        <w:footnoteReference w:id="360"/>
      </w:r>
      <w:r w:rsidRPr="00594A23">
        <w:rPr>
          <w:lang w:eastAsia="fr-FR" w:bidi="fr-FR"/>
        </w:rPr>
        <w:t xml:space="preserve"> — des législateurs et eng</w:t>
      </w:r>
      <w:r w:rsidRPr="00594A23">
        <w:rPr>
          <w:lang w:eastAsia="fr-FR" w:bidi="fr-FR"/>
        </w:rPr>
        <w:t>a</w:t>
      </w:r>
      <w:r w:rsidRPr="00594A23">
        <w:rPr>
          <w:lang w:eastAsia="fr-FR" w:bidi="fr-FR"/>
        </w:rPr>
        <w:t>ge les troupes. La tendance était déjà bien amorcée avec les bomba</w:t>
      </w:r>
      <w:r w:rsidRPr="00594A23">
        <w:rPr>
          <w:lang w:eastAsia="fr-FR" w:bidi="fr-FR"/>
        </w:rPr>
        <w:t>r</w:t>
      </w:r>
      <w:r w:rsidRPr="00594A23">
        <w:rPr>
          <w:lang w:eastAsia="fr-FR" w:bidi="fr-FR"/>
        </w:rPr>
        <w:t xml:space="preserve">dements de l’Irak en 1993, puis les engagements en Somalie (1993), à Haïti (1994) et en Bosnie (1995). Prétextant le devoir de respecter la Charte de </w:t>
      </w:r>
      <w:r w:rsidRPr="00594A23">
        <w:t xml:space="preserve">l’ONU </w:t>
      </w:r>
      <w:r w:rsidRPr="00594A23">
        <w:rPr>
          <w:lang w:eastAsia="fr-FR" w:bidi="fr-FR"/>
        </w:rPr>
        <w:t xml:space="preserve">de même que celle de </w:t>
      </w:r>
      <w:r w:rsidRPr="00594A23">
        <w:t xml:space="preserve">l’OTAN, </w:t>
      </w:r>
      <w:r w:rsidRPr="00594A23">
        <w:rPr>
          <w:lang w:eastAsia="fr-FR" w:bidi="fr-FR"/>
        </w:rPr>
        <w:t>Clinton a subordo</w:t>
      </w:r>
      <w:r w:rsidRPr="00594A23">
        <w:rPr>
          <w:lang w:eastAsia="fr-FR" w:bidi="fr-FR"/>
        </w:rPr>
        <w:t>n</w:t>
      </w:r>
      <w:r w:rsidRPr="00594A23">
        <w:rPr>
          <w:lang w:eastAsia="fr-FR" w:bidi="fr-FR"/>
        </w:rPr>
        <w:t>né l’assentiment du Congrès aux traités intern</w:t>
      </w:r>
      <w:r w:rsidRPr="00594A23">
        <w:rPr>
          <w:lang w:eastAsia="fr-FR" w:bidi="fr-FR"/>
        </w:rPr>
        <w:t>a</w:t>
      </w:r>
      <w:r w:rsidRPr="00594A23">
        <w:rPr>
          <w:lang w:eastAsia="fr-FR" w:bidi="fr-FR"/>
        </w:rPr>
        <w:t>tionaux. Quoique le Congrès ait rallié chaque fois le chef de la Maison-Blanche, le pouvoir unilatéral de ce dernier d’engager les forces armées n’en a été que re</w:t>
      </w:r>
      <w:r w:rsidRPr="00594A23">
        <w:rPr>
          <w:lang w:eastAsia="fr-FR" w:bidi="fr-FR"/>
        </w:rPr>
        <w:t>n</w:t>
      </w:r>
      <w:r w:rsidRPr="00594A23">
        <w:rPr>
          <w:lang w:eastAsia="fr-FR" w:bidi="fr-FR"/>
        </w:rPr>
        <w:t>forcé — et dans le cas de la guerre contre la Serbie, en dépit de l’opposition déclarée du Congrès. À certains égards, il se</w:t>
      </w:r>
      <w:r w:rsidRPr="00594A23">
        <w:rPr>
          <w:lang w:eastAsia="fr-FR" w:bidi="fr-FR"/>
        </w:rPr>
        <w:t>m</w:t>
      </w:r>
      <w:r w:rsidRPr="00594A23">
        <w:rPr>
          <w:lang w:eastAsia="fr-FR" w:bidi="fr-FR"/>
        </w:rPr>
        <w:t>ble parfois que ce sont le contexte international et la pos</w:t>
      </w:r>
      <w:r w:rsidRPr="00594A23">
        <w:rPr>
          <w:lang w:eastAsia="fr-FR" w:bidi="fr-FR"/>
        </w:rPr>
        <w:t>i</w:t>
      </w:r>
      <w:r w:rsidRPr="00594A23">
        <w:rPr>
          <w:lang w:eastAsia="fr-FR" w:bidi="fr-FR"/>
        </w:rPr>
        <w:t>tion de certains pays qui influencent la décision préside</w:t>
      </w:r>
      <w:r w:rsidRPr="00594A23">
        <w:rPr>
          <w:lang w:eastAsia="fr-FR" w:bidi="fr-FR"/>
        </w:rPr>
        <w:t>n</w:t>
      </w:r>
      <w:r w:rsidRPr="00594A23">
        <w:rPr>
          <w:lang w:eastAsia="fr-FR" w:bidi="fr-FR"/>
        </w:rPr>
        <w:t>tielle d’entrer en guerre, davantage que le Congrès, relégué au second rang.</w:t>
      </w:r>
    </w:p>
    <w:p w14:paraId="0B69F2C4" w14:textId="77777777" w:rsidR="0039793A" w:rsidRPr="00594A23" w:rsidRDefault="0039793A" w:rsidP="0039793A">
      <w:pPr>
        <w:spacing w:before="120" w:after="120"/>
        <w:jc w:val="both"/>
      </w:pPr>
    </w:p>
    <w:p w14:paraId="7A92F482" w14:textId="77777777" w:rsidR="0039793A" w:rsidRPr="009111CB" w:rsidRDefault="0039793A" w:rsidP="0039793A">
      <w:pPr>
        <w:pStyle w:val="b"/>
      </w:pPr>
      <w:r w:rsidRPr="009111CB">
        <w:t xml:space="preserve">L’assise </w:t>
      </w:r>
      <w:r>
        <w:t>particulière du président</w:t>
      </w:r>
      <w:r>
        <w:br/>
      </w:r>
      <w:r w:rsidRPr="009111CB">
        <w:t>en matière d'engagement des troupes</w:t>
      </w:r>
    </w:p>
    <w:p w14:paraId="72BB1EFA" w14:textId="77777777" w:rsidR="0039793A" w:rsidRDefault="0039793A" w:rsidP="0039793A">
      <w:pPr>
        <w:spacing w:before="120" w:after="120"/>
        <w:jc w:val="both"/>
        <w:rPr>
          <w:rStyle w:val="Corpsdutexte285ptItalique"/>
          <w:i w:val="0"/>
        </w:rPr>
      </w:pPr>
    </w:p>
    <w:p w14:paraId="0FA0517D" w14:textId="77777777" w:rsidR="0039793A" w:rsidRPr="00594A23" w:rsidRDefault="0039793A" w:rsidP="0039793A">
      <w:pPr>
        <w:spacing w:before="120" w:after="120"/>
        <w:jc w:val="both"/>
      </w:pPr>
      <w:r w:rsidRPr="00594A23">
        <w:rPr>
          <w:lang w:eastAsia="fr-FR" w:bidi="fr-FR"/>
        </w:rPr>
        <w:t>Les restrictions apportées au pouvoir présidentiel par le Lég</w:t>
      </w:r>
      <w:r w:rsidRPr="00594A23">
        <w:rPr>
          <w:lang w:eastAsia="fr-FR" w:bidi="fr-FR"/>
        </w:rPr>
        <w:t>i</w:t>
      </w:r>
      <w:r w:rsidRPr="00594A23">
        <w:rPr>
          <w:lang w:eastAsia="fr-FR" w:bidi="fr-FR"/>
        </w:rPr>
        <w:t>slatif ne sont pas explicites et visibles, elles sont internalisées</w:t>
      </w:r>
      <w:r>
        <w:t xml:space="preserve"> [156] </w:t>
      </w:r>
      <w:r w:rsidRPr="00594A23">
        <w:rPr>
          <w:lang w:eastAsia="fr-FR" w:bidi="fr-FR"/>
        </w:rPr>
        <w:t>dans la politique présidentielle</w:t>
      </w:r>
      <w:r w:rsidRPr="00594A23">
        <w:t> :</w:t>
      </w:r>
      <w:r w:rsidRPr="00594A23">
        <w:rPr>
          <w:lang w:eastAsia="fr-FR" w:bidi="fr-FR"/>
        </w:rPr>
        <w:t xml:space="preserve"> le président ne va pas risquer un affrontement avec le Congrès, il va en intégrer les réactions, les faire siennes et f</w:t>
      </w:r>
      <w:r w:rsidRPr="00594A23">
        <w:rPr>
          <w:lang w:eastAsia="fr-FR" w:bidi="fr-FR"/>
        </w:rPr>
        <w:t>i</w:t>
      </w:r>
      <w:r w:rsidRPr="00594A23">
        <w:rPr>
          <w:lang w:eastAsia="fr-FR" w:bidi="fr-FR"/>
        </w:rPr>
        <w:t xml:space="preserve">nalement se déterminer sur cette base. Ce n’était sûrement pas là l’intention des Pères fondateurs, lesquels avaient </w:t>
      </w:r>
      <w:r>
        <w:rPr>
          <w:lang w:eastAsia="fr-FR" w:bidi="fr-FR"/>
        </w:rPr>
        <w:t>-</w:t>
      </w:r>
      <w:r w:rsidRPr="00594A23">
        <w:rPr>
          <w:lang w:eastAsia="fr-FR" w:bidi="fr-FR"/>
        </w:rPr>
        <w:t xml:space="preserve"> et ce n’est pas un hasard - consacré au Congrès le premier titre de la Constit</w:t>
      </w:r>
      <w:r w:rsidRPr="00594A23">
        <w:rPr>
          <w:lang w:eastAsia="fr-FR" w:bidi="fr-FR"/>
        </w:rPr>
        <w:t>u</w:t>
      </w:r>
      <w:r w:rsidRPr="00594A23">
        <w:rPr>
          <w:lang w:eastAsia="fr-FR" w:bidi="fr-FR"/>
        </w:rPr>
        <w:t>tion. Louis Fischer va encore plus loin. Selon lui, parce qu’elle donne quasiment carte blanche au président pendant les soixante premiers jours d’une intervention, la Loi sur les pouvoirs de guerre n’a pas re</w:t>
      </w:r>
      <w:r w:rsidRPr="00594A23">
        <w:rPr>
          <w:lang w:eastAsia="fr-FR" w:bidi="fr-FR"/>
        </w:rPr>
        <w:t>s</w:t>
      </w:r>
      <w:r w:rsidRPr="00594A23">
        <w:rPr>
          <w:lang w:eastAsia="fr-FR" w:bidi="fr-FR"/>
        </w:rPr>
        <w:t>treint les pouvoirs du président</w:t>
      </w:r>
      <w:r w:rsidRPr="00594A23">
        <w:t> :</w:t>
      </w:r>
      <w:r w:rsidRPr="00594A23">
        <w:rPr>
          <w:lang w:eastAsia="fr-FR" w:bidi="fr-FR"/>
        </w:rPr>
        <w:t xml:space="preserve"> elle les aurait au contraire élargis</w:t>
      </w:r>
      <w:r>
        <w:rPr>
          <w:lang w:eastAsia="fr-FR" w:bidi="fr-FR"/>
        </w:rPr>
        <w:t> </w:t>
      </w:r>
      <w:r>
        <w:rPr>
          <w:rStyle w:val="Appelnotedebasdep"/>
          <w:lang w:eastAsia="fr-FR" w:bidi="fr-FR"/>
        </w:rPr>
        <w:footnoteReference w:id="361"/>
      </w:r>
      <w:r w:rsidRPr="00594A23">
        <w:t>.</w:t>
      </w:r>
      <w:r w:rsidRPr="00594A23">
        <w:rPr>
          <w:lang w:eastAsia="fr-FR" w:bidi="fr-FR"/>
        </w:rPr>
        <w:t xml:space="preserve"> Sans a</w:t>
      </w:r>
      <w:r w:rsidRPr="00594A23">
        <w:rPr>
          <w:lang w:eastAsia="fr-FR" w:bidi="fr-FR"/>
        </w:rPr>
        <w:t>l</w:t>
      </w:r>
      <w:r w:rsidRPr="00594A23">
        <w:rPr>
          <w:lang w:eastAsia="fr-FR" w:bidi="fr-FR"/>
        </w:rPr>
        <w:t>ler jusque- là, il reste que peu de changements réels en ont découlé sinon que le président dispose toujours d’une grande latitude pour ut</w:t>
      </w:r>
      <w:r w:rsidRPr="00594A23">
        <w:rPr>
          <w:lang w:eastAsia="fr-FR" w:bidi="fr-FR"/>
        </w:rPr>
        <w:t>i</w:t>
      </w:r>
      <w:r w:rsidRPr="00594A23">
        <w:rPr>
          <w:lang w:eastAsia="fr-FR" w:bidi="fr-FR"/>
        </w:rPr>
        <w:t>liser la force armée</w:t>
      </w:r>
      <w:r w:rsidRPr="00594A23">
        <w:t> :</w:t>
      </w:r>
      <w:r w:rsidRPr="00594A23">
        <w:rPr>
          <w:lang w:eastAsia="fr-FR" w:bidi="fr-FR"/>
        </w:rPr>
        <w:t xml:space="preserve"> trois facteurs ont de toute év</w:t>
      </w:r>
      <w:r w:rsidRPr="00594A23">
        <w:rPr>
          <w:lang w:eastAsia="fr-FR" w:bidi="fr-FR"/>
        </w:rPr>
        <w:t>i</w:t>
      </w:r>
      <w:r w:rsidRPr="00594A23">
        <w:rPr>
          <w:lang w:eastAsia="fr-FR" w:bidi="fr-FR"/>
        </w:rPr>
        <w:t>dence contribué à asseoir l’autorité du président face à l’engagement des forces armées.</w:t>
      </w:r>
    </w:p>
    <w:p w14:paraId="1462D4D8" w14:textId="77777777" w:rsidR="0039793A" w:rsidRPr="00594A23" w:rsidRDefault="0039793A" w:rsidP="0039793A">
      <w:pPr>
        <w:spacing w:before="120" w:after="120"/>
        <w:jc w:val="both"/>
      </w:pPr>
      <w:r w:rsidRPr="00594A23">
        <w:rPr>
          <w:lang w:eastAsia="fr-FR" w:bidi="fr-FR"/>
        </w:rPr>
        <w:t>Tout d’abord, le phénomène bien documenté du ralliement polit</w:t>
      </w:r>
      <w:r w:rsidRPr="00594A23">
        <w:rPr>
          <w:lang w:eastAsia="fr-FR" w:bidi="fr-FR"/>
        </w:rPr>
        <w:t>i</w:t>
      </w:r>
      <w:r w:rsidRPr="00594A23">
        <w:rPr>
          <w:lang w:eastAsia="fr-FR" w:bidi="fr-FR"/>
        </w:rPr>
        <w:t>que de l’opinion publique favorise le président, lorsque celui-ci décide d’une intervention</w:t>
      </w:r>
      <w:r>
        <w:rPr>
          <w:lang w:eastAsia="fr-FR" w:bidi="fr-FR"/>
        </w:rPr>
        <w:t> </w:t>
      </w:r>
      <w:r>
        <w:rPr>
          <w:rStyle w:val="Appelnotedebasdep"/>
          <w:lang w:eastAsia="fr-FR" w:bidi="fr-FR"/>
        </w:rPr>
        <w:footnoteReference w:id="362"/>
      </w:r>
      <w:r w:rsidRPr="00594A23">
        <w:rPr>
          <w:lang w:eastAsia="fr-FR" w:bidi="fr-FR"/>
        </w:rPr>
        <w:t>. Cet appui est généralement élevé et durable, mais peut sérieusement s’estomper si l’engagement mène à une i</w:t>
      </w:r>
      <w:r w:rsidRPr="00594A23">
        <w:rPr>
          <w:lang w:eastAsia="fr-FR" w:bidi="fr-FR"/>
        </w:rPr>
        <w:t>m</w:t>
      </w:r>
      <w:r w:rsidRPr="00594A23">
        <w:rPr>
          <w:lang w:eastAsia="fr-FR" w:bidi="fr-FR"/>
        </w:rPr>
        <w:t>passe ou échoue (comme dans le cas du Vietnam, de l’Iran, du Liban ou de la Somalie). Certains auteurs vont jusqu’à percevoir l’utilité p</w:t>
      </w:r>
      <w:r w:rsidRPr="00594A23">
        <w:rPr>
          <w:lang w:eastAsia="fr-FR" w:bidi="fr-FR"/>
        </w:rPr>
        <w:t>o</w:t>
      </w:r>
      <w:r w:rsidRPr="00594A23">
        <w:rPr>
          <w:lang w:eastAsia="fr-FR" w:bidi="fr-FR"/>
        </w:rPr>
        <w:t>litique d’une guerre présidentielle</w:t>
      </w:r>
      <w:r w:rsidRPr="00594A23">
        <w:t> :</w:t>
      </w:r>
      <w:r w:rsidRPr="00594A23">
        <w:rPr>
          <w:lang w:eastAsia="fr-FR" w:bidi="fr-FR"/>
        </w:rPr>
        <w:t xml:space="preserve"> celle-ci élimine les doutes sur le caractère jugé parfois faible d’un président et transforme celui-ci en chef déterminé et respecté (G.H. Bush durant la guerre du Golfe, Cli</w:t>
      </w:r>
      <w:r w:rsidRPr="00594A23">
        <w:rPr>
          <w:lang w:eastAsia="fr-FR" w:bidi="fr-FR"/>
        </w:rPr>
        <w:t>n</w:t>
      </w:r>
      <w:r w:rsidRPr="00594A23">
        <w:rPr>
          <w:lang w:eastAsia="fr-FR" w:bidi="fr-FR"/>
        </w:rPr>
        <w:t>ton après 1995 en Bo</w:t>
      </w:r>
      <w:r w:rsidRPr="00594A23">
        <w:rPr>
          <w:lang w:eastAsia="fr-FR" w:bidi="fr-FR"/>
        </w:rPr>
        <w:t>s</w:t>
      </w:r>
      <w:r w:rsidRPr="00594A23">
        <w:rPr>
          <w:lang w:eastAsia="fr-FR" w:bidi="fr-FR"/>
        </w:rPr>
        <w:t>nie, G.W. Bush depuis le 11 septembre 2001).</w:t>
      </w:r>
    </w:p>
    <w:p w14:paraId="2E8C314B" w14:textId="77777777" w:rsidR="0039793A" w:rsidRDefault="0039793A" w:rsidP="0039793A">
      <w:pPr>
        <w:spacing w:before="120" w:after="120"/>
        <w:jc w:val="both"/>
        <w:rPr>
          <w:lang w:eastAsia="fr-FR" w:bidi="fr-FR"/>
        </w:rPr>
      </w:pPr>
      <w:r w:rsidRPr="00594A23">
        <w:rPr>
          <w:lang w:eastAsia="fr-FR" w:bidi="fr-FR"/>
        </w:rPr>
        <w:t>Ensuite, les traités et accords de sécurité internationaux confèrent une certaine légitimité aux décisions présidentie</w:t>
      </w:r>
      <w:r w:rsidRPr="00594A23">
        <w:rPr>
          <w:lang w:eastAsia="fr-FR" w:bidi="fr-FR"/>
        </w:rPr>
        <w:t>l</w:t>
      </w:r>
      <w:r w:rsidRPr="00594A23">
        <w:rPr>
          <w:lang w:eastAsia="fr-FR" w:bidi="fr-FR"/>
        </w:rPr>
        <w:t>les, que le Congrès, non sans peine (ou sans coût politique), est tenu de respecter</w:t>
      </w:r>
      <w:r>
        <w:rPr>
          <w:lang w:eastAsia="fr-FR" w:bidi="fr-FR"/>
        </w:rPr>
        <w:t> </w:t>
      </w:r>
      <w:r>
        <w:rPr>
          <w:rStyle w:val="Appelnotedebasdep"/>
          <w:lang w:eastAsia="fr-FR" w:bidi="fr-FR"/>
        </w:rPr>
        <w:footnoteReference w:id="363"/>
      </w:r>
      <w:r w:rsidRPr="00594A23">
        <w:rPr>
          <w:lang w:eastAsia="fr-FR" w:bidi="fr-FR"/>
        </w:rPr>
        <w:t xml:space="preserve">. En effet, si le Conseil de sécurité des Nations unies, ou le Conseil des ministres de </w:t>
      </w:r>
      <w:r w:rsidRPr="00594A23">
        <w:t xml:space="preserve">l’OTAN, </w:t>
      </w:r>
      <w:r w:rsidRPr="00594A23">
        <w:rPr>
          <w:lang w:eastAsia="fr-FR" w:bidi="fr-FR"/>
        </w:rPr>
        <w:t>déc</w:t>
      </w:r>
      <w:r w:rsidRPr="00594A23">
        <w:rPr>
          <w:lang w:eastAsia="fr-FR" w:bidi="fr-FR"/>
        </w:rPr>
        <w:t>i</w:t>
      </w:r>
      <w:r w:rsidRPr="00594A23">
        <w:rPr>
          <w:lang w:eastAsia="fr-FR" w:bidi="fr-FR"/>
        </w:rPr>
        <w:t>de d’une intervention de sécurité collective, il est peu pr</w:t>
      </w:r>
      <w:r w:rsidRPr="00594A23">
        <w:rPr>
          <w:lang w:eastAsia="fr-FR" w:bidi="fr-FR"/>
        </w:rPr>
        <w:t>o</w:t>
      </w:r>
      <w:r>
        <w:rPr>
          <w:lang w:eastAsia="fr-FR" w:bidi="fr-FR"/>
        </w:rPr>
        <w:t>bable que le Congrès sou</w:t>
      </w:r>
      <w:r w:rsidRPr="00594A23">
        <w:rPr>
          <w:lang w:eastAsia="fr-FR" w:bidi="fr-FR"/>
        </w:rPr>
        <w:t>haite</w:t>
      </w:r>
      <w:r>
        <w:t xml:space="preserve"> [157]</w:t>
      </w:r>
      <w:r w:rsidRPr="00594A23">
        <w:rPr>
          <w:lang w:eastAsia="fr-FR" w:bidi="fr-FR"/>
        </w:rPr>
        <w:t xml:space="preserve"> aller à l’encontre de la décision de faire usage de la force. Par contre, le cadre est sens</w:t>
      </w:r>
      <w:r w:rsidRPr="00594A23">
        <w:rPr>
          <w:lang w:eastAsia="fr-FR" w:bidi="fr-FR"/>
        </w:rPr>
        <w:t>i</w:t>
      </w:r>
      <w:r w:rsidRPr="00594A23">
        <w:rPr>
          <w:lang w:eastAsia="fr-FR" w:bidi="fr-FR"/>
        </w:rPr>
        <w:t>blement différent en matière de missions de paix et la légitimité prés</w:t>
      </w:r>
      <w:r w:rsidRPr="00594A23">
        <w:rPr>
          <w:lang w:eastAsia="fr-FR" w:bidi="fr-FR"/>
        </w:rPr>
        <w:t>i</w:t>
      </w:r>
      <w:r w:rsidRPr="00594A23">
        <w:rPr>
          <w:lang w:eastAsia="fr-FR" w:bidi="fr-FR"/>
        </w:rPr>
        <w:t>dentielle, sans doute moindre</w:t>
      </w:r>
      <w:r w:rsidRPr="00594A23">
        <w:t> :</w:t>
      </w:r>
      <w:r w:rsidRPr="00594A23">
        <w:rPr>
          <w:lang w:eastAsia="fr-FR" w:bidi="fr-FR"/>
        </w:rPr>
        <w:t xml:space="preserve"> la participation américaine aux mi</w:t>
      </w:r>
      <w:r w:rsidRPr="00594A23">
        <w:rPr>
          <w:lang w:eastAsia="fr-FR" w:bidi="fr-FR"/>
        </w:rPr>
        <w:t>s</w:t>
      </w:r>
      <w:r w:rsidRPr="00594A23">
        <w:rPr>
          <w:lang w:eastAsia="fr-FR" w:bidi="fr-FR"/>
        </w:rPr>
        <w:t>sions de paix constitue un objet de litige con</w:t>
      </w:r>
      <w:r w:rsidRPr="00594A23">
        <w:rPr>
          <w:lang w:eastAsia="fr-FR" w:bidi="fr-FR"/>
        </w:rPr>
        <w:t>s</w:t>
      </w:r>
      <w:r w:rsidRPr="00594A23">
        <w:rPr>
          <w:lang w:eastAsia="fr-FR" w:bidi="fr-FR"/>
        </w:rPr>
        <w:t>tant entre l’Exécutif et le Législatif, ce dernier émettant des réserves et imposant des contraintes dont les présidents ont plus ou moins tenu compte</w:t>
      </w:r>
      <w:r>
        <w:rPr>
          <w:lang w:eastAsia="fr-FR" w:bidi="fr-FR"/>
        </w:rPr>
        <w:t> </w:t>
      </w:r>
      <w:r>
        <w:rPr>
          <w:rStyle w:val="Appelnotedebasdep"/>
          <w:lang w:eastAsia="fr-FR" w:bidi="fr-FR"/>
        </w:rPr>
        <w:footnoteReference w:id="364"/>
      </w:r>
      <w:r>
        <w:rPr>
          <w:lang w:eastAsia="fr-FR" w:bidi="fr-FR"/>
        </w:rPr>
        <w:t>.</w:t>
      </w:r>
    </w:p>
    <w:p w14:paraId="534BE762" w14:textId="77777777" w:rsidR="0039793A" w:rsidRPr="00594A23" w:rsidRDefault="0039793A" w:rsidP="0039793A">
      <w:pPr>
        <w:spacing w:before="120" w:after="120"/>
        <w:jc w:val="both"/>
      </w:pPr>
      <w:r w:rsidRPr="00594A23">
        <w:rPr>
          <w:lang w:eastAsia="fr-FR" w:bidi="fr-FR"/>
        </w:rPr>
        <w:t>Enfin, les pouvoirs présidentiels se sont également éla</w:t>
      </w:r>
      <w:r w:rsidRPr="00594A23">
        <w:rPr>
          <w:lang w:eastAsia="fr-FR" w:bidi="fr-FR"/>
        </w:rPr>
        <w:t>r</w:t>
      </w:r>
      <w:r w:rsidRPr="00594A23">
        <w:rPr>
          <w:lang w:eastAsia="fr-FR" w:bidi="fr-FR"/>
        </w:rPr>
        <w:t>gis dans des domaines connexes aux pré</w:t>
      </w:r>
      <w:r>
        <w:rPr>
          <w:lang w:eastAsia="fr-FR" w:bidi="fr-FR"/>
        </w:rPr>
        <w:t>rogatives du commandant en chef </w:t>
      </w:r>
      <w:r>
        <w:rPr>
          <w:rStyle w:val="Appelnotedebasdep"/>
          <w:lang w:eastAsia="fr-FR" w:bidi="fr-FR"/>
        </w:rPr>
        <w:footnoteReference w:id="365"/>
      </w:r>
      <w:r>
        <w:rPr>
          <w:lang w:eastAsia="fr-FR" w:bidi="fr-FR"/>
        </w:rPr>
        <w:t> </w:t>
      </w:r>
      <w:r w:rsidRPr="00594A23">
        <w:t>:</w:t>
      </w:r>
      <w:r w:rsidRPr="00594A23">
        <w:rPr>
          <w:lang w:eastAsia="fr-FR" w:bidi="fr-FR"/>
        </w:rPr>
        <w:t xml:space="preserve"> n</w:t>
      </w:r>
      <w:r w:rsidRPr="00594A23">
        <w:rPr>
          <w:lang w:eastAsia="fr-FR" w:bidi="fr-FR"/>
        </w:rPr>
        <w:t>é</w:t>
      </w:r>
      <w:r w:rsidRPr="00594A23">
        <w:rPr>
          <w:lang w:eastAsia="fr-FR" w:bidi="fr-FR"/>
        </w:rPr>
        <w:t>gociations de paix, programmes d’aide et d’entraînement militaire, exportation et déploiement de systèmes d’armements, initiatives de d</w:t>
      </w:r>
      <w:r w:rsidRPr="00594A23">
        <w:rPr>
          <w:lang w:eastAsia="fr-FR" w:bidi="fr-FR"/>
        </w:rPr>
        <w:t>é</w:t>
      </w:r>
      <w:r w:rsidRPr="00594A23">
        <w:rPr>
          <w:lang w:eastAsia="fr-FR" w:bidi="fr-FR"/>
        </w:rPr>
        <w:t>sarmement. Ces champs d’intervention accroissent davantage l’autorité accordée au président sur les questions militaires. Les mes</w:t>
      </w:r>
      <w:r w:rsidRPr="00594A23">
        <w:rPr>
          <w:lang w:eastAsia="fr-FR" w:bidi="fr-FR"/>
        </w:rPr>
        <w:t>u</w:t>
      </w:r>
      <w:r w:rsidRPr="00594A23">
        <w:rPr>
          <w:lang w:eastAsia="fr-FR" w:bidi="fr-FR"/>
        </w:rPr>
        <w:t>res prises en vue de prévenir les conflits (en déployant des troupes en mode préventif, comme au Liban en 1982 ou en Macédoine en 1991), les engagements dans les opérations de maintien et d’imposition de la paix (comme dans les Balkans depuis 1996) afin d’empêcher la repr</w:t>
      </w:r>
      <w:r w:rsidRPr="00594A23">
        <w:rPr>
          <w:lang w:eastAsia="fr-FR" w:bidi="fr-FR"/>
        </w:rPr>
        <w:t>i</w:t>
      </w:r>
      <w:r w:rsidRPr="00594A23">
        <w:rPr>
          <w:lang w:eastAsia="fr-FR" w:bidi="fr-FR"/>
        </w:rPr>
        <w:t>se de la violence, et les programmes d’assistance militaire (à la Ru</w:t>
      </w:r>
      <w:r w:rsidRPr="00594A23">
        <w:rPr>
          <w:lang w:eastAsia="fr-FR" w:bidi="fr-FR"/>
        </w:rPr>
        <w:t>s</w:t>
      </w:r>
      <w:r w:rsidRPr="00594A23">
        <w:rPr>
          <w:lang w:eastAsia="fr-FR" w:bidi="fr-FR"/>
        </w:rPr>
        <w:t>sie, à la Colombie ou à Israël), sont autant de moyens par le</w:t>
      </w:r>
      <w:r w:rsidRPr="00594A23">
        <w:rPr>
          <w:lang w:eastAsia="fr-FR" w:bidi="fr-FR"/>
        </w:rPr>
        <w:t>s</w:t>
      </w:r>
      <w:r w:rsidRPr="00594A23">
        <w:rPr>
          <w:lang w:eastAsia="fr-FR" w:bidi="fr-FR"/>
        </w:rPr>
        <w:t>quels les présidents promeuvent leur rôle constitutionnel.</w:t>
      </w:r>
    </w:p>
    <w:p w14:paraId="21F86BFA" w14:textId="77777777" w:rsidR="0039793A" w:rsidRDefault="0039793A" w:rsidP="0039793A">
      <w:pPr>
        <w:spacing w:before="120" w:after="120"/>
        <w:jc w:val="both"/>
        <w:rPr>
          <w:lang w:eastAsia="fr-FR" w:bidi="fr-FR"/>
        </w:rPr>
      </w:pPr>
    </w:p>
    <w:p w14:paraId="52531356" w14:textId="77777777" w:rsidR="0039793A" w:rsidRPr="00594A23" w:rsidRDefault="0039793A" w:rsidP="0039793A">
      <w:pPr>
        <w:pStyle w:val="a"/>
      </w:pPr>
      <w:r w:rsidRPr="00594A23">
        <w:t>Les pouvoirs informels du président</w:t>
      </w:r>
    </w:p>
    <w:p w14:paraId="5819A8F3" w14:textId="77777777" w:rsidR="0039793A" w:rsidRDefault="0039793A" w:rsidP="0039793A">
      <w:pPr>
        <w:spacing w:before="120" w:after="120"/>
        <w:jc w:val="both"/>
        <w:rPr>
          <w:lang w:eastAsia="fr-FR" w:bidi="fr-FR"/>
        </w:rPr>
      </w:pPr>
    </w:p>
    <w:p w14:paraId="6B7362E4" w14:textId="77777777" w:rsidR="0039793A" w:rsidRPr="00594A23" w:rsidRDefault="0039793A" w:rsidP="0039793A">
      <w:pPr>
        <w:spacing w:before="120" w:after="120"/>
        <w:jc w:val="both"/>
      </w:pPr>
      <w:r w:rsidRPr="00594A23">
        <w:rPr>
          <w:lang w:eastAsia="fr-FR" w:bidi="fr-FR"/>
        </w:rPr>
        <w:t>Ce sont la plupart du temps les pouvoirs informels, d</w:t>
      </w:r>
      <w:r w:rsidRPr="00594A23">
        <w:rPr>
          <w:lang w:eastAsia="fr-FR" w:bidi="fr-FR"/>
        </w:rPr>
        <w:t>a</w:t>
      </w:r>
      <w:r w:rsidRPr="00594A23">
        <w:rPr>
          <w:lang w:eastAsia="fr-FR" w:bidi="fr-FR"/>
        </w:rPr>
        <w:t>vantage que les pouvoirs explicites, qui déterminent l’influence et la performance d’un président. Au-delà de l’autorité constitutionnelle de ce dernier, ce sont des fa</w:t>
      </w:r>
      <w:r w:rsidRPr="00594A23">
        <w:rPr>
          <w:lang w:eastAsia="fr-FR" w:bidi="fr-FR"/>
        </w:rPr>
        <w:t>c</w:t>
      </w:r>
      <w:r w:rsidRPr="00594A23">
        <w:rPr>
          <w:lang w:eastAsia="fr-FR" w:bidi="fr-FR"/>
        </w:rPr>
        <w:t>teurs politiques, ses qualités personnelles de leader et de gestionnaire de son administration qui vont déterminer la nature de son rôle et la qualité de sa politique étrangère.</w:t>
      </w:r>
    </w:p>
    <w:p w14:paraId="44A5C541" w14:textId="77777777" w:rsidR="0039793A" w:rsidRDefault="0039793A" w:rsidP="0039793A">
      <w:pPr>
        <w:spacing w:before="120" w:after="120"/>
        <w:jc w:val="both"/>
        <w:rPr>
          <w:lang w:eastAsia="fr-FR" w:bidi="fr-FR"/>
        </w:rPr>
      </w:pPr>
    </w:p>
    <w:p w14:paraId="268D3558" w14:textId="77777777" w:rsidR="0039793A" w:rsidRPr="00A1411C" w:rsidRDefault="0039793A" w:rsidP="0039793A">
      <w:pPr>
        <w:pStyle w:val="b"/>
      </w:pPr>
      <w:r w:rsidRPr="00A1411C">
        <w:rPr>
          <w:lang w:eastAsia="fr-FR" w:bidi="fr-FR"/>
        </w:rPr>
        <w:t>L’origine des pouvoirs informels</w:t>
      </w:r>
    </w:p>
    <w:p w14:paraId="12442592" w14:textId="77777777" w:rsidR="0039793A" w:rsidRDefault="0039793A" w:rsidP="0039793A">
      <w:pPr>
        <w:spacing w:before="120" w:after="120"/>
        <w:jc w:val="both"/>
        <w:rPr>
          <w:lang w:eastAsia="fr-FR" w:bidi="fr-FR"/>
        </w:rPr>
      </w:pPr>
    </w:p>
    <w:p w14:paraId="5B621925" w14:textId="77777777" w:rsidR="0039793A" w:rsidRPr="00594A23" w:rsidRDefault="0039793A" w:rsidP="0039793A">
      <w:pPr>
        <w:spacing w:before="120" w:after="120"/>
        <w:jc w:val="both"/>
      </w:pPr>
      <w:r w:rsidRPr="00594A23">
        <w:rPr>
          <w:lang w:eastAsia="fr-FR" w:bidi="fr-FR"/>
        </w:rPr>
        <w:t>Trois raisons majeures ont contribué à renforcer le rôle et l’influence du président en politique extérieure</w:t>
      </w:r>
      <w:r w:rsidRPr="00594A23">
        <w:t> :</w:t>
      </w:r>
      <w:r w:rsidRPr="00594A23">
        <w:rPr>
          <w:lang w:eastAsia="fr-FR" w:bidi="fr-FR"/>
        </w:rPr>
        <w:t xml:space="preserve"> le contexte</w:t>
      </w:r>
      <w:r>
        <w:t xml:space="preserve"> [158] </w:t>
      </w:r>
      <w:r w:rsidRPr="00594A23">
        <w:rPr>
          <w:lang w:eastAsia="fr-FR" w:bidi="fr-FR"/>
        </w:rPr>
        <w:t>i</w:t>
      </w:r>
      <w:r w:rsidRPr="00594A23">
        <w:rPr>
          <w:lang w:eastAsia="fr-FR" w:bidi="fr-FR"/>
        </w:rPr>
        <w:t>n</w:t>
      </w:r>
      <w:r w:rsidRPr="00594A23">
        <w:rPr>
          <w:lang w:eastAsia="fr-FR" w:bidi="fr-FR"/>
        </w:rPr>
        <w:t>ternational, les attentes de l’opinion publique et le phén</w:t>
      </w:r>
      <w:r w:rsidRPr="00594A23">
        <w:rPr>
          <w:lang w:eastAsia="fr-FR" w:bidi="fr-FR"/>
        </w:rPr>
        <w:t>o</w:t>
      </w:r>
      <w:r w:rsidRPr="00594A23">
        <w:rPr>
          <w:lang w:eastAsia="fr-FR" w:bidi="fr-FR"/>
        </w:rPr>
        <w:t xml:space="preserve">mène des </w:t>
      </w:r>
      <w:r w:rsidRPr="00594A23">
        <w:t>« </w:t>
      </w:r>
      <w:r w:rsidRPr="00594A23">
        <w:rPr>
          <w:lang w:eastAsia="fr-FR" w:bidi="fr-FR"/>
        </w:rPr>
        <w:t>deux présidences</w:t>
      </w:r>
      <w:r>
        <w:rPr>
          <w:lang w:eastAsia="fr-FR" w:bidi="fr-FR"/>
        </w:rPr>
        <w:t> </w:t>
      </w:r>
      <w:r>
        <w:rPr>
          <w:rStyle w:val="Appelnotedebasdep"/>
          <w:lang w:eastAsia="fr-FR" w:bidi="fr-FR"/>
        </w:rPr>
        <w:footnoteReference w:id="366"/>
      </w:r>
      <w:r w:rsidRPr="00594A23">
        <w:t> »</w:t>
      </w:r>
      <w:r w:rsidRPr="00594A23">
        <w:rPr>
          <w:lang w:eastAsia="fr-FR" w:bidi="fr-FR"/>
        </w:rPr>
        <w:t>.</w:t>
      </w:r>
    </w:p>
    <w:p w14:paraId="5D6B88BD" w14:textId="77777777" w:rsidR="0039793A" w:rsidRPr="00594A23" w:rsidRDefault="0039793A" w:rsidP="0039793A">
      <w:pPr>
        <w:spacing w:before="120" w:after="120"/>
        <w:jc w:val="both"/>
      </w:pPr>
      <w:r w:rsidRPr="00594A23">
        <w:rPr>
          <w:lang w:eastAsia="fr-FR" w:bidi="fr-FR"/>
        </w:rPr>
        <w:t>L’une des causes de la prédominance du président est, sans nul doute, le statut de superpuissance durant la guerre froide, voire a</w:t>
      </w:r>
      <w:r w:rsidRPr="00594A23">
        <w:rPr>
          <w:lang w:eastAsia="fr-FR" w:bidi="fr-FR"/>
        </w:rPr>
        <w:t>u</w:t>
      </w:r>
      <w:r w:rsidRPr="00594A23">
        <w:rPr>
          <w:lang w:eastAsia="fr-FR" w:bidi="fr-FR"/>
        </w:rPr>
        <w:t>jourd’hui d’hyper-puissance</w:t>
      </w:r>
      <w:r>
        <w:rPr>
          <w:lang w:eastAsia="fr-FR" w:bidi="fr-FR"/>
        </w:rPr>
        <w:t> </w:t>
      </w:r>
      <w:r>
        <w:rPr>
          <w:rStyle w:val="Appelnotedebasdep"/>
          <w:lang w:eastAsia="fr-FR" w:bidi="fr-FR"/>
        </w:rPr>
        <w:footnoteReference w:id="367"/>
      </w:r>
      <w:r w:rsidRPr="00594A23">
        <w:rPr>
          <w:lang w:eastAsia="fr-FR" w:bidi="fr-FR"/>
        </w:rPr>
        <w:t>, des États-Unis. Sur les plans dipl</w:t>
      </w:r>
      <w:r w:rsidRPr="00594A23">
        <w:rPr>
          <w:lang w:eastAsia="fr-FR" w:bidi="fr-FR"/>
        </w:rPr>
        <w:t>o</w:t>
      </w:r>
      <w:r w:rsidRPr="00594A23">
        <w:rPr>
          <w:lang w:eastAsia="fr-FR" w:bidi="fr-FR"/>
        </w:rPr>
        <w:t>matique, économique et stratég</w:t>
      </w:r>
      <w:r w:rsidRPr="00594A23">
        <w:rPr>
          <w:lang w:eastAsia="fr-FR" w:bidi="fr-FR"/>
        </w:rPr>
        <w:t>i</w:t>
      </w:r>
      <w:r w:rsidRPr="00594A23">
        <w:rPr>
          <w:lang w:eastAsia="fr-FR" w:bidi="fr-FR"/>
        </w:rPr>
        <w:t>que, ce statut a exigé une multitude de décisions et d’actions présidentielles qui ont été déterminantes pour les orient</w:t>
      </w:r>
      <w:r w:rsidRPr="00594A23">
        <w:rPr>
          <w:lang w:eastAsia="fr-FR" w:bidi="fr-FR"/>
        </w:rPr>
        <w:t>a</w:t>
      </w:r>
      <w:r w:rsidRPr="00594A23">
        <w:rPr>
          <w:lang w:eastAsia="fr-FR" w:bidi="fr-FR"/>
        </w:rPr>
        <w:t>tions et les engagements des États-Unis dans le monde</w:t>
      </w:r>
      <w:r w:rsidRPr="00594A23">
        <w:t> :</w:t>
      </w:r>
      <w:r w:rsidRPr="00594A23">
        <w:rPr>
          <w:lang w:eastAsia="fr-FR" w:bidi="fr-FR"/>
        </w:rPr>
        <w:t xml:space="preserve"> du choix des armes nucléaires, en passant par l’énoncé de do</w:t>
      </w:r>
      <w:r w:rsidRPr="00594A23">
        <w:rPr>
          <w:lang w:eastAsia="fr-FR" w:bidi="fr-FR"/>
        </w:rPr>
        <w:t>c</w:t>
      </w:r>
      <w:r w:rsidRPr="00594A23">
        <w:rPr>
          <w:lang w:eastAsia="fr-FR" w:bidi="fr-FR"/>
        </w:rPr>
        <w:t>trines, le déclenchement d’opérations clandestines, ju</w:t>
      </w:r>
      <w:r w:rsidRPr="00594A23">
        <w:rPr>
          <w:lang w:eastAsia="fr-FR" w:bidi="fr-FR"/>
        </w:rPr>
        <w:t>s</w:t>
      </w:r>
      <w:r w:rsidRPr="00594A23">
        <w:rPr>
          <w:lang w:eastAsia="fr-FR" w:bidi="fr-FR"/>
        </w:rPr>
        <w:t>qu’aux programmes d’assistance économique. Truman d</w:t>
      </w:r>
      <w:r w:rsidRPr="00594A23">
        <w:rPr>
          <w:lang w:eastAsia="fr-FR" w:bidi="fr-FR"/>
        </w:rPr>
        <w:t>i</w:t>
      </w:r>
      <w:r w:rsidRPr="00594A23">
        <w:rPr>
          <w:lang w:eastAsia="fr-FR" w:bidi="fr-FR"/>
        </w:rPr>
        <w:t>sait vrai lorsqu’il affirmait</w:t>
      </w:r>
      <w:r w:rsidRPr="00594A23">
        <w:t> :</w:t>
      </w:r>
      <w:r w:rsidRPr="00594A23">
        <w:rPr>
          <w:lang w:eastAsia="fr-FR" w:bidi="fr-FR"/>
        </w:rPr>
        <w:t xml:space="preserve"> </w:t>
      </w:r>
      <w:r w:rsidRPr="00594A23">
        <w:t>« </w:t>
      </w:r>
      <w:r w:rsidRPr="00A1411C">
        <w:rPr>
          <w:rStyle w:val="Corpsdutexte29ptItalique"/>
        </w:rPr>
        <w:t xml:space="preserve">The </w:t>
      </w:r>
      <w:r w:rsidRPr="00A1411C">
        <w:rPr>
          <w:i/>
          <w:iCs/>
        </w:rPr>
        <w:t>buck stops here !</w:t>
      </w:r>
      <w:r w:rsidRPr="00594A23">
        <w:t> »</w:t>
      </w:r>
      <w:r w:rsidRPr="00594A23">
        <w:rPr>
          <w:lang w:eastAsia="fr-FR" w:bidi="fr-FR"/>
        </w:rPr>
        <w:t xml:space="preserve"> Le contexte international a permis aux présidents de bénéficier d’une très grande latitude dans la formulation de la pol</w:t>
      </w:r>
      <w:r w:rsidRPr="00594A23">
        <w:rPr>
          <w:lang w:eastAsia="fr-FR" w:bidi="fr-FR"/>
        </w:rPr>
        <w:t>i</w:t>
      </w:r>
      <w:r w:rsidRPr="00594A23">
        <w:rPr>
          <w:lang w:eastAsia="fr-FR" w:bidi="fr-FR"/>
        </w:rPr>
        <w:t>tique étrangère (donnant parfois lieu à des excès et des scandales très dommageables pour leur crédibilité</w:t>
      </w:r>
      <w:r>
        <w:rPr>
          <w:lang w:eastAsia="fr-FR" w:bidi="fr-FR"/>
        </w:rPr>
        <w:t> </w:t>
      </w:r>
      <w:r>
        <w:rPr>
          <w:rStyle w:val="Appelnotedebasdep"/>
          <w:lang w:eastAsia="fr-FR" w:bidi="fr-FR"/>
        </w:rPr>
        <w:footnoteReference w:id="368"/>
      </w:r>
      <w:r w:rsidRPr="00594A23">
        <w:rPr>
          <w:lang w:eastAsia="fr-FR" w:bidi="fr-FR"/>
        </w:rPr>
        <w:t>).</w:t>
      </w:r>
    </w:p>
    <w:p w14:paraId="0169B4DF" w14:textId="77777777" w:rsidR="0039793A" w:rsidRPr="00594A23" w:rsidRDefault="0039793A" w:rsidP="0039793A">
      <w:pPr>
        <w:spacing w:before="120" w:after="120"/>
        <w:jc w:val="both"/>
      </w:pPr>
      <w:r w:rsidRPr="00594A23">
        <w:rPr>
          <w:lang w:eastAsia="fr-FR" w:bidi="fr-FR"/>
        </w:rPr>
        <w:t>Le rôle prédominant du président est également lié au poids de l’opinion publique qui attend de lui qu’il définisse fermement la pos</w:t>
      </w:r>
      <w:r w:rsidRPr="00594A23">
        <w:rPr>
          <w:lang w:eastAsia="fr-FR" w:bidi="fr-FR"/>
        </w:rPr>
        <w:t>i</w:t>
      </w:r>
      <w:r w:rsidRPr="00594A23">
        <w:rPr>
          <w:lang w:eastAsia="fr-FR" w:bidi="fr-FR"/>
        </w:rPr>
        <w:t>tion et la politique des États-Unis, particulièrement durant les m</w:t>
      </w:r>
      <w:r w:rsidRPr="00594A23">
        <w:rPr>
          <w:lang w:eastAsia="fr-FR" w:bidi="fr-FR"/>
        </w:rPr>
        <w:t>o</w:t>
      </w:r>
      <w:r w:rsidRPr="00594A23">
        <w:rPr>
          <w:lang w:eastAsia="fr-FR" w:bidi="fr-FR"/>
        </w:rPr>
        <w:t>ments de crises. Peu de présidents ont été épargnés. Les crises les obligent à réagir rapidement et à prendre des décisions qui engagent toute la nation, ma</w:t>
      </w:r>
      <w:r w:rsidRPr="00594A23">
        <w:rPr>
          <w:lang w:eastAsia="fr-FR" w:bidi="fr-FR"/>
        </w:rPr>
        <w:t>r</w:t>
      </w:r>
      <w:r w:rsidRPr="00594A23">
        <w:rPr>
          <w:lang w:eastAsia="fr-FR" w:bidi="fr-FR"/>
        </w:rPr>
        <w:t>quant du coup non seulement leur présidence mais aussi la place des États-Unis dans le monde. Il suffit d’évoquer la guerre du Vietnam sous Johnson puis Nixon, la crise des otages en Iran sous Carter, le conflit du Liban sous Reagan, la guerre du Golfe sous G.H. Bush, les crises des Balkans sous Clinton, et surtout les a</w:t>
      </w:r>
      <w:r w:rsidRPr="00594A23">
        <w:rPr>
          <w:lang w:eastAsia="fr-FR" w:bidi="fr-FR"/>
        </w:rPr>
        <w:t>t</w:t>
      </w:r>
      <w:r w:rsidRPr="00594A23">
        <w:rPr>
          <w:lang w:eastAsia="fr-FR" w:bidi="fr-FR"/>
        </w:rPr>
        <w:t>tentats terroristes sous G.W. Bush. Ces moments constituent des tou</w:t>
      </w:r>
      <w:r w:rsidRPr="00594A23">
        <w:rPr>
          <w:lang w:eastAsia="fr-FR" w:bidi="fr-FR"/>
        </w:rPr>
        <w:t>r</w:t>
      </w:r>
      <w:r w:rsidRPr="00594A23">
        <w:rPr>
          <w:lang w:eastAsia="fr-FR" w:bidi="fr-FR"/>
        </w:rPr>
        <w:t>nants fondamentaux dans l’histoire des présidences (et des relations internation</w:t>
      </w:r>
      <w:r w:rsidRPr="00594A23">
        <w:rPr>
          <w:lang w:eastAsia="fr-FR" w:bidi="fr-FR"/>
        </w:rPr>
        <w:t>a</w:t>
      </w:r>
      <w:r w:rsidRPr="00594A23">
        <w:rPr>
          <w:lang w:eastAsia="fr-FR" w:bidi="fr-FR"/>
        </w:rPr>
        <w:t>les). Ils définissent largement la nature de la performance du mandat présidentiel.</w:t>
      </w:r>
    </w:p>
    <w:p w14:paraId="4F4C8C4D" w14:textId="77777777" w:rsidR="0039793A" w:rsidRPr="00594A23" w:rsidRDefault="0039793A" w:rsidP="0039793A">
      <w:pPr>
        <w:spacing w:before="120" w:after="120"/>
        <w:jc w:val="both"/>
      </w:pPr>
      <w:r>
        <w:t>[159]</w:t>
      </w:r>
    </w:p>
    <w:p w14:paraId="46AF5624" w14:textId="77777777" w:rsidR="0039793A" w:rsidRPr="00594A23" w:rsidRDefault="0039793A" w:rsidP="0039793A">
      <w:pPr>
        <w:spacing w:before="120" w:after="120"/>
        <w:jc w:val="both"/>
      </w:pPr>
      <w:r w:rsidRPr="00594A23">
        <w:rPr>
          <w:lang w:eastAsia="fr-FR" w:bidi="fr-FR"/>
        </w:rPr>
        <w:t>La politique étrangère constitue souvent un refuge pour les prés</w:t>
      </w:r>
      <w:r w:rsidRPr="00594A23">
        <w:rPr>
          <w:lang w:eastAsia="fr-FR" w:bidi="fr-FR"/>
        </w:rPr>
        <w:t>i</w:t>
      </w:r>
      <w:r w:rsidRPr="00594A23">
        <w:rPr>
          <w:lang w:eastAsia="fr-FR" w:bidi="fr-FR"/>
        </w:rPr>
        <w:t>dents confrontés aux méandres, aléas et pièges de la politique intérie</w:t>
      </w:r>
      <w:r w:rsidRPr="00594A23">
        <w:rPr>
          <w:lang w:eastAsia="fr-FR" w:bidi="fr-FR"/>
        </w:rPr>
        <w:t>u</w:t>
      </w:r>
      <w:r w:rsidRPr="00594A23">
        <w:rPr>
          <w:lang w:eastAsia="fr-FR" w:bidi="fr-FR"/>
        </w:rPr>
        <w:t>re. L’absence d’influence et de succès sur la scène domestique est ai</w:t>
      </w:r>
      <w:r w:rsidRPr="00594A23">
        <w:rPr>
          <w:lang w:eastAsia="fr-FR" w:bidi="fr-FR"/>
        </w:rPr>
        <w:t>n</w:t>
      </w:r>
      <w:r w:rsidRPr="00594A23">
        <w:rPr>
          <w:lang w:eastAsia="fr-FR" w:bidi="fr-FR"/>
        </w:rPr>
        <w:t>si compensée par une liberté d’action beaucoup plus grande sur la scène internationale. Cette réalité est souvent observée. En effet, ta</w:t>
      </w:r>
      <w:r w:rsidRPr="00594A23">
        <w:rPr>
          <w:lang w:eastAsia="fr-FR" w:bidi="fr-FR"/>
        </w:rPr>
        <w:t>n</w:t>
      </w:r>
      <w:r w:rsidRPr="00594A23">
        <w:rPr>
          <w:lang w:eastAsia="fr-FR" w:bidi="fr-FR"/>
        </w:rPr>
        <w:t>dis que Clinton était aux prises, fin 1998, avec une procédure de dest</w:t>
      </w:r>
      <w:r w:rsidRPr="00594A23">
        <w:rPr>
          <w:lang w:eastAsia="fr-FR" w:bidi="fr-FR"/>
        </w:rPr>
        <w:t>i</w:t>
      </w:r>
      <w:r w:rsidRPr="00594A23">
        <w:rPr>
          <w:lang w:eastAsia="fr-FR" w:bidi="fr-FR"/>
        </w:rPr>
        <w:t>tution (</w:t>
      </w:r>
      <w:r w:rsidRPr="00F86A7E">
        <w:rPr>
          <w:i/>
          <w:iCs/>
        </w:rPr>
        <w:t>impeachment</w:t>
      </w:r>
      <w:r w:rsidRPr="00594A23">
        <w:rPr>
          <w:lang w:eastAsia="fr-FR" w:bidi="fr-FR"/>
        </w:rPr>
        <w:t>) mise en œuvre par des parlementaires républ</w:t>
      </w:r>
      <w:r w:rsidRPr="00594A23">
        <w:rPr>
          <w:lang w:eastAsia="fr-FR" w:bidi="fr-FR"/>
        </w:rPr>
        <w:t>i</w:t>
      </w:r>
      <w:r w:rsidRPr="00594A23">
        <w:rPr>
          <w:lang w:eastAsia="fr-FR" w:bidi="fr-FR"/>
        </w:rPr>
        <w:t xml:space="preserve">cains, il ordonnait trois jours de bombardement de l’Irak. Il y aurait donc </w:t>
      </w:r>
      <w:r w:rsidRPr="00594A23">
        <w:t>« </w:t>
      </w:r>
      <w:r w:rsidRPr="00594A23">
        <w:rPr>
          <w:lang w:eastAsia="fr-FR" w:bidi="fr-FR"/>
        </w:rPr>
        <w:t>deux présidences</w:t>
      </w:r>
      <w:r w:rsidRPr="00594A23">
        <w:t> »</w:t>
      </w:r>
      <w:r w:rsidRPr="00594A23">
        <w:rPr>
          <w:lang w:eastAsia="fr-FR" w:bidi="fr-FR"/>
        </w:rPr>
        <w:t xml:space="preserve"> fort différentes, celle de la politique int</w:t>
      </w:r>
      <w:r w:rsidRPr="00594A23">
        <w:rPr>
          <w:lang w:eastAsia="fr-FR" w:bidi="fr-FR"/>
        </w:rPr>
        <w:t>é</w:t>
      </w:r>
      <w:r w:rsidRPr="00594A23">
        <w:rPr>
          <w:lang w:eastAsia="fr-FR" w:bidi="fr-FR"/>
        </w:rPr>
        <w:t>rieure et celle de la politique ext</w:t>
      </w:r>
      <w:r w:rsidRPr="00594A23">
        <w:rPr>
          <w:lang w:eastAsia="fr-FR" w:bidi="fr-FR"/>
        </w:rPr>
        <w:t>é</w:t>
      </w:r>
      <w:r w:rsidRPr="00594A23">
        <w:rPr>
          <w:lang w:eastAsia="fr-FR" w:bidi="fr-FR"/>
        </w:rPr>
        <w:t xml:space="preserve">rieure, ne répondant ni au même contexte ni aux mêmes conditions d’autorité. Ainsi que le disait par boutade le président Kennedy, </w:t>
      </w:r>
      <w:r w:rsidRPr="00594A23">
        <w:t>« </w:t>
      </w:r>
      <w:r w:rsidRPr="00594A23">
        <w:rPr>
          <w:lang w:eastAsia="fr-FR" w:bidi="fr-FR"/>
        </w:rPr>
        <w:t>la différence entre la politique int</w:t>
      </w:r>
      <w:r w:rsidRPr="00594A23">
        <w:rPr>
          <w:lang w:eastAsia="fr-FR" w:bidi="fr-FR"/>
        </w:rPr>
        <w:t>é</w:t>
      </w:r>
      <w:r w:rsidRPr="00594A23">
        <w:rPr>
          <w:lang w:eastAsia="fr-FR" w:bidi="fr-FR"/>
        </w:rPr>
        <w:t>rieure et la politique extérieure c’est la différence entre une loi qui est défaite et le pays qui est anéanti</w:t>
      </w:r>
      <w:r w:rsidRPr="00594A23">
        <w:t> »</w:t>
      </w:r>
      <w:r w:rsidRPr="00594A23">
        <w:rPr>
          <w:lang w:eastAsia="fr-FR" w:bidi="fr-FR"/>
        </w:rPr>
        <w:t xml:space="preserve">. Cette image illustre la déférence avec laquelle les Américains s’en remettent à l’autorité du président sur les affaires étrangères. La thèse des </w:t>
      </w:r>
      <w:r w:rsidRPr="00594A23">
        <w:t>« </w:t>
      </w:r>
      <w:r w:rsidRPr="00594A23">
        <w:rPr>
          <w:lang w:eastAsia="fr-FR" w:bidi="fr-FR"/>
        </w:rPr>
        <w:t>deux présidences</w:t>
      </w:r>
      <w:r w:rsidRPr="00594A23">
        <w:t> »</w:t>
      </w:r>
      <w:r w:rsidRPr="00594A23">
        <w:rPr>
          <w:lang w:eastAsia="fr-FR" w:bidi="fr-FR"/>
        </w:rPr>
        <w:t>, éno</w:t>
      </w:r>
      <w:r w:rsidRPr="00594A23">
        <w:rPr>
          <w:lang w:eastAsia="fr-FR" w:bidi="fr-FR"/>
        </w:rPr>
        <w:t>n</w:t>
      </w:r>
      <w:r w:rsidRPr="00594A23">
        <w:rPr>
          <w:lang w:eastAsia="fr-FR" w:bidi="fr-FR"/>
        </w:rPr>
        <w:t>cée par Aaron Wildavsky il y a quarante ans</w:t>
      </w:r>
      <w:r>
        <w:rPr>
          <w:lang w:eastAsia="fr-FR" w:bidi="fr-FR"/>
        </w:rPr>
        <w:t> </w:t>
      </w:r>
      <w:r>
        <w:rPr>
          <w:rStyle w:val="Appelnotedebasdep"/>
          <w:lang w:eastAsia="fr-FR" w:bidi="fr-FR"/>
        </w:rPr>
        <w:footnoteReference w:id="369"/>
      </w:r>
      <w:r w:rsidRPr="00594A23">
        <w:rPr>
          <w:lang w:eastAsia="fr-FR" w:bidi="fr-FR"/>
        </w:rPr>
        <w:t>, doit aujourd’hui être nua</w:t>
      </w:r>
      <w:r w:rsidRPr="00594A23">
        <w:rPr>
          <w:lang w:eastAsia="fr-FR" w:bidi="fr-FR"/>
        </w:rPr>
        <w:t>n</w:t>
      </w:r>
      <w:r w:rsidRPr="00594A23">
        <w:rPr>
          <w:lang w:eastAsia="fr-FR" w:bidi="fr-FR"/>
        </w:rPr>
        <w:t>cée</w:t>
      </w:r>
      <w:r w:rsidRPr="00594A23">
        <w:t> :</w:t>
      </w:r>
      <w:r w:rsidRPr="00594A23">
        <w:rPr>
          <w:lang w:eastAsia="fr-FR" w:bidi="fr-FR"/>
        </w:rPr>
        <w:t xml:space="preserve"> du fait sans doute de la mondialisation et de l’interdépendance, la frontière entre la politique nationale et la polit</w:t>
      </w:r>
      <w:r w:rsidRPr="00594A23">
        <w:rPr>
          <w:lang w:eastAsia="fr-FR" w:bidi="fr-FR"/>
        </w:rPr>
        <w:t>i</w:t>
      </w:r>
      <w:r w:rsidRPr="00594A23">
        <w:rPr>
          <w:lang w:eastAsia="fr-FR" w:bidi="fr-FR"/>
        </w:rPr>
        <w:t>que intern</w:t>
      </w:r>
      <w:r w:rsidRPr="00594A23">
        <w:rPr>
          <w:lang w:eastAsia="fr-FR" w:bidi="fr-FR"/>
        </w:rPr>
        <w:t>a</w:t>
      </w:r>
      <w:r w:rsidRPr="00594A23">
        <w:rPr>
          <w:lang w:eastAsia="fr-FR" w:bidi="fr-FR"/>
        </w:rPr>
        <w:t>tionale est de plus en plus ténue sinon floue, il en va donc de même pour les deux présidences. Cela dit, il reste juste d’affirmer que le président est plus libre de ses décisions dans le domaine de la défense que dans celui des affaires sociales ou de la santé.</w:t>
      </w:r>
    </w:p>
    <w:p w14:paraId="4F888529" w14:textId="77777777" w:rsidR="0039793A" w:rsidRDefault="0039793A" w:rsidP="0039793A">
      <w:pPr>
        <w:spacing w:before="120" w:after="120"/>
        <w:jc w:val="both"/>
        <w:rPr>
          <w:lang w:eastAsia="fr-FR" w:bidi="fr-FR"/>
        </w:rPr>
      </w:pPr>
    </w:p>
    <w:p w14:paraId="436946D1" w14:textId="77777777" w:rsidR="0039793A" w:rsidRPr="00F86A7E" w:rsidRDefault="0039793A" w:rsidP="0039793A">
      <w:pPr>
        <w:pStyle w:val="b"/>
      </w:pPr>
      <w:r w:rsidRPr="00F86A7E">
        <w:rPr>
          <w:lang w:eastAsia="fr-FR" w:bidi="fr-FR"/>
        </w:rPr>
        <w:t>La mise en œuvre des pouvoirs informels</w:t>
      </w:r>
    </w:p>
    <w:p w14:paraId="38CEA05C" w14:textId="77777777" w:rsidR="0039793A" w:rsidRDefault="0039793A" w:rsidP="0039793A">
      <w:pPr>
        <w:spacing w:before="120" w:after="120"/>
        <w:jc w:val="both"/>
        <w:rPr>
          <w:lang w:eastAsia="fr-FR" w:bidi="fr-FR"/>
        </w:rPr>
      </w:pPr>
    </w:p>
    <w:p w14:paraId="69EABA7E" w14:textId="77777777" w:rsidR="0039793A" w:rsidRPr="00594A23" w:rsidRDefault="0039793A" w:rsidP="0039793A">
      <w:pPr>
        <w:spacing w:before="120" w:after="120"/>
        <w:jc w:val="both"/>
      </w:pPr>
      <w:r w:rsidRPr="00594A23">
        <w:rPr>
          <w:lang w:eastAsia="fr-FR" w:bidi="fr-FR"/>
        </w:rPr>
        <w:t>On peut regrouper les pouvoirs informels en trois catég</w:t>
      </w:r>
      <w:r w:rsidRPr="00594A23">
        <w:rPr>
          <w:lang w:eastAsia="fr-FR" w:bidi="fr-FR"/>
        </w:rPr>
        <w:t>o</w:t>
      </w:r>
      <w:r w:rsidRPr="00594A23">
        <w:rPr>
          <w:lang w:eastAsia="fr-FR" w:bidi="fr-FR"/>
        </w:rPr>
        <w:t>ries</w:t>
      </w:r>
      <w:r w:rsidRPr="00594A23">
        <w:t> :</w:t>
      </w:r>
      <w:r w:rsidRPr="00594A23">
        <w:rPr>
          <w:lang w:eastAsia="fr-FR" w:bidi="fr-FR"/>
        </w:rPr>
        <w:t xml:space="preserve"> le prestige et le talent de persuasion du président, sa réputation et sa cote de popularité auprès de l’opinion p</w:t>
      </w:r>
      <w:r w:rsidRPr="00594A23">
        <w:rPr>
          <w:lang w:eastAsia="fr-FR" w:bidi="fr-FR"/>
        </w:rPr>
        <w:t>u</w:t>
      </w:r>
      <w:r w:rsidRPr="00594A23">
        <w:rPr>
          <w:lang w:eastAsia="fr-FR" w:bidi="fr-FR"/>
        </w:rPr>
        <w:t>blique, enfin les ressources qu’il exploite pour asseoir son autorité.</w:t>
      </w:r>
    </w:p>
    <w:p w14:paraId="6D016224" w14:textId="77777777" w:rsidR="0039793A" w:rsidRPr="00594A23" w:rsidRDefault="0039793A" w:rsidP="0039793A">
      <w:pPr>
        <w:spacing w:before="120" w:after="120"/>
        <w:jc w:val="both"/>
      </w:pPr>
      <w:r w:rsidRPr="00594A23">
        <w:rPr>
          <w:lang w:eastAsia="fr-FR" w:bidi="fr-FR"/>
        </w:rPr>
        <w:t>Le président est avant tout un leader politique, ayant été élu sur la base de sa personnalité et pour son sens de la persuasion</w:t>
      </w:r>
      <w:r>
        <w:rPr>
          <w:lang w:eastAsia="fr-FR" w:bidi="fr-FR"/>
        </w:rPr>
        <w:t> </w:t>
      </w:r>
      <w:r>
        <w:rPr>
          <w:rStyle w:val="Appelnotedebasdep"/>
          <w:lang w:eastAsia="fr-FR" w:bidi="fr-FR"/>
        </w:rPr>
        <w:footnoteReference w:id="370"/>
      </w:r>
      <w:r w:rsidRPr="00594A23">
        <w:rPr>
          <w:lang w:eastAsia="fr-FR" w:bidi="fr-FR"/>
        </w:rPr>
        <w:t>. Ces m</w:t>
      </w:r>
      <w:r w:rsidRPr="00594A23">
        <w:rPr>
          <w:lang w:eastAsia="fr-FR" w:bidi="fr-FR"/>
        </w:rPr>
        <w:t>ê</w:t>
      </w:r>
      <w:r w:rsidRPr="00594A23">
        <w:rPr>
          <w:lang w:eastAsia="fr-FR" w:bidi="fr-FR"/>
        </w:rPr>
        <w:t>mes talents continuent de le servir à la Maison-Blanche et son autorité n’est respectée que dans la mesure où ses subalternes</w:t>
      </w:r>
      <w:r>
        <w:t xml:space="preserve"> [160] </w:t>
      </w:r>
      <w:r w:rsidRPr="00594A23">
        <w:rPr>
          <w:lang w:eastAsia="fr-FR" w:bidi="fr-FR"/>
        </w:rPr>
        <w:t>sont convaincus, comme lui, de la justesse et du mérite de ses déc</w:t>
      </w:r>
      <w:r w:rsidRPr="00594A23">
        <w:rPr>
          <w:lang w:eastAsia="fr-FR" w:bidi="fr-FR"/>
        </w:rPr>
        <w:t>i</w:t>
      </w:r>
      <w:r w:rsidRPr="00594A23">
        <w:rPr>
          <w:lang w:eastAsia="fr-FR" w:bidi="fr-FR"/>
        </w:rPr>
        <w:t xml:space="preserve">sions. C’est la dimension du </w:t>
      </w:r>
      <w:r w:rsidRPr="00594A23">
        <w:t>« </w:t>
      </w:r>
      <w:r w:rsidRPr="00594A23">
        <w:rPr>
          <w:lang w:eastAsia="fr-FR" w:bidi="fr-FR"/>
        </w:rPr>
        <w:t>pouvoir de persuasion</w:t>
      </w:r>
      <w:r w:rsidRPr="00594A23">
        <w:t> »</w:t>
      </w:r>
      <w:r w:rsidRPr="00594A23">
        <w:rPr>
          <w:lang w:eastAsia="fr-FR" w:bidi="fr-FR"/>
        </w:rPr>
        <w:t xml:space="preserve"> à laquelle faisait réf</w:t>
      </w:r>
      <w:r w:rsidRPr="00594A23">
        <w:rPr>
          <w:lang w:eastAsia="fr-FR" w:bidi="fr-FR"/>
        </w:rPr>
        <w:t>é</w:t>
      </w:r>
      <w:r w:rsidRPr="00594A23">
        <w:rPr>
          <w:lang w:eastAsia="fr-FR" w:bidi="fr-FR"/>
        </w:rPr>
        <w:t>rence l’ouvrage célèbre de R</w:t>
      </w:r>
      <w:r w:rsidRPr="00594A23">
        <w:rPr>
          <w:lang w:eastAsia="fr-FR" w:bidi="fr-FR"/>
        </w:rPr>
        <w:t>i</w:t>
      </w:r>
      <w:r w:rsidRPr="00594A23">
        <w:rPr>
          <w:lang w:eastAsia="fr-FR" w:bidi="fr-FR"/>
        </w:rPr>
        <w:t xml:space="preserve">chard Neustadt en </w:t>
      </w:r>
      <w:r>
        <w:rPr>
          <w:lang w:eastAsia="fr-FR" w:bidi="fr-FR"/>
        </w:rPr>
        <w:t>1</w:t>
      </w:r>
      <w:r w:rsidRPr="00594A23">
        <w:rPr>
          <w:lang w:eastAsia="fr-FR" w:bidi="fr-FR"/>
        </w:rPr>
        <w:t>960 (et qui servit d’inspiration pour l’approche décisionnelle du président Kenn</w:t>
      </w:r>
      <w:r w:rsidRPr="00594A23">
        <w:rPr>
          <w:lang w:eastAsia="fr-FR" w:bidi="fr-FR"/>
        </w:rPr>
        <w:t>e</w:t>
      </w:r>
      <w:r w:rsidRPr="00594A23">
        <w:rPr>
          <w:lang w:eastAsia="fr-FR" w:bidi="fr-FR"/>
        </w:rPr>
        <w:t>dy</w:t>
      </w:r>
      <w:r>
        <w:rPr>
          <w:lang w:eastAsia="fr-FR" w:bidi="fr-FR"/>
        </w:rPr>
        <w:t> </w:t>
      </w:r>
      <w:r>
        <w:rPr>
          <w:rStyle w:val="Appelnotedebasdep"/>
          <w:lang w:eastAsia="fr-FR" w:bidi="fr-FR"/>
        </w:rPr>
        <w:footnoteReference w:id="371"/>
      </w:r>
      <w:r w:rsidRPr="00594A23">
        <w:rPr>
          <w:lang w:eastAsia="fr-FR" w:bidi="fr-FR"/>
        </w:rPr>
        <w:t>)</w:t>
      </w:r>
      <w:r>
        <w:rPr>
          <w:lang w:eastAsia="fr-FR" w:bidi="fr-FR"/>
        </w:rPr>
        <w:t>.</w:t>
      </w:r>
      <w:r w:rsidRPr="00594A23">
        <w:rPr>
          <w:lang w:eastAsia="fr-FR" w:bidi="fr-FR"/>
        </w:rPr>
        <w:t xml:space="preserve"> Le président n’a réellement de pouvoir que s’il parvient à i</w:t>
      </w:r>
      <w:r w:rsidRPr="00594A23">
        <w:rPr>
          <w:lang w:eastAsia="fr-FR" w:bidi="fr-FR"/>
        </w:rPr>
        <w:t>n</w:t>
      </w:r>
      <w:r w:rsidRPr="00594A23">
        <w:rPr>
          <w:lang w:eastAsia="fr-FR" w:bidi="fr-FR"/>
        </w:rPr>
        <w:t>fluer sur les préférences des acteurs politiques. Comme le décrivait le pr</w:t>
      </w:r>
      <w:r w:rsidRPr="00594A23">
        <w:rPr>
          <w:lang w:eastAsia="fr-FR" w:bidi="fr-FR"/>
        </w:rPr>
        <w:t>é</w:t>
      </w:r>
      <w:r w:rsidRPr="00594A23">
        <w:rPr>
          <w:lang w:eastAsia="fr-FR" w:bidi="fr-FR"/>
        </w:rPr>
        <w:t>sident Truman</w:t>
      </w:r>
      <w:r w:rsidRPr="00594A23">
        <w:t> :</w:t>
      </w:r>
      <w:r w:rsidRPr="00594A23">
        <w:rPr>
          <w:lang w:eastAsia="fr-FR" w:bidi="fr-FR"/>
        </w:rPr>
        <w:t xml:space="preserve"> </w:t>
      </w:r>
      <w:r w:rsidRPr="00594A23">
        <w:t>« </w:t>
      </w:r>
      <w:r w:rsidRPr="00594A23">
        <w:rPr>
          <w:lang w:eastAsia="fr-FR" w:bidi="fr-FR"/>
        </w:rPr>
        <w:t>Toute la journée je tente de convaincre les gens de faire des choses qu’ils seraient censés faire sans que j’aie besoin de les pe</w:t>
      </w:r>
      <w:r w:rsidRPr="00594A23">
        <w:rPr>
          <w:lang w:eastAsia="fr-FR" w:bidi="fr-FR"/>
        </w:rPr>
        <w:t>r</w:t>
      </w:r>
      <w:r w:rsidRPr="00594A23">
        <w:rPr>
          <w:lang w:eastAsia="fr-FR" w:bidi="fr-FR"/>
        </w:rPr>
        <w:t>suader</w:t>
      </w:r>
      <w:r>
        <w:rPr>
          <w:lang w:eastAsia="fr-FR" w:bidi="fr-FR"/>
        </w:rPr>
        <w:t> </w:t>
      </w:r>
      <w:r>
        <w:rPr>
          <w:rStyle w:val="Appelnotedebasdep"/>
          <w:lang w:eastAsia="fr-FR" w:bidi="fr-FR"/>
        </w:rPr>
        <w:footnoteReference w:id="372"/>
      </w:r>
      <w:r w:rsidRPr="00594A23">
        <w:rPr>
          <w:lang w:eastAsia="fr-FR" w:bidi="fr-FR"/>
        </w:rPr>
        <w:t>.</w:t>
      </w:r>
      <w:r w:rsidRPr="00594A23">
        <w:t> »</w:t>
      </w:r>
      <w:r w:rsidRPr="00594A23">
        <w:rPr>
          <w:lang w:eastAsia="fr-FR" w:bidi="fr-FR"/>
        </w:rPr>
        <w:t xml:space="preserve"> Et le président d’ajouter avant l’entrée en fonction de son successeur, Dwight Eisenhower</w:t>
      </w:r>
      <w:r w:rsidRPr="00594A23">
        <w:t> :</w:t>
      </w:r>
      <w:r w:rsidRPr="00594A23">
        <w:rPr>
          <w:lang w:eastAsia="fr-FR" w:bidi="fr-FR"/>
        </w:rPr>
        <w:t xml:space="preserve"> </w:t>
      </w:r>
      <w:r w:rsidRPr="00594A23">
        <w:t>« </w:t>
      </w:r>
      <w:r w:rsidRPr="00594A23">
        <w:rPr>
          <w:lang w:eastAsia="fr-FR" w:bidi="fr-FR"/>
        </w:rPr>
        <w:t>Il s’assoira dans le Bureau ovale et dira “faites ceci, faites cela</w:t>
      </w:r>
      <w:r w:rsidRPr="00594A23">
        <w:t> !</w:t>
      </w:r>
      <w:r w:rsidRPr="00594A23">
        <w:rPr>
          <w:lang w:eastAsia="fr-FR" w:bidi="fr-FR"/>
        </w:rPr>
        <w:t>” Mais rien ne surviendra. Pa</w:t>
      </w:r>
      <w:r w:rsidRPr="00594A23">
        <w:rPr>
          <w:lang w:eastAsia="fr-FR" w:bidi="fr-FR"/>
        </w:rPr>
        <w:t>u</w:t>
      </w:r>
      <w:r w:rsidRPr="00594A23">
        <w:rPr>
          <w:lang w:eastAsia="fr-FR" w:bidi="fr-FR"/>
        </w:rPr>
        <w:t>vre Ike</w:t>
      </w:r>
      <w:r w:rsidRPr="00594A23">
        <w:t> !</w:t>
      </w:r>
      <w:r w:rsidRPr="00594A23">
        <w:rPr>
          <w:lang w:eastAsia="fr-FR" w:bidi="fr-FR"/>
        </w:rPr>
        <w:t xml:space="preserve"> Ce ne sera pas du tout comme dans l’armée et il en sera fru</w:t>
      </w:r>
      <w:r w:rsidRPr="00594A23">
        <w:rPr>
          <w:lang w:eastAsia="fr-FR" w:bidi="fr-FR"/>
        </w:rPr>
        <w:t>s</w:t>
      </w:r>
      <w:r w:rsidRPr="00594A23">
        <w:rPr>
          <w:lang w:eastAsia="fr-FR" w:bidi="fr-FR"/>
        </w:rPr>
        <w:t>tré</w:t>
      </w:r>
      <w:r>
        <w:rPr>
          <w:lang w:eastAsia="fr-FR" w:bidi="fr-FR"/>
        </w:rPr>
        <w:t> </w:t>
      </w:r>
      <w:r>
        <w:rPr>
          <w:rStyle w:val="Appelnotedebasdep"/>
          <w:lang w:eastAsia="fr-FR" w:bidi="fr-FR"/>
        </w:rPr>
        <w:footnoteReference w:id="373"/>
      </w:r>
      <w:r w:rsidRPr="00594A23">
        <w:rPr>
          <w:lang w:eastAsia="fr-FR" w:bidi="fr-FR"/>
        </w:rPr>
        <w:t>.</w:t>
      </w:r>
      <w:r w:rsidRPr="00594A23">
        <w:t> »</w:t>
      </w:r>
      <w:r w:rsidRPr="00594A23">
        <w:rPr>
          <w:lang w:eastAsia="fr-FR" w:bidi="fr-FR"/>
        </w:rPr>
        <w:t xml:space="preserve"> La persuasion repose certes sur l’autorité formelle du prés</w:t>
      </w:r>
      <w:r w:rsidRPr="00594A23">
        <w:rPr>
          <w:lang w:eastAsia="fr-FR" w:bidi="fr-FR"/>
        </w:rPr>
        <w:t>i</w:t>
      </w:r>
      <w:r w:rsidRPr="00594A23">
        <w:rPr>
          <w:lang w:eastAsia="fr-FR" w:bidi="fr-FR"/>
        </w:rPr>
        <w:t>dent, mais elle dépend plus encore de ses talents personnels, de son prest</w:t>
      </w:r>
      <w:r w:rsidRPr="00594A23">
        <w:rPr>
          <w:lang w:eastAsia="fr-FR" w:bidi="fr-FR"/>
        </w:rPr>
        <w:t>i</w:t>
      </w:r>
      <w:r w:rsidRPr="00594A23">
        <w:rPr>
          <w:lang w:eastAsia="fr-FR" w:bidi="fr-FR"/>
        </w:rPr>
        <w:t>ge, de son initiative et de ses qualités de conciliateur, pour rallier ses consei</w:t>
      </w:r>
      <w:r w:rsidRPr="00594A23">
        <w:rPr>
          <w:lang w:eastAsia="fr-FR" w:bidi="fr-FR"/>
        </w:rPr>
        <w:t>l</w:t>
      </w:r>
      <w:r w:rsidRPr="00594A23">
        <w:rPr>
          <w:lang w:eastAsia="fr-FR" w:bidi="fr-FR"/>
        </w:rPr>
        <w:t>lers, les législateurs et les groupes d’intérêts à sa cause. Il est le seul décideur qui peut à tout moment définir l’intérêt national, une entr</w:t>
      </w:r>
      <w:r w:rsidRPr="00594A23">
        <w:rPr>
          <w:lang w:eastAsia="fr-FR" w:bidi="fr-FR"/>
        </w:rPr>
        <w:t>e</w:t>
      </w:r>
      <w:r w:rsidRPr="00594A23">
        <w:rPr>
          <w:lang w:eastAsia="fr-FR" w:bidi="fr-FR"/>
        </w:rPr>
        <w:t>prise quasi impossible pour une assemblée de 535 législ</w:t>
      </w:r>
      <w:r w:rsidRPr="00594A23">
        <w:rPr>
          <w:lang w:eastAsia="fr-FR" w:bidi="fr-FR"/>
        </w:rPr>
        <w:t>a</w:t>
      </w:r>
      <w:r w:rsidRPr="00594A23">
        <w:rPr>
          <w:lang w:eastAsia="fr-FR" w:bidi="fr-FR"/>
        </w:rPr>
        <w:t>teurs, des milliers de groupes de pression, et des conseillers qui rival</w:t>
      </w:r>
      <w:r w:rsidRPr="00594A23">
        <w:rPr>
          <w:lang w:eastAsia="fr-FR" w:bidi="fr-FR"/>
        </w:rPr>
        <w:t>i</w:t>
      </w:r>
      <w:r w:rsidRPr="00594A23">
        <w:rPr>
          <w:lang w:eastAsia="fr-FR" w:bidi="fr-FR"/>
        </w:rPr>
        <w:t>sent d’influence pour gagner l’approbation du président.</w:t>
      </w:r>
    </w:p>
    <w:p w14:paraId="691EEE45" w14:textId="77777777" w:rsidR="0039793A" w:rsidRPr="00594A23" w:rsidRDefault="0039793A" w:rsidP="0039793A">
      <w:pPr>
        <w:spacing w:before="120" w:after="120"/>
        <w:jc w:val="both"/>
      </w:pPr>
      <w:r w:rsidRPr="00594A23">
        <w:rPr>
          <w:lang w:eastAsia="fr-FR" w:bidi="fr-FR"/>
        </w:rPr>
        <w:t>C’est au président de convaincre l’opinion publique, n</w:t>
      </w:r>
      <w:r w:rsidRPr="00594A23">
        <w:rPr>
          <w:lang w:eastAsia="fr-FR" w:bidi="fr-FR"/>
        </w:rPr>
        <w:t>o</w:t>
      </w:r>
      <w:r w:rsidRPr="00594A23">
        <w:rPr>
          <w:lang w:eastAsia="fr-FR" w:bidi="fr-FR"/>
        </w:rPr>
        <w:t>tamment à l’occasion de grands discours, de ses talents de leader et de la justesse de ses politiques</w:t>
      </w:r>
      <w:r>
        <w:rPr>
          <w:lang w:eastAsia="fr-FR" w:bidi="fr-FR"/>
        </w:rPr>
        <w:t> </w:t>
      </w:r>
      <w:r>
        <w:rPr>
          <w:rStyle w:val="Appelnotedebasdep"/>
          <w:lang w:eastAsia="fr-FR" w:bidi="fr-FR"/>
        </w:rPr>
        <w:footnoteReference w:id="374"/>
      </w:r>
      <w:r w:rsidRPr="00594A23">
        <w:rPr>
          <w:lang w:eastAsia="fr-FR" w:bidi="fr-FR"/>
        </w:rPr>
        <w:t>. La crédibilité du président est constamment en jeu et influence grandement le jugement porté par la classe politique, les médias et l’opinion publique sur ses décisions et l’articulation de ses objectifs. Cela est encore plus vrai, compte tenu de la latit</w:t>
      </w:r>
      <w:r w:rsidRPr="00594A23">
        <w:rPr>
          <w:lang w:eastAsia="fr-FR" w:bidi="fr-FR"/>
        </w:rPr>
        <w:t>u</w:t>
      </w:r>
      <w:r w:rsidRPr="00594A23">
        <w:rPr>
          <w:lang w:eastAsia="fr-FR" w:bidi="fr-FR"/>
        </w:rPr>
        <w:t>de dont il dispose, dans le domaine de la politique étrangère. Les enjeux ext</w:t>
      </w:r>
      <w:r w:rsidRPr="00594A23">
        <w:rPr>
          <w:lang w:eastAsia="fr-FR" w:bidi="fr-FR"/>
        </w:rPr>
        <w:t>é</w:t>
      </w:r>
      <w:r>
        <w:rPr>
          <w:lang w:eastAsia="fr-FR" w:bidi="fr-FR"/>
        </w:rPr>
        <w:t>rieurs peuvent considé</w:t>
      </w:r>
      <w:r w:rsidRPr="00594A23">
        <w:rPr>
          <w:lang w:eastAsia="fr-FR" w:bidi="fr-FR"/>
        </w:rPr>
        <w:t>rablement</w:t>
      </w:r>
      <w:r>
        <w:t xml:space="preserve"> [161]</w:t>
      </w:r>
      <w:r w:rsidRPr="00594A23">
        <w:rPr>
          <w:lang w:eastAsia="fr-FR" w:bidi="fr-FR"/>
        </w:rPr>
        <w:t xml:space="preserve"> consolider, ou à l’inverse alt</w:t>
      </w:r>
      <w:r w:rsidRPr="00594A23">
        <w:rPr>
          <w:lang w:eastAsia="fr-FR" w:bidi="fr-FR"/>
        </w:rPr>
        <w:t>é</w:t>
      </w:r>
      <w:r w:rsidRPr="00594A23">
        <w:rPr>
          <w:lang w:eastAsia="fr-FR" w:bidi="fr-FR"/>
        </w:rPr>
        <w:t>rer, la crédibilité du président. Ces seuls enjeux ne déterminent pas l’issue du mandat préside</w:t>
      </w:r>
      <w:r w:rsidRPr="00594A23">
        <w:rPr>
          <w:lang w:eastAsia="fr-FR" w:bidi="fr-FR"/>
        </w:rPr>
        <w:t>n</w:t>
      </w:r>
      <w:r w:rsidRPr="00594A23">
        <w:rPr>
          <w:lang w:eastAsia="fr-FR" w:bidi="fr-FR"/>
        </w:rPr>
        <w:t>tiel mais, assez souvent, ils exercent une influence considérable sur le taux de satisfaction dont bénéficie un président. Par exemple, les interventions militaires entre 1965 et 1995 ont, à court terme, re</w:t>
      </w:r>
      <w:r w:rsidRPr="00594A23">
        <w:rPr>
          <w:lang w:eastAsia="fr-FR" w:bidi="fr-FR"/>
        </w:rPr>
        <w:t>n</w:t>
      </w:r>
      <w:r w:rsidRPr="00594A23">
        <w:rPr>
          <w:lang w:eastAsia="fr-FR" w:bidi="fr-FR"/>
        </w:rPr>
        <w:t>forcé l’appui de la population au président de 8 points en moyenne dans les sondages</w:t>
      </w:r>
      <w:r>
        <w:rPr>
          <w:lang w:eastAsia="fr-FR" w:bidi="fr-FR"/>
        </w:rPr>
        <w:t> </w:t>
      </w:r>
      <w:r>
        <w:rPr>
          <w:rStyle w:val="Appelnotedebasdep"/>
          <w:lang w:eastAsia="fr-FR" w:bidi="fr-FR"/>
        </w:rPr>
        <w:footnoteReference w:id="375"/>
      </w:r>
      <w:r>
        <w:rPr>
          <w:lang w:eastAsia="fr-FR" w:bidi="fr-FR"/>
        </w:rPr>
        <w:t>.</w:t>
      </w:r>
      <w:r w:rsidRPr="00594A23">
        <w:rPr>
          <w:lang w:eastAsia="fr-FR" w:bidi="fr-FR"/>
        </w:rPr>
        <w:t xml:space="preserve"> En revanche, les revers et les impasses milita</w:t>
      </w:r>
      <w:r w:rsidRPr="00594A23">
        <w:rPr>
          <w:lang w:eastAsia="fr-FR" w:bidi="fr-FR"/>
        </w:rPr>
        <w:t>i</w:t>
      </w:r>
      <w:r w:rsidRPr="00594A23">
        <w:rPr>
          <w:lang w:eastAsia="fr-FR" w:bidi="fr-FR"/>
        </w:rPr>
        <w:t>res ont lourdement pénalisé la popularité à long terme de certains présidents (Johnson et Nixon dans le cas du Vie</w:t>
      </w:r>
      <w:r w:rsidRPr="00594A23">
        <w:rPr>
          <w:lang w:eastAsia="fr-FR" w:bidi="fr-FR"/>
        </w:rPr>
        <w:t>t</w:t>
      </w:r>
      <w:r w:rsidRPr="00594A23">
        <w:rPr>
          <w:lang w:eastAsia="fr-FR" w:bidi="fr-FR"/>
        </w:rPr>
        <w:t>nam, Carter dans le cas de la mission avortée en Iran). L’appui polit</w:t>
      </w:r>
      <w:r w:rsidRPr="00594A23">
        <w:rPr>
          <w:lang w:eastAsia="fr-FR" w:bidi="fr-FR"/>
        </w:rPr>
        <w:t>i</w:t>
      </w:r>
      <w:r w:rsidRPr="00594A23">
        <w:rPr>
          <w:lang w:eastAsia="fr-FR" w:bidi="fr-FR"/>
        </w:rPr>
        <w:t>que peut donc s’avérer une ressource éphémère et il y a sans nul doute une corrélation directe entre cet appui et la crédibilité — et la légitim</w:t>
      </w:r>
      <w:r w:rsidRPr="00594A23">
        <w:rPr>
          <w:lang w:eastAsia="fr-FR" w:bidi="fr-FR"/>
        </w:rPr>
        <w:t>i</w:t>
      </w:r>
      <w:r w:rsidRPr="00594A23">
        <w:rPr>
          <w:lang w:eastAsia="fr-FR" w:bidi="fr-FR"/>
        </w:rPr>
        <w:t>té - d’un président. Pour réaliser ses objectifs en politique étrangère, celui-ci doit pouvoir compter sur cet appui. Or, rien n’affecte plus la performance présidentielle que les changements d’humeur, parfois drastiques, de l’opinion publique — au point de provoquer un affa</w:t>
      </w:r>
      <w:r w:rsidRPr="00594A23">
        <w:rPr>
          <w:lang w:eastAsia="fr-FR" w:bidi="fr-FR"/>
        </w:rPr>
        <w:t>i</w:t>
      </w:r>
      <w:r w:rsidRPr="00594A23">
        <w:rPr>
          <w:lang w:eastAsia="fr-FR" w:bidi="fr-FR"/>
        </w:rPr>
        <w:t>blissement important de la crédibilité et du leadership du chef de la Maison-Blanche.</w:t>
      </w:r>
    </w:p>
    <w:p w14:paraId="62A7BC2F" w14:textId="77777777" w:rsidR="0039793A" w:rsidRPr="001C2E2B" w:rsidRDefault="0039793A" w:rsidP="0039793A">
      <w:pPr>
        <w:spacing w:before="120" w:after="120"/>
        <w:jc w:val="both"/>
      </w:pPr>
      <w:r w:rsidRPr="00594A23">
        <w:rPr>
          <w:lang w:eastAsia="fr-FR" w:bidi="fr-FR"/>
        </w:rPr>
        <w:t>Enfin, le président peut exploiter les énormes ressources du go</w:t>
      </w:r>
      <w:r w:rsidRPr="00594A23">
        <w:rPr>
          <w:lang w:eastAsia="fr-FR" w:bidi="fr-FR"/>
        </w:rPr>
        <w:t>u</w:t>
      </w:r>
      <w:r w:rsidRPr="00594A23">
        <w:rPr>
          <w:lang w:eastAsia="fr-FR" w:bidi="fr-FR"/>
        </w:rPr>
        <w:t>vernement pour influencer aussi bien les législateurs, que les perce</w:t>
      </w:r>
      <w:r w:rsidRPr="00594A23">
        <w:rPr>
          <w:lang w:eastAsia="fr-FR" w:bidi="fr-FR"/>
        </w:rPr>
        <w:t>p</w:t>
      </w:r>
      <w:r w:rsidRPr="00594A23">
        <w:rPr>
          <w:lang w:eastAsia="fr-FR" w:bidi="fr-FR"/>
        </w:rPr>
        <w:t>tions de l’opinion publique</w:t>
      </w:r>
      <w:r>
        <w:rPr>
          <w:lang w:eastAsia="fr-FR" w:bidi="fr-FR"/>
        </w:rPr>
        <w:t> </w:t>
      </w:r>
      <w:r>
        <w:rPr>
          <w:rStyle w:val="Appelnotedebasdep"/>
          <w:lang w:eastAsia="fr-FR" w:bidi="fr-FR"/>
        </w:rPr>
        <w:footnoteReference w:id="376"/>
      </w:r>
      <w:r w:rsidRPr="00594A23">
        <w:rPr>
          <w:lang w:eastAsia="fr-FR" w:bidi="fr-FR"/>
        </w:rPr>
        <w:t>. De multiples moyens sont à sa dispos</w:t>
      </w:r>
      <w:r w:rsidRPr="00594A23">
        <w:rPr>
          <w:lang w:eastAsia="fr-FR" w:bidi="fr-FR"/>
        </w:rPr>
        <w:t>i</w:t>
      </w:r>
      <w:r w:rsidRPr="00594A23">
        <w:rPr>
          <w:lang w:eastAsia="fr-FR" w:bidi="fr-FR"/>
        </w:rPr>
        <w:t>tion</w:t>
      </w:r>
      <w:r w:rsidRPr="00594A23">
        <w:t> :</w:t>
      </w:r>
      <w:r w:rsidRPr="00594A23">
        <w:rPr>
          <w:lang w:eastAsia="fr-FR" w:bidi="fr-FR"/>
        </w:rPr>
        <w:t xml:space="preserve"> études gouvernementales, déclarations publiques, divulgations de renseignements, comparutions devant le Congrès, entrevues dans les médias. Le président occupe largement plus l’espace médiatique que le Congrès</w:t>
      </w:r>
      <w:r w:rsidRPr="00594A23">
        <w:t> :</w:t>
      </w:r>
      <w:r w:rsidRPr="00594A23">
        <w:rPr>
          <w:lang w:eastAsia="fr-FR" w:bidi="fr-FR"/>
        </w:rPr>
        <w:t xml:space="preserve"> il s’agit là sur la base d’une moyenne établie sur vingt ans, de 1975 à 1995, pour les trois principaux r</w:t>
      </w:r>
      <w:r w:rsidRPr="00594A23">
        <w:rPr>
          <w:lang w:eastAsia="fr-FR" w:bidi="fr-FR"/>
        </w:rPr>
        <w:t>é</w:t>
      </w:r>
      <w:r w:rsidRPr="00594A23">
        <w:rPr>
          <w:lang w:eastAsia="fr-FR" w:bidi="fr-FR"/>
        </w:rPr>
        <w:t>seaux nationaux de télévision, d’une proportion de 16 pour 1 - soit 94 % du total de temps d’antenne qui leur est accordé</w:t>
      </w:r>
      <w:r>
        <w:rPr>
          <w:lang w:eastAsia="fr-FR" w:bidi="fr-FR"/>
        </w:rPr>
        <w:t> </w:t>
      </w:r>
      <w:r>
        <w:rPr>
          <w:rStyle w:val="Appelnotedebasdep"/>
          <w:lang w:eastAsia="fr-FR" w:bidi="fr-FR"/>
        </w:rPr>
        <w:footnoteReference w:id="377"/>
      </w:r>
      <w:r w:rsidRPr="00594A23">
        <w:rPr>
          <w:lang w:eastAsia="fr-FR" w:bidi="fr-FR"/>
        </w:rPr>
        <w:t>. Cette grande présence m</w:t>
      </w:r>
      <w:r w:rsidRPr="00594A23">
        <w:rPr>
          <w:lang w:eastAsia="fr-FR" w:bidi="fr-FR"/>
        </w:rPr>
        <w:t>é</w:t>
      </w:r>
      <w:r w:rsidRPr="00594A23">
        <w:rPr>
          <w:lang w:eastAsia="fr-FR" w:bidi="fr-FR"/>
        </w:rPr>
        <w:t>diatique lui permet de définir l’agenda, d’interpréter une situation, de manipuler l’information et le message pour gagner une cause ou une décision. La politique étrangère est donc à l’avant-scène du jeu polit</w:t>
      </w:r>
      <w:r w:rsidRPr="00594A23">
        <w:rPr>
          <w:lang w:eastAsia="fr-FR" w:bidi="fr-FR"/>
        </w:rPr>
        <w:t>i</w:t>
      </w:r>
      <w:r w:rsidRPr="00594A23">
        <w:rPr>
          <w:lang w:eastAsia="fr-FR" w:bidi="fr-FR"/>
        </w:rPr>
        <w:t>que. Les déplacements du président à l’étranger constituent d’autres occasions d’affirmer ses idées et de re</w:t>
      </w:r>
      <w:r w:rsidRPr="00594A23">
        <w:rPr>
          <w:lang w:eastAsia="fr-FR" w:bidi="fr-FR"/>
        </w:rPr>
        <w:t>n</w:t>
      </w:r>
      <w:r w:rsidRPr="00594A23">
        <w:rPr>
          <w:lang w:eastAsia="fr-FR" w:bidi="fr-FR"/>
        </w:rPr>
        <w:t>forcer son statut de leader (par exemple, Truman à Yalta, Nixon à Moscou</w:t>
      </w:r>
      <w:r>
        <w:t xml:space="preserve"> </w:t>
      </w:r>
      <w:r>
        <w:rPr>
          <w:lang w:eastAsia="fr-FR" w:bidi="fr-FR"/>
        </w:rPr>
        <w:t xml:space="preserve">[162] </w:t>
      </w:r>
      <w:r w:rsidRPr="001C2E2B">
        <w:rPr>
          <w:lang w:eastAsia="fr-FR" w:bidi="fr-FR"/>
        </w:rPr>
        <w:t>et Bejing, Reagan à Berlin, G.H. Bush dans le golfe Pers</w:t>
      </w:r>
      <w:r w:rsidRPr="001C2E2B">
        <w:rPr>
          <w:lang w:eastAsia="fr-FR" w:bidi="fr-FR"/>
        </w:rPr>
        <w:t>i</w:t>
      </w:r>
      <w:r w:rsidRPr="001C2E2B">
        <w:rPr>
          <w:lang w:eastAsia="fr-FR" w:bidi="fr-FR"/>
        </w:rPr>
        <w:t xml:space="preserve">que). L’énoncé de </w:t>
      </w:r>
      <w:r w:rsidRPr="001C2E2B">
        <w:t>« </w:t>
      </w:r>
      <w:r w:rsidRPr="001C2E2B">
        <w:rPr>
          <w:lang w:eastAsia="fr-FR" w:bidi="fr-FR"/>
        </w:rPr>
        <w:t>grandes</w:t>
      </w:r>
      <w:r w:rsidRPr="001C2E2B">
        <w:t> »</w:t>
      </w:r>
      <w:r w:rsidRPr="001C2E2B">
        <w:rPr>
          <w:lang w:eastAsia="fr-FR" w:bidi="fr-FR"/>
        </w:rPr>
        <w:t xml:space="preserve"> doctrines permet au président d’imprimer sa marque en politique étrangère et de </w:t>
      </w:r>
      <w:r w:rsidRPr="001C2E2B">
        <w:t>« </w:t>
      </w:r>
      <w:r w:rsidRPr="001C2E2B">
        <w:rPr>
          <w:lang w:eastAsia="fr-FR" w:bidi="fr-FR"/>
        </w:rPr>
        <w:t>donner un sens</w:t>
      </w:r>
      <w:r w:rsidRPr="001C2E2B">
        <w:t> »</w:t>
      </w:r>
      <w:r w:rsidRPr="001C2E2B">
        <w:rPr>
          <w:lang w:eastAsia="fr-FR" w:bidi="fr-FR"/>
        </w:rPr>
        <w:t xml:space="preserve"> à sa présidence. À ce titre, les do</w:t>
      </w:r>
      <w:r w:rsidRPr="001C2E2B">
        <w:rPr>
          <w:lang w:eastAsia="fr-FR" w:bidi="fr-FR"/>
        </w:rPr>
        <w:t>c</w:t>
      </w:r>
      <w:r w:rsidRPr="001C2E2B">
        <w:rPr>
          <w:lang w:eastAsia="fr-FR" w:bidi="fr-FR"/>
        </w:rPr>
        <w:t>trines de Truman, sur l’endiguement, ou de G.W. Bush, sur la lutte antiterroriste, ou encore les doctrines de Washin</w:t>
      </w:r>
      <w:r w:rsidRPr="001C2E2B">
        <w:rPr>
          <w:lang w:eastAsia="fr-FR" w:bidi="fr-FR"/>
        </w:rPr>
        <w:t>g</w:t>
      </w:r>
      <w:r w:rsidRPr="001C2E2B">
        <w:rPr>
          <w:lang w:eastAsia="fr-FR" w:bidi="fr-FR"/>
        </w:rPr>
        <w:t>ton, de Monroe ou de T. Roosevelt</w:t>
      </w:r>
      <w:r>
        <w:rPr>
          <w:lang w:eastAsia="fr-FR" w:bidi="fr-FR"/>
        </w:rPr>
        <w:t> </w:t>
      </w:r>
      <w:r>
        <w:rPr>
          <w:rStyle w:val="Appelnotedebasdep"/>
          <w:lang w:eastAsia="fr-FR" w:bidi="fr-FR"/>
        </w:rPr>
        <w:footnoteReference w:id="378"/>
      </w:r>
      <w:r w:rsidRPr="001C2E2B">
        <w:rPr>
          <w:lang w:eastAsia="fr-FR" w:bidi="fr-FR"/>
        </w:rPr>
        <w:t>, ont constitué des tournants i</w:t>
      </w:r>
      <w:r w:rsidRPr="001C2E2B">
        <w:rPr>
          <w:lang w:eastAsia="fr-FR" w:bidi="fr-FR"/>
        </w:rPr>
        <w:t>m</w:t>
      </w:r>
      <w:r w:rsidRPr="001C2E2B">
        <w:rPr>
          <w:lang w:eastAsia="fr-FR" w:bidi="fr-FR"/>
        </w:rPr>
        <w:t>portants de l’histoire contemporaine. Le président laisse un héritage, en ce d</w:t>
      </w:r>
      <w:r w:rsidRPr="001C2E2B">
        <w:rPr>
          <w:lang w:eastAsia="fr-FR" w:bidi="fr-FR"/>
        </w:rPr>
        <w:t>o</w:t>
      </w:r>
      <w:r w:rsidRPr="001C2E2B">
        <w:rPr>
          <w:lang w:eastAsia="fr-FR" w:bidi="fr-FR"/>
        </w:rPr>
        <w:t>maine, e</w:t>
      </w:r>
      <w:r w:rsidRPr="001C2E2B">
        <w:rPr>
          <w:lang w:eastAsia="fr-FR" w:bidi="fr-FR"/>
        </w:rPr>
        <w:t>x</w:t>
      </w:r>
      <w:r w:rsidRPr="001C2E2B">
        <w:rPr>
          <w:lang w:eastAsia="fr-FR" w:bidi="fr-FR"/>
        </w:rPr>
        <w:t>trêmement durable. Mal ou indûment exploitées, à des fins politiques qui suscitent la critique ou l’opprobre de l’opinion publ</w:t>
      </w:r>
      <w:r w:rsidRPr="001C2E2B">
        <w:rPr>
          <w:lang w:eastAsia="fr-FR" w:bidi="fr-FR"/>
        </w:rPr>
        <w:t>i</w:t>
      </w:r>
      <w:r w:rsidRPr="001C2E2B">
        <w:rPr>
          <w:lang w:eastAsia="fr-FR" w:bidi="fr-FR"/>
        </w:rPr>
        <w:t>que, ces ressources sont susceptibles, à l’occasion, de miner les po</w:t>
      </w:r>
      <w:r w:rsidRPr="001C2E2B">
        <w:rPr>
          <w:lang w:eastAsia="fr-FR" w:bidi="fr-FR"/>
        </w:rPr>
        <w:t>u</w:t>
      </w:r>
      <w:r w:rsidRPr="001C2E2B">
        <w:rPr>
          <w:lang w:eastAsia="fr-FR" w:bidi="fr-FR"/>
        </w:rPr>
        <w:t>voirs du président qui ne parvient plus à convaincre et à établir sa cr</w:t>
      </w:r>
      <w:r w:rsidRPr="001C2E2B">
        <w:rPr>
          <w:lang w:eastAsia="fr-FR" w:bidi="fr-FR"/>
        </w:rPr>
        <w:t>é</w:t>
      </w:r>
      <w:r w:rsidRPr="001C2E2B">
        <w:rPr>
          <w:lang w:eastAsia="fr-FR" w:bidi="fr-FR"/>
        </w:rPr>
        <w:t>dibilité. La politique étrangère en ressort alors affaiblie</w:t>
      </w:r>
      <w:r w:rsidRPr="001C2E2B">
        <w:t> :</w:t>
      </w:r>
      <w:r w:rsidRPr="001C2E2B">
        <w:rPr>
          <w:lang w:eastAsia="fr-FR" w:bidi="fr-FR"/>
        </w:rPr>
        <w:t xml:space="preserve"> ce fut le cas par exemple de Johnson, de Nixon et de Carter en fin de préside</w:t>
      </w:r>
      <w:r w:rsidRPr="001C2E2B">
        <w:rPr>
          <w:lang w:eastAsia="fr-FR" w:bidi="fr-FR"/>
        </w:rPr>
        <w:t>n</w:t>
      </w:r>
      <w:r w:rsidRPr="001C2E2B">
        <w:rPr>
          <w:lang w:eastAsia="fr-FR" w:bidi="fr-FR"/>
        </w:rPr>
        <w:t>ce. Cependant, en règle générale, le président exploite avantageus</w:t>
      </w:r>
      <w:r w:rsidRPr="001C2E2B">
        <w:rPr>
          <w:lang w:eastAsia="fr-FR" w:bidi="fr-FR"/>
        </w:rPr>
        <w:t>e</w:t>
      </w:r>
      <w:r w:rsidRPr="001C2E2B">
        <w:rPr>
          <w:lang w:eastAsia="fr-FR" w:bidi="fr-FR"/>
        </w:rPr>
        <w:t>ment la latitude et les ressources que lui procure la conduite de la pol</w:t>
      </w:r>
      <w:r w:rsidRPr="001C2E2B">
        <w:rPr>
          <w:lang w:eastAsia="fr-FR" w:bidi="fr-FR"/>
        </w:rPr>
        <w:t>i</w:t>
      </w:r>
      <w:r w:rsidRPr="001C2E2B">
        <w:rPr>
          <w:lang w:eastAsia="fr-FR" w:bidi="fr-FR"/>
        </w:rPr>
        <w:t>tique étrangère pour asseoir son autorité et sa r</w:t>
      </w:r>
      <w:r w:rsidRPr="001C2E2B">
        <w:rPr>
          <w:lang w:eastAsia="fr-FR" w:bidi="fr-FR"/>
        </w:rPr>
        <w:t>é</w:t>
      </w:r>
      <w:r w:rsidRPr="001C2E2B">
        <w:rPr>
          <w:lang w:eastAsia="fr-FR" w:bidi="fr-FR"/>
        </w:rPr>
        <w:t>putation.</w:t>
      </w:r>
    </w:p>
    <w:p w14:paraId="57EB3F39" w14:textId="77777777" w:rsidR="0039793A" w:rsidRPr="001C2E2B" w:rsidRDefault="0039793A" w:rsidP="0039793A">
      <w:pPr>
        <w:spacing w:before="120" w:after="120"/>
        <w:jc w:val="both"/>
      </w:pPr>
      <w:r w:rsidRPr="001C2E2B">
        <w:rPr>
          <w:lang w:eastAsia="fr-FR" w:bidi="fr-FR"/>
        </w:rPr>
        <w:t>Les pouvoirs formels et informels représentent les dimensions constitutionnelle et politique de l’autorité présidentielle sur la polit</w:t>
      </w:r>
      <w:r w:rsidRPr="001C2E2B">
        <w:rPr>
          <w:lang w:eastAsia="fr-FR" w:bidi="fr-FR"/>
        </w:rPr>
        <w:t>i</w:t>
      </w:r>
      <w:r w:rsidRPr="001C2E2B">
        <w:rPr>
          <w:lang w:eastAsia="fr-FR" w:bidi="fr-FR"/>
        </w:rPr>
        <w:t>que étrangère. L’influence du président ne peut toutefois se rédu</w:t>
      </w:r>
      <w:r w:rsidRPr="001C2E2B">
        <w:rPr>
          <w:lang w:eastAsia="fr-FR" w:bidi="fr-FR"/>
        </w:rPr>
        <w:t>i</w:t>
      </w:r>
      <w:r w:rsidRPr="001C2E2B">
        <w:rPr>
          <w:lang w:eastAsia="fr-FR" w:bidi="fr-FR"/>
        </w:rPr>
        <w:t>re à ces seules dimensions. Alors que la présidence représente le lieu du pouvoir par excellence pour mener la politique étrangère, le président est so</w:t>
      </w:r>
      <w:r w:rsidRPr="001C2E2B">
        <w:rPr>
          <w:lang w:eastAsia="fr-FR" w:bidi="fr-FR"/>
        </w:rPr>
        <w:t>u</w:t>
      </w:r>
      <w:r w:rsidRPr="001C2E2B">
        <w:rPr>
          <w:lang w:eastAsia="fr-FR" w:bidi="fr-FR"/>
        </w:rPr>
        <w:t>vent fort mal préparé à affronter les exigences et les méandres des relations internationales. Les présidents sont avant tout des polit</w:t>
      </w:r>
      <w:r w:rsidRPr="001C2E2B">
        <w:rPr>
          <w:lang w:eastAsia="fr-FR" w:bidi="fr-FR"/>
        </w:rPr>
        <w:t>i</w:t>
      </w:r>
      <w:r w:rsidRPr="001C2E2B">
        <w:rPr>
          <w:lang w:eastAsia="fr-FR" w:bidi="fr-FR"/>
        </w:rPr>
        <w:t xml:space="preserve">ciens, intéressés et formés à la politique intérieure, ayant occupé des postes de gouverneur d’un </w:t>
      </w:r>
      <w:r>
        <w:rPr>
          <w:lang w:eastAsia="fr-FR" w:bidi="fr-FR"/>
        </w:rPr>
        <w:t>État</w:t>
      </w:r>
      <w:r w:rsidRPr="001C2E2B">
        <w:rPr>
          <w:lang w:eastAsia="fr-FR" w:bidi="fr-FR"/>
        </w:rPr>
        <w:t xml:space="preserve"> ou encore de pa</w:t>
      </w:r>
      <w:r w:rsidRPr="001C2E2B">
        <w:rPr>
          <w:lang w:eastAsia="fr-FR" w:bidi="fr-FR"/>
        </w:rPr>
        <w:t>r</w:t>
      </w:r>
      <w:r w:rsidRPr="001C2E2B">
        <w:rPr>
          <w:lang w:eastAsia="fr-FR" w:bidi="fr-FR"/>
        </w:rPr>
        <w:t>lementaire. Peu d’entre eux ont été exposés à des séjours à l’étranger ou ont préal</w:t>
      </w:r>
      <w:r w:rsidRPr="001C2E2B">
        <w:rPr>
          <w:lang w:eastAsia="fr-FR" w:bidi="fr-FR"/>
        </w:rPr>
        <w:t>a</w:t>
      </w:r>
      <w:r w:rsidRPr="001C2E2B">
        <w:rPr>
          <w:lang w:eastAsia="fr-FR" w:bidi="fr-FR"/>
        </w:rPr>
        <w:t xml:space="preserve">blement occupé des fonctions internationales. Au </w:t>
      </w:r>
      <w:r w:rsidRPr="001C2E2B">
        <w:t>XX</w:t>
      </w:r>
      <w:r w:rsidRPr="001C2E2B">
        <w:rPr>
          <w:vertAlign w:val="superscript"/>
        </w:rPr>
        <w:t>e</w:t>
      </w:r>
      <w:r>
        <w:rPr>
          <w:lang w:eastAsia="fr-FR" w:bidi="fr-FR"/>
        </w:rPr>
        <w:t xml:space="preserve"> s</w:t>
      </w:r>
      <w:r w:rsidRPr="001C2E2B">
        <w:rPr>
          <w:lang w:eastAsia="fr-FR" w:bidi="fr-FR"/>
        </w:rPr>
        <w:t>iècle, aucun président n’a été au préalable secrétaire d’</w:t>
      </w:r>
      <w:r>
        <w:rPr>
          <w:lang w:eastAsia="fr-FR" w:bidi="fr-FR"/>
        </w:rPr>
        <w:t>État</w:t>
      </w:r>
      <w:r w:rsidRPr="001C2E2B">
        <w:rPr>
          <w:lang w:eastAsia="fr-FR" w:bidi="fr-FR"/>
        </w:rPr>
        <w:t xml:space="preserve"> (alors que six le furent auparavant). De la même façon, un seul fut général d’armée (Eisen- hower) tandis qu’entre 1789 et 1900, cinq avaient aupar</w:t>
      </w:r>
      <w:r w:rsidRPr="001C2E2B">
        <w:rPr>
          <w:lang w:eastAsia="fr-FR" w:bidi="fr-FR"/>
        </w:rPr>
        <w:t>a</w:t>
      </w:r>
      <w:r w:rsidRPr="001C2E2B">
        <w:rPr>
          <w:lang w:eastAsia="fr-FR" w:bidi="fr-FR"/>
        </w:rPr>
        <w:t>vant occupé cette fonction</w:t>
      </w:r>
      <w:r>
        <w:rPr>
          <w:lang w:eastAsia="fr-FR" w:bidi="fr-FR"/>
        </w:rPr>
        <w:t> </w:t>
      </w:r>
      <w:r>
        <w:rPr>
          <w:rStyle w:val="Appelnotedebasdep"/>
          <w:lang w:eastAsia="fr-FR" w:bidi="fr-FR"/>
        </w:rPr>
        <w:footnoteReference w:id="379"/>
      </w:r>
      <w:r w:rsidRPr="001C2E2B">
        <w:rPr>
          <w:lang w:eastAsia="fr-FR" w:bidi="fr-FR"/>
        </w:rPr>
        <w:t>. En outre, des douze présidents depuis la seconde guerre mondiale, seuls trois (Eisenhower, Nixon et</w:t>
      </w:r>
      <w:r>
        <w:t xml:space="preserve"> [163] </w:t>
      </w:r>
      <w:r w:rsidRPr="001C2E2B">
        <w:rPr>
          <w:lang w:eastAsia="fr-FR" w:bidi="fr-FR"/>
        </w:rPr>
        <w:t>G.H. Bush) peuvent être considérés comme formés et expérimentés dans les affa</w:t>
      </w:r>
      <w:r w:rsidRPr="001C2E2B">
        <w:rPr>
          <w:lang w:eastAsia="fr-FR" w:bidi="fr-FR"/>
        </w:rPr>
        <w:t>i</w:t>
      </w:r>
      <w:r w:rsidRPr="001C2E2B">
        <w:rPr>
          <w:lang w:eastAsia="fr-FR" w:bidi="fr-FR"/>
        </w:rPr>
        <w:t>res intern</w:t>
      </w:r>
      <w:r w:rsidRPr="001C2E2B">
        <w:rPr>
          <w:lang w:eastAsia="fr-FR" w:bidi="fr-FR"/>
        </w:rPr>
        <w:t>a</w:t>
      </w:r>
      <w:r w:rsidRPr="001C2E2B">
        <w:rPr>
          <w:lang w:eastAsia="fr-FR" w:bidi="fr-FR"/>
        </w:rPr>
        <w:t>tionales</w:t>
      </w:r>
      <w:r>
        <w:rPr>
          <w:lang w:eastAsia="fr-FR" w:bidi="fr-FR"/>
        </w:rPr>
        <w:t> </w:t>
      </w:r>
      <w:r>
        <w:rPr>
          <w:rStyle w:val="Appelnotedebasdep"/>
          <w:lang w:eastAsia="fr-FR" w:bidi="fr-FR"/>
        </w:rPr>
        <w:footnoteReference w:id="380"/>
      </w:r>
      <w:r>
        <w:rPr>
          <w:lang w:eastAsia="fr-FR" w:bidi="fr-FR"/>
        </w:rPr>
        <w:t>.</w:t>
      </w:r>
      <w:r w:rsidRPr="001C2E2B">
        <w:rPr>
          <w:lang w:eastAsia="fr-FR" w:bidi="fr-FR"/>
        </w:rPr>
        <w:t xml:space="preserve"> Le président est en fait souvent à l’image de l’Américain moyen</w:t>
      </w:r>
      <w:r w:rsidRPr="001C2E2B">
        <w:t> :</w:t>
      </w:r>
      <w:r w:rsidRPr="001C2E2B">
        <w:rPr>
          <w:lang w:eastAsia="fr-FR" w:bidi="fr-FR"/>
        </w:rPr>
        <w:t xml:space="preserve"> il a peu voyagé et ne s’intéresse guère aux cult</w:t>
      </w:r>
      <w:r w:rsidRPr="001C2E2B">
        <w:rPr>
          <w:lang w:eastAsia="fr-FR" w:bidi="fr-FR"/>
        </w:rPr>
        <w:t>u</w:t>
      </w:r>
      <w:r w:rsidRPr="001C2E2B">
        <w:rPr>
          <w:lang w:eastAsia="fr-FR" w:bidi="fr-FR"/>
        </w:rPr>
        <w:t xml:space="preserve">res et aux langues étrangères. Ce </w:t>
      </w:r>
      <w:r w:rsidRPr="001C2E2B">
        <w:t>« </w:t>
      </w:r>
      <w:r w:rsidRPr="001C2E2B">
        <w:rPr>
          <w:lang w:eastAsia="fr-FR" w:bidi="fr-FR"/>
        </w:rPr>
        <w:t>paroissialisme</w:t>
      </w:r>
      <w:r w:rsidRPr="001C2E2B">
        <w:t> »</w:t>
      </w:r>
      <w:r w:rsidRPr="001C2E2B">
        <w:rPr>
          <w:lang w:eastAsia="fr-FR" w:bidi="fr-FR"/>
        </w:rPr>
        <w:t xml:space="preserve"> constitue une forme d’ethnocentrisme. Paradoxalement, alors que la Maison-Blanche représente le lieu ultime de décision en matière de politique étrangère, c’est aussi le lieu où l’expertise présidentielle est fréque</w:t>
      </w:r>
      <w:r w:rsidRPr="001C2E2B">
        <w:rPr>
          <w:lang w:eastAsia="fr-FR" w:bidi="fr-FR"/>
        </w:rPr>
        <w:t>m</w:t>
      </w:r>
      <w:r w:rsidRPr="001C2E2B">
        <w:rPr>
          <w:lang w:eastAsia="fr-FR" w:bidi="fr-FR"/>
        </w:rPr>
        <w:t>ment la plus déficiente — d’où l’importance démesurée des consei</w:t>
      </w:r>
      <w:r w:rsidRPr="001C2E2B">
        <w:rPr>
          <w:lang w:eastAsia="fr-FR" w:bidi="fr-FR"/>
        </w:rPr>
        <w:t>l</w:t>
      </w:r>
      <w:r w:rsidRPr="001C2E2B">
        <w:rPr>
          <w:lang w:eastAsia="fr-FR" w:bidi="fr-FR"/>
        </w:rPr>
        <w:t>lers du président</w:t>
      </w:r>
      <w:r>
        <w:rPr>
          <w:lang w:eastAsia="fr-FR" w:bidi="fr-FR"/>
        </w:rPr>
        <w:t> </w:t>
      </w:r>
      <w:r>
        <w:rPr>
          <w:rStyle w:val="Appelnotedebasdep"/>
          <w:lang w:eastAsia="fr-FR" w:bidi="fr-FR"/>
        </w:rPr>
        <w:footnoteReference w:id="381"/>
      </w:r>
      <w:r>
        <w:rPr>
          <w:lang w:eastAsia="fr-FR" w:bidi="fr-FR"/>
        </w:rPr>
        <w:t>.</w:t>
      </w:r>
      <w:r w:rsidRPr="001C2E2B">
        <w:rPr>
          <w:lang w:eastAsia="fr-FR" w:bidi="fr-FR"/>
        </w:rPr>
        <w:t xml:space="preserve"> Celui-ci mène la politique extérieure tandis qu’il se forme non seulement à la prise de décision mais également à la substance des enjeux. L’influence présidentielle est donc également d</w:t>
      </w:r>
      <w:r w:rsidRPr="001C2E2B">
        <w:rPr>
          <w:lang w:eastAsia="fr-FR" w:bidi="fr-FR"/>
        </w:rPr>
        <w:t>é</w:t>
      </w:r>
      <w:r w:rsidRPr="001C2E2B">
        <w:rPr>
          <w:lang w:eastAsia="fr-FR" w:bidi="fr-FR"/>
        </w:rPr>
        <w:t>terminée par les caractéristiques particulières d’une présidence</w:t>
      </w:r>
      <w:r w:rsidRPr="001C2E2B">
        <w:t> :</w:t>
      </w:r>
      <w:r w:rsidRPr="001C2E2B">
        <w:rPr>
          <w:lang w:eastAsia="fr-FR" w:bidi="fr-FR"/>
        </w:rPr>
        <w:t xml:space="preserve"> le style décisionnel, les modes de gestion et les pr</w:t>
      </w:r>
      <w:r w:rsidRPr="001C2E2B">
        <w:rPr>
          <w:lang w:eastAsia="fr-FR" w:bidi="fr-FR"/>
        </w:rPr>
        <w:t>é</w:t>
      </w:r>
      <w:r w:rsidRPr="001C2E2B">
        <w:rPr>
          <w:lang w:eastAsia="fr-FR" w:bidi="fr-FR"/>
        </w:rPr>
        <w:t>dispositions du chef de la Maison-Blanche. Les recherches académiques dans ce domaine prése</w:t>
      </w:r>
      <w:r w:rsidRPr="001C2E2B">
        <w:rPr>
          <w:lang w:eastAsia="fr-FR" w:bidi="fr-FR"/>
        </w:rPr>
        <w:t>n</w:t>
      </w:r>
      <w:r w:rsidRPr="001C2E2B">
        <w:rPr>
          <w:lang w:eastAsia="fr-FR" w:bidi="fr-FR"/>
        </w:rPr>
        <w:t>tent une vision plus complexe de l’élaboration de la politique étrangère. Elles dévoilent les caprices et les aléas du processus déc</w:t>
      </w:r>
      <w:r w:rsidRPr="001C2E2B">
        <w:rPr>
          <w:lang w:eastAsia="fr-FR" w:bidi="fr-FR"/>
        </w:rPr>
        <w:t>i</w:t>
      </w:r>
      <w:r w:rsidRPr="001C2E2B">
        <w:rPr>
          <w:lang w:eastAsia="fr-FR" w:bidi="fr-FR"/>
        </w:rPr>
        <w:t>sionnel, et expliquent les succès et les échecs de la diplomatie amér</w:t>
      </w:r>
      <w:r w:rsidRPr="001C2E2B">
        <w:rPr>
          <w:lang w:eastAsia="fr-FR" w:bidi="fr-FR"/>
        </w:rPr>
        <w:t>i</w:t>
      </w:r>
      <w:r w:rsidRPr="001C2E2B">
        <w:rPr>
          <w:lang w:eastAsia="fr-FR" w:bidi="fr-FR"/>
        </w:rPr>
        <w:t>caine. En ce sens, les interprétations de la politique étrangère vont d</w:t>
      </w:r>
      <w:r w:rsidRPr="001C2E2B">
        <w:rPr>
          <w:lang w:eastAsia="fr-FR" w:bidi="fr-FR"/>
        </w:rPr>
        <w:t>a</w:t>
      </w:r>
      <w:r w:rsidRPr="001C2E2B">
        <w:rPr>
          <w:lang w:eastAsia="fr-FR" w:bidi="fr-FR"/>
        </w:rPr>
        <w:t>vantage privilégier les études ponctuelles, évitant ainsi les généralis</w:t>
      </w:r>
      <w:r w:rsidRPr="001C2E2B">
        <w:rPr>
          <w:lang w:eastAsia="fr-FR" w:bidi="fr-FR"/>
        </w:rPr>
        <w:t>a</w:t>
      </w:r>
      <w:r w:rsidRPr="001C2E2B">
        <w:rPr>
          <w:lang w:eastAsia="fr-FR" w:bidi="fr-FR"/>
        </w:rPr>
        <w:t>tions.</w:t>
      </w:r>
    </w:p>
    <w:p w14:paraId="76E559FA" w14:textId="77777777" w:rsidR="0039793A" w:rsidRDefault="0039793A" w:rsidP="0039793A">
      <w:pPr>
        <w:spacing w:before="120" w:after="120"/>
        <w:jc w:val="both"/>
        <w:rPr>
          <w:lang w:eastAsia="fr-FR" w:bidi="fr-FR"/>
        </w:rPr>
      </w:pPr>
    </w:p>
    <w:p w14:paraId="57B9B7B7" w14:textId="77777777" w:rsidR="0039793A" w:rsidRPr="00687758" w:rsidRDefault="0039793A" w:rsidP="0039793A">
      <w:pPr>
        <w:pStyle w:val="planche"/>
      </w:pPr>
      <w:bookmarkStart w:id="22" w:name="Pol_EU_pt_2_chap_05_2"/>
      <w:r w:rsidRPr="00687758">
        <w:rPr>
          <w:lang w:eastAsia="fr-FR" w:bidi="fr-FR"/>
        </w:rPr>
        <w:t>L'approche décisionnelle du président</w:t>
      </w:r>
      <w:r>
        <w:rPr>
          <w:lang w:eastAsia="fr-FR" w:bidi="fr-FR"/>
        </w:rPr>
        <w:br/>
      </w:r>
      <w:r w:rsidRPr="00687758">
        <w:rPr>
          <w:lang w:eastAsia="fr-FR" w:bidi="fr-FR"/>
        </w:rPr>
        <w:t>en polit</w:t>
      </w:r>
      <w:r w:rsidRPr="00687758">
        <w:rPr>
          <w:lang w:eastAsia="fr-FR" w:bidi="fr-FR"/>
        </w:rPr>
        <w:t>i</w:t>
      </w:r>
      <w:r w:rsidRPr="00687758">
        <w:rPr>
          <w:lang w:eastAsia="fr-FR" w:bidi="fr-FR"/>
        </w:rPr>
        <w:t>que étrangère</w:t>
      </w:r>
    </w:p>
    <w:bookmarkEnd w:id="22"/>
    <w:p w14:paraId="0AC9D6E7" w14:textId="77777777" w:rsidR="0039793A" w:rsidRDefault="0039793A" w:rsidP="0039793A">
      <w:pPr>
        <w:spacing w:before="120" w:after="120"/>
        <w:jc w:val="both"/>
        <w:rPr>
          <w:lang w:eastAsia="fr-FR" w:bidi="fr-FR"/>
        </w:rPr>
      </w:pPr>
    </w:p>
    <w:p w14:paraId="7C461336"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75C00C5" w14:textId="77777777" w:rsidR="0039793A" w:rsidRPr="001C2E2B" w:rsidRDefault="0039793A" w:rsidP="0039793A">
      <w:pPr>
        <w:spacing w:before="120" w:after="120"/>
        <w:jc w:val="both"/>
      </w:pPr>
      <w:r w:rsidRPr="001C2E2B">
        <w:rPr>
          <w:lang w:eastAsia="fr-FR" w:bidi="fr-FR"/>
        </w:rPr>
        <w:t>L’analyse décisionnelle est venue enrichir, au cours des dernières décennies, les études de la p</w:t>
      </w:r>
      <w:r w:rsidRPr="001C2E2B">
        <w:rPr>
          <w:lang w:eastAsia="fr-FR" w:bidi="fr-FR"/>
        </w:rPr>
        <w:t>o</w:t>
      </w:r>
      <w:r w:rsidRPr="001C2E2B">
        <w:rPr>
          <w:lang w:eastAsia="fr-FR" w:bidi="fr-FR"/>
        </w:rPr>
        <w:t xml:space="preserve">litique étrangère et tout spécialement celle des </w:t>
      </w:r>
      <w:r>
        <w:rPr>
          <w:lang w:eastAsia="fr-FR" w:bidi="fr-FR"/>
        </w:rPr>
        <w:t>État</w:t>
      </w:r>
      <w:r w:rsidRPr="001C2E2B">
        <w:rPr>
          <w:lang w:eastAsia="fr-FR" w:bidi="fr-FR"/>
        </w:rPr>
        <w:t>s-Unis. La présidence a ainsi retenu l’attention des che</w:t>
      </w:r>
      <w:r w:rsidRPr="001C2E2B">
        <w:rPr>
          <w:lang w:eastAsia="fr-FR" w:bidi="fr-FR"/>
        </w:rPr>
        <w:t>r</w:t>
      </w:r>
      <w:r w:rsidRPr="001C2E2B">
        <w:rPr>
          <w:lang w:eastAsia="fr-FR" w:bidi="fr-FR"/>
        </w:rPr>
        <w:t>cheurs, notamment des politologues mais aussi des psychologues et des historiens, qui ont voulu cerner le caractère et la personnalité des présidents. Certaines contributions sont particulièr</w:t>
      </w:r>
      <w:r w:rsidRPr="001C2E2B">
        <w:rPr>
          <w:lang w:eastAsia="fr-FR" w:bidi="fr-FR"/>
        </w:rPr>
        <w:t>e</w:t>
      </w:r>
      <w:r w:rsidRPr="001C2E2B">
        <w:rPr>
          <w:lang w:eastAsia="fr-FR" w:bidi="fr-FR"/>
        </w:rPr>
        <w:t>ment importantes et jettent un éclairage nouveau sur l’élaboration de la politique étra</w:t>
      </w:r>
      <w:r w:rsidRPr="001C2E2B">
        <w:rPr>
          <w:lang w:eastAsia="fr-FR" w:bidi="fr-FR"/>
        </w:rPr>
        <w:t>n</w:t>
      </w:r>
      <w:r w:rsidRPr="001C2E2B">
        <w:rPr>
          <w:lang w:eastAsia="fr-FR" w:bidi="fr-FR"/>
        </w:rPr>
        <w:t>gère. L’hypothèse de base de ces recherches est commune</w:t>
      </w:r>
      <w:r w:rsidRPr="001C2E2B">
        <w:t> :</w:t>
      </w:r>
      <w:r w:rsidRPr="001C2E2B">
        <w:rPr>
          <w:lang w:eastAsia="fr-FR" w:bidi="fr-FR"/>
        </w:rPr>
        <w:t xml:space="preserve"> d’une pr</w:t>
      </w:r>
      <w:r w:rsidRPr="001C2E2B">
        <w:rPr>
          <w:lang w:eastAsia="fr-FR" w:bidi="fr-FR"/>
        </w:rPr>
        <w:t>é</w:t>
      </w:r>
      <w:r w:rsidRPr="001C2E2B">
        <w:rPr>
          <w:lang w:eastAsia="fr-FR" w:bidi="fr-FR"/>
        </w:rPr>
        <w:t>sidence à l’autre, le style prés</w:t>
      </w:r>
      <w:r w:rsidRPr="001C2E2B">
        <w:rPr>
          <w:lang w:eastAsia="fr-FR" w:bidi="fr-FR"/>
        </w:rPr>
        <w:t>i</w:t>
      </w:r>
      <w:r w:rsidRPr="001C2E2B">
        <w:rPr>
          <w:lang w:eastAsia="fr-FR" w:bidi="fr-FR"/>
        </w:rPr>
        <w:t>dentiel et les modes de gestions de la prise</w:t>
      </w:r>
      <w:r>
        <w:t xml:space="preserve"> [164] </w:t>
      </w:r>
      <w:r w:rsidRPr="001C2E2B">
        <w:rPr>
          <w:lang w:eastAsia="fr-FR" w:bidi="fr-FR"/>
        </w:rPr>
        <w:t>de décision varient au point où la politique étrangère ne peut être expliquée de manière glob</w:t>
      </w:r>
      <w:r w:rsidRPr="001C2E2B">
        <w:rPr>
          <w:lang w:eastAsia="fr-FR" w:bidi="fr-FR"/>
        </w:rPr>
        <w:t>a</w:t>
      </w:r>
      <w:r w:rsidRPr="001C2E2B">
        <w:rPr>
          <w:lang w:eastAsia="fr-FR" w:bidi="fr-FR"/>
        </w:rPr>
        <w:t>le, objective et constante. Elle serait plutôt le fruit de la conjonction de prédispositions personnelles, de convi</w:t>
      </w:r>
      <w:r w:rsidRPr="001C2E2B">
        <w:rPr>
          <w:lang w:eastAsia="fr-FR" w:bidi="fr-FR"/>
        </w:rPr>
        <w:t>c</w:t>
      </w:r>
      <w:r w:rsidRPr="001C2E2B">
        <w:rPr>
          <w:lang w:eastAsia="fr-FR" w:bidi="fr-FR"/>
        </w:rPr>
        <w:t xml:space="preserve">tions politiques et de formes d’organisations particulières </w:t>
      </w:r>
      <w:r w:rsidRPr="001C2E2B">
        <w:t xml:space="preserve">à </w:t>
      </w:r>
      <w:r w:rsidRPr="001C2E2B">
        <w:rPr>
          <w:lang w:eastAsia="fr-FR" w:bidi="fr-FR"/>
        </w:rPr>
        <w:t>chacune des présidences, ce qui rend toute tentative de généralisation incomplète. La personnalité, la pensée et le système de gestion du pr</w:t>
      </w:r>
      <w:r w:rsidRPr="001C2E2B">
        <w:rPr>
          <w:lang w:eastAsia="fr-FR" w:bidi="fr-FR"/>
        </w:rPr>
        <w:t>é</w:t>
      </w:r>
      <w:r w:rsidRPr="001C2E2B">
        <w:rPr>
          <w:lang w:eastAsia="fr-FR" w:bidi="fr-FR"/>
        </w:rPr>
        <w:t xml:space="preserve">sident influencent et transforment </w:t>
      </w:r>
      <w:r w:rsidRPr="001C2E2B">
        <w:t xml:space="preserve">à </w:t>
      </w:r>
      <w:r w:rsidRPr="001C2E2B">
        <w:rPr>
          <w:lang w:eastAsia="fr-FR" w:bidi="fr-FR"/>
        </w:rPr>
        <w:t>ce point le cours de la politique étrang</w:t>
      </w:r>
      <w:r w:rsidRPr="001C2E2B">
        <w:rPr>
          <w:lang w:eastAsia="fr-FR" w:bidi="fr-FR"/>
        </w:rPr>
        <w:t>è</w:t>
      </w:r>
      <w:r w:rsidRPr="001C2E2B">
        <w:rPr>
          <w:lang w:eastAsia="fr-FR" w:bidi="fr-FR"/>
        </w:rPr>
        <w:t>re que toute prédiction — sur l’orientation et les motivations de celle-ci — est vaine. Il n’y aurait d’explication de cette politique que dans les particularismes des administrations présidentielles qui se sont su</w:t>
      </w:r>
      <w:r w:rsidRPr="001C2E2B">
        <w:rPr>
          <w:lang w:eastAsia="fr-FR" w:bidi="fr-FR"/>
        </w:rPr>
        <w:t>c</w:t>
      </w:r>
      <w:r w:rsidRPr="001C2E2B">
        <w:rPr>
          <w:lang w:eastAsia="fr-FR" w:bidi="fr-FR"/>
        </w:rPr>
        <w:t>cédé.</w:t>
      </w:r>
    </w:p>
    <w:p w14:paraId="0F964CAD" w14:textId="77777777" w:rsidR="0039793A" w:rsidRDefault="0039793A" w:rsidP="0039793A">
      <w:pPr>
        <w:spacing w:before="120" w:after="120"/>
        <w:jc w:val="both"/>
        <w:rPr>
          <w:lang w:eastAsia="fr-FR" w:bidi="fr-FR"/>
        </w:rPr>
      </w:pPr>
    </w:p>
    <w:p w14:paraId="14084ACA" w14:textId="77777777" w:rsidR="0039793A" w:rsidRPr="001C2E2B" w:rsidRDefault="0039793A" w:rsidP="0039793A">
      <w:pPr>
        <w:pStyle w:val="a"/>
      </w:pPr>
      <w:r w:rsidRPr="001C2E2B">
        <w:t>Le style présidentiel</w:t>
      </w:r>
    </w:p>
    <w:p w14:paraId="1D29D4DE" w14:textId="77777777" w:rsidR="0039793A" w:rsidRDefault="0039793A" w:rsidP="0039793A">
      <w:pPr>
        <w:spacing w:before="120" w:after="120"/>
        <w:jc w:val="both"/>
        <w:rPr>
          <w:lang w:eastAsia="fr-FR" w:bidi="fr-FR"/>
        </w:rPr>
      </w:pPr>
    </w:p>
    <w:p w14:paraId="68D805F0" w14:textId="77777777" w:rsidR="0039793A" w:rsidRPr="001C2E2B" w:rsidRDefault="0039793A" w:rsidP="0039793A">
      <w:pPr>
        <w:spacing w:before="120" w:after="120"/>
        <w:jc w:val="both"/>
      </w:pPr>
      <w:r w:rsidRPr="001C2E2B">
        <w:rPr>
          <w:lang w:eastAsia="fr-FR" w:bidi="fr-FR"/>
        </w:rPr>
        <w:t>Le style décisionnel de chaque président est déterminé par deux s</w:t>
      </w:r>
      <w:r w:rsidRPr="001C2E2B">
        <w:rPr>
          <w:lang w:eastAsia="fr-FR" w:bidi="fr-FR"/>
        </w:rPr>
        <w:t>é</w:t>
      </w:r>
      <w:r w:rsidRPr="001C2E2B">
        <w:rPr>
          <w:lang w:eastAsia="fr-FR" w:bidi="fr-FR"/>
        </w:rPr>
        <w:t>ries de facteurs</w:t>
      </w:r>
      <w:r w:rsidRPr="001C2E2B">
        <w:t> :</w:t>
      </w:r>
      <w:r w:rsidRPr="001C2E2B">
        <w:rPr>
          <w:lang w:eastAsia="fr-FR" w:bidi="fr-FR"/>
        </w:rPr>
        <w:t xml:space="preserve"> d’une part son caractère et sa personnalité, d’autre part les qual</w:t>
      </w:r>
      <w:r w:rsidRPr="001C2E2B">
        <w:rPr>
          <w:lang w:eastAsia="fr-FR" w:bidi="fr-FR"/>
        </w:rPr>
        <w:t>i</w:t>
      </w:r>
      <w:r w:rsidRPr="001C2E2B">
        <w:rPr>
          <w:lang w:eastAsia="fr-FR" w:bidi="fr-FR"/>
        </w:rPr>
        <w:t>tés et la nature du leadership dont il fait preuve. L’étude du caractère et de la personnalité constitue une approche désormais largement reconnue dans le monde anglo-saxon, quoique souvent moins connue des américanologues francophones. A</w:t>
      </w:r>
      <w:r w:rsidRPr="001C2E2B">
        <w:rPr>
          <w:lang w:eastAsia="fr-FR" w:bidi="fr-FR"/>
        </w:rPr>
        <w:t>u</w:t>
      </w:r>
      <w:r w:rsidRPr="001C2E2B">
        <w:rPr>
          <w:lang w:eastAsia="fr-FR" w:bidi="fr-FR"/>
        </w:rPr>
        <w:t>cun chef d’</w:t>
      </w:r>
      <w:r>
        <w:rPr>
          <w:lang w:eastAsia="fr-FR" w:bidi="fr-FR"/>
        </w:rPr>
        <w:t>État</w:t>
      </w:r>
      <w:r w:rsidRPr="001C2E2B">
        <w:rPr>
          <w:lang w:eastAsia="fr-FR" w:bidi="fr-FR"/>
        </w:rPr>
        <w:t xml:space="preserve"> n’est pourtant autant étudié que le président américain</w:t>
      </w:r>
      <w:r w:rsidRPr="001C2E2B">
        <w:t> :</w:t>
      </w:r>
      <w:r w:rsidRPr="001C2E2B">
        <w:rPr>
          <w:lang w:eastAsia="fr-FR" w:bidi="fr-FR"/>
        </w:rPr>
        <w:t xml:space="preserve"> historiens, politologues et psychologues se penchent sur les moindres faits et e</w:t>
      </w:r>
      <w:r w:rsidRPr="001C2E2B">
        <w:rPr>
          <w:lang w:eastAsia="fr-FR" w:bidi="fr-FR"/>
        </w:rPr>
        <w:t>x</w:t>
      </w:r>
      <w:r w:rsidRPr="001C2E2B">
        <w:rPr>
          <w:lang w:eastAsia="fr-FR" w:bidi="fr-FR"/>
        </w:rPr>
        <w:t xml:space="preserve">périences de la vie de l’homme qui siège </w:t>
      </w:r>
      <w:r w:rsidRPr="001C2E2B">
        <w:t xml:space="preserve">à </w:t>
      </w:r>
      <w:r w:rsidRPr="001C2E2B">
        <w:rPr>
          <w:lang w:eastAsia="fr-FR" w:bidi="fr-FR"/>
        </w:rPr>
        <w:t>la Maison-Blanche. Ainsi, il est courant de voir les présidents décrits ou étiquetés comme des moralisateurs (par exemple Wilson ou Carter), des idéologues (Re</w:t>
      </w:r>
      <w:r w:rsidRPr="001C2E2B">
        <w:rPr>
          <w:lang w:eastAsia="fr-FR" w:bidi="fr-FR"/>
        </w:rPr>
        <w:t>a</w:t>
      </w:r>
      <w:r w:rsidRPr="001C2E2B">
        <w:rPr>
          <w:lang w:eastAsia="fr-FR" w:bidi="fr-FR"/>
        </w:rPr>
        <w:t>gan ou G.W. Bush), des pragmatistes (Nixon ou G.H. Bush), des fa</w:t>
      </w:r>
      <w:r w:rsidRPr="001C2E2B">
        <w:rPr>
          <w:lang w:eastAsia="fr-FR" w:bidi="fr-FR"/>
        </w:rPr>
        <w:t>u</w:t>
      </w:r>
      <w:r w:rsidRPr="001C2E2B">
        <w:rPr>
          <w:lang w:eastAsia="fr-FR" w:bidi="fr-FR"/>
        </w:rPr>
        <w:t>cons (Nixon, Re</w:t>
      </w:r>
      <w:r w:rsidRPr="001C2E2B">
        <w:rPr>
          <w:lang w:eastAsia="fr-FR" w:bidi="fr-FR"/>
        </w:rPr>
        <w:t>a</w:t>
      </w:r>
      <w:r w:rsidRPr="001C2E2B">
        <w:rPr>
          <w:lang w:eastAsia="fr-FR" w:bidi="fr-FR"/>
        </w:rPr>
        <w:t xml:space="preserve">gan) ou encore des colombes (Carter) — et de lire comment leur éducation, leur vie et leur carrière les ont amenés </w:t>
      </w:r>
      <w:r w:rsidRPr="001C2E2B">
        <w:t xml:space="preserve">à </w:t>
      </w:r>
      <w:r w:rsidRPr="001C2E2B">
        <w:rPr>
          <w:lang w:eastAsia="fr-FR" w:bidi="fr-FR"/>
        </w:rPr>
        <w:t>d</w:t>
      </w:r>
      <w:r w:rsidRPr="001C2E2B">
        <w:rPr>
          <w:lang w:eastAsia="fr-FR" w:bidi="fr-FR"/>
        </w:rPr>
        <w:t>é</w:t>
      </w:r>
      <w:r w:rsidRPr="001C2E2B">
        <w:rPr>
          <w:lang w:eastAsia="fr-FR" w:bidi="fr-FR"/>
        </w:rPr>
        <w:t>velopper ces orientations</w:t>
      </w:r>
      <w:r>
        <w:rPr>
          <w:lang w:eastAsia="fr-FR" w:bidi="fr-FR"/>
        </w:rPr>
        <w:t> </w:t>
      </w:r>
      <w:r>
        <w:rPr>
          <w:rStyle w:val="Appelnotedebasdep"/>
          <w:lang w:eastAsia="fr-FR" w:bidi="fr-FR"/>
        </w:rPr>
        <w:footnoteReference w:id="382"/>
      </w:r>
      <w:r>
        <w:rPr>
          <w:lang w:eastAsia="fr-FR" w:bidi="fr-FR"/>
        </w:rPr>
        <w:t>.</w:t>
      </w:r>
      <w:r w:rsidRPr="001C2E2B">
        <w:rPr>
          <w:lang w:eastAsia="fr-FR" w:bidi="fr-FR"/>
        </w:rPr>
        <w:t xml:space="preserve"> Par ailleurs, des biographies soulignent les traits pe</w:t>
      </w:r>
      <w:r w:rsidRPr="001C2E2B">
        <w:rPr>
          <w:lang w:eastAsia="fr-FR" w:bidi="fr-FR"/>
        </w:rPr>
        <w:t>r</w:t>
      </w:r>
      <w:r w:rsidRPr="001C2E2B">
        <w:rPr>
          <w:lang w:eastAsia="fr-FR" w:bidi="fr-FR"/>
        </w:rPr>
        <w:t xml:space="preserve">sonnels et les aptitudes d’un président et montrent que leur approche décisionnelle, une fois </w:t>
      </w:r>
      <w:r w:rsidRPr="001C2E2B">
        <w:t xml:space="preserve">à </w:t>
      </w:r>
      <w:r w:rsidRPr="001C2E2B">
        <w:rPr>
          <w:lang w:eastAsia="fr-FR" w:bidi="fr-FR"/>
        </w:rPr>
        <w:t>la Maison-Blanche, est la conséquence de leur passé psychologique</w:t>
      </w:r>
      <w:r>
        <w:rPr>
          <w:lang w:eastAsia="fr-FR" w:bidi="fr-FR"/>
        </w:rPr>
        <w:t> </w:t>
      </w:r>
      <w:r>
        <w:rPr>
          <w:rStyle w:val="Appelnotedebasdep"/>
          <w:lang w:eastAsia="fr-FR" w:bidi="fr-FR"/>
        </w:rPr>
        <w:footnoteReference w:id="383"/>
      </w:r>
      <w:r w:rsidRPr="001C2E2B">
        <w:rPr>
          <w:lang w:eastAsia="fr-FR" w:bidi="fr-FR"/>
        </w:rPr>
        <w:t>. Quatre auteurs ont pa</w:t>
      </w:r>
      <w:r w:rsidRPr="001C2E2B">
        <w:rPr>
          <w:lang w:eastAsia="fr-FR" w:bidi="fr-FR"/>
        </w:rPr>
        <w:t>r</w:t>
      </w:r>
      <w:r w:rsidRPr="001C2E2B">
        <w:rPr>
          <w:lang w:eastAsia="fr-FR" w:bidi="fr-FR"/>
        </w:rPr>
        <w:t>ticuli</w:t>
      </w:r>
      <w:r w:rsidRPr="001C2E2B">
        <w:rPr>
          <w:lang w:eastAsia="fr-FR" w:bidi="fr-FR"/>
        </w:rPr>
        <w:t>è</w:t>
      </w:r>
      <w:r w:rsidRPr="001C2E2B">
        <w:rPr>
          <w:lang w:eastAsia="fr-FR" w:bidi="fr-FR"/>
        </w:rPr>
        <w:t>rement enrichi l’étude de la présidence, de la politique étrangère et de la prise de décision en concentrant leur approche sur l’influence de</w:t>
      </w:r>
      <w:r>
        <w:t xml:space="preserve"> [165] </w:t>
      </w:r>
      <w:r w:rsidRPr="001C2E2B">
        <w:rPr>
          <w:lang w:eastAsia="fr-FR" w:bidi="fr-FR"/>
        </w:rPr>
        <w:t>la personnalité, de même que sur les qualités de leadership, des présidents sur la politique étrang</w:t>
      </w:r>
      <w:r w:rsidRPr="001C2E2B">
        <w:rPr>
          <w:lang w:eastAsia="fr-FR" w:bidi="fr-FR"/>
        </w:rPr>
        <w:t>è</w:t>
      </w:r>
      <w:r w:rsidRPr="001C2E2B">
        <w:rPr>
          <w:lang w:eastAsia="fr-FR" w:bidi="fr-FR"/>
        </w:rPr>
        <w:t>re.</w:t>
      </w:r>
    </w:p>
    <w:p w14:paraId="4268B85B" w14:textId="77777777" w:rsidR="0039793A" w:rsidRDefault="0039793A" w:rsidP="0039793A">
      <w:pPr>
        <w:spacing w:before="120" w:after="120"/>
        <w:jc w:val="both"/>
        <w:rPr>
          <w:lang w:eastAsia="fr-FR" w:bidi="fr-FR"/>
        </w:rPr>
      </w:pPr>
      <w:r>
        <w:rPr>
          <w:lang w:eastAsia="fr-FR" w:bidi="fr-FR"/>
        </w:rPr>
        <w:br w:type="page"/>
      </w:r>
    </w:p>
    <w:p w14:paraId="467551AD" w14:textId="77777777" w:rsidR="0039793A" w:rsidRPr="00687758" w:rsidRDefault="0039793A" w:rsidP="0039793A">
      <w:pPr>
        <w:pStyle w:val="b"/>
      </w:pPr>
      <w:r w:rsidRPr="00687758">
        <w:rPr>
          <w:lang w:eastAsia="fr-FR" w:bidi="fr-FR"/>
        </w:rPr>
        <w:t>L’analyse de James David Barber</w:t>
      </w:r>
    </w:p>
    <w:p w14:paraId="1DCB32CA" w14:textId="77777777" w:rsidR="0039793A" w:rsidRDefault="0039793A" w:rsidP="0039793A">
      <w:pPr>
        <w:spacing w:before="120" w:after="120"/>
        <w:jc w:val="both"/>
        <w:rPr>
          <w:lang w:eastAsia="fr-FR" w:bidi="fr-FR"/>
        </w:rPr>
      </w:pPr>
    </w:p>
    <w:p w14:paraId="17683A2A" w14:textId="77777777" w:rsidR="0039793A" w:rsidRPr="001C2E2B" w:rsidRDefault="0039793A" w:rsidP="0039793A">
      <w:pPr>
        <w:spacing w:before="120" w:after="120"/>
        <w:jc w:val="both"/>
      </w:pPr>
      <w:r w:rsidRPr="001C2E2B">
        <w:rPr>
          <w:lang w:eastAsia="fr-FR" w:bidi="fr-FR"/>
        </w:rPr>
        <w:t>La contribution du politologue, spécialisé en psychologie, James David Barber est l’une des plus importantes</w:t>
      </w:r>
      <w:r>
        <w:rPr>
          <w:lang w:eastAsia="fr-FR" w:bidi="fr-FR"/>
        </w:rPr>
        <w:t> </w:t>
      </w:r>
      <w:r>
        <w:rPr>
          <w:rStyle w:val="Appelnotedebasdep"/>
          <w:lang w:eastAsia="fr-FR" w:bidi="fr-FR"/>
        </w:rPr>
        <w:footnoteReference w:id="384"/>
      </w:r>
      <w:r>
        <w:rPr>
          <w:lang w:eastAsia="fr-FR" w:bidi="fr-FR"/>
        </w:rPr>
        <w:t>.</w:t>
      </w:r>
      <w:r w:rsidRPr="001C2E2B">
        <w:rPr>
          <w:lang w:eastAsia="fr-FR" w:bidi="fr-FR"/>
        </w:rPr>
        <w:t xml:space="preserve"> Dans </w:t>
      </w:r>
      <w:r w:rsidRPr="00687758">
        <w:rPr>
          <w:i/>
          <w:iCs/>
        </w:rPr>
        <w:t>The Preside</w:t>
      </w:r>
      <w:r w:rsidRPr="00687758">
        <w:rPr>
          <w:i/>
          <w:iCs/>
        </w:rPr>
        <w:t>n</w:t>
      </w:r>
      <w:r w:rsidRPr="00687758">
        <w:rPr>
          <w:i/>
          <w:iCs/>
        </w:rPr>
        <w:t>tial Character</w:t>
      </w:r>
      <w:r w:rsidRPr="001C2E2B">
        <w:rPr>
          <w:lang w:eastAsia="fr-FR" w:bidi="fr-FR"/>
        </w:rPr>
        <w:t>, Barber définit la personnalité du président comme le produit de son caractère (autrement dit le façonnement de son co</w:t>
      </w:r>
      <w:r w:rsidRPr="001C2E2B">
        <w:rPr>
          <w:lang w:eastAsia="fr-FR" w:bidi="fr-FR"/>
        </w:rPr>
        <w:t>m</w:t>
      </w:r>
      <w:r w:rsidRPr="001C2E2B">
        <w:rPr>
          <w:lang w:eastAsia="fr-FR" w:bidi="fr-FR"/>
        </w:rPr>
        <w:t>portement dès le jeune âge), de sa vision du monde (son système de v</w:t>
      </w:r>
      <w:r w:rsidRPr="001C2E2B">
        <w:rPr>
          <w:lang w:eastAsia="fr-FR" w:bidi="fr-FR"/>
        </w:rPr>
        <w:t>a</w:t>
      </w:r>
      <w:r w:rsidRPr="001C2E2B">
        <w:rPr>
          <w:lang w:eastAsia="fr-FR" w:bidi="fr-FR"/>
        </w:rPr>
        <w:t>leurs), et de son style (son adaptation au milieu de travail). La somme de ces facteurs, étudiés d’un président à l’autre, définit deux axes d’analyse de la personnalité.</w:t>
      </w:r>
    </w:p>
    <w:p w14:paraId="148C1B60" w14:textId="77777777" w:rsidR="0039793A" w:rsidRPr="001C2E2B" w:rsidRDefault="0039793A" w:rsidP="0039793A">
      <w:pPr>
        <w:spacing w:before="120" w:after="120"/>
        <w:jc w:val="both"/>
      </w:pPr>
      <w:r w:rsidRPr="001C2E2B">
        <w:rPr>
          <w:lang w:eastAsia="fr-FR" w:bidi="fr-FR"/>
        </w:rPr>
        <w:t>Le premier axe évalue la propension du président à adopter une a</w:t>
      </w:r>
      <w:r w:rsidRPr="001C2E2B">
        <w:rPr>
          <w:lang w:eastAsia="fr-FR" w:bidi="fr-FR"/>
        </w:rPr>
        <w:t>t</w:t>
      </w:r>
      <w:r w:rsidRPr="001C2E2B">
        <w:rPr>
          <w:lang w:eastAsia="fr-FR" w:bidi="fr-FR"/>
        </w:rPr>
        <w:t>titude active ou passive envers son rôle et ses tâches. Ainsi, les prés</w:t>
      </w:r>
      <w:r w:rsidRPr="001C2E2B">
        <w:rPr>
          <w:lang w:eastAsia="fr-FR" w:bidi="fr-FR"/>
        </w:rPr>
        <w:t>i</w:t>
      </w:r>
      <w:r w:rsidRPr="001C2E2B">
        <w:rPr>
          <w:lang w:eastAsia="fr-FR" w:bidi="fr-FR"/>
        </w:rPr>
        <w:t xml:space="preserve">dents </w:t>
      </w:r>
      <w:r w:rsidRPr="001C2E2B">
        <w:t>« </w:t>
      </w:r>
      <w:r w:rsidRPr="001C2E2B">
        <w:rPr>
          <w:lang w:eastAsia="fr-FR" w:bidi="fr-FR"/>
        </w:rPr>
        <w:t>actifs</w:t>
      </w:r>
      <w:r w:rsidRPr="001C2E2B">
        <w:t> »</w:t>
      </w:r>
      <w:r w:rsidRPr="001C2E2B">
        <w:rPr>
          <w:lang w:eastAsia="fr-FR" w:bidi="fr-FR"/>
        </w:rPr>
        <w:t xml:space="preserve"> manifestent un fort leadership et s’impliquent dans chaque étape du processus déc</w:t>
      </w:r>
      <w:r w:rsidRPr="001C2E2B">
        <w:rPr>
          <w:lang w:eastAsia="fr-FR" w:bidi="fr-FR"/>
        </w:rPr>
        <w:t>i</w:t>
      </w:r>
      <w:r w:rsidRPr="001C2E2B">
        <w:rPr>
          <w:lang w:eastAsia="fr-FR" w:bidi="fr-FR"/>
        </w:rPr>
        <w:t xml:space="preserve">sionnel. Les présidents </w:t>
      </w:r>
      <w:r w:rsidRPr="001C2E2B">
        <w:t>« </w:t>
      </w:r>
      <w:r w:rsidRPr="001C2E2B">
        <w:rPr>
          <w:lang w:eastAsia="fr-FR" w:bidi="fr-FR"/>
        </w:rPr>
        <w:t>passifs</w:t>
      </w:r>
      <w:r w:rsidRPr="001C2E2B">
        <w:t> »</w:t>
      </w:r>
      <w:r w:rsidRPr="001C2E2B">
        <w:rPr>
          <w:lang w:eastAsia="fr-FR" w:bidi="fr-FR"/>
        </w:rPr>
        <w:t xml:space="preserve"> fuient au contraire les initiatives et délaissent à leurs conseillers le soin de définir les politiques.</w:t>
      </w:r>
    </w:p>
    <w:p w14:paraId="5E02FB9A" w14:textId="77777777" w:rsidR="0039793A" w:rsidRPr="001C2E2B" w:rsidRDefault="0039793A" w:rsidP="0039793A">
      <w:pPr>
        <w:spacing w:before="120" w:after="120"/>
        <w:jc w:val="both"/>
      </w:pPr>
      <w:r w:rsidRPr="001C2E2B">
        <w:rPr>
          <w:lang w:eastAsia="fr-FR" w:bidi="fr-FR"/>
        </w:rPr>
        <w:t>Le second axe juge la manière, positive ou n</w:t>
      </w:r>
      <w:r w:rsidRPr="001C2E2B">
        <w:rPr>
          <w:lang w:eastAsia="fr-FR" w:bidi="fr-FR"/>
        </w:rPr>
        <w:t>é</w:t>
      </w:r>
      <w:r w:rsidRPr="001C2E2B">
        <w:rPr>
          <w:lang w:eastAsia="fr-FR" w:bidi="fr-FR"/>
        </w:rPr>
        <w:t>gative, par laquelle le président interprète les exp</w:t>
      </w:r>
      <w:r w:rsidRPr="001C2E2B">
        <w:rPr>
          <w:lang w:eastAsia="fr-FR" w:bidi="fr-FR"/>
        </w:rPr>
        <w:t>é</w:t>
      </w:r>
      <w:r w:rsidRPr="001C2E2B">
        <w:rPr>
          <w:lang w:eastAsia="fr-FR" w:bidi="fr-FR"/>
        </w:rPr>
        <w:t xml:space="preserve">riences et les réalisations, de même que les succès et les échecs de sa présidence. Les présidents </w:t>
      </w:r>
      <w:r w:rsidRPr="001C2E2B">
        <w:t>« </w:t>
      </w:r>
      <w:r w:rsidRPr="001C2E2B">
        <w:rPr>
          <w:lang w:eastAsia="fr-FR" w:bidi="fr-FR"/>
        </w:rPr>
        <w:t>positifs</w:t>
      </w:r>
      <w:r w:rsidRPr="001C2E2B">
        <w:t> »</w:t>
      </w:r>
      <w:r w:rsidRPr="001C2E2B">
        <w:rPr>
          <w:lang w:eastAsia="fr-FR" w:bidi="fr-FR"/>
        </w:rPr>
        <w:t xml:space="preserve"> sont enthousiastes et dynamiques, et surmontent l’adversité par une foi inébranlable dans leur contribution. En revanche, les présidents </w:t>
      </w:r>
      <w:r w:rsidRPr="001C2E2B">
        <w:t>« </w:t>
      </w:r>
      <w:r w:rsidRPr="001C2E2B">
        <w:rPr>
          <w:lang w:eastAsia="fr-FR" w:bidi="fr-FR"/>
        </w:rPr>
        <w:t>négatifs</w:t>
      </w:r>
      <w:r w:rsidRPr="001C2E2B">
        <w:t> »</w:t>
      </w:r>
      <w:r w:rsidRPr="001C2E2B">
        <w:rPr>
          <w:lang w:eastAsia="fr-FR" w:bidi="fr-FR"/>
        </w:rPr>
        <w:t xml:space="preserve"> croulent sous le poids des responsab</w:t>
      </w:r>
      <w:r w:rsidRPr="001C2E2B">
        <w:rPr>
          <w:lang w:eastAsia="fr-FR" w:bidi="fr-FR"/>
        </w:rPr>
        <w:t>i</w:t>
      </w:r>
      <w:r w:rsidRPr="001C2E2B">
        <w:rPr>
          <w:lang w:eastAsia="fr-FR" w:bidi="fr-FR"/>
        </w:rPr>
        <w:t>lités et blâment leurs conseillers pour les revers de leur présidence.</w:t>
      </w:r>
    </w:p>
    <w:p w14:paraId="337B38F5" w14:textId="77777777" w:rsidR="0039793A" w:rsidRPr="001C2E2B" w:rsidRDefault="0039793A" w:rsidP="0039793A">
      <w:pPr>
        <w:spacing w:before="120" w:after="120"/>
        <w:jc w:val="both"/>
      </w:pPr>
      <w:r w:rsidRPr="001C2E2B">
        <w:rPr>
          <w:lang w:eastAsia="fr-FR" w:bidi="fr-FR"/>
        </w:rPr>
        <w:t>Par conséquent, quatre styles cognitifs déco</w:t>
      </w:r>
      <w:r w:rsidRPr="001C2E2B">
        <w:rPr>
          <w:lang w:eastAsia="fr-FR" w:bidi="fr-FR"/>
        </w:rPr>
        <w:t>u</w:t>
      </w:r>
      <w:r w:rsidRPr="001C2E2B">
        <w:rPr>
          <w:lang w:eastAsia="fr-FR" w:bidi="fr-FR"/>
        </w:rPr>
        <w:t>lent de l’analyse de Barber et permettent de corr</w:t>
      </w:r>
      <w:r w:rsidRPr="001C2E2B">
        <w:rPr>
          <w:lang w:eastAsia="fr-FR" w:bidi="fr-FR"/>
        </w:rPr>
        <w:t>é</w:t>
      </w:r>
      <w:r w:rsidRPr="001C2E2B">
        <w:rPr>
          <w:lang w:eastAsia="fr-FR" w:bidi="fr-FR"/>
        </w:rPr>
        <w:t>ler ces deux axes.</w:t>
      </w:r>
    </w:p>
    <w:p w14:paraId="1944EC11" w14:textId="77777777" w:rsidR="0039793A" w:rsidRPr="001C2E2B" w:rsidRDefault="0039793A" w:rsidP="0039793A">
      <w:pPr>
        <w:spacing w:before="120" w:after="120"/>
        <w:jc w:val="both"/>
      </w:pPr>
      <w:r w:rsidRPr="001C2E2B">
        <w:rPr>
          <w:lang w:eastAsia="fr-FR" w:bidi="fr-FR"/>
        </w:rPr>
        <w:t xml:space="preserve">En premier lieu, on retrouve les présidents </w:t>
      </w:r>
      <w:r w:rsidRPr="001C2E2B">
        <w:t>« </w:t>
      </w:r>
      <w:r w:rsidRPr="001C2E2B">
        <w:rPr>
          <w:lang w:eastAsia="fr-FR" w:bidi="fr-FR"/>
        </w:rPr>
        <w:t>actifs-positifs</w:t>
      </w:r>
      <w:r w:rsidRPr="001C2E2B">
        <w:t> »</w:t>
      </w:r>
      <w:r w:rsidRPr="001C2E2B">
        <w:rPr>
          <w:lang w:eastAsia="fr-FR" w:bidi="fr-FR"/>
        </w:rPr>
        <w:t>, di</w:t>
      </w:r>
      <w:r w:rsidRPr="001C2E2B">
        <w:rPr>
          <w:lang w:eastAsia="fr-FR" w:bidi="fr-FR"/>
        </w:rPr>
        <w:t>s</w:t>
      </w:r>
      <w:r w:rsidRPr="001C2E2B">
        <w:rPr>
          <w:lang w:eastAsia="fr-FR" w:bidi="fr-FR"/>
        </w:rPr>
        <w:t>posant d’une forte estime de soi et témoignant d’une très grande cap</w:t>
      </w:r>
      <w:r w:rsidRPr="001C2E2B">
        <w:rPr>
          <w:lang w:eastAsia="fr-FR" w:bidi="fr-FR"/>
        </w:rPr>
        <w:t>a</w:t>
      </w:r>
      <w:r w:rsidRPr="001C2E2B">
        <w:rPr>
          <w:lang w:eastAsia="fr-FR" w:bidi="fr-FR"/>
        </w:rPr>
        <w:t>cité d’adaptation</w:t>
      </w:r>
      <w:r w:rsidRPr="001C2E2B">
        <w:t> :</w:t>
      </w:r>
      <w:r w:rsidRPr="001C2E2B">
        <w:rPr>
          <w:lang w:eastAsia="fr-FR" w:bidi="fr-FR"/>
        </w:rPr>
        <w:t xml:space="preserve"> F.D. Roosevelt, Truman, Kennedy, G.H. Bush et Clinton. Cette catégorie regroupe la plupart des présidents, étant do</w:t>
      </w:r>
      <w:r w:rsidRPr="001C2E2B">
        <w:rPr>
          <w:lang w:eastAsia="fr-FR" w:bidi="fr-FR"/>
        </w:rPr>
        <w:t>n</w:t>
      </w:r>
      <w:r w:rsidRPr="001C2E2B">
        <w:rPr>
          <w:lang w:eastAsia="fr-FR" w:bidi="fr-FR"/>
        </w:rPr>
        <w:t>né les aptitudes exigées du chef de la Maison-Blanche (ces prés</w:t>
      </w:r>
      <w:r w:rsidRPr="001C2E2B">
        <w:rPr>
          <w:lang w:eastAsia="fr-FR" w:bidi="fr-FR"/>
        </w:rPr>
        <w:t>i</w:t>
      </w:r>
      <w:r w:rsidRPr="001C2E2B">
        <w:rPr>
          <w:lang w:eastAsia="fr-FR" w:bidi="fr-FR"/>
        </w:rPr>
        <w:t>dents ont également été parmi ceux qui ont le mieux accompli leurs tâches).</w:t>
      </w:r>
    </w:p>
    <w:p w14:paraId="04211295" w14:textId="77777777" w:rsidR="0039793A" w:rsidRPr="001C2E2B" w:rsidRDefault="0039793A" w:rsidP="0039793A">
      <w:pPr>
        <w:spacing w:before="120" w:after="120"/>
        <w:jc w:val="both"/>
      </w:pPr>
      <w:r w:rsidRPr="001C2E2B">
        <w:rPr>
          <w:lang w:eastAsia="fr-FR" w:bidi="fr-FR"/>
        </w:rPr>
        <w:t xml:space="preserve">En deuxième lieu, il y a les présidents </w:t>
      </w:r>
      <w:r w:rsidRPr="001C2E2B">
        <w:t>« </w:t>
      </w:r>
      <w:r w:rsidRPr="001C2E2B">
        <w:rPr>
          <w:lang w:eastAsia="fr-FR" w:bidi="fr-FR"/>
        </w:rPr>
        <w:t>passifs-positifs</w:t>
      </w:r>
      <w:r w:rsidRPr="001C2E2B">
        <w:t> »</w:t>
      </w:r>
      <w:r w:rsidRPr="001C2E2B">
        <w:rPr>
          <w:lang w:eastAsia="fr-FR" w:bidi="fr-FR"/>
        </w:rPr>
        <w:t xml:space="preserve"> qui, à la différence de la première catégorie, adoptent une attitude en appare</w:t>
      </w:r>
      <w:r w:rsidRPr="001C2E2B">
        <w:rPr>
          <w:lang w:eastAsia="fr-FR" w:bidi="fr-FR"/>
        </w:rPr>
        <w:t>n</w:t>
      </w:r>
      <w:r w:rsidRPr="001C2E2B">
        <w:rPr>
          <w:lang w:eastAsia="fr-FR" w:bidi="fr-FR"/>
        </w:rPr>
        <w:t>ce apathique, accompagnée d’une faible implication</w:t>
      </w:r>
      <w:r>
        <w:t xml:space="preserve"> [166] </w:t>
      </w:r>
      <w:r w:rsidRPr="001C2E2B">
        <w:rPr>
          <w:lang w:eastAsia="fr-FR" w:bidi="fr-FR"/>
        </w:rPr>
        <w:t>dans la pr</w:t>
      </w:r>
      <w:r w:rsidRPr="001C2E2B">
        <w:rPr>
          <w:lang w:eastAsia="fr-FR" w:bidi="fr-FR"/>
        </w:rPr>
        <w:t>i</w:t>
      </w:r>
      <w:r w:rsidRPr="001C2E2B">
        <w:rPr>
          <w:lang w:eastAsia="fr-FR" w:bidi="fr-FR"/>
        </w:rPr>
        <w:t>se de décision</w:t>
      </w:r>
      <w:r w:rsidRPr="001C2E2B">
        <w:t> :</w:t>
      </w:r>
      <w:r w:rsidRPr="001C2E2B">
        <w:rPr>
          <w:lang w:eastAsia="fr-FR" w:bidi="fr-FR"/>
        </w:rPr>
        <w:t xml:space="preserve"> Eisenhower, Ford, Reagan et (occasio</w:t>
      </w:r>
      <w:r w:rsidRPr="001C2E2B">
        <w:rPr>
          <w:lang w:eastAsia="fr-FR" w:bidi="fr-FR"/>
        </w:rPr>
        <w:t>n</w:t>
      </w:r>
      <w:r w:rsidRPr="001C2E2B">
        <w:rPr>
          <w:lang w:eastAsia="fr-FR" w:bidi="fr-FR"/>
        </w:rPr>
        <w:t>nellement) G.W. Bush se retrouvent dans cette catégorie. Ces prés</w:t>
      </w:r>
      <w:r w:rsidRPr="001C2E2B">
        <w:rPr>
          <w:lang w:eastAsia="fr-FR" w:bidi="fr-FR"/>
        </w:rPr>
        <w:t>i</w:t>
      </w:r>
      <w:r w:rsidRPr="001C2E2B">
        <w:rPr>
          <w:lang w:eastAsia="fr-FR" w:bidi="fr-FR"/>
        </w:rPr>
        <w:t>dents ont en général surpris, car en dépit des difficultés re</w:t>
      </w:r>
      <w:r w:rsidRPr="001C2E2B">
        <w:rPr>
          <w:lang w:eastAsia="fr-FR" w:bidi="fr-FR"/>
        </w:rPr>
        <w:t>n</w:t>
      </w:r>
      <w:r w:rsidRPr="001C2E2B">
        <w:rPr>
          <w:lang w:eastAsia="fr-FR" w:bidi="fr-FR"/>
        </w:rPr>
        <w:t>contrées au sein de leurs systèmes décisionnels, leur performance a globalement été jugée sati</w:t>
      </w:r>
      <w:r w:rsidRPr="001C2E2B">
        <w:rPr>
          <w:lang w:eastAsia="fr-FR" w:bidi="fr-FR"/>
        </w:rPr>
        <w:t>s</w:t>
      </w:r>
      <w:r w:rsidRPr="001C2E2B">
        <w:rPr>
          <w:lang w:eastAsia="fr-FR" w:bidi="fr-FR"/>
        </w:rPr>
        <w:t>fa</w:t>
      </w:r>
      <w:r w:rsidRPr="001C2E2B">
        <w:rPr>
          <w:lang w:eastAsia="fr-FR" w:bidi="fr-FR"/>
        </w:rPr>
        <w:t>i</w:t>
      </w:r>
      <w:r w:rsidRPr="001C2E2B">
        <w:rPr>
          <w:lang w:eastAsia="fr-FR" w:bidi="fr-FR"/>
        </w:rPr>
        <w:t>sante.</w:t>
      </w:r>
    </w:p>
    <w:p w14:paraId="03D29FC5" w14:textId="77777777" w:rsidR="0039793A" w:rsidRPr="001C2E2B" w:rsidRDefault="0039793A" w:rsidP="0039793A">
      <w:pPr>
        <w:spacing w:before="120" w:after="120"/>
        <w:jc w:val="both"/>
      </w:pPr>
      <w:r w:rsidRPr="001C2E2B">
        <w:rPr>
          <w:lang w:eastAsia="fr-FR" w:bidi="fr-FR"/>
        </w:rPr>
        <w:t xml:space="preserve">En troisième lieu, les présidents </w:t>
      </w:r>
      <w:r w:rsidRPr="001C2E2B">
        <w:t>« </w:t>
      </w:r>
      <w:r w:rsidRPr="001C2E2B">
        <w:rPr>
          <w:lang w:eastAsia="fr-FR" w:bidi="fr-FR"/>
        </w:rPr>
        <w:t>actifs-négatifs</w:t>
      </w:r>
      <w:r w:rsidRPr="001C2E2B">
        <w:t> »</w:t>
      </w:r>
      <w:r w:rsidRPr="001C2E2B">
        <w:rPr>
          <w:lang w:eastAsia="fr-FR" w:bidi="fr-FR"/>
        </w:rPr>
        <w:t xml:space="preserve"> incluent Wi</w:t>
      </w:r>
      <w:r w:rsidRPr="001C2E2B">
        <w:rPr>
          <w:lang w:eastAsia="fr-FR" w:bidi="fr-FR"/>
        </w:rPr>
        <w:t>l</w:t>
      </w:r>
      <w:r w:rsidRPr="001C2E2B">
        <w:rPr>
          <w:lang w:eastAsia="fr-FR" w:bidi="fr-FR"/>
        </w:rPr>
        <w:t>son, Carter, Nixon et Joh</w:t>
      </w:r>
      <w:r w:rsidRPr="001C2E2B">
        <w:rPr>
          <w:lang w:eastAsia="fr-FR" w:bidi="fr-FR"/>
        </w:rPr>
        <w:t>n</w:t>
      </w:r>
      <w:r w:rsidRPr="001C2E2B">
        <w:rPr>
          <w:lang w:eastAsia="fr-FR" w:bidi="fr-FR"/>
        </w:rPr>
        <w:t>son, dont l’hyperactivité et la propension à dés</w:t>
      </w:r>
      <w:r w:rsidRPr="001C2E2B">
        <w:rPr>
          <w:lang w:eastAsia="fr-FR" w:bidi="fr-FR"/>
        </w:rPr>
        <w:t>i</w:t>
      </w:r>
      <w:r w:rsidRPr="001C2E2B">
        <w:rPr>
          <w:lang w:eastAsia="fr-FR" w:bidi="fr-FR"/>
        </w:rPr>
        <w:t>gner des coupables et à s’ériger en victime des événements ont engendré des résultats souvent d</w:t>
      </w:r>
      <w:r w:rsidRPr="001C2E2B">
        <w:rPr>
          <w:lang w:eastAsia="fr-FR" w:bidi="fr-FR"/>
        </w:rPr>
        <w:t>é</w:t>
      </w:r>
      <w:r w:rsidRPr="001C2E2B">
        <w:rPr>
          <w:lang w:eastAsia="fr-FR" w:bidi="fr-FR"/>
        </w:rPr>
        <w:t>cevants.</w:t>
      </w:r>
    </w:p>
    <w:p w14:paraId="4248008A" w14:textId="77777777" w:rsidR="0039793A" w:rsidRPr="001C2E2B" w:rsidRDefault="0039793A" w:rsidP="0039793A">
      <w:pPr>
        <w:spacing w:before="120" w:after="120"/>
        <w:jc w:val="both"/>
      </w:pPr>
      <w:r w:rsidRPr="001C2E2B">
        <w:rPr>
          <w:lang w:eastAsia="fr-FR" w:bidi="fr-FR"/>
        </w:rPr>
        <w:t xml:space="preserve">Enfin, la catégorie des présidents </w:t>
      </w:r>
      <w:r w:rsidRPr="001C2E2B">
        <w:t>« </w:t>
      </w:r>
      <w:r w:rsidRPr="001C2E2B">
        <w:rPr>
          <w:lang w:eastAsia="fr-FR" w:bidi="fr-FR"/>
        </w:rPr>
        <w:t>passifs-négatifs</w:t>
      </w:r>
      <w:r w:rsidRPr="001C2E2B">
        <w:t> »</w:t>
      </w:r>
      <w:r w:rsidRPr="001C2E2B">
        <w:rPr>
          <w:lang w:eastAsia="fr-FR" w:bidi="fr-FR"/>
        </w:rPr>
        <w:t xml:space="preserve"> demeure vide depuis le passage de Ca</w:t>
      </w:r>
      <w:r w:rsidRPr="001C2E2B">
        <w:rPr>
          <w:lang w:eastAsia="fr-FR" w:bidi="fr-FR"/>
        </w:rPr>
        <w:t>l</w:t>
      </w:r>
      <w:r w:rsidRPr="001C2E2B">
        <w:rPr>
          <w:lang w:eastAsia="fr-FR" w:bidi="fr-FR"/>
        </w:rPr>
        <w:t>vin Coolidge à la Maison-Blanche dans les années 1920 (on a cru pendant un moment que Eisenh</w:t>
      </w:r>
      <w:r w:rsidRPr="001C2E2B">
        <w:rPr>
          <w:lang w:eastAsia="fr-FR" w:bidi="fr-FR"/>
        </w:rPr>
        <w:t>o</w:t>
      </w:r>
      <w:r w:rsidRPr="001C2E2B">
        <w:rPr>
          <w:lang w:eastAsia="fr-FR" w:bidi="fr-FR"/>
        </w:rPr>
        <w:t>wer allait l’imiter). De tels présidents sont dése</w:t>
      </w:r>
      <w:r w:rsidRPr="001C2E2B">
        <w:rPr>
          <w:lang w:eastAsia="fr-FR" w:bidi="fr-FR"/>
        </w:rPr>
        <w:t>n</w:t>
      </w:r>
      <w:r w:rsidRPr="001C2E2B">
        <w:rPr>
          <w:lang w:eastAsia="fr-FR" w:bidi="fr-FR"/>
        </w:rPr>
        <w:t>gagés et peu intéressés par les exigences de l’emploi, une éventualité peu probable aujourd’hui étant donné tant la nature — les difficultés — du processus de désignation que les attentes de l’opinion publique envers le chef de la Maison-Blanche.</w:t>
      </w:r>
    </w:p>
    <w:p w14:paraId="5F497BE8" w14:textId="77777777" w:rsidR="0039793A" w:rsidRPr="001C2E2B" w:rsidRDefault="0039793A" w:rsidP="0039793A">
      <w:pPr>
        <w:spacing w:before="120" w:after="120"/>
        <w:jc w:val="both"/>
      </w:pPr>
      <w:r w:rsidRPr="001C2E2B">
        <w:rPr>
          <w:lang w:eastAsia="fr-FR" w:bidi="fr-FR"/>
        </w:rPr>
        <w:t>Le modèle de Barber offre donc une grille de lecture pour co</w:t>
      </w:r>
      <w:r w:rsidRPr="001C2E2B">
        <w:rPr>
          <w:lang w:eastAsia="fr-FR" w:bidi="fr-FR"/>
        </w:rPr>
        <w:t>m</w:t>
      </w:r>
      <w:r w:rsidRPr="001C2E2B">
        <w:rPr>
          <w:lang w:eastAsia="fr-FR" w:bidi="fr-FR"/>
        </w:rPr>
        <w:t>prendre les différences de style entre présidents, quoique ses détra</w:t>
      </w:r>
      <w:r w:rsidRPr="001C2E2B">
        <w:rPr>
          <w:lang w:eastAsia="fr-FR" w:bidi="fr-FR"/>
        </w:rPr>
        <w:t>c</w:t>
      </w:r>
      <w:r w:rsidRPr="001C2E2B">
        <w:rPr>
          <w:lang w:eastAsia="fr-FR" w:bidi="fr-FR"/>
        </w:rPr>
        <w:t>teurs soul</w:t>
      </w:r>
      <w:r w:rsidRPr="001C2E2B">
        <w:rPr>
          <w:lang w:eastAsia="fr-FR" w:bidi="fr-FR"/>
        </w:rPr>
        <w:t>i</w:t>
      </w:r>
      <w:r w:rsidRPr="001C2E2B">
        <w:rPr>
          <w:lang w:eastAsia="fr-FR" w:bidi="fr-FR"/>
        </w:rPr>
        <w:t>gnent la rigidité de ses catégories et surtout son inaptitude à apprécier des variables aussi complexes que le caractère et la perso</w:t>
      </w:r>
      <w:r w:rsidRPr="001C2E2B">
        <w:rPr>
          <w:lang w:eastAsia="fr-FR" w:bidi="fr-FR"/>
        </w:rPr>
        <w:t>n</w:t>
      </w:r>
      <w:r w:rsidRPr="001C2E2B">
        <w:rPr>
          <w:lang w:eastAsia="fr-FR" w:bidi="fr-FR"/>
        </w:rPr>
        <w:t>nalité du prés</w:t>
      </w:r>
      <w:r w:rsidRPr="001C2E2B">
        <w:rPr>
          <w:lang w:eastAsia="fr-FR" w:bidi="fr-FR"/>
        </w:rPr>
        <w:t>i</w:t>
      </w:r>
      <w:r w:rsidRPr="001C2E2B">
        <w:rPr>
          <w:lang w:eastAsia="fr-FR" w:bidi="fr-FR"/>
        </w:rPr>
        <w:t>dent</w:t>
      </w:r>
      <w:r>
        <w:rPr>
          <w:lang w:eastAsia="fr-FR" w:bidi="fr-FR"/>
        </w:rPr>
        <w:t> </w:t>
      </w:r>
      <w:r>
        <w:rPr>
          <w:rStyle w:val="Appelnotedebasdep"/>
          <w:lang w:eastAsia="fr-FR" w:bidi="fr-FR"/>
        </w:rPr>
        <w:footnoteReference w:id="385"/>
      </w:r>
      <w:r>
        <w:rPr>
          <w:lang w:eastAsia="fr-FR" w:bidi="fr-FR"/>
        </w:rPr>
        <w:t>.</w:t>
      </w:r>
    </w:p>
    <w:p w14:paraId="212361F4" w14:textId="77777777" w:rsidR="0039793A" w:rsidRDefault="0039793A" w:rsidP="0039793A">
      <w:pPr>
        <w:spacing w:before="120" w:after="120"/>
        <w:jc w:val="both"/>
        <w:rPr>
          <w:lang w:eastAsia="fr-FR" w:bidi="fr-FR"/>
        </w:rPr>
      </w:pPr>
      <w:r>
        <w:rPr>
          <w:lang w:eastAsia="fr-FR" w:bidi="fr-FR"/>
        </w:rPr>
        <w:br w:type="page"/>
      </w:r>
    </w:p>
    <w:p w14:paraId="65718BFB" w14:textId="77777777" w:rsidR="0039793A" w:rsidRPr="000D02D4" w:rsidRDefault="0039793A" w:rsidP="0039793A">
      <w:pPr>
        <w:pStyle w:val="b"/>
      </w:pPr>
      <w:r w:rsidRPr="000D02D4">
        <w:rPr>
          <w:lang w:eastAsia="fr-FR" w:bidi="fr-FR"/>
        </w:rPr>
        <w:t>La lecture de Fred Greenstein</w:t>
      </w:r>
    </w:p>
    <w:p w14:paraId="5013FAD1" w14:textId="77777777" w:rsidR="0039793A" w:rsidRDefault="0039793A" w:rsidP="0039793A">
      <w:pPr>
        <w:spacing w:before="120" w:after="120"/>
        <w:jc w:val="both"/>
        <w:rPr>
          <w:lang w:eastAsia="fr-FR" w:bidi="fr-FR"/>
        </w:rPr>
      </w:pPr>
    </w:p>
    <w:p w14:paraId="298A0D94" w14:textId="77777777" w:rsidR="0039793A" w:rsidRPr="001C2E2B" w:rsidRDefault="0039793A" w:rsidP="0039793A">
      <w:pPr>
        <w:spacing w:before="120" w:after="120"/>
        <w:jc w:val="both"/>
      </w:pPr>
      <w:r w:rsidRPr="001C2E2B">
        <w:rPr>
          <w:lang w:eastAsia="fr-FR" w:bidi="fr-FR"/>
        </w:rPr>
        <w:t>La contribution du politologue Fred Greenstein</w:t>
      </w:r>
      <w:r>
        <w:rPr>
          <w:lang w:eastAsia="fr-FR" w:bidi="fr-FR"/>
        </w:rPr>
        <w:t> </w:t>
      </w:r>
      <w:r>
        <w:rPr>
          <w:rStyle w:val="Appelnotedebasdep"/>
          <w:lang w:eastAsia="fr-FR" w:bidi="fr-FR"/>
        </w:rPr>
        <w:footnoteReference w:id="386"/>
      </w:r>
      <w:r w:rsidRPr="001C2E2B">
        <w:rPr>
          <w:lang w:eastAsia="fr-FR" w:bidi="fr-FR"/>
        </w:rPr>
        <w:t xml:space="preserve"> se démarque se</w:t>
      </w:r>
      <w:r w:rsidRPr="001C2E2B">
        <w:rPr>
          <w:lang w:eastAsia="fr-FR" w:bidi="fr-FR"/>
        </w:rPr>
        <w:t>n</w:t>
      </w:r>
      <w:r w:rsidRPr="001C2E2B">
        <w:rPr>
          <w:lang w:eastAsia="fr-FR" w:bidi="fr-FR"/>
        </w:rPr>
        <w:t>siblement de la précédente. Ce spécialiste de la présidence évalue et classe la personnalité des présidents en fonction de six crit</w:t>
      </w:r>
      <w:r w:rsidRPr="001C2E2B">
        <w:rPr>
          <w:lang w:eastAsia="fr-FR" w:bidi="fr-FR"/>
        </w:rPr>
        <w:t>è</w:t>
      </w:r>
      <w:r w:rsidRPr="001C2E2B">
        <w:rPr>
          <w:lang w:eastAsia="fr-FR" w:bidi="fr-FR"/>
        </w:rPr>
        <w:t>res</w:t>
      </w:r>
      <w:r w:rsidRPr="001C2E2B">
        <w:t> :</w:t>
      </w:r>
      <w:r w:rsidRPr="001C2E2B">
        <w:rPr>
          <w:lang w:eastAsia="fr-FR" w:bidi="fr-FR"/>
        </w:rPr>
        <w:t xml:space="preserve"> ses qualités de communicateur, ses capacités d’organisation, ses talents de mobilisateur polit</w:t>
      </w:r>
      <w:r w:rsidRPr="001C2E2B">
        <w:rPr>
          <w:lang w:eastAsia="fr-FR" w:bidi="fr-FR"/>
        </w:rPr>
        <w:t>i</w:t>
      </w:r>
      <w:r w:rsidRPr="001C2E2B">
        <w:rPr>
          <w:lang w:eastAsia="fr-FR" w:bidi="fr-FR"/>
        </w:rPr>
        <w:t>que, sa capacité d’anticipation, son style cognitif (c’est-à-dire son aptitude à assimiler une masse considérable d’informations), et son intelligence (que l’auteur lie à la stabilité ém</w:t>
      </w:r>
      <w:r w:rsidRPr="001C2E2B">
        <w:rPr>
          <w:lang w:eastAsia="fr-FR" w:bidi="fr-FR"/>
        </w:rPr>
        <w:t>o</w:t>
      </w:r>
      <w:r w:rsidRPr="001C2E2B">
        <w:rPr>
          <w:lang w:eastAsia="fr-FR" w:bidi="fr-FR"/>
        </w:rPr>
        <w:t>tive). En comparant douze présidents depuis la seconde guerre mo</w:t>
      </w:r>
      <w:r w:rsidRPr="001C2E2B">
        <w:rPr>
          <w:lang w:eastAsia="fr-FR" w:bidi="fr-FR"/>
        </w:rPr>
        <w:t>n</w:t>
      </w:r>
      <w:r w:rsidRPr="001C2E2B">
        <w:rPr>
          <w:lang w:eastAsia="fr-FR" w:bidi="fr-FR"/>
        </w:rPr>
        <w:t>diale, Greenstein, sans étonnement, conclut à l’incroyable diversité de talents et à l’inégalité des performances d’un président à l’autre.</w:t>
      </w:r>
    </w:p>
    <w:p w14:paraId="30379E97" w14:textId="77777777" w:rsidR="0039793A" w:rsidRPr="001C2E2B" w:rsidRDefault="0039793A" w:rsidP="0039793A">
      <w:pPr>
        <w:spacing w:before="120" w:after="120"/>
        <w:jc w:val="both"/>
      </w:pPr>
      <w:r>
        <w:t>[167]</w:t>
      </w:r>
    </w:p>
    <w:p w14:paraId="60CBC6B1" w14:textId="77777777" w:rsidR="0039793A" w:rsidRPr="001C2E2B" w:rsidRDefault="0039793A" w:rsidP="0039793A">
      <w:pPr>
        <w:spacing w:before="120" w:after="120"/>
        <w:jc w:val="both"/>
      </w:pPr>
      <w:r w:rsidRPr="001C2E2B">
        <w:rPr>
          <w:lang w:eastAsia="fr-FR" w:bidi="fr-FR"/>
        </w:rPr>
        <w:t>Ainsi, les prouesses de communicateur et de mobilisateur de Re</w:t>
      </w:r>
      <w:r w:rsidRPr="001C2E2B">
        <w:rPr>
          <w:lang w:eastAsia="fr-FR" w:bidi="fr-FR"/>
        </w:rPr>
        <w:t>a</w:t>
      </w:r>
      <w:r w:rsidRPr="001C2E2B">
        <w:rPr>
          <w:lang w:eastAsia="fr-FR" w:bidi="fr-FR"/>
        </w:rPr>
        <w:t>gan ont compensé son désint</w:t>
      </w:r>
      <w:r w:rsidRPr="001C2E2B">
        <w:rPr>
          <w:lang w:eastAsia="fr-FR" w:bidi="fr-FR"/>
        </w:rPr>
        <w:t>é</w:t>
      </w:r>
      <w:r w:rsidRPr="001C2E2B">
        <w:rPr>
          <w:lang w:eastAsia="fr-FR" w:bidi="fr-FR"/>
        </w:rPr>
        <w:t>rêt pour l’organisation de sa présidence. En revanche, la réussite organisationnelle de G.H. Bush n’a pu ma</w:t>
      </w:r>
      <w:r w:rsidRPr="001C2E2B">
        <w:rPr>
          <w:lang w:eastAsia="fr-FR" w:bidi="fr-FR"/>
        </w:rPr>
        <w:t>s</w:t>
      </w:r>
      <w:r w:rsidRPr="001C2E2B">
        <w:rPr>
          <w:lang w:eastAsia="fr-FR" w:bidi="fr-FR"/>
        </w:rPr>
        <w:t>quer ses lacunes évidentes sur le plan de la communication et de la mobilisation politique.</w:t>
      </w:r>
    </w:p>
    <w:p w14:paraId="04926B37" w14:textId="77777777" w:rsidR="0039793A" w:rsidRPr="001C2E2B" w:rsidRDefault="0039793A" w:rsidP="0039793A">
      <w:pPr>
        <w:spacing w:before="120" w:after="120"/>
        <w:jc w:val="both"/>
      </w:pPr>
      <w:r w:rsidRPr="001C2E2B">
        <w:rPr>
          <w:lang w:eastAsia="fr-FR" w:bidi="fr-FR"/>
        </w:rPr>
        <w:t>Le sens de l’anticipation et l’intelligence de Kennedy ont permis de construire le mythe de sa contribution</w:t>
      </w:r>
      <w:r w:rsidRPr="001C2E2B">
        <w:t> ;</w:t>
      </w:r>
      <w:r w:rsidRPr="001C2E2B">
        <w:rPr>
          <w:lang w:eastAsia="fr-FR" w:bidi="fr-FR"/>
        </w:rPr>
        <w:t xml:space="preserve"> les mêmes qualités chez Johnson se sont effacées derrière un style cognitif et un mode de ge</w:t>
      </w:r>
      <w:r w:rsidRPr="001C2E2B">
        <w:rPr>
          <w:lang w:eastAsia="fr-FR" w:bidi="fr-FR"/>
        </w:rPr>
        <w:t>s</w:t>
      </w:r>
      <w:r w:rsidRPr="001C2E2B">
        <w:rPr>
          <w:lang w:eastAsia="fr-FR" w:bidi="fr-FR"/>
        </w:rPr>
        <w:t>tion organisationnel très déficients. De m</w:t>
      </w:r>
      <w:r w:rsidRPr="001C2E2B">
        <w:rPr>
          <w:lang w:eastAsia="fr-FR" w:bidi="fr-FR"/>
        </w:rPr>
        <w:t>ê</w:t>
      </w:r>
      <w:r w:rsidRPr="001C2E2B">
        <w:rPr>
          <w:lang w:eastAsia="fr-FR" w:bidi="fr-FR"/>
        </w:rPr>
        <w:t>me, l’intelligence de Carter n’a été d’aucun s</w:t>
      </w:r>
      <w:r w:rsidRPr="001C2E2B">
        <w:rPr>
          <w:lang w:eastAsia="fr-FR" w:bidi="fr-FR"/>
        </w:rPr>
        <w:t>e</w:t>
      </w:r>
      <w:r w:rsidRPr="001C2E2B">
        <w:rPr>
          <w:lang w:eastAsia="fr-FR" w:bidi="fr-FR"/>
        </w:rPr>
        <w:t>cours pour articuler une capacité d’anticipation, pour mobiliser les appuis politiques et, au bout du compte, pour sa</w:t>
      </w:r>
      <w:r w:rsidRPr="001C2E2B">
        <w:rPr>
          <w:lang w:eastAsia="fr-FR" w:bidi="fr-FR"/>
        </w:rPr>
        <w:t>u</w:t>
      </w:r>
      <w:r w:rsidRPr="001C2E2B">
        <w:rPr>
          <w:lang w:eastAsia="fr-FR" w:bidi="fr-FR"/>
        </w:rPr>
        <w:t>ver sa présidence.</w:t>
      </w:r>
    </w:p>
    <w:p w14:paraId="0027DA93" w14:textId="77777777" w:rsidR="0039793A" w:rsidRPr="001C2E2B" w:rsidRDefault="0039793A" w:rsidP="0039793A">
      <w:pPr>
        <w:spacing w:before="120" w:after="120"/>
        <w:jc w:val="both"/>
      </w:pPr>
      <w:r w:rsidRPr="001C2E2B">
        <w:rPr>
          <w:lang w:eastAsia="fr-FR" w:bidi="fr-FR"/>
        </w:rPr>
        <w:t>Les immenses connaissances et les capacités redoutables d’organisation, d’Eisenhower ou de Nixon, ont pourtant produit deux résultats opposés</w:t>
      </w:r>
      <w:r w:rsidRPr="001C2E2B">
        <w:t> :</w:t>
      </w:r>
      <w:r w:rsidRPr="001C2E2B">
        <w:rPr>
          <w:lang w:eastAsia="fr-FR" w:bidi="fr-FR"/>
        </w:rPr>
        <w:t xml:space="preserve"> le premier manifeste une intelligence et une intu</w:t>
      </w:r>
      <w:r w:rsidRPr="001C2E2B">
        <w:rPr>
          <w:lang w:eastAsia="fr-FR" w:bidi="fr-FR"/>
        </w:rPr>
        <w:t>i</w:t>
      </w:r>
      <w:r w:rsidRPr="001C2E2B">
        <w:rPr>
          <w:lang w:eastAsia="fr-FR" w:bidi="fr-FR"/>
        </w:rPr>
        <w:t>tion politique surprenantes, tandis que le second étonne par son ma</w:t>
      </w:r>
      <w:r w:rsidRPr="001C2E2B">
        <w:rPr>
          <w:lang w:eastAsia="fr-FR" w:bidi="fr-FR"/>
        </w:rPr>
        <w:t>n</w:t>
      </w:r>
      <w:r w:rsidRPr="001C2E2B">
        <w:rPr>
          <w:lang w:eastAsia="fr-FR" w:bidi="fr-FR"/>
        </w:rPr>
        <w:t>que spectaculaire de j</w:t>
      </w:r>
      <w:r w:rsidRPr="001C2E2B">
        <w:rPr>
          <w:lang w:eastAsia="fr-FR" w:bidi="fr-FR"/>
        </w:rPr>
        <w:t>u</w:t>
      </w:r>
      <w:r w:rsidRPr="001C2E2B">
        <w:rPr>
          <w:lang w:eastAsia="fr-FR" w:bidi="fr-FR"/>
        </w:rPr>
        <w:t>gement sur certaines questions.</w:t>
      </w:r>
    </w:p>
    <w:p w14:paraId="13F8F8B8" w14:textId="77777777" w:rsidR="0039793A" w:rsidRPr="001C2E2B" w:rsidRDefault="0039793A" w:rsidP="0039793A">
      <w:pPr>
        <w:spacing w:before="120" w:after="120"/>
        <w:jc w:val="both"/>
      </w:pPr>
      <w:r w:rsidRPr="001C2E2B">
        <w:rPr>
          <w:lang w:eastAsia="fr-FR" w:bidi="fr-FR"/>
        </w:rPr>
        <w:t>Les insuffisances cognitives de Truman ont été neutralisées par son intelligence et sa capacité d’anticipation. L’immense capacité d’absorption de l’information de Clinton a fait oublier son indiscipl</w:t>
      </w:r>
      <w:r w:rsidRPr="001C2E2B">
        <w:rPr>
          <w:lang w:eastAsia="fr-FR" w:bidi="fr-FR"/>
        </w:rPr>
        <w:t>i</w:t>
      </w:r>
      <w:r w:rsidRPr="001C2E2B">
        <w:rPr>
          <w:lang w:eastAsia="fr-FR" w:bidi="fr-FR"/>
        </w:rPr>
        <w:t>ne, à l’occasion son manque d’intelligence ainsi que ses déboires o</w:t>
      </w:r>
      <w:r w:rsidRPr="001C2E2B">
        <w:rPr>
          <w:lang w:eastAsia="fr-FR" w:bidi="fr-FR"/>
        </w:rPr>
        <w:t>r</w:t>
      </w:r>
      <w:r w:rsidRPr="001C2E2B">
        <w:rPr>
          <w:lang w:eastAsia="fr-FR" w:bidi="fr-FR"/>
        </w:rPr>
        <w:t>ganisationnels</w:t>
      </w:r>
      <w:r>
        <w:rPr>
          <w:lang w:eastAsia="fr-FR" w:bidi="fr-FR"/>
        </w:rPr>
        <w:t> </w:t>
      </w:r>
      <w:r>
        <w:rPr>
          <w:rStyle w:val="Appelnotedebasdep"/>
          <w:lang w:eastAsia="fr-FR" w:bidi="fr-FR"/>
        </w:rPr>
        <w:footnoteReference w:id="387"/>
      </w:r>
      <w:r>
        <w:rPr>
          <w:lang w:eastAsia="fr-FR" w:bidi="fr-FR"/>
        </w:rPr>
        <w:t>.</w:t>
      </w:r>
    </w:p>
    <w:p w14:paraId="516A70FA" w14:textId="77777777" w:rsidR="0039793A" w:rsidRPr="001C2E2B" w:rsidRDefault="0039793A" w:rsidP="0039793A">
      <w:pPr>
        <w:spacing w:before="120" w:after="120"/>
        <w:jc w:val="both"/>
      </w:pPr>
      <w:r w:rsidRPr="001C2E2B">
        <w:rPr>
          <w:lang w:eastAsia="fr-FR" w:bidi="fr-FR"/>
        </w:rPr>
        <w:t>Greenstein montre donc combien il est utile de comprendre la pe</w:t>
      </w:r>
      <w:r w:rsidRPr="001C2E2B">
        <w:rPr>
          <w:lang w:eastAsia="fr-FR" w:bidi="fr-FR"/>
        </w:rPr>
        <w:t>r</w:t>
      </w:r>
      <w:r w:rsidRPr="001C2E2B">
        <w:rPr>
          <w:lang w:eastAsia="fr-FR" w:bidi="fr-FR"/>
        </w:rPr>
        <w:t>sonnalité du chef de la Maison-Blanche si l’on veut expliquer les flu</w:t>
      </w:r>
      <w:r w:rsidRPr="001C2E2B">
        <w:rPr>
          <w:lang w:eastAsia="fr-FR" w:bidi="fr-FR"/>
        </w:rPr>
        <w:t>c</w:t>
      </w:r>
      <w:r w:rsidRPr="001C2E2B">
        <w:rPr>
          <w:lang w:eastAsia="fr-FR" w:bidi="fr-FR"/>
        </w:rPr>
        <w:t>tuations et soubresauts de la politique étrangère.</w:t>
      </w:r>
    </w:p>
    <w:p w14:paraId="7B7D0F9F" w14:textId="77777777" w:rsidR="0039793A" w:rsidRDefault="0039793A" w:rsidP="0039793A">
      <w:pPr>
        <w:spacing w:before="120" w:after="120"/>
        <w:jc w:val="both"/>
        <w:rPr>
          <w:lang w:eastAsia="fr-FR" w:bidi="fr-FR"/>
        </w:rPr>
      </w:pPr>
    </w:p>
    <w:p w14:paraId="07CD5342" w14:textId="77777777" w:rsidR="0039793A" w:rsidRPr="000E586E" w:rsidRDefault="0039793A" w:rsidP="0039793A">
      <w:pPr>
        <w:pStyle w:val="b"/>
      </w:pPr>
      <w:r w:rsidRPr="000E586E">
        <w:rPr>
          <w:lang w:eastAsia="fr-FR" w:bidi="fr-FR"/>
        </w:rPr>
        <w:t>L’apport de Robert Dallek</w:t>
      </w:r>
    </w:p>
    <w:p w14:paraId="6AFFAE44" w14:textId="77777777" w:rsidR="0039793A" w:rsidRDefault="0039793A" w:rsidP="0039793A">
      <w:pPr>
        <w:spacing w:before="120" w:after="120"/>
        <w:jc w:val="both"/>
        <w:rPr>
          <w:lang w:eastAsia="fr-FR" w:bidi="fr-FR"/>
        </w:rPr>
      </w:pPr>
    </w:p>
    <w:p w14:paraId="6DCD55BF" w14:textId="77777777" w:rsidR="0039793A" w:rsidRPr="001C2E2B" w:rsidRDefault="0039793A" w:rsidP="0039793A">
      <w:pPr>
        <w:spacing w:before="120" w:after="120"/>
        <w:jc w:val="both"/>
      </w:pPr>
      <w:r w:rsidRPr="001C2E2B">
        <w:rPr>
          <w:lang w:eastAsia="fr-FR" w:bidi="fr-FR"/>
        </w:rPr>
        <w:t>L’historien Robert Dallek met l’accent sur la notion de leadership et sur la conception du monde que l’on retrouve chez chacun des pr</w:t>
      </w:r>
      <w:r w:rsidRPr="001C2E2B">
        <w:rPr>
          <w:lang w:eastAsia="fr-FR" w:bidi="fr-FR"/>
        </w:rPr>
        <w:t>é</w:t>
      </w:r>
      <w:r w:rsidRPr="001C2E2B">
        <w:rPr>
          <w:lang w:eastAsia="fr-FR" w:bidi="fr-FR"/>
        </w:rPr>
        <w:t>sidents</w:t>
      </w:r>
      <w:r>
        <w:rPr>
          <w:lang w:eastAsia="fr-FR" w:bidi="fr-FR"/>
        </w:rPr>
        <w:t> </w:t>
      </w:r>
      <w:r>
        <w:rPr>
          <w:rStyle w:val="Appelnotedebasdep"/>
          <w:lang w:eastAsia="fr-FR" w:bidi="fr-FR"/>
        </w:rPr>
        <w:footnoteReference w:id="388"/>
      </w:r>
      <w:r w:rsidRPr="001C2E2B">
        <w:rPr>
          <w:lang w:eastAsia="fr-FR" w:bidi="fr-FR"/>
        </w:rPr>
        <w:t>. Selon une méthodologie analogue à Greenstein, Dallek privilégie cinq variables pour évaluer les performances des prés</w:t>
      </w:r>
      <w:r w:rsidRPr="001C2E2B">
        <w:rPr>
          <w:lang w:eastAsia="fr-FR" w:bidi="fr-FR"/>
        </w:rPr>
        <w:t>i</w:t>
      </w:r>
      <w:r w:rsidRPr="001C2E2B">
        <w:rPr>
          <w:lang w:eastAsia="fr-FR" w:bidi="fr-FR"/>
        </w:rPr>
        <w:t>dents</w:t>
      </w:r>
      <w:r w:rsidRPr="001C2E2B">
        <w:t> :</w:t>
      </w:r>
      <w:r w:rsidRPr="001C2E2B">
        <w:rPr>
          <w:lang w:eastAsia="fr-FR" w:bidi="fr-FR"/>
        </w:rPr>
        <w:t xml:space="preserve"> la conception du monde, le pragmatisme, le consentement des gouve</w:t>
      </w:r>
      <w:r w:rsidRPr="001C2E2B">
        <w:rPr>
          <w:lang w:eastAsia="fr-FR" w:bidi="fr-FR"/>
        </w:rPr>
        <w:t>r</w:t>
      </w:r>
      <w:r w:rsidRPr="001C2E2B">
        <w:rPr>
          <w:lang w:eastAsia="fr-FR" w:bidi="fr-FR"/>
        </w:rPr>
        <w:t>nés, le charisme et la crédibilité. Ces facteurs ont l’avantage d’être plus simples et plus faciles</w:t>
      </w:r>
      <w:r>
        <w:t xml:space="preserve"> [168] </w:t>
      </w:r>
      <w:r w:rsidRPr="001C2E2B">
        <w:rPr>
          <w:lang w:eastAsia="fr-FR" w:bidi="fr-FR"/>
        </w:rPr>
        <w:t>à vérifier et à analyser que ceux de Greenstein. Ils ont tous eu une très grande influence sur la p</w:t>
      </w:r>
      <w:r w:rsidRPr="001C2E2B">
        <w:rPr>
          <w:lang w:eastAsia="fr-FR" w:bidi="fr-FR"/>
        </w:rPr>
        <w:t>o</w:t>
      </w:r>
      <w:r w:rsidRPr="001C2E2B">
        <w:rPr>
          <w:lang w:eastAsia="fr-FR" w:bidi="fr-FR"/>
        </w:rPr>
        <w:t>litique étrangère.</w:t>
      </w:r>
    </w:p>
    <w:p w14:paraId="795F61B7" w14:textId="77777777" w:rsidR="0039793A" w:rsidRPr="001C2E2B" w:rsidRDefault="0039793A" w:rsidP="0039793A">
      <w:pPr>
        <w:spacing w:before="120" w:after="120"/>
        <w:jc w:val="both"/>
      </w:pPr>
      <w:r w:rsidRPr="00450BBC">
        <w:rPr>
          <w:i/>
          <w:lang w:eastAsia="fr-FR" w:bidi="fr-FR"/>
        </w:rPr>
        <w:t>Premièrement</w:t>
      </w:r>
      <w:r w:rsidRPr="001C2E2B">
        <w:rPr>
          <w:lang w:eastAsia="fr-FR" w:bidi="fr-FR"/>
        </w:rPr>
        <w:t>, la conception du monde, le sy</w:t>
      </w:r>
      <w:r w:rsidRPr="001C2E2B">
        <w:rPr>
          <w:lang w:eastAsia="fr-FR" w:bidi="fr-FR"/>
        </w:rPr>
        <w:t>s</w:t>
      </w:r>
      <w:r w:rsidRPr="001C2E2B">
        <w:rPr>
          <w:lang w:eastAsia="fr-FR" w:bidi="fr-FR"/>
        </w:rPr>
        <w:t>tème de valeurs du chef de la Maison-Blanche a, sans nul doute, une influence déterm</w:t>
      </w:r>
      <w:r w:rsidRPr="001C2E2B">
        <w:rPr>
          <w:lang w:eastAsia="fr-FR" w:bidi="fr-FR"/>
        </w:rPr>
        <w:t>i</w:t>
      </w:r>
      <w:r w:rsidRPr="001C2E2B">
        <w:rPr>
          <w:lang w:eastAsia="fr-FR" w:bidi="fr-FR"/>
        </w:rPr>
        <w:t>nante sur l’orientation de la politique étrangère susceptible d’affecter les relations internationales</w:t>
      </w:r>
      <w:r>
        <w:rPr>
          <w:lang w:eastAsia="fr-FR" w:bidi="fr-FR"/>
        </w:rPr>
        <w:t> </w:t>
      </w:r>
      <w:r>
        <w:rPr>
          <w:rStyle w:val="Appelnotedebasdep"/>
          <w:lang w:eastAsia="fr-FR" w:bidi="fr-FR"/>
        </w:rPr>
        <w:footnoteReference w:id="389"/>
      </w:r>
      <w:r>
        <w:rPr>
          <w:lang w:eastAsia="fr-FR" w:bidi="fr-FR"/>
        </w:rPr>
        <w:t>.</w:t>
      </w:r>
      <w:r w:rsidRPr="001C2E2B">
        <w:rPr>
          <w:lang w:eastAsia="fr-FR" w:bidi="fr-FR"/>
        </w:rPr>
        <w:t xml:space="preserve"> Là où Wi</w:t>
      </w:r>
      <w:r w:rsidRPr="001C2E2B">
        <w:rPr>
          <w:lang w:eastAsia="fr-FR" w:bidi="fr-FR"/>
        </w:rPr>
        <w:t>l</w:t>
      </w:r>
      <w:r w:rsidRPr="001C2E2B">
        <w:rPr>
          <w:lang w:eastAsia="fr-FR" w:bidi="fr-FR"/>
        </w:rPr>
        <w:t>son et Carter mettent l’accent sur des principes de droit et sur les organisations internation</w:t>
      </w:r>
      <w:r w:rsidRPr="001C2E2B">
        <w:rPr>
          <w:lang w:eastAsia="fr-FR" w:bidi="fr-FR"/>
        </w:rPr>
        <w:t>a</w:t>
      </w:r>
      <w:r w:rsidRPr="001C2E2B">
        <w:rPr>
          <w:lang w:eastAsia="fr-FR" w:bidi="fr-FR"/>
        </w:rPr>
        <w:t>les, Reagan et G.W. Bush privilégient les rapports de pui</w:t>
      </w:r>
      <w:r w:rsidRPr="001C2E2B">
        <w:rPr>
          <w:lang w:eastAsia="fr-FR" w:bidi="fr-FR"/>
        </w:rPr>
        <w:t>s</w:t>
      </w:r>
      <w:r w:rsidRPr="001C2E2B">
        <w:rPr>
          <w:lang w:eastAsia="fr-FR" w:bidi="fr-FR"/>
        </w:rPr>
        <w:t>sance et les intérêts nationaux. Comment, en fait, le président perçoit-il le monde</w:t>
      </w:r>
      <w:r w:rsidRPr="001C2E2B">
        <w:t> :</w:t>
      </w:r>
      <w:r w:rsidRPr="001C2E2B">
        <w:rPr>
          <w:lang w:eastAsia="fr-FR" w:bidi="fr-FR"/>
        </w:rPr>
        <w:t xml:space="preserve"> de manière géopolitique et stratégique (Kennedy, Nixon) ou interd</w:t>
      </w:r>
      <w:r w:rsidRPr="001C2E2B">
        <w:rPr>
          <w:lang w:eastAsia="fr-FR" w:bidi="fr-FR"/>
        </w:rPr>
        <w:t>é</w:t>
      </w:r>
      <w:r w:rsidRPr="001C2E2B">
        <w:rPr>
          <w:lang w:eastAsia="fr-FR" w:bidi="fr-FR"/>
        </w:rPr>
        <w:t>pendante et économique (Clinton)</w:t>
      </w:r>
      <w:r w:rsidRPr="001C2E2B">
        <w:t> ?</w:t>
      </w:r>
      <w:r w:rsidRPr="001C2E2B">
        <w:rPr>
          <w:lang w:eastAsia="fr-FR" w:bidi="fr-FR"/>
        </w:rPr>
        <w:t xml:space="preserve"> De façon unilatéraliste où préd</w:t>
      </w:r>
      <w:r w:rsidRPr="001C2E2B">
        <w:rPr>
          <w:lang w:eastAsia="fr-FR" w:bidi="fr-FR"/>
        </w:rPr>
        <w:t>o</w:t>
      </w:r>
      <w:r w:rsidRPr="001C2E2B">
        <w:rPr>
          <w:lang w:eastAsia="fr-FR" w:bidi="fr-FR"/>
        </w:rPr>
        <w:t>mine le chacun pour soi (Johnson, Reagan), ou multilatéraliste où triomphe le tous pour un (Truman, Clinton)</w:t>
      </w:r>
      <w:r w:rsidRPr="001C2E2B">
        <w:t> ?</w:t>
      </w:r>
      <w:r w:rsidRPr="001C2E2B">
        <w:rPr>
          <w:lang w:eastAsia="fr-FR" w:bidi="fr-FR"/>
        </w:rPr>
        <w:t xml:space="preserve"> La vision est particuli</w:t>
      </w:r>
      <w:r w:rsidRPr="001C2E2B">
        <w:rPr>
          <w:lang w:eastAsia="fr-FR" w:bidi="fr-FR"/>
        </w:rPr>
        <w:t>è</w:t>
      </w:r>
      <w:r w:rsidRPr="001C2E2B">
        <w:rPr>
          <w:lang w:eastAsia="fr-FR" w:bidi="fr-FR"/>
        </w:rPr>
        <w:t>rement i</w:t>
      </w:r>
      <w:r w:rsidRPr="001C2E2B">
        <w:rPr>
          <w:lang w:eastAsia="fr-FR" w:bidi="fr-FR"/>
        </w:rPr>
        <w:t>n</w:t>
      </w:r>
      <w:r w:rsidRPr="001C2E2B">
        <w:rPr>
          <w:lang w:eastAsia="fr-FR" w:bidi="fr-FR"/>
        </w:rPr>
        <w:t xml:space="preserve">fluente lorsqu’elle donne lieu à la mise en place d’une </w:t>
      </w:r>
      <w:r w:rsidRPr="001C2E2B">
        <w:t>« </w:t>
      </w:r>
      <w:r w:rsidRPr="001C2E2B">
        <w:rPr>
          <w:lang w:eastAsia="fr-FR" w:bidi="fr-FR"/>
        </w:rPr>
        <w:t>doctrine</w:t>
      </w:r>
      <w:r w:rsidRPr="001C2E2B">
        <w:t> »</w:t>
      </w:r>
      <w:r w:rsidRPr="001C2E2B">
        <w:rPr>
          <w:lang w:eastAsia="fr-FR" w:bidi="fr-FR"/>
        </w:rPr>
        <w:t>, par exemple l’endiguement sous Truman ou la fin de la guerre froide sous Reagan, mais désastreuse lorsqu’elle s’avère ill</w:t>
      </w:r>
      <w:r w:rsidRPr="001C2E2B">
        <w:rPr>
          <w:lang w:eastAsia="fr-FR" w:bidi="fr-FR"/>
        </w:rPr>
        <w:t>u</w:t>
      </w:r>
      <w:r w:rsidRPr="001C2E2B">
        <w:rPr>
          <w:lang w:eastAsia="fr-FR" w:bidi="fr-FR"/>
        </w:rPr>
        <w:t>soire, comme le programme de paix de Wilson ou le nouvel ordre mondial sous G.H. Bush. Pire encore, certains n’ont eu aucune vision (Eisenhower, Ford). Cette perception du monde est d’autant plus d</w:t>
      </w:r>
      <w:r w:rsidRPr="001C2E2B">
        <w:rPr>
          <w:lang w:eastAsia="fr-FR" w:bidi="fr-FR"/>
        </w:rPr>
        <w:t>é</w:t>
      </w:r>
      <w:r w:rsidRPr="001C2E2B">
        <w:rPr>
          <w:lang w:eastAsia="fr-FR" w:bidi="fr-FR"/>
        </w:rPr>
        <w:t>terminante qu’elle réoriente la p</w:t>
      </w:r>
      <w:r w:rsidRPr="001C2E2B">
        <w:rPr>
          <w:lang w:eastAsia="fr-FR" w:bidi="fr-FR"/>
        </w:rPr>
        <w:t>o</w:t>
      </w:r>
      <w:r w:rsidRPr="001C2E2B">
        <w:rPr>
          <w:lang w:eastAsia="fr-FR" w:bidi="fr-FR"/>
        </w:rPr>
        <w:t>litique étrangère américaine (ainsi l’endiguement met fin à l’isolationnisme, la lutte contre le terr</w:t>
      </w:r>
      <w:r w:rsidRPr="001C2E2B">
        <w:rPr>
          <w:lang w:eastAsia="fr-FR" w:bidi="fr-FR"/>
        </w:rPr>
        <w:t>o</w:t>
      </w:r>
      <w:r w:rsidRPr="001C2E2B">
        <w:rPr>
          <w:lang w:eastAsia="fr-FR" w:bidi="fr-FR"/>
        </w:rPr>
        <w:t xml:space="preserve">risme remplace l’attitude attentiste de </w:t>
      </w:r>
      <w:r w:rsidRPr="001C2E2B">
        <w:t>« </w:t>
      </w:r>
      <w:r w:rsidRPr="001C2E2B">
        <w:rPr>
          <w:lang w:eastAsia="fr-FR" w:bidi="fr-FR"/>
        </w:rPr>
        <w:t>l’après-guerre froide</w:t>
      </w:r>
      <w:r w:rsidRPr="001C2E2B">
        <w:t> »</w:t>
      </w:r>
      <w:r w:rsidRPr="001C2E2B">
        <w:rPr>
          <w:lang w:eastAsia="fr-FR" w:bidi="fr-FR"/>
        </w:rPr>
        <w:t>).</w:t>
      </w:r>
    </w:p>
    <w:p w14:paraId="5B34A7E2" w14:textId="77777777" w:rsidR="0039793A" w:rsidRPr="001C2E2B" w:rsidRDefault="0039793A" w:rsidP="0039793A">
      <w:pPr>
        <w:spacing w:before="120" w:after="120"/>
        <w:jc w:val="both"/>
      </w:pPr>
      <w:r w:rsidRPr="00450BBC">
        <w:rPr>
          <w:i/>
          <w:lang w:eastAsia="fr-FR" w:bidi="fr-FR"/>
        </w:rPr>
        <w:t>Deuxièmement</w:t>
      </w:r>
      <w:r w:rsidRPr="001C2E2B">
        <w:rPr>
          <w:lang w:eastAsia="fr-FR" w:bidi="fr-FR"/>
        </w:rPr>
        <w:t>, le pragmatisme requiert un e</w:t>
      </w:r>
      <w:r w:rsidRPr="001C2E2B">
        <w:rPr>
          <w:lang w:eastAsia="fr-FR" w:bidi="fr-FR"/>
        </w:rPr>
        <w:t>s</w:t>
      </w:r>
      <w:r w:rsidRPr="001C2E2B">
        <w:rPr>
          <w:lang w:eastAsia="fr-FR" w:bidi="fr-FR"/>
        </w:rPr>
        <w:t>prit de flexibilité et de compromis. Alors que ce</w:t>
      </w:r>
      <w:r w:rsidRPr="001C2E2B">
        <w:rPr>
          <w:lang w:eastAsia="fr-FR" w:bidi="fr-FR"/>
        </w:rPr>
        <w:t>r</w:t>
      </w:r>
      <w:r w:rsidRPr="001C2E2B">
        <w:rPr>
          <w:lang w:eastAsia="fr-FR" w:bidi="fr-FR"/>
        </w:rPr>
        <w:t>tains présidents ont excellé dans l’art d’effectuer des concessions sans mettre en cause leur vision (Kenn</w:t>
      </w:r>
      <w:r w:rsidRPr="001C2E2B">
        <w:rPr>
          <w:lang w:eastAsia="fr-FR" w:bidi="fr-FR"/>
        </w:rPr>
        <w:t>e</w:t>
      </w:r>
      <w:r w:rsidRPr="001C2E2B">
        <w:rPr>
          <w:lang w:eastAsia="fr-FR" w:bidi="fr-FR"/>
        </w:rPr>
        <w:t>dy, Reagan), d’autres se sont révélés de véritables caméléons en ada</w:t>
      </w:r>
      <w:r w:rsidRPr="001C2E2B">
        <w:rPr>
          <w:lang w:eastAsia="fr-FR" w:bidi="fr-FR"/>
        </w:rPr>
        <w:t>p</w:t>
      </w:r>
      <w:r w:rsidRPr="001C2E2B">
        <w:rPr>
          <w:lang w:eastAsia="fr-FR" w:bidi="fr-FR"/>
        </w:rPr>
        <w:t>tant leurs objectifs et leurs stratégies pour épouser des causes pon</w:t>
      </w:r>
      <w:r w:rsidRPr="001C2E2B">
        <w:rPr>
          <w:lang w:eastAsia="fr-FR" w:bidi="fr-FR"/>
        </w:rPr>
        <w:t>c</w:t>
      </w:r>
      <w:r w:rsidRPr="001C2E2B">
        <w:rPr>
          <w:lang w:eastAsia="fr-FR" w:bidi="fr-FR"/>
        </w:rPr>
        <w:t>tuellement populaires (F.D. Roosevelt, Clinton).</w:t>
      </w:r>
    </w:p>
    <w:p w14:paraId="0E19736E" w14:textId="77777777" w:rsidR="0039793A" w:rsidRPr="001C2E2B" w:rsidRDefault="0039793A" w:rsidP="0039793A">
      <w:pPr>
        <w:spacing w:before="120" w:after="120"/>
        <w:jc w:val="both"/>
      </w:pPr>
      <w:r w:rsidRPr="00450BBC">
        <w:rPr>
          <w:i/>
          <w:lang w:eastAsia="fr-FR" w:bidi="fr-FR"/>
        </w:rPr>
        <w:t>Troisièmement</w:t>
      </w:r>
      <w:r w:rsidRPr="001C2E2B">
        <w:rPr>
          <w:lang w:eastAsia="fr-FR" w:bidi="fr-FR"/>
        </w:rPr>
        <w:t xml:space="preserve">, le consentement des gouvernés traduit l’esprit de </w:t>
      </w:r>
      <w:r w:rsidRPr="001C2E2B">
        <w:t>« </w:t>
      </w:r>
      <w:r w:rsidRPr="000E586E">
        <w:rPr>
          <w:i/>
          <w:iCs/>
        </w:rPr>
        <w:t>consensus building</w:t>
      </w:r>
      <w:r w:rsidRPr="001C2E2B">
        <w:t> »</w:t>
      </w:r>
      <w:r w:rsidRPr="001C2E2B">
        <w:rPr>
          <w:lang w:eastAsia="fr-FR" w:bidi="fr-FR"/>
        </w:rPr>
        <w:t xml:space="preserve"> que le président veut susciter. Les meilleurs présidents ont pris soin de créer et de maintenir ce consensus, parfois en cultivant l’opinion publique (par exe</w:t>
      </w:r>
      <w:r w:rsidRPr="001C2E2B">
        <w:rPr>
          <w:lang w:eastAsia="fr-FR" w:bidi="fr-FR"/>
        </w:rPr>
        <w:t>m</w:t>
      </w:r>
      <w:r w:rsidRPr="001C2E2B">
        <w:rPr>
          <w:lang w:eastAsia="fr-FR" w:bidi="fr-FR"/>
        </w:rPr>
        <w:t>ple, Truman)</w:t>
      </w:r>
      <w:r w:rsidRPr="001C2E2B">
        <w:t> ;</w:t>
      </w:r>
      <w:r w:rsidRPr="001C2E2B">
        <w:rPr>
          <w:lang w:eastAsia="fr-FR" w:bidi="fr-FR"/>
        </w:rPr>
        <w:t xml:space="preserve"> les moins bons ont ignoré les rupt</w:t>
      </w:r>
      <w:r w:rsidRPr="001C2E2B">
        <w:rPr>
          <w:lang w:eastAsia="fr-FR" w:bidi="fr-FR"/>
        </w:rPr>
        <w:t>u</w:t>
      </w:r>
      <w:r w:rsidRPr="001C2E2B">
        <w:rPr>
          <w:lang w:eastAsia="fr-FR" w:bidi="fr-FR"/>
        </w:rPr>
        <w:t>res de consensus et ainsi mis en péril leur prés</w:t>
      </w:r>
      <w:r w:rsidRPr="001C2E2B">
        <w:rPr>
          <w:lang w:eastAsia="fr-FR" w:bidi="fr-FR"/>
        </w:rPr>
        <w:t>i</w:t>
      </w:r>
      <w:r w:rsidRPr="001C2E2B">
        <w:rPr>
          <w:lang w:eastAsia="fr-FR" w:bidi="fr-FR"/>
        </w:rPr>
        <w:t>dence (Johnson et Nixon).</w:t>
      </w:r>
    </w:p>
    <w:p w14:paraId="016DECC6" w14:textId="77777777" w:rsidR="0039793A" w:rsidRPr="001C2E2B" w:rsidRDefault="0039793A" w:rsidP="0039793A">
      <w:pPr>
        <w:spacing w:before="120" w:after="120"/>
        <w:jc w:val="both"/>
      </w:pPr>
      <w:r>
        <w:t>[169]</w:t>
      </w:r>
    </w:p>
    <w:p w14:paraId="7121290A" w14:textId="77777777" w:rsidR="0039793A" w:rsidRPr="001C2E2B" w:rsidRDefault="0039793A" w:rsidP="0039793A">
      <w:pPr>
        <w:spacing w:before="120" w:after="120"/>
        <w:jc w:val="both"/>
      </w:pPr>
      <w:r w:rsidRPr="00450BBC">
        <w:rPr>
          <w:i/>
          <w:lang w:eastAsia="fr-FR" w:bidi="fr-FR"/>
        </w:rPr>
        <w:t>Quatrièmement</w:t>
      </w:r>
      <w:r w:rsidRPr="001C2E2B">
        <w:rPr>
          <w:lang w:eastAsia="fr-FR" w:bidi="fr-FR"/>
        </w:rPr>
        <w:t>, le charisme est l’essence du leadership</w:t>
      </w:r>
      <w:r>
        <w:rPr>
          <w:lang w:eastAsia="fr-FR" w:bidi="fr-FR"/>
        </w:rPr>
        <w:t> </w:t>
      </w:r>
      <w:r>
        <w:rPr>
          <w:rStyle w:val="Appelnotedebasdep"/>
          <w:lang w:eastAsia="fr-FR" w:bidi="fr-FR"/>
        </w:rPr>
        <w:footnoteReference w:id="390"/>
      </w:r>
      <w:r w:rsidRPr="001C2E2B">
        <w:rPr>
          <w:lang w:eastAsia="fr-FR" w:bidi="fr-FR"/>
        </w:rPr>
        <w:t>. Le pr</w:t>
      </w:r>
      <w:r w:rsidRPr="001C2E2B">
        <w:rPr>
          <w:lang w:eastAsia="fr-FR" w:bidi="fr-FR"/>
        </w:rPr>
        <w:t>é</w:t>
      </w:r>
      <w:r w:rsidRPr="001C2E2B">
        <w:rPr>
          <w:lang w:eastAsia="fr-FR" w:bidi="fr-FR"/>
        </w:rPr>
        <w:t>sident suscite-t-il une certaine mobilisation et convainc-t-il la burea</w:t>
      </w:r>
      <w:r w:rsidRPr="001C2E2B">
        <w:rPr>
          <w:lang w:eastAsia="fr-FR" w:bidi="fr-FR"/>
        </w:rPr>
        <w:t>u</w:t>
      </w:r>
      <w:r w:rsidRPr="001C2E2B">
        <w:rPr>
          <w:lang w:eastAsia="fr-FR" w:bidi="fr-FR"/>
        </w:rPr>
        <w:t>cratie, la législature et le public du bien-fondé de sa politique</w:t>
      </w:r>
      <w:r w:rsidRPr="001C2E2B">
        <w:t> ?</w:t>
      </w:r>
      <w:r w:rsidRPr="001C2E2B">
        <w:rPr>
          <w:lang w:eastAsia="fr-FR" w:bidi="fr-FR"/>
        </w:rPr>
        <w:t xml:space="preserve"> Ce</w:t>
      </w:r>
      <w:r w:rsidRPr="001C2E2B">
        <w:rPr>
          <w:lang w:eastAsia="fr-FR" w:bidi="fr-FR"/>
        </w:rPr>
        <w:t>r</w:t>
      </w:r>
      <w:r w:rsidRPr="001C2E2B">
        <w:rPr>
          <w:lang w:eastAsia="fr-FR" w:bidi="fr-FR"/>
        </w:rPr>
        <w:t>tains sont parvenus à gagner les cœurs et les esprits (Kennedy, Re</w:t>
      </w:r>
      <w:r w:rsidRPr="001C2E2B">
        <w:rPr>
          <w:lang w:eastAsia="fr-FR" w:bidi="fr-FR"/>
        </w:rPr>
        <w:t>a</w:t>
      </w:r>
      <w:r w:rsidRPr="001C2E2B">
        <w:rPr>
          <w:lang w:eastAsia="fr-FR" w:bidi="fr-FR"/>
        </w:rPr>
        <w:t>gan), tandis que d’autres ont provoqué - notamment au sein de leur admini</w:t>
      </w:r>
      <w:r w:rsidRPr="001C2E2B">
        <w:rPr>
          <w:lang w:eastAsia="fr-FR" w:bidi="fr-FR"/>
        </w:rPr>
        <w:t>s</w:t>
      </w:r>
      <w:r w:rsidRPr="001C2E2B">
        <w:rPr>
          <w:lang w:eastAsia="fr-FR" w:bidi="fr-FR"/>
        </w:rPr>
        <w:t>tration — des ressentiments, voire de la dérision (Johnson, Nixon, Carter).</w:t>
      </w:r>
    </w:p>
    <w:p w14:paraId="20305EEB" w14:textId="77777777" w:rsidR="0039793A" w:rsidRPr="001C2E2B" w:rsidRDefault="0039793A" w:rsidP="0039793A">
      <w:pPr>
        <w:spacing w:before="120" w:after="120"/>
        <w:jc w:val="both"/>
      </w:pPr>
      <w:r w:rsidRPr="001C2E2B">
        <w:rPr>
          <w:lang w:eastAsia="fr-FR" w:bidi="fr-FR"/>
        </w:rPr>
        <w:t xml:space="preserve">Enfin, </w:t>
      </w:r>
      <w:r w:rsidRPr="00450BBC">
        <w:rPr>
          <w:i/>
          <w:lang w:eastAsia="fr-FR" w:bidi="fr-FR"/>
        </w:rPr>
        <w:t>cinquièmement</w:t>
      </w:r>
      <w:r w:rsidRPr="001C2E2B">
        <w:rPr>
          <w:lang w:eastAsia="fr-FR" w:bidi="fr-FR"/>
        </w:rPr>
        <w:t>, la crédibilité peut se r</w:t>
      </w:r>
      <w:r w:rsidRPr="001C2E2B">
        <w:rPr>
          <w:lang w:eastAsia="fr-FR" w:bidi="fr-FR"/>
        </w:rPr>
        <w:t>é</w:t>
      </w:r>
      <w:r w:rsidRPr="001C2E2B">
        <w:rPr>
          <w:lang w:eastAsia="fr-FR" w:bidi="fr-FR"/>
        </w:rPr>
        <w:t>sumer, selon Dallek, à la propension du président à dire ce qu’il fait et faire ce qu’il dit. La crédibilité est indispensable à la performance présidentielle</w:t>
      </w:r>
      <w:r w:rsidRPr="001C2E2B">
        <w:t> :</w:t>
      </w:r>
      <w:r w:rsidRPr="001C2E2B">
        <w:rPr>
          <w:lang w:eastAsia="fr-FR" w:bidi="fr-FR"/>
        </w:rPr>
        <w:t xml:space="preserve"> la con</w:t>
      </w:r>
      <w:r w:rsidRPr="001C2E2B">
        <w:rPr>
          <w:lang w:eastAsia="fr-FR" w:bidi="fr-FR"/>
        </w:rPr>
        <w:t>s</w:t>
      </w:r>
      <w:r w:rsidRPr="001C2E2B">
        <w:rPr>
          <w:lang w:eastAsia="fr-FR" w:bidi="fr-FR"/>
        </w:rPr>
        <w:t>tance de Truman lors du conflit en Corée contraste ainsi avec les pr</w:t>
      </w:r>
      <w:r w:rsidRPr="001C2E2B">
        <w:rPr>
          <w:lang w:eastAsia="fr-FR" w:bidi="fr-FR"/>
        </w:rPr>
        <w:t>o</w:t>
      </w:r>
      <w:r w:rsidRPr="001C2E2B">
        <w:rPr>
          <w:lang w:eastAsia="fr-FR" w:bidi="fr-FR"/>
        </w:rPr>
        <w:t>messes non respectées de Johnson de ne pas engager les troupes, et de Nixon de ne pas étendre la guerre au Vietnam. Il y a également les présidents qui ne peuvent réaliser ce qu’ils ont promis</w:t>
      </w:r>
      <w:r w:rsidRPr="001C2E2B">
        <w:t> :</w:t>
      </w:r>
      <w:r w:rsidRPr="001C2E2B">
        <w:rPr>
          <w:lang w:eastAsia="fr-FR" w:bidi="fr-FR"/>
        </w:rPr>
        <w:t xml:space="preserve"> l’idéalisme n’a pas su s’imposer ainsi qu’en témoignent les échecs de la paix wi</w:t>
      </w:r>
      <w:r w:rsidRPr="001C2E2B">
        <w:rPr>
          <w:lang w:eastAsia="fr-FR" w:bidi="fr-FR"/>
        </w:rPr>
        <w:t>l</w:t>
      </w:r>
      <w:r w:rsidRPr="001C2E2B">
        <w:rPr>
          <w:lang w:eastAsia="fr-FR" w:bidi="fr-FR"/>
        </w:rPr>
        <w:t>sonienne et de la vision de Carter.</w:t>
      </w:r>
    </w:p>
    <w:p w14:paraId="7AB62D2B" w14:textId="77777777" w:rsidR="0039793A" w:rsidRDefault="0039793A" w:rsidP="0039793A">
      <w:pPr>
        <w:spacing w:before="120" w:after="120"/>
        <w:jc w:val="both"/>
        <w:rPr>
          <w:lang w:eastAsia="fr-FR" w:bidi="fr-FR"/>
        </w:rPr>
      </w:pPr>
    </w:p>
    <w:p w14:paraId="39EFB59F" w14:textId="77777777" w:rsidR="0039793A" w:rsidRPr="000E586E" w:rsidRDefault="0039793A" w:rsidP="0039793A">
      <w:pPr>
        <w:pStyle w:val="b"/>
      </w:pPr>
      <w:r w:rsidRPr="000E586E">
        <w:rPr>
          <w:lang w:eastAsia="fr-FR" w:bidi="fr-FR"/>
        </w:rPr>
        <w:t>La typologie de Thomas Preston</w:t>
      </w:r>
    </w:p>
    <w:p w14:paraId="3C1756ED" w14:textId="77777777" w:rsidR="0039793A" w:rsidRDefault="0039793A" w:rsidP="0039793A">
      <w:pPr>
        <w:spacing w:before="120" w:after="120"/>
        <w:jc w:val="both"/>
        <w:rPr>
          <w:lang w:eastAsia="fr-FR" w:bidi="fr-FR"/>
        </w:rPr>
      </w:pPr>
    </w:p>
    <w:p w14:paraId="666E847B" w14:textId="77777777" w:rsidR="0039793A" w:rsidRPr="001C2E2B" w:rsidRDefault="0039793A" w:rsidP="0039793A">
      <w:pPr>
        <w:spacing w:before="120" w:after="120"/>
        <w:jc w:val="both"/>
      </w:pPr>
      <w:r w:rsidRPr="001C2E2B">
        <w:rPr>
          <w:lang w:eastAsia="fr-FR" w:bidi="fr-FR"/>
        </w:rPr>
        <w:t>Le politologue Thomas Preston présente, pour sa part, une nouve</w:t>
      </w:r>
      <w:r w:rsidRPr="001C2E2B">
        <w:rPr>
          <w:lang w:eastAsia="fr-FR" w:bidi="fr-FR"/>
        </w:rPr>
        <w:t>l</w:t>
      </w:r>
      <w:r w:rsidRPr="001C2E2B">
        <w:rPr>
          <w:lang w:eastAsia="fr-FR" w:bidi="fr-FR"/>
        </w:rPr>
        <w:t>le typologie du style préside</w:t>
      </w:r>
      <w:r w:rsidRPr="001C2E2B">
        <w:rPr>
          <w:lang w:eastAsia="fr-FR" w:bidi="fr-FR"/>
        </w:rPr>
        <w:t>n</w:t>
      </w:r>
      <w:r w:rsidRPr="001C2E2B">
        <w:rPr>
          <w:lang w:eastAsia="fr-FR" w:bidi="fr-FR"/>
        </w:rPr>
        <w:t>tiel</w:t>
      </w:r>
      <w:r>
        <w:rPr>
          <w:lang w:eastAsia="fr-FR" w:bidi="fr-FR"/>
        </w:rPr>
        <w:t> </w:t>
      </w:r>
      <w:r>
        <w:rPr>
          <w:rStyle w:val="Appelnotedebasdep"/>
          <w:lang w:eastAsia="fr-FR" w:bidi="fr-FR"/>
        </w:rPr>
        <w:footnoteReference w:id="391"/>
      </w:r>
      <w:r w:rsidRPr="001C2E2B">
        <w:rPr>
          <w:lang w:eastAsia="fr-FR" w:bidi="fr-FR"/>
        </w:rPr>
        <w:t>. Le style est déterminé, selon lui, par trois caractéristiques individuelles</w:t>
      </w:r>
      <w:r w:rsidRPr="001C2E2B">
        <w:t> :</w:t>
      </w:r>
      <w:r w:rsidRPr="001C2E2B">
        <w:rPr>
          <w:lang w:eastAsia="fr-FR" w:bidi="fr-FR"/>
        </w:rPr>
        <w:t xml:space="preserve"> l’exercice de l’autorité (la soif et la pratique du pouvoir), la str</w:t>
      </w:r>
      <w:r w:rsidRPr="001C2E2B">
        <w:rPr>
          <w:lang w:eastAsia="fr-FR" w:bidi="fr-FR"/>
        </w:rPr>
        <w:t>a</w:t>
      </w:r>
      <w:r w:rsidRPr="001C2E2B">
        <w:rPr>
          <w:lang w:eastAsia="fr-FR" w:bidi="fr-FR"/>
        </w:rPr>
        <w:t>tégie cognitive (la recherche et le traitement de l’information) et l’expérience acquise précéde</w:t>
      </w:r>
      <w:r w:rsidRPr="001C2E2B">
        <w:rPr>
          <w:lang w:eastAsia="fr-FR" w:bidi="fr-FR"/>
        </w:rPr>
        <w:t>m</w:t>
      </w:r>
      <w:r w:rsidRPr="001C2E2B">
        <w:rPr>
          <w:lang w:eastAsia="fr-FR" w:bidi="fr-FR"/>
        </w:rPr>
        <w:t>ment. À partir de ces variables, Preston classe les présidents selon leur degré d’implication dans la prise de décision, et leur niveau d’adaptation aux exigences de l’information.</w:t>
      </w:r>
    </w:p>
    <w:p w14:paraId="38DD6057" w14:textId="77777777" w:rsidR="0039793A" w:rsidRPr="001C2E2B" w:rsidRDefault="0039793A" w:rsidP="0039793A">
      <w:pPr>
        <w:spacing w:before="120" w:after="120"/>
        <w:jc w:val="both"/>
      </w:pPr>
      <w:r w:rsidRPr="001C2E2B">
        <w:rPr>
          <w:lang w:eastAsia="fr-FR" w:bidi="fr-FR"/>
        </w:rPr>
        <w:t xml:space="preserve">Dans </w:t>
      </w:r>
      <w:r w:rsidRPr="00450BBC">
        <w:rPr>
          <w:i/>
          <w:lang w:eastAsia="fr-FR" w:bidi="fr-FR"/>
        </w:rPr>
        <w:t>la première catégorie</w:t>
      </w:r>
      <w:r w:rsidRPr="001C2E2B">
        <w:rPr>
          <w:lang w:eastAsia="fr-FR" w:bidi="fr-FR"/>
        </w:rPr>
        <w:t xml:space="preserve">, celle de l’implication, on retrouve tout d’abord le style </w:t>
      </w:r>
      <w:r w:rsidRPr="001C2E2B">
        <w:t>« </w:t>
      </w:r>
      <w:r w:rsidRPr="001C2E2B">
        <w:rPr>
          <w:lang w:eastAsia="fr-FR" w:bidi="fr-FR"/>
        </w:rPr>
        <w:t>directeur</w:t>
      </w:r>
      <w:r w:rsidRPr="001C2E2B">
        <w:t> »</w:t>
      </w:r>
      <w:r w:rsidRPr="001C2E2B">
        <w:rPr>
          <w:lang w:eastAsia="fr-FR" w:bidi="fr-FR"/>
        </w:rPr>
        <w:t>, c’est-à-dire celui d’un président centr</w:t>
      </w:r>
      <w:r w:rsidRPr="001C2E2B">
        <w:rPr>
          <w:lang w:eastAsia="fr-FR" w:bidi="fr-FR"/>
        </w:rPr>
        <w:t>a</w:t>
      </w:r>
      <w:r w:rsidRPr="001C2E2B">
        <w:rPr>
          <w:lang w:eastAsia="fr-FR" w:bidi="fr-FR"/>
        </w:rPr>
        <w:t>lisateur, directif et qui, en raison de son exp</w:t>
      </w:r>
      <w:r w:rsidRPr="001C2E2B">
        <w:rPr>
          <w:lang w:eastAsia="fr-FR" w:bidi="fr-FR"/>
        </w:rPr>
        <w:t>é</w:t>
      </w:r>
      <w:r w:rsidRPr="001C2E2B">
        <w:rPr>
          <w:lang w:eastAsia="fr-FR" w:bidi="fr-FR"/>
        </w:rPr>
        <w:t>rience ou de sa soif de pouvoir, impose ses préf</w:t>
      </w:r>
      <w:r w:rsidRPr="001C2E2B">
        <w:rPr>
          <w:lang w:eastAsia="fr-FR" w:bidi="fr-FR"/>
        </w:rPr>
        <w:t>é</w:t>
      </w:r>
      <w:r w:rsidRPr="001C2E2B">
        <w:rPr>
          <w:lang w:eastAsia="fr-FR" w:bidi="fr-FR"/>
        </w:rPr>
        <w:t xml:space="preserve">rences (Eisenhower, Kennedy, Nixon). Il y a ensuite le style </w:t>
      </w:r>
      <w:r w:rsidRPr="001C2E2B">
        <w:t>« </w:t>
      </w:r>
      <w:r w:rsidRPr="001C2E2B">
        <w:rPr>
          <w:lang w:eastAsia="fr-FR" w:bidi="fr-FR"/>
        </w:rPr>
        <w:t>administrateur</w:t>
      </w:r>
      <w:r w:rsidRPr="001C2E2B">
        <w:t> »</w:t>
      </w:r>
      <w:r w:rsidRPr="001C2E2B">
        <w:rPr>
          <w:lang w:eastAsia="fr-FR" w:bidi="fr-FR"/>
        </w:rPr>
        <w:t xml:space="preserve"> des présidents e</w:t>
      </w:r>
      <w:r w:rsidRPr="001C2E2B">
        <w:rPr>
          <w:lang w:eastAsia="fr-FR" w:bidi="fr-FR"/>
        </w:rPr>
        <w:t>x</w:t>
      </w:r>
      <w:r w:rsidRPr="001C2E2B">
        <w:rPr>
          <w:lang w:eastAsia="fr-FR" w:bidi="fr-FR"/>
        </w:rPr>
        <w:t>périmentés, moins séduits par le pouvoir, et préf</w:t>
      </w:r>
      <w:r w:rsidRPr="001C2E2B">
        <w:rPr>
          <w:lang w:eastAsia="fr-FR" w:bidi="fr-FR"/>
        </w:rPr>
        <w:t>é</w:t>
      </w:r>
      <w:r w:rsidRPr="001C2E2B">
        <w:rPr>
          <w:lang w:eastAsia="fr-FR" w:bidi="fr-FR"/>
        </w:rPr>
        <w:t>rant la décentralisation des décisions et les co</w:t>
      </w:r>
      <w:r w:rsidRPr="001C2E2B">
        <w:rPr>
          <w:lang w:eastAsia="fr-FR" w:bidi="fr-FR"/>
        </w:rPr>
        <w:t>m</w:t>
      </w:r>
      <w:r>
        <w:rPr>
          <w:lang w:eastAsia="fr-FR" w:bidi="fr-FR"/>
        </w:rPr>
        <w:t>promis bureau</w:t>
      </w:r>
      <w:r w:rsidRPr="001C2E2B">
        <w:rPr>
          <w:lang w:eastAsia="fr-FR" w:bidi="fr-FR"/>
        </w:rPr>
        <w:t>cratiques</w:t>
      </w:r>
      <w:r>
        <w:t xml:space="preserve"> [170]</w:t>
      </w:r>
      <w:r w:rsidRPr="001C2E2B">
        <w:rPr>
          <w:lang w:eastAsia="fr-FR" w:bidi="fr-FR"/>
        </w:rPr>
        <w:t xml:space="preserve"> (G.H. Bush). Puis s’ajoutent les pr</w:t>
      </w:r>
      <w:r w:rsidRPr="001C2E2B">
        <w:rPr>
          <w:lang w:eastAsia="fr-FR" w:bidi="fr-FR"/>
        </w:rPr>
        <w:t>é</w:t>
      </w:r>
      <w:r w:rsidRPr="001C2E2B">
        <w:rPr>
          <w:lang w:eastAsia="fr-FR" w:bidi="fr-FR"/>
        </w:rPr>
        <w:t xml:space="preserve">sidents de type </w:t>
      </w:r>
      <w:r w:rsidRPr="001C2E2B">
        <w:t>« </w:t>
      </w:r>
      <w:r w:rsidRPr="001C2E2B">
        <w:rPr>
          <w:lang w:eastAsia="fr-FR" w:bidi="fr-FR"/>
        </w:rPr>
        <w:t>magis-trat</w:t>
      </w:r>
      <w:r w:rsidRPr="001C2E2B">
        <w:t> »</w:t>
      </w:r>
      <w:r w:rsidRPr="001C2E2B">
        <w:rPr>
          <w:lang w:eastAsia="fr-FR" w:bidi="fr-FR"/>
        </w:rPr>
        <w:t>, centralisateurs mais inexpérimentés, qui apprécient les avis - parfois contradictoires - de leurs conseillers, à l’intérieur co</w:t>
      </w:r>
      <w:r w:rsidRPr="001C2E2B">
        <w:rPr>
          <w:lang w:eastAsia="fr-FR" w:bidi="fr-FR"/>
        </w:rPr>
        <w:t>m</w:t>
      </w:r>
      <w:r w:rsidRPr="001C2E2B">
        <w:rPr>
          <w:lang w:eastAsia="fr-FR" w:bidi="fr-FR"/>
        </w:rPr>
        <w:t xml:space="preserve">me à l’extérieur du gouvernement (Truman, Johnson, Carter). Enfin, les présidents de type </w:t>
      </w:r>
      <w:r w:rsidRPr="001C2E2B">
        <w:t>« </w:t>
      </w:r>
      <w:r w:rsidRPr="001C2E2B">
        <w:rPr>
          <w:lang w:eastAsia="fr-FR" w:bidi="fr-FR"/>
        </w:rPr>
        <w:t>mandataire</w:t>
      </w:r>
      <w:r w:rsidRPr="001C2E2B">
        <w:t> »</w:t>
      </w:r>
      <w:r w:rsidRPr="001C2E2B">
        <w:rPr>
          <w:lang w:eastAsia="fr-FR" w:bidi="fr-FR"/>
        </w:rPr>
        <w:t>, ni expérimentés ni centralisateurs, peu intéressés par les affaires étrangères et dél</w:t>
      </w:r>
      <w:r w:rsidRPr="001C2E2B">
        <w:rPr>
          <w:lang w:eastAsia="fr-FR" w:bidi="fr-FR"/>
        </w:rPr>
        <w:t>é</w:t>
      </w:r>
      <w:r w:rsidRPr="001C2E2B">
        <w:rPr>
          <w:lang w:eastAsia="fr-FR" w:bidi="fr-FR"/>
        </w:rPr>
        <w:t>guant volontiers leur autorité (Reagan, et dans une moindre mesure Clinton, G.W. Bush).</w:t>
      </w:r>
    </w:p>
    <w:p w14:paraId="1FC5B489" w14:textId="77777777" w:rsidR="0039793A" w:rsidRPr="001C2E2B" w:rsidRDefault="0039793A" w:rsidP="0039793A">
      <w:pPr>
        <w:spacing w:before="120" w:after="120"/>
        <w:jc w:val="both"/>
      </w:pPr>
      <w:r w:rsidRPr="001C2E2B">
        <w:rPr>
          <w:lang w:eastAsia="fr-FR" w:bidi="fr-FR"/>
        </w:rPr>
        <w:t xml:space="preserve">Dans </w:t>
      </w:r>
      <w:r w:rsidRPr="00450BBC">
        <w:rPr>
          <w:i/>
          <w:lang w:eastAsia="fr-FR" w:bidi="fr-FR"/>
        </w:rPr>
        <w:t>la seconde catégorie</w:t>
      </w:r>
      <w:r w:rsidRPr="001C2E2B">
        <w:rPr>
          <w:lang w:eastAsia="fr-FR" w:bidi="fr-FR"/>
        </w:rPr>
        <w:t>, celle de l’adaptation, Preston classe de nouveau les présidents en fonction de quatre orientations. La pr</w:t>
      </w:r>
      <w:r w:rsidRPr="001C2E2B">
        <w:rPr>
          <w:lang w:eastAsia="fr-FR" w:bidi="fr-FR"/>
        </w:rPr>
        <w:t>e</w:t>
      </w:r>
      <w:r w:rsidRPr="001C2E2B">
        <w:rPr>
          <w:lang w:eastAsia="fr-FR" w:bidi="fr-FR"/>
        </w:rPr>
        <w:t xml:space="preserve">mière est celle des présidents </w:t>
      </w:r>
      <w:r w:rsidRPr="001C2E2B">
        <w:t>« </w:t>
      </w:r>
      <w:r w:rsidRPr="001C2E2B">
        <w:rPr>
          <w:lang w:eastAsia="fr-FR" w:bidi="fr-FR"/>
        </w:rPr>
        <w:t>navigateurs</w:t>
      </w:r>
      <w:r w:rsidRPr="001C2E2B">
        <w:t> »</w:t>
      </w:r>
      <w:r w:rsidRPr="001C2E2B">
        <w:rPr>
          <w:lang w:eastAsia="fr-FR" w:bidi="fr-FR"/>
        </w:rPr>
        <w:t>, en d’autres termes les prés</w:t>
      </w:r>
      <w:r w:rsidRPr="001C2E2B">
        <w:rPr>
          <w:lang w:eastAsia="fr-FR" w:bidi="fr-FR"/>
        </w:rPr>
        <w:t>i</w:t>
      </w:r>
      <w:r w:rsidRPr="001C2E2B">
        <w:rPr>
          <w:lang w:eastAsia="fr-FR" w:bidi="fr-FR"/>
        </w:rPr>
        <w:t>dents vigilants qui acco</w:t>
      </w:r>
      <w:r w:rsidRPr="001C2E2B">
        <w:rPr>
          <w:lang w:eastAsia="fr-FR" w:bidi="fr-FR"/>
        </w:rPr>
        <w:t>r</w:t>
      </w:r>
      <w:r w:rsidRPr="001C2E2B">
        <w:rPr>
          <w:lang w:eastAsia="fr-FR" w:bidi="fr-FR"/>
        </w:rPr>
        <w:t>dent une grande importance à l’information qui leur est transmise. Leur style est donc moins enclin aux décisions précipitées (Eisenhower, Kennedy et G.H. Bush). La deuxième r</w:t>
      </w:r>
      <w:r w:rsidRPr="001C2E2B">
        <w:rPr>
          <w:lang w:eastAsia="fr-FR" w:bidi="fr-FR"/>
        </w:rPr>
        <w:t>e</w:t>
      </w:r>
      <w:r w:rsidRPr="001C2E2B">
        <w:rPr>
          <w:lang w:eastAsia="fr-FR" w:bidi="fr-FR"/>
        </w:rPr>
        <w:t xml:space="preserve">groupe les présidents </w:t>
      </w:r>
      <w:r w:rsidRPr="001C2E2B">
        <w:t>« </w:t>
      </w:r>
      <w:r w:rsidRPr="001C2E2B">
        <w:rPr>
          <w:lang w:eastAsia="fr-FR" w:bidi="fr-FR"/>
        </w:rPr>
        <w:t>sentinelles</w:t>
      </w:r>
      <w:r w:rsidRPr="001C2E2B">
        <w:t> »</w:t>
      </w:r>
      <w:r w:rsidRPr="001C2E2B">
        <w:rPr>
          <w:lang w:eastAsia="fr-FR" w:bidi="fr-FR"/>
        </w:rPr>
        <w:t>, ponctuellement flexibles mais tendant à maintenir leurs préférences malgré l’évolution des évén</w:t>
      </w:r>
      <w:r w:rsidRPr="001C2E2B">
        <w:rPr>
          <w:lang w:eastAsia="fr-FR" w:bidi="fr-FR"/>
        </w:rPr>
        <w:t>e</w:t>
      </w:r>
      <w:r w:rsidRPr="001C2E2B">
        <w:rPr>
          <w:lang w:eastAsia="fr-FR" w:bidi="fr-FR"/>
        </w:rPr>
        <w:t>ments. Ils utilisent des anal</w:t>
      </w:r>
      <w:r w:rsidRPr="001C2E2B">
        <w:rPr>
          <w:lang w:eastAsia="fr-FR" w:bidi="fr-FR"/>
        </w:rPr>
        <w:t>o</w:t>
      </w:r>
      <w:r w:rsidRPr="001C2E2B">
        <w:rPr>
          <w:lang w:eastAsia="fr-FR" w:bidi="fr-FR"/>
        </w:rPr>
        <w:t>gies et des stéréotypes pour comprendre et transmettre l’information. Ils sont ainsi plutôt déterm</w:t>
      </w:r>
      <w:r w:rsidRPr="001C2E2B">
        <w:rPr>
          <w:lang w:eastAsia="fr-FR" w:bidi="fr-FR"/>
        </w:rPr>
        <w:t>i</w:t>
      </w:r>
      <w:r w:rsidRPr="001C2E2B">
        <w:rPr>
          <w:lang w:eastAsia="fr-FR" w:bidi="fr-FR"/>
        </w:rPr>
        <w:t>nés et fermes dans leurs décisions (Reagan, G.W. Bush). La troisième tendance i</w:t>
      </w:r>
      <w:r w:rsidRPr="001C2E2B">
        <w:rPr>
          <w:lang w:eastAsia="fr-FR" w:bidi="fr-FR"/>
        </w:rPr>
        <w:t>n</w:t>
      </w:r>
      <w:r w:rsidRPr="001C2E2B">
        <w:rPr>
          <w:lang w:eastAsia="fr-FR" w:bidi="fr-FR"/>
        </w:rPr>
        <w:t xml:space="preserve">clut les présidents du type </w:t>
      </w:r>
      <w:r w:rsidRPr="001C2E2B">
        <w:t>« </w:t>
      </w:r>
      <w:r w:rsidRPr="001C2E2B">
        <w:rPr>
          <w:lang w:eastAsia="fr-FR" w:bidi="fr-FR"/>
        </w:rPr>
        <w:t>observateur</w:t>
      </w:r>
      <w:r w:rsidRPr="001C2E2B">
        <w:t> »</w:t>
      </w:r>
      <w:r w:rsidRPr="001C2E2B">
        <w:rPr>
          <w:lang w:eastAsia="fr-FR" w:bidi="fr-FR"/>
        </w:rPr>
        <w:t>, qui s’en remettent à leurs conseillers</w:t>
      </w:r>
      <w:r w:rsidRPr="001C2E2B">
        <w:t> :</w:t>
      </w:r>
      <w:r w:rsidRPr="001C2E2B">
        <w:rPr>
          <w:lang w:eastAsia="fr-FR" w:bidi="fr-FR"/>
        </w:rPr>
        <w:t xml:space="preserve"> ils estiment que les enjeux sont complexes et qu’ils mér</w:t>
      </w:r>
      <w:r w:rsidRPr="001C2E2B">
        <w:rPr>
          <w:lang w:eastAsia="fr-FR" w:bidi="fr-FR"/>
        </w:rPr>
        <w:t>i</w:t>
      </w:r>
      <w:r w:rsidRPr="001C2E2B">
        <w:rPr>
          <w:lang w:eastAsia="fr-FR" w:bidi="fr-FR"/>
        </w:rPr>
        <w:t>tent d’être scrutés dans le d</w:t>
      </w:r>
      <w:r w:rsidRPr="001C2E2B">
        <w:rPr>
          <w:lang w:eastAsia="fr-FR" w:bidi="fr-FR"/>
        </w:rPr>
        <w:t>é</w:t>
      </w:r>
      <w:r w:rsidRPr="001C2E2B">
        <w:rPr>
          <w:lang w:eastAsia="fr-FR" w:bidi="fr-FR"/>
        </w:rPr>
        <w:t>tail. Leur style est moins décisif car ils sont to</w:t>
      </w:r>
      <w:r w:rsidRPr="001C2E2B">
        <w:rPr>
          <w:lang w:eastAsia="fr-FR" w:bidi="fr-FR"/>
        </w:rPr>
        <w:t>u</w:t>
      </w:r>
      <w:r w:rsidRPr="001C2E2B">
        <w:rPr>
          <w:lang w:eastAsia="fr-FR" w:bidi="fr-FR"/>
        </w:rPr>
        <w:t>jours prêts à reconsidérer leurs décisions (Carter, Clinton). Enfin, la quatrième rassemble les prés</w:t>
      </w:r>
      <w:r w:rsidRPr="001C2E2B">
        <w:rPr>
          <w:lang w:eastAsia="fr-FR" w:bidi="fr-FR"/>
        </w:rPr>
        <w:t>i</w:t>
      </w:r>
      <w:r w:rsidRPr="001C2E2B">
        <w:rPr>
          <w:lang w:eastAsia="fr-FR" w:bidi="fr-FR"/>
        </w:rPr>
        <w:t xml:space="preserve">dents au style </w:t>
      </w:r>
      <w:r w:rsidRPr="001C2E2B">
        <w:t>« </w:t>
      </w:r>
      <w:r w:rsidRPr="001C2E2B">
        <w:rPr>
          <w:lang w:eastAsia="fr-FR" w:bidi="fr-FR"/>
        </w:rPr>
        <w:t>imprévisible</w:t>
      </w:r>
      <w:r w:rsidRPr="001C2E2B">
        <w:t> »</w:t>
      </w:r>
      <w:r w:rsidRPr="001C2E2B">
        <w:rPr>
          <w:lang w:eastAsia="fr-FR" w:bidi="fr-FR"/>
        </w:rPr>
        <w:t>. Ces présidents réagissent rapidement, selon leurs préférences perso</w:t>
      </w:r>
      <w:r w:rsidRPr="001C2E2B">
        <w:rPr>
          <w:lang w:eastAsia="fr-FR" w:bidi="fr-FR"/>
        </w:rPr>
        <w:t>n</w:t>
      </w:r>
      <w:r w:rsidRPr="001C2E2B">
        <w:rPr>
          <w:lang w:eastAsia="fr-FR" w:bidi="fr-FR"/>
        </w:rPr>
        <w:t>nelles et sans nécessairement vouloir recevoir toute l’information. Ils sont grandement influencés par les analogies et les stéréotypes. Ce sont des décideurs déterminés qui fuient les prises de déc</w:t>
      </w:r>
      <w:r w:rsidRPr="001C2E2B">
        <w:rPr>
          <w:lang w:eastAsia="fr-FR" w:bidi="fr-FR"/>
        </w:rPr>
        <w:t>i</w:t>
      </w:r>
      <w:r w:rsidRPr="001C2E2B">
        <w:rPr>
          <w:lang w:eastAsia="fr-FR" w:bidi="fr-FR"/>
        </w:rPr>
        <w:t>sion axées sur la délibération (Truman, Johnson, Nixon).</w:t>
      </w:r>
    </w:p>
    <w:p w14:paraId="7EABB7D1" w14:textId="77777777" w:rsidR="0039793A" w:rsidRPr="001C2E2B" w:rsidRDefault="0039793A" w:rsidP="0039793A">
      <w:pPr>
        <w:spacing w:before="120" w:after="120"/>
        <w:jc w:val="both"/>
      </w:pPr>
      <w:r w:rsidRPr="001C2E2B">
        <w:rPr>
          <w:lang w:eastAsia="fr-FR" w:bidi="fr-FR"/>
        </w:rPr>
        <w:t>Au bout du compte, cet effort de catégorisation permet de donner seize combinaisons possibles de styles présidentiels. Celles qui s’appliquent à la politique étrangère des présidents depuis 1945 sont</w:t>
      </w:r>
      <w:r w:rsidRPr="001C2E2B">
        <w:t> :</w:t>
      </w:r>
      <w:r w:rsidRPr="001C2E2B">
        <w:rPr>
          <w:lang w:eastAsia="fr-FR" w:bidi="fr-FR"/>
        </w:rPr>
        <w:t xml:space="preserve"> l’approche </w:t>
      </w:r>
      <w:r w:rsidRPr="001C2E2B">
        <w:t>« </w:t>
      </w:r>
      <w:r w:rsidRPr="001C2E2B">
        <w:rPr>
          <w:lang w:eastAsia="fr-FR" w:bidi="fr-FR"/>
        </w:rPr>
        <w:t>magistrat-imprévisible</w:t>
      </w:r>
      <w:r w:rsidRPr="001C2E2B">
        <w:t> »</w:t>
      </w:r>
      <w:r w:rsidRPr="001C2E2B">
        <w:rPr>
          <w:lang w:eastAsia="fr-FR" w:bidi="fr-FR"/>
        </w:rPr>
        <w:t xml:space="preserve"> (Tr</w:t>
      </w:r>
      <w:r w:rsidRPr="001C2E2B">
        <w:rPr>
          <w:lang w:eastAsia="fr-FR" w:bidi="fr-FR"/>
        </w:rPr>
        <w:t>u</w:t>
      </w:r>
      <w:r w:rsidRPr="001C2E2B">
        <w:rPr>
          <w:lang w:eastAsia="fr-FR" w:bidi="fr-FR"/>
        </w:rPr>
        <w:t xml:space="preserve">man, Johnson), </w:t>
      </w:r>
      <w:r w:rsidRPr="001C2E2B">
        <w:t>« </w:t>
      </w:r>
      <w:r w:rsidRPr="001C2E2B">
        <w:rPr>
          <w:lang w:eastAsia="fr-FR" w:bidi="fr-FR"/>
        </w:rPr>
        <w:t>magistrat-observateur</w:t>
      </w:r>
      <w:r w:rsidRPr="001C2E2B">
        <w:t> »</w:t>
      </w:r>
      <w:r w:rsidRPr="001C2E2B">
        <w:rPr>
          <w:lang w:eastAsia="fr-FR" w:bidi="fr-FR"/>
        </w:rPr>
        <w:t xml:space="preserve"> (Carter), </w:t>
      </w:r>
      <w:r w:rsidRPr="001C2E2B">
        <w:t>« </w:t>
      </w:r>
      <w:r w:rsidRPr="001C2E2B">
        <w:rPr>
          <w:lang w:eastAsia="fr-FR" w:bidi="fr-FR"/>
        </w:rPr>
        <w:t>directeur-navigateur</w:t>
      </w:r>
      <w:r w:rsidRPr="001C2E2B">
        <w:t> »</w:t>
      </w:r>
      <w:r w:rsidRPr="001C2E2B">
        <w:rPr>
          <w:lang w:eastAsia="fr-FR" w:bidi="fr-FR"/>
        </w:rPr>
        <w:t xml:space="preserve"> (Eisenhower, Kenn</w:t>
      </w:r>
      <w:r w:rsidRPr="001C2E2B">
        <w:rPr>
          <w:lang w:eastAsia="fr-FR" w:bidi="fr-FR"/>
        </w:rPr>
        <w:t>e</w:t>
      </w:r>
      <w:r w:rsidRPr="001C2E2B">
        <w:rPr>
          <w:lang w:eastAsia="fr-FR" w:bidi="fr-FR"/>
        </w:rPr>
        <w:t xml:space="preserve">dy), </w:t>
      </w:r>
      <w:r w:rsidRPr="001C2E2B">
        <w:t>« </w:t>
      </w:r>
      <w:r w:rsidRPr="001C2E2B">
        <w:rPr>
          <w:lang w:eastAsia="fr-FR" w:bidi="fr-FR"/>
        </w:rPr>
        <w:t>directeur- imprévisible</w:t>
      </w:r>
      <w:r w:rsidRPr="001C2E2B">
        <w:t> »</w:t>
      </w:r>
      <w:r w:rsidRPr="001C2E2B">
        <w:rPr>
          <w:lang w:eastAsia="fr-FR" w:bidi="fr-FR"/>
        </w:rPr>
        <w:t xml:space="preserve"> (Nixon), </w:t>
      </w:r>
      <w:r w:rsidRPr="001C2E2B">
        <w:t>« </w:t>
      </w:r>
      <w:r w:rsidRPr="001C2E2B">
        <w:rPr>
          <w:lang w:eastAsia="fr-FR" w:bidi="fr-FR"/>
        </w:rPr>
        <w:t>administrateur-navigateur</w:t>
      </w:r>
      <w:r w:rsidRPr="001C2E2B">
        <w:t> »</w:t>
      </w:r>
      <w:r w:rsidRPr="001C2E2B">
        <w:rPr>
          <w:lang w:eastAsia="fr-FR" w:bidi="fr-FR"/>
        </w:rPr>
        <w:t xml:space="preserve"> (G.H. Bush), </w:t>
      </w:r>
      <w:r w:rsidRPr="001C2E2B">
        <w:t>« </w:t>
      </w:r>
      <w:r w:rsidRPr="001C2E2B">
        <w:rPr>
          <w:lang w:eastAsia="fr-FR" w:bidi="fr-FR"/>
        </w:rPr>
        <w:t>mandataire-sentinelle</w:t>
      </w:r>
      <w:r w:rsidRPr="001C2E2B">
        <w:t> »</w:t>
      </w:r>
      <w:r w:rsidRPr="001C2E2B">
        <w:rPr>
          <w:lang w:eastAsia="fr-FR" w:bidi="fr-FR"/>
        </w:rPr>
        <w:t xml:space="preserve"> (Reagan, G.W. Bush), et </w:t>
      </w:r>
      <w:r w:rsidRPr="001C2E2B">
        <w:t>« </w:t>
      </w:r>
      <w:r w:rsidRPr="001C2E2B">
        <w:rPr>
          <w:lang w:eastAsia="fr-FR" w:bidi="fr-FR"/>
        </w:rPr>
        <w:t>mandataire-observateur</w:t>
      </w:r>
      <w:r w:rsidRPr="001C2E2B">
        <w:t> »</w:t>
      </w:r>
      <w:r w:rsidRPr="001C2E2B">
        <w:rPr>
          <w:lang w:eastAsia="fr-FR" w:bidi="fr-FR"/>
        </w:rPr>
        <w:t xml:space="preserve"> (Clinton). L’analyse de Preston présente deux avantages. Le premier est d’offrir une interprétation plus</w:t>
      </w:r>
      <w:r>
        <w:t xml:space="preserve"> [171] </w:t>
      </w:r>
      <w:r w:rsidRPr="001C2E2B">
        <w:rPr>
          <w:lang w:eastAsia="fr-FR" w:bidi="fr-FR"/>
        </w:rPr>
        <w:t>complète et probablement plus juste, que celle de Barber, par exemple du style présidentiel - notamment en raison de cette classification du</w:t>
      </w:r>
      <w:r w:rsidRPr="001C2E2B">
        <w:rPr>
          <w:lang w:eastAsia="fr-FR" w:bidi="fr-FR"/>
        </w:rPr>
        <w:t>a</w:t>
      </w:r>
      <w:r w:rsidRPr="001C2E2B">
        <w:rPr>
          <w:lang w:eastAsia="fr-FR" w:bidi="fr-FR"/>
        </w:rPr>
        <w:t>le. Le second est de rendre compte de l’évolution d’un style sur la d</w:t>
      </w:r>
      <w:r w:rsidRPr="001C2E2B">
        <w:rPr>
          <w:lang w:eastAsia="fr-FR" w:bidi="fr-FR"/>
        </w:rPr>
        <w:t>u</w:t>
      </w:r>
      <w:r w:rsidRPr="001C2E2B">
        <w:rPr>
          <w:lang w:eastAsia="fr-FR" w:bidi="fr-FR"/>
        </w:rPr>
        <w:t>rée d’une présidence. Ainsi, il s’avère que souvent un président mod</w:t>
      </w:r>
      <w:r w:rsidRPr="001C2E2B">
        <w:rPr>
          <w:lang w:eastAsia="fr-FR" w:bidi="fr-FR"/>
        </w:rPr>
        <w:t>i</w:t>
      </w:r>
      <w:r w:rsidRPr="001C2E2B">
        <w:rPr>
          <w:lang w:eastAsia="fr-FR" w:bidi="fr-FR"/>
        </w:rPr>
        <w:t>fie son style décisionnel et qu’avec le recul son style sera plus tard redéfini (ainsi Eisenhower, qui était perçu à l’époque comme un a</w:t>
      </w:r>
      <w:r w:rsidRPr="001C2E2B">
        <w:rPr>
          <w:lang w:eastAsia="fr-FR" w:bidi="fr-FR"/>
        </w:rPr>
        <w:t>d</w:t>
      </w:r>
      <w:r w:rsidRPr="001C2E2B">
        <w:rPr>
          <w:lang w:eastAsia="fr-FR" w:bidi="fr-FR"/>
        </w:rPr>
        <w:t>ministrateur, est désormais identifié comme un directeur</w:t>
      </w:r>
      <w:r w:rsidRPr="001C2E2B">
        <w:t> ;</w:t>
      </w:r>
      <w:r w:rsidRPr="001C2E2B">
        <w:rPr>
          <w:lang w:eastAsia="fr-FR" w:bidi="fr-FR"/>
        </w:rPr>
        <w:t xml:space="preserve"> tandis que Clinton qui est décrit comme un mandataire pourrait en fait se révéler avoir agi davantage tel un directeur, après sa réélection en 1996). En dernière analyse, c’est la personnalité du président qui, de l’avis de Preston, explique non seulement le style et le choix d’une structure de prise de décision mais également l’orientation de la politique étrang</w:t>
      </w:r>
      <w:r w:rsidRPr="001C2E2B">
        <w:rPr>
          <w:lang w:eastAsia="fr-FR" w:bidi="fr-FR"/>
        </w:rPr>
        <w:t>è</w:t>
      </w:r>
      <w:r w:rsidRPr="001C2E2B">
        <w:rPr>
          <w:lang w:eastAsia="fr-FR" w:bidi="fr-FR"/>
        </w:rPr>
        <w:t>re américaine.</w:t>
      </w:r>
    </w:p>
    <w:p w14:paraId="1CB7DB24" w14:textId="77777777" w:rsidR="0039793A" w:rsidRDefault="0039793A" w:rsidP="0039793A">
      <w:pPr>
        <w:spacing w:before="120" w:after="120"/>
        <w:jc w:val="both"/>
        <w:rPr>
          <w:lang w:eastAsia="fr-FR" w:bidi="fr-FR"/>
        </w:rPr>
      </w:pPr>
    </w:p>
    <w:p w14:paraId="545EC4A0" w14:textId="77777777" w:rsidR="0039793A" w:rsidRPr="001C2E2B" w:rsidRDefault="0039793A" w:rsidP="0039793A">
      <w:pPr>
        <w:pStyle w:val="a"/>
      </w:pPr>
      <w:r w:rsidRPr="001C2E2B">
        <w:t>Les systèmes de gestion</w:t>
      </w:r>
    </w:p>
    <w:p w14:paraId="52AA1214" w14:textId="77777777" w:rsidR="0039793A" w:rsidRDefault="0039793A" w:rsidP="0039793A">
      <w:pPr>
        <w:spacing w:before="120" w:after="120"/>
        <w:jc w:val="both"/>
        <w:rPr>
          <w:lang w:eastAsia="fr-FR" w:bidi="fr-FR"/>
        </w:rPr>
      </w:pPr>
    </w:p>
    <w:p w14:paraId="61846EF1" w14:textId="77777777" w:rsidR="0039793A" w:rsidRPr="001C2E2B" w:rsidRDefault="0039793A" w:rsidP="0039793A">
      <w:pPr>
        <w:spacing w:before="120" w:after="120"/>
        <w:jc w:val="both"/>
      </w:pPr>
      <w:r w:rsidRPr="001C2E2B">
        <w:rPr>
          <w:lang w:eastAsia="fr-FR" w:bidi="fr-FR"/>
        </w:rPr>
        <w:t>Les processus décisionnels sont également i</w:t>
      </w:r>
      <w:r w:rsidRPr="001C2E2B">
        <w:rPr>
          <w:lang w:eastAsia="fr-FR" w:bidi="fr-FR"/>
        </w:rPr>
        <w:t>m</w:t>
      </w:r>
      <w:r w:rsidRPr="001C2E2B">
        <w:rPr>
          <w:lang w:eastAsia="fr-FR" w:bidi="fr-FR"/>
        </w:rPr>
        <w:t>portants pour juger de la performance d’un prés</w:t>
      </w:r>
      <w:r w:rsidRPr="001C2E2B">
        <w:rPr>
          <w:lang w:eastAsia="fr-FR" w:bidi="fr-FR"/>
        </w:rPr>
        <w:t>i</w:t>
      </w:r>
      <w:r w:rsidRPr="001C2E2B">
        <w:rPr>
          <w:lang w:eastAsia="fr-FR" w:bidi="fr-FR"/>
        </w:rPr>
        <w:t>dent en politique étrangère. Un mauvais processus ne produit pas nécessairement de mauvaises déc</w:t>
      </w:r>
      <w:r w:rsidRPr="001C2E2B">
        <w:rPr>
          <w:lang w:eastAsia="fr-FR" w:bidi="fr-FR"/>
        </w:rPr>
        <w:t>i</w:t>
      </w:r>
      <w:r w:rsidRPr="001C2E2B">
        <w:rPr>
          <w:lang w:eastAsia="fr-FR" w:bidi="fr-FR"/>
        </w:rPr>
        <w:t>sions. De très fortes rivalités entre conseillers, une mauvaise information, des études incomplètes, une présentation erronée des options sont autant de composantes d’un processus décisionnel déficient. Pourtant le pr</w:t>
      </w:r>
      <w:r w:rsidRPr="001C2E2B">
        <w:rPr>
          <w:lang w:eastAsia="fr-FR" w:bidi="fr-FR"/>
        </w:rPr>
        <w:t>é</w:t>
      </w:r>
      <w:r w:rsidRPr="001C2E2B">
        <w:rPr>
          <w:lang w:eastAsia="fr-FR" w:bidi="fr-FR"/>
        </w:rPr>
        <w:t>sident peut en fin de compte prendre de bonnes décisions. En règle générale, il est cependant juste d’affirmer que les échecs de polit</w:t>
      </w:r>
      <w:r w:rsidRPr="001C2E2B">
        <w:rPr>
          <w:lang w:eastAsia="fr-FR" w:bidi="fr-FR"/>
        </w:rPr>
        <w:t>i</w:t>
      </w:r>
      <w:r w:rsidRPr="001C2E2B">
        <w:rPr>
          <w:lang w:eastAsia="fr-FR" w:bidi="fr-FR"/>
        </w:rPr>
        <w:t>que étrangère sont grandement influencés, et e</w:t>
      </w:r>
      <w:r w:rsidRPr="001C2E2B">
        <w:rPr>
          <w:lang w:eastAsia="fr-FR" w:bidi="fr-FR"/>
        </w:rPr>
        <w:t>x</w:t>
      </w:r>
      <w:r w:rsidRPr="001C2E2B">
        <w:rPr>
          <w:lang w:eastAsia="fr-FR" w:bidi="fr-FR"/>
        </w:rPr>
        <w:t>plicables, par l’existence de lacunes majeures dans la prise de décision. Ces insuffisances et leurs fo</w:t>
      </w:r>
      <w:r w:rsidRPr="001C2E2B">
        <w:rPr>
          <w:lang w:eastAsia="fr-FR" w:bidi="fr-FR"/>
        </w:rPr>
        <w:t>n</w:t>
      </w:r>
      <w:r w:rsidRPr="001C2E2B">
        <w:rPr>
          <w:lang w:eastAsia="fr-FR" w:bidi="fr-FR"/>
        </w:rPr>
        <w:t>dements sont bien étudiés dans la littérature sur les modes et systèmes de gestion présidentiels</w:t>
      </w:r>
      <w:r>
        <w:rPr>
          <w:lang w:eastAsia="fr-FR" w:bidi="fr-FR"/>
        </w:rPr>
        <w:t> </w:t>
      </w:r>
      <w:r>
        <w:rPr>
          <w:rStyle w:val="Appelnotedebasdep"/>
          <w:lang w:eastAsia="fr-FR" w:bidi="fr-FR"/>
        </w:rPr>
        <w:footnoteReference w:id="392"/>
      </w:r>
      <w:r w:rsidRPr="001C2E2B">
        <w:rPr>
          <w:lang w:eastAsia="fr-FR" w:bidi="fr-FR"/>
        </w:rPr>
        <w:t xml:space="preserve">. Peu de présidents ont échappé aux carences de leur processus décisionnel. À des degrés variables, ces déficiences ont causé des torts à leur présidence et à la politique extérieure des </w:t>
      </w:r>
      <w:r>
        <w:rPr>
          <w:lang w:eastAsia="fr-FR" w:bidi="fr-FR"/>
        </w:rPr>
        <w:t>État</w:t>
      </w:r>
      <w:r w:rsidRPr="001C2E2B">
        <w:rPr>
          <w:lang w:eastAsia="fr-FR" w:bidi="fr-FR"/>
        </w:rPr>
        <w:t>s-Unis. Si, de toute évidence, la seule structure o</w:t>
      </w:r>
      <w:r w:rsidRPr="001C2E2B">
        <w:rPr>
          <w:lang w:eastAsia="fr-FR" w:bidi="fr-FR"/>
        </w:rPr>
        <w:t>r</w:t>
      </w:r>
      <w:r w:rsidRPr="001C2E2B">
        <w:rPr>
          <w:lang w:eastAsia="fr-FR" w:bidi="fr-FR"/>
        </w:rPr>
        <w:t>gan</w:t>
      </w:r>
      <w:r w:rsidRPr="001C2E2B">
        <w:rPr>
          <w:lang w:eastAsia="fr-FR" w:bidi="fr-FR"/>
        </w:rPr>
        <w:t>i</w:t>
      </w:r>
      <w:r w:rsidRPr="001C2E2B">
        <w:rPr>
          <w:lang w:eastAsia="fr-FR" w:bidi="fr-FR"/>
        </w:rPr>
        <w:t>sationnelle ne détermine pas la manière dont le président utilise un processus décisionnel, la corrélation entre le type de structure et le style présidentiel semble en revanche expliquer grandement les choix et la conduite d</w:t>
      </w:r>
      <w:r>
        <w:rPr>
          <w:lang w:eastAsia="fr-FR" w:bidi="fr-FR"/>
        </w:rPr>
        <w:t>e la politique étrangère amé</w:t>
      </w:r>
      <w:r w:rsidRPr="001C2E2B">
        <w:rPr>
          <w:lang w:eastAsia="fr-FR" w:bidi="fr-FR"/>
        </w:rPr>
        <w:t>ricaine</w:t>
      </w:r>
      <w:r>
        <w:rPr>
          <w:lang w:eastAsia="fr-FR" w:bidi="fr-FR"/>
        </w:rPr>
        <w:t> </w:t>
      </w:r>
      <w:r>
        <w:rPr>
          <w:rStyle w:val="Appelnotedebasdep"/>
          <w:lang w:eastAsia="fr-FR" w:bidi="fr-FR"/>
        </w:rPr>
        <w:footnoteReference w:id="393"/>
      </w:r>
      <w:r w:rsidRPr="001C2E2B">
        <w:rPr>
          <w:lang w:eastAsia="fr-FR" w:bidi="fr-FR"/>
        </w:rPr>
        <w:t>.</w:t>
      </w:r>
      <w:r>
        <w:t xml:space="preserve"> [172]</w:t>
      </w:r>
      <w:r w:rsidRPr="001C2E2B">
        <w:rPr>
          <w:lang w:eastAsia="fr-FR" w:bidi="fr-FR"/>
        </w:rPr>
        <w:t xml:space="preserve"> Chaque président choisit le mode de gestion qui lui convient et qui est en m</w:t>
      </w:r>
      <w:r w:rsidRPr="001C2E2B">
        <w:rPr>
          <w:lang w:eastAsia="fr-FR" w:bidi="fr-FR"/>
        </w:rPr>
        <w:t>e</w:t>
      </w:r>
      <w:r w:rsidRPr="001C2E2B">
        <w:rPr>
          <w:lang w:eastAsia="fr-FR" w:bidi="fr-FR"/>
        </w:rPr>
        <w:t>sure de lui assurer un certain contrôle sur la formulation et la mise en œuvre de sa politique extérieure. La mei</w:t>
      </w:r>
      <w:r w:rsidRPr="001C2E2B">
        <w:rPr>
          <w:lang w:eastAsia="fr-FR" w:bidi="fr-FR"/>
        </w:rPr>
        <w:t>l</w:t>
      </w:r>
      <w:r w:rsidRPr="001C2E2B">
        <w:rPr>
          <w:lang w:eastAsia="fr-FR" w:bidi="fr-FR"/>
        </w:rPr>
        <w:t>leure étude d’ensemble sur la question du système de gestion présidentielle demeure celle du polit</w:t>
      </w:r>
      <w:r w:rsidRPr="001C2E2B">
        <w:rPr>
          <w:lang w:eastAsia="fr-FR" w:bidi="fr-FR"/>
        </w:rPr>
        <w:t>o</w:t>
      </w:r>
      <w:r w:rsidRPr="001C2E2B">
        <w:rPr>
          <w:lang w:eastAsia="fr-FR" w:bidi="fr-FR"/>
        </w:rPr>
        <w:t>logue Alexander George</w:t>
      </w:r>
      <w:r>
        <w:rPr>
          <w:lang w:eastAsia="fr-FR" w:bidi="fr-FR"/>
        </w:rPr>
        <w:t> </w:t>
      </w:r>
      <w:r>
        <w:rPr>
          <w:rStyle w:val="Appelnotedebasdep"/>
          <w:lang w:eastAsia="fr-FR" w:bidi="fr-FR"/>
        </w:rPr>
        <w:footnoteReference w:id="394"/>
      </w:r>
      <w:r w:rsidRPr="001C2E2B">
        <w:rPr>
          <w:lang w:eastAsia="fr-FR" w:bidi="fr-FR"/>
        </w:rPr>
        <w:t>. Durant sa longue carrière. George a an</w:t>
      </w:r>
      <w:r w:rsidRPr="001C2E2B">
        <w:rPr>
          <w:lang w:eastAsia="fr-FR" w:bidi="fr-FR"/>
        </w:rPr>
        <w:t>a</w:t>
      </w:r>
      <w:r w:rsidRPr="001C2E2B">
        <w:rPr>
          <w:lang w:eastAsia="fr-FR" w:bidi="fr-FR"/>
        </w:rPr>
        <w:t>lysé la façon dont les styles c</w:t>
      </w:r>
      <w:r w:rsidRPr="001C2E2B">
        <w:rPr>
          <w:lang w:eastAsia="fr-FR" w:bidi="fr-FR"/>
        </w:rPr>
        <w:t>o</w:t>
      </w:r>
      <w:r w:rsidRPr="001C2E2B">
        <w:rPr>
          <w:lang w:eastAsia="fr-FR" w:bidi="fr-FR"/>
        </w:rPr>
        <w:t>gnitifs des présidents se sont imposés à leurs m</w:t>
      </w:r>
      <w:r w:rsidRPr="001C2E2B">
        <w:rPr>
          <w:lang w:eastAsia="fr-FR" w:bidi="fr-FR"/>
        </w:rPr>
        <w:t>o</w:t>
      </w:r>
      <w:r w:rsidRPr="001C2E2B">
        <w:rPr>
          <w:lang w:eastAsia="fr-FR" w:bidi="fr-FR"/>
        </w:rPr>
        <w:t>des de gestion pour définir les orientations de la politique étrangère. Il conclut qu’en général les chefs de la Maison-Blanche ont adopté trois modes de gestion de la prise de décision</w:t>
      </w:r>
      <w:r w:rsidRPr="001C2E2B">
        <w:t> :</w:t>
      </w:r>
      <w:r w:rsidRPr="001C2E2B">
        <w:rPr>
          <w:lang w:eastAsia="fr-FR" w:bidi="fr-FR"/>
        </w:rPr>
        <w:t xml:space="preserve"> le système compétitif, le système de gestion fo</w:t>
      </w:r>
      <w:r w:rsidRPr="001C2E2B">
        <w:rPr>
          <w:lang w:eastAsia="fr-FR" w:bidi="fr-FR"/>
        </w:rPr>
        <w:t>r</w:t>
      </w:r>
      <w:r w:rsidRPr="001C2E2B">
        <w:rPr>
          <w:lang w:eastAsia="fr-FR" w:bidi="fr-FR"/>
        </w:rPr>
        <w:t>melle et le système de gestion collégiale. Ceux-ci ont co</w:t>
      </w:r>
      <w:r w:rsidRPr="001C2E2B">
        <w:rPr>
          <w:lang w:eastAsia="fr-FR" w:bidi="fr-FR"/>
        </w:rPr>
        <w:t>m</w:t>
      </w:r>
      <w:r w:rsidRPr="001C2E2B">
        <w:rPr>
          <w:lang w:eastAsia="fr-FR" w:bidi="fr-FR"/>
        </w:rPr>
        <w:t>porté des avantages et des désavantages éminemment variables selon le prés</w:t>
      </w:r>
      <w:r w:rsidRPr="001C2E2B">
        <w:rPr>
          <w:lang w:eastAsia="fr-FR" w:bidi="fr-FR"/>
        </w:rPr>
        <w:t>i</w:t>
      </w:r>
      <w:r w:rsidRPr="001C2E2B">
        <w:rPr>
          <w:lang w:eastAsia="fr-FR" w:bidi="fr-FR"/>
        </w:rPr>
        <w:t>dent.</w:t>
      </w:r>
    </w:p>
    <w:p w14:paraId="30A1000C" w14:textId="77777777" w:rsidR="0039793A" w:rsidRDefault="0039793A" w:rsidP="0039793A">
      <w:pPr>
        <w:spacing w:before="120" w:after="120"/>
        <w:jc w:val="both"/>
        <w:rPr>
          <w:lang w:eastAsia="fr-FR" w:bidi="fr-FR"/>
        </w:rPr>
      </w:pPr>
    </w:p>
    <w:p w14:paraId="2B8BA6CD" w14:textId="77777777" w:rsidR="0039793A" w:rsidRPr="00423327" w:rsidRDefault="0039793A" w:rsidP="0039793A">
      <w:pPr>
        <w:pStyle w:val="b"/>
      </w:pPr>
      <w:r w:rsidRPr="00423327">
        <w:rPr>
          <w:lang w:eastAsia="fr-FR" w:bidi="fr-FR"/>
        </w:rPr>
        <w:t>Le système compétitif</w:t>
      </w:r>
    </w:p>
    <w:p w14:paraId="278AC32B" w14:textId="77777777" w:rsidR="0039793A" w:rsidRDefault="0039793A" w:rsidP="0039793A">
      <w:pPr>
        <w:spacing w:before="120" w:after="120"/>
        <w:jc w:val="both"/>
        <w:rPr>
          <w:lang w:eastAsia="fr-FR" w:bidi="fr-FR"/>
        </w:rPr>
      </w:pPr>
    </w:p>
    <w:p w14:paraId="116E010C" w14:textId="77777777" w:rsidR="0039793A" w:rsidRPr="001C2E2B" w:rsidRDefault="0039793A" w:rsidP="0039793A">
      <w:pPr>
        <w:spacing w:before="120" w:after="120"/>
        <w:jc w:val="both"/>
      </w:pPr>
      <w:r w:rsidRPr="001C2E2B">
        <w:rPr>
          <w:lang w:eastAsia="fr-FR" w:bidi="fr-FR"/>
        </w:rPr>
        <w:t>Alexander George examine tout d’abord le sy</w:t>
      </w:r>
      <w:r w:rsidRPr="001C2E2B">
        <w:rPr>
          <w:lang w:eastAsia="fr-FR" w:bidi="fr-FR"/>
        </w:rPr>
        <w:t>s</w:t>
      </w:r>
      <w:r w:rsidRPr="001C2E2B">
        <w:rPr>
          <w:lang w:eastAsia="fr-FR" w:bidi="fr-FR"/>
        </w:rPr>
        <w:t xml:space="preserve">tème </w:t>
      </w:r>
      <w:r w:rsidRPr="001C2E2B">
        <w:t>« </w:t>
      </w:r>
      <w:r w:rsidRPr="001C2E2B">
        <w:rPr>
          <w:lang w:eastAsia="fr-FR" w:bidi="fr-FR"/>
        </w:rPr>
        <w:t>compétitif</w:t>
      </w:r>
      <w:r w:rsidRPr="001C2E2B">
        <w:t> »</w:t>
      </w:r>
      <w:r w:rsidRPr="001C2E2B">
        <w:rPr>
          <w:lang w:eastAsia="fr-FR" w:bidi="fr-FR"/>
        </w:rPr>
        <w:t>, qui privilégie la libre expression de leur point de vue par les consei</w:t>
      </w:r>
      <w:r w:rsidRPr="001C2E2B">
        <w:rPr>
          <w:lang w:eastAsia="fr-FR" w:bidi="fr-FR"/>
        </w:rPr>
        <w:t>l</w:t>
      </w:r>
      <w:r w:rsidRPr="001C2E2B">
        <w:rPr>
          <w:lang w:eastAsia="fr-FR" w:bidi="fr-FR"/>
        </w:rPr>
        <w:t>lers et les bureaucraties. Dans un tel mode de gestion, la concurrence est de mise pour gagner l’oreille du président. Celui-ci est ainsi exp</w:t>
      </w:r>
      <w:r w:rsidRPr="001C2E2B">
        <w:rPr>
          <w:lang w:eastAsia="fr-FR" w:bidi="fr-FR"/>
        </w:rPr>
        <w:t>o</w:t>
      </w:r>
      <w:r w:rsidRPr="001C2E2B">
        <w:rPr>
          <w:lang w:eastAsia="fr-FR" w:bidi="fr-FR"/>
        </w:rPr>
        <w:t>sé à des opinions plurales, souvent contradictoires. En ce sens, le pr</w:t>
      </w:r>
      <w:r w:rsidRPr="001C2E2B">
        <w:rPr>
          <w:lang w:eastAsia="fr-FR" w:bidi="fr-FR"/>
        </w:rPr>
        <w:t>é</w:t>
      </w:r>
      <w:r w:rsidRPr="001C2E2B">
        <w:rPr>
          <w:lang w:eastAsia="fr-FR" w:bidi="fr-FR"/>
        </w:rPr>
        <w:t>sident souhaite être informé des choix déc</w:t>
      </w:r>
      <w:r w:rsidRPr="001C2E2B">
        <w:rPr>
          <w:lang w:eastAsia="fr-FR" w:bidi="fr-FR"/>
        </w:rPr>
        <w:t>i</w:t>
      </w:r>
      <w:r w:rsidRPr="001C2E2B">
        <w:rPr>
          <w:lang w:eastAsia="fr-FR" w:bidi="fr-FR"/>
        </w:rPr>
        <w:t>sionnels et ne pas être confronté à une unanimité bureaucratique. Dans un tel système, la hi</w:t>
      </w:r>
      <w:r w:rsidRPr="001C2E2B">
        <w:rPr>
          <w:lang w:eastAsia="fr-FR" w:bidi="fr-FR"/>
        </w:rPr>
        <w:t>é</w:t>
      </w:r>
      <w:r w:rsidRPr="001C2E2B">
        <w:rPr>
          <w:lang w:eastAsia="fr-FR" w:bidi="fr-FR"/>
        </w:rPr>
        <w:t>rarchie est édulcorée et les voies d’accès au Bureau ovale sont mult</w:t>
      </w:r>
      <w:r w:rsidRPr="001C2E2B">
        <w:rPr>
          <w:lang w:eastAsia="fr-FR" w:bidi="fr-FR"/>
        </w:rPr>
        <w:t>i</w:t>
      </w:r>
      <w:r w:rsidRPr="001C2E2B">
        <w:rPr>
          <w:lang w:eastAsia="fr-FR" w:bidi="fr-FR"/>
        </w:rPr>
        <w:t>ples. Il est crucial, dans le fonctionn</w:t>
      </w:r>
      <w:r w:rsidRPr="001C2E2B">
        <w:rPr>
          <w:lang w:eastAsia="fr-FR" w:bidi="fr-FR"/>
        </w:rPr>
        <w:t>e</w:t>
      </w:r>
      <w:r w:rsidRPr="001C2E2B">
        <w:rPr>
          <w:lang w:eastAsia="fr-FR" w:bidi="fr-FR"/>
        </w:rPr>
        <w:t>ment du mode compétitif, que le président soit e</w:t>
      </w:r>
      <w:r w:rsidRPr="001C2E2B">
        <w:rPr>
          <w:lang w:eastAsia="fr-FR" w:bidi="fr-FR"/>
        </w:rPr>
        <w:t>x</w:t>
      </w:r>
      <w:r w:rsidRPr="001C2E2B">
        <w:rPr>
          <w:lang w:eastAsia="fr-FR" w:bidi="fr-FR"/>
        </w:rPr>
        <w:t xml:space="preserve">périmenté et déterminé, autrement dit qu’il adopte un style décisif et qu’il puisse trancher clairement entre les options. Alors que le système compétitif a adéquatement servi un président </w:t>
      </w:r>
      <w:r w:rsidRPr="001C2E2B">
        <w:t>« </w:t>
      </w:r>
      <w:r w:rsidRPr="001C2E2B">
        <w:rPr>
          <w:lang w:eastAsia="fr-FR" w:bidi="fr-FR"/>
        </w:rPr>
        <w:t>actif-positif</w:t>
      </w:r>
      <w:r w:rsidRPr="001C2E2B">
        <w:t> »</w:t>
      </w:r>
      <w:r w:rsidRPr="001C2E2B">
        <w:rPr>
          <w:lang w:eastAsia="fr-FR" w:bidi="fr-FR"/>
        </w:rPr>
        <w:t xml:space="preserve"> comme F.D. Roosevelt, apte à imposer son point de vue, il a généré des difficultés sérieuses pour le président Carter. Le rôle de </w:t>
      </w:r>
      <w:r w:rsidRPr="001C2E2B">
        <w:t>« </w:t>
      </w:r>
      <w:r w:rsidRPr="001C2E2B">
        <w:rPr>
          <w:lang w:eastAsia="fr-FR" w:bidi="fr-FR"/>
        </w:rPr>
        <w:t>magistrat</w:t>
      </w:r>
      <w:r w:rsidRPr="001C2E2B">
        <w:t> »</w:t>
      </w:r>
      <w:r w:rsidRPr="001C2E2B">
        <w:rPr>
          <w:lang w:eastAsia="fr-FR" w:bidi="fr-FR"/>
        </w:rPr>
        <w:t xml:space="preserve"> de ce dernier ne convenait guère à son modèle compét</w:t>
      </w:r>
      <w:r w:rsidRPr="001C2E2B">
        <w:rPr>
          <w:lang w:eastAsia="fr-FR" w:bidi="fr-FR"/>
        </w:rPr>
        <w:t>i</w:t>
      </w:r>
      <w:r w:rsidRPr="001C2E2B">
        <w:rPr>
          <w:lang w:eastAsia="fr-FR" w:bidi="fr-FR"/>
        </w:rPr>
        <w:t>tif</w:t>
      </w:r>
      <w:r w:rsidRPr="001C2E2B">
        <w:t> :</w:t>
      </w:r>
      <w:r w:rsidRPr="001C2E2B">
        <w:rPr>
          <w:lang w:eastAsia="fr-FR" w:bidi="fr-FR"/>
        </w:rPr>
        <w:t xml:space="preserve"> parce qu’il ne savait quelle voie privilégier, sa politique étrangèr</w:t>
      </w:r>
      <w:r>
        <w:rPr>
          <w:lang w:eastAsia="fr-FR" w:bidi="fr-FR"/>
        </w:rPr>
        <w:t>e a donné lieu à des tergiversa</w:t>
      </w:r>
      <w:r w:rsidRPr="001C2E2B">
        <w:rPr>
          <w:lang w:eastAsia="fr-FR" w:bidi="fr-FR"/>
        </w:rPr>
        <w:t>tions</w:t>
      </w:r>
      <w:r>
        <w:t xml:space="preserve"> [173]</w:t>
      </w:r>
      <w:r w:rsidRPr="001C2E2B">
        <w:rPr>
          <w:lang w:eastAsia="fr-FR" w:bidi="fr-FR"/>
        </w:rPr>
        <w:t xml:space="preserve"> néfastes. Ce système semble ainsi mieux convenir aux présidents du type </w:t>
      </w:r>
      <w:r w:rsidRPr="001C2E2B">
        <w:t>« </w:t>
      </w:r>
      <w:r w:rsidRPr="001C2E2B">
        <w:rPr>
          <w:lang w:eastAsia="fr-FR" w:bidi="fr-FR"/>
        </w:rPr>
        <w:t>directeur</w:t>
      </w:r>
      <w:r w:rsidRPr="001C2E2B">
        <w:t> »</w:t>
      </w:r>
      <w:r w:rsidRPr="001C2E2B">
        <w:rPr>
          <w:lang w:eastAsia="fr-FR" w:bidi="fr-FR"/>
        </w:rPr>
        <w:t xml:space="preserve"> et </w:t>
      </w:r>
      <w:r w:rsidRPr="001C2E2B">
        <w:t>« </w:t>
      </w:r>
      <w:r w:rsidRPr="001C2E2B">
        <w:rPr>
          <w:lang w:eastAsia="fr-FR" w:bidi="fr-FR"/>
        </w:rPr>
        <w:t>sentinelle</w:t>
      </w:r>
      <w:r w:rsidRPr="001C2E2B">
        <w:t> »</w:t>
      </w:r>
      <w:r w:rsidRPr="001C2E2B">
        <w:rPr>
          <w:lang w:eastAsia="fr-FR" w:bidi="fr-FR"/>
        </w:rPr>
        <w:t>. Le système compét</w:t>
      </w:r>
      <w:r w:rsidRPr="001C2E2B">
        <w:rPr>
          <w:lang w:eastAsia="fr-FR" w:bidi="fr-FR"/>
        </w:rPr>
        <w:t>i</w:t>
      </w:r>
      <w:r w:rsidRPr="001C2E2B">
        <w:rPr>
          <w:lang w:eastAsia="fr-FR" w:bidi="fr-FR"/>
        </w:rPr>
        <w:t>tif demeure, des trois systèmes, le moins fréquemment adopté et le plus difficile à gérer.</w:t>
      </w:r>
    </w:p>
    <w:p w14:paraId="442AD438" w14:textId="77777777" w:rsidR="0039793A" w:rsidRDefault="0039793A" w:rsidP="0039793A">
      <w:pPr>
        <w:spacing w:before="120" w:after="120"/>
        <w:jc w:val="both"/>
        <w:rPr>
          <w:lang w:eastAsia="fr-FR" w:bidi="fr-FR"/>
        </w:rPr>
      </w:pPr>
    </w:p>
    <w:p w14:paraId="3A1C3E4A" w14:textId="77777777" w:rsidR="0039793A" w:rsidRPr="00423327" w:rsidRDefault="0039793A" w:rsidP="0039793A">
      <w:pPr>
        <w:pStyle w:val="b"/>
      </w:pPr>
      <w:r w:rsidRPr="00423327">
        <w:rPr>
          <w:lang w:eastAsia="fr-FR" w:bidi="fr-FR"/>
        </w:rPr>
        <w:t>Le système de gestion formelle</w:t>
      </w:r>
    </w:p>
    <w:p w14:paraId="688E5D78" w14:textId="77777777" w:rsidR="0039793A" w:rsidRPr="00450BBC" w:rsidRDefault="0039793A" w:rsidP="0039793A">
      <w:pPr>
        <w:jc w:val="both"/>
        <w:rPr>
          <w:sz w:val="20"/>
          <w:lang w:eastAsia="fr-FR" w:bidi="fr-FR"/>
        </w:rPr>
      </w:pPr>
    </w:p>
    <w:p w14:paraId="38A4B476" w14:textId="77777777" w:rsidR="0039793A" w:rsidRPr="001C2E2B" w:rsidRDefault="0039793A" w:rsidP="0039793A">
      <w:pPr>
        <w:spacing w:before="120" w:after="120"/>
        <w:jc w:val="both"/>
      </w:pPr>
      <w:r w:rsidRPr="001C2E2B">
        <w:rPr>
          <w:lang w:eastAsia="fr-FR" w:bidi="fr-FR"/>
        </w:rPr>
        <w:t xml:space="preserve">Le mode de gestion </w:t>
      </w:r>
      <w:r w:rsidRPr="001C2E2B">
        <w:t>« </w:t>
      </w:r>
      <w:r w:rsidRPr="001C2E2B">
        <w:rPr>
          <w:lang w:eastAsia="fr-FR" w:bidi="fr-FR"/>
        </w:rPr>
        <w:t>formelle</w:t>
      </w:r>
      <w:r w:rsidRPr="001C2E2B">
        <w:t> »</w:t>
      </w:r>
      <w:r w:rsidRPr="001C2E2B">
        <w:rPr>
          <w:lang w:eastAsia="fr-FR" w:bidi="fr-FR"/>
        </w:rPr>
        <w:t xml:space="preserve"> ressemble à celui de l’armée ou de l’entreprise privée, avec des lignes hiérarchiques et des procédures bien définies. Les options sont étudiées par la bureaucratie qui ach</w:t>
      </w:r>
      <w:r w:rsidRPr="001C2E2B">
        <w:rPr>
          <w:lang w:eastAsia="fr-FR" w:bidi="fr-FR"/>
        </w:rPr>
        <w:t>e</w:t>
      </w:r>
      <w:r w:rsidRPr="001C2E2B">
        <w:rPr>
          <w:lang w:eastAsia="fr-FR" w:bidi="fr-FR"/>
        </w:rPr>
        <w:t>mine vers le président et ses conseillers une palette limitée d’alternatives, considérées comme les meilleures, et parmi lesquelles le prés</w:t>
      </w:r>
      <w:r w:rsidRPr="001C2E2B">
        <w:rPr>
          <w:lang w:eastAsia="fr-FR" w:bidi="fr-FR"/>
        </w:rPr>
        <w:t>i</w:t>
      </w:r>
      <w:r w:rsidRPr="001C2E2B">
        <w:rPr>
          <w:lang w:eastAsia="fr-FR" w:bidi="fr-FR"/>
        </w:rPr>
        <w:t>dent détermine en petit comité son choix final. En général, le chef de la Maison-Blanche n’est pas exposé aux désaccords organis</w:t>
      </w:r>
      <w:r w:rsidRPr="001C2E2B">
        <w:rPr>
          <w:lang w:eastAsia="fr-FR" w:bidi="fr-FR"/>
        </w:rPr>
        <w:t>a</w:t>
      </w:r>
      <w:r w:rsidRPr="001C2E2B">
        <w:rPr>
          <w:lang w:eastAsia="fr-FR" w:bidi="fr-FR"/>
        </w:rPr>
        <w:t>tionnels. Ceux-ci sont résolus au niveau bureaucratique, laissant au président le soin de juger au mérite les options qui lui sont présentées. Le système formel s’appuie grandement sur le travail des conseillers qui s’assurent que la bureaucratie a accompli sa mi</w:t>
      </w:r>
      <w:r w:rsidRPr="001C2E2B">
        <w:rPr>
          <w:lang w:eastAsia="fr-FR" w:bidi="fr-FR"/>
        </w:rPr>
        <w:t>s</w:t>
      </w:r>
      <w:r w:rsidRPr="001C2E2B">
        <w:rPr>
          <w:lang w:eastAsia="fr-FR" w:bidi="fr-FR"/>
        </w:rPr>
        <w:t>sion de définition des options en lice - et nota</w:t>
      </w:r>
      <w:r w:rsidRPr="001C2E2B">
        <w:rPr>
          <w:lang w:eastAsia="fr-FR" w:bidi="fr-FR"/>
        </w:rPr>
        <w:t>m</w:t>
      </w:r>
      <w:r w:rsidRPr="001C2E2B">
        <w:rPr>
          <w:lang w:eastAsia="fr-FR" w:bidi="fr-FR"/>
        </w:rPr>
        <w:t>ment de celles qui sont retenues pour être exposées au président. Le modèle formel a relativement bien fonctionné sous les présidences de Truman, d’Eisenhower et de Ford, alors qu’il a pénalisé ce</w:t>
      </w:r>
      <w:r w:rsidRPr="001C2E2B">
        <w:rPr>
          <w:lang w:eastAsia="fr-FR" w:bidi="fr-FR"/>
        </w:rPr>
        <w:t>l</w:t>
      </w:r>
      <w:r w:rsidRPr="001C2E2B">
        <w:rPr>
          <w:lang w:eastAsia="fr-FR" w:bidi="fr-FR"/>
        </w:rPr>
        <w:t xml:space="preserve">le de Nixon. En effet, un président </w:t>
      </w:r>
      <w:r w:rsidRPr="001C2E2B">
        <w:t>« </w:t>
      </w:r>
      <w:r w:rsidRPr="001C2E2B">
        <w:rPr>
          <w:lang w:eastAsia="fr-FR" w:bidi="fr-FR"/>
        </w:rPr>
        <w:t>positif</w:t>
      </w:r>
      <w:r w:rsidRPr="001C2E2B">
        <w:t> »</w:t>
      </w:r>
      <w:r w:rsidRPr="001C2E2B">
        <w:rPr>
          <w:lang w:eastAsia="fr-FR" w:bidi="fr-FR"/>
        </w:rPr>
        <w:t xml:space="preserve">, aux allures de </w:t>
      </w:r>
      <w:r w:rsidRPr="001C2E2B">
        <w:t>« </w:t>
      </w:r>
      <w:r w:rsidRPr="001C2E2B">
        <w:rPr>
          <w:lang w:eastAsia="fr-FR" w:bidi="fr-FR"/>
        </w:rPr>
        <w:t>directeur</w:t>
      </w:r>
      <w:r w:rsidRPr="001C2E2B">
        <w:t> »</w:t>
      </w:r>
      <w:r w:rsidRPr="001C2E2B">
        <w:rPr>
          <w:lang w:eastAsia="fr-FR" w:bidi="fr-FR"/>
        </w:rPr>
        <w:t xml:space="preserve"> ou de </w:t>
      </w:r>
      <w:r w:rsidRPr="001C2E2B">
        <w:t>« </w:t>
      </w:r>
      <w:r w:rsidRPr="001C2E2B">
        <w:rPr>
          <w:lang w:eastAsia="fr-FR" w:bidi="fr-FR"/>
        </w:rPr>
        <w:t>magistrat</w:t>
      </w:r>
      <w:r w:rsidRPr="001C2E2B">
        <w:t> »</w:t>
      </w:r>
      <w:r w:rsidRPr="001C2E2B">
        <w:rPr>
          <w:lang w:eastAsia="fr-FR" w:bidi="fr-FR"/>
        </w:rPr>
        <w:t xml:space="preserve"> (Tr</w:t>
      </w:r>
      <w:r w:rsidRPr="001C2E2B">
        <w:rPr>
          <w:lang w:eastAsia="fr-FR" w:bidi="fr-FR"/>
        </w:rPr>
        <w:t>u</w:t>
      </w:r>
      <w:r w:rsidRPr="001C2E2B">
        <w:rPr>
          <w:lang w:eastAsia="fr-FR" w:bidi="fr-FR"/>
        </w:rPr>
        <w:t>man, Eisenhower) profite apparemment davantage du système formel, alors que le co</w:t>
      </w:r>
      <w:r w:rsidRPr="001C2E2B">
        <w:rPr>
          <w:lang w:eastAsia="fr-FR" w:bidi="fr-FR"/>
        </w:rPr>
        <w:t>m</w:t>
      </w:r>
      <w:r w:rsidRPr="001C2E2B">
        <w:rPr>
          <w:lang w:eastAsia="fr-FR" w:bidi="fr-FR"/>
        </w:rPr>
        <w:t xml:space="preserve">portement </w:t>
      </w:r>
      <w:r w:rsidRPr="001C2E2B">
        <w:t>« </w:t>
      </w:r>
      <w:r w:rsidRPr="001C2E2B">
        <w:rPr>
          <w:lang w:eastAsia="fr-FR" w:bidi="fr-FR"/>
        </w:rPr>
        <w:t>imprévisible</w:t>
      </w:r>
      <w:r w:rsidRPr="001C2E2B">
        <w:t> »</w:t>
      </w:r>
      <w:r w:rsidRPr="001C2E2B">
        <w:rPr>
          <w:lang w:eastAsia="fr-FR" w:bidi="fr-FR"/>
        </w:rPr>
        <w:t xml:space="preserve"> d’un président </w:t>
      </w:r>
      <w:r w:rsidRPr="001C2E2B">
        <w:t>« </w:t>
      </w:r>
      <w:r w:rsidRPr="001C2E2B">
        <w:rPr>
          <w:lang w:eastAsia="fr-FR" w:bidi="fr-FR"/>
        </w:rPr>
        <w:t>négatif</w:t>
      </w:r>
      <w:r w:rsidRPr="001C2E2B">
        <w:t> »</w:t>
      </w:r>
      <w:r w:rsidRPr="001C2E2B">
        <w:rPr>
          <w:lang w:eastAsia="fr-FR" w:bidi="fr-FR"/>
        </w:rPr>
        <w:t xml:space="preserve"> (Nixon) semble atténuer certains des avantages du modèle formel. De fait, Nixon a maintes fois manifesté son mépris pour le formalisme du processus décisionnel, le considérant tout au plus comme un moyen utile de d</w:t>
      </w:r>
      <w:r w:rsidRPr="001C2E2B">
        <w:rPr>
          <w:lang w:eastAsia="fr-FR" w:bidi="fr-FR"/>
        </w:rPr>
        <w:t>é</w:t>
      </w:r>
      <w:r w:rsidRPr="001C2E2B">
        <w:rPr>
          <w:lang w:eastAsia="fr-FR" w:bidi="fr-FR"/>
        </w:rPr>
        <w:t>tourner l’attention de l’administration</w:t>
      </w:r>
      <w:r w:rsidRPr="001C2E2B">
        <w:t> :</w:t>
      </w:r>
      <w:r w:rsidRPr="001C2E2B">
        <w:rPr>
          <w:lang w:eastAsia="fr-FR" w:bidi="fr-FR"/>
        </w:rPr>
        <w:t xml:space="preserve"> les abus qui vont en découler altéreront profond</w:t>
      </w:r>
      <w:r w:rsidRPr="001C2E2B">
        <w:rPr>
          <w:lang w:eastAsia="fr-FR" w:bidi="fr-FR"/>
        </w:rPr>
        <w:t>é</w:t>
      </w:r>
      <w:r w:rsidRPr="001C2E2B">
        <w:rPr>
          <w:lang w:eastAsia="fr-FR" w:bidi="fr-FR"/>
        </w:rPr>
        <w:t>ment et durablement la crédibilité du président. Aussi, en principe, le système formel a-t-il souri aux présidents, dans la mesure où ceux qui l’ont adopté ont été en mesure de mener une politique étrangère résolument engagée et relativement c</w:t>
      </w:r>
      <w:r w:rsidRPr="001C2E2B">
        <w:rPr>
          <w:lang w:eastAsia="fr-FR" w:bidi="fr-FR"/>
        </w:rPr>
        <w:t>o</w:t>
      </w:r>
      <w:r w:rsidRPr="001C2E2B">
        <w:rPr>
          <w:lang w:eastAsia="fr-FR" w:bidi="fr-FR"/>
        </w:rPr>
        <w:t>hérente.</w:t>
      </w:r>
    </w:p>
    <w:p w14:paraId="21ABF3FA" w14:textId="77777777" w:rsidR="0039793A" w:rsidRDefault="0039793A" w:rsidP="0039793A">
      <w:pPr>
        <w:spacing w:before="120" w:after="120"/>
        <w:jc w:val="both"/>
        <w:rPr>
          <w:lang w:eastAsia="fr-FR" w:bidi="fr-FR"/>
        </w:rPr>
      </w:pPr>
    </w:p>
    <w:p w14:paraId="5CBB80E1" w14:textId="77777777" w:rsidR="0039793A" w:rsidRPr="00F05580" w:rsidRDefault="0039793A" w:rsidP="0039793A">
      <w:pPr>
        <w:pStyle w:val="b"/>
      </w:pPr>
      <w:r w:rsidRPr="00F05580">
        <w:rPr>
          <w:lang w:eastAsia="fr-FR" w:bidi="fr-FR"/>
        </w:rPr>
        <w:t>Le système de gestion collégiale</w:t>
      </w:r>
    </w:p>
    <w:p w14:paraId="204C2762" w14:textId="77777777" w:rsidR="0039793A" w:rsidRPr="00450BBC" w:rsidRDefault="0039793A" w:rsidP="0039793A">
      <w:pPr>
        <w:jc w:val="both"/>
        <w:rPr>
          <w:sz w:val="20"/>
          <w:lang w:eastAsia="fr-FR" w:bidi="fr-FR"/>
        </w:rPr>
      </w:pPr>
    </w:p>
    <w:p w14:paraId="248FA6CE" w14:textId="77777777" w:rsidR="0039793A" w:rsidRPr="001C2E2B" w:rsidRDefault="0039793A" w:rsidP="0039793A">
      <w:pPr>
        <w:spacing w:before="120" w:after="120"/>
        <w:jc w:val="both"/>
      </w:pPr>
      <w:r w:rsidRPr="001C2E2B">
        <w:rPr>
          <w:lang w:eastAsia="fr-FR" w:bidi="fr-FR"/>
        </w:rPr>
        <w:t xml:space="preserve">Le système </w:t>
      </w:r>
      <w:r w:rsidRPr="001C2E2B">
        <w:t>« </w:t>
      </w:r>
      <w:r w:rsidRPr="001C2E2B">
        <w:rPr>
          <w:lang w:eastAsia="fr-FR" w:bidi="fr-FR"/>
        </w:rPr>
        <w:t>collégial</w:t>
      </w:r>
      <w:r w:rsidRPr="001C2E2B">
        <w:t> »</w:t>
      </w:r>
      <w:r w:rsidRPr="001C2E2B">
        <w:rPr>
          <w:lang w:eastAsia="fr-FR" w:bidi="fr-FR"/>
        </w:rPr>
        <w:t xml:space="preserve"> retient des éléments des deux premiers modèles tout en essayant d’en éliminer les défauts. Ainsi, les prés</w:t>
      </w:r>
      <w:r w:rsidRPr="001C2E2B">
        <w:rPr>
          <w:lang w:eastAsia="fr-FR" w:bidi="fr-FR"/>
        </w:rPr>
        <w:t>i</w:t>
      </w:r>
      <w:r w:rsidRPr="001C2E2B">
        <w:rPr>
          <w:lang w:eastAsia="fr-FR" w:bidi="fr-FR"/>
        </w:rPr>
        <w:t>dents choisi</w:t>
      </w:r>
      <w:r w:rsidRPr="001C2E2B">
        <w:rPr>
          <w:lang w:eastAsia="fr-FR" w:bidi="fr-FR"/>
        </w:rPr>
        <w:t>s</w:t>
      </w:r>
      <w:r w:rsidRPr="001C2E2B">
        <w:rPr>
          <w:lang w:eastAsia="fr-FR" w:bidi="fr-FR"/>
        </w:rPr>
        <w:t xml:space="preserve">sent avec soin des conseillers qui leur ressemblent ou qui se fondent aisément dans </w:t>
      </w:r>
      <w:r>
        <w:rPr>
          <w:lang w:eastAsia="fr-FR" w:bidi="fr-FR"/>
        </w:rPr>
        <w:t>leur équipe. L’expression d’opi</w:t>
      </w:r>
      <w:r w:rsidRPr="001C2E2B">
        <w:rPr>
          <w:lang w:eastAsia="fr-FR" w:bidi="fr-FR"/>
        </w:rPr>
        <w:t>nions</w:t>
      </w:r>
      <w:r>
        <w:t xml:space="preserve"> [174]</w:t>
      </w:r>
      <w:r w:rsidRPr="001C2E2B">
        <w:rPr>
          <w:lang w:eastAsia="fr-FR" w:bidi="fr-FR"/>
        </w:rPr>
        <w:t xml:space="preserve"> diverses est cantonnée à un petit groupe de décideurs</w:t>
      </w:r>
      <w:r w:rsidRPr="001C2E2B">
        <w:t> :</w:t>
      </w:r>
      <w:r w:rsidRPr="001C2E2B">
        <w:rPr>
          <w:lang w:eastAsia="fr-FR" w:bidi="fr-FR"/>
        </w:rPr>
        <w:t xml:space="preserve"> en son sein, cette petite équipe va délaisser l’approche formelle de la prise de déc</w:t>
      </w:r>
      <w:r w:rsidRPr="001C2E2B">
        <w:rPr>
          <w:lang w:eastAsia="fr-FR" w:bidi="fr-FR"/>
        </w:rPr>
        <w:t>i</w:t>
      </w:r>
      <w:r w:rsidRPr="001C2E2B">
        <w:rPr>
          <w:lang w:eastAsia="fr-FR" w:bidi="fr-FR"/>
        </w:rPr>
        <w:t>sion. L’avantage du système collégial est d’éviter la concurrence tout en préservant un tant soit peu le formalisme du processus déc</w:t>
      </w:r>
      <w:r w:rsidRPr="001C2E2B">
        <w:rPr>
          <w:lang w:eastAsia="fr-FR" w:bidi="fr-FR"/>
        </w:rPr>
        <w:t>i</w:t>
      </w:r>
      <w:r w:rsidRPr="001C2E2B">
        <w:rPr>
          <w:lang w:eastAsia="fr-FR" w:bidi="fr-FR"/>
        </w:rPr>
        <w:t xml:space="preserve">sionnel. Le risque le plus évident de ce modèle est d’engendrer, au sein de l’équipe qui entoure le président, une </w:t>
      </w:r>
      <w:r w:rsidRPr="001C2E2B">
        <w:t>« </w:t>
      </w:r>
      <w:r w:rsidRPr="001C2E2B">
        <w:rPr>
          <w:lang w:eastAsia="fr-FR" w:bidi="fr-FR"/>
        </w:rPr>
        <w:t>illusion groupale</w:t>
      </w:r>
      <w:r w:rsidRPr="001C2E2B">
        <w:t> »</w:t>
      </w:r>
      <w:r w:rsidRPr="001C2E2B">
        <w:rPr>
          <w:lang w:eastAsia="fr-FR" w:bidi="fr-FR"/>
        </w:rPr>
        <w:t xml:space="preserve"> - c’est-à-dire un sentiment de supériorité au sein du groupe, certain de la ju</w:t>
      </w:r>
      <w:r w:rsidRPr="001C2E2B">
        <w:rPr>
          <w:lang w:eastAsia="fr-FR" w:bidi="fr-FR"/>
        </w:rPr>
        <w:t>s</w:t>
      </w:r>
      <w:r w:rsidRPr="001C2E2B">
        <w:rPr>
          <w:lang w:eastAsia="fr-FR" w:bidi="fr-FR"/>
        </w:rPr>
        <w:t>tesse de son analyse et absolument convaincu du bien-fondé de ses décisions</w:t>
      </w:r>
      <w:r>
        <w:rPr>
          <w:lang w:eastAsia="fr-FR" w:bidi="fr-FR"/>
        </w:rPr>
        <w:t> </w:t>
      </w:r>
      <w:r>
        <w:rPr>
          <w:rStyle w:val="Appelnotedebasdep"/>
          <w:lang w:eastAsia="fr-FR" w:bidi="fr-FR"/>
        </w:rPr>
        <w:footnoteReference w:id="395"/>
      </w:r>
      <w:r w:rsidRPr="001C2E2B">
        <w:rPr>
          <w:lang w:eastAsia="fr-FR" w:bidi="fr-FR"/>
        </w:rPr>
        <w:t>. Le président doit veiller à ne pas nourrir cette illusion et plutôt favoriser un esprit de compét</w:t>
      </w:r>
      <w:r w:rsidRPr="001C2E2B">
        <w:rPr>
          <w:lang w:eastAsia="fr-FR" w:bidi="fr-FR"/>
        </w:rPr>
        <w:t>i</w:t>
      </w:r>
      <w:r w:rsidRPr="001C2E2B">
        <w:rPr>
          <w:lang w:eastAsia="fr-FR" w:bidi="fr-FR"/>
        </w:rPr>
        <w:t>tion au sein de son équipe. Six présidents ont adopté cette approche, avec plus ou moins de su</w:t>
      </w:r>
      <w:r w:rsidRPr="001C2E2B">
        <w:rPr>
          <w:lang w:eastAsia="fr-FR" w:bidi="fr-FR"/>
        </w:rPr>
        <w:t>c</w:t>
      </w:r>
      <w:r w:rsidRPr="001C2E2B">
        <w:rPr>
          <w:lang w:eastAsia="fr-FR" w:bidi="fr-FR"/>
        </w:rPr>
        <w:t xml:space="preserve">cès. Deux ont excellé, Kennedy et G.H. Bush, des décideurs </w:t>
      </w:r>
      <w:r w:rsidRPr="001C2E2B">
        <w:t>« </w:t>
      </w:r>
      <w:r w:rsidRPr="001C2E2B">
        <w:rPr>
          <w:lang w:eastAsia="fr-FR" w:bidi="fr-FR"/>
        </w:rPr>
        <w:t>navigateurs</w:t>
      </w:r>
      <w:r w:rsidRPr="001C2E2B">
        <w:t> »</w:t>
      </w:r>
      <w:r w:rsidRPr="001C2E2B">
        <w:rPr>
          <w:lang w:eastAsia="fr-FR" w:bidi="fr-FR"/>
        </w:rPr>
        <w:t xml:space="preserve"> vigilants et relativement expérimentés dans les affa</w:t>
      </w:r>
      <w:r w:rsidRPr="001C2E2B">
        <w:rPr>
          <w:lang w:eastAsia="fr-FR" w:bidi="fr-FR"/>
        </w:rPr>
        <w:t>i</w:t>
      </w:r>
      <w:r w:rsidRPr="001C2E2B">
        <w:rPr>
          <w:lang w:eastAsia="fr-FR" w:bidi="fr-FR"/>
        </w:rPr>
        <w:t>res étrangères</w:t>
      </w:r>
      <w:r>
        <w:rPr>
          <w:lang w:eastAsia="fr-FR" w:bidi="fr-FR"/>
        </w:rPr>
        <w:t> </w:t>
      </w:r>
      <w:r>
        <w:rPr>
          <w:rStyle w:val="Appelnotedebasdep"/>
          <w:lang w:eastAsia="fr-FR" w:bidi="fr-FR"/>
        </w:rPr>
        <w:footnoteReference w:id="396"/>
      </w:r>
      <w:r w:rsidRPr="001C2E2B">
        <w:rPr>
          <w:lang w:eastAsia="fr-FR" w:bidi="fr-FR"/>
        </w:rPr>
        <w:t>. Deux présidents ont en reva</w:t>
      </w:r>
      <w:r w:rsidRPr="001C2E2B">
        <w:rPr>
          <w:lang w:eastAsia="fr-FR" w:bidi="fr-FR"/>
        </w:rPr>
        <w:t>n</w:t>
      </w:r>
      <w:r w:rsidRPr="001C2E2B">
        <w:rPr>
          <w:lang w:eastAsia="fr-FR" w:bidi="fr-FR"/>
        </w:rPr>
        <w:t>che failli</w:t>
      </w:r>
      <w:r w:rsidRPr="001C2E2B">
        <w:t> :</w:t>
      </w:r>
      <w:r w:rsidRPr="001C2E2B">
        <w:rPr>
          <w:lang w:eastAsia="fr-FR" w:bidi="fr-FR"/>
        </w:rPr>
        <w:t xml:space="preserve"> Johnson et Reagan ont respectivement eu des comport</w:t>
      </w:r>
      <w:r w:rsidRPr="001C2E2B">
        <w:rPr>
          <w:lang w:eastAsia="fr-FR" w:bidi="fr-FR"/>
        </w:rPr>
        <w:t>e</w:t>
      </w:r>
      <w:r w:rsidRPr="001C2E2B">
        <w:rPr>
          <w:lang w:eastAsia="fr-FR" w:bidi="fr-FR"/>
        </w:rPr>
        <w:t xml:space="preserve">ments de </w:t>
      </w:r>
      <w:r w:rsidRPr="001C2E2B">
        <w:t>« </w:t>
      </w:r>
      <w:r w:rsidRPr="001C2E2B">
        <w:rPr>
          <w:lang w:eastAsia="fr-FR" w:bidi="fr-FR"/>
        </w:rPr>
        <w:t>magistrat</w:t>
      </w:r>
      <w:r w:rsidRPr="001C2E2B">
        <w:t> »</w:t>
      </w:r>
      <w:r w:rsidRPr="001C2E2B">
        <w:rPr>
          <w:lang w:eastAsia="fr-FR" w:bidi="fr-FR"/>
        </w:rPr>
        <w:t xml:space="preserve"> et de </w:t>
      </w:r>
      <w:r w:rsidRPr="001C2E2B">
        <w:t>« </w:t>
      </w:r>
      <w:r w:rsidRPr="001C2E2B">
        <w:rPr>
          <w:lang w:eastAsia="fr-FR" w:bidi="fr-FR"/>
        </w:rPr>
        <w:t>mandataire</w:t>
      </w:r>
      <w:r w:rsidRPr="001C2E2B">
        <w:t> »</w:t>
      </w:r>
      <w:r w:rsidRPr="001C2E2B">
        <w:rPr>
          <w:lang w:eastAsia="fr-FR" w:bidi="fr-FR"/>
        </w:rPr>
        <w:t>, deux attitudes incompatibles avec le mode de ge</w:t>
      </w:r>
      <w:r w:rsidRPr="001C2E2B">
        <w:rPr>
          <w:lang w:eastAsia="fr-FR" w:bidi="fr-FR"/>
        </w:rPr>
        <w:t>s</w:t>
      </w:r>
      <w:r w:rsidRPr="001C2E2B">
        <w:rPr>
          <w:lang w:eastAsia="fr-FR" w:bidi="fr-FR"/>
        </w:rPr>
        <w:t>tion collégial. Ainsi, Johnson a été incapable de contrer l’illusion groupale entourant la guerre du Vietnam. De même, Reagan s’est trouvé ponctuellement paralysé par le consensus — apparent - qui r</w:t>
      </w:r>
      <w:r w:rsidRPr="001C2E2B">
        <w:rPr>
          <w:lang w:eastAsia="fr-FR" w:bidi="fr-FR"/>
        </w:rPr>
        <w:t>é</w:t>
      </w:r>
      <w:r w:rsidRPr="001C2E2B">
        <w:rPr>
          <w:lang w:eastAsia="fr-FR" w:bidi="fr-FR"/>
        </w:rPr>
        <w:t>gnait dans son administration et a conduit à des erreurs de politique étrangère d’importance (au nombre desquelles la désastreuse interve</w:t>
      </w:r>
      <w:r w:rsidRPr="001C2E2B">
        <w:rPr>
          <w:lang w:eastAsia="fr-FR" w:bidi="fr-FR"/>
        </w:rPr>
        <w:t>n</w:t>
      </w:r>
      <w:r w:rsidRPr="001C2E2B">
        <w:rPr>
          <w:lang w:eastAsia="fr-FR" w:bidi="fr-FR"/>
        </w:rPr>
        <w:t>tion au Liban et l’affaire Iran-Contra</w:t>
      </w:r>
      <w:r>
        <w:rPr>
          <w:lang w:eastAsia="fr-FR" w:bidi="fr-FR"/>
        </w:rPr>
        <w:t> </w:t>
      </w:r>
      <w:r>
        <w:rPr>
          <w:rStyle w:val="Appelnotedebasdep"/>
          <w:lang w:eastAsia="fr-FR" w:bidi="fr-FR"/>
        </w:rPr>
        <w:footnoteReference w:id="397"/>
      </w:r>
      <w:r w:rsidRPr="001C2E2B">
        <w:rPr>
          <w:lang w:eastAsia="fr-FR" w:bidi="fr-FR"/>
        </w:rPr>
        <w:t>). Plus paradoxal encore, il est sans doute le seul président qui a mis en œuvre les trois modes de ge</w:t>
      </w:r>
      <w:r w:rsidRPr="001C2E2B">
        <w:rPr>
          <w:lang w:eastAsia="fr-FR" w:bidi="fr-FR"/>
        </w:rPr>
        <w:t>s</w:t>
      </w:r>
      <w:r w:rsidRPr="001C2E2B">
        <w:rPr>
          <w:lang w:eastAsia="fr-FR" w:bidi="fr-FR"/>
        </w:rPr>
        <w:t>tion à un moment ou un autre de sa prés</w:t>
      </w:r>
      <w:r w:rsidRPr="001C2E2B">
        <w:rPr>
          <w:lang w:eastAsia="fr-FR" w:bidi="fr-FR"/>
        </w:rPr>
        <w:t>i</w:t>
      </w:r>
      <w:r w:rsidRPr="001C2E2B">
        <w:rPr>
          <w:lang w:eastAsia="fr-FR" w:bidi="fr-FR"/>
        </w:rPr>
        <w:t>dence, ce qui explique les incohérences épisodiques de sa politique étrangère. Néanmoins, au final, la conduite de cette politique fut l’une des plus réu</w:t>
      </w:r>
      <w:r w:rsidRPr="001C2E2B">
        <w:rPr>
          <w:lang w:eastAsia="fr-FR" w:bidi="fr-FR"/>
        </w:rPr>
        <w:t>s</w:t>
      </w:r>
      <w:r w:rsidRPr="001C2E2B">
        <w:rPr>
          <w:lang w:eastAsia="fr-FR" w:bidi="fr-FR"/>
        </w:rPr>
        <w:t>sies de la période contemporaine, menant à bien la fin de la guerre froide. Enfin, deux présidents se retrouvent à mi-chemin d’une approche collégiale réussie</w:t>
      </w:r>
      <w:r w:rsidRPr="001C2E2B">
        <w:t> :</w:t>
      </w:r>
      <w:r w:rsidRPr="001C2E2B">
        <w:rPr>
          <w:lang w:eastAsia="fr-FR" w:bidi="fr-FR"/>
        </w:rPr>
        <w:t xml:space="preserve"> Clinton, dont l’apprentissage de la gestion de la politique étrangère fut long et laborieux, et G.W. Bush, pour lequel les exige</w:t>
      </w:r>
      <w:r w:rsidRPr="001C2E2B">
        <w:rPr>
          <w:lang w:eastAsia="fr-FR" w:bidi="fr-FR"/>
        </w:rPr>
        <w:t>n</w:t>
      </w:r>
      <w:r w:rsidRPr="001C2E2B">
        <w:rPr>
          <w:lang w:eastAsia="fr-FR" w:bidi="fr-FR"/>
        </w:rPr>
        <w:t>ces de la crise du 11 septembre 2001 ont masqué les terribles d</w:t>
      </w:r>
      <w:r w:rsidRPr="001C2E2B">
        <w:rPr>
          <w:lang w:eastAsia="fr-FR" w:bidi="fr-FR"/>
        </w:rPr>
        <w:t>i</w:t>
      </w:r>
      <w:r w:rsidRPr="001C2E2B">
        <w:rPr>
          <w:lang w:eastAsia="fr-FR" w:bidi="fr-FR"/>
        </w:rPr>
        <w:t xml:space="preserve">visions au sein de son administration. Tous deux ont été des </w:t>
      </w:r>
      <w:r w:rsidRPr="001C2E2B">
        <w:t>« </w:t>
      </w:r>
      <w:r w:rsidRPr="001C2E2B">
        <w:rPr>
          <w:lang w:eastAsia="fr-FR" w:bidi="fr-FR"/>
        </w:rPr>
        <w:t>mandataires</w:t>
      </w:r>
      <w:r w:rsidRPr="001C2E2B">
        <w:t> »</w:t>
      </w:r>
      <w:r w:rsidRPr="001C2E2B">
        <w:rPr>
          <w:lang w:eastAsia="fr-FR" w:bidi="fr-FR"/>
        </w:rPr>
        <w:t>,</w:t>
      </w:r>
      <w:r>
        <w:rPr>
          <w:lang w:eastAsia="fr-FR" w:bidi="fr-FR"/>
        </w:rPr>
        <w:t xml:space="preserve"> </w:t>
      </w:r>
      <w:r>
        <w:t xml:space="preserve">[175] </w:t>
      </w:r>
      <w:r w:rsidRPr="001C2E2B">
        <w:rPr>
          <w:lang w:eastAsia="fr-FR" w:bidi="fr-FR"/>
        </w:rPr>
        <w:t>alertes, faisant confiance à leurs conseillers qui les ont génér</w:t>
      </w:r>
      <w:r w:rsidRPr="001C2E2B">
        <w:rPr>
          <w:lang w:eastAsia="fr-FR" w:bidi="fr-FR"/>
        </w:rPr>
        <w:t>a</w:t>
      </w:r>
      <w:r w:rsidRPr="001C2E2B">
        <w:rPr>
          <w:lang w:eastAsia="fr-FR" w:bidi="fr-FR"/>
        </w:rPr>
        <w:t>lement bien servis.</w:t>
      </w:r>
    </w:p>
    <w:p w14:paraId="35FEFC43" w14:textId="77777777" w:rsidR="0039793A" w:rsidRPr="001C2E2B" w:rsidRDefault="0039793A" w:rsidP="0039793A">
      <w:pPr>
        <w:spacing w:before="120" w:after="120"/>
        <w:jc w:val="both"/>
      </w:pPr>
      <w:r w:rsidRPr="001C2E2B">
        <w:rPr>
          <w:lang w:eastAsia="fr-FR" w:bidi="fr-FR"/>
        </w:rPr>
        <w:t>La politique extérieure américaine est une e</w:t>
      </w:r>
      <w:r w:rsidRPr="001C2E2B">
        <w:rPr>
          <w:lang w:eastAsia="fr-FR" w:bidi="fr-FR"/>
        </w:rPr>
        <w:t>n</w:t>
      </w:r>
      <w:r w:rsidRPr="001C2E2B">
        <w:rPr>
          <w:lang w:eastAsia="fr-FR" w:bidi="fr-FR"/>
        </w:rPr>
        <w:t>treprise complexe et seul le président, au moyen de ses pouvoirs formels et informels, d</w:t>
      </w:r>
      <w:r w:rsidRPr="001C2E2B">
        <w:rPr>
          <w:lang w:eastAsia="fr-FR" w:bidi="fr-FR"/>
        </w:rPr>
        <w:t>é</w:t>
      </w:r>
      <w:r w:rsidRPr="001C2E2B">
        <w:rPr>
          <w:lang w:eastAsia="fr-FR" w:bidi="fr-FR"/>
        </w:rPr>
        <w:t>tient la clé de son succès. Pour rendre compte des choix opérés, la personnalité du président américain, son style et son mode de gestion constituent des facteurs aussi déterminants que son autorité. Truman n’était ce</w:t>
      </w:r>
      <w:r w:rsidRPr="001C2E2B">
        <w:rPr>
          <w:lang w:eastAsia="fr-FR" w:bidi="fr-FR"/>
        </w:rPr>
        <w:t>r</w:t>
      </w:r>
      <w:r w:rsidRPr="001C2E2B">
        <w:rPr>
          <w:lang w:eastAsia="fr-FR" w:bidi="fr-FR"/>
        </w:rPr>
        <w:t>tainement pas loin de la vérité en affirmant que lui seul concevait la politique étrangère. Cette per</w:t>
      </w:r>
      <w:r w:rsidRPr="001C2E2B">
        <w:rPr>
          <w:lang w:eastAsia="fr-FR" w:bidi="fr-FR"/>
        </w:rPr>
        <w:t>s</w:t>
      </w:r>
      <w:r w:rsidRPr="001C2E2B">
        <w:rPr>
          <w:lang w:eastAsia="fr-FR" w:bidi="fr-FR"/>
        </w:rPr>
        <w:t>pective reste inchangée et la politique étrangère demeure aux mains d’une présidence... toujours impériale.</w:t>
      </w:r>
    </w:p>
    <w:p w14:paraId="12205E80" w14:textId="77777777" w:rsidR="0039793A" w:rsidRPr="001C2E2B" w:rsidRDefault="0039793A" w:rsidP="0039793A">
      <w:pPr>
        <w:spacing w:before="120" w:after="120"/>
        <w:jc w:val="both"/>
      </w:pPr>
    </w:p>
    <w:p w14:paraId="7ED604E6" w14:textId="77777777" w:rsidR="0039793A" w:rsidRPr="001C2E2B" w:rsidRDefault="0039793A" w:rsidP="0039793A">
      <w:pPr>
        <w:pStyle w:val="p"/>
      </w:pPr>
      <w:r>
        <w:t>[176]</w:t>
      </w:r>
    </w:p>
    <w:p w14:paraId="7386F8CB" w14:textId="77777777" w:rsidR="0039793A" w:rsidRPr="001C2E2B" w:rsidRDefault="0039793A" w:rsidP="0039793A">
      <w:pPr>
        <w:pStyle w:val="p"/>
        <w:rPr>
          <w:lang w:eastAsia="fr-FR" w:bidi="fr-FR"/>
        </w:rPr>
      </w:pPr>
      <w:r w:rsidRPr="001C2E2B">
        <w:br w:type="page"/>
      </w:r>
      <w:r w:rsidRPr="00531FC2">
        <w:t>[177]</w:t>
      </w:r>
    </w:p>
    <w:p w14:paraId="1C036CB9" w14:textId="77777777" w:rsidR="0039793A" w:rsidRPr="00E07116" w:rsidRDefault="0039793A" w:rsidP="0039793A">
      <w:pPr>
        <w:jc w:val="both"/>
      </w:pPr>
    </w:p>
    <w:p w14:paraId="4A6EBB1D" w14:textId="77777777" w:rsidR="0039793A" w:rsidRDefault="0039793A" w:rsidP="0039793A">
      <w:pPr>
        <w:jc w:val="both"/>
      </w:pPr>
    </w:p>
    <w:p w14:paraId="150D336F" w14:textId="77777777" w:rsidR="0039793A" w:rsidRPr="00E07116" w:rsidRDefault="0039793A" w:rsidP="0039793A">
      <w:pPr>
        <w:jc w:val="both"/>
      </w:pPr>
    </w:p>
    <w:p w14:paraId="367AF261" w14:textId="77777777" w:rsidR="0039793A" w:rsidRPr="00642210" w:rsidRDefault="0039793A" w:rsidP="0039793A">
      <w:pPr>
        <w:spacing w:after="120"/>
        <w:jc w:val="center"/>
      </w:pPr>
      <w:bookmarkStart w:id="23" w:name="Pol_EU_pt_2_chap_06"/>
      <w:r w:rsidRPr="00642210">
        <w:rPr>
          <w:b/>
        </w:rPr>
        <w:t>La politique étrangère des «États-Unis.</w:t>
      </w:r>
      <w:r w:rsidRPr="00642210">
        <w:rPr>
          <w:b/>
        </w:rPr>
        <w:br/>
      </w:r>
      <w:r w:rsidRPr="00642210">
        <w:rPr>
          <w:i/>
        </w:rPr>
        <w:t>Fondements, acteurs, formulation</w:t>
      </w:r>
    </w:p>
    <w:p w14:paraId="25B150E7" w14:textId="77777777" w:rsidR="0039793A" w:rsidRPr="00384B20" w:rsidRDefault="0039793A" w:rsidP="0039793A">
      <w:pPr>
        <w:spacing w:after="120"/>
        <w:ind w:firstLine="0"/>
        <w:jc w:val="center"/>
        <w:rPr>
          <w:color w:val="000080"/>
          <w:sz w:val="24"/>
        </w:rPr>
      </w:pPr>
      <w:r>
        <w:rPr>
          <w:color w:val="000080"/>
          <w:sz w:val="24"/>
        </w:rPr>
        <w:t>DEUXIÈME PARTIE</w:t>
      </w:r>
    </w:p>
    <w:p w14:paraId="1E796358" w14:textId="77777777" w:rsidR="0039793A" w:rsidRPr="00384B20" w:rsidRDefault="0039793A" w:rsidP="0039793A">
      <w:pPr>
        <w:pStyle w:val="Titreniveau1"/>
      </w:pPr>
      <w:r w:rsidRPr="00384B20">
        <w:t xml:space="preserve">Chapitre </w:t>
      </w:r>
      <w:r>
        <w:t>6</w:t>
      </w:r>
    </w:p>
    <w:p w14:paraId="31E4EE01" w14:textId="77777777" w:rsidR="0039793A" w:rsidRPr="00E07116" w:rsidRDefault="0039793A" w:rsidP="0039793A">
      <w:pPr>
        <w:pStyle w:val="Titreniveau2"/>
      </w:pPr>
      <w:r>
        <w:t>LES ACTEUR DU JEU</w:t>
      </w:r>
      <w:r>
        <w:br/>
        <w:t>BUREAUCRATIQUE</w:t>
      </w:r>
    </w:p>
    <w:bookmarkEnd w:id="23"/>
    <w:p w14:paraId="368B5755" w14:textId="77777777" w:rsidR="0039793A" w:rsidRPr="00E07116" w:rsidRDefault="0039793A" w:rsidP="0039793A">
      <w:pPr>
        <w:jc w:val="both"/>
        <w:rPr>
          <w:szCs w:val="36"/>
        </w:rPr>
      </w:pPr>
    </w:p>
    <w:p w14:paraId="1AA22FD9" w14:textId="77777777" w:rsidR="0039793A" w:rsidRPr="00E07116" w:rsidRDefault="0039793A" w:rsidP="0039793A">
      <w:pPr>
        <w:jc w:val="both"/>
      </w:pPr>
    </w:p>
    <w:p w14:paraId="5B1254BF" w14:textId="77777777" w:rsidR="0039793A" w:rsidRPr="00E07116" w:rsidRDefault="0039793A" w:rsidP="0039793A">
      <w:pPr>
        <w:jc w:val="both"/>
      </w:pPr>
    </w:p>
    <w:p w14:paraId="694A1713" w14:textId="77777777" w:rsidR="0039793A" w:rsidRPr="00E07116" w:rsidRDefault="0039793A" w:rsidP="0039793A">
      <w:pPr>
        <w:jc w:val="both"/>
      </w:pPr>
    </w:p>
    <w:p w14:paraId="5A641F20" w14:textId="77777777" w:rsidR="0039793A" w:rsidRPr="00E07116" w:rsidRDefault="0039793A" w:rsidP="0039793A">
      <w:pPr>
        <w:jc w:val="both"/>
      </w:pPr>
    </w:p>
    <w:p w14:paraId="4E0AE5B1"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31A93B1" w14:textId="77777777" w:rsidR="0039793A" w:rsidRPr="001C2E2B" w:rsidRDefault="0039793A" w:rsidP="0039793A">
      <w:pPr>
        <w:spacing w:before="120" w:after="120"/>
        <w:jc w:val="both"/>
      </w:pPr>
      <w:r w:rsidRPr="001C2E2B">
        <w:rPr>
          <w:lang w:eastAsia="fr-FR" w:bidi="fr-FR"/>
        </w:rPr>
        <w:t>On peut comparer le système de formulation de la politique étra</w:t>
      </w:r>
      <w:r w:rsidRPr="001C2E2B">
        <w:rPr>
          <w:lang w:eastAsia="fr-FR" w:bidi="fr-FR"/>
        </w:rPr>
        <w:t>n</w:t>
      </w:r>
      <w:r w:rsidRPr="001C2E2B">
        <w:rPr>
          <w:lang w:eastAsia="fr-FR" w:bidi="fr-FR"/>
        </w:rPr>
        <w:t>gère américaine à une pieuvre dont les tentacules bureaucratiques e</w:t>
      </w:r>
      <w:r w:rsidRPr="001C2E2B">
        <w:rPr>
          <w:lang w:eastAsia="fr-FR" w:bidi="fr-FR"/>
        </w:rPr>
        <w:t>m</w:t>
      </w:r>
      <w:r w:rsidRPr="001C2E2B">
        <w:rPr>
          <w:lang w:eastAsia="fr-FR" w:bidi="fr-FR"/>
        </w:rPr>
        <w:t>prisonnent l’Exécutif. Le président Kennedy avouait à un interloc</w:t>
      </w:r>
      <w:r w:rsidRPr="001C2E2B">
        <w:rPr>
          <w:lang w:eastAsia="fr-FR" w:bidi="fr-FR"/>
        </w:rPr>
        <w:t>u</w:t>
      </w:r>
      <w:r w:rsidRPr="001C2E2B">
        <w:rPr>
          <w:lang w:eastAsia="fr-FR" w:bidi="fr-FR"/>
        </w:rPr>
        <w:t>teur qu’il voulait bien approuver sa déc</w:t>
      </w:r>
      <w:r w:rsidRPr="001C2E2B">
        <w:rPr>
          <w:lang w:eastAsia="fr-FR" w:bidi="fr-FR"/>
        </w:rPr>
        <w:t>i</w:t>
      </w:r>
      <w:r w:rsidRPr="001C2E2B">
        <w:rPr>
          <w:lang w:eastAsia="fr-FR" w:bidi="fr-FR"/>
        </w:rPr>
        <w:t>sion, mais qu’il ne savait pas si son gouvernement serait d’accord</w:t>
      </w:r>
      <w:r>
        <w:rPr>
          <w:lang w:eastAsia="fr-FR" w:bidi="fr-FR"/>
        </w:rPr>
        <w:t> </w:t>
      </w:r>
      <w:r>
        <w:rPr>
          <w:rStyle w:val="Appelnotedebasdep"/>
          <w:lang w:eastAsia="fr-FR" w:bidi="fr-FR"/>
        </w:rPr>
        <w:footnoteReference w:id="398"/>
      </w:r>
      <w:r w:rsidRPr="001C2E2B">
        <w:t> !</w:t>
      </w:r>
      <w:r w:rsidRPr="001C2E2B">
        <w:rPr>
          <w:lang w:eastAsia="fr-FR" w:bidi="fr-FR"/>
        </w:rPr>
        <w:t xml:space="preserve"> Dans le même esprit, la b</w:t>
      </w:r>
      <w:r w:rsidRPr="001C2E2B">
        <w:rPr>
          <w:lang w:eastAsia="fr-FR" w:bidi="fr-FR"/>
        </w:rPr>
        <w:t>u</w:t>
      </w:r>
      <w:r w:rsidRPr="001C2E2B">
        <w:rPr>
          <w:lang w:eastAsia="fr-FR" w:bidi="fr-FR"/>
        </w:rPr>
        <w:t>reaucratie (terme consacré pour l’Administration go</w:t>
      </w:r>
      <w:r w:rsidRPr="001C2E2B">
        <w:rPr>
          <w:lang w:eastAsia="fr-FR" w:bidi="fr-FR"/>
        </w:rPr>
        <w:t>u</w:t>
      </w:r>
      <w:r w:rsidRPr="001C2E2B">
        <w:rPr>
          <w:lang w:eastAsia="fr-FR" w:bidi="fr-FR"/>
        </w:rPr>
        <w:t>vernementale américaine) occupe une place à ce point importante que le président Truman la co</w:t>
      </w:r>
      <w:r w:rsidRPr="001C2E2B">
        <w:rPr>
          <w:lang w:eastAsia="fr-FR" w:bidi="fr-FR"/>
        </w:rPr>
        <w:t>m</w:t>
      </w:r>
      <w:r w:rsidRPr="001C2E2B">
        <w:rPr>
          <w:lang w:eastAsia="fr-FR" w:bidi="fr-FR"/>
        </w:rPr>
        <w:t>parait à un tigre</w:t>
      </w:r>
      <w:r w:rsidRPr="001C2E2B">
        <w:t> :</w:t>
      </w:r>
      <w:r w:rsidRPr="001C2E2B">
        <w:rPr>
          <w:lang w:eastAsia="fr-FR" w:bidi="fr-FR"/>
        </w:rPr>
        <w:t xml:space="preserve"> </w:t>
      </w:r>
      <w:r w:rsidRPr="001C2E2B">
        <w:t>« </w:t>
      </w:r>
      <w:r w:rsidRPr="001C2E2B">
        <w:rPr>
          <w:lang w:eastAsia="fr-FR" w:bidi="fr-FR"/>
        </w:rPr>
        <w:t>Il faut la mater au risque de se faire avaler</w:t>
      </w:r>
      <w:r>
        <w:rPr>
          <w:lang w:eastAsia="fr-FR" w:bidi="fr-FR"/>
        </w:rPr>
        <w:t> </w:t>
      </w:r>
      <w:r>
        <w:rPr>
          <w:rStyle w:val="Appelnotedebasdep"/>
          <w:lang w:eastAsia="fr-FR" w:bidi="fr-FR"/>
        </w:rPr>
        <w:footnoteReference w:id="399"/>
      </w:r>
      <w:r w:rsidRPr="001C2E2B">
        <w:t> »</w:t>
      </w:r>
      <w:r w:rsidRPr="001C2E2B">
        <w:rPr>
          <w:lang w:eastAsia="fr-FR" w:bidi="fr-FR"/>
        </w:rPr>
        <w:t xml:space="preserve">, disait-il. Cette vision se révèle d’autant plus exacte quand il s’agit de la politique extérieure. Le jeu des poids et contrepoids, établi par la Constitution, se déroule davantage </w:t>
      </w:r>
      <w:r w:rsidRPr="002F5371">
        <w:rPr>
          <w:i/>
          <w:iCs/>
        </w:rPr>
        <w:t>à l’intérieur</w:t>
      </w:r>
      <w:r w:rsidRPr="001C2E2B">
        <w:rPr>
          <w:lang w:eastAsia="fr-FR" w:bidi="fr-FR"/>
        </w:rPr>
        <w:t xml:space="preserve"> qu’à l’extérieur de l’Exécutif. Il y a un véritable contraste entre la politique intérieure et étrangère</w:t>
      </w:r>
      <w:r w:rsidRPr="001C2E2B">
        <w:t> :</w:t>
      </w:r>
      <w:r w:rsidRPr="001C2E2B">
        <w:rPr>
          <w:lang w:eastAsia="fr-FR" w:bidi="fr-FR"/>
        </w:rPr>
        <w:t xml:space="preserve"> le Parlement et les groupes d’intérêt sont a</w:t>
      </w:r>
      <w:r w:rsidRPr="001C2E2B">
        <w:rPr>
          <w:lang w:eastAsia="fr-FR" w:bidi="fr-FR"/>
        </w:rPr>
        <w:t>c</w:t>
      </w:r>
      <w:r w:rsidRPr="001C2E2B">
        <w:rPr>
          <w:lang w:eastAsia="fr-FR" w:bidi="fr-FR"/>
        </w:rPr>
        <w:t>tifs, impliqués et incontournables — dev</w:t>
      </w:r>
      <w:r w:rsidRPr="001C2E2B">
        <w:rPr>
          <w:lang w:eastAsia="fr-FR" w:bidi="fr-FR"/>
        </w:rPr>
        <w:t>e</w:t>
      </w:r>
      <w:r w:rsidRPr="001C2E2B">
        <w:rPr>
          <w:lang w:eastAsia="fr-FR" w:bidi="fr-FR"/>
        </w:rPr>
        <w:t>nant du coup très puissants - dans l’orientation de la politique intérieure, alors qu’ils se désintére</w:t>
      </w:r>
      <w:r w:rsidRPr="001C2E2B">
        <w:rPr>
          <w:lang w:eastAsia="fr-FR" w:bidi="fr-FR"/>
        </w:rPr>
        <w:t>s</w:t>
      </w:r>
      <w:r w:rsidRPr="001C2E2B">
        <w:rPr>
          <w:lang w:eastAsia="fr-FR" w:bidi="fr-FR"/>
        </w:rPr>
        <w:t>sent le plus souvent des questions de politique étrangère. Dans la m</w:t>
      </w:r>
      <w:r w:rsidRPr="001C2E2B">
        <w:rPr>
          <w:lang w:eastAsia="fr-FR" w:bidi="fr-FR"/>
        </w:rPr>
        <w:t>a</w:t>
      </w:r>
      <w:r w:rsidRPr="001C2E2B">
        <w:rPr>
          <w:lang w:eastAsia="fr-FR" w:bidi="fr-FR"/>
        </w:rPr>
        <w:t>jorité des situations et des prises de décision, ce sont les administr</w:t>
      </w:r>
      <w:r w:rsidRPr="001C2E2B">
        <w:rPr>
          <w:lang w:eastAsia="fr-FR" w:bidi="fr-FR"/>
        </w:rPr>
        <w:t>a</w:t>
      </w:r>
      <w:r w:rsidRPr="001C2E2B">
        <w:rPr>
          <w:lang w:eastAsia="fr-FR" w:bidi="fr-FR"/>
        </w:rPr>
        <w:t>tions (et le président) qui déterminent les choix de politique étrangère. Aussi, en</w:t>
      </w:r>
      <w:r>
        <w:t xml:space="preserve"> [178] </w:t>
      </w:r>
      <w:r w:rsidRPr="001C2E2B">
        <w:rPr>
          <w:lang w:eastAsia="fr-FR" w:bidi="fr-FR"/>
        </w:rPr>
        <w:t>dehors de situations exceptionnelles, les b</w:t>
      </w:r>
      <w:r w:rsidRPr="001C2E2B">
        <w:rPr>
          <w:lang w:eastAsia="fr-FR" w:bidi="fr-FR"/>
        </w:rPr>
        <w:t>u</w:t>
      </w:r>
      <w:r w:rsidRPr="001C2E2B">
        <w:rPr>
          <w:lang w:eastAsia="fr-FR" w:bidi="fr-FR"/>
        </w:rPr>
        <w:t>reaucraties disposent d’une grande latitude dans l’élaboration de la politique étrangère. Ceci est particulièrement évident en ce qui concerne la s</w:t>
      </w:r>
      <w:r w:rsidRPr="001C2E2B">
        <w:rPr>
          <w:lang w:eastAsia="fr-FR" w:bidi="fr-FR"/>
        </w:rPr>
        <w:t>é</w:t>
      </w:r>
      <w:r w:rsidRPr="001C2E2B">
        <w:rPr>
          <w:lang w:eastAsia="fr-FR" w:bidi="fr-FR"/>
        </w:rPr>
        <w:t>curité nationale et le renseignement, domaine d</w:t>
      </w:r>
      <w:r w:rsidRPr="001C2E2B">
        <w:rPr>
          <w:lang w:eastAsia="fr-FR" w:bidi="fr-FR"/>
        </w:rPr>
        <w:t>e</w:t>
      </w:r>
      <w:r w:rsidRPr="001C2E2B">
        <w:rPr>
          <w:lang w:eastAsia="fr-FR" w:bidi="fr-FR"/>
        </w:rPr>
        <w:t xml:space="preserve">venu plus crucial que jamais depuis les événements du 11 septembre 2001. Ainsi, en réalité, </w:t>
      </w:r>
      <w:r w:rsidRPr="001C2E2B">
        <w:t>« </w:t>
      </w:r>
      <w:r w:rsidRPr="001C2E2B">
        <w:rPr>
          <w:lang w:eastAsia="fr-FR" w:bidi="fr-FR"/>
        </w:rPr>
        <w:t>le gouvern</w:t>
      </w:r>
      <w:r w:rsidRPr="001C2E2B">
        <w:rPr>
          <w:lang w:eastAsia="fr-FR" w:bidi="fr-FR"/>
        </w:rPr>
        <w:t>e</w:t>
      </w:r>
      <w:r w:rsidRPr="001C2E2B">
        <w:rPr>
          <w:lang w:eastAsia="fr-FR" w:bidi="fr-FR"/>
        </w:rPr>
        <w:t>ment d’opposition se retrouve en quelque sorte parmi les bureaucraties fédérales</w:t>
      </w:r>
      <w:r>
        <w:rPr>
          <w:lang w:eastAsia="fr-FR" w:bidi="fr-FR"/>
        </w:rPr>
        <w:t> </w:t>
      </w:r>
      <w:r>
        <w:rPr>
          <w:rStyle w:val="Appelnotedebasdep"/>
          <w:lang w:eastAsia="fr-FR" w:bidi="fr-FR"/>
        </w:rPr>
        <w:footnoteReference w:id="400"/>
      </w:r>
      <w:r w:rsidRPr="001C2E2B">
        <w:t> »</w:t>
      </w:r>
      <w:r w:rsidRPr="001C2E2B">
        <w:rPr>
          <w:lang w:eastAsia="fr-FR" w:bidi="fr-FR"/>
        </w:rPr>
        <w:t>. Le nombre d’organisations, de départ</w:t>
      </w:r>
      <w:r w:rsidRPr="001C2E2B">
        <w:rPr>
          <w:lang w:eastAsia="fr-FR" w:bidi="fr-FR"/>
        </w:rPr>
        <w:t>e</w:t>
      </w:r>
      <w:r w:rsidRPr="001C2E2B">
        <w:rPr>
          <w:lang w:eastAsia="fr-FR" w:bidi="fr-FR"/>
        </w:rPr>
        <w:t>ments et d’agences dont les compétences touchent à la pol</w:t>
      </w:r>
      <w:r w:rsidRPr="001C2E2B">
        <w:rPr>
          <w:lang w:eastAsia="fr-FR" w:bidi="fr-FR"/>
        </w:rPr>
        <w:t>i</w:t>
      </w:r>
      <w:r w:rsidRPr="001C2E2B">
        <w:rPr>
          <w:lang w:eastAsia="fr-FR" w:bidi="fr-FR"/>
        </w:rPr>
        <w:t>tique étrangère et de défense est non seulement considérable, il va croissant. Les mandats s’élargissent en raison d’enjeux nouveaux et co</w:t>
      </w:r>
      <w:r w:rsidRPr="001C2E2B">
        <w:rPr>
          <w:lang w:eastAsia="fr-FR" w:bidi="fr-FR"/>
        </w:rPr>
        <w:t>m</w:t>
      </w:r>
      <w:r w:rsidRPr="001C2E2B">
        <w:rPr>
          <w:lang w:eastAsia="fr-FR" w:bidi="fr-FR"/>
        </w:rPr>
        <w:t>plexes</w:t>
      </w:r>
      <w:r w:rsidRPr="001C2E2B">
        <w:t> ;</w:t>
      </w:r>
      <w:r w:rsidRPr="001C2E2B">
        <w:rPr>
          <w:lang w:eastAsia="fr-FR" w:bidi="fr-FR"/>
        </w:rPr>
        <w:t xml:space="preserve"> le poids et l’influence d’une administration spécifique vont varier s</w:t>
      </w:r>
      <w:r w:rsidRPr="001C2E2B">
        <w:rPr>
          <w:lang w:eastAsia="fr-FR" w:bidi="fr-FR"/>
        </w:rPr>
        <w:t>e</w:t>
      </w:r>
      <w:r w:rsidRPr="001C2E2B">
        <w:rPr>
          <w:lang w:eastAsia="fr-FR" w:bidi="fr-FR"/>
        </w:rPr>
        <w:t>lon l’époque et selon le contexte</w:t>
      </w:r>
      <w:r w:rsidRPr="001C2E2B">
        <w:t> ;</w:t>
      </w:r>
      <w:r w:rsidRPr="001C2E2B">
        <w:rPr>
          <w:lang w:eastAsia="fr-FR" w:bidi="fr-FR"/>
        </w:rPr>
        <w:t xml:space="preserve"> les résistances au changement, les rivalités entre services et le primat des intérêts sectoriels sont partic</w:t>
      </w:r>
      <w:r w:rsidRPr="001C2E2B">
        <w:rPr>
          <w:lang w:eastAsia="fr-FR" w:bidi="fr-FR"/>
        </w:rPr>
        <w:t>u</w:t>
      </w:r>
      <w:r w:rsidRPr="001C2E2B">
        <w:rPr>
          <w:lang w:eastAsia="fr-FR" w:bidi="fr-FR"/>
        </w:rPr>
        <w:t>lièrement vifs. De ce fait, la coordination des activités et la cohérence des actions ne sont pas nécessairement aisées. En effet, les perspect</w:t>
      </w:r>
      <w:r w:rsidRPr="001C2E2B">
        <w:rPr>
          <w:lang w:eastAsia="fr-FR" w:bidi="fr-FR"/>
        </w:rPr>
        <w:t>i</w:t>
      </w:r>
      <w:r w:rsidRPr="001C2E2B">
        <w:rPr>
          <w:lang w:eastAsia="fr-FR" w:bidi="fr-FR"/>
        </w:rPr>
        <w:t>ves organis</w:t>
      </w:r>
      <w:r w:rsidRPr="001C2E2B">
        <w:rPr>
          <w:lang w:eastAsia="fr-FR" w:bidi="fr-FR"/>
        </w:rPr>
        <w:t>a</w:t>
      </w:r>
      <w:r w:rsidRPr="001C2E2B">
        <w:rPr>
          <w:lang w:eastAsia="fr-FR" w:bidi="fr-FR"/>
        </w:rPr>
        <w:t>tionnelles sont attachées à des traditions et à des usages profondément ancrés. Censé servir le président, l’appareil gouvern</w:t>
      </w:r>
      <w:r w:rsidRPr="001C2E2B">
        <w:rPr>
          <w:lang w:eastAsia="fr-FR" w:bidi="fr-FR"/>
        </w:rPr>
        <w:t>e</w:t>
      </w:r>
      <w:r w:rsidRPr="001C2E2B">
        <w:rPr>
          <w:lang w:eastAsia="fr-FR" w:bidi="fr-FR"/>
        </w:rPr>
        <w:t>me</w:t>
      </w:r>
      <w:r w:rsidRPr="001C2E2B">
        <w:rPr>
          <w:lang w:eastAsia="fr-FR" w:bidi="fr-FR"/>
        </w:rPr>
        <w:t>n</w:t>
      </w:r>
      <w:r w:rsidRPr="001C2E2B">
        <w:rPr>
          <w:lang w:eastAsia="fr-FR" w:bidi="fr-FR"/>
        </w:rPr>
        <w:t>tal impose, du seul fait de son existence, des contraintes lourdes au mécanisme décisionnel, que seule la détermination du président peut surmo</w:t>
      </w:r>
      <w:r w:rsidRPr="001C2E2B">
        <w:rPr>
          <w:lang w:eastAsia="fr-FR" w:bidi="fr-FR"/>
        </w:rPr>
        <w:t>n</w:t>
      </w:r>
      <w:r w:rsidRPr="001C2E2B">
        <w:rPr>
          <w:lang w:eastAsia="fr-FR" w:bidi="fr-FR"/>
        </w:rPr>
        <w:t>ter.</w:t>
      </w:r>
    </w:p>
    <w:p w14:paraId="7DA09F59" w14:textId="77777777" w:rsidR="0039793A" w:rsidRPr="001C2E2B" w:rsidRDefault="0039793A" w:rsidP="0039793A">
      <w:pPr>
        <w:spacing w:before="120" w:after="120"/>
        <w:jc w:val="both"/>
      </w:pPr>
      <w:r w:rsidRPr="001C2E2B">
        <w:rPr>
          <w:lang w:eastAsia="fr-FR" w:bidi="fr-FR"/>
        </w:rPr>
        <w:t>L’étude des principaux acteurs, notamment dans les domaines d</w:t>
      </w:r>
      <w:r w:rsidRPr="001C2E2B">
        <w:rPr>
          <w:lang w:eastAsia="fr-FR" w:bidi="fr-FR"/>
        </w:rPr>
        <w:t>i</w:t>
      </w:r>
      <w:r w:rsidRPr="001C2E2B">
        <w:rPr>
          <w:lang w:eastAsia="fr-FR" w:bidi="fr-FR"/>
        </w:rPr>
        <w:t>plomatique et sécuritaire, permettra de comprendre en quoi les mot</w:t>
      </w:r>
      <w:r w:rsidRPr="001C2E2B">
        <w:rPr>
          <w:lang w:eastAsia="fr-FR" w:bidi="fr-FR"/>
        </w:rPr>
        <w:t>i</w:t>
      </w:r>
      <w:r w:rsidRPr="001C2E2B">
        <w:rPr>
          <w:lang w:eastAsia="fr-FR" w:bidi="fr-FR"/>
        </w:rPr>
        <w:t>vations bureaucratiques et les comportements administr</w:t>
      </w:r>
      <w:r w:rsidRPr="001C2E2B">
        <w:rPr>
          <w:lang w:eastAsia="fr-FR" w:bidi="fr-FR"/>
        </w:rPr>
        <w:t>a</w:t>
      </w:r>
      <w:r w:rsidRPr="001C2E2B">
        <w:rPr>
          <w:lang w:eastAsia="fr-FR" w:bidi="fr-FR"/>
        </w:rPr>
        <w:t>tifs affectent la cohérence de la politique extérie</w:t>
      </w:r>
      <w:r w:rsidRPr="001C2E2B">
        <w:rPr>
          <w:lang w:eastAsia="fr-FR" w:bidi="fr-FR"/>
        </w:rPr>
        <w:t>u</w:t>
      </w:r>
      <w:r w:rsidRPr="001C2E2B">
        <w:rPr>
          <w:lang w:eastAsia="fr-FR" w:bidi="fr-FR"/>
        </w:rPr>
        <w:t>re.</w:t>
      </w:r>
    </w:p>
    <w:p w14:paraId="160E266D" w14:textId="77777777" w:rsidR="0039793A" w:rsidRDefault="0039793A" w:rsidP="0039793A">
      <w:pPr>
        <w:spacing w:before="120" w:after="120"/>
        <w:jc w:val="both"/>
        <w:rPr>
          <w:lang w:eastAsia="fr-FR" w:bidi="fr-FR"/>
        </w:rPr>
      </w:pPr>
      <w:r>
        <w:rPr>
          <w:lang w:eastAsia="fr-FR" w:bidi="fr-FR"/>
        </w:rPr>
        <w:br w:type="page"/>
      </w:r>
    </w:p>
    <w:p w14:paraId="37E4D846" w14:textId="77777777" w:rsidR="0039793A" w:rsidRPr="002F5371" w:rsidRDefault="0039793A" w:rsidP="0039793A">
      <w:pPr>
        <w:pStyle w:val="planche"/>
      </w:pPr>
      <w:bookmarkStart w:id="24" w:name="Pol_EU_pt_2_chap_06_1"/>
      <w:r w:rsidRPr="002F5371">
        <w:rPr>
          <w:lang w:eastAsia="fr-FR" w:bidi="fr-FR"/>
        </w:rPr>
        <w:t>Le rôle classique de la diplomatie</w:t>
      </w:r>
      <w:r>
        <w:rPr>
          <w:lang w:eastAsia="fr-FR" w:bidi="fr-FR"/>
        </w:rPr>
        <w:br/>
      </w:r>
      <w:r w:rsidRPr="002F5371">
        <w:rPr>
          <w:lang w:eastAsia="fr-FR" w:bidi="fr-FR"/>
        </w:rPr>
        <w:t>et de la d</w:t>
      </w:r>
      <w:r w:rsidRPr="002F5371">
        <w:rPr>
          <w:lang w:eastAsia="fr-FR" w:bidi="fr-FR"/>
        </w:rPr>
        <w:t>é</w:t>
      </w:r>
      <w:r w:rsidRPr="002F5371">
        <w:rPr>
          <w:lang w:eastAsia="fr-FR" w:bidi="fr-FR"/>
        </w:rPr>
        <w:t>fense</w:t>
      </w:r>
    </w:p>
    <w:bookmarkEnd w:id="24"/>
    <w:p w14:paraId="6149C381" w14:textId="77777777" w:rsidR="0039793A" w:rsidRDefault="0039793A" w:rsidP="0039793A">
      <w:pPr>
        <w:spacing w:before="120" w:after="120"/>
        <w:jc w:val="both"/>
        <w:rPr>
          <w:lang w:eastAsia="fr-FR" w:bidi="fr-FR"/>
        </w:rPr>
      </w:pPr>
    </w:p>
    <w:p w14:paraId="65DE100A"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31A4A38" w14:textId="77777777" w:rsidR="0039793A" w:rsidRPr="001C2E2B" w:rsidRDefault="0039793A" w:rsidP="0039793A">
      <w:pPr>
        <w:spacing w:before="120" w:after="120"/>
        <w:jc w:val="both"/>
      </w:pPr>
      <w:r w:rsidRPr="001C2E2B">
        <w:rPr>
          <w:lang w:eastAsia="fr-FR" w:bidi="fr-FR"/>
        </w:rPr>
        <w:t>Le noyau dur de la politique étrangère américaine est articulé a</w:t>
      </w:r>
      <w:r w:rsidRPr="001C2E2B">
        <w:rPr>
          <w:lang w:eastAsia="fr-FR" w:bidi="fr-FR"/>
        </w:rPr>
        <w:t>u</w:t>
      </w:r>
      <w:r w:rsidRPr="001C2E2B">
        <w:rPr>
          <w:lang w:eastAsia="fr-FR" w:bidi="fr-FR"/>
        </w:rPr>
        <w:t>tour de deux ministères</w:t>
      </w:r>
      <w:r w:rsidRPr="001C2E2B">
        <w:t> :</w:t>
      </w:r>
      <w:r w:rsidRPr="001C2E2B">
        <w:rPr>
          <w:lang w:eastAsia="fr-FR" w:bidi="fr-FR"/>
        </w:rPr>
        <w:t xml:space="preserve"> le Département d’</w:t>
      </w:r>
      <w:r>
        <w:rPr>
          <w:lang w:eastAsia="fr-FR" w:bidi="fr-FR"/>
        </w:rPr>
        <w:t>État</w:t>
      </w:r>
      <w:r w:rsidRPr="001C2E2B">
        <w:rPr>
          <w:lang w:eastAsia="fr-FR" w:bidi="fr-FR"/>
        </w:rPr>
        <w:t>, créé en 1789, et le départ</w:t>
      </w:r>
      <w:r w:rsidRPr="001C2E2B">
        <w:rPr>
          <w:lang w:eastAsia="fr-FR" w:bidi="fr-FR"/>
        </w:rPr>
        <w:t>e</w:t>
      </w:r>
      <w:r w:rsidRPr="001C2E2B">
        <w:rPr>
          <w:lang w:eastAsia="fr-FR" w:bidi="fr-FR"/>
        </w:rPr>
        <w:t>ment d</w:t>
      </w:r>
      <w:r>
        <w:rPr>
          <w:lang w:eastAsia="fr-FR" w:bidi="fr-FR"/>
        </w:rPr>
        <w:t>e la Défense, constitué en 1949.</w:t>
      </w:r>
    </w:p>
    <w:p w14:paraId="729E001C" w14:textId="77777777" w:rsidR="0039793A" w:rsidRDefault="0039793A" w:rsidP="0039793A">
      <w:pPr>
        <w:spacing w:before="120" w:after="120"/>
        <w:jc w:val="both"/>
        <w:rPr>
          <w:lang w:eastAsia="fr-FR" w:bidi="fr-FR"/>
        </w:rPr>
      </w:pPr>
    </w:p>
    <w:p w14:paraId="32773419" w14:textId="77777777" w:rsidR="0039793A" w:rsidRPr="001C2E2B" w:rsidRDefault="0039793A" w:rsidP="0039793A">
      <w:pPr>
        <w:pStyle w:val="a"/>
      </w:pPr>
      <w:r w:rsidRPr="001C2E2B">
        <w:t>Le Département d’</w:t>
      </w:r>
      <w:r>
        <w:t>État</w:t>
      </w:r>
    </w:p>
    <w:p w14:paraId="22167BB9" w14:textId="77777777" w:rsidR="0039793A" w:rsidRDefault="0039793A" w:rsidP="0039793A">
      <w:pPr>
        <w:spacing w:before="120" w:after="120"/>
        <w:jc w:val="both"/>
        <w:rPr>
          <w:lang w:eastAsia="fr-FR" w:bidi="fr-FR"/>
        </w:rPr>
      </w:pPr>
    </w:p>
    <w:p w14:paraId="53953D79" w14:textId="77777777" w:rsidR="0039793A" w:rsidRPr="001C2E2B" w:rsidRDefault="0039793A" w:rsidP="0039793A">
      <w:pPr>
        <w:spacing w:before="120" w:after="120"/>
        <w:jc w:val="both"/>
      </w:pPr>
      <w:r w:rsidRPr="001C2E2B">
        <w:rPr>
          <w:lang w:eastAsia="fr-FR" w:bidi="fr-FR"/>
        </w:rPr>
        <w:t xml:space="preserve">Pendant plus de 150 ans, et jusqu’à l’entrée en guerre des </w:t>
      </w:r>
      <w:r>
        <w:rPr>
          <w:lang w:eastAsia="fr-FR" w:bidi="fr-FR"/>
        </w:rPr>
        <w:t>État</w:t>
      </w:r>
      <w:r w:rsidRPr="001C2E2B">
        <w:rPr>
          <w:lang w:eastAsia="fr-FR" w:bidi="fr-FR"/>
        </w:rPr>
        <w:t>s-Unis dans la seconde guerre mondiale, le Département d’État (ou m</w:t>
      </w:r>
      <w:r w:rsidRPr="001C2E2B">
        <w:rPr>
          <w:lang w:eastAsia="fr-FR" w:bidi="fr-FR"/>
        </w:rPr>
        <w:t>i</w:t>
      </w:r>
      <w:r w:rsidRPr="001C2E2B">
        <w:rPr>
          <w:lang w:eastAsia="fr-FR" w:bidi="fr-FR"/>
        </w:rPr>
        <w:t>nistère des Affaires étrangères) était la principale administration re</w:t>
      </w:r>
      <w:r w:rsidRPr="001C2E2B">
        <w:rPr>
          <w:lang w:eastAsia="fr-FR" w:bidi="fr-FR"/>
        </w:rPr>
        <w:t>s</w:t>
      </w:r>
      <w:r w:rsidRPr="001C2E2B">
        <w:rPr>
          <w:lang w:eastAsia="fr-FR" w:bidi="fr-FR"/>
        </w:rPr>
        <w:t>ponsable de la politique extérieure. En dehors du département de la Guerre et de petites entités existant au</w:t>
      </w:r>
      <w:r>
        <w:t xml:space="preserve"> [179] </w:t>
      </w:r>
      <w:r w:rsidRPr="001C2E2B">
        <w:rPr>
          <w:lang w:eastAsia="fr-FR" w:bidi="fr-FR"/>
        </w:rPr>
        <w:t>sein d’autres ministères, le Département d’État dominait la diplomatie américaine. Il ne co</w:t>
      </w:r>
      <w:r w:rsidRPr="001C2E2B">
        <w:rPr>
          <w:lang w:eastAsia="fr-FR" w:bidi="fr-FR"/>
        </w:rPr>
        <w:t>m</w:t>
      </w:r>
      <w:r w:rsidRPr="001C2E2B">
        <w:rPr>
          <w:lang w:eastAsia="fr-FR" w:bidi="fr-FR"/>
        </w:rPr>
        <w:t>prenait que quelques centaines de personnes, incluant les ambass</w:t>
      </w:r>
      <w:r w:rsidRPr="001C2E2B">
        <w:rPr>
          <w:lang w:eastAsia="fr-FR" w:bidi="fr-FR"/>
        </w:rPr>
        <w:t>a</w:t>
      </w:r>
      <w:r w:rsidRPr="001C2E2B">
        <w:rPr>
          <w:lang w:eastAsia="fr-FR" w:bidi="fr-FR"/>
        </w:rPr>
        <w:t>deurs, et restait relativement discret. Progressivement, de 1942 ju</w:t>
      </w:r>
      <w:r w:rsidRPr="001C2E2B">
        <w:rPr>
          <w:lang w:eastAsia="fr-FR" w:bidi="fr-FR"/>
        </w:rPr>
        <w:t>s</w:t>
      </w:r>
      <w:r w:rsidRPr="001C2E2B">
        <w:rPr>
          <w:lang w:eastAsia="fr-FR" w:bidi="fr-FR"/>
        </w:rPr>
        <w:t>qu’à 1968, le Dépa</w:t>
      </w:r>
      <w:r w:rsidRPr="001C2E2B">
        <w:rPr>
          <w:lang w:eastAsia="fr-FR" w:bidi="fr-FR"/>
        </w:rPr>
        <w:t>r</w:t>
      </w:r>
      <w:r w:rsidRPr="001C2E2B">
        <w:rPr>
          <w:lang w:eastAsia="fr-FR" w:bidi="fr-FR"/>
        </w:rPr>
        <w:t>tement d’État prend de l’importance. Il connaît alors son heure de gloire et d’expansion, pr</w:t>
      </w:r>
      <w:r w:rsidRPr="001C2E2B">
        <w:rPr>
          <w:lang w:eastAsia="fr-FR" w:bidi="fr-FR"/>
        </w:rPr>
        <w:t>o</w:t>
      </w:r>
      <w:r w:rsidRPr="001C2E2B">
        <w:rPr>
          <w:lang w:eastAsia="fr-FR" w:bidi="fr-FR"/>
        </w:rPr>
        <w:t>fitant de la réorientation de la diplomatie américaine vers un internationalisme et un interve</w:t>
      </w:r>
      <w:r w:rsidRPr="001C2E2B">
        <w:rPr>
          <w:lang w:eastAsia="fr-FR" w:bidi="fr-FR"/>
        </w:rPr>
        <w:t>n</w:t>
      </w:r>
      <w:r w:rsidRPr="001C2E2B">
        <w:rPr>
          <w:lang w:eastAsia="fr-FR" w:bidi="fr-FR"/>
        </w:rPr>
        <w:t>tionnisme accrus. Si son mandat et son rôle restent déterm</w:t>
      </w:r>
      <w:r w:rsidRPr="001C2E2B">
        <w:rPr>
          <w:lang w:eastAsia="fr-FR" w:bidi="fr-FR"/>
        </w:rPr>
        <w:t>i</w:t>
      </w:r>
      <w:r w:rsidRPr="001C2E2B">
        <w:rPr>
          <w:lang w:eastAsia="fr-FR" w:bidi="fr-FR"/>
        </w:rPr>
        <w:t>nants, il est également de plus en plus concurrencé par d’autres départements, n</w:t>
      </w:r>
      <w:r w:rsidRPr="001C2E2B">
        <w:rPr>
          <w:lang w:eastAsia="fr-FR" w:bidi="fr-FR"/>
        </w:rPr>
        <w:t>o</w:t>
      </w:r>
      <w:r w:rsidRPr="001C2E2B">
        <w:rPr>
          <w:lang w:eastAsia="fr-FR" w:bidi="fr-FR"/>
        </w:rPr>
        <w:t>tamment celui de la Défense.</w:t>
      </w:r>
    </w:p>
    <w:p w14:paraId="1F643FEC" w14:textId="77777777" w:rsidR="0039793A" w:rsidRDefault="0039793A" w:rsidP="0039793A">
      <w:pPr>
        <w:spacing w:before="120" w:after="120"/>
        <w:jc w:val="both"/>
        <w:rPr>
          <w:lang w:eastAsia="fr-FR" w:bidi="fr-FR"/>
        </w:rPr>
      </w:pPr>
    </w:p>
    <w:p w14:paraId="63F508F7" w14:textId="77777777" w:rsidR="0039793A" w:rsidRPr="002F5371" w:rsidRDefault="0039793A" w:rsidP="0039793A">
      <w:pPr>
        <w:pStyle w:val="b"/>
      </w:pPr>
      <w:r w:rsidRPr="002F5371">
        <w:rPr>
          <w:lang w:eastAsia="fr-FR" w:bidi="fr-FR"/>
        </w:rPr>
        <w:t>Le mandat du Département d'État</w:t>
      </w:r>
    </w:p>
    <w:p w14:paraId="4A65C977" w14:textId="77777777" w:rsidR="0039793A" w:rsidRDefault="0039793A" w:rsidP="0039793A">
      <w:pPr>
        <w:spacing w:before="120" w:after="120"/>
        <w:jc w:val="both"/>
        <w:rPr>
          <w:lang w:eastAsia="fr-FR" w:bidi="fr-FR"/>
        </w:rPr>
      </w:pPr>
    </w:p>
    <w:p w14:paraId="3DEEBCFD" w14:textId="77777777" w:rsidR="0039793A" w:rsidRPr="001C2E2B" w:rsidRDefault="0039793A" w:rsidP="0039793A">
      <w:pPr>
        <w:spacing w:before="120" w:after="120"/>
        <w:jc w:val="both"/>
      </w:pPr>
      <w:r w:rsidRPr="001C2E2B">
        <w:rPr>
          <w:lang w:eastAsia="fr-FR" w:bidi="fr-FR"/>
        </w:rPr>
        <w:t>Le plus ancien des ministères du gouvernement américain détient le vaste mandat de mener la d</w:t>
      </w:r>
      <w:r w:rsidRPr="001C2E2B">
        <w:rPr>
          <w:lang w:eastAsia="fr-FR" w:bidi="fr-FR"/>
        </w:rPr>
        <w:t>i</w:t>
      </w:r>
      <w:r w:rsidRPr="001C2E2B">
        <w:rPr>
          <w:lang w:eastAsia="fr-FR" w:bidi="fr-FR"/>
        </w:rPr>
        <w:t>plomatie des États-Unis. Pour ce faire, il met en œuvre cinq objectifs</w:t>
      </w:r>
      <w:r w:rsidRPr="001C2E2B">
        <w:t> :</w:t>
      </w:r>
    </w:p>
    <w:p w14:paraId="0AD4F8D3" w14:textId="77777777" w:rsidR="0039793A" w:rsidRPr="001C2E2B" w:rsidRDefault="0039793A" w:rsidP="0039793A">
      <w:pPr>
        <w:spacing w:before="120" w:after="120"/>
        <w:ind w:left="720" w:hanging="360"/>
        <w:jc w:val="both"/>
      </w:pPr>
      <w:r>
        <w:rPr>
          <w:lang w:eastAsia="fr-FR" w:bidi="fr-FR"/>
        </w:rPr>
        <w:br w:type="page"/>
        <w:t>-</w:t>
      </w:r>
      <w:r>
        <w:rPr>
          <w:lang w:eastAsia="fr-FR" w:bidi="fr-FR"/>
        </w:rPr>
        <w:tab/>
      </w:r>
      <w:r w:rsidRPr="001C2E2B">
        <w:rPr>
          <w:lang w:eastAsia="fr-FR" w:bidi="fr-FR"/>
        </w:rPr>
        <w:t xml:space="preserve">le premier est d’assurer la représentation des États-Unis à l’étranger, au moyen des </w:t>
      </w:r>
      <w:r w:rsidRPr="002F5371">
        <w:rPr>
          <w:i/>
          <w:iCs/>
        </w:rPr>
        <w:t>Foreign Se</w:t>
      </w:r>
      <w:r w:rsidRPr="002F5371">
        <w:rPr>
          <w:i/>
          <w:iCs/>
        </w:rPr>
        <w:t>r</w:t>
      </w:r>
      <w:r w:rsidRPr="002F5371">
        <w:rPr>
          <w:i/>
          <w:iCs/>
        </w:rPr>
        <w:t>vice Officers</w:t>
      </w:r>
      <w:r w:rsidRPr="001C2E2B">
        <w:rPr>
          <w:lang w:eastAsia="fr-FR" w:bidi="fr-FR"/>
        </w:rPr>
        <w:t xml:space="preserve"> </w:t>
      </w:r>
      <w:r w:rsidRPr="001C2E2B">
        <w:t xml:space="preserve">(FSO), </w:t>
      </w:r>
      <w:r w:rsidRPr="001C2E2B">
        <w:rPr>
          <w:lang w:eastAsia="fr-FR" w:bidi="fr-FR"/>
        </w:rPr>
        <w:t>qui sont des fonctionnaires - notamment des diplomates - du Dépa</w:t>
      </w:r>
      <w:r w:rsidRPr="001C2E2B">
        <w:rPr>
          <w:lang w:eastAsia="fr-FR" w:bidi="fr-FR"/>
        </w:rPr>
        <w:t>r</w:t>
      </w:r>
      <w:r w:rsidRPr="001C2E2B">
        <w:rPr>
          <w:lang w:eastAsia="fr-FR" w:bidi="fr-FR"/>
        </w:rPr>
        <w:t>tement d’État</w:t>
      </w:r>
      <w:r w:rsidRPr="001C2E2B">
        <w:t> ;</w:t>
      </w:r>
    </w:p>
    <w:p w14:paraId="275A71FF"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le deuxième est de recueillir les positions officielles des go</w:t>
      </w:r>
      <w:r w:rsidRPr="001C2E2B">
        <w:rPr>
          <w:lang w:eastAsia="fr-FR" w:bidi="fr-FR"/>
        </w:rPr>
        <w:t>u</w:t>
      </w:r>
      <w:r w:rsidRPr="001C2E2B">
        <w:rPr>
          <w:lang w:eastAsia="fr-FR" w:bidi="fr-FR"/>
        </w:rPr>
        <w:t>vernements étrangers et de les présenter aux décideurs à Wa</w:t>
      </w:r>
      <w:r w:rsidRPr="001C2E2B">
        <w:rPr>
          <w:lang w:eastAsia="fr-FR" w:bidi="fr-FR"/>
        </w:rPr>
        <w:t>s</w:t>
      </w:r>
      <w:r w:rsidRPr="001C2E2B">
        <w:rPr>
          <w:lang w:eastAsia="fr-FR" w:bidi="fr-FR"/>
        </w:rPr>
        <w:t>hington</w:t>
      </w:r>
      <w:r w:rsidRPr="001C2E2B">
        <w:t> ;</w:t>
      </w:r>
    </w:p>
    <w:p w14:paraId="53D41814"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le troisième est de mener ou d’encadrer les n</w:t>
      </w:r>
      <w:r w:rsidRPr="001C2E2B">
        <w:rPr>
          <w:lang w:eastAsia="fr-FR" w:bidi="fr-FR"/>
        </w:rPr>
        <w:t>é</w:t>
      </w:r>
      <w:r w:rsidRPr="001C2E2B">
        <w:rPr>
          <w:lang w:eastAsia="fr-FR" w:bidi="fr-FR"/>
        </w:rPr>
        <w:t>gociations avec les représentants et les délégations des autres pays</w:t>
      </w:r>
      <w:r w:rsidRPr="001C2E2B">
        <w:t> ;</w:t>
      </w:r>
    </w:p>
    <w:p w14:paraId="0AACAC4F"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le quatrième consiste à observer les évolutions politiques et les événements qui peuvent influencer le cours de la politique étrangère américaine et à établir des synthèses au profit des d</w:t>
      </w:r>
      <w:r w:rsidRPr="001C2E2B">
        <w:rPr>
          <w:lang w:eastAsia="fr-FR" w:bidi="fr-FR"/>
        </w:rPr>
        <w:t>é</w:t>
      </w:r>
      <w:r w:rsidRPr="001C2E2B">
        <w:rPr>
          <w:lang w:eastAsia="fr-FR" w:bidi="fr-FR"/>
        </w:rPr>
        <w:t>cideurs</w:t>
      </w:r>
      <w:r w:rsidRPr="001C2E2B">
        <w:t> ;</w:t>
      </w:r>
    </w:p>
    <w:p w14:paraId="1D5AFB8A"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enfin, le Département d’État fournit au prés</w:t>
      </w:r>
      <w:r w:rsidRPr="001C2E2B">
        <w:rPr>
          <w:lang w:eastAsia="fr-FR" w:bidi="fr-FR"/>
        </w:rPr>
        <w:t>i</w:t>
      </w:r>
      <w:r w:rsidRPr="001C2E2B">
        <w:rPr>
          <w:lang w:eastAsia="fr-FR" w:bidi="fr-FR"/>
        </w:rPr>
        <w:t xml:space="preserve">dent et au </w:t>
      </w:r>
      <w:r w:rsidRPr="001C2E2B">
        <w:t xml:space="preserve">NSC </w:t>
      </w:r>
      <w:r w:rsidRPr="001C2E2B">
        <w:rPr>
          <w:lang w:eastAsia="fr-FR" w:bidi="fr-FR"/>
        </w:rPr>
        <w:t>des avis ou des recommandations pour arrêter des choix et des orient</w:t>
      </w:r>
      <w:r w:rsidRPr="001C2E2B">
        <w:rPr>
          <w:lang w:eastAsia="fr-FR" w:bidi="fr-FR"/>
        </w:rPr>
        <w:t>a</w:t>
      </w:r>
      <w:r w:rsidRPr="001C2E2B">
        <w:rPr>
          <w:lang w:eastAsia="fr-FR" w:bidi="fr-FR"/>
        </w:rPr>
        <w:t>tions. Le secrétaire d’État est responsable, avec ses conseillers, de ce</w:t>
      </w:r>
      <w:r w:rsidRPr="001C2E2B">
        <w:rPr>
          <w:lang w:eastAsia="fr-FR" w:bidi="fr-FR"/>
        </w:rPr>
        <w:t>t</w:t>
      </w:r>
      <w:r w:rsidRPr="001C2E2B">
        <w:rPr>
          <w:lang w:eastAsia="fr-FR" w:bidi="fr-FR"/>
        </w:rPr>
        <w:t>te fonction politique de conseil.</w:t>
      </w:r>
    </w:p>
    <w:p w14:paraId="46709062" w14:textId="77777777" w:rsidR="0039793A" w:rsidRDefault="0039793A" w:rsidP="0039793A">
      <w:pPr>
        <w:spacing w:before="120" w:after="120"/>
        <w:jc w:val="both"/>
        <w:rPr>
          <w:lang w:eastAsia="fr-FR" w:bidi="fr-FR"/>
        </w:rPr>
      </w:pPr>
    </w:p>
    <w:p w14:paraId="675FE2BB" w14:textId="77777777" w:rsidR="0039793A" w:rsidRPr="001C2E2B" w:rsidRDefault="0039793A" w:rsidP="0039793A">
      <w:pPr>
        <w:spacing w:before="120" w:after="120"/>
        <w:jc w:val="both"/>
      </w:pPr>
      <w:r w:rsidRPr="001C2E2B">
        <w:rPr>
          <w:lang w:eastAsia="fr-FR" w:bidi="fr-FR"/>
        </w:rPr>
        <w:t>La réalisation de ce mandat requérait, en 1789, six personnes et un budget de 8</w:t>
      </w:r>
      <w:r>
        <w:rPr>
          <w:lang w:eastAsia="fr-FR" w:bidi="fr-FR"/>
        </w:rPr>
        <w:t> </w:t>
      </w:r>
      <w:r w:rsidRPr="001C2E2B">
        <w:rPr>
          <w:lang w:eastAsia="fr-FR" w:bidi="fr-FR"/>
        </w:rPr>
        <w:t>000 dollars. En 2001, le Département d’État emploie plus de 20</w:t>
      </w:r>
      <w:r>
        <w:rPr>
          <w:lang w:eastAsia="fr-FR" w:bidi="fr-FR"/>
        </w:rPr>
        <w:t> </w:t>
      </w:r>
      <w:r w:rsidRPr="001C2E2B">
        <w:rPr>
          <w:lang w:eastAsia="fr-FR" w:bidi="fr-FR"/>
        </w:rPr>
        <w:t>000 employés — environ 10</w:t>
      </w:r>
      <w:r>
        <w:rPr>
          <w:lang w:eastAsia="fr-FR" w:bidi="fr-FR"/>
        </w:rPr>
        <w:t> </w:t>
      </w:r>
      <w:r w:rsidRPr="001C2E2B">
        <w:rPr>
          <w:lang w:eastAsia="fr-FR" w:bidi="fr-FR"/>
        </w:rPr>
        <w:t>000 sont à l’étranger dont 4</w:t>
      </w:r>
      <w:r>
        <w:rPr>
          <w:lang w:eastAsia="fr-FR" w:bidi="fr-FR"/>
        </w:rPr>
        <w:t> </w:t>
      </w:r>
      <w:r w:rsidRPr="001C2E2B">
        <w:rPr>
          <w:lang w:eastAsia="fr-FR" w:bidi="fr-FR"/>
        </w:rPr>
        <w:t xml:space="preserve">000 sont des </w:t>
      </w:r>
      <w:r w:rsidRPr="001C2E2B">
        <w:t xml:space="preserve">FSO </w:t>
      </w:r>
      <w:r w:rsidRPr="001C2E2B">
        <w:rPr>
          <w:lang w:eastAsia="fr-FR" w:bidi="fr-FR"/>
        </w:rPr>
        <w:t>— et dispose d’un budget de 16 milliards de dollars. Alors qu’en valeur a</w:t>
      </w:r>
      <w:r w:rsidRPr="001C2E2B">
        <w:rPr>
          <w:lang w:eastAsia="fr-FR" w:bidi="fr-FR"/>
        </w:rPr>
        <w:t>b</w:t>
      </w:r>
      <w:r w:rsidRPr="001C2E2B">
        <w:rPr>
          <w:lang w:eastAsia="fr-FR" w:bidi="fr-FR"/>
        </w:rPr>
        <w:t>solue, ces ressources consenties à la diplomatie peuvent paraître considérables, en réalité, le bu</w:t>
      </w:r>
      <w:r w:rsidRPr="001C2E2B">
        <w:rPr>
          <w:lang w:eastAsia="fr-FR" w:bidi="fr-FR"/>
        </w:rPr>
        <w:t>d</w:t>
      </w:r>
      <w:r w:rsidRPr="001C2E2B">
        <w:rPr>
          <w:lang w:eastAsia="fr-FR" w:bidi="fr-FR"/>
        </w:rPr>
        <w:t>get du Département d’État ne représ</w:t>
      </w:r>
      <w:r>
        <w:rPr>
          <w:lang w:eastAsia="fr-FR" w:bidi="fr-FR"/>
        </w:rPr>
        <w:t>ente que 1</w:t>
      </w:r>
      <w:r w:rsidRPr="001C2E2B">
        <w:rPr>
          <w:lang w:eastAsia="fr-FR" w:bidi="fr-FR"/>
        </w:rPr>
        <w:t>% environ du budget fédéral quand celui de la Défe</w:t>
      </w:r>
      <w:r w:rsidRPr="001C2E2B">
        <w:rPr>
          <w:lang w:eastAsia="fr-FR" w:bidi="fr-FR"/>
        </w:rPr>
        <w:t>n</w:t>
      </w:r>
      <w:r w:rsidRPr="001C2E2B">
        <w:rPr>
          <w:lang w:eastAsia="fr-FR" w:bidi="fr-FR"/>
        </w:rPr>
        <w:t>se est</w:t>
      </w:r>
      <w:r>
        <w:t xml:space="preserve"> [180] </w:t>
      </w:r>
      <w:r w:rsidRPr="001C2E2B">
        <w:rPr>
          <w:lang w:eastAsia="fr-FR" w:bidi="fr-FR"/>
        </w:rPr>
        <w:t>seize fois plus élevé</w:t>
      </w:r>
      <w:r>
        <w:rPr>
          <w:lang w:eastAsia="fr-FR" w:bidi="fr-FR"/>
        </w:rPr>
        <w:t> </w:t>
      </w:r>
      <w:r>
        <w:rPr>
          <w:rStyle w:val="Appelnotedebasdep"/>
          <w:lang w:eastAsia="fr-FR" w:bidi="fr-FR"/>
        </w:rPr>
        <w:footnoteReference w:id="401"/>
      </w:r>
      <w:r w:rsidRPr="001C2E2B">
        <w:rPr>
          <w:lang w:eastAsia="fr-FR" w:bidi="fr-FR"/>
        </w:rPr>
        <w:t>. Le Département d’État demeure, en fait, l’un des plus petits du gouvern</w:t>
      </w:r>
      <w:r w:rsidRPr="001C2E2B">
        <w:rPr>
          <w:lang w:eastAsia="fr-FR" w:bidi="fr-FR"/>
        </w:rPr>
        <w:t>e</w:t>
      </w:r>
      <w:r w:rsidRPr="001C2E2B">
        <w:rPr>
          <w:lang w:eastAsia="fr-FR" w:bidi="fr-FR"/>
        </w:rPr>
        <w:t>ment fédéral.</w:t>
      </w:r>
    </w:p>
    <w:p w14:paraId="648A05AF" w14:textId="77777777" w:rsidR="0039793A" w:rsidRDefault="0039793A" w:rsidP="0039793A">
      <w:pPr>
        <w:spacing w:before="120" w:after="120"/>
        <w:jc w:val="both"/>
        <w:rPr>
          <w:lang w:eastAsia="fr-FR" w:bidi="fr-FR"/>
        </w:rPr>
      </w:pPr>
      <w:r>
        <w:rPr>
          <w:lang w:eastAsia="fr-FR" w:bidi="fr-FR"/>
        </w:rPr>
        <w:br w:type="page"/>
      </w:r>
    </w:p>
    <w:p w14:paraId="1E08FE0B" w14:textId="77777777" w:rsidR="0039793A" w:rsidRPr="002F5371" w:rsidRDefault="0039793A" w:rsidP="0039793A">
      <w:pPr>
        <w:pStyle w:val="b"/>
      </w:pPr>
      <w:r w:rsidRPr="002F5371">
        <w:rPr>
          <w:lang w:eastAsia="fr-FR" w:bidi="fr-FR"/>
        </w:rPr>
        <w:t>La structure du Département d’État</w:t>
      </w:r>
    </w:p>
    <w:p w14:paraId="5A069BF3" w14:textId="77777777" w:rsidR="0039793A" w:rsidRDefault="0039793A" w:rsidP="0039793A">
      <w:pPr>
        <w:spacing w:before="120" w:after="120"/>
        <w:jc w:val="both"/>
        <w:rPr>
          <w:lang w:eastAsia="fr-FR" w:bidi="fr-FR"/>
        </w:rPr>
      </w:pPr>
    </w:p>
    <w:p w14:paraId="4A999CB5" w14:textId="77777777" w:rsidR="0039793A" w:rsidRPr="001C2E2B" w:rsidRDefault="0039793A" w:rsidP="0039793A">
      <w:pPr>
        <w:spacing w:before="120" w:after="120"/>
        <w:jc w:val="both"/>
      </w:pPr>
      <w:r w:rsidRPr="001C2E2B">
        <w:rPr>
          <w:lang w:eastAsia="fr-FR" w:bidi="fr-FR"/>
        </w:rPr>
        <w:t>La structure du Département d’État s’articule sur cinq niveaux, comprenant le secrétaire d’État, son adjoint, les sous- secrétaires, les assistants-secrétaires et les ambassadeurs, dont les nomin</w:t>
      </w:r>
      <w:r w:rsidRPr="001C2E2B">
        <w:rPr>
          <w:lang w:eastAsia="fr-FR" w:bidi="fr-FR"/>
        </w:rPr>
        <w:t>a</w:t>
      </w:r>
      <w:r w:rsidRPr="001C2E2B">
        <w:rPr>
          <w:lang w:eastAsia="fr-FR" w:bidi="fr-FR"/>
        </w:rPr>
        <w:t>tions sont subordonnées à l’approbation du Sénat</w:t>
      </w:r>
      <w:r>
        <w:rPr>
          <w:lang w:eastAsia="fr-FR" w:bidi="fr-FR"/>
        </w:rPr>
        <w:t> </w:t>
      </w:r>
      <w:r>
        <w:rPr>
          <w:rStyle w:val="Appelnotedebasdep"/>
          <w:lang w:eastAsia="fr-FR" w:bidi="fr-FR"/>
        </w:rPr>
        <w:footnoteReference w:id="402"/>
      </w:r>
      <w:r w:rsidRPr="001C2E2B">
        <w:rPr>
          <w:lang w:eastAsia="fr-FR" w:bidi="fr-FR"/>
        </w:rPr>
        <w:t>, auxquels il faut ajouter des directions et des agences</w:t>
      </w:r>
      <w:r w:rsidRPr="001C2E2B">
        <w:t> :</w:t>
      </w:r>
    </w:p>
    <w:p w14:paraId="021DA705" w14:textId="77777777" w:rsidR="0039793A" w:rsidRDefault="0039793A" w:rsidP="0039793A">
      <w:pPr>
        <w:numPr>
          <w:ilvl w:val="0"/>
          <w:numId w:val="1"/>
        </w:numPr>
        <w:spacing w:before="120" w:after="120"/>
        <w:jc w:val="both"/>
        <w:rPr>
          <w:lang w:eastAsia="fr-FR" w:bidi="fr-FR"/>
        </w:rPr>
      </w:pPr>
      <w:r w:rsidRPr="001C2E2B">
        <w:rPr>
          <w:lang w:eastAsia="fr-FR" w:bidi="fr-FR"/>
        </w:rPr>
        <w:t>Le secrétaire d’État, responsable de la conduite de la diplom</w:t>
      </w:r>
      <w:r w:rsidRPr="001C2E2B">
        <w:rPr>
          <w:lang w:eastAsia="fr-FR" w:bidi="fr-FR"/>
        </w:rPr>
        <w:t>a</w:t>
      </w:r>
      <w:r w:rsidRPr="001C2E2B">
        <w:rPr>
          <w:lang w:eastAsia="fr-FR" w:bidi="fr-FR"/>
        </w:rPr>
        <w:t>tie, est le conseiller principal du président dans la formul</w:t>
      </w:r>
      <w:r w:rsidRPr="001C2E2B">
        <w:rPr>
          <w:lang w:eastAsia="fr-FR" w:bidi="fr-FR"/>
        </w:rPr>
        <w:t>a</w:t>
      </w:r>
      <w:r w:rsidRPr="001C2E2B">
        <w:rPr>
          <w:lang w:eastAsia="fr-FR" w:bidi="fr-FR"/>
        </w:rPr>
        <w:t>tion de la politique étrangère. À ce titre, il est membre stat</w:t>
      </w:r>
      <w:r w:rsidRPr="001C2E2B">
        <w:rPr>
          <w:lang w:eastAsia="fr-FR" w:bidi="fr-FR"/>
        </w:rPr>
        <w:t>u</w:t>
      </w:r>
      <w:r w:rsidRPr="001C2E2B">
        <w:rPr>
          <w:lang w:eastAsia="fr-FR" w:bidi="fr-FR"/>
        </w:rPr>
        <w:t xml:space="preserve">taire du </w:t>
      </w:r>
      <w:r w:rsidRPr="001C2E2B">
        <w:t xml:space="preserve">NSC. </w:t>
      </w:r>
      <w:r w:rsidRPr="001C2E2B">
        <w:rPr>
          <w:lang w:eastAsia="fr-FR" w:bidi="fr-FR"/>
        </w:rPr>
        <w:t>Le secrétaire d’État joue en principe un rôle déterminant dans l’affirmation de son département au sein du processus décisionnel</w:t>
      </w:r>
      <w:r>
        <w:rPr>
          <w:lang w:eastAsia="fr-FR" w:bidi="fr-FR"/>
        </w:rPr>
        <w:t> </w:t>
      </w:r>
      <w:r>
        <w:rPr>
          <w:rStyle w:val="Appelnotedebasdep"/>
          <w:lang w:eastAsia="fr-FR" w:bidi="fr-FR"/>
        </w:rPr>
        <w:footnoteReference w:id="403"/>
      </w:r>
      <w:r w:rsidRPr="001C2E2B">
        <w:rPr>
          <w:lang w:eastAsia="fr-FR" w:bidi="fr-FR"/>
        </w:rPr>
        <w:t>. Pourtant, il faut avouer que certains secrétaires ont brillé par leur a</w:t>
      </w:r>
      <w:r w:rsidRPr="001C2E2B">
        <w:rPr>
          <w:lang w:eastAsia="fr-FR" w:bidi="fr-FR"/>
        </w:rPr>
        <w:t>b</w:t>
      </w:r>
      <w:r w:rsidRPr="001C2E2B">
        <w:rPr>
          <w:lang w:eastAsia="fr-FR" w:bidi="fr-FR"/>
        </w:rPr>
        <w:t>sence ou par leur faiblesse. À ce titre, le cas le plus probant est celui de Wi</w:t>
      </w:r>
      <w:r w:rsidRPr="001C2E2B">
        <w:rPr>
          <w:lang w:eastAsia="fr-FR" w:bidi="fr-FR"/>
        </w:rPr>
        <w:t>l</w:t>
      </w:r>
      <w:r w:rsidRPr="001C2E2B">
        <w:rPr>
          <w:lang w:eastAsia="fr-FR" w:bidi="fr-FR"/>
        </w:rPr>
        <w:t>liam Rogers, sous Nixon</w:t>
      </w:r>
      <w:r w:rsidRPr="001C2E2B">
        <w:t> :</w:t>
      </w:r>
      <w:r w:rsidRPr="001C2E2B">
        <w:rPr>
          <w:lang w:eastAsia="fr-FR" w:bidi="fr-FR"/>
        </w:rPr>
        <w:t xml:space="preserve"> dans la mesure où Rogers ne connaissait rien, ou si peu, à la politique étrangère, la Ma</w:t>
      </w:r>
      <w:r w:rsidRPr="001C2E2B">
        <w:rPr>
          <w:lang w:eastAsia="fr-FR" w:bidi="fr-FR"/>
        </w:rPr>
        <w:t>i</w:t>
      </w:r>
      <w:r w:rsidRPr="001C2E2B">
        <w:rPr>
          <w:lang w:eastAsia="fr-FR" w:bidi="fr-FR"/>
        </w:rPr>
        <w:t>son-Blanche avait les coudées franches, ce dont le président Nixon se félicitait pa</w:t>
      </w:r>
      <w:r w:rsidRPr="001C2E2B">
        <w:rPr>
          <w:lang w:eastAsia="fr-FR" w:bidi="fr-FR"/>
        </w:rPr>
        <w:t>r</w:t>
      </w:r>
      <w:r w:rsidRPr="001C2E2B">
        <w:rPr>
          <w:lang w:eastAsia="fr-FR" w:bidi="fr-FR"/>
        </w:rPr>
        <w:t>ticulièrement. En règle générale deux types de secrétaires ont marqué l’Histoire</w:t>
      </w:r>
      <w:r w:rsidRPr="001C2E2B">
        <w:t> :</w:t>
      </w:r>
      <w:r w:rsidRPr="001C2E2B">
        <w:rPr>
          <w:lang w:eastAsia="fr-FR" w:bidi="fr-FR"/>
        </w:rPr>
        <w:t xml:space="preserve"> d’une part ceux qui ont représenté et promu le rôle du D</w:t>
      </w:r>
      <w:r w:rsidRPr="001C2E2B">
        <w:rPr>
          <w:lang w:eastAsia="fr-FR" w:bidi="fr-FR"/>
        </w:rPr>
        <w:t>é</w:t>
      </w:r>
      <w:r w:rsidRPr="001C2E2B">
        <w:rPr>
          <w:lang w:eastAsia="fr-FR" w:bidi="fr-FR"/>
        </w:rPr>
        <w:t>partement d’État (tels Rusk sous Kennedy, Vance sous Carter, Haig sous Re</w:t>
      </w:r>
      <w:r w:rsidRPr="001C2E2B">
        <w:rPr>
          <w:lang w:eastAsia="fr-FR" w:bidi="fr-FR"/>
        </w:rPr>
        <w:t>a</w:t>
      </w:r>
      <w:r w:rsidRPr="001C2E2B">
        <w:rPr>
          <w:lang w:eastAsia="fr-FR" w:bidi="fr-FR"/>
        </w:rPr>
        <w:t>gan, Christopher et Albright sous Clinton, Powell sous G.W. Bush), et d’autre part ceux qui ont permis au prés</w:t>
      </w:r>
      <w:r w:rsidRPr="001C2E2B">
        <w:rPr>
          <w:lang w:eastAsia="fr-FR" w:bidi="fr-FR"/>
        </w:rPr>
        <w:t>i</w:t>
      </w:r>
      <w:r w:rsidRPr="001C2E2B">
        <w:rPr>
          <w:lang w:eastAsia="fr-FR" w:bidi="fr-FR"/>
        </w:rPr>
        <w:t>dent, par leur intermédiaire, de dominer les rouages adm</w:t>
      </w:r>
      <w:r w:rsidRPr="001C2E2B">
        <w:rPr>
          <w:lang w:eastAsia="fr-FR" w:bidi="fr-FR"/>
        </w:rPr>
        <w:t>i</w:t>
      </w:r>
      <w:r w:rsidRPr="001C2E2B">
        <w:rPr>
          <w:lang w:eastAsia="fr-FR" w:bidi="fr-FR"/>
        </w:rPr>
        <w:t>nistratifs (Dulles sous Eise</w:t>
      </w:r>
      <w:r w:rsidRPr="001C2E2B">
        <w:rPr>
          <w:lang w:eastAsia="fr-FR" w:bidi="fr-FR"/>
        </w:rPr>
        <w:t>n</w:t>
      </w:r>
      <w:r w:rsidRPr="001C2E2B">
        <w:rPr>
          <w:lang w:eastAsia="fr-FR" w:bidi="fr-FR"/>
        </w:rPr>
        <w:t>hower Kissinger sous Nixon et Ford, Baker sous G.H. Bush). La prépondérance du secréta</w:t>
      </w:r>
      <w:r w:rsidRPr="001C2E2B">
        <w:rPr>
          <w:lang w:eastAsia="fr-FR" w:bidi="fr-FR"/>
        </w:rPr>
        <w:t>i</w:t>
      </w:r>
      <w:r w:rsidRPr="001C2E2B">
        <w:rPr>
          <w:lang w:eastAsia="fr-FR" w:bidi="fr-FR"/>
        </w:rPr>
        <w:t>re d’État au sein du gouvernement ne signifie pas pour a</w:t>
      </w:r>
      <w:r w:rsidRPr="001C2E2B">
        <w:rPr>
          <w:lang w:eastAsia="fr-FR" w:bidi="fr-FR"/>
        </w:rPr>
        <w:t>u</w:t>
      </w:r>
      <w:r w:rsidRPr="001C2E2B">
        <w:rPr>
          <w:lang w:eastAsia="fr-FR" w:bidi="fr-FR"/>
        </w:rPr>
        <w:t>tant que son administration et ses fonctionnaires pèseront sur les décisions. Au contraire, lorsque le secrétaire d’Éta</w:t>
      </w:r>
      <w:r>
        <w:rPr>
          <w:lang w:eastAsia="fr-FR" w:bidi="fr-FR"/>
        </w:rPr>
        <w:t>t décide de se rallier au prési</w:t>
      </w:r>
      <w:r w:rsidRPr="001C2E2B">
        <w:rPr>
          <w:lang w:eastAsia="fr-FR" w:bidi="fr-FR"/>
        </w:rPr>
        <w:t>dent</w:t>
      </w:r>
      <w:r>
        <w:t xml:space="preserve"> [181]</w:t>
      </w:r>
      <w:r w:rsidRPr="001C2E2B">
        <w:rPr>
          <w:lang w:eastAsia="fr-FR" w:bidi="fr-FR"/>
        </w:rPr>
        <w:t xml:space="preserve"> et d’ignorer les points de vue exprimés par sa propre admini</w:t>
      </w:r>
      <w:r w:rsidRPr="001C2E2B">
        <w:rPr>
          <w:lang w:eastAsia="fr-FR" w:bidi="fr-FR"/>
        </w:rPr>
        <w:t>s</w:t>
      </w:r>
      <w:r w:rsidRPr="001C2E2B">
        <w:rPr>
          <w:lang w:eastAsia="fr-FR" w:bidi="fr-FR"/>
        </w:rPr>
        <w:t>tration, l’institution perd une grande part de son influence.</w:t>
      </w:r>
    </w:p>
    <w:p w14:paraId="469D276F" w14:textId="77777777" w:rsidR="0039793A" w:rsidRPr="001C2E2B" w:rsidRDefault="0039793A" w:rsidP="0039793A">
      <w:pPr>
        <w:numPr>
          <w:ilvl w:val="0"/>
          <w:numId w:val="1"/>
        </w:numPr>
        <w:spacing w:before="120" w:after="120"/>
        <w:jc w:val="both"/>
      </w:pPr>
    </w:p>
    <w:p w14:paraId="15FEA525" w14:textId="77777777" w:rsidR="0039793A" w:rsidRPr="001C2E2B" w:rsidRDefault="0039793A" w:rsidP="0039793A">
      <w:pPr>
        <w:spacing w:before="120" w:after="120"/>
        <w:jc w:val="both"/>
      </w:pPr>
      <w:r w:rsidRPr="001C2E2B">
        <w:rPr>
          <w:lang w:eastAsia="fr-FR" w:bidi="fr-FR"/>
        </w:rPr>
        <w:t>— Il est secondé par le secrétaire d’</w:t>
      </w:r>
      <w:r>
        <w:rPr>
          <w:lang w:eastAsia="fr-FR" w:bidi="fr-FR"/>
        </w:rPr>
        <w:t>État</w:t>
      </w:r>
      <w:r w:rsidRPr="001C2E2B">
        <w:rPr>
          <w:lang w:eastAsia="fr-FR" w:bidi="fr-FR"/>
        </w:rPr>
        <w:t xml:space="preserve"> adjoint, qui s’assure de la gestion et des affaires admini</w:t>
      </w:r>
      <w:r w:rsidRPr="001C2E2B">
        <w:rPr>
          <w:lang w:eastAsia="fr-FR" w:bidi="fr-FR"/>
        </w:rPr>
        <w:t>s</w:t>
      </w:r>
      <w:r w:rsidRPr="001C2E2B">
        <w:rPr>
          <w:lang w:eastAsia="fr-FR" w:bidi="fr-FR"/>
        </w:rPr>
        <w:t xml:space="preserve">tratives du département et s’appuie sur un bureau de conseillers </w:t>
      </w:r>
      <w:r>
        <w:t>(</w:t>
      </w:r>
      <w:r w:rsidRPr="0017662D">
        <w:rPr>
          <w:i/>
          <w:iCs/>
        </w:rPr>
        <w:t>Office of the Secretary of State</w:t>
      </w:r>
      <w:r w:rsidRPr="001C2E2B">
        <w:t xml:space="preserve">) </w:t>
      </w:r>
      <w:r w:rsidRPr="001C2E2B">
        <w:rPr>
          <w:lang w:eastAsia="fr-FR" w:bidi="fr-FR"/>
        </w:rPr>
        <w:t>qui co</w:t>
      </w:r>
      <w:r w:rsidRPr="001C2E2B">
        <w:rPr>
          <w:lang w:eastAsia="fr-FR" w:bidi="fr-FR"/>
        </w:rPr>
        <w:t>m</w:t>
      </w:r>
      <w:r w:rsidRPr="001C2E2B">
        <w:rPr>
          <w:lang w:eastAsia="fr-FR" w:bidi="fr-FR"/>
        </w:rPr>
        <w:t>prend environ 300 fonctionnaires.</w:t>
      </w:r>
    </w:p>
    <w:p w14:paraId="6512426C" w14:textId="77777777" w:rsidR="0039793A" w:rsidRPr="001C2E2B" w:rsidRDefault="0039793A" w:rsidP="0039793A">
      <w:pPr>
        <w:spacing w:before="120" w:after="120"/>
        <w:jc w:val="both"/>
      </w:pPr>
      <w:r w:rsidRPr="001C2E2B">
        <w:rPr>
          <w:lang w:eastAsia="fr-FR" w:bidi="fr-FR"/>
        </w:rPr>
        <w:t>— On retrouve ensuite six sous-secrétaires d’</w:t>
      </w:r>
      <w:r>
        <w:rPr>
          <w:lang w:eastAsia="fr-FR" w:bidi="fr-FR"/>
        </w:rPr>
        <w:t>État</w:t>
      </w:r>
      <w:r w:rsidRPr="001C2E2B">
        <w:rPr>
          <w:lang w:eastAsia="fr-FR" w:bidi="fr-FR"/>
        </w:rPr>
        <w:t xml:space="preserve"> </w:t>
      </w:r>
      <w:r>
        <w:t>(</w:t>
      </w:r>
      <w:r w:rsidRPr="0017662D">
        <w:rPr>
          <w:i/>
          <w:iCs/>
        </w:rPr>
        <w:t>Under Secret</w:t>
      </w:r>
      <w:r w:rsidRPr="0017662D">
        <w:rPr>
          <w:i/>
          <w:iCs/>
        </w:rPr>
        <w:t>a</w:t>
      </w:r>
      <w:r w:rsidRPr="0017662D">
        <w:rPr>
          <w:i/>
          <w:iCs/>
        </w:rPr>
        <w:t>ry of State</w:t>
      </w:r>
      <w:r w:rsidRPr="001C2E2B">
        <w:t>)</w:t>
      </w:r>
      <w:r w:rsidRPr="001C2E2B">
        <w:rPr>
          <w:lang w:eastAsia="fr-FR" w:bidi="fr-FR"/>
        </w:rPr>
        <w:t xml:space="preserve"> responsables de se</w:t>
      </w:r>
      <w:r w:rsidRPr="001C2E2B">
        <w:rPr>
          <w:lang w:eastAsia="fr-FR" w:bidi="fr-FR"/>
        </w:rPr>
        <w:t>c</w:t>
      </w:r>
      <w:r w:rsidRPr="001C2E2B">
        <w:rPr>
          <w:lang w:eastAsia="fr-FR" w:bidi="fr-FR"/>
        </w:rPr>
        <w:t>teurs fonctionnels</w:t>
      </w:r>
      <w:r w:rsidRPr="001C2E2B">
        <w:t> :</w:t>
      </w:r>
      <w:r w:rsidRPr="001C2E2B">
        <w:rPr>
          <w:lang w:eastAsia="fr-FR" w:bidi="fr-FR"/>
        </w:rPr>
        <w:t xml:space="preserve"> l’administration et la gestion, les affaires économiques et agricoles, les affaires globales (démocratie, droits humains, environnement, aide humanitaire, pe</w:t>
      </w:r>
      <w:r w:rsidRPr="001C2E2B">
        <w:rPr>
          <w:lang w:eastAsia="fr-FR" w:bidi="fr-FR"/>
        </w:rPr>
        <w:t>r</w:t>
      </w:r>
      <w:r w:rsidRPr="001C2E2B">
        <w:rPr>
          <w:lang w:eastAsia="fr-FR" w:bidi="fr-FR"/>
        </w:rPr>
        <w:t>sonnes réfugiées, trafic de stupéfiants), le contrôle des armements et la sécurité internationale (non-prolifération, traités et vérification de l’application des accords), la diplomatie et les affaires publiques (pr</w:t>
      </w:r>
      <w:r w:rsidRPr="001C2E2B">
        <w:rPr>
          <w:lang w:eastAsia="fr-FR" w:bidi="fr-FR"/>
        </w:rPr>
        <w:t>o</w:t>
      </w:r>
      <w:r w:rsidRPr="001C2E2B">
        <w:rPr>
          <w:lang w:eastAsia="fr-FR" w:bidi="fr-FR"/>
        </w:rPr>
        <w:t>grammes culturels et éducatifs, communication externe), et le plus important, les affaires politiques.</w:t>
      </w:r>
    </w:p>
    <w:p w14:paraId="088B1C1A" w14:textId="77777777" w:rsidR="0039793A" w:rsidRPr="001C2E2B" w:rsidRDefault="0039793A" w:rsidP="0039793A">
      <w:pPr>
        <w:spacing w:before="120" w:after="120"/>
        <w:jc w:val="both"/>
      </w:pPr>
      <w:r w:rsidRPr="001C2E2B">
        <w:rPr>
          <w:lang w:eastAsia="fr-FR" w:bidi="fr-FR"/>
        </w:rPr>
        <w:t>— Chaque secteur recouvre un ensemble de b</w:t>
      </w:r>
      <w:r w:rsidRPr="001C2E2B">
        <w:rPr>
          <w:lang w:eastAsia="fr-FR" w:bidi="fr-FR"/>
        </w:rPr>
        <w:t>u</w:t>
      </w:r>
      <w:r w:rsidRPr="001C2E2B">
        <w:rPr>
          <w:lang w:eastAsia="fr-FR" w:bidi="fr-FR"/>
        </w:rPr>
        <w:t>reaux spécialisés. C’est en effet dans le secteur des affaires politiques que se retrouvent les sept b</w:t>
      </w:r>
      <w:r w:rsidRPr="001C2E2B">
        <w:rPr>
          <w:lang w:eastAsia="fr-FR" w:bidi="fr-FR"/>
        </w:rPr>
        <w:t>u</w:t>
      </w:r>
      <w:r w:rsidRPr="001C2E2B">
        <w:rPr>
          <w:lang w:eastAsia="fr-FR" w:bidi="fr-FR"/>
        </w:rPr>
        <w:t>reaux régionaux</w:t>
      </w:r>
      <w:r w:rsidRPr="001C2E2B">
        <w:t> :</w:t>
      </w:r>
      <w:r w:rsidRPr="001C2E2B">
        <w:rPr>
          <w:lang w:eastAsia="fr-FR" w:bidi="fr-FR"/>
        </w:rPr>
        <w:t xml:space="preserve"> l’Afrique, l’Europe, le Moyen-Orient, les Amériques, l’Asie du Sud, l’Asie de l’Est et le Pacifique, et les org</w:t>
      </w:r>
      <w:r w:rsidRPr="001C2E2B">
        <w:rPr>
          <w:lang w:eastAsia="fr-FR" w:bidi="fr-FR"/>
        </w:rPr>
        <w:t>a</w:t>
      </w:r>
      <w:r w:rsidRPr="001C2E2B">
        <w:rPr>
          <w:lang w:eastAsia="fr-FR" w:bidi="fr-FR"/>
        </w:rPr>
        <w:t>nisations internationales. Chacun de ces bureaux est dirigé par un a</w:t>
      </w:r>
      <w:r w:rsidRPr="001C2E2B">
        <w:rPr>
          <w:lang w:eastAsia="fr-FR" w:bidi="fr-FR"/>
        </w:rPr>
        <w:t>s</w:t>
      </w:r>
      <w:r w:rsidRPr="001C2E2B">
        <w:rPr>
          <w:lang w:eastAsia="fr-FR" w:bidi="fr-FR"/>
        </w:rPr>
        <w:t>sistant-secrétaire d’</w:t>
      </w:r>
      <w:r>
        <w:rPr>
          <w:lang w:eastAsia="fr-FR" w:bidi="fr-FR"/>
        </w:rPr>
        <w:t>État</w:t>
      </w:r>
      <w:r w:rsidRPr="001C2E2B">
        <w:rPr>
          <w:lang w:eastAsia="fr-FR" w:bidi="fr-FR"/>
        </w:rPr>
        <w:t xml:space="preserve"> </w:t>
      </w:r>
      <w:r>
        <w:t>(</w:t>
      </w:r>
      <w:r w:rsidRPr="0017662D">
        <w:rPr>
          <w:i/>
          <w:iCs/>
        </w:rPr>
        <w:t>Assistant Secretary of State</w:t>
      </w:r>
      <w:r w:rsidRPr="001C2E2B">
        <w:t>).</w:t>
      </w:r>
      <w:r w:rsidRPr="001C2E2B">
        <w:rPr>
          <w:lang w:eastAsia="fr-FR" w:bidi="fr-FR"/>
        </w:rPr>
        <w:t xml:space="preserve"> On trouve ég</w:t>
      </w:r>
      <w:r w:rsidRPr="001C2E2B">
        <w:rPr>
          <w:lang w:eastAsia="fr-FR" w:bidi="fr-FR"/>
        </w:rPr>
        <w:t>a</w:t>
      </w:r>
      <w:r w:rsidRPr="001C2E2B">
        <w:rPr>
          <w:lang w:eastAsia="fr-FR" w:bidi="fr-FR"/>
        </w:rPr>
        <w:t>lement d’autres bureaux fonctionnels dont le rôle peut être particuli</w:t>
      </w:r>
      <w:r w:rsidRPr="001C2E2B">
        <w:rPr>
          <w:lang w:eastAsia="fr-FR" w:bidi="fr-FR"/>
        </w:rPr>
        <w:t>è</w:t>
      </w:r>
      <w:r w:rsidRPr="001C2E2B">
        <w:rPr>
          <w:lang w:eastAsia="fr-FR" w:bidi="fr-FR"/>
        </w:rPr>
        <w:t>rement déterminant. Ainsi le bureau de Planification, dont la contrib</w:t>
      </w:r>
      <w:r w:rsidRPr="001C2E2B">
        <w:rPr>
          <w:lang w:eastAsia="fr-FR" w:bidi="fr-FR"/>
        </w:rPr>
        <w:t>u</w:t>
      </w:r>
      <w:r w:rsidRPr="001C2E2B">
        <w:rPr>
          <w:lang w:eastAsia="fr-FR" w:bidi="fr-FR"/>
        </w:rPr>
        <w:t>tion historique aura été la conceptualis</w:t>
      </w:r>
      <w:r w:rsidRPr="001C2E2B">
        <w:rPr>
          <w:lang w:eastAsia="fr-FR" w:bidi="fr-FR"/>
        </w:rPr>
        <w:t>a</w:t>
      </w:r>
      <w:r w:rsidRPr="001C2E2B">
        <w:rPr>
          <w:lang w:eastAsia="fr-FR" w:bidi="fr-FR"/>
        </w:rPr>
        <w:t>tion de la stratégie d’endiguement sous Truman</w:t>
      </w:r>
      <w:r w:rsidRPr="001C2E2B">
        <w:t> ;</w:t>
      </w:r>
      <w:r w:rsidRPr="001C2E2B">
        <w:rPr>
          <w:lang w:eastAsia="fr-FR" w:bidi="fr-FR"/>
        </w:rPr>
        <w:t xml:space="preserve"> le bureau de Coordination des relations avec le Congrès</w:t>
      </w:r>
      <w:r w:rsidRPr="001C2E2B">
        <w:t> ;</w:t>
      </w:r>
      <w:r w:rsidRPr="001C2E2B">
        <w:rPr>
          <w:lang w:eastAsia="fr-FR" w:bidi="fr-FR"/>
        </w:rPr>
        <w:t xml:space="preserve"> le bureau des Affaires légales, le bureau du Contre- terrorisme</w:t>
      </w:r>
      <w:r w:rsidRPr="001C2E2B">
        <w:t> ;</w:t>
      </w:r>
      <w:r w:rsidRPr="001C2E2B">
        <w:rPr>
          <w:lang w:eastAsia="fr-FR" w:bidi="fr-FR"/>
        </w:rPr>
        <w:t xml:space="preserve"> ou encore le bureau du re</w:t>
      </w:r>
      <w:r w:rsidRPr="001C2E2B">
        <w:rPr>
          <w:lang w:eastAsia="fr-FR" w:bidi="fr-FR"/>
        </w:rPr>
        <w:t>n</w:t>
      </w:r>
      <w:r w:rsidRPr="001C2E2B">
        <w:rPr>
          <w:lang w:eastAsia="fr-FR" w:bidi="fr-FR"/>
        </w:rPr>
        <w:t xml:space="preserve">seignement et de la Recherche </w:t>
      </w:r>
      <w:r>
        <w:t>(</w:t>
      </w:r>
      <w:r w:rsidRPr="0017662D">
        <w:rPr>
          <w:i/>
          <w:iCs/>
        </w:rPr>
        <w:t>Intelligence and Research</w:t>
      </w:r>
      <w:r w:rsidRPr="001C2E2B">
        <w:t>)</w:t>
      </w:r>
      <w:r w:rsidRPr="001C2E2B">
        <w:rPr>
          <w:lang w:eastAsia="fr-FR" w:bidi="fr-FR"/>
        </w:rPr>
        <w:t xml:space="preserve"> qui constitue l’une des composantes du système de collecte et d’analyse de la communauté du renseignement.</w:t>
      </w:r>
    </w:p>
    <w:p w14:paraId="5BC1D661" w14:textId="77777777" w:rsidR="0039793A" w:rsidRPr="001C2E2B" w:rsidRDefault="0039793A" w:rsidP="0039793A">
      <w:pPr>
        <w:spacing w:before="120" w:after="120"/>
        <w:jc w:val="both"/>
      </w:pPr>
      <w:r w:rsidRPr="001C2E2B">
        <w:rPr>
          <w:lang w:eastAsia="fr-FR" w:bidi="fr-FR"/>
        </w:rPr>
        <w:t xml:space="preserve">— Les ambassadeurs et consuls sont responsables des quelque 250 missions des </w:t>
      </w:r>
      <w:r>
        <w:rPr>
          <w:lang w:eastAsia="fr-FR" w:bidi="fr-FR"/>
        </w:rPr>
        <w:t>État</w:t>
      </w:r>
      <w:r w:rsidRPr="001C2E2B">
        <w:rPr>
          <w:lang w:eastAsia="fr-FR" w:bidi="fr-FR"/>
        </w:rPr>
        <w:t>s-Unis à l’étranger, et coordonnent les relations d</w:t>
      </w:r>
      <w:r w:rsidRPr="001C2E2B">
        <w:rPr>
          <w:lang w:eastAsia="fr-FR" w:bidi="fr-FR"/>
        </w:rPr>
        <w:t>i</w:t>
      </w:r>
      <w:r w:rsidRPr="001C2E2B">
        <w:rPr>
          <w:lang w:eastAsia="fr-FR" w:bidi="fr-FR"/>
        </w:rPr>
        <w:t>plomatiques avec les gouvernements et les organisations internation</w:t>
      </w:r>
      <w:r w:rsidRPr="001C2E2B">
        <w:rPr>
          <w:lang w:eastAsia="fr-FR" w:bidi="fr-FR"/>
        </w:rPr>
        <w:t>a</w:t>
      </w:r>
      <w:r w:rsidRPr="001C2E2B">
        <w:rPr>
          <w:lang w:eastAsia="fr-FR" w:bidi="fr-FR"/>
        </w:rPr>
        <w:t xml:space="preserve">les. </w:t>
      </w:r>
      <w:r>
        <w:rPr>
          <w:lang w:eastAsia="fr-FR" w:bidi="fr-FR"/>
        </w:rPr>
        <w:t>À</w:t>
      </w:r>
      <w:r w:rsidRPr="001C2E2B">
        <w:rPr>
          <w:lang w:eastAsia="fr-FR" w:bidi="fr-FR"/>
        </w:rPr>
        <w:t xml:space="preserve"> titre de chef de mission, les ambassadeurs et consuls sont am</w:t>
      </w:r>
      <w:r w:rsidRPr="001C2E2B">
        <w:rPr>
          <w:lang w:eastAsia="fr-FR" w:bidi="fr-FR"/>
        </w:rPr>
        <w:t>e</w:t>
      </w:r>
      <w:r w:rsidRPr="001C2E2B">
        <w:rPr>
          <w:lang w:eastAsia="fr-FR" w:bidi="fr-FR"/>
        </w:rPr>
        <w:t>nés à diriger des fonctionnaires autres que ceux du Département d’</w:t>
      </w:r>
      <w:r>
        <w:rPr>
          <w:lang w:eastAsia="fr-FR" w:bidi="fr-FR"/>
        </w:rPr>
        <w:t>État</w:t>
      </w:r>
      <w:r w:rsidRPr="001C2E2B">
        <w:rPr>
          <w:lang w:eastAsia="fr-FR" w:bidi="fr-FR"/>
        </w:rPr>
        <w:t>. La répartition des nominations d’ambassadeurs est un sujet de litige constant entre les conseillers du président et le Département d’</w:t>
      </w:r>
      <w:r>
        <w:rPr>
          <w:lang w:eastAsia="fr-FR" w:bidi="fr-FR"/>
        </w:rPr>
        <w:t>État. En général, 70</w:t>
      </w:r>
      <w:r w:rsidRPr="001C2E2B">
        <w:rPr>
          <w:lang w:eastAsia="fr-FR" w:bidi="fr-FR"/>
        </w:rPr>
        <w:t>% des ambassadeurs sont d</w:t>
      </w:r>
      <w:r>
        <w:rPr>
          <w:lang w:eastAsia="fr-FR" w:bidi="fr-FR"/>
        </w:rPr>
        <w:t>es diplomates de ca</w:t>
      </w:r>
      <w:r>
        <w:rPr>
          <w:lang w:eastAsia="fr-FR" w:bidi="fr-FR"/>
        </w:rPr>
        <w:t>r</w:t>
      </w:r>
      <w:r>
        <w:rPr>
          <w:lang w:eastAsia="fr-FR" w:bidi="fr-FR"/>
        </w:rPr>
        <w:t>rière et 30</w:t>
      </w:r>
      <w:r w:rsidRPr="001C2E2B">
        <w:rPr>
          <w:lang w:eastAsia="fr-FR" w:bidi="fr-FR"/>
        </w:rPr>
        <w:t>% sont</w:t>
      </w:r>
      <w:r>
        <w:t xml:space="preserve"> [182] </w:t>
      </w:r>
      <w:r w:rsidRPr="001C2E2B">
        <w:rPr>
          <w:lang w:eastAsia="fr-FR" w:bidi="fr-FR"/>
        </w:rPr>
        <w:t>nommés discrétionnairement par le président (nominations polit</w:t>
      </w:r>
      <w:r w:rsidRPr="001C2E2B">
        <w:rPr>
          <w:lang w:eastAsia="fr-FR" w:bidi="fr-FR"/>
        </w:rPr>
        <w:t>i</w:t>
      </w:r>
      <w:r w:rsidRPr="001C2E2B">
        <w:rPr>
          <w:lang w:eastAsia="fr-FR" w:bidi="fr-FR"/>
        </w:rPr>
        <w:t>ques).</w:t>
      </w:r>
    </w:p>
    <w:p w14:paraId="364A2546" w14:textId="77777777" w:rsidR="0039793A" w:rsidRPr="001C2E2B" w:rsidRDefault="0039793A" w:rsidP="0039793A">
      <w:pPr>
        <w:spacing w:before="120" w:after="120"/>
        <w:jc w:val="both"/>
      </w:pPr>
      <w:r w:rsidRPr="001C2E2B">
        <w:rPr>
          <w:lang w:eastAsia="fr-FR" w:bidi="fr-FR"/>
        </w:rPr>
        <w:t>— Deux directeurs sont subordonnés au secrétaire d’</w:t>
      </w:r>
      <w:r>
        <w:rPr>
          <w:lang w:eastAsia="fr-FR" w:bidi="fr-FR"/>
        </w:rPr>
        <w:t>État</w:t>
      </w:r>
      <w:r w:rsidRPr="001C2E2B">
        <w:rPr>
          <w:lang w:eastAsia="fr-FR" w:bidi="fr-FR"/>
        </w:rPr>
        <w:t xml:space="preserve"> mais di</w:t>
      </w:r>
      <w:r w:rsidRPr="001C2E2B">
        <w:rPr>
          <w:lang w:eastAsia="fr-FR" w:bidi="fr-FR"/>
        </w:rPr>
        <w:t>s</w:t>
      </w:r>
      <w:r w:rsidRPr="001C2E2B">
        <w:rPr>
          <w:lang w:eastAsia="fr-FR" w:bidi="fr-FR"/>
        </w:rPr>
        <w:t>posent d’une large autonomie de fonctionnement. Il s’agit du repr</w:t>
      </w:r>
      <w:r w:rsidRPr="001C2E2B">
        <w:rPr>
          <w:lang w:eastAsia="fr-FR" w:bidi="fr-FR"/>
        </w:rPr>
        <w:t>é</w:t>
      </w:r>
      <w:r w:rsidRPr="001C2E2B">
        <w:rPr>
          <w:lang w:eastAsia="fr-FR" w:bidi="fr-FR"/>
        </w:rPr>
        <w:t xml:space="preserve">sentant des États-Unis aux Nations unies et de l’administrateur en chef de l’Agence pour le développement international </w:t>
      </w:r>
      <w:r w:rsidRPr="002915C5">
        <w:rPr>
          <w:smallCaps/>
        </w:rPr>
        <w:t>(</w:t>
      </w:r>
      <w:r w:rsidRPr="002915C5">
        <w:rPr>
          <w:caps/>
        </w:rPr>
        <w:t>usaid</w:t>
      </w:r>
      <w:r w:rsidRPr="002915C5">
        <w:rPr>
          <w:smallCaps/>
        </w:rPr>
        <w:t xml:space="preserve">). </w:t>
      </w:r>
      <w:r w:rsidRPr="001C2E2B">
        <w:rPr>
          <w:lang w:eastAsia="fr-FR" w:bidi="fr-FR"/>
        </w:rPr>
        <w:t>Ces deux directeurs ont un accès privilégié au président (en d’autres termes, d</w:t>
      </w:r>
      <w:r w:rsidRPr="001C2E2B">
        <w:rPr>
          <w:lang w:eastAsia="fr-FR" w:bidi="fr-FR"/>
        </w:rPr>
        <w:t>e</w:t>
      </w:r>
      <w:r w:rsidRPr="001C2E2B">
        <w:rPr>
          <w:lang w:eastAsia="fr-FR" w:bidi="fr-FR"/>
        </w:rPr>
        <w:t>puis 1998, ils ont le droit — rare - de solliciter un re</w:t>
      </w:r>
      <w:r w:rsidRPr="001C2E2B">
        <w:rPr>
          <w:lang w:eastAsia="fr-FR" w:bidi="fr-FR"/>
        </w:rPr>
        <w:t>n</w:t>
      </w:r>
      <w:r w:rsidRPr="001C2E2B">
        <w:rPr>
          <w:lang w:eastAsia="fr-FR" w:bidi="fr-FR"/>
        </w:rPr>
        <w:t>dez-vous sans passer par la voie hiérarchique) mais demeurent sous la tutelle du s</w:t>
      </w:r>
      <w:r w:rsidRPr="001C2E2B">
        <w:rPr>
          <w:lang w:eastAsia="fr-FR" w:bidi="fr-FR"/>
        </w:rPr>
        <w:t>e</w:t>
      </w:r>
      <w:r w:rsidRPr="001C2E2B">
        <w:rPr>
          <w:lang w:eastAsia="fr-FR" w:bidi="fr-FR"/>
        </w:rPr>
        <w:t>crétaire d’État. Leur personnel, toutefois, ne dépend pas des ressou</w:t>
      </w:r>
      <w:r w:rsidRPr="001C2E2B">
        <w:rPr>
          <w:lang w:eastAsia="fr-FR" w:bidi="fr-FR"/>
        </w:rPr>
        <w:t>r</w:t>
      </w:r>
      <w:r w:rsidRPr="001C2E2B">
        <w:rPr>
          <w:lang w:eastAsia="fr-FR" w:bidi="fr-FR"/>
        </w:rPr>
        <w:t xml:space="preserve">ces attribuées au département. Autrement dit, la </w:t>
      </w:r>
      <w:r w:rsidRPr="001C2E2B">
        <w:t xml:space="preserve">USAID </w:t>
      </w:r>
      <w:r w:rsidRPr="001C2E2B">
        <w:rPr>
          <w:lang w:eastAsia="fr-FR" w:bidi="fr-FR"/>
        </w:rPr>
        <w:t>dispose d’un statut d’agence indépendante et d’un budget moyen d’environ 7,5 mi</w:t>
      </w:r>
      <w:r w:rsidRPr="001C2E2B">
        <w:rPr>
          <w:lang w:eastAsia="fr-FR" w:bidi="fr-FR"/>
        </w:rPr>
        <w:t>l</w:t>
      </w:r>
      <w:r w:rsidRPr="001C2E2B">
        <w:rPr>
          <w:lang w:eastAsia="fr-FR" w:bidi="fr-FR"/>
        </w:rPr>
        <w:t>liards de dollars par année.</w:t>
      </w:r>
    </w:p>
    <w:p w14:paraId="5584C6B2" w14:textId="77777777" w:rsidR="0039793A" w:rsidRDefault="0039793A" w:rsidP="0039793A">
      <w:pPr>
        <w:spacing w:before="120" w:after="120"/>
        <w:jc w:val="both"/>
        <w:rPr>
          <w:lang w:eastAsia="fr-FR" w:bidi="fr-FR"/>
        </w:rPr>
      </w:pPr>
    </w:p>
    <w:p w14:paraId="61C77374" w14:textId="77777777" w:rsidR="0039793A" w:rsidRPr="001C2E2B" w:rsidRDefault="0039793A" w:rsidP="0039793A">
      <w:pPr>
        <w:spacing w:before="120" w:after="120"/>
        <w:jc w:val="both"/>
      </w:pPr>
      <w:r w:rsidRPr="001C2E2B">
        <w:rPr>
          <w:lang w:eastAsia="fr-FR" w:bidi="fr-FR"/>
        </w:rPr>
        <w:t>Après d’âpres négociations, marquées par l’intransigeance du Congrès, l’absence de conse</w:t>
      </w:r>
      <w:r w:rsidRPr="001C2E2B">
        <w:rPr>
          <w:lang w:eastAsia="fr-FR" w:bidi="fr-FR"/>
        </w:rPr>
        <w:t>n</w:t>
      </w:r>
      <w:r w:rsidRPr="001C2E2B">
        <w:rPr>
          <w:lang w:eastAsia="fr-FR" w:bidi="fr-FR"/>
        </w:rPr>
        <w:t>sus sur les orientations de politique étrangère et les résistances de l’Administration Clinton</w:t>
      </w:r>
      <w:r>
        <w:rPr>
          <w:lang w:eastAsia="fr-FR" w:bidi="fr-FR"/>
        </w:rPr>
        <w:t> </w:t>
      </w:r>
      <w:r>
        <w:rPr>
          <w:rStyle w:val="Appelnotedebasdep"/>
          <w:lang w:eastAsia="fr-FR" w:bidi="fr-FR"/>
        </w:rPr>
        <w:footnoteReference w:id="404"/>
      </w:r>
      <w:r w:rsidRPr="001C2E2B">
        <w:rPr>
          <w:lang w:eastAsia="fr-FR" w:bidi="fr-FR"/>
        </w:rPr>
        <w:t>, le po</w:t>
      </w:r>
      <w:r w:rsidRPr="001C2E2B">
        <w:rPr>
          <w:lang w:eastAsia="fr-FR" w:bidi="fr-FR"/>
        </w:rPr>
        <w:t>u</w:t>
      </w:r>
      <w:r w:rsidRPr="001C2E2B">
        <w:rPr>
          <w:lang w:eastAsia="fr-FR" w:bidi="fr-FR"/>
        </w:rPr>
        <w:t>voir exécutif et le pouvoir législatif parviennent à un compromis</w:t>
      </w:r>
      <w:r w:rsidRPr="001C2E2B">
        <w:t> :</w:t>
      </w:r>
      <w:r w:rsidRPr="001C2E2B">
        <w:rPr>
          <w:lang w:eastAsia="fr-FR" w:bidi="fr-FR"/>
        </w:rPr>
        <w:t xml:space="preserve"> la loi de réforme du Département d’État est adoptée par le Congrès en 1998. Le réaménagement est substantiel. Au bout du compte, des trois age</w:t>
      </w:r>
      <w:r w:rsidRPr="001C2E2B">
        <w:rPr>
          <w:lang w:eastAsia="fr-FR" w:bidi="fr-FR"/>
        </w:rPr>
        <w:t>n</w:t>
      </w:r>
      <w:r w:rsidRPr="001C2E2B">
        <w:rPr>
          <w:lang w:eastAsia="fr-FR" w:bidi="fr-FR"/>
        </w:rPr>
        <w:t>ces indépendantes visées par la réo</w:t>
      </w:r>
      <w:r w:rsidRPr="001C2E2B">
        <w:rPr>
          <w:lang w:eastAsia="fr-FR" w:bidi="fr-FR"/>
        </w:rPr>
        <w:t>r</w:t>
      </w:r>
      <w:r w:rsidRPr="001C2E2B">
        <w:rPr>
          <w:lang w:eastAsia="fr-FR" w:bidi="fr-FR"/>
        </w:rPr>
        <w:t xml:space="preserve">ganisation, seule la </w:t>
      </w:r>
      <w:r w:rsidRPr="001C2E2B">
        <w:t xml:space="preserve">USAID </w:t>
      </w:r>
      <w:r w:rsidRPr="001C2E2B">
        <w:rPr>
          <w:lang w:eastAsia="fr-FR" w:bidi="fr-FR"/>
        </w:rPr>
        <w:t xml:space="preserve">(créée en 1961) est relativement épargnée. Les deux autres, </w:t>
      </w:r>
      <w:r w:rsidRPr="001C2E2B">
        <w:t>l’ACDA (</w:t>
      </w:r>
      <w:r w:rsidRPr="00631350">
        <w:rPr>
          <w:i/>
          <w:iCs/>
        </w:rPr>
        <w:t>Amis Control and Disarmament Agency</w:t>
      </w:r>
      <w:r w:rsidRPr="001C2E2B">
        <w:t>)</w:t>
      </w:r>
      <w:r w:rsidRPr="001C2E2B">
        <w:rPr>
          <w:lang w:eastAsia="fr-FR" w:bidi="fr-FR"/>
        </w:rPr>
        <w:t xml:space="preserve"> et </w:t>
      </w:r>
      <w:r w:rsidRPr="001C2E2B">
        <w:t>l’</w:t>
      </w:r>
      <w:r>
        <w:t>USI</w:t>
      </w:r>
      <w:r w:rsidRPr="001C2E2B">
        <w:t>A (</w:t>
      </w:r>
      <w:r w:rsidRPr="00631350">
        <w:rPr>
          <w:i/>
          <w:iCs/>
        </w:rPr>
        <w:t>United States Inform</w:t>
      </w:r>
      <w:r w:rsidRPr="00631350">
        <w:rPr>
          <w:i/>
          <w:iCs/>
        </w:rPr>
        <w:t>a</w:t>
      </w:r>
      <w:r w:rsidRPr="00631350">
        <w:rPr>
          <w:i/>
          <w:iCs/>
        </w:rPr>
        <w:t>tion Agency</w:t>
      </w:r>
      <w:r w:rsidRPr="001C2E2B">
        <w:rPr>
          <w:lang w:eastAsia="fr-FR" w:bidi="fr-FR"/>
        </w:rPr>
        <w:t xml:space="preserve">), sont intégrées au Département d’État. D’un côté, </w:t>
      </w:r>
      <w:r w:rsidRPr="001C2E2B">
        <w:t xml:space="preserve">l’ACDA, </w:t>
      </w:r>
      <w:r w:rsidRPr="001C2E2B">
        <w:rPr>
          <w:lang w:eastAsia="fr-FR" w:bidi="fr-FR"/>
        </w:rPr>
        <w:t>créée en 1963, dont les fonctions sont transférées à la dire</w:t>
      </w:r>
      <w:r w:rsidRPr="001C2E2B">
        <w:rPr>
          <w:lang w:eastAsia="fr-FR" w:bidi="fr-FR"/>
        </w:rPr>
        <w:t>c</w:t>
      </w:r>
      <w:r w:rsidRPr="001C2E2B">
        <w:rPr>
          <w:lang w:eastAsia="fr-FR" w:bidi="fr-FR"/>
        </w:rPr>
        <w:t>tion du sous-secrétaire d’État chargé du contrôle des armements et de la sécurité internationale. L’ensemble des services et des pe</w:t>
      </w:r>
      <w:r w:rsidRPr="001C2E2B">
        <w:rPr>
          <w:lang w:eastAsia="fr-FR" w:bidi="fr-FR"/>
        </w:rPr>
        <w:t>r</w:t>
      </w:r>
      <w:r w:rsidRPr="001C2E2B">
        <w:rPr>
          <w:lang w:eastAsia="fr-FR" w:bidi="fr-FR"/>
        </w:rPr>
        <w:t>sonnels est regroupé dans un seul bureau, lui-même scindé en trois divisions</w:t>
      </w:r>
      <w:r w:rsidRPr="001C2E2B">
        <w:t> :</w:t>
      </w:r>
      <w:r w:rsidRPr="001C2E2B">
        <w:rPr>
          <w:lang w:eastAsia="fr-FR" w:bidi="fr-FR"/>
        </w:rPr>
        <w:t xml:space="preserve"> le désarmement, la non-prolifération et la vérification de l’application des accords. De l’autre côté, </w:t>
      </w:r>
      <w:r w:rsidRPr="001C2E2B">
        <w:t xml:space="preserve">l’USIA, </w:t>
      </w:r>
      <w:r w:rsidRPr="001C2E2B">
        <w:rPr>
          <w:lang w:eastAsia="fr-FR" w:bidi="fr-FR"/>
        </w:rPr>
        <w:t>instituée en 1953, dont les fon</w:t>
      </w:r>
      <w:r w:rsidRPr="001C2E2B">
        <w:rPr>
          <w:lang w:eastAsia="fr-FR" w:bidi="fr-FR"/>
        </w:rPr>
        <w:t>c</w:t>
      </w:r>
      <w:r w:rsidRPr="001C2E2B">
        <w:rPr>
          <w:lang w:eastAsia="fr-FR" w:bidi="fr-FR"/>
        </w:rPr>
        <w:t>tions sont dévolues au sous-secrétaire d’État à la diplomatie et aux a</w:t>
      </w:r>
      <w:r w:rsidRPr="001C2E2B">
        <w:rPr>
          <w:lang w:eastAsia="fr-FR" w:bidi="fr-FR"/>
        </w:rPr>
        <w:t>f</w:t>
      </w:r>
      <w:r w:rsidRPr="001C2E2B">
        <w:rPr>
          <w:lang w:eastAsia="fr-FR" w:bidi="fr-FR"/>
        </w:rPr>
        <w:t>faires publiques. Les quelque 4</w:t>
      </w:r>
      <w:r>
        <w:rPr>
          <w:lang w:eastAsia="fr-FR" w:bidi="fr-FR"/>
        </w:rPr>
        <w:t> </w:t>
      </w:r>
      <w:r w:rsidRPr="001C2E2B">
        <w:rPr>
          <w:lang w:eastAsia="fr-FR" w:bidi="fr-FR"/>
        </w:rPr>
        <w:t xml:space="preserve">000 fonctionnaires de </w:t>
      </w:r>
      <w:r w:rsidRPr="001C2E2B">
        <w:t xml:space="preserve">l’USlA </w:t>
      </w:r>
      <w:r w:rsidRPr="001C2E2B">
        <w:rPr>
          <w:lang w:eastAsia="fr-FR" w:bidi="fr-FR"/>
        </w:rPr>
        <w:t>sont répartis au sein de trois nouvelles entités</w:t>
      </w:r>
      <w:r w:rsidRPr="001C2E2B">
        <w:t> :</w:t>
      </w:r>
      <w:r w:rsidRPr="001C2E2B">
        <w:rPr>
          <w:lang w:eastAsia="fr-FR" w:bidi="fr-FR"/>
        </w:rPr>
        <w:t xml:space="preserve"> la division éducative et culturelle, la div</w:t>
      </w:r>
      <w:r w:rsidRPr="001C2E2B">
        <w:rPr>
          <w:lang w:eastAsia="fr-FR" w:bidi="fr-FR"/>
        </w:rPr>
        <w:t>i</w:t>
      </w:r>
      <w:r w:rsidRPr="001C2E2B">
        <w:rPr>
          <w:lang w:eastAsia="fr-FR" w:bidi="fr-FR"/>
        </w:rPr>
        <w:t>sion des affaires publiques et celle de l’information.</w:t>
      </w:r>
    </w:p>
    <w:p w14:paraId="3BA50C59" w14:textId="77777777" w:rsidR="0039793A" w:rsidRDefault="0039793A" w:rsidP="0039793A">
      <w:pPr>
        <w:spacing w:before="120" w:after="120"/>
        <w:jc w:val="both"/>
      </w:pPr>
      <w:r>
        <w:t>[183]</w:t>
      </w:r>
    </w:p>
    <w:p w14:paraId="45D778B1" w14:textId="77777777" w:rsidR="0039793A" w:rsidRPr="001C2E2B" w:rsidRDefault="0039793A" w:rsidP="0039793A">
      <w:pPr>
        <w:spacing w:before="120" w:after="120"/>
        <w:jc w:val="both"/>
      </w:pPr>
    </w:p>
    <w:p w14:paraId="763DE747" w14:textId="77777777" w:rsidR="0039793A" w:rsidRPr="00631350" w:rsidRDefault="0039793A" w:rsidP="0039793A">
      <w:pPr>
        <w:pStyle w:val="b"/>
      </w:pPr>
      <w:r w:rsidRPr="00631350">
        <w:rPr>
          <w:lang w:eastAsia="fr-FR" w:bidi="fr-FR"/>
        </w:rPr>
        <w:t>Le déclin du Département d’État</w:t>
      </w:r>
    </w:p>
    <w:p w14:paraId="3FDE8BD9" w14:textId="77777777" w:rsidR="0039793A" w:rsidRDefault="0039793A" w:rsidP="0039793A">
      <w:pPr>
        <w:spacing w:before="120" w:after="120"/>
        <w:jc w:val="both"/>
        <w:rPr>
          <w:lang w:eastAsia="fr-FR" w:bidi="fr-FR"/>
        </w:rPr>
      </w:pPr>
    </w:p>
    <w:p w14:paraId="57A7E3D0" w14:textId="77777777" w:rsidR="0039793A" w:rsidRPr="001C2E2B" w:rsidRDefault="0039793A" w:rsidP="0039793A">
      <w:pPr>
        <w:spacing w:before="120" w:after="120"/>
        <w:jc w:val="both"/>
      </w:pPr>
      <w:r w:rsidRPr="001C2E2B">
        <w:rPr>
          <w:lang w:eastAsia="fr-FR" w:bidi="fr-FR"/>
        </w:rPr>
        <w:t>Depuis 1969, et le début de la présidence de Nixon, ce département fait de plus en plus souvent face à d’autres acteurs bureaucratiques. Globalement, le Département d’État voit son influence dans le proce</w:t>
      </w:r>
      <w:r w:rsidRPr="001C2E2B">
        <w:rPr>
          <w:lang w:eastAsia="fr-FR" w:bidi="fr-FR"/>
        </w:rPr>
        <w:t>s</w:t>
      </w:r>
      <w:r w:rsidRPr="001C2E2B">
        <w:rPr>
          <w:lang w:eastAsia="fr-FR" w:bidi="fr-FR"/>
        </w:rPr>
        <w:t>sus décisionnel décliner. Cet étiolement est causé par des facteurs e</w:t>
      </w:r>
      <w:r w:rsidRPr="001C2E2B">
        <w:rPr>
          <w:lang w:eastAsia="fr-FR" w:bidi="fr-FR"/>
        </w:rPr>
        <w:t>x</w:t>
      </w:r>
      <w:r w:rsidRPr="001C2E2B">
        <w:rPr>
          <w:lang w:eastAsia="fr-FR" w:bidi="fr-FR"/>
        </w:rPr>
        <w:t>térieurs (entre autres, la concurrence des autres institutions), mais au</w:t>
      </w:r>
      <w:r w:rsidRPr="001C2E2B">
        <w:rPr>
          <w:lang w:eastAsia="fr-FR" w:bidi="fr-FR"/>
        </w:rPr>
        <w:t>s</w:t>
      </w:r>
      <w:r w:rsidRPr="001C2E2B">
        <w:rPr>
          <w:lang w:eastAsia="fr-FR" w:bidi="fr-FR"/>
        </w:rPr>
        <w:t>si par des facteurs propres à la culture de ce ministère. À ce titre, les études portant sur cette administration ont dégagé des problèmes r</w:t>
      </w:r>
      <w:r w:rsidRPr="001C2E2B">
        <w:rPr>
          <w:lang w:eastAsia="fr-FR" w:bidi="fr-FR"/>
        </w:rPr>
        <w:t>é</w:t>
      </w:r>
      <w:r w:rsidRPr="001C2E2B">
        <w:rPr>
          <w:lang w:eastAsia="fr-FR" w:bidi="fr-FR"/>
        </w:rPr>
        <w:t>currents</w:t>
      </w:r>
      <w:r>
        <w:rPr>
          <w:lang w:eastAsia="fr-FR" w:bidi="fr-FR"/>
        </w:rPr>
        <w:t> </w:t>
      </w:r>
      <w:r>
        <w:rPr>
          <w:rStyle w:val="Appelnotedebasdep"/>
          <w:lang w:eastAsia="fr-FR" w:bidi="fr-FR"/>
        </w:rPr>
        <w:footnoteReference w:id="405"/>
      </w:r>
      <w:r w:rsidRPr="001C2E2B">
        <w:rPr>
          <w:lang w:eastAsia="fr-FR" w:bidi="fr-FR"/>
        </w:rPr>
        <w:t xml:space="preserve"> et plusieurs raisons expliquent ce déclin</w:t>
      </w:r>
      <w:r>
        <w:rPr>
          <w:lang w:eastAsia="fr-FR" w:bidi="fr-FR"/>
        </w:rPr>
        <w:t> </w:t>
      </w:r>
      <w:r>
        <w:rPr>
          <w:rStyle w:val="Appelnotedebasdep"/>
          <w:lang w:eastAsia="fr-FR" w:bidi="fr-FR"/>
        </w:rPr>
        <w:footnoteReference w:id="406"/>
      </w:r>
      <w:r w:rsidRPr="001C2E2B">
        <w:t> :</w:t>
      </w:r>
    </w:p>
    <w:p w14:paraId="5EDB968D" w14:textId="77777777" w:rsidR="0039793A" w:rsidRPr="001C2E2B" w:rsidRDefault="0039793A" w:rsidP="0039793A">
      <w:pPr>
        <w:spacing w:before="120" w:after="120"/>
        <w:jc w:val="both"/>
      </w:pPr>
      <w:r w:rsidRPr="001C2E2B">
        <w:rPr>
          <w:lang w:eastAsia="fr-FR" w:bidi="fr-FR"/>
        </w:rPr>
        <w:t>L’interdépendance accrue des États, la révolution dans les comm</w:t>
      </w:r>
      <w:r w:rsidRPr="001C2E2B">
        <w:rPr>
          <w:lang w:eastAsia="fr-FR" w:bidi="fr-FR"/>
        </w:rPr>
        <w:t>u</w:t>
      </w:r>
      <w:r w:rsidRPr="001C2E2B">
        <w:rPr>
          <w:lang w:eastAsia="fr-FR" w:bidi="fr-FR"/>
        </w:rPr>
        <w:t>nications et la globalisation des enjeux ont conduit à la démultiplic</w:t>
      </w:r>
      <w:r w:rsidRPr="001C2E2B">
        <w:rPr>
          <w:lang w:eastAsia="fr-FR" w:bidi="fr-FR"/>
        </w:rPr>
        <w:t>a</w:t>
      </w:r>
      <w:r w:rsidRPr="001C2E2B">
        <w:rPr>
          <w:lang w:eastAsia="fr-FR" w:bidi="fr-FR"/>
        </w:rPr>
        <w:t>tion des acteurs, gouvernementaux et non gouverneme</w:t>
      </w:r>
      <w:r w:rsidRPr="001C2E2B">
        <w:rPr>
          <w:lang w:eastAsia="fr-FR" w:bidi="fr-FR"/>
        </w:rPr>
        <w:t>n</w:t>
      </w:r>
      <w:r w:rsidRPr="001C2E2B">
        <w:rPr>
          <w:lang w:eastAsia="fr-FR" w:bidi="fr-FR"/>
        </w:rPr>
        <w:t>taux et à l’atomisation du processus d’élaboration de la politique étrangère. Cette pluralité d’acteurs de la société civile a donné naissance à une sorte de diplomatie publique, parallèle voire concurrente</w:t>
      </w:r>
      <w:r w:rsidRPr="001C2E2B">
        <w:t> :</w:t>
      </w:r>
      <w:r w:rsidRPr="001C2E2B">
        <w:rPr>
          <w:lang w:eastAsia="fr-FR" w:bidi="fr-FR"/>
        </w:rPr>
        <w:t xml:space="preserve"> le Dépa</w:t>
      </w:r>
      <w:r w:rsidRPr="001C2E2B">
        <w:rPr>
          <w:lang w:eastAsia="fr-FR" w:bidi="fr-FR"/>
        </w:rPr>
        <w:t>r</w:t>
      </w:r>
      <w:r w:rsidRPr="001C2E2B">
        <w:rPr>
          <w:lang w:eastAsia="fr-FR" w:bidi="fr-FR"/>
        </w:rPr>
        <w:t>tement d’État ne serait plus en mesure de répondre adéquatement à la mondialisation des rapports internationaux. De fait, le Département d’État ne dispose plus de son monopole d’antan.</w:t>
      </w:r>
    </w:p>
    <w:p w14:paraId="292B7FF5" w14:textId="77777777" w:rsidR="0039793A" w:rsidRPr="001C2E2B" w:rsidRDefault="0039793A" w:rsidP="0039793A">
      <w:pPr>
        <w:spacing w:before="120" w:after="120"/>
        <w:jc w:val="both"/>
      </w:pPr>
      <w:r w:rsidRPr="001C2E2B">
        <w:rPr>
          <w:lang w:eastAsia="fr-FR" w:bidi="fr-FR"/>
        </w:rPr>
        <w:t>Le recours à la force et la multiplication des interventions milita</w:t>
      </w:r>
      <w:r w:rsidRPr="001C2E2B">
        <w:rPr>
          <w:lang w:eastAsia="fr-FR" w:bidi="fr-FR"/>
        </w:rPr>
        <w:t>i</w:t>
      </w:r>
      <w:r w:rsidRPr="001C2E2B">
        <w:rPr>
          <w:lang w:eastAsia="fr-FR" w:bidi="fr-FR"/>
        </w:rPr>
        <w:t>res, de même que la place ce</w:t>
      </w:r>
      <w:r w:rsidRPr="001C2E2B">
        <w:rPr>
          <w:lang w:eastAsia="fr-FR" w:bidi="fr-FR"/>
        </w:rPr>
        <w:t>n</w:t>
      </w:r>
      <w:r w:rsidRPr="001C2E2B">
        <w:rPr>
          <w:lang w:eastAsia="fr-FR" w:bidi="fr-FR"/>
        </w:rPr>
        <w:t>trale qu’occupent les États-Unis sur le plan stratégique, ont fréquemment donné au département de la Défe</w:t>
      </w:r>
      <w:r w:rsidRPr="001C2E2B">
        <w:rPr>
          <w:lang w:eastAsia="fr-FR" w:bidi="fr-FR"/>
        </w:rPr>
        <w:t>n</w:t>
      </w:r>
      <w:r w:rsidRPr="001C2E2B">
        <w:rPr>
          <w:lang w:eastAsia="fr-FR" w:bidi="fr-FR"/>
        </w:rPr>
        <w:t>se ainsi qu’à la communauté du renseignement un poids plus impo</w:t>
      </w:r>
      <w:r w:rsidRPr="001C2E2B">
        <w:rPr>
          <w:lang w:eastAsia="fr-FR" w:bidi="fr-FR"/>
        </w:rPr>
        <w:t>r</w:t>
      </w:r>
      <w:r w:rsidRPr="001C2E2B">
        <w:rPr>
          <w:lang w:eastAsia="fr-FR" w:bidi="fr-FR"/>
        </w:rPr>
        <w:t>tant dans la conduite des affaires étrangères.</w:t>
      </w:r>
    </w:p>
    <w:p w14:paraId="04D8A097" w14:textId="77777777" w:rsidR="0039793A" w:rsidRPr="001C2E2B" w:rsidRDefault="0039793A" w:rsidP="0039793A">
      <w:pPr>
        <w:spacing w:before="120" w:after="120"/>
        <w:jc w:val="both"/>
      </w:pPr>
      <w:r w:rsidRPr="001C2E2B">
        <w:rPr>
          <w:lang w:eastAsia="fr-FR" w:bidi="fr-FR"/>
        </w:rPr>
        <w:t xml:space="preserve">Les </w:t>
      </w:r>
      <w:r w:rsidRPr="001C2E2B">
        <w:t xml:space="preserve">FSO </w:t>
      </w:r>
      <w:r w:rsidRPr="001C2E2B">
        <w:rPr>
          <w:lang w:eastAsia="fr-FR" w:bidi="fr-FR"/>
        </w:rPr>
        <w:t>ont un comportement qui suscite la méfiance chez les d</w:t>
      </w:r>
      <w:r w:rsidRPr="001C2E2B">
        <w:rPr>
          <w:lang w:eastAsia="fr-FR" w:bidi="fr-FR"/>
        </w:rPr>
        <w:t>é</w:t>
      </w:r>
      <w:r w:rsidRPr="001C2E2B">
        <w:rPr>
          <w:lang w:eastAsia="fr-FR" w:bidi="fr-FR"/>
        </w:rPr>
        <w:t>cideurs politiques. Leur culture élitiste (peu conforme aux usages s</w:t>
      </w:r>
      <w:r w:rsidRPr="001C2E2B">
        <w:rPr>
          <w:lang w:eastAsia="fr-FR" w:bidi="fr-FR"/>
        </w:rPr>
        <w:t>o</w:t>
      </w:r>
      <w:r w:rsidRPr="001C2E2B">
        <w:rPr>
          <w:lang w:eastAsia="fr-FR" w:bidi="fr-FR"/>
        </w:rPr>
        <w:t>ciétaux américains), le fait qu’ils soient majoritairement issus de grandes universités, leur formation généraliste, leurs analyses résol</w:t>
      </w:r>
      <w:r w:rsidRPr="001C2E2B">
        <w:rPr>
          <w:lang w:eastAsia="fr-FR" w:bidi="fr-FR"/>
        </w:rPr>
        <w:t>u</w:t>
      </w:r>
      <w:r w:rsidRPr="001C2E2B">
        <w:rPr>
          <w:lang w:eastAsia="fr-FR" w:bidi="fr-FR"/>
        </w:rPr>
        <w:t>ment internationalistes (au détriment parfois des intérêts nationaux), leur préférence pour les solutions diplomatiques (nég</w:t>
      </w:r>
      <w:r w:rsidRPr="001C2E2B">
        <w:rPr>
          <w:lang w:eastAsia="fr-FR" w:bidi="fr-FR"/>
        </w:rPr>
        <w:t>o</w:t>
      </w:r>
      <w:r w:rsidRPr="001C2E2B">
        <w:rPr>
          <w:lang w:eastAsia="fr-FR" w:bidi="fr-FR"/>
        </w:rPr>
        <w:t>ciations et</w:t>
      </w:r>
      <w:r>
        <w:rPr>
          <w:lang w:eastAsia="fr-FR" w:bidi="fr-FR"/>
        </w:rPr>
        <w:t xml:space="preserve"> compromis), leur esprit de clo</w:t>
      </w:r>
      <w:r w:rsidRPr="001C2E2B">
        <w:rPr>
          <w:lang w:eastAsia="fr-FR" w:bidi="fr-FR"/>
        </w:rPr>
        <w:t>cher</w:t>
      </w:r>
      <w:r>
        <w:t xml:space="preserve"> [184]</w:t>
      </w:r>
      <w:r w:rsidRPr="001C2E2B">
        <w:rPr>
          <w:lang w:eastAsia="fr-FR" w:bidi="fr-FR"/>
        </w:rPr>
        <w:t xml:space="preserve"> (au sein de la bureaucratie) et leur conservatisme, sont autant de raisons pour lesquelles le Départ</w:t>
      </w:r>
      <w:r w:rsidRPr="001C2E2B">
        <w:rPr>
          <w:lang w:eastAsia="fr-FR" w:bidi="fr-FR"/>
        </w:rPr>
        <w:t>e</w:t>
      </w:r>
      <w:r w:rsidRPr="001C2E2B">
        <w:rPr>
          <w:lang w:eastAsia="fr-FR" w:bidi="fr-FR"/>
        </w:rPr>
        <w:t>ment d’</w:t>
      </w:r>
      <w:r>
        <w:rPr>
          <w:lang w:eastAsia="fr-FR" w:bidi="fr-FR"/>
        </w:rPr>
        <w:t>État</w:t>
      </w:r>
      <w:r w:rsidRPr="001C2E2B">
        <w:rPr>
          <w:lang w:eastAsia="fr-FR" w:bidi="fr-FR"/>
        </w:rPr>
        <w:t xml:space="preserve"> n’a pas to</w:t>
      </w:r>
      <w:r w:rsidRPr="001C2E2B">
        <w:rPr>
          <w:lang w:eastAsia="fr-FR" w:bidi="fr-FR"/>
        </w:rPr>
        <w:t>u</w:t>
      </w:r>
      <w:r w:rsidRPr="001C2E2B">
        <w:rPr>
          <w:lang w:eastAsia="fr-FR" w:bidi="fr-FR"/>
        </w:rPr>
        <w:t>jours l’oreille des conseillers du président.</w:t>
      </w:r>
    </w:p>
    <w:p w14:paraId="05957862" w14:textId="77777777" w:rsidR="0039793A" w:rsidRPr="001C2E2B" w:rsidRDefault="0039793A" w:rsidP="0039793A">
      <w:pPr>
        <w:spacing w:before="120" w:after="120"/>
        <w:jc w:val="both"/>
      </w:pPr>
      <w:r w:rsidRPr="001C2E2B">
        <w:rPr>
          <w:lang w:eastAsia="fr-FR" w:bidi="fr-FR"/>
        </w:rPr>
        <w:t>La Maison-Blanche a fréquemment fustigé l’inefficacité, le cara</w:t>
      </w:r>
      <w:r w:rsidRPr="001C2E2B">
        <w:rPr>
          <w:lang w:eastAsia="fr-FR" w:bidi="fr-FR"/>
        </w:rPr>
        <w:t>c</w:t>
      </w:r>
      <w:r w:rsidRPr="001C2E2B">
        <w:rPr>
          <w:lang w:eastAsia="fr-FR" w:bidi="fr-FR"/>
        </w:rPr>
        <w:t>tère procédurier, l’inadaptation et l’inertie du Département d’</w:t>
      </w:r>
      <w:r>
        <w:rPr>
          <w:lang w:eastAsia="fr-FR" w:bidi="fr-FR"/>
        </w:rPr>
        <w:t>État</w:t>
      </w:r>
      <w:r w:rsidRPr="001C2E2B">
        <w:rPr>
          <w:lang w:eastAsia="fr-FR" w:bidi="fr-FR"/>
        </w:rPr>
        <w:t>. F.D. Roosevelt comparait d’ailleurs celui-ci à un éléphant</w:t>
      </w:r>
      <w:r>
        <w:rPr>
          <w:lang w:eastAsia="fr-FR" w:bidi="fr-FR"/>
        </w:rPr>
        <w:t> </w:t>
      </w:r>
      <w:r>
        <w:rPr>
          <w:rStyle w:val="Appelnotedebasdep"/>
          <w:lang w:eastAsia="fr-FR" w:bidi="fr-FR"/>
        </w:rPr>
        <w:footnoteReference w:id="407"/>
      </w:r>
      <w:r>
        <w:rPr>
          <w:lang w:eastAsia="fr-FR" w:bidi="fr-FR"/>
        </w:rPr>
        <w:t>.</w:t>
      </w:r>
      <w:r w:rsidRPr="001C2E2B">
        <w:rPr>
          <w:lang w:eastAsia="fr-FR" w:bidi="fr-FR"/>
        </w:rPr>
        <w:t xml:space="preserve"> C’est la raison pour laquelle le prés</w:t>
      </w:r>
      <w:r w:rsidRPr="001C2E2B">
        <w:rPr>
          <w:lang w:eastAsia="fr-FR" w:bidi="fr-FR"/>
        </w:rPr>
        <w:t>i</w:t>
      </w:r>
      <w:r w:rsidRPr="001C2E2B">
        <w:rPr>
          <w:lang w:eastAsia="fr-FR" w:bidi="fr-FR"/>
        </w:rPr>
        <w:t xml:space="preserve">dent, pour mener la politique étrangère, va souvent se tourner vers les fonctionnaires du </w:t>
      </w:r>
      <w:r w:rsidRPr="001C2E2B">
        <w:t>NSC</w:t>
      </w:r>
      <w:r>
        <w:rPr>
          <w:lang w:eastAsia="fr-FR" w:bidi="fr-FR"/>
        </w:rPr>
        <w:t> </w:t>
      </w:r>
      <w:r>
        <w:rPr>
          <w:rStyle w:val="Appelnotedebasdep"/>
          <w:lang w:eastAsia="fr-FR" w:bidi="fr-FR"/>
        </w:rPr>
        <w:footnoteReference w:id="408"/>
      </w:r>
      <w:r w:rsidRPr="001C2E2B">
        <w:rPr>
          <w:lang w:eastAsia="fr-FR" w:bidi="fr-FR"/>
        </w:rPr>
        <w:t>. Ainsi, le Dépa</w:t>
      </w:r>
      <w:r w:rsidRPr="001C2E2B">
        <w:rPr>
          <w:lang w:eastAsia="fr-FR" w:bidi="fr-FR"/>
        </w:rPr>
        <w:t>r</w:t>
      </w:r>
      <w:r w:rsidRPr="001C2E2B">
        <w:rPr>
          <w:lang w:eastAsia="fr-FR" w:bidi="fr-FR"/>
        </w:rPr>
        <w:t>tement d’</w:t>
      </w:r>
      <w:r>
        <w:rPr>
          <w:lang w:eastAsia="fr-FR" w:bidi="fr-FR"/>
        </w:rPr>
        <w:t>État</w:t>
      </w:r>
      <w:r w:rsidRPr="001C2E2B">
        <w:rPr>
          <w:lang w:eastAsia="fr-FR" w:bidi="fr-FR"/>
        </w:rPr>
        <w:t xml:space="preserve"> a souvent été écarté par le président et ses conseillers, insatisfaits de ses avis, de ses recommandations et de son comport</w:t>
      </w:r>
      <w:r w:rsidRPr="001C2E2B">
        <w:rPr>
          <w:lang w:eastAsia="fr-FR" w:bidi="fr-FR"/>
        </w:rPr>
        <w:t>e</w:t>
      </w:r>
      <w:r w:rsidRPr="001C2E2B">
        <w:rPr>
          <w:lang w:eastAsia="fr-FR" w:bidi="fr-FR"/>
        </w:rPr>
        <w:t>ment conservateur. Ces procédés accentuent les rivalités bureaucrat</w:t>
      </w:r>
      <w:r w:rsidRPr="001C2E2B">
        <w:rPr>
          <w:lang w:eastAsia="fr-FR" w:bidi="fr-FR"/>
        </w:rPr>
        <w:t>i</w:t>
      </w:r>
      <w:r w:rsidRPr="001C2E2B">
        <w:rPr>
          <w:lang w:eastAsia="fr-FR" w:bidi="fr-FR"/>
        </w:rPr>
        <w:t>ques et alimentent les tensions entre le Département d’</w:t>
      </w:r>
      <w:r>
        <w:rPr>
          <w:lang w:eastAsia="fr-FR" w:bidi="fr-FR"/>
        </w:rPr>
        <w:t>État</w:t>
      </w:r>
      <w:r w:rsidRPr="001C2E2B">
        <w:rPr>
          <w:lang w:eastAsia="fr-FR" w:bidi="fr-FR"/>
        </w:rPr>
        <w:t xml:space="preserve"> et les conseillers pol</w:t>
      </w:r>
      <w:r w:rsidRPr="001C2E2B">
        <w:rPr>
          <w:lang w:eastAsia="fr-FR" w:bidi="fr-FR"/>
        </w:rPr>
        <w:t>i</w:t>
      </w:r>
      <w:r w:rsidRPr="001C2E2B">
        <w:rPr>
          <w:lang w:eastAsia="fr-FR" w:bidi="fr-FR"/>
        </w:rPr>
        <w:t>tiques.</w:t>
      </w:r>
    </w:p>
    <w:p w14:paraId="5237EB91" w14:textId="77777777" w:rsidR="0039793A" w:rsidRPr="001C2E2B" w:rsidRDefault="0039793A" w:rsidP="0039793A">
      <w:pPr>
        <w:spacing w:before="120" w:after="120"/>
        <w:jc w:val="both"/>
      </w:pPr>
      <w:r w:rsidRPr="001C2E2B">
        <w:rPr>
          <w:lang w:eastAsia="fr-FR" w:bidi="fr-FR"/>
        </w:rPr>
        <w:t>Le travail de conception de la politique étrang</w:t>
      </w:r>
      <w:r w:rsidRPr="001C2E2B">
        <w:rPr>
          <w:lang w:eastAsia="fr-FR" w:bidi="fr-FR"/>
        </w:rPr>
        <w:t>è</w:t>
      </w:r>
      <w:r w:rsidRPr="001C2E2B">
        <w:rPr>
          <w:lang w:eastAsia="fr-FR" w:bidi="fr-FR"/>
        </w:rPr>
        <w:t>re est de moins en moins réalisé au Département d’</w:t>
      </w:r>
      <w:r>
        <w:rPr>
          <w:lang w:eastAsia="fr-FR" w:bidi="fr-FR"/>
        </w:rPr>
        <w:t>État</w:t>
      </w:r>
      <w:r w:rsidRPr="001C2E2B">
        <w:rPr>
          <w:lang w:eastAsia="fr-FR" w:bidi="fr-FR"/>
        </w:rPr>
        <w:t>. Les débats sur les orientations diplomatiques américaines sont moins secrets, et depuis ci</w:t>
      </w:r>
      <w:r w:rsidRPr="001C2E2B">
        <w:rPr>
          <w:lang w:eastAsia="fr-FR" w:bidi="fr-FR"/>
        </w:rPr>
        <w:t>n</w:t>
      </w:r>
      <w:r w:rsidRPr="001C2E2B">
        <w:rPr>
          <w:lang w:eastAsia="fr-FR" w:bidi="fr-FR"/>
        </w:rPr>
        <w:t>quante ans ils bénéficient même d’une certaine publicité. Les présidents ont pr</w:t>
      </w:r>
      <w:r w:rsidRPr="001C2E2B">
        <w:rPr>
          <w:lang w:eastAsia="fr-FR" w:bidi="fr-FR"/>
        </w:rPr>
        <w:t>é</w:t>
      </w:r>
      <w:r w:rsidRPr="001C2E2B">
        <w:rPr>
          <w:lang w:eastAsia="fr-FR" w:bidi="fr-FR"/>
        </w:rPr>
        <w:t xml:space="preserve">féré recourir à l’organisation du </w:t>
      </w:r>
      <w:r w:rsidRPr="001C2E2B">
        <w:t xml:space="preserve">NSC </w:t>
      </w:r>
      <w:r w:rsidRPr="001C2E2B">
        <w:rPr>
          <w:lang w:eastAsia="fr-FR" w:bidi="fr-FR"/>
        </w:rPr>
        <w:t>pour coordonner et harm</w:t>
      </w:r>
      <w:r w:rsidRPr="001C2E2B">
        <w:rPr>
          <w:lang w:eastAsia="fr-FR" w:bidi="fr-FR"/>
        </w:rPr>
        <w:t>o</w:t>
      </w:r>
      <w:r w:rsidRPr="001C2E2B">
        <w:rPr>
          <w:lang w:eastAsia="fr-FR" w:bidi="fr-FR"/>
        </w:rPr>
        <w:t>niser les points de vue internes et externes au go</w:t>
      </w:r>
      <w:r w:rsidRPr="001C2E2B">
        <w:rPr>
          <w:lang w:eastAsia="fr-FR" w:bidi="fr-FR"/>
        </w:rPr>
        <w:t>u</w:t>
      </w:r>
      <w:r w:rsidRPr="001C2E2B">
        <w:rPr>
          <w:lang w:eastAsia="fr-FR" w:bidi="fr-FR"/>
        </w:rPr>
        <w:t>vernement. Dans le cadre institutionnalisé du lo</w:t>
      </w:r>
      <w:r w:rsidRPr="001C2E2B">
        <w:rPr>
          <w:lang w:eastAsia="fr-FR" w:bidi="fr-FR"/>
        </w:rPr>
        <w:t>b</w:t>
      </w:r>
      <w:r w:rsidRPr="001C2E2B">
        <w:rPr>
          <w:lang w:eastAsia="fr-FR" w:bidi="fr-FR"/>
        </w:rPr>
        <w:t>bying américain, le Département d’</w:t>
      </w:r>
      <w:r>
        <w:rPr>
          <w:lang w:eastAsia="fr-FR" w:bidi="fr-FR"/>
        </w:rPr>
        <w:t>État</w:t>
      </w:r>
      <w:r w:rsidRPr="001C2E2B">
        <w:rPr>
          <w:lang w:eastAsia="fr-FR" w:bidi="fr-FR"/>
        </w:rPr>
        <w:t xml:space="preserve"> pâtit de l’absence de groupes d’intérêt faisant valoir ses missions et son rôle. En effet, tandis que le dépa</w:t>
      </w:r>
      <w:r w:rsidRPr="001C2E2B">
        <w:rPr>
          <w:lang w:eastAsia="fr-FR" w:bidi="fr-FR"/>
        </w:rPr>
        <w:t>r</w:t>
      </w:r>
      <w:r w:rsidRPr="001C2E2B">
        <w:rPr>
          <w:lang w:eastAsia="fr-FR" w:bidi="fr-FR"/>
        </w:rPr>
        <w:t xml:space="preserve">tement de la Défense peut compter sur le complexe militaro-industriel et le soutien du Congrès, alors que l’organisation du </w:t>
      </w:r>
      <w:r w:rsidRPr="001C2E2B">
        <w:t xml:space="preserve">NSC </w:t>
      </w:r>
      <w:r w:rsidRPr="001C2E2B">
        <w:rPr>
          <w:lang w:eastAsia="fr-FR" w:bidi="fr-FR"/>
        </w:rPr>
        <w:t>dispose de l’oreille a</w:t>
      </w:r>
      <w:r w:rsidRPr="001C2E2B">
        <w:rPr>
          <w:lang w:eastAsia="fr-FR" w:bidi="fr-FR"/>
        </w:rPr>
        <w:t>t</w:t>
      </w:r>
      <w:r w:rsidRPr="001C2E2B">
        <w:rPr>
          <w:lang w:eastAsia="fr-FR" w:bidi="fr-FR"/>
        </w:rPr>
        <w:t>tentive du président, le Département d’</w:t>
      </w:r>
      <w:r>
        <w:rPr>
          <w:lang w:eastAsia="fr-FR" w:bidi="fr-FR"/>
        </w:rPr>
        <w:t>État</w:t>
      </w:r>
      <w:r w:rsidRPr="001C2E2B">
        <w:rPr>
          <w:lang w:eastAsia="fr-FR" w:bidi="fr-FR"/>
        </w:rPr>
        <w:t xml:space="preserve"> ne peut se prévaloir d’aucun soutien</w:t>
      </w:r>
      <w:r>
        <w:rPr>
          <w:lang w:eastAsia="fr-FR" w:bidi="fr-FR"/>
        </w:rPr>
        <w:t> </w:t>
      </w:r>
      <w:r>
        <w:rPr>
          <w:rStyle w:val="Appelnotedebasdep"/>
          <w:lang w:eastAsia="fr-FR" w:bidi="fr-FR"/>
        </w:rPr>
        <w:footnoteReference w:id="409"/>
      </w:r>
      <w:r w:rsidRPr="001C2E2B">
        <w:rPr>
          <w:lang w:eastAsia="fr-FR" w:bidi="fr-FR"/>
        </w:rPr>
        <w:t>, simpl</w:t>
      </w:r>
      <w:r w:rsidRPr="001C2E2B">
        <w:rPr>
          <w:lang w:eastAsia="fr-FR" w:bidi="fr-FR"/>
        </w:rPr>
        <w:t>e</w:t>
      </w:r>
      <w:r w:rsidRPr="001C2E2B">
        <w:rPr>
          <w:lang w:eastAsia="fr-FR" w:bidi="fr-FR"/>
        </w:rPr>
        <w:t>ment parce que ses objectifs n’ont pas de pendant sur le plan domest</w:t>
      </w:r>
      <w:r w:rsidRPr="001C2E2B">
        <w:rPr>
          <w:lang w:eastAsia="fr-FR" w:bidi="fr-FR"/>
        </w:rPr>
        <w:t>i</w:t>
      </w:r>
      <w:r w:rsidRPr="001C2E2B">
        <w:rPr>
          <w:lang w:eastAsia="fr-FR" w:bidi="fr-FR"/>
        </w:rPr>
        <w:t xml:space="preserve">que. La planification est désormais souvent l’œuvre d’experts </w:t>
      </w:r>
      <w:r w:rsidRPr="001C2E2B">
        <w:t>« </w:t>
      </w:r>
      <w:r w:rsidRPr="001C2E2B">
        <w:rPr>
          <w:lang w:eastAsia="fr-FR" w:bidi="fr-FR"/>
        </w:rPr>
        <w:t>irréguliers</w:t>
      </w:r>
      <w:r w:rsidRPr="001C2E2B">
        <w:t> »</w:t>
      </w:r>
      <w:r w:rsidRPr="001C2E2B">
        <w:rPr>
          <w:lang w:eastAsia="fr-FR" w:bidi="fr-FR"/>
        </w:rPr>
        <w:t xml:space="preserve"> au sein de l’appareil exécutif, c’est-à- dire de perso</w:t>
      </w:r>
      <w:r w:rsidRPr="001C2E2B">
        <w:rPr>
          <w:lang w:eastAsia="fr-FR" w:bidi="fr-FR"/>
        </w:rPr>
        <w:t>n</w:t>
      </w:r>
      <w:r w:rsidRPr="001C2E2B">
        <w:rPr>
          <w:lang w:eastAsia="fr-FR" w:bidi="fr-FR"/>
        </w:rPr>
        <w:t>nels non fonctionnaires, émanant du monde universitaire ou des ce</w:t>
      </w:r>
      <w:r w:rsidRPr="001C2E2B">
        <w:rPr>
          <w:lang w:eastAsia="fr-FR" w:bidi="fr-FR"/>
        </w:rPr>
        <w:t>n</w:t>
      </w:r>
      <w:r w:rsidRPr="001C2E2B">
        <w:rPr>
          <w:lang w:eastAsia="fr-FR" w:bidi="fr-FR"/>
        </w:rPr>
        <w:t xml:space="preserve">tres de recherches privés </w:t>
      </w:r>
      <w:r w:rsidRPr="001C2E2B">
        <w:t>(</w:t>
      </w:r>
      <w:r w:rsidRPr="00F56C6D">
        <w:rPr>
          <w:i/>
          <w:iCs/>
        </w:rPr>
        <w:t>think tanks</w:t>
      </w:r>
      <w:r w:rsidRPr="001C2E2B">
        <w:t>).</w:t>
      </w:r>
      <w:r w:rsidRPr="001C2E2B">
        <w:rPr>
          <w:lang w:eastAsia="fr-FR" w:bidi="fr-FR"/>
        </w:rPr>
        <w:t xml:space="preserve"> De ce fait, le rôle du Départ</w:t>
      </w:r>
      <w:r w:rsidRPr="001C2E2B">
        <w:rPr>
          <w:lang w:eastAsia="fr-FR" w:bidi="fr-FR"/>
        </w:rPr>
        <w:t>e</w:t>
      </w:r>
      <w:r w:rsidRPr="001C2E2B">
        <w:rPr>
          <w:lang w:eastAsia="fr-FR" w:bidi="fr-FR"/>
        </w:rPr>
        <w:t>ment d’</w:t>
      </w:r>
      <w:r>
        <w:rPr>
          <w:lang w:eastAsia="fr-FR" w:bidi="fr-FR"/>
        </w:rPr>
        <w:t>État</w:t>
      </w:r>
      <w:r w:rsidRPr="001C2E2B">
        <w:rPr>
          <w:lang w:eastAsia="fr-FR" w:bidi="fr-FR"/>
        </w:rPr>
        <w:t xml:space="preserve"> est moins déterminant.</w:t>
      </w:r>
    </w:p>
    <w:p w14:paraId="4654FAB5" w14:textId="77777777" w:rsidR="0039793A" w:rsidRPr="001C2E2B" w:rsidRDefault="0039793A" w:rsidP="0039793A">
      <w:pPr>
        <w:spacing w:before="120" w:after="120"/>
        <w:jc w:val="both"/>
      </w:pPr>
      <w:r w:rsidRPr="001C2E2B">
        <w:rPr>
          <w:lang w:eastAsia="fr-FR" w:bidi="fr-FR"/>
        </w:rPr>
        <w:t>Plus de quatre-vingt-dix commissions et études ont mené, entre 1946 et 1996, des études critiques sur la structure du Département d’</w:t>
      </w:r>
      <w:r>
        <w:rPr>
          <w:lang w:eastAsia="fr-FR" w:bidi="fr-FR"/>
        </w:rPr>
        <w:t>État </w:t>
      </w:r>
      <w:r>
        <w:rPr>
          <w:rStyle w:val="Appelnotedebasdep"/>
          <w:lang w:eastAsia="fr-FR" w:bidi="fr-FR"/>
        </w:rPr>
        <w:footnoteReference w:id="410"/>
      </w:r>
      <w:r w:rsidRPr="001C2E2B">
        <w:t> :</w:t>
      </w:r>
      <w:r w:rsidRPr="001C2E2B">
        <w:rPr>
          <w:lang w:eastAsia="fr-FR" w:bidi="fr-FR"/>
        </w:rPr>
        <w:t xml:space="preserve"> elles en ont tour à tour souligné l’inertie,</w:t>
      </w:r>
      <w:r>
        <w:t xml:space="preserve"> [185] </w:t>
      </w:r>
      <w:r w:rsidRPr="001C2E2B">
        <w:rPr>
          <w:lang w:eastAsia="fr-FR" w:bidi="fr-FR"/>
        </w:rPr>
        <w:t xml:space="preserve">justifiant de fait le primat du </w:t>
      </w:r>
      <w:r w:rsidRPr="001C2E2B">
        <w:t xml:space="preserve">NSC, </w:t>
      </w:r>
      <w:r w:rsidRPr="001C2E2B">
        <w:rPr>
          <w:lang w:eastAsia="fr-FR" w:bidi="fr-FR"/>
        </w:rPr>
        <w:t>et ses vellé</w:t>
      </w:r>
      <w:r w:rsidRPr="001C2E2B">
        <w:rPr>
          <w:lang w:eastAsia="fr-FR" w:bidi="fr-FR"/>
        </w:rPr>
        <w:t>i</w:t>
      </w:r>
      <w:r w:rsidRPr="001C2E2B">
        <w:rPr>
          <w:lang w:eastAsia="fr-FR" w:bidi="fr-FR"/>
        </w:rPr>
        <w:t>tés d’indépendance dès lors que des responsabilités substantielles lui étaient conférées par le président. Elles ont d’ailleurs suggéré de nombreux réaménag</w:t>
      </w:r>
      <w:r w:rsidRPr="001C2E2B">
        <w:rPr>
          <w:lang w:eastAsia="fr-FR" w:bidi="fr-FR"/>
        </w:rPr>
        <w:t>e</w:t>
      </w:r>
      <w:r w:rsidRPr="001C2E2B">
        <w:rPr>
          <w:lang w:eastAsia="fr-FR" w:bidi="fr-FR"/>
        </w:rPr>
        <w:t>ments. Pourtant, avec des ressources relativement limitées, ce dépa</w:t>
      </w:r>
      <w:r w:rsidRPr="001C2E2B">
        <w:rPr>
          <w:lang w:eastAsia="fr-FR" w:bidi="fr-FR"/>
        </w:rPr>
        <w:t>r</w:t>
      </w:r>
      <w:r w:rsidRPr="001C2E2B">
        <w:rPr>
          <w:lang w:eastAsia="fr-FR" w:bidi="fr-FR"/>
        </w:rPr>
        <w:t>tement a fait la preuve de son expertise.</w:t>
      </w:r>
    </w:p>
    <w:p w14:paraId="4522D436" w14:textId="77777777" w:rsidR="0039793A" w:rsidRDefault="0039793A" w:rsidP="0039793A">
      <w:pPr>
        <w:spacing w:before="120" w:after="120"/>
        <w:jc w:val="both"/>
        <w:rPr>
          <w:lang w:eastAsia="fr-FR" w:bidi="fr-FR"/>
        </w:rPr>
      </w:pPr>
    </w:p>
    <w:p w14:paraId="6433E904" w14:textId="77777777" w:rsidR="0039793A" w:rsidRPr="001C2E2B" w:rsidRDefault="0039793A" w:rsidP="0039793A">
      <w:pPr>
        <w:pStyle w:val="a"/>
      </w:pPr>
      <w:r w:rsidRPr="001C2E2B">
        <w:t>Le département de la Défense</w:t>
      </w:r>
    </w:p>
    <w:p w14:paraId="367F30A5" w14:textId="77777777" w:rsidR="0039793A" w:rsidRDefault="0039793A" w:rsidP="0039793A">
      <w:pPr>
        <w:spacing w:before="120" w:after="120"/>
        <w:jc w:val="both"/>
        <w:rPr>
          <w:lang w:eastAsia="fr-FR" w:bidi="fr-FR"/>
        </w:rPr>
      </w:pPr>
    </w:p>
    <w:p w14:paraId="4879FCE3" w14:textId="77777777" w:rsidR="0039793A" w:rsidRPr="001C2E2B" w:rsidRDefault="0039793A" w:rsidP="0039793A">
      <w:pPr>
        <w:spacing w:before="120" w:after="120"/>
        <w:jc w:val="both"/>
      </w:pPr>
      <w:r w:rsidRPr="001C2E2B">
        <w:rPr>
          <w:lang w:eastAsia="fr-FR" w:bidi="fr-FR"/>
        </w:rPr>
        <w:t>Le Pentagone (du nom du quartier général de la défense américa</w:t>
      </w:r>
      <w:r w:rsidRPr="001C2E2B">
        <w:rPr>
          <w:lang w:eastAsia="fr-FR" w:bidi="fr-FR"/>
        </w:rPr>
        <w:t>i</w:t>
      </w:r>
      <w:r w:rsidRPr="001C2E2B">
        <w:rPr>
          <w:lang w:eastAsia="fr-FR" w:bidi="fr-FR"/>
        </w:rPr>
        <w:t>ne) représente sans nul doute l’un des plus importants employeurs au monde avec quelque 2,5 millions de personnes (deux tiers de milita</w:t>
      </w:r>
      <w:r w:rsidRPr="001C2E2B">
        <w:rPr>
          <w:lang w:eastAsia="fr-FR" w:bidi="fr-FR"/>
        </w:rPr>
        <w:t>i</w:t>
      </w:r>
      <w:r w:rsidRPr="001C2E2B">
        <w:rPr>
          <w:lang w:eastAsia="fr-FR" w:bidi="fr-FR"/>
        </w:rPr>
        <w:t xml:space="preserve">res et un tiers de civils). Ainsi, parmi les employés du gouvernement fédéral, une personne sur deux travaille au département de la Défense. Les </w:t>
      </w:r>
      <w:r>
        <w:rPr>
          <w:lang w:eastAsia="fr-FR" w:bidi="fr-FR"/>
        </w:rPr>
        <w:t>État</w:t>
      </w:r>
      <w:r w:rsidRPr="001C2E2B">
        <w:rPr>
          <w:lang w:eastAsia="fr-FR" w:bidi="fr-FR"/>
        </w:rPr>
        <w:t>s-Unis disposent de la plus puissante force armée au monde, pour laquelle ils dépensent 396 milliards de dollars en 2004</w:t>
      </w:r>
      <w:r>
        <w:rPr>
          <w:lang w:eastAsia="fr-FR" w:bidi="fr-FR"/>
        </w:rPr>
        <w:t> </w:t>
      </w:r>
      <w:r>
        <w:rPr>
          <w:rStyle w:val="Appelnotedebasdep"/>
          <w:lang w:eastAsia="fr-FR" w:bidi="fr-FR"/>
        </w:rPr>
        <w:footnoteReference w:id="411"/>
      </w:r>
      <w:r w:rsidRPr="001C2E2B">
        <w:rPr>
          <w:lang w:eastAsia="fr-FR" w:bidi="fr-FR"/>
        </w:rPr>
        <w:t>. Le budget de la Défense représente ainsi environ un cinquième des cr</w:t>
      </w:r>
      <w:r w:rsidRPr="001C2E2B">
        <w:rPr>
          <w:lang w:eastAsia="fr-FR" w:bidi="fr-FR"/>
        </w:rPr>
        <w:t>é</w:t>
      </w:r>
      <w:r w:rsidRPr="001C2E2B">
        <w:rPr>
          <w:lang w:eastAsia="fr-FR" w:bidi="fr-FR"/>
        </w:rPr>
        <w:t>dits votés par le Congrès dans le budget fédéral 2003. Toutefois, ces sommes demeurent (en pou</w:t>
      </w:r>
      <w:r w:rsidRPr="001C2E2B">
        <w:rPr>
          <w:lang w:eastAsia="fr-FR" w:bidi="fr-FR"/>
        </w:rPr>
        <w:t>r</w:t>
      </w:r>
      <w:r w:rsidRPr="001C2E2B">
        <w:rPr>
          <w:lang w:eastAsia="fr-FR" w:bidi="fr-FR"/>
        </w:rPr>
        <w:t xml:space="preserve">centage du </w:t>
      </w:r>
      <w:r w:rsidRPr="001C2E2B">
        <w:t xml:space="preserve">PNB) </w:t>
      </w:r>
      <w:r w:rsidRPr="001C2E2B">
        <w:rPr>
          <w:lang w:eastAsia="fr-FR" w:bidi="fr-FR"/>
        </w:rPr>
        <w:t>en deçà des sommets de la guerre froide, alors que 70% des employés du gouvernement féd</w:t>
      </w:r>
      <w:r w:rsidRPr="001C2E2B">
        <w:rPr>
          <w:lang w:eastAsia="fr-FR" w:bidi="fr-FR"/>
        </w:rPr>
        <w:t>é</w:t>
      </w:r>
      <w:r w:rsidRPr="001C2E2B">
        <w:rPr>
          <w:lang w:eastAsia="fr-FR" w:bidi="fr-FR"/>
        </w:rPr>
        <w:t>ral travaillaient au Pentagone, et que celui-ci, durant les années ci</w:t>
      </w:r>
      <w:r w:rsidRPr="001C2E2B">
        <w:rPr>
          <w:lang w:eastAsia="fr-FR" w:bidi="fr-FR"/>
        </w:rPr>
        <w:t>n</w:t>
      </w:r>
      <w:r w:rsidRPr="001C2E2B">
        <w:rPr>
          <w:lang w:eastAsia="fr-FR" w:bidi="fr-FR"/>
        </w:rPr>
        <w:t>quante, recueillait plus des deux tiers des dotations budgétaires. R</w:t>
      </w:r>
      <w:r w:rsidRPr="001C2E2B">
        <w:rPr>
          <w:lang w:eastAsia="fr-FR" w:bidi="fr-FR"/>
        </w:rPr>
        <w:t>a</w:t>
      </w:r>
      <w:r w:rsidRPr="001C2E2B">
        <w:rPr>
          <w:lang w:eastAsia="fr-FR" w:bidi="fr-FR"/>
        </w:rPr>
        <w:t xml:space="preserve">res sont les </w:t>
      </w:r>
      <w:r>
        <w:rPr>
          <w:lang w:eastAsia="fr-FR" w:bidi="fr-FR"/>
        </w:rPr>
        <w:t>État</w:t>
      </w:r>
      <w:r w:rsidRPr="001C2E2B">
        <w:rPr>
          <w:lang w:eastAsia="fr-FR" w:bidi="fr-FR"/>
        </w:rPr>
        <w:t>s fédérés qui ne disposent pas d’une base, d’une académie ou d’une institution militaire</w:t>
      </w:r>
      <w:r>
        <w:rPr>
          <w:lang w:eastAsia="fr-FR" w:bidi="fr-FR"/>
        </w:rPr>
        <w:t> </w:t>
      </w:r>
      <w:r>
        <w:rPr>
          <w:rStyle w:val="Appelnotedebasdep"/>
          <w:lang w:eastAsia="fr-FR" w:bidi="fr-FR"/>
        </w:rPr>
        <w:footnoteReference w:id="412"/>
      </w:r>
      <w:r>
        <w:rPr>
          <w:lang w:eastAsia="fr-FR" w:bidi="fr-FR"/>
        </w:rPr>
        <w:t>, une réalité à la</w:t>
      </w:r>
      <w:r w:rsidRPr="001C2E2B">
        <w:rPr>
          <w:lang w:eastAsia="fr-FR" w:bidi="fr-FR"/>
        </w:rPr>
        <w:t>quelle le Congrès n’est pas insensible. L’enveloppe financière accordée à la Défense demeure ainsi la seconde en importance dans le budget fédéral, après les affa</w:t>
      </w:r>
      <w:r w:rsidRPr="001C2E2B">
        <w:rPr>
          <w:lang w:eastAsia="fr-FR" w:bidi="fr-FR"/>
        </w:rPr>
        <w:t>i</w:t>
      </w:r>
      <w:r w:rsidRPr="001C2E2B">
        <w:rPr>
          <w:lang w:eastAsia="fr-FR" w:bidi="fr-FR"/>
        </w:rPr>
        <w:t>res sociales et la sécurité médicale</w:t>
      </w:r>
      <w:r>
        <w:rPr>
          <w:lang w:eastAsia="fr-FR" w:bidi="fr-FR"/>
        </w:rPr>
        <w:t> </w:t>
      </w:r>
      <w:r>
        <w:rPr>
          <w:rStyle w:val="Appelnotedebasdep"/>
          <w:lang w:eastAsia="fr-FR" w:bidi="fr-FR"/>
        </w:rPr>
        <w:footnoteReference w:id="413"/>
      </w:r>
      <w:r w:rsidRPr="001C2E2B">
        <w:rPr>
          <w:lang w:eastAsia="fr-FR" w:bidi="fr-FR"/>
        </w:rPr>
        <w:t>. Faut-il s’étonner que, durant les dernières</w:t>
      </w:r>
      <w:r>
        <w:t xml:space="preserve"> [186] </w:t>
      </w:r>
      <w:r w:rsidRPr="001C2E2B">
        <w:rPr>
          <w:lang w:eastAsia="fr-FR" w:bidi="fr-FR"/>
        </w:rPr>
        <w:t>décennies, le département de la Défense ait vu son influence dans la formulation de la politique étrangère au</w:t>
      </w:r>
      <w:r w:rsidRPr="001C2E2B">
        <w:rPr>
          <w:lang w:eastAsia="fr-FR" w:bidi="fr-FR"/>
        </w:rPr>
        <w:t>g</w:t>
      </w:r>
      <w:r w:rsidRPr="001C2E2B">
        <w:rPr>
          <w:lang w:eastAsia="fr-FR" w:bidi="fr-FR"/>
        </w:rPr>
        <w:t>menter tandis que celle du Département d’</w:t>
      </w:r>
      <w:r>
        <w:rPr>
          <w:lang w:eastAsia="fr-FR" w:bidi="fr-FR"/>
        </w:rPr>
        <w:t>État</w:t>
      </w:r>
      <w:r w:rsidRPr="001C2E2B">
        <w:rPr>
          <w:lang w:eastAsia="fr-FR" w:bidi="fr-FR"/>
        </w:rPr>
        <w:t xml:space="preserve"> diminuait simultan</w:t>
      </w:r>
      <w:r w:rsidRPr="001C2E2B">
        <w:rPr>
          <w:lang w:eastAsia="fr-FR" w:bidi="fr-FR"/>
        </w:rPr>
        <w:t>é</w:t>
      </w:r>
      <w:r w:rsidRPr="001C2E2B">
        <w:rPr>
          <w:lang w:eastAsia="fr-FR" w:bidi="fr-FR"/>
        </w:rPr>
        <w:t>ment et symétr</w:t>
      </w:r>
      <w:r w:rsidRPr="001C2E2B">
        <w:rPr>
          <w:lang w:eastAsia="fr-FR" w:bidi="fr-FR"/>
        </w:rPr>
        <w:t>i</w:t>
      </w:r>
      <w:r w:rsidRPr="001C2E2B">
        <w:rPr>
          <w:lang w:eastAsia="fr-FR" w:bidi="fr-FR"/>
        </w:rPr>
        <w:t>quement</w:t>
      </w:r>
      <w:r w:rsidRPr="001C2E2B">
        <w:t> ?</w:t>
      </w:r>
    </w:p>
    <w:p w14:paraId="0AE76D3B" w14:textId="77777777" w:rsidR="0039793A" w:rsidRDefault="0039793A" w:rsidP="0039793A">
      <w:pPr>
        <w:spacing w:before="120" w:after="120"/>
        <w:jc w:val="both"/>
        <w:rPr>
          <w:lang w:eastAsia="fr-FR" w:bidi="fr-FR"/>
        </w:rPr>
      </w:pPr>
    </w:p>
    <w:p w14:paraId="6B561EF6" w14:textId="77777777" w:rsidR="0039793A" w:rsidRPr="00F56C6D" w:rsidRDefault="0039793A" w:rsidP="0039793A">
      <w:pPr>
        <w:pStyle w:val="b"/>
      </w:pPr>
      <w:r w:rsidRPr="00F56C6D">
        <w:rPr>
          <w:lang w:eastAsia="fr-FR" w:bidi="fr-FR"/>
        </w:rPr>
        <w:t>La création du département de la Défense</w:t>
      </w:r>
    </w:p>
    <w:p w14:paraId="61EEBBDA" w14:textId="77777777" w:rsidR="0039793A" w:rsidRDefault="0039793A" w:rsidP="0039793A">
      <w:pPr>
        <w:spacing w:before="120" w:after="120"/>
        <w:jc w:val="both"/>
        <w:rPr>
          <w:lang w:eastAsia="fr-FR" w:bidi="fr-FR"/>
        </w:rPr>
      </w:pPr>
    </w:p>
    <w:p w14:paraId="1EA97709" w14:textId="77777777" w:rsidR="0039793A" w:rsidRPr="001C2E2B" w:rsidRDefault="0039793A" w:rsidP="0039793A">
      <w:pPr>
        <w:spacing w:before="120" w:after="120"/>
        <w:jc w:val="both"/>
      </w:pPr>
      <w:r w:rsidRPr="001C2E2B">
        <w:rPr>
          <w:lang w:eastAsia="fr-FR" w:bidi="fr-FR"/>
        </w:rPr>
        <w:t>La mission de la Défense est multiforme</w:t>
      </w:r>
      <w:r w:rsidRPr="001C2E2B">
        <w:t> :</w:t>
      </w:r>
      <w:r w:rsidRPr="001C2E2B">
        <w:rPr>
          <w:lang w:eastAsia="fr-FR" w:bidi="fr-FR"/>
        </w:rPr>
        <w:t xml:space="preserve"> opérations et interve</w:t>
      </w:r>
      <w:r w:rsidRPr="001C2E2B">
        <w:rPr>
          <w:lang w:eastAsia="fr-FR" w:bidi="fr-FR"/>
        </w:rPr>
        <w:t>n</w:t>
      </w:r>
      <w:r w:rsidRPr="001C2E2B">
        <w:rPr>
          <w:lang w:eastAsia="fr-FR" w:bidi="fr-FR"/>
        </w:rPr>
        <w:t>tions militaires, missions de paix, sauvegarde des alliances, survei</w:t>
      </w:r>
      <w:r w:rsidRPr="001C2E2B">
        <w:rPr>
          <w:lang w:eastAsia="fr-FR" w:bidi="fr-FR"/>
        </w:rPr>
        <w:t>l</w:t>
      </w:r>
      <w:r w:rsidRPr="001C2E2B">
        <w:rPr>
          <w:lang w:eastAsia="fr-FR" w:bidi="fr-FR"/>
        </w:rPr>
        <w:t>lance des océans, projection de la force... Le département de la Défe</w:t>
      </w:r>
      <w:r w:rsidRPr="001C2E2B">
        <w:rPr>
          <w:lang w:eastAsia="fr-FR" w:bidi="fr-FR"/>
        </w:rPr>
        <w:t>n</w:t>
      </w:r>
      <w:r w:rsidRPr="001C2E2B">
        <w:rPr>
          <w:lang w:eastAsia="fr-FR" w:bidi="fr-FR"/>
        </w:rPr>
        <w:t>se a, de toute évidence, profité du contexte de la guerre froide</w:t>
      </w:r>
      <w:r w:rsidRPr="001C2E2B">
        <w:t> ;</w:t>
      </w:r>
      <w:r w:rsidRPr="001C2E2B">
        <w:rPr>
          <w:lang w:eastAsia="fr-FR" w:bidi="fr-FR"/>
        </w:rPr>
        <w:t xml:space="preserve"> et d</w:t>
      </w:r>
      <w:r w:rsidRPr="001C2E2B">
        <w:rPr>
          <w:lang w:eastAsia="fr-FR" w:bidi="fr-FR"/>
        </w:rPr>
        <w:t>e</w:t>
      </w:r>
      <w:r w:rsidRPr="001C2E2B">
        <w:rPr>
          <w:lang w:eastAsia="fr-FR" w:bidi="fr-FR"/>
        </w:rPr>
        <w:t>puis lors, il demeure un acteur essentiel de la mise en œuvre de la p</w:t>
      </w:r>
      <w:r w:rsidRPr="001C2E2B">
        <w:rPr>
          <w:lang w:eastAsia="fr-FR" w:bidi="fr-FR"/>
        </w:rPr>
        <w:t>o</w:t>
      </w:r>
      <w:r w:rsidRPr="001C2E2B">
        <w:rPr>
          <w:lang w:eastAsia="fr-FR" w:bidi="fr-FR"/>
        </w:rPr>
        <w:t xml:space="preserve">litique étrangère. Jusqu’au début du </w:t>
      </w:r>
      <w:r w:rsidRPr="001C2E2B">
        <w:t>XX</w:t>
      </w:r>
      <w:r w:rsidRPr="001C2E2B">
        <w:rPr>
          <w:vertAlign w:val="superscript"/>
        </w:rPr>
        <w:t>e</w:t>
      </w:r>
      <w:r w:rsidRPr="001C2E2B">
        <w:t xml:space="preserve"> </w:t>
      </w:r>
      <w:r w:rsidRPr="001C2E2B">
        <w:rPr>
          <w:lang w:eastAsia="fr-FR" w:bidi="fr-FR"/>
        </w:rPr>
        <w:t>siècle, les États-Unis ne constituaient pas vraiment une puissance militaire</w:t>
      </w:r>
      <w:r w:rsidRPr="001C2E2B">
        <w:t> :</w:t>
      </w:r>
      <w:r w:rsidRPr="001C2E2B">
        <w:rPr>
          <w:lang w:eastAsia="fr-FR" w:bidi="fr-FR"/>
        </w:rPr>
        <w:t xml:space="preserve"> ils ne pouvaient compter que sur une petite armée (souvent décentralisée et réserviste), de même que sur une modeste marine</w:t>
      </w:r>
      <w:r>
        <w:rPr>
          <w:lang w:eastAsia="fr-FR" w:bidi="fr-FR"/>
        </w:rPr>
        <w:t> </w:t>
      </w:r>
      <w:r>
        <w:rPr>
          <w:rStyle w:val="Appelnotedebasdep"/>
          <w:lang w:eastAsia="fr-FR" w:bidi="fr-FR"/>
        </w:rPr>
        <w:footnoteReference w:id="414"/>
      </w:r>
      <w:r>
        <w:rPr>
          <w:lang w:eastAsia="fr-FR" w:bidi="fr-FR"/>
        </w:rPr>
        <w:t>.</w:t>
      </w:r>
      <w:r w:rsidRPr="001C2E2B">
        <w:rPr>
          <w:lang w:eastAsia="fr-FR" w:bidi="fr-FR"/>
        </w:rPr>
        <w:t xml:space="preserve"> Avant la seconde guerre mondiale, les États-Unis ont v</w:t>
      </w:r>
      <w:r w:rsidRPr="001C2E2B">
        <w:rPr>
          <w:lang w:eastAsia="fr-FR" w:bidi="fr-FR"/>
        </w:rPr>
        <w:t>o</w:t>
      </w:r>
      <w:r w:rsidRPr="001C2E2B">
        <w:rPr>
          <w:lang w:eastAsia="fr-FR" w:bidi="fr-FR"/>
        </w:rPr>
        <w:t>lontairement écarté la constitution d’une armée permanente et professionnelle</w:t>
      </w:r>
      <w:r w:rsidRPr="001C2E2B">
        <w:t> :</w:t>
      </w:r>
      <w:r w:rsidRPr="001C2E2B">
        <w:rPr>
          <w:lang w:eastAsia="fr-FR" w:bidi="fr-FR"/>
        </w:rPr>
        <w:t xml:space="preserve"> cela signifie que pour mener leurs guerres et leurs interventions, les États-Unis ont dû mob</w:t>
      </w:r>
      <w:r w:rsidRPr="001C2E2B">
        <w:rPr>
          <w:lang w:eastAsia="fr-FR" w:bidi="fr-FR"/>
        </w:rPr>
        <w:t>i</w:t>
      </w:r>
      <w:r w:rsidRPr="001C2E2B">
        <w:rPr>
          <w:lang w:eastAsia="fr-FR" w:bidi="fr-FR"/>
        </w:rPr>
        <w:t>liser chaque fois, pour d</w:t>
      </w:r>
      <w:r w:rsidRPr="001C2E2B">
        <w:rPr>
          <w:lang w:eastAsia="fr-FR" w:bidi="fr-FR"/>
        </w:rPr>
        <w:t>é</w:t>
      </w:r>
      <w:r w:rsidRPr="001C2E2B">
        <w:rPr>
          <w:lang w:eastAsia="fr-FR" w:bidi="fr-FR"/>
        </w:rPr>
        <w:t>mobiliser à la fin de chaque conflit. En 1941, les États-Unis mobilisent donc de nouveau, pour m</w:t>
      </w:r>
      <w:r w:rsidRPr="001C2E2B">
        <w:rPr>
          <w:lang w:eastAsia="fr-FR" w:bidi="fr-FR"/>
        </w:rPr>
        <w:t>e</w:t>
      </w:r>
      <w:r w:rsidRPr="001C2E2B">
        <w:rPr>
          <w:lang w:eastAsia="fr-FR" w:bidi="fr-FR"/>
        </w:rPr>
        <w:t>ner la seconde guerre mondiale. Pour autant cette armée ne sera pas complètement démobilisée en 1945</w:t>
      </w:r>
      <w:r w:rsidRPr="001C2E2B">
        <w:t> :</w:t>
      </w:r>
      <w:r w:rsidRPr="001C2E2B">
        <w:rPr>
          <w:lang w:eastAsia="fr-FR" w:bidi="fr-FR"/>
        </w:rPr>
        <w:t xml:space="preserve"> c’est un tournant de l’histoire militaire amér</w:t>
      </w:r>
      <w:r w:rsidRPr="001C2E2B">
        <w:rPr>
          <w:lang w:eastAsia="fr-FR" w:bidi="fr-FR"/>
        </w:rPr>
        <w:t>i</w:t>
      </w:r>
      <w:r w:rsidRPr="001C2E2B">
        <w:rPr>
          <w:lang w:eastAsia="fr-FR" w:bidi="fr-FR"/>
        </w:rPr>
        <w:t>caine et le début d’une armée permanente (la conscription sera mai</w:t>
      </w:r>
      <w:r w:rsidRPr="001C2E2B">
        <w:rPr>
          <w:lang w:eastAsia="fr-FR" w:bidi="fr-FR"/>
        </w:rPr>
        <w:t>n</w:t>
      </w:r>
      <w:r w:rsidRPr="001C2E2B">
        <w:rPr>
          <w:lang w:eastAsia="fr-FR" w:bidi="fr-FR"/>
        </w:rPr>
        <w:t>tenue jusqu’en 1973). Sur le plan institutionnel, les départements de la Guerre et de la Marine constituaient, depuis leur création en 1798, les seules structures militaires permane</w:t>
      </w:r>
      <w:r w:rsidRPr="001C2E2B">
        <w:rPr>
          <w:lang w:eastAsia="fr-FR" w:bidi="fr-FR"/>
        </w:rPr>
        <w:t>n</w:t>
      </w:r>
      <w:r w:rsidRPr="001C2E2B">
        <w:rPr>
          <w:lang w:eastAsia="fr-FR" w:bidi="fr-FR"/>
        </w:rPr>
        <w:t>tes, en réalité très fragmentées. Ici encore, la s</w:t>
      </w:r>
      <w:r w:rsidRPr="001C2E2B">
        <w:rPr>
          <w:lang w:eastAsia="fr-FR" w:bidi="fr-FR"/>
        </w:rPr>
        <w:t>e</w:t>
      </w:r>
      <w:r w:rsidRPr="001C2E2B">
        <w:rPr>
          <w:lang w:eastAsia="fr-FR" w:bidi="fr-FR"/>
        </w:rPr>
        <w:t>conde guerre mondiale, et avec elle le choc de l’attaque de Pearl Harbor, viendront bouleverser les priorités</w:t>
      </w:r>
      <w:r w:rsidRPr="001C2E2B">
        <w:t> :</w:t>
      </w:r>
      <w:r w:rsidRPr="001C2E2B">
        <w:rPr>
          <w:lang w:eastAsia="fr-FR" w:bidi="fr-FR"/>
        </w:rPr>
        <w:t xml:space="preserve"> ce n’est en effet qu’à l’issue de ce conflit que se constituera progressivement et déf</w:t>
      </w:r>
      <w:r w:rsidRPr="001C2E2B">
        <w:rPr>
          <w:lang w:eastAsia="fr-FR" w:bidi="fr-FR"/>
        </w:rPr>
        <w:t>i</w:t>
      </w:r>
      <w:r w:rsidRPr="001C2E2B">
        <w:rPr>
          <w:lang w:eastAsia="fr-FR" w:bidi="fr-FR"/>
        </w:rPr>
        <w:t>nitivement le département de la Défense. Sa mise en place sera marquée par quatre étapes importa</w:t>
      </w:r>
      <w:r w:rsidRPr="001C2E2B">
        <w:rPr>
          <w:lang w:eastAsia="fr-FR" w:bidi="fr-FR"/>
        </w:rPr>
        <w:t>n</w:t>
      </w:r>
      <w:r w:rsidRPr="001C2E2B">
        <w:rPr>
          <w:lang w:eastAsia="fr-FR" w:bidi="fr-FR"/>
        </w:rPr>
        <w:t>tes</w:t>
      </w:r>
      <w:r>
        <w:rPr>
          <w:lang w:eastAsia="fr-FR" w:bidi="fr-FR"/>
        </w:rPr>
        <w:t> </w:t>
      </w:r>
      <w:r>
        <w:rPr>
          <w:rStyle w:val="Appelnotedebasdep"/>
          <w:lang w:eastAsia="fr-FR" w:bidi="fr-FR"/>
        </w:rPr>
        <w:footnoteReference w:id="415"/>
      </w:r>
      <w:r w:rsidRPr="001C2E2B">
        <w:t> :</w:t>
      </w:r>
    </w:p>
    <w:p w14:paraId="664849C4" w14:textId="77777777" w:rsidR="0039793A" w:rsidRPr="001C2E2B" w:rsidRDefault="0039793A" w:rsidP="0039793A">
      <w:pPr>
        <w:spacing w:before="120" w:after="120"/>
        <w:jc w:val="both"/>
      </w:pPr>
      <w:r w:rsidRPr="001C2E2B">
        <w:rPr>
          <w:lang w:eastAsia="fr-FR" w:bidi="fr-FR"/>
        </w:rPr>
        <w:t xml:space="preserve">La première réforme résulte de l’adoption de la loi sur la sécurité nationale </w:t>
      </w:r>
      <w:r>
        <w:t>(</w:t>
      </w:r>
      <w:r w:rsidRPr="00D7372A">
        <w:rPr>
          <w:i/>
          <w:iCs/>
        </w:rPr>
        <w:t>National Security Act</w:t>
      </w:r>
      <w:r w:rsidRPr="001C2E2B">
        <w:rPr>
          <w:lang w:eastAsia="fr-FR" w:bidi="fr-FR"/>
        </w:rPr>
        <w:t>) de 1947. Cette loi conduit à la cré</w:t>
      </w:r>
      <w:r w:rsidRPr="001C2E2B">
        <w:rPr>
          <w:lang w:eastAsia="fr-FR" w:bidi="fr-FR"/>
        </w:rPr>
        <w:t>a</w:t>
      </w:r>
      <w:r w:rsidRPr="001C2E2B">
        <w:rPr>
          <w:lang w:eastAsia="fr-FR" w:bidi="fr-FR"/>
        </w:rPr>
        <w:t>tion d’un établissement militaire national et intégré, sorte d’embryon du département de la Défense. Les trois armes, c’est-à-dire</w:t>
      </w:r>
      <w:r>
        <w:t xml:space="preserve"> [187]</w:t>
      </w:r>
      <w:r w:rsidRPr="001C2E2B">
        <w:rPr>
          <w:lang w:eastAsia="fr-FR" w:bidi="fr-FR"/>
        </w:rPr>
        <w:t xml:space="preserve"> les services de l’armée de Terre, de l’armée de l’Air et de la Marine, sont réunies au sein de cette même structure administrative. Cette central</w:t>
      </w:r>
      <w:r w:rsidRPr="001C2E2B">
        <w:rPr>
          <w:lang w:eastAsia="fr-FR" w:bidi="fr-FR"/>
        </w:rPr>
        <w:t>i</w:t>
      </w:r>
      <w:r w:rsidRPr="001C2E2B">
        <w:rPr>
          <w:lang w:eastAsia="fr-FR" w:bidi="fr-FR"/>
        </w:rPr>
        <w:t>sation administrative est corrélée par une centralis</w:t>
      </w:r>
      <w:r w:rsidRPr="001C2E2B">
        <w:rPr>
          <w:lang w:eastAsia="fr-FR" w:bidi="fr-FR"/>
        </w:rPr>
        <w:t>a</w:t>
      </w:r>
      <w:r w:rsidRPr="001C2E2B">
        <w:rPr>
          <w:lang w:eastAsia="fr-FR" w:bidi="fr-FR"/>
        </w:rPr>
        <w:t>tion décisionnelle lorsque est constitué, sous l’impulsion de l’armée de Terre et malgré l’opposition de la Marine, le comité des chefs d’État-major</w:t>
      </w:r>
      <w:r w:rsidRPr="001C2E2B">
        <w:t> :</w:t>
      </w:r>
      <w:r w:rsidRPr="001C2E2B">
        <w:rPr>
          <w:lang w:eastAsia="fr-FR" w:bidi="fr-FR"/>
        </w:rPr>
        <w:t xml:space="preserve"> le </w:t>
      </w:r>
      <w:r w:rsidRPr="001C2E2B">
        <w:t>JCS (</w:t>
      </w:r>
      <w:r w:rsidRPr="00844915">
        <w:rPr>
          <w:i/>
          <w:iCs/>
        </w:rPr>
        <w:t>Joint Chiefs of Staff</w:t>
      </w:r>
      <w:r w:rsidRPr="001C2E2B">
        <w:t>).</w:t>
      </w:r>
    </w:p>
    <w:p w14:paraId="7E42D890" w14:textId="77777777" w:rsidR="0039793A" w:rsidRPr="001C2E2B" w:rsidRDefault="0039793A" w:rsidP="0039793A">
      <w:pPr>
        <w:spacing w:before="120" w:after="120"/>
        <w:jc w:val="both"/>
      </w:pPr>
      <w:r w:rsidRPr="001C2E2B">
        <w:rPr>
          <w:lang w:eastAsia="fr-FR" w:bidi="fr-FR"/>
        </w:rPr>
        <w:t>Cette double centralisation est parachevée en 1949 lorsque le Congrès avalise la création off</w:t>
      </w:r>
      <w:r w:rsidRPr="001C2E2B">
        <w:rPr>
          <w:lang w:eastAsia="fr-FR" w:bidi="fr-FR"/>
        </w:rPr>
        <w:t>i</w:t>
      </w:r>
      <w:r w:rsidRPr="001C2E2B">
        <w:rPr>
          <w:lang w:eastAsia="fr-FR" w:bidi="fr-FR"/>
        </w:rPr>
        <w:t>cielle du département de la Défense. En instit</w:t>
      </w:r>
      <w:r w:rsidRPr="001C2E2B">
        <w:rPr>
          <w:lang w:eastAsia="fr-FR" w:bidi="fr-FR"/>
        </w:rPr>
        <w:t>u</w:t>
      </w:r>
      <w:r w:rsidRPr="001C2E2B">
        <w:rPr>
          <w:lang w:eastAsia="fr-FR" w:bidi="fr-FR"/>
        </w:rPr>
        <w:t>tionnalisant le poste de secrétaire à la Défense et en le dotant de pouvoirs réels sur la gestion et les budgets du département, cette réforme ne conserve aux traditionnels secrétaires à la Guerre et à la Marine qu’une valeur symbolique. À cela, il faut ajo</w:t>
      </w:r>
      <w:r w:rsidRPr="001C2E2B">
        <w:rPr>
          <w:lang w:eastAsia="fr-FR" w:bidi="fr-FR"/>
        </w:rPr>
        <w:t>u</w:t>
      </w:r>
      <w:r w:rsidRPr="001C2E2B">
        <w:rPr>
          <w:lang w:eastAsia="fr-FR" w:bidi="fr-FR"/>
        </w:rPr>
        <w:t>ter la création du poste de président du comité des chefs d’</w:t>
      </w:r>
      <w:r>
        <w:rPr>
          <w:lang w:eastAsia="fr-FR" w:bidi="fr-FR"/>
        </w:rPr>
        <w:t>État</w:t>
      </w:r>
      <w:r w:rsidRPr="001C2E2B">
        <w:rPr>
          <w:lang w:eastAsia="fr-FR" w:bidi="fr-FR"/>
        </w:rPr>
        <w:t xml:space="preserve">-major ou </w:t>
      </w:r>
      <w:r w:rsidRPr="001C2E2B">
        <w:t>CJCS (</w:t>
      </w:r>
      <w:r w:rsidRPr="00844915">
        <w:rPr>
          <w:i/>
          <w:iCs/>
        </w:rPr>
        <w:t>Chai</w:t>
      </w:r>
      <w:r w:rsidRPr="00844915">
        <w:rPr>
          <w:i/>
          <w:iCs/>
        </w:rPr>
        <w:t>r</w:t>
      </w:r>
      <w:r w:rsidRPr="00844915">
        <w:rPr>
          <w:i/>
          <w:iCs/>
        </w:rPr>
        <w:t>man of the Joint Chiefs of Staff</w:t>
      </w:r>
      <w:r w:rsidRPr="001C2E2B">
        <w:t>)</w:t>
      </w:r>
      <w:r w:rsidRPr="001C2E2B">
        <w:rPr>
          <w:lang w:eastAsia="fr-FR" w:bidi="fr-FR"/>
        </w:rPr>
        <w:t xml:space="preserve"> dont l’influence, néanmoins, deme</w:t>
      </w:r>
      <w:r w:rsidRPr="001C2E2B">
        <w:rPr>
          <w:lang w:eastAsia="fr-FR" w:bidi="fr-FR"/>
        </w:rPr>
        <w:t>u</w:t>
      </w:r>
      <w:r w:rsidRPr="001C2E2B">
        <w:rPr>
          <w:lang w:eastAsia="fr-FR" w:bidi="fr-FR"/>
        </w:rPr>
        <w:t>re réduite à la portion congrue. L’efficacité de cette nouvelle archite</w:t>
      </w:r>
      <w:r w:rsidRPr="001C2E2B">
        <w:rPr>
          <w:lang w:eastAsia="fr-FR" w:bidi="fr-FR"/>
        </w:rPr>
        <w:t>c</w:t>
      </w:r>
      <w:r w:rsidRPr="001C2E2B">
        <w:rPr>
          <w:lang w:eastAsia="fr-FR" w:bidi="fr-FR"/>
        </w:rPr>
        <w:t>ture est amoindrie cependant par l’insuffisante centralisation du po</w:t>
      </w:r>
      <w:r w:rsidRPr="001C2E2B">
        <w:rPr>
          <w:lang w:eastAsia="fr-FR" w:bidi="fr-FR"/>
        </w:rPr>
        <w:t>u</w:t>
      </w:r>
      <w:r w:rsidRPr="001C2E2B">
        <w:rPr>
          <w:lang w:eastAsia="fr-FR" w:bidi="fr-FR"/>
        </w:rPr>
        <w:t>voir.</w:t>
      </w:r>
    </w:p>
    <w:p w14:paraId="657B0FE2" w14:textId="77777777" w:rsidR="0039793A" w:rsidRPr="001C2E2B" w:rsidRDefault="0039793A" w:rsidP="0039793A">
      <w:pPr>
        <w:spacing w:before="120" w:after="120"/>
        <w:jc w:val="both"/>
      </w:pPr>
      <w:r w:rsidRPr="001C2E2B">
        <w:rPr>
          <w:lang w:eastAsia="fr-FR" w:bidi="fr-FR"/>
        </w:rPr>
        <w:t>Deux amendements à la loi sur la sécurité n</w:t>
      </w:r>
      <w:r w:rsidRPr="001C2E2B">
        <w:rPr>
          <w:lang w:eastAsia="fr-FR" w:bidi="fr-FR"/>
        </w:rPr>
        <w:t>a</w:t>
      </w:r>
      <w:r w:rsidRPr="001C2E2B">
        <w:rPr>
          <w:lang w:eastAsia="fr-FR" w:bidi="fr-FR"/>
        </w:rPr>
        <w:t>tionale permettent donc, coup sur coup, sous Eisenhower, de renforcer l’autorité du s</w:t>
      </w:r>
      <w:r w:rsidRPr="001C2E2B">
        <w:rPr>
          <w:lang w:eastAsia="fr-FR" w:bidi="fr-FR"/>
        </w:rPr>
        <w:t>e</w:t>
      </w:r>
      <w:r w:rsidRPr="001C2E2B">
        <w:rPr>
          <w:lang w:eastAsia="fr-FR" w:bidi="fr-FR"/>
        </w:rPr>
        <w:t xml:space="preserve">crétaire et du </w:t>
      </w:r>
      <w:r w:rsidRPr="001C2E2B">
        <w:t xml:space="preserve">CJCS. </w:t>
      </w:r>
      <w:r w:rsidRPr="001C2E2B">
        <w:rPr>
          <w:lang w:eastAsia="fr-FR" w:bidi="fr-FR"/>
        </w:rPr>
        <w:t xml:space="preserve">D’une part, à partir de 1953, le </w:t>
      </w:r>
      <w:r w:rsidRPr="001C2E2B">
        <w:t xml:space="preserve">CJCS </w:t>
      </w:r>
      <w:r w:rsidRPr="001C2E2B">
        <w:rPr>
          <w:lang w:eastAsia="fr-FR" w:bidi="fr-FR"/>
        </w:rPr>
        <w:t>peut déso</w:t>
      </w:r>
      <w:r w:rsidRPr="001C2E2B">
        <w:rPr>
          <w:lang w:eastAsia="fr-FR" w:bidi="fr-FR"/>
        </w:rPr>
        <w:t>r</w:t>
      </w:r>
      <w:r w:rsidRPr="001C2E2B">
        <w:rPr>
          <w:lang w:eastAsia="fr-FR" w:bidi="fr-FR"/>
        </w:rPr>
        <w:t>mais participer tant à la nomination qu’à la gestion des ressources humaines du comité d’</w:t>
      </w:r>
      <w:r>
        <w:rPr>
          <w:lang w:eastAsia="fr-FR" w:bidi="fr-FR"/>
        </w:rPr>
        <w:t>État</w:t>
      </w:r>
      <w:r w:rsidRPr="001C2E2B">
        <w:rPr>
          <w:lang w:eastAsia="fr-FR" w:bidi="fr-FR"/>
        </w:rPr>
        <w:t>-major. D’autre part, en 1958, le secrétaire à la Défense et ses conseillers civils se voient confier trois nouvelles fonctions</w:t>
      </w:r>
      <w:r w:rsidRPr="001C2E2B">
        <w:t> :</w:t>
      </w:r>
      <w:r w:rsidRPr="001C2E2B">
        <w:rPr>
          <w:lang w:eastAsia="fr-FR" w:bidi="fr-FR"/>
        </w:rPr>
        <w:t xml:space="preserve"> la définition des missions et du rôle des forces armées, la supervision de la conception et de la production des no</w:t>
      </w:r>
      <w:r w:rsidRPr="001C2E2B">
        <w:rPr>
          <w:lang w:eastAsia="fr-FR" w:bidi="fr-FR"/>
        </w:rPr>
        <w:t>u</w:t>
      </w:r>
      <w:r w:rsidRPr="001C2E2B">
        <w:rPr>
          <w:lang w:eastAsia="fr-FR" w:bidi="fr-FR"/>
        </w:rPr>
        <w:t>velles armes, et la direction sur les unités admini</w:t>
      </w:r>
      <w:r w:rsidRPr="001C2E2B">
        <w:rPr>
          <w:lang w:eastAsia="fr-FR" w:bidi="fr-FR"/>
        </w:rPr>
        <w:t>s</w:t>
      </w:r>
      <w:r w:rsidRPr="001C2E2B">
        <w:rPr>
          <w:lang w:eastAsia="fr-FR" w:bidi="fr-FR"/>
        </w:rPr>
        <w:t xml:space="preserve">tratives des trois armes. Dans le même temps, le </w:t>
      </w:r>
      <w:r w:rsidRPr="001C2E2B">
        <w:t xml:space="preserve">CJCS </w:t>
      </w:r>
      <w:r w:rsidRPr="001C2E2B">
        <w:rPr>
          <w:lang w:eastAsia="fr-FR" w:bidi="fr-FR"/>
        </w:rPr>
        <w:t>obtient la direction du comité d’</w:t>
      </w:r>
      <w:r>
        <w:rPr>
          <w:lang w:eastAsia="fr-FR" w:bidi="fr-FR"/>
        </w:rPr>
        <w:t>État</w:t>
      </w:r>
      <w:r w:rsidRPr="001C2E2B">
        <w:rPr>
          <w:lang w:eastAsia="fr-FR" w:bidi="fr-FR"/>
        </w:rPr>
        <w:t>-major et conjointement avec le secrétaire à la Défense, la responsabilité des commandements unifiés (régi</w:t>
      </w:r>
      <w:r w:rsidRPr="001C2E2B">
        <w:rPr>
          <w:lang w:eastAsia="fr-FR" w:bidi="fr-FR"/>
        </w:rPr>
        <w:t>o</w:t>
      </w:r>
      <w:r w:rsidRPr="001C2E2B">
        <w:rPr>
          <w:lang w:eastAsia="fr-FR" w:bidi="fr-FR"/>
        </w:rPr>
        <w:t>naux), jusqu’alors sous l’autorité des comma</w:t>
      </w:r>
      <w:r w:rsidRPr="001C2E2B">
        <w:rPr>
          <w:lang w:eastAsia="fr-FR" w:bidi="fr-FR"/>
        </w:rPr>
        <w:t>n</w:t>
      </w:r>
      <w:r w:rsidRPr="001C2E2B">
        <w:rPr>
          <w:lang w:eastAsia="fr-FR" w:bidi="fr-FR"/>
        </w:rPr>
        <w:t>dants de chacune des branches militaires. Cette réforme ne constitue cependant pas une révol</w:t>
      </w:r>
      <w:r w:rsidRPr="001C2E2B">
        <w:rPr>
          <w:lang w:eastAsia="fr-FR" w:bidi="fr-FR"/>
        </w:rPr>
        <w:t>u</w:t>
      </w:r>
      <w:r w:rsidRPr="001C2E2B">
        <w:rPr>
          <w:lang w:eastAsia="fr-FR" w:bidi="fr-FR"/>
        </w:rPr>
        <w:t>tion</w:t>
      </w:r>
      <w:r w:rsidRPr="001C2E2B">
        <w:t> :</w:t>
      </w:r>
      <w:r w:rsidRPr="001C2E2B">
        <w:rPr>
          <w:lang w:eastAsia="fr-FR" w:bidi="fr-FR"/>
        </w:rPr>
        <w:t xml:space="preserve"> les garde-fous sont nombreux et, en réalité, le </w:t>
      </w:r>
      <w:r w:rsidRPr="001C2E2B">
        <w:t xml:space="preserve">CJCS </w:t>
      </w:r>
      <w:r w:rsidRPr="001C2E2B">
        <w:rPr>
          <w:lang w:eastAsia="fr-FR" w:bidi="fr-FR"/>
        </w:rPr>
        <w:t>est astreint à une obligation de consult</w:t>
      </w:r>
      <w:r w:rsidRPr="001C2E2B">
        <w:rPr>
          <w:lang w:eastAsia="fr-FR" w:bidi="fr-FR"/>
        </w:rPr>
        <w:t>a</w:t>
      </w:r>
      <w:r w:rsidRPr="001C2E2B">
        <w:rPr>
          <w:lang w:eastAsia="fr-FR" w:bidi="fr-FR"/>
        </w:rPr>
        <w:t>tion des chefs d’</w:t>
      </w:r>
      <w:r>
        <w:rPr>
          <w:lang w:eastAsia="fr-FR" w:bidi="fr-FR"/>
        </w:rPr>
        <w:t>État</w:t>
      </w:r>
      <w:r w:rsidRPr="001C2E2B">
        <w:rPr>
          <w:lang w:eastAsia="fr-FR" w:bidi="fr-FR"/>
        </w:rPr>
        <w:t>-major. En d’autres termes, il ne peut prendre aucune d</w:t>
      </w:r>
      <w:r w:rsidRPr="001C2E2B">
        <w:rPr>
          <w:lang w:eastAsia="fr-FR" w:bidi="fr-FR"/>
        </w:rPr>
        <w:t>é</w:t>
      </w:r>
      <w:r w:rsidRPr="001C2E2B">
        <w:rPr>
          <w:lang w:eastAsia="fr-FR" w:bidi="fr-FR"/>
        </w:rPr>
        <w:t>cision sans l’accord des commandants des corps d’armes</w:t>
      </w:r>
      <w:r w:rsidRPr="001C2E2B">
        <w:t> :</w:t>
      </w:r>
      <w:r w:rsidRPr="001C2E2B">
        <w:rPr>
          <w:lang w:eastAsia="fr-FR" w:bidi="fr-FR"/>
        </w:rPr>
        <w:t xml:space="preserve"> l’autonomie — de corps et d’esprit — de chaque branche militaire perdure et ne permet pas le développement d’une conception vérit</w:t>
      </w:r>
      <w:r w:rsidRPr="001C2E2B">
        <w:rPr>
          <w:lang w:eastAsia="fr-FR" w:bidi="fr-FR"/>
        </w:rPr>
        <w:t>a</w:t>
      </w:r>
      <w:r w:rsidRPr="001C2E2B">
        <w:rPr>
          <w:lang w:eastAsia="fr-FR" w:bidi="fr-FR"/>
        </w:rPr>
        <w:t>blement intégrée des plans et des opérations.</w:t>
      </w:r>
    </w:p>
    <w:p w14:paraId="3D1D4FCE" w14:textId="77777777" w:rsidR="0039793A" w:rsidRPr="001C2E2B" w:rsidRDefault="0039793A" w:rsidP="0039793A">
      <w:pPr>
        <w:spacing w:before="120" w:after="120"/>
        <w:jc w:val="both"/>
      </w:pPr>
      <w:r w:rsidRPr="001C2E2B">
        <w:rPr>
          <w:lang w:eastAsia="fr-FR" w:bidi="fr-FR"/>
        </w:rPr>
        <w:t>En effet, ce n’est qu’en 1986, avec l’adoption par le Congrès de la loi de réorganisation Nicho</w:t>
      </w:r>
      <w:r>
        <w:rPr>
          <w:lang w:eastAsia="fr-FR" w:bidi="fr-FR"/>
        </w:rPr>
        <w:t>ls-Goldwater, que la centralisa</w:t>
      </w:r>
      <w:r w:rsidRPr="001C2E2B">
        <w:rPr>
          <w:lang w:eastAsia="fr-FR" w:bidi="fr-FR"/>
        </w:rPr>
        <w:t>tion</w:t>
      </w:r>
      <w:r>
        <w:t xml:space="preserve"> [188]</w:t>
      </w:r>
      <w:r w:rsidRPr="001C2E2B">
        <w:rPr>
          <w:lang w:eastAsia="fr-FR" w:bidi="fr-FR"/>
        </w:rPr>
        <w:t xml:space="preserve"> du pouvoir au sein du département de la Défense pourra abo</w:t>
      </w:r>
      <w:r w:rsidRPr="001C2E2B">
        <w:rPr>
          <w:lang w:eastAsia="fr-FR" w:bidi="fr-FR"/>
        </w:rPr>
        <w:t>u</w:t>
      </w:r>
      <w:r w:rsidRPr="001C2E2B">
        <w:rPr>
          <w:lang w:eastAsia="fr-FR" w:bidi="fr-FR"/>
        </w:rPr>
        <w:t>tir. À la suite des bévues de l’armée américaine en Iran (1980), au L</w:t>
      </w:r>
      <w:r w:rsidRPr="001C2E2B">
        <w:rPr>
          <w:lang w:eastAsia="fr-FR" w:bidi="fr-FR"/>
        </w:rPr>
        <w:t>i</w:t>
      </w:r>
      <w:r w:rsidRPr="001C2E2B">
        <w:rPr>
          <w:lang w:eastAsia="fr-FR" w:bidi="fr-FR"/>
        </w:rPr>
        <w:t xml:space="preserve">ban (1983) puis sur l’île de Grenade (1983), le Congrès apporte trois changements substantiels à la loi de 1947. Premièrement, il fait du </w:t>
      </w:r>
      <w:r w:rsidRPr="001C2E2B">
        <w:t xml:space="preserve">CJCS </w:t>
      </w:r>
      <w:r w:rsidRPr="001C2E2B">
        <w:rPr>
          <w:lang w:eastAsia="fr-FR" w:bidi="fr-FR"/>
        </w:rPr>
        <w:t>le principal conseiller militaire du président. À ce titre, il lui confère l’autorité et l’indépendance nécessaires pour concevoir les missions des forces armées et établir les projets de budgets militaires qui seront soumis au Congrès. Deuxièmement, la loi impose que, pour être promus au rang de général, les officiers doivent avoir été préal</w:t>
      </w:r>
      <w:r w:rsidRPr="001C2E2B">
        <w:rPr>
          <w:lang w:eastAsia="fr-FR" w:bidi="fr-FR"/>
        </w:rPr>
        <w:t>a</w:t>
      </w:r>
      <w:r w:rsidRPr="001C2E2B">
        <w:rPr>
          <w:lang w:eastAsia="fr-FR" w:bidi="fr-FR"/>
        </w:rPr>
        <w:t>blement affectés au commandement interarmes</w:t>
      </w:r>
      <w:r w:rsidRPr="001C2E2B">
        <w:t> :</w:t>
      </w:r>
      <w:r w:rsidRPr="001C2E2B">
        <w:rPr>
          <w:lang w:eastAsia="fr-FR" w:bidi="fr-FR"/>
        </w:rPr>
        <w:t xml:space="preserve"> cette structure gagne donc en importance parce quelle constitue une ét</w:t>
      </w:r>
      <w:r w:rsidRPr="001C2E2B">
        <w:rPr>
          <w:lang w:eastAsia="fr-FR" w:bidi="fr-FR"/>
        </w:rPr>
        <w:t>a</w:t>
      </w:r>
      <w:r w:rsidRPr="001C2E2B">
        <w:rPr>
          <w:lang w:eastAsia="fr-FR" w:bidi="fr-FR"/>
        </w:rPr>
        <w:t xml:space="preserve">pe nécessaire de la carrière, et en efficacité car elle assure la promotion du concept </w:t>
      </w:r>
      <w:r w:rsidRPr="001C2E2B">
        <w:t>« </w:t>
      </w:r>
      <w:r w:rsidRPr="001C2E2B">
        <w:rPr>
          <w:lang w:eastAsia="fr-FR" w:bidi="fr-FR"/>
        </w:rPr>
        <w:t>d’interarméité</w:t>
      </w:r>
      <w:r w:rsidRPr="001C2E2B">
        <w:t> »</w:t>
      </w:r>
      <w:r w:rsidRPr="001C2E2B">
        <w:rPr>
          <w:lang w:eastAsia="fr-FR" w:bidi="fr-FR"/>
        </w:rPr>
        <w:t>. Troisièmement, les commandants de théâtres d’opérations se voient accorder une autorité accrue sur la gestion des forces, l’organisation des opér</w:t>
      </w:r>
      <w:r w:rsidRPr="001C2E2B">
        <w:rPr>
          <w:lang w:eastAsia="fr-FR" w:bidi="fr-FR"/>
        </w:rPr>
        <w:t>a</w:t>
      </w:r>
      <w:r w:rsidRPr="001C2E2B">
        <w:rPr>
          <w:lang w:eastAsia="fr-FR" w:bidi="fr-FR"/>
        </w:rPr>
        <w:t xml:space="preserve">tions, la définition des missions, en même temps qu’ils sont en lien direct avec le </w:t>
      </w:r>
      <w:r w:rsidRPr="001C2E2B">
        <w:t xml:space="preserve">CJCS </w:t>
      </w:r>
      <w:r w:rsidRPr="001C2E2B">
        <w:rPr>
          <w:lang w:eastAsia="fr-FR" w:bidi="fr-FR"/>
        </w:rPr>
        <w:t>et le secr</w:t>
      </w:r>
      <w:r w:rsidRPr="001C2E2B">
        <w:rPr>
          <w:lang w:eastAsia="fr-FR" w:bidi="fr-FR"/>
        </w:rPr>
        <w:t>é</w:t>
      </w:r>
      <w:r w:rsidRPr="001C2E2B">
        <w:rPr>
          <w:lang w:eastAsia="fr-FR" w:bidi="fr-FR"/>
        </w:rPr>
        <w:t>taire à la Défense.</w:t>
      </w:r>
    </w:p>
    <w:p w14:paraId="288B7199" w14:textId="77777777" w:rsidR="0039793A" w:rsidRPr="001C2E2B" w:rsidRDefault="0039793A" w:rsidP="0039793A">
      <w:pPr>
        <w:spacing w:before="120" w:after="120"/>
        <w:jc w:val="both"/>
      </w:pPr>
      <w:r w:rsidRPr="001C2E2B">
        <w:rPr>
          <w:lang w:eastAsia="fr-FR" w:bidi="fr-FR"/>
        </w:rPr>
        <w:t>Trente-neuf années auront donc été nécessaires pour accomplir les objectifs initialement établis par la loi sur la sécurité nationale de 1947. Les r</w:t>
      </w:r>
      <w:r w:rsidRPr="001C2E2B">
        <w:rPr>
          <w:lang w:eastAsia="fr-FR" w:bidi="fr-FR"/>
        </w:rPr>
        <w:t>é</w:t>
      </w:r>
      <w:r w:rsidRPr="001C2E2B">
        <w:rPr>
          <w:lang w:eastAsia="fr-FR" w:bidi="fr-FR"/>
        </w:rPr>
        <w:t>sistances bureaucratiques et les intérêts corporatifs au sein des forces armées ont en effet largement ralenti le processus d’intégration.</w:t>
      </w:r>
    </w:p>
    <w:p w14:paraId="0891B34E" w14:textId="77777777" w:rsidR="0039793A" w:rsidRDefault="0039793A" w:rsidP="0039793A">
      <w:pPr>
        <w:spacing w:before="120" w:after="120"/>
        <w:jc w:val="both"/>
        <w:rPr>
          <w:lang w:eastAsia="fr-FR" w:bidi="fr-FR"/>
        </w:rPr>
      </w:pPr>
    </w:p>
    <w:p w14:paraId="58987E11" w14:textId="77777777" w:rsidR="0039793A" w:rsidRPr="00844915" w:rsidRDefault="0039793A" w:rsidP="0039793A">
      <w:pPr>
        <w:pStyle w:val="b"/>
      </w:pPr>
      <w:r w:rsidRPr="00844915">
        <w:rPr>
          <w:lang w:eastAsia="fr-FR" w:bidi="fr-FR"/>
        </w:rPr>
        <w:t>La structure civile du département de la Défe</w:t>
      </w:r>
      <w:r w:rsidRPr="00844915">
        <w:rPr>
          <w:lang w:eastAsia="fr-FR" w:bidi="fr-FR"/>
        </w:rPr>
        <w:t>n</w:t>
      </w:r>
      <w:r w:rsidRPr="00844915">
        <w:rPr>
          <w:lang w:eastAsia="fr-FR" w:bidi="fr-FR"/>
        </w:rPr>
        <w:t>se</w:t>
      </w:r>
    </w:p>
    <w:p w14:paraId="6D293DFF" w14:textId="77777777" w:rsidR="0039793A" w:rsidRDefault="0039793A" w:rsidP="0039793A">
      <w:pPr>
        <w:spacing w:before="120" w:after="120"/>
        <w:jc w:val="both"/>
        <w:rPr>
          <w:lang w:eastAsia="fr-FR" w:bidi="fr-FR"/>
        </w:rPr>
      </w:pPr>
    </w:p>
    <w:p w14:paraId="623C4816" w14:textId="77777777" w:rsidR="0039793A" w:rsidRPr="001C2E2B" w:rsidRDefault="0039793A" w:rsidP="0039793A">
      <w:pPr>
        <w:spacing w:before="120" w:after="120"/>
        <w:jc w:val="both"/>
      </w:pPr>
      <w:r w:rsidRPr="001C2E2B">
        <w:rPr>
          <w:lang w:eastAsia="fr-FR" w:bidi="fr-FR"/>
        </w:rPr>
        <w:t>Dans le même temps, l’incapacité des chefs d’État-major à s’accorder a laissé le champ libre à la consolidation de la structure civile du département de la Défense. La direction civile du départ</w:t>
      </w:r>
      <w:r w:rsidRPr="001C2E2B">
        <w:rPr>
          <w:lang w:eastAsia="fr-FR" w:bidi="fr-FR"/>
        </w:rPr>
        <w:t>e</w:t>
      </w:r>
      <w:r w:rsidRPr="001C2E2B">
        <w:rPr>
          <w:lang w:eastAsia="fr-FR" w:bidi="fr-FR"/>
        </w:rPr>
        <w:t>ment, au sein de laquelle les nominations des hauts fonctionnaires sont assujetties à l’approbation du Sénat, se décompose en quatre n</w:t>
      </w:r>
      <w:r w:rsidRPr="001C2E2B">
        <w:rPr>
          <w:lang w:eastAsia="fr-FR" w:bidi="fr-FR"/>
        </w:rPr>
        <w:t>i</w:t>
      </w:r>
      <w:r w:rsidRPr="001C2E2B">
        <w:rPr>
          <w:lang w:eastAsia="fr-FR" w:bidi="fr-FR"/>
        </w:rPr>
        <w:t>veaux</w:t>
      </w:r>
      <w:r>
        <w:rPr>
          <w:lang w:eastAsia="fr-FR" w:bidi="fr-FR"/>
        </w:rPr>
        <w:t> </w:t>
      </w:r>
      <w:r>
        <w:rPr>
          <w:rStyle w:val="Appelnotedebasdep"/>
          <w:lang w:eastAsia="fr-FR" w:bidi="fr-FR"/>
        </w:rPr>
        <w:footnoteReference w:id="416"/>
      </w:r>
      <w:r w:rsidRPr="001C2E2B">
        <w:t> :</w:t>
      </w:r>
    </w:p>
    <w:p w14:paraId="3DA655ED" w14:textId="77777777" w:rsidR="0039793A" w:rsidRPr="001C2E2B" w:rsidRDefault="0039793A" w:rsidP="0039793A">
      <w:pPr>
        <w:spacing w:before="120" w:after="120"/>
        <w:jc w:val="both"/>
      </w:pPr>
      <w:r w:rsidRPr="001C2E2B">
        <w:rPr>
          <w:lang w:eastAsia="fr-FR" w:bidi="fr-FR"/>
        </w:rPr>
        <w:t xml:space="preserve">Le secrétaire à la Défense est le principal conseiller du président s’agissant des questions stratégiques et des enjeux militaires. Il est membre de plein droit du </w:t>
      </w:r>
      <w:r w:rsidRPr="001C2E2B">
        <w:t xml:space="preserve">NSC. </w:t>
      </w:r>
      <w:r w:rsidRPr="001C2E2B">
        <w:rPr>
          <w:lang w:eastAsia="fr-FR" w:bidi="fr-FR"/>
        </w:rPr>
        <w:t>Il est chargé de superviser la pr</w:t>
      </w:r>
      <w:r w:rsidRPr="001C2E2B">
        <w:rPr>
          <w:lang w:eastAsia="fr-FR" w:bidi="fr-FR"/>
        </w:rPr>
        <w:t>o</w:t>
      </w:r>
      <w:r w:rsidRPr="001C2E2B">
        <w:rPr>
          <w:lang w:eastAsia="fr-FR" w:bidi="fr-FR"/>
        </w:rPr>
        <w:t>grammation des dépenses, de proposer les plans d’acquisition des a</w:t>
      </w:r>
      <w:r w:rsidRPr="001C2E2B">
        <w:rPr>
          <w:lang w:eastAsia="fr-FR" w:bidi="fr-FR"/>
        </w:rPr>
        <w:t>r</w:t>
      </w:r>
      <w:r w:rsidRPr="001C2E2B">
        <w:rPr>
          <w:lang w:eastAsia="fr-FR" w:bidi="fr-FR"/>
        </w:rPr>
        <w:t xml:space="preserve">mes et de contrôler la mise en œuvre des opérations militaires. Son adjoint </w:t>
      </w:r>
      <w:r w:rsidRPr="001C2E2B">
        <w:t>(</w:t>
      </w:r>
      <w:r w:rsidRPr="00844915">
        <w:rPr>
          <w:i/>
          <w:iCs/>
        </w:rPr>
        <w:t>Deputy Secretary of Defense</w:t>
      </w:r>
      <w:r w:rsidRPr="001C2E2B">
        <w:t>)</w:t>
      </w:r>
      <w:r w:rsidRPr="001C2E2B">
        <w:rPr>
          <w:lang w:eastAsia="fr-FR" w:bidi="fr-FR"/>
        </w:rPr>
        <w:t xml:space="preserve"> gère les affa</w:t>
      </w:r>
      <w:r w:rsidRPr="001C2E2B">
        <w:rPr>
          <w:lang w:eastAsia="fr-FR" w:bidi="fr-FR"/>
        </w:rPr>
        <w:t>i</w:t>
      </w:r>
      <w:r w:rsidRPr="001C2E2B">
        <w:rPr>
          <w:lang w:eastAsia="fr-FR" w:bidi="fr-FR"/>
        </w:rPr>
        <w:t>res administratives du département.</w:t>
      </w:r>
    </w:p>
    <w:p w14:paraId="313B2816" w14:textId="77777777" w:rsidR="0039793A" w:rsidRPr="001C2E2B" w:rsidRDefault="0039793A" w:rsidP="0039793A">
      <w:pPr>
        <w:spacing w:before="120" w:after="120"/>
        <w:jc w:val="both"/>
      </w:pPr>
      <w:r>
        <w:t>[189]</w:t>
      </w:r>
    </w:p>
    <w:p w14:paraId="457D964E" w14:textId="77777777" w:rsidR="0039793A" w:rsidRPr="001C2E2B" w:rsidRDefault="0039793A" w:rsidP="0039793A">
      <w:pPr>
        <w:spacing w:before="120" w:after="120"/>
        <w:jc w:val="both"/>
      </w:pPr>
      <w:r w:rsidRPr="001C2E2B">
        <w:rPr>
          <w:lang w:eastAsia="fr-FR" w:bidi="fr-FR"/>
        </w:rPr>
        <w:t xml:space="preserve">Le bureau du secrétaire à la Défense </w:t>
      </w:r>
      <w:r w:rsidRPr="001C2E2B">
        <w:t>(OSD :</w:t>
      </w:r>
      <w:r w:rsidRPr="001C2E2B">
        <w:rPr>
          <w:lang w:eastAsia="fr-FR" w:bidi="fr-FR"/>
        </w:rPr>
        <w:t xml:space="preserve"> </w:t>
      </w:r>
      <w:r w:rsidRPr="00DC4D4E">
        <w:rPr>
          <w:i/>
          <w:iCs/>
        </w:rPr>
        <w:t>Office of the Secret</w:t>
      </w:r>
      <w:r w:rsidRPr="00DC4D4E">
        <w:rPr>
          <w:i/>
          <w:iCs/>
        </w:rPr>
        <w:t>a</w:t>
      </w:r>
      <w:r w:rsidRPr="00DC4D4E">
        <w:rPr>
          <w:i/>
          <w:iCs/>
        </w:rPr>
        <w:t>ry of Defense</w:t>
      </w:r>
      <w:r w:rsidRPr="001C2E2B">
        <w:t>)</w:t>
      </w:r>
      <w:r w:rsidRPr="001C2E2B">
        <w:rPr>
          <w:lang w:eastAsia="fr-FR" w:bidi="fr-FR"/>
        </w:rPr>
        <w:t xml:space="preserve"> comprend cinq sous-secrétaires et six assistants-secrétaires responsables de secteurs fonctionnels (tels que la p</w:t>
      </w:r>
      <w:r w:rsidRPr="001C2E2B">
        <w:rPr>
          <w:lang w:eastAsia="fr-FR" w:bidi="fr-FR"/>
        </w:rPr>
        <w:t>o</w:t>
      </w:r>
      <w:r w:rsidRPr="001C2E2B">
        <w:rPr>
          <w:lang w:eastAsia="fr-FR" w:bidi="fr-FR"/>
        </w:rPr>
        <w:t>litique de sécurité internationale, le personnel, l’acquisition des technologies, la sécurité région</w:t>
      </w:r>
      <w:r w:rsidRPr="001C2E2B">
        <w:rPr>
          <w:lang w:eastAsia="fr-FR" w:bidi="fr-FR"/>
        </w:rPr>
        <w:t>a</w:t>
      </w:r>
      <w:r w:rsidRPr="001C2E2B">
        <w:rPr>
          <w:lang w:eastAsia="fr-FR" w:bidi="fr-FR"/>
        </w:rPr>
        <w:t>le, la sécurité nucléaire et la non-prolifération, le renseignement, la logistique et les plans).</w:t>
      </w:r>
    </w:p>
    <w:p w14:paraId="7DFBFEA8" w14:textId="77777777" w:rsidR="0039793A" w:rsidRPr="001C2E2B" w:rsidRDefault="0039793A" w:rsidP="0039793A">
      <w:pPr>
        <w:spacing w:before="120" w:after="120"/>
        <w:jc w:val="both"/>
      </w:pPr>
      <w:r w:rsidRPr="001C2E2B">
        <w:rPr>
          <w:lang w:eastAsia="fr-FR" w:bidi="fr-FR"/>
        </w:rPr>
        <w:t>Des secrétaires spécifiques, affectés auprès de chaque arme, ass</w:t>
      </w:r>
      <w:r w:rsidRPr="001C2E2B">
        <w:rPr>
          <w:lang w:eastAsia="fr-FR" w:bidi="fr-FR"/>
        </w:rPr>
        <w:t>u</w:t>
      </w:r>
      <w:r w:rsidRPr="001C2E2B">
        <w:rPr>
          <w:lang w:eastAsia="fr-FR" w:bidi="fr-FR"/>
        </w:rPr>
        <w:t>rent le relais efficace de l’autorité du secrétaire à la Défense au sein des forces armées. Ainsi, les secrétaires à l’armée de Terre, à l’armée de l’Air et à la Marine (incluant les Fusiliers marins</w:t>
      </w:r>
      <w:r w:rsidRPr="001C2E2B">
        <w:t> :</w:t>
      </w:r>
      <w:r w:rsidRPr="001C2E2B">
        <w:rPr>
          <w:lang w:eastAsia="fr-FR" w:bidi="fr-FR"/>
        </w:rPr>
        <w:t xml:space="preserve"> </w:t>
      </w:r>
      <w:r w:rsidRPr="00DC4D4E">
        <w:rPr>
          <w:i/>
          <w:iCs/>
          <w:lang w:eastAsia="fr-FR" w:bidi="fr-FR"/>
        </w:rPr>
        <w:t xml:space="preserve">les </w:t>
      </w:r>
      <w:r w:rsidRPr="00DC4D4E">
        <w:rPr>
          <w:i/>
          <w:iCs/>
        </w:rPr>
        <w:t>Marines</w:t>
      </w:r>
      <w:r w:rsidRPr="001C2E2B">
        <w:t>),</w:t>
      </w:r>
      <w:r w:rsidRPr="001C2E2B">
        <w:rPr>
          <w:lang w:eastAsia="fr-FR" w:bidi="fr-FR"/>
        </w:rPr>
        <w:t xml:space="preserve"> administrent les programmes et les budgets conformément aux déc</w:t>
      </w:r>
      <w:r w:rsidRPr="001C2E2B">
        <w:rPr>
          <w:lang w:eastAsia="fr-FR" w:bidi="fr-FR"/>
        </w:rPr>
        <w:t>i</w:t>
      </w:r>
      <w:r w:rsidRPr="001C2E2B">
        <w:rPr>
          <w:lang w:eastAsia="fr-FR" w:bidi="fr-FR"/>
        </w:rPr>
        <w:t xml:space="preserve">sions prises par </w:t>
      </w:r>
      <w:r w:rsidRPr="001C2E2B">
        <w:t>1’OSD.</w:t>
      </w:r>
    </w:p>
    <w:p w14:paraId="47656872" w14:textId="77777777" w:rsidR="0039793A" w:rsidRPr="001C2E2B" w:rsidRDefault="0039793A" w:rsidP="0039793A">
      <w:pPr>
        <w:spacing w:before="120" w:after="120"/>
        <w:jc w:val="both"/>
      </w:pPr>
      <w:r w:rsidRPr="001C2E2B">
        <w:rPr>
          <w:lang w:eastAsia="fr-FR" w:bidi="fr-FR"/>
        </w:rPr>
        <w:t>Dépendantes de la direction civile, des agences viennent se greffer aux activités militaires pour mettre en œuvre certains aspects de la politique de défense, tels que la recherche et développement de no</w:t>
      </w:r>
      <w:r w:rsidRPr="001C2E2B">
        <w:rPr>
          <w:lang w:eastAsia="fr-FR" w:bidi="fr-FR"/>
        </w:rPr>
        <w:t>u</w:t>
      </w:r>
      <w:r w:rsidRPr="001C2E2B">
        <w:rPr>
          <w:lang w:eastAsia="fr-FR" w:bidi="fr-FR"/>
        </w:rPr>
        <w:t>velles armes (</w:t>
      </w:r>
      <w:r w:rsidRPr="00DC4D4E">
        <w:rPr>
          <w:i/>
          <w:iCs/>
        </w:rPr>
        <w:t>Defense Advanced Research Programs Agency</w:t>
      </w:r>
      <w:r w:rsidRPr="001C2E2B">
        <w:rPr>
          <w:lang w:eastAsia="fr-FR" w:bidi="fr-FR"/>
        </w:rPr>
        <w:t xml:space="preserve"> </w:t>
      </w:r>
      <w:r w:rsidRPr="001C2E2B">
        <w:t>- DA</w:t>
      </w:r>
      <w:r w:rsidRPr="001C2E2B">
        <w:t>R</w:t>
      </w:r>
      <w:r w:rsidRPr="001C2E2B">
        <w:t xml:space="preserve">PA), </w:t>
      </w:r>
      <w:r w:rsidRPr="001C2E2B">
        <w:rPr>
          <w:lang w:eastAsia="fr-FR" w:bidi="fr-FR"/>
        </w:rPr>
        <w:t xml:space="preserve">le service de renseignement de la </w:t>
      </w:r>
      <w:r w:rsidRPr="001C2E2B">
        <w:rPr>
          <w:rStyle w:val="Corpsdutexte285ptPetitesmajuscules"/>
        </w:rPr>
        <w:t xml:space="preserve">dia </w:t>
      </w:r>
      <w:r w:rsidRPr="001C2E2B">
        <w:t>(</w:t>
      </w:r>
      <w:r w:rsidRPr="00DC4D4E">
        <w:rPr>
          <w:i/>
          <w:iCs/>
        </w:rPr>
        <w:t>Defense Intelligence Age</w:t>
      </w:r>
      <w:r w:rsidRPr="00DC4D4E">
        <w:rPr>
          <w:i/>
          <w:iCs/>
        </w:rPr>
        <w:t>n</w:t>
      </w:r>
      <w:r w:rsidRPr="00DC4D4E">
        <w:rPr>
          <w:i/>
          <w:iCs/>
        </w:rPr>
        <w:t>cy</w:t>
      </w:r>
      <w:r w:rsidRPr="001C2E2B">
        <w:t>),</w:t>
      </w:r>
      <w:r w:rsidRPr="001C2E2B">
        <w:rPr>
          <w:lang w:eastAsia="fr-FR" w:bidi="fr-FR"/>
        </w:rPr>
        <w:t xml:space="preserve"> les programmes d’aide à la sécurité internati</w:t>
      </w:r>
      <w:r w:rsidRPr="001C2E2B">
        <w:rPr>
          <w:lang w:eastAsia="fr-FR" w:bidi="fr-FR"/>
        </w:rPr>
        <w:t>o</w:t>
      </w:r>
      <w:r w:rsidRPr="001C2E2B">
        <w:rPr>
          <w:lang w:eastAsia="fr-FR" w:bidi="fr-FR"/>
        </w:rPr>
        <w:t>nale, l’inspection des accords de désarmement, les communications, la ca</w:t>
      </w:r>
      <w:r w:rsidRPr="001C2E2B">
        <w:rPr>
          <w:lang w:eastAsia="fr-FR" w:bidi="fr-FR"/>
        </w:rPr>
        <w:t>r</w:t>
      </w:r>
      <w:r w:rsidRPr="001C2E2B">
        <w:rPr>
          <w:lang w:eastAsia="fr-FR" w:bidi="fr-FR"/>
        </w:rPr>
        <w:t>tographie ou encore les a</w:t>
      </w:r>
      <w:r w:rsidRPr="001C2E2B">
        <w:rPr>
          <w:lang w:eastAsia="fr-FR" w:bidi="fr-FR"/>
        </w:rPr>
        <w:t>f</w:t>
      </w:r>
      <w:r w:rsidRPr="001C2E2B">
        <w:rPr>
          <w:lang w:eastAsia="fr-FR" w:bidi="fr-FR"/>
        </w:rPr>
        <w:t>faires légales.</w:t>
      </w:r>
    </w:p>
    <w:p w14:paraId="1864A92B" w14:textId="77777777" w:rsidR="0039793A" w:rsidRPr="001C2E2B" w:rsidRDefault="0039793A" w:rsidP="0039793A">
      <w:pPr>
        <w:spacing w:before="120" w:after="120"/>
        <w:jc w:val="both"/>
      </w:pPr>
      <w:r w:rsidRPr="001C2E2B">
        <w:rPr>
          <w:lang w:eastAsia="fr-FR" w:bidi="fr-FR"/>
        </w:rPr>
        <w:t>La direction civile au département de la Défe</w:t>
      </w:r>
      <w:r w:rsidRPr="001C2E2B">
        <w:rPr>
          <w:lang w:eastAsia="fr-FR" w:bidi="fr-FR"/>
        </w:rPr>
        <w:t>n</w:t>
      </w:r>
      <w:r w:rsidRPr="001C2E2B">
        <w:rPr>
          <w:lang w:eastAsia="fr-FR" w:bidi="fr-FR"/>
        </w:rPr>
        <w:t>se s’est établie puis renforcée depuis les années I960 grâce notamment à des secrétaires influents</w:t>
      </w:r>
      <w:r>
        <w:rPr>
          <w:lang w:eastAsia="fr-FR" w:bidi="fr-FR"/>
        </w:rPr>
        <w:t> </w:t>
      </w:r>
      <w:r>
        <w:rPr>
          <w:rStyle w:val="Appelnotedebasdep"/>
          <w:lang w:eastAsia="fr-FR" w:bidi="fr-FR"/>
        </w:rPr>
        <w:footnoteReference w:id="417"/>
      </w:r>
      <w:r>
        <w:rPr>
          <w:lang w:eastAsia="fr-FR" w:bidi="fr-FR"/>
        </w:rPr>
        <w:t>.</w:t>
      </w:r>
      <w:r w:rsidRPr="001C2E2B">
        <w:rPr>
          <w:lang w:eastAsia="fr-FR" w:bidi="fr-FR"/>
        </w:rPr>
        <w:t xml:space="preserve"> Ainsi, Robert McNamara, sous Kennedy et Johnson, a i</w:t>
      </w:r>
      <w:r w:rsidRPr="001C2E2B">
        <w:rPr>
          <w:lang w:eastAsia="fr-FR" w:bidi="fr-FR"/>
        </w:rPr>
        <w:t>m</w:t>
      </w:r>
      <w:r w:rsidRPr="001C2E2B">
        <w:rPr>
          <w:lang w:eastAsia="fr-FR" w:bidi="fr-FR"/>
        </w:rPr>
        <w:t>posé une approche très centralisatrice au sein du ministère, adoptée de la même façon par Harold Brown sous Carter et Donald Rumsfeld sous G.W. Bush. En revanche, d’autres secrétaires ont permis une ce</w:t>
      </w:r>
      <w:r w:rsidRPr="001C2E2B">
        <w:rPr>
          <w:lang w:eastAsia="fr-FR" w:bidi="fr-FR"/>
        </w:rPr>
        <w:t>r</w:t>
      </w:r>
      <w:r w:rsidRPr="001C2E2B">
        <w:rPr>
          <w:lang w:eastAsia="fr-FR" w:bidi="fr-FR"/>
        </w:rPr>
        <w:t>taine décentralisation des déc</w:t>
      </w:r>
      <w:r w:rsidRPr="001C2E2B">
        <w:rPr>
          <w:lang w:eastAsia="fr-FR" w:bidi="fr-FR"/>
        </w:rPr>
        <w:t>i</w:t>
      </w:r>
      <w:r w:rsidRPr="001C2E2B">
        <w:rPr>
          <w:lang w:eastAsia="fr-FR" w:bidi="fr-FR"/>
        </w:rPr>
        <w:t>sions et toléré l’autonomie des branches milita</w:t>
      </w:r>
      <w:r w:rsidRPr="001C2E2B">
        <w:rPr>
          <w:lang w:eastAsia="fr-FR" w:bidi="fr-FR"/>
        </w:rPr>
        <w:t>i</w:t>
      </w:r>
      <w:r w:rsidRPr="001C2E2B">
        <w:rPr>
          <w:lang w:eastAsia="fr-FR" w:bidi="fr-FR"/>
        </w:rPr>
        <w:t>res</w:t>
      </w:r>
      <w:r w:rsidRPr="001C2E2B">
        <w:t> :</w:t>
      </w:r>
      <w:r w:rsidRPr="001C2E2B">
        <w:rPr>
          <w:lang w:eastAsia="fr-FR" w:bidi="fr-FR"/>
        </w:rPr>
        <w:t xml:space="preserve"> Charles Wilson sous Eisenhower, Mervin Laird sous Nixon, James Schlesinger sous Ford, Caspar Weinberger sous Reagan - au point de d</w:t>
      </w:r>
      <w:r w:rsidRPr="001C2E2B">
        <w:rPr>
          <w:lang w:eastAsia="fr-FR" w:bidi="fr-FR"/>
        </w:rPr>
        <w:t>é</w:t>
      </w:r>
      <w:r w:rsidRPr="001C2E2B">
        <w:rPr>
          <w:lang w:eastAsia="fr-FR" w:bidi="fr-FR"/>
        </w:rPr>
        <w:t>fendre les intérêts des militaires davantage que ceux du président, ainsi qu’a pu en témoigner la doctrine Weinberger en 1984</w:t>
      </w:r>
      <w:r>
        <w:rPr>
          <w:lang w:eastAsia="fr-FR" w:bidi="fr-FR"/>
        </w:rPr>
        <w:t> </w:t>
      </w:r>
      <w:r>
        <w:rPr>
          <w:rStyle w:val="Appelnotedebasdep"/>
          <w:lang w:eastAsia="fr-FR" w:bidi="fr-FR"/>
        </w:rPr>
        <w:footnoteReference w:id="418"/>
      </w:r>
      <w:r w:rsidRPr="001C2E2B">
        <w:rPr>
          <w:lang w:eastAsia="fr-FR" w:bidi="fr-FR"/>
        </w:rPr>
        <w:t>.</w:t>
      </w:r>
    </w:p>
    <w:p w14:paraId="68BAA299" w14:textId="77777777" w:rsidR="0039793A" w:rsidRDefault="0039793A" w:rsidP="0039793A">
      <w:pPr>
        <w:spacing w:before="120" w:after="120"/>
        <w:jc w:val="both"/>
      </w:pPr>
      <w:r>
        <w:t>[190]</w:t>
      </w:r>
    </w:p>
    <w:p w14:paraId="5AFCA877" w14:textId="77777777" w:rsidR="0039793A" w:rsidRPr="002915C5" w:rsidRDefault="0039793A" w:rsidP="0039793A">
      <w:pPr>
        <w:jc w:val="both"/>
        <w:rPr>
          <w:sz w:val="20"/>
        </w:rPr>
      </w:pPr>
    </w:p>
    <w:p w14:paraId="29D7B1C0" w14:textId="77777777" w:rsidR="0039793A" w:rsidRPr="00DC4D4E" w:rsidRDefault="0039793A" w:rsidP="0039793A">
      <w:pPr>
        <w:pStyle w:val="b"/>
      </w:pPr>
      <w:r w:rsidRPr="00DC4D4E">
        <w:rPr>
          <w:lang w:eastAsia="fr-FR" w:bidi="fr-FR"/>
        </w:rPr>
        <w:t>La structure militaire du département de la D</w:t>
      </w:r>
      <w:r w:rsidRPr="00DC4D4E">
        <w:rPr>
          <w:lang w:eastAsia="fr-FR" w:bidi="fr-FR"/>
        </w:rPr>
        <w:t>é</w:t>
      </w:r>
      <w:r w:rsidRPr="00DC4D4E">
        <w:rPr>
          <w:lang w:eastAsia="fr-FR" w:bidi="fr-FR"/>
        </w:rPr>
        <w:t>fense</w:t>
      </w:r>
    </w:p>
    <w:p w14:paraId="52CAE864" w14:textId="77777777" w:rsidR="0039793A" w:rsidRPr="002915C5" w:rsidRDefault="0039793A" w:rsidP="0039793A">
      <w:pPr>
        <w:jc w:val="both"/>
        <w:rPr>
          <w:sz w:val="20"/>
        </w:rPr>
      </w:pPr>
    </w:p>
    <w:p w14:paraId="4D4235C5" w14:textId="77777777" w:rsidR="0039793A" w:rsidRPr="001C2E2B" w:rsidRDefault="0039793A" w:rsidP="0039793A">
      <w:pPr>
        <w:spacing w:before="120" w:after="120"/>
        <w:jc w:val="both"/>
      </w:pPr>
      <w:r w:rsidRPr="001C2E2B">
        <w:rPr>
          <w:lang w:eastAsia="fr-FR" w:bidi="fr-FR"/>
        </w:rPr>
        <w:t>La structure militaire est comparativement plus complexe que la structure civile. Il faut d’ailleurs préciser que la chaîne de comma</w:t>
      </w:r>
      <w:r w:rsidRPr="001C2E2B">
        <w:rPr>
          <w:lang w:eastAsia="fr-FR" w:bidi="fr-FR"/>
        </w:rPr>
        <w:t>n</w:t>
      </w:r>
      <w:r w:rsidRPr="001C2E2B">
        <w:rPr>
          <w:lang w:eastAsia="fr-FR" w:bidi="fr-FR"/>
        </w:rPr>
        <w:t xml:space="preserve">dement va du président vers le secrétaire à la Défense, puis du </w:t>
      </w:r>
      <w:r w:rsidRPr="001C2E2B">
        <w:t xml:space="preserve">CJCS </w:t>
      </w:r>
      <w:r w:rsidRPr="001C2E2B">
        <w:rPr>
          <w:lang w:eastAsia="fr-FR" w:bidi="fr-FR"/>
        </w:rPr>
        <w:t>vers les commandements fonctionnels et régionaux des forces amér</w:t>
      </w:r>
      <w:r w:rsidRPr="001C2E2B">
        <w:rPr>
          <w:lang w:eastAsia="fr-FR" w:bidi="fr-FR"/>
        </w:rPr>
        <w:t>i</w:t>
      </w:r>
      <w:r w:rsidRPr="001C2E2B">
        <w:rPr>
          <w:lang w:eastAsia="fr-FR" w:bidi="fr-FR"/>
        </w:rPr>
        <w:t>caines. Aucun autre c</w:t>
      </w:r>
      <w:r w:rsidRPr="001C2E2B">
        <w:rPr>
          <w:lang w:eastAsia="fr-FR" w:bidi="fr-FR"/>
        </w:rPr>
        <w:t>i</w:t>
      </w:r>
      <w:r w:rsidRPr="001C2E2B">
        <w:rPr>
          <w:lang w:eastAsia="fr-FR" w:bidi="fr-FR"/>
        </w:rPr>
        <w:t xml:space="preserve">vil que le président ou le secrétaire à la Défense n’a autorité sur les opérations que mènent les commandants militaires. Le </w:t>
      </w:r>
      <w:r w:rsidRPr="001C2E2B">
        <w:t xml:space="preserve">CJCS, </w:t>
      </w:r>
      <w:r w:rsidRPr="001C2E2B">
        <w:rPr>
          <w:lang w:eastAsia="fr-FR" w:bidi="fr-FR"/>
        </w:rPr>
        <w:t xml:space="preserve">de même que les </w:t>
      </w:r>
      <w:r w:rsidRPr="001C2E2B">
        <w:t xml:space="preserve">JCS, </w:t>
      </w:r>
      <w:r w:rsidRPr="001C2E2B">
        <w:rPr>
          <w:lang w:eastAsia="fr-FR" w:bidi="fr-FR"/>
        </w:rPr>
        <w:t>sont désignés par le président et leur nomination doit bénéficier de l’accord du Sénat. La structure des fo</w:t>
      </w:r>
      <w:r w:rsidRPr="001C2E2B">
        <w:rPr>
          <w:lang w:eastAsia="fr-FR" w:bidi="fr-FR"/>
        </w:rPr>
        <w:t>r</w:t>
      </w:r>
      <w:r w:rsidRPr="001C2E2B">
        <w:rPr>
          <w:lang w:eastAsia="fr-FR" w:bidi="fr-FR"/>
        </w:rPr>
        <w:t>ces armées est organisée autour de deux axes</w:t>
      </w:r>
      <w:r w:rsidRPr="001C2E2B">
        <w:t> :</w:t>
      </w:r>
      <w:r w:rsidRPr="001C2E2B">
        <w:rPr>
          <w:lang w:eastAsia="fr-FR" w:bidi="fr-FR"/>
        </w:rPr>
        <w:t xml:space="preserve"> les branches militaires et les comma</w:t>
      </w:r>
      <w:r w:rsidRPr="001C2E2B">
        <w:rPr>
          <w:lang w:eastAsia="fr-FR" w:bidi="fr-FR"/>
        </w:rPr>
        <w:t>n</w:t>
      </w:r>
      <w:r w:rsidRPr="001C2E2B">
        <w:rPr>
          <w:lang w:eastAsia="fr-FR" w:bidi="fr-FR"/>
        </w:rPr>
        <w:t>dements fonctionnels et régionaux</w:t>
      </w:r>
      <w:r>
        <w:rPr>
          <w:lang w:eastAsia="fr-FR" w:bidi="fr-FR"/>
        </w:rPr>
        <w:t> </w:t>
      </w:r>
      <w:r>
        <w:rPr>
          <w:rStyle w:val="Appelnotedebasdep"/>
          <w:lang w:eastAsia="fr-FR" w:bidi="fr-FR"/>
        </w:rPr>
        <w:footnoteReference w:id="419"/>
      </w:r>
      <w:r w:rsidRPr="001C2E2B">
        <w:rPr>
          <w:lang w:eastAsia="fr-FR" w:bidi="fr-FR"/>
        </w:rPr>
        <w:t>.</w:t>
      </w:r>
    </w:p>
    <w:p w14:paraId="0015A08F" w14:textId="77777777" w:rsidR="0039793A" w:rsidRPr="001C2E2B" w:rsidRDefault="0039793A" w:rsidP="0039793A">
      <w:pPr>
        <w:spacing w:before="120" w:after="120"/>
        <w:jc w:val="both"/>
      </w:pPr>
      <w:r w:rsidRPr="001C2E2B">
        <w:rPr>
          <w:lang w:eastAsia="fr-FR" w:bidi="fr-FR"/>
        </w:rPr>
        <w:t>D’une part, il y a quatre branches — armes - militaires</w:t>
      </w:r>
      <w:r w:rsidRPr="001C2E2B">
        <w:t> :</w:t>
      </w:r>
      <w:r w:rsidRPr="001C2E2B">
        <w:rPr>
          <w:lang w:eastAsia="fr-FR" w:bidi="fr-FR"/>
        </w:rPr>
        <w:t xml:space="preserve"> l’armée de Terre, l’armée de l’Air, la Marine et le corps de Fusiliers marins (ég</w:t>
      </w:r>
      <w:r w:rsidRPr="001C2E2B">
        <w:rPr>
          <w:lang w:eastAsia="fr-FR" w:bidi="fr-FR"/>
        </w:rPr>
        <w:t>a</w:t>
      </w:r>
      <w:r w:rsidRPr="001C2E2B">
        <w:rPr>
          <w:lang w:eastAsia="fr-FR" w:bidi="fr-FR"/>
        </w:rPr>
        <w:t xml:space="preserve">lement appelé </w:t>
      </w:r>
      <w:r w:rsidRPr="00243887">
        <w:rPr>
          <w:i/>
          <w:iCs/>
        </w:rPr>
        <w:t>Marines</w:t>
      </w:r>
      <w:r w:rsidRPr="001C2E2B">
        <w:t>).</w:t>
      </w:r>
      <w:r w:rsidRPr="001C2E2B">
        <w:rPr>
          <w:lang w:eastAsia="fr-FR" w:bidi="fr-FR"/>
        </w:rPr>
        <w:t xml:space="preserve"> Chacune de ces branches est sous comma</w:t>
      </w:r>
      <w:r w:rsidRPr="001C2E2B">
        <w:rPr>
          <w:lang w:eastAsia="fr-FR" w:bidi="fr-FR"/>
        </w:rPr>
        <w:t>n</w:t>
      </w:r>
      <w:r w:rsidRPr="001C2E2B">
        <w:rPr>
          <w:lang w:eastAsia="fr-FR" w:bidi="fr-FR"/>
        </w:rPr>
        <w:t>dement militaire et sous supervision civ</w:t>
      </w:r>
      <w:r w:rsidRPr="001C2E2B">
        <w:rPr>
          <w:lang w:eastAsia="fr-FR" w:bidi="fr-FR"/>
        </w:rPr>
        <w:t>i</w:t>
      </w:r>
      <w:r w:rsidRPr="001C2E2B">
        <w:rPr>
          <w:lang w:eastAsia="fr-FR" w:bidi="fr-FR"/>
        </w:rPr>
        <w:t>le. Cela signifie que chaque arme est dirigée par un chef d’état- major tandis qu’un secrétaire ass</w:t>
      </w:r>
      <w:r w:rsidRPr="001C2E2B">
        <w:rPr>
          <w:lang w:eastAsia="fr-FR" w:bidi="fr-FR"/>
        </w:rPr>
        <w:t>u</w:t>
      </w:r>
      <w:r w:rsidRPr="001C2E2B">
        <w:rPr>
          <w:lang w:eastAsia="fr-FR" w:bidi="fr-FR"/>
        </w:rPr>
        <w:t xml:space="preserve">re le lien avec </w:t>
      </w:r>
      <w:r w:rsidRPr="001C2E2B">
        <w:t xml:space="preserve">l’OSD. </w:t>
      </w:r>
      <w:r w:rsidRPr="001C2E2B">
        <w:rPr>
          <w:lang w:eastAsia="fr-FR" w:bidi="fr-FR"/>
        </w:rPr>
        <w:t>Il faut toutefois mentionner l’exception du corps des fusiliers marins supervisé par le secrétaire à la Marine. Ch</w:t>
      </w:r>
      <w:r w:rsidRPr="001C2E2B">
        <w:rPr>
          <w:lang w:eastAsia="fr-FR" w:bidi="fr-FR"/>
        </w:rPr>
        <w:t>a</w:t>
      </w:r>
      <w:r w:rsidRPr="001C2E2B">
        <w:rPr>
          <w:lang w:eastAsia="fr-FR" w:bidi="fr-FR"/>
        </w:rPr>
        <w:t>cune de ces branches est représentée au Comité d’État-major, qui i</w:t>
      </w:r>
      <w:r w:rsidRPr="001C2E2B">
        <w:rPr>
          <w:lang w:eastAsia="fr-FR" w:bidi="fr-FR"/>
        </w:rPr>
        <w:t>n</w:t>
      </w:r>
      <w:r w:rsidRPr="001C2E2B">
        <w:rPr>
          <w:lang w:eastAsia="fr-FR" w:bidi="fr-FR"/>
        </w:rPr>
        <w:t xml:space="preserve">clut, outre le </w:t>
      </w:r>
      <w:r w:rsidRPr="001C2E2B">
        <w:t xml:space="preserve">CJCS </w:t>
      </w:r>
      <w:r w:rsidRPr="001C2E2B">
        <w:rPr>
          <w:lang w:eastAsia="fr-FR" w:bidi="fr-FR"/>
        </w:rPr>
        <w:t>et son adjoint, les chefs d’état-major de l’armée de Terre, de l’armée de l’Air, les commandants de la Marine et des fus</w:t>
      </w:r>
      <w:r w:rsidRPr="001C2E2B">
        <w:rPr>
          <w:lang w:eastAsia="fr-FR" w:bidi="fr-FR"/>
        </w:rPr>
        <w:t>i</w:t>
      </w:r>
      <w:r w:rsidRPr="001C2E2B">
        <w:rPr>
          <w:lang w:eastAsia="fr-FR" w:bidi="fr-FR"/>
        </w:rPr>
        <w:t>liers marins.</w:t>
      </w:r>
    </w:p>
    <w:p w14:paraId="58BD4731" w14:textId="77777777" w:rsidR="0039793A" w:rsidRPr="001C2E2B" w:rsidRDefault="0039793A" w:rsidP="0039793A">
      <w:pPr>
        <w:spacing w:before="120" w:after="120"/>
        <w:jc w:val="both"/>
      </w:pPr>
      <w:r w:rsidRPr="001C2E2B">
        <w:rPr>
          <w:lang w:eastAsia="fr-FR" w:bidi="fr-FR"/>
        </w:rPr>
        <w:t>D’autre part, les commandements sont au no</w:t>
      </w:r>
      <w:r w:rsidRPr="001C2E2B">
        <w:rPr>
          <w:lang w:eastAsia="fr-FR" w:bidi="fr-FR"/>
        </w:rPr>
        <w:t>m</w:t>
      </w:r>
      <w:r w:rsidRPr="001C2E2B">
        <w:rPr>
          <w:lang w:eastAsia="fr-FR" w:bidi="fr-FR"/>
        </w:rPr>
        <w:t>bre de dix et répartis en commandements régionaux (ou unifiés) et commandements fon</w:t>
      </w:r>
      <w:r w:rsidRPr="001C2E2B">
        <w:rPr>
          <w:lang w:eastAsia="fr-FR" w:bidi="fr-FR"/>
        </w:rPr>
        <w:t>c</w:t>
      </w:r>
      <w:r w:rsidRPr="001C2E2B">
        <w:rPr>
          <w:lang w:eastAsia="fr-FR" w:bidi="fr-FR"/>
        </w:rPr>
        <w:t xml:space="preserve">tionnels (ou spécifiques). Quatre premiers commandements unifiés </w:t>
      </w:r>
      <w:r w:rsidRPr="001C2E2B">
        <w:t>(</w:t>
      </w:r>
      <w:r w:rsidRPr="00243887">
        <w:rPr>
          <w:i/>
          <w:iCs/>
        </w:rPr>
        <w:t>Unified Commands</w:t>
      </w:r>
      <w:r w:rsidRPr="001C2E2B">
        <w:rPr>
          <w:lang w:eastAsia="fr-FR" w:bidi="fr-FR"/>
        </w:rPr>
        <w:t>) sont responsables du commandement, du d</w:t>
      </w:r>
      <w:r w:rsidRPr="001C2E2B">
        <w:rPr>
          <w:lang w:eastAsia="fr-FR" w:bidi="fr-FR"/>
        </w:rPr>
        <w:t>é</w:t>
      </w:r>
      <w:r w:rsidRPr="001C2E2B">
        <w:rPr>
          <w:lang w:eastAsia="fr-FR" w:bidi="fr-FR"/>
        </w:rPr>
        <w:t>ploiement et de l’utilisation des forces militaires dans le monde</w:t>
      </w:r>
      <w:r w:rsidRPr="001C2E2B">
        <w:t> :</w:t>
      </w:r>
      <w:r w:rsidRPr="001C2E2B">
        <w:rPr>
          <w:lang w:eastAsia="fr-FR" w:bidi="fr-FR"/>
        </w:rPr>
        <w:t xml:space="preserve"> en Europe (117</w:t>
      </w:r>
      <w:r>
        <w:rPr>
          <w:lang w:eastAsia="fr-FR" w:bidi="fr-FR"/>
        </w:rPr>
        <w:t> </w:t>
      </w:r>
      <w:r w:rsidRPr="001C2E2B">
        <w:rPr>
          <w:lang w:eastAsia="fr-FR" w:bidi="fr-FR"/>
        </w:rPr>
        <w:t>000 troupes), dans le golfe Persique (30</w:t>
      </w:r>
      <w:r>
        <w:rPr>
          <w:lang w:eastAsia="fr-FR" w:bidi="fr-FR"/>
        </w:rPr>
        <w:t> </w:t>
      </w:r>
      <w:r w:rsidRPr="001C2E2B">
        <w:rPr>
          <w:lang w:eastAsia="fr-FR" w:bidi="fr-FR"/>
        </w:rPr>
        <w:t>000), dans le Pacifique (100</w:t>
      </w:r>
      <w:r>
        <w:rPr>
          <w:lang w:eastAsia="fr-FR" w:bidi="fr-FR"/>
        </w:rPr>
        <w:t> </w:t>
      </w:r>
      <w:r w:rsidRPr="001C2E2B">
        <w:rPr>
          <w:lang w:eastAsia="fr-FR" w:bidi="fr-FR"/>
        </w:rPr>
        <w:t>000) et dans l’hémisphère Sud. Un cinquième co</w:t>
      </w:r>
      <w:r w:rsidRPr="001C2E2B">
        <w:rPr>
          <w:lang w:eastAsia="fr-FR" w:bidi="fr-FR"/>
        </w:rPr>
        <w:t>m</w:t>
      </w:r>
      <w:r w:rsidRPr="001C2E2B">
        <w:rPr>
          <w:lang w:eastAsia="fr-FR" w:bidi="fr-FR"/>
        </w:rPr>
        <w:t xml:space="preserve">mandement unifié, d’Amérique du Nord </w:t>
      </w:r>
      <w:r w:rsidRPr="001C2E2B">
        <w:t>(</w:t>
      </w:r>
      <w:r w:rsidRPr="00243887">
        <w:rPr>
          <w:i/>
          <w:iCs/>
        </w:rPr>
        <w:t>Northern Command</w:t>
      </w:r>
      <w:r w:rsidRPr="001C2E2B">
        <w:t>),</w:t>
      </w:r>
      <w:r w:rsidRPr="001C2E2B">
        <w:rPr>
          <w:lang w:eastAsia="fr-FR" w:bidi="fr-FR"/>
        </w:rPr>
        <w:t xml:space="preserve"> a été mis sur pied en 2002 afin d’associer la Défense à la protection du te</w:t>
      </w:r>
      <w:r w:rsidRPr="001C2E2B">
        <w:rPr>
          <w:lang w:eastAsia="fr-FR" w:bidi="fr-FR"/>
        </w:rPr>
        <w:t>r</w:t>
      </w:r>
      <w:r w:rsidRPr="001C2E2B">
        <w:rPr>
          <w:lang w:eastAsia="fr-FR" w:bidi="fr-FR"/>
        </w:rPr>
        <w:t>ritoire contre le terrorisme. Il faut ajouter enfin cinq commandements spécif</w:t>
      </w:r>
      <w:r w:rsidRPr="001C2E2B">
        <w:rPr>
          <w:lang w:eastAsia="fr-FR" w:bidi="fr-FR"/>
        </w:rPr>
        <w:t>i</w:t>
      </w:r>
      <w:r w:rsidRPr="001C2E2B">
        <w:rPr>
          <w:lang w:eastAsia="fr-FR" w:bidi="fr-FR"/>
        </w:rPr>
        <w:t>ques</w:t>
      </w:r>
      <w:r w:rsidRPr="001C2E2B">
        <w:t> :</w:t>
      </w:r>
      <w:r w:rsidRPr="001C2E2B">
        <w:rPr>
          <w:lang w:eastAsia="fr-FR" w:bidi="fr-FR"/>
        </w:rPr>
        <w:t xml:space="preserve"> forces conjointes, opérations spéciales, transport, espace et forces nucléaires.</w:t>
      </w:r>
    </w:p>
    <w:p w14:paraId="70611A4F" w14:textId="77777777" w:rsidR="0039793A" w:rsidRPr="001C2E2B" w:rsidRDefault="0039793A" w:rsidP="0039793A">
      <w:pPr>
        <w:spacing w:before="120" w:after="120"/>
        <w:jc w:val="both"/>
      </w:pPr>
      <w:r w:rsidRPr="001C2E2B">
        <w:br w:type="page"/>
      </w:r>
      <w:r>
        <w:t>[191]</w:t>
      </w:r>
    </w:p>
    <w:p w14:paraId="583B4BAC" w14:textId="77777777" w:rsidR="0039793A" w:rsidRDefault="0039793A" w:rsidP="0039793A">
      <w:pPr>
        <w:spacing w:before="120" w:after="120"/>
        <w:jc w:val="both"/>
        <w:rPr>
          <w:lang w:eastAsia="fr-FR" w:bidi="fr-FR"/>
        </w:rPr>
      </w:pPr>
    </w:p>
    <w:p w14:paraId="75D2F2CD" w14:textId="77777777" w:rsidR="0039793A" w:rsidRPr="00243887" w:rsidRDefault="0039793A" w:rsidP="0039793A">
      <w:pPr>
        <w:pStyle w:val="b"/>
      </w:pPr>
      <w:r>
        <w:rPr>
          <w:lang w:eastAsia="fr-FR" w:bidi="fr-FR"/>
        </w:rPr>
        <w:t>Les rivalités bureaucratiques</w:t>
      </w:r>
      <w:r>
        <w:rPr>
          <w:lang w:eastAsia="fr-FR" w:bidi="fr-FR"/>
        </w:rPr>
        <w:br/>
      </w:r>
      <w:r w:rsidRPr="00243887">
        <w:rPr>
          <w:lang w:eastAsia="fr-FR" w:bidi="fr-FR"/>
        </w:rPr>
        <w:t>au sein du département de la Défe</w:t>
      </w:r>
      <w:r w:rsidRPr="00243887">
        <w:rPr>
          <w:lang w:eastAsia="fr-FR" w:bidi="fr-FR"/>
        </w:rPr>
        <w:t>n</w:t>
      </w:r>
      <w:r w:rsidRPr="00243887">
        <w:rPr>
          <w:lang w:eastAsia="fr-FR" w:bidi="fr-FR"/>
        </w:rPr>
        <w:t>se</w:t>
      </w:r>
    </w:p>
    <w:p w14:paraId="38B9A333" w14:textId="77777777" w:rsidR="0039793A" w:rsidRDefault="0039793A" w:rsidP="0039793A">
      <w:pPr>
        <w:spacing w:before="120" w:after="120"/>
        <w:jc w:val="both"/>
        <w:rPr>
          <w:lang w:eastAsia="fr-FR" w:bidi="fr-FR"/>
        </w:rPr>
      </w:pPr>
    </w:p>
    <w:p w14:paraId="44B6B7C4" w14:textId="77777777" w:rsidR="0039793A" w:rsidRPr="001C2E2B" w:rsidRDefault="0039793A" w:rsidP="0039793A">
      <w:pPr>
        <w:spacing w:before="120" w:after="120"/>
        <w:jc w:val="both"/>
      </w:pPr>
      <w:r w:rsidRPr="001C2E2B">
        <w:rPr>
          <w:lang w:eastAsia="fr-FR" w:bidi="fr-FR"/>
        </w:rPr>
        <w:t>Les rivalités entre tous ces commandements, de même qu’entre les services, sont légendaires, surtout quand vient le moment de départ</w:t>
      </w:r>
      <w:r w:rsidRPr="001C2E2B">
        <w:rPr>
          <w:lang w:eastAsia="fr-FR" w:bidi="fr-FR"/>
        </w:rPr>
        <w:t>a</w:t>
      </w:r>
      <w:r w:rsidRPr="001C2E2B">
        <w:rPr>
          <w:lang w:eastAsia="fr-FR" w:bidi="fr-FR"/>
        </w:rPr>
        <w:t>ger les missions et les armes. La quête d’un consensus conduit final</w:t>
      </w:r>
      <w:r w:rsidRPr="001C2E2B">
        <w:rPr>
          <w:lang w:eastAsia="fr-FR" w:bidi="fr-FR"/>
        </w:rPr>
        <w:t>e</w:t>
      </w:r>
      <w:r w:rsidRPr="001C2E2B">
        <w:rPr>
          <w:lang w:eastAsia="fr-FR" w:bidi="fr-FR"/>
        </w:rPr>
        <w:t>ment à répartir assez également les enveloppes budgétaires entre l’armée de Terre, l’armée de l’Air et la Marine (les fusiliers marins étant sous la dépendance budgétaire du départ</w:t>
      </w:r>
      <w:r w:rsidRPr="001C2E2B">
        <w:rPr>
          <w:lang w:eastAsia="fr-FR" w:bidi="fr-FR"/>
        </w:rPr>
        <w:t>e</w:t>
      </w:r>
      <w:r w:rsidRPr="001C2E2B">
        <w:rPr>
          <w:lang w:eastAsia="fr-FR" w:bidi="fr-FR"/>
        </w:rPr>
        <w:t>ment de la Marine), chacune des trois branches recueillant environ 25</w:t>
      </w:r>
      <w:r>
        <w:rPr>
          <w:lang w:eastAsia="fr-FR" w:bidi="fr-FR"/>
        </w:rPr>
        <w:t>%</w:t>
      </w:r>
      <w:r w:rsidRPr="001C2E2B">
        <w:rPr>
          <w:lang w:eastAsia="fr-FR" w:bidi="fr-FR"/>
        </w:rPr>
        <w:t xml:space="preserve"> du budget - les 25</w:t>
      </w:r>
      <w:r>
        <w:rPr>
          <w:lang w:eastAsia="fr-FR" w:bidi="fr-FR"/>
        </w:rPr>
        <w:t>%</w:t>
      </w:r>
      <w:r w:rsidRPr="001C2E2B">
        <w:rPr>
          <w:lang w:eastAsia="fr-FR" w:bidi="fr-FR"/>
        </w:rPr>
        <w:t xml:space="preserve"> restants étant attribués à la gestion civile et aux agences de la Défense</w:t>
      </w:r>
      <w:r>
        <w:rPr>
          <w:lang w:eastAsia="fr-FR" w:bidi="fr-FR"/>
        </w:rPr>
        <w:t> </w:t>
      </w:r>
      <w:r>
        <w:rPr>
          <w:rStyle w:val="Appelnotedebasdep"/>
          <w:lang w:eastAsia="fr-FR" w:bidi="fr-FR"/>
        </w:rPr>
        <w:footnoteReference w:id="420"/>
      </w:r>
      <w:r>
        <w:rPr>
          <w:lang w:eastAsia="fr-FR" w:bidi="fr-FR"/>
        </w:rPr>
        <w:t>.</w:t>
      </w:r>
      <w:r w:rsidRPr="001C2E2B">
        <w:rPr>
          <w:lang w:eastAsia="fr-FR" w:bidi="fr-FR"/>
        </w:rPr>
        <w:t xml:space="preserve"> Les rivalités entre services ainsi que certains traits cara</w:t>
      </w:r>
      <w:r w:rsidRPr="001C2E2B">
        <w:rPr>
          <w:lang w:eastAsia="fr-FR" w:bidi="fr-FR"/>
        </w:rPr>
        <w:t>c</w:t>
      </w:r>
      <w:r w:rsidRPr="001C2E2B">
        <w:rPr>
          <w:lang w:eastAsia="fr-FR" w:bidi="fr-FR"/>
        </w:rPr>
        <w:t>téristiques de la culture militaire influencent considérablement les pr</w:t>
      </w:r>
      <w:r w:rsidRPr="001C2E2B">
        <w:rPr>
          <w:lang w:eastAsia="fr-FR" w:bidi="fr-FR"/>
        </w:rPr>
        <w:t>i</w:t>
      </w:r>
      <w:r w:rsidRPr="001C2E2B">
        <w:rPr>
          <w:lang w:eastAsia="fr-FR" w:bidi="fr-FR"/>
        </w:rPr>
        <w:t>ses de positions du département de la Défense. Un certain nombre de fa</w:t>
      </w:r>
      <w:r w:rsidRPr="001C2E2B">
        <w:rPr>
          <w:lang w:eastAsia="fr-FR" w:bidi="fr-FR"/>
        </w:rPr>
        <w:t>c</w:t>
      </w:r>
      <w:r w:rsidRPr="001C2E2B">
        <w:rPr>
          <w:lang w:eastAsia="fr-FR" w:bidi="fr-FR"/>
        </w:rPr>
        <w:t>teurs reviennent d’ailleurs de manière récurrente</w:t>
      </w:r>
      <w:r>
        <w:rPr>
          <w:lang w:eastAsia="fr-FR" w:bidi="fr-FR"/>
        </w:rPr>
        <w:t> </w:t>
      </w:r>
      <w:r>
        <w:rPr>
          <w:rStyle w:val="Appelnotedebasdep"/>
          <w:lang w:eastAsia="fr-FR" w:bidi="fr-FR"/>
        </w:rPr>
        <w:footnoteReference w:id="421"/>
      </w:r>
      <w:r w:rsidRPr="001C2E2B">
        <w:t> :</w:t>
      </w:r>
    </w:p>
    <w:p w14:paraId="30B4A4AF" w14:textId="77777777" w:rsidR="0039793A" w:rsidRPr="001C2E2B" w:rsidRDefault="0039793A" w:rsidP="0039793A">
      <w:pPr>
        <w:spacing w:before="120" w:after="120"/>
        <w:jc w:val="both"/>
      </w:pPr>
      <w:r w:rsidRPr="001C2E2B">
        <w:rPr>
          <w:lang w:eastAsia="fr-FR" w:bidi="fr-FR"/>
        </w:rPr>
        <w:t>Les officiers des forces armées, le plus souvent issus des classes moyennes, ont une formation pratique et sont généralement conserv</w:t>
      </w:r>
      <w:r w:rsidRPr="001C2E2B">
        <w:rPr>
          <w:lang w:eastAsia="fr-FR" w:bidi="fr-FR"/>
        </w:rPr>
        <w:t>a</w:t>
      </w:r>
      <w:r w:rsidRPr="001C2E2B">
        <w:rPr>
          <w:lang w:eastAsia="fr-FR" w:bidi="fr-FR"/>
        </w:rPr>
        <w:t xml:space="preserve">teurs </w:t>
      </w:r>
      <w:r w:rsidRPr="001C2E2B">
        <w:t xml:space="preserve">(à </w:t>
      </w:r>
      <w:r w:rsidRPr="001C2E2B">
        <w:rPr>
          <w:lang w:eastAsia="fr-FR" w:bidi="fr-FR"/>
        </w:rPr>
        <w:t xml:space="preserve">l’inverse des </w:t>
      </w:r>
      <w:r w:rsidRPr="001C2E2B">
        <w:t xml:space="preserve">FSO). </w:t>
      </w:r>
      <w:r w:rsidRPr="001C2E2B">
        <w:rPr>
          <w:lang w:eastAsia="fr-FR" w:bidi="fr-FR"/>
        </w:rPr>
        <w:t>Leur appui va largement au parti Républ</w:t>
      </w:r>
      <w:r w:rsidRPr="001C2E2B">
        <w:rPr>
          <w:lang w:eastAsia="fr-FR" w:bidi="fr-FR"/>
        </w:rPr>
        <w:t>i</w:t>
      </w:r>
      <w:r w:rsidRPr="001C2E2B">
        <w:rPr>
          <w:lang w:eastAsia="fr-FR" w:bidi="fr-FR"/>
        </w:rPr>
        <w:t>cain. La qualité de formation des o</w:t>
      </w:r>
      <w:r w:rsidRPr="001C2E2B">
        <w:rPr>
          <w:lang w:eastAsia="fr-FR" w:bidi="fr-FR"/>
        </w:rPr>
        <w:t>f</w:t>
      </w:r>
      <w:r w:rsidRPr="001C2E2B">
        <w:rPr>
          <w:lang w:eastAsia="fr-FR" w:bidi="fr-FR"/>
        </w:rPr>
        <w:t>ficiers s’est substantiellement améliorée avec les années, mais ils demeurent réfractaires au chang</w:t>
      </w:r>
      <w:r w:rsidRPr="001C2E2B">
        <w:rPr>
          <w:lang w:eastAsia="fr-FR" w:bidi="fr-FR"/>
        </w:rPr>
        <w:t>e</w:t>
      </w:r>
      <w:r w:rsidRPr="001C2E2B">
        <w:rPr>
          <w:lang w:eastAsia="fr-FR" w:bidi="fr-FR"/>
        </w:rPr>
        <w:t>ment et préfèrent gérer les forces armées selon les habitudes, les trad</w:t>
      </w:r>
      <w:r w:rsidRPr="001C2E2B">
        <w:rPr>
          <w:lang w:eastAsia="fr-FR" w:bidi="fr-FR"/>
        </w:rPr>
        <w:t>i</w:t>
      </w:r>
      <w:r w:rsidRPr="001C2E2B">
        <w:rPr>
          <w:lang w:eastAsia="fr-FR" w:bidi="fr-FR"/>
        </w:rPr>
        <w:t>tions, les usages et les intérêts de leur service. La difficulté de coord</w:t>
      </w:r>
      <w:r w:rsidRPr="001C2E2B">
        <w:rPr>
          <w:lang w:eastAsia="fr-FR" w:bidi="fr-FR"/>
        </w:rPr>
        <w:t>i</w:t>
      </w:r>
      <w:r w:rsidRPr="001C2E2B">
        <w:rPr>
          <w:lang w:eastAsia="fr-FR" w:bidi="fr-FR"/>
        </w:rPr>
        <w:t>nation entre les branches militaires en est d’autant plus grande.</w:t>
      </w:r>
    </w:p>
    <w:p w14:paraId="1D1E962F" w14:textId="77777777" w:rsidR="0039793A" w:rsidRPr="001C2E2B" w:rsidRDefault="0039793A" w:rsidP="0039793A">
      <w:pPr>
        <w:spacing w:before="120" w:after="120"/>
        <w:jc w:val="both"/>
      </w:pPr>
      <w:r w:rsidRPr="001C2E2B">
        <w:rPr>
          <w:lang w:eastAsia="fr-FR" w:bidi="fr-FR"/>
        </w:rPr>
        <w:t>L’esprit de compromis qui prévaut au sein du comité des chefs d’État-major a engendré une a</w:t>
      </w:r>
      <w:r w:rsidRPr="001C2E2B">
        <w:rPr>
          <w:lang w:eastAsia="fr-FR" w:bidi="fr-FR"/>
        </w:rPr>
        <w:t>p</w:t>
      </w:r>
      <w:r w:rsidRPr="001C2E2B">
        <w:rPr>
          <w:lang w:eastAsia="fr-FR" w:bidi="fr-FR"/>
        </w:rPr>
        <w:t>proche foncièrement consensuelle de l’acquisition des armes et de la planification des guerres. Cette m</w:t>
      </w:r>
      <w:r w:rsidRPr="001C2E2B">
        <w:rPr>
          <w:lang w:eastAsia="fr-FR" w:bidi="fr-FR"/>
        </w:rPr>
        <w:t>é</w:t>
      </w:r>
      <w:r w:rsidRPr="001C2E2B">
        <w:rPr>
          <w:lang w:eastAsia="fr-FR" w:bidi="fr-FR"/>
        </w:rPr>
        <w:t>thodologie impose nécessairement l’implication de tous les services dans la conduite des missions, et leur dotation correspondante en équipements. Trop souvent encore, ces opérations extérieures sou</w:t>
      </w:r>
      <w:r w:rsidRPr="001C2E2B">
        <w:rPr>
          <w:lang w:eastAsia="fr-FR" w:bidi="fr-FR"/>
        </w:rPr>
        <w:t>f</w:t>
      </w:r>
      <w:r w:rsidRPr="001C2E2B">
        <w:rPr>
          <w:lang w:eastAsia="fr-FR" w:bidi="fr-FR"/>
        </w:rPr>
        <w:t>frent de l’absence d’interopérabilité. Elles m</w:t>
      </w:r>
      <w:r w:rsidRPr="001C2E2B">
        <w:rPr>
          <w:lang w:eastAsia="fr-FR" w:bidi="fr-FR"/>
        </w:rPr>
        <w:t>è</w:t>
      </w:r>
      <w:r w:rsidRPr="001C2E2B">
        <w:rPr>
          <w:lang w:eastAsia="fr-FR" w:bidi="fr-FR"/>
        </w:rPr>
        <w:t>nent en ce sens à une duplication de ressources et de systèmes d’armes (par exemple des avions de chasse différents pour les quatre services) et à des gaspill</w:t>
      </w:r>
      <w:r w:rsidRPr="001C2E2B">
        <w:rPr>
          <w:lang w:eastAsia="fr-FR" w:bidi="fr-FR"/>
        </w:rPr>
        <w:t>a</w:t>
      </w:r>
      <w:r w:rsidRPr="001C2E2B">
        <w:rPr>
          <w:lang w:eastAsia="fr-FR" w:bidi="fr-FR"/>
        </w:rPr>
        <w:t>ges conséquents.</w:t>
      </w:r>
    </w:p>
    <w:p w14:paraId="39743CED" w14:textId="77777777" w:rsidR="0039793A" w:rsidRPr="001C2E2B" w:rsidRDefault="0039793A" w:rsidP="0039793A">
      <w:pPr>
        <w:spacing w:before="120" w:after="120"/>
        <w:jc w:val="both"/>
      </w:pPr>
      <w:r w:rsidRPr="001C2E2B">
        <w:rPr>
          <w:lang w:eastAsia="fr-FR" w:bidi="fr-FR"/>
        </w:rPr>
        <w:t>Ainsi qu’en témoigne l’histoire américaine, alors que les autorités civiles du ministère sont souvent favorables à l’usage de la</w:t>
      </w:r>
      <w:r>
        <w:t xml:space="preserve"> [192] </w:t>
      </w:r>
      <w:r w:rsidRPr="001C2E2B">
        <w:rPr>
          <w:lang w:eastAsia="fr-FR" w:bidi="fr-FR"/>
        </w:rPr>
        <w:t>fo</w:t>
      </w:r>
      <w:r w:rsidRPr="001C2E2B">
        <w:rPr>
          <w:lang w:eastAsia="fr-FR" w:bidi="fr-FR"/>
        </w:rPr>
        <w:t>r</w:t>
      </w:r>
      <w:r w:rsidRPr="001C2E2B">
        <w:rPr>
          <w:lang w:eastAsia="fr-FR" w:bidi="fr-FR"/>
        </w:rPr>
        <w:t>ce, les commandants militaires y sont plutôt réfractaires et ex</w:t>
      </w:r>
      <w:r w:rsidRPr="001C2E2B">
        <w:rPr>
          <w:lang w:eastAsia="fr-FR" w:bidi="fr-FR"/>
        </w:rPr>
        <w:t>i</w:t>
      </w:r>
      <w:r w:rsidRPr="001C2E2B">
        <w:rPr>
          <w:lang w:eastAsia="fr-FR" w:bidi="fr-FR"/>
        </w:rPr>
        <w:t>gent des conditions idéales d’intervention. Un exemple particulièrement pr</w:t>
      </w:r>
      <w:r w:rsidRPr="001C2E2B">
        <w:rPr>
          <w:lang w:eastAsia="fr-FR" w:bidi="fr-FR"/>
        </w:rPr>
        <w:t>o</w:t>
      </w:r>
      <w:r w:rsidRPr="001C2E2B">
        <w:rPr>
          <w:lang w:eastAsia="fr-FR" w:bidi="fr-FR"/>
        </w:rPr>
        <w:t xml:space="preserve">bant de cet état de fait est l’opposition </w:t>
      </w:r>
      <w:r w:rsidRPr="001C2E2B">
        <w:t xml:space="preserve">à </w:t>
      </w:r>
      <w:r w:rsidRPr="001C2E2B">
        <w:rPr>
          <w:lang w:eastAsia="fr-FR" w:bidi="fr-FR"/>
        </w:rPr>
        <w:t>deux reprises du pr</w:t>
      </w:r>
      <w:r w:rsidRPr="001C2E2B">
        <w:rPr>
          <w:lang w:eastAsia="fr-FR" w:bidi="fr-FR"/>
        </w:rPr>
        <w:t>é</w:t>
      </w:r>
      <w:r w:rsidRPr="001C2E2B">
        <w:rPr>
          <w:lang w:eastAsia="fr-FR" w:bidi="fr-FR"/>
        </w:rPr>
        <w:t xml:space="preserve">sident du comité d’État-major Colin Powell </w:t>
      </w:r>
      <w:r w:rsidRPr="001C2E2B">
        <w:t xml:space="preserve">à </w:t>
      </w:r>
      <w:r w:rsidRPr="001C2E2B">
        <w:rPr>
          <w:lang w:eastAsia="fr-FR" w:bidi="fr-FR"/>
        </w:rPr>
        <w:t>l’emploi initial de la force</w:t>
      </w:r>
      <w:r w:rsidRPr="001C2E2B">
        <w:t> :</w:t>
      </w:r>
      <w:r w:rsidRPr="001C2E2B">
        <w:rPr>
          <w:lang w:eastAsia="fr-FR" w:bidi="fr-FR"/>
        </w:rPr>
        <w:t xml:space="preserve"> contre l’Irak en 1991 et contre les Serbes en Bosnie en 1995. D’ailleurs, M</w:t>
      </w:r>
      <w:r w:rsidRPr="001C2E2B">
        <w:rPr>
          <w:lang w:eastAsia="fr-FR" w:bidi="fr-FR"/>
        </w:rPr>
        <w:t>a</w:t>
      </w:r>
      <w:r w:rsidRPr="001C2E2B">
        <w:rPr>
          <w:lang w:eastAsia="fr-FR" w:bidi="fr-FR"/>
        </w:rPr>
        <w:t>deleine Albright, alors secrétaire d’</w:t>
      </w:r>
      <w:r>
        <w:rPr>
          <w:lang w:eastAsia="fr-FR" w:bidi="fr-FR"/>
        </w:rPr>
        <w:t>État</w:t>
      </w:r>
      <w:r w:rsidRPr="001C2E2B">
        <w:rPr>
          <w:lang w:eastAsia="fr-FR" w:bidi="fr-FR"/>
        </w:rPr>
        <w:t xml:space="preserve">, avait sermonné le général Powell en lui demandant </w:t>
      </w:r>
      <w:r w:rsidRPr="001C2E2B">
        <w:t xml:space="preserve">« à </w:t>
      </w:r>
      <w:r w:rsidRPr="001C2E2B">
        <w:rPr>
          <w:lang w:eastAsia="fr-FR" w:bidi="fr-FR"/>
        </w:rPr>
        <w:t>quoi servait d’avoir une machine milita</w:t>
      </w:r>
      <w:r w:rsidRPr="001C2E2B">
        <w:rPr>
          <w:lang w:eastAsia="fr-FR" w:bidi="fr-FR"/>
        </w:rPr>
        <w:t>i</w:t>
      </w:r>
      <w:r w:rsidRPr="001C2E2B">
        <w:rPr>
          <w:lang w:eastAsia="fr-FR" w:bidi="fr-FR"/>
        </w:rPr>
        <w:t>re aussi impressionnante si elle ne devait jamais être util</w:t>
      </w:r>
      <w:r w:rsidRPr="001C2E2B">
        <w:rPr>
          <w:lang w:eastAsia="fr-FR" w:bidi="fr-FR"/>
        </w:rPr>
        <w:t>i</w:t>
      </w:r>
      <w:r w:rsidRPr="001C2E2B">
        <w:rPr>
          <w:lang w:eastAsia="fr-FR" w:bidi="fr-FR"/>
        </w:rPr>
        <w:t>sée</w:t>
      </w:r>
      <w:r>
        <w:rPr>
          <w:lang w:eastAsia="fr-FR" w:bidi="fr-FR"/>
        </w:rPr>
        <w:t> </w:t>
      </w:r>
      <w:r>
        <w:rPr>
          <w:rStyle w:val="Appelnotedebasdep"/>
          <w:lang w:eastAsia="fr-FR" w:bidi="fr-FR"/>
        </w:rPr>
        <w:footnoteReference w:id="422"/>
      </w:r>
      <w:r w:rsidRPr="001C2E2B">
        <w:t> ? »</w:t>
      </w:r>
      <w:r w:rsidRPr="001C2E2B">
        <w:rPr>
          <w:lang w:eastAsia="fr-FR" w:bidi="fr-FR"/>
        </w:rPr>
        <w:t xml:space="preserve"> Powell y avait répondu avec sa doctrine des trois principes</w:t>
      </w:r>
      <w:r>
        <w:rPr>
          <w:lang w:eastAsia="fr-FR" w:bidi="fr-FR"/>
        </w:rPr>
        <w:t> </w:t>
      </w:r>
      <w:r>
        <w:rPr>
          <w:rStyle w:val="Appelnotedebasdep"/>
          <w:lang w:eastAsia="fr-FR" w:bidi="fr-FR"/>
        </w:rPr>
        <w:footnoteReference w:id="423"/>
      </w:r>
      <w:r w:rsidRPr="001C2E2B">
        <w:rPr>
          <w:lang w:eastAsia="fr-FR" w:bidi="fr-FR"/>
        </w:rPr>
        <w:t>. Ce d</w:t>
      </w:r>
      <w:r w:rsidRPr="001C2E2B">
        <w:rPr>
          <w:lang w:eastAsia="fr-FR" w:bidi="fr-FR"/>
        </w:rPr>
        <w:t>é</w:t>
      </w:r>
      <w:r w:rsidRPr="001C2E2B">
        <w:rPr>
          <w:lang w:eastAsia="fr-FR" w:bidi="fr-FR"/>
        </w:rPr>
        <w:t>saccord est le témoin des débats récurrents dont les interventions a</w:t>
      </w:r>
      <w:r w:rsidRPr="001C2E2B">
        <w:rPr>
          <w:lang w:eastAsia="fr-FR" w:bidi="fr-FR"/>
        </w:rPr>
        <w:t>r</w:t>
      </w:r>
      <w:r w:rsidRPr="001C2E2B">
        <w:rPr>
          <w:lang w:eastAsia="fr-FR" w:bidi="fr-FR"/>
        </w:rPr>
        <w:t>mées font l’objet, entre pouvoirs civil et militaire, au sein du gouve</w:t>
      </w:r>
      <w:r w:rsidRPr="001C2E2B">
        <w:rPr>
          <w:lang w:eastAsia="fr-FR" w:bidi="fr-FR"/>
        </w:rPr>
        <w:t>r</w:t>
      </w:r>
      <w:r w:rsidRPr="001C2E2B">
        <w:rPr>
          <w:lang w:eastAsia="fr-FR" w:bidi="fr-FR"/>
        </w:rPr>
        <w:t>nement américain.</w:t>
      </w:r>
    </w:p>
    <w:p w14:paraId="3B521E40" w14:textId="77777777" w:rsidR="0039793A" w:rsidRPr="001C2E2B" w:rsidRDefault="0039793A" w:rsidP="0039793A">
      <w:pPr>
        <w:spacing w:before="120" w:after="120"/>
        <w:jc w:val="both"/>
      </w:pPr>
      <w:r w:rsidRPr="001C2E2B">
        <w:rPr>
          <w:lang w:eastAsia="fr-FR" w:bidi="fr-FR"/>
        </w:rPr>
        <w:t>Enfin, le développement d’une certaine obse</w:t>
      </w:r>
      <w:r w:rsidRPr="001C2E2B">
        <w:rPr>
          <w:lang w:eastAsia="fr-FR" w:bidi="fr-FR"/>
        </w:rPr>
        <w:t>s</w:t>
      </w:r>
      <w:r w:rsidRPr="001C2E2B">
        <w:rPr>
          <w:lang w:eastAsia="fr-FR" w:bidi="fr-FR"/>
        </w:rPr>
        <w:t xml:space="preserve">sion technologique conduit </w:t>
      </w:r>
      <w:r w:rsidRPr="001C2E2B">
        <w:t xml:space="preserve">à </w:t>
      </w:r>
      <w:r w:rsidRPr="001C2E2B">
        <w:rPr>
          <w:lang w:eastAsia="fr-FR" w:bidi="fr-FR"/>
        </w:rPr>
        <w:t xml:space="preserve">subordonner les plans de guerre </w:t>
      </w:r>
      <w:r w:rsidRPr="001C2E2B">
        <w:t xml:space="preserve">à </w:t>
      </w:r>
      <w:r w:rsidRPr="001C2E2B">
        <w:rPr>
          <w:lang w:eastAsia="fr-FR" w:bidi="fr-FR"/>
        </w:rPr>
        <w:t>l’obtention et l’emploi d’armes de ha</w:t>
      </w:r>
      <w:r w:rsidRPr="001C2E2B">
        <w:rPr>
          <w:lang w:eastAsia="fr-FR" w:bidi="fr-FR"/>
        </w:rPr>
        <w:t>u</w:t>
      </w:r>
      <w:r w:rsidRPr="001C2E2B">
        <w:rPr>
          <w:lang w:eastAsia="fr-FR" w:bidi="fr-FR"/>
        </w:rPr>
        <w:t>te précision</w:t>
      </w:r>
      <w:r w:rsidRPr="001C2E2B">
        <w:t> :</w:t>
      </w:r>
      <w:r w:rsidRPr="001C2E2B">
        <w:rPr>
          <w:lang w:eastAsia="fr-FR" w:bidi="fr-FR"/>
        </w:rPr>
        <w:t xml:space="preserve"> cela permet d’éviter les engagements au sol et de minimiser les pertes (la guerre imm</w:t>
      </w:r>
      <w:r w:rsidRPr="001C2E2B">
        <w:rPr>
          <w:lang w:eastAsia="fr-FR" w:bidi="fr-FR"/>
        </w:rPr>
        <w:t>a</w:t>
      </w:r>
      <w:r w:rsidRPr="001C2E2B">
        <w:rPr>
          <w:lang w:eastAsia="fr-FR" w:bidi="fr-FR"/>
        </w:rPr>
        <w:t xml:space="preserve">culée, sans morts, avec un minimum de </w:t>
      </w:r>
      <w:r w:rsidRPr="001C2E2B">
        <w:t>« </w:t>
      </w:r>
      <w:r w:rsidRPr="001C2E2B">
        <w:rPr>
          <w:lang w:eastAsia="fr-FR" w:bidi="fr-FR"/>
        </w:rPr>
        <w:t>dommages collatéraux</w:t>
      </w:r>
      <w:r w:rsidRPr="001C2E2B">
        <w:t> »</w:t>
      </w:r>
      <w:r w:rsidRPr="001C2E2B">
        <w:rPr>
          <w:lang w:eastAsia="fr-FR" w:bidi="fr-FR"/>
        </w:rPr>
        <w:t>). Cette volonté de perfe</w:t>
      </w:r>
      <w:r w:rsidRPr="001C2E2B">
        <w:rPr>
          <w:lang w:eastAsia="fr-FR" w:bidi="fr-FR"/>
        </w:rPr>
        <w:t>c</w:t>
      </w:r>
      <w:r w:rsidRPr="001C2E2B">
        <w:rPr>
          <w:lang w:eastAsia="fr-FR" w:bidi="fr-FR"/>
        </w:rPr>
        <w:t xml:space="preserve">tionner les moyens technologiques entraîne une </w:t>
      </w:r>
      <w:r w:rsidRPr="001C2E2B">
        <w:t>« </w:t>
      </w:r>
      <w:r w:rsidRPr="001C2E2B">
        <w:rPr>
          <w:lang w:eastAsia="fr-FR" w:bidi="fr-FR"/>
        </w:rPr>
        <w:t>révolution dans les affaires militaires</w:t>
      </w:r>
      <w:r>
        <w:rPr>
          <w:lang w:eastAsia="fr-FR" w:bidi="fr-FR"/>
        </w:rPr>
        <w:t> </w:t>
      </w:r>
      <w:r>
        <w:rPr>
          <w:rStyle w:val="Appelnotedebasdep"/>
          <w:lang w:eastAsia="fr-FR" w:bidi="fr-FR"/>
        </w:rPr>
        <w:footnoteReference w:id="424"/>
      </w:r>
      <w:r w:rsidRPr="001C2E2B">
        <w:t> »</w:t>
      </w:r>
      <w:r w:rsidRPr="001C2E2B">
        <w:rPr>
          <w:lang w:eastAsia="fr-FR" w:bidi="fr-FR"/>
        </w:rPr>
        <w:t xml:space="preserve"> qui bouleverse les habitudes et le conservati</w:t>
      </w:r>
      <w:r w:rsidRPr="001C2E2B">
        <w:rPr>
          <w:lang w:eastAsia="fr-FR" w:bidi="fr-FR"/>
        </w:rPr>
        <w:t>s</w:t>
      </w:r>
      <w:r w:rsidRPr="001C2E2B">
        <w:rPr>
          <w:lang w:eastAsia="fr-FR" w:bidi="fr-FR"/>
        </w:rPr>
        <w:t>me traditionnel de l’armée. Cette révolution s’accompagne d’un vér</w:t>
      </w:r>
      <w:r w:rsidRPr="001C2E2B">
        <w:rPr>
          <w:lang w:eastAsia="fr-FR" w:bidi="fr-FR"/>
        </w:rPr>
        <w:t>i</w:t>
      </w:r>
      <w:r w:rsidRPr="001C2E2B">
        <w:rPr>
          <w:lang w:eastAsia="fr-FR" w:bidi="fr-FR"/>
        </w:rPr>
        <w:t>table engouement pour les nouvelles technologies, de même que pour les nouvelles str</w:t>
      </w:r>
      <w:r w:rsidRPr="001C2E2B">
        <w:rPr>
          <w:lang w:eastAsia="fr-FR" w:bidi="fr-FR"/>
        </w:rPr>
        <w:t>a</w:t>
      </w:r>
      <w:r w:rsidRPr="001C2E2B">
        <w:rPr>
          <w:lang w:eastAsia="fr-FR" w:bidi="fr-FR"/>
        </w:rPr>
        <w:t>tégies interarmes, et requiert des budgets d’acquisition de plus en plus élevés (pratiquement un tiers du budget du Pentagone va ainsi dans la recherche, le développement et l’acquisition des a</w:t>
      </w:r>
      <w:r w:rsidRPr="001C2E2B">
        <w:rPr>
          <w:lang w:eastAsia="fr-FR" w:bidi="fr-FR"/>
        </w:rPr>
        <w:t>r</w:t>
      </w:r>
      <w:r w:rsidRPr="001C2E2B">
        <w:rPr>
          <w:lang w:eastAsia="fr-FR" w:bidi="fr-FR"/>
        </w:rPr>
        <w:t>mes).</w:t>
      </w:r>
    </w:p>
    <w:p w14:paraId="585F4208" w14:textId="77777777" w:rsidR="0039793A" w:rsidRPr="001C2E2B" w:rsidRDefault="0039793A" w:rsidP="0039793A">
      <w:pPr>
        <w:spacing w:before="120" w:after="120"/>
        <w:jc w:val="both"/>
      </w:pPr>
      <w:r w:rsidRPr="001C2E2B">
        <w:rPr>
          <w:lang w:eastAsia="fr-FR" w:bidi="fr-FR"/>
        </w:rPr>
        <w:t>Les débats entre le Département d’</w:t>
      </w:r>
      <w:r>
        <w:rPr>
          <w:lang w:eastAsia="fr-FR" w:bidi="fr-FR"/>
        </w:rPr>
        <w:t>État</w:t>
      </w:r>
      <w:r w:rsidRPr="001C2E2B">
        <w:rPr>
          <w:lang w:eastAsia="fr-FR" w:bidi="fr-FR"/>
        </w:rPr>
        <w:t xml:space="preserve"> et le département de la D</w:t>
      </w:r>
      <w:r w:rsidRPr="001C2E2B">
        <w:rPr>
          <w:lang w:eastAsia="fr-FR" w:bidi="fr-FR"/>
        </w:rPr>
        <w:t>é</w:t>
      </w:r>
      <w:r w:rsidRPr="001C2E2B">
        <w:rPr>
          <w:lang w:eastAsia="fr-FR" w:bidi="fr-FR"/>
        </w:rPr>
        <w:t>fense sont fréquents et les pos</w:t>
      </w:r>
      <w:r w:rsidRPr="001C2E2B">
        <w:rPr>
          <w:lang w:eastAsia="fr-FR" w:bidi="fr-FR"/>
        </w:rPr>
        <w:t>i</w:t>
      </w:r>
      <w:r w:rsidRPr="001C2E2B">
        <w:rPr>
          <w:lang w:eastAsia="fr-FR" w:bidi="fr-FR"/>
        </w:rPr>
        <w:t>tions bien souvent tranchées. En raison de cultures diamétralement opposées, les rivalités organis</w:t>
      </w:r>
      <w:r w:rsidRPr="001C2E2B">
        <w:rPr>
          <w:lang w:eastAsia="fr-FR" w:bidi="fr-FR"/>
        </w:rPr>
        <w:t>a</w:t>
      </w:r>
      <w:r w:rsidRPr="001C2E2B">
        <w:rPr>
          <w:lang w:eastAsia="fr-FR" w:bidi="fr-FR"/>
        </w:rPr>
        <w:t>tionnelles sont particulièrement âpres. Le jeu d’influence est donc déterminant pour la conduite des affaires étrangères.</w:t>
      </w:r>
    </w:p>
    <w:p w14:paraId="5975235E" w14:textId="77777777" w:rsidR="0039793A" w:rsidRPr="001C2E2B" w:rsidRDefault="0039793A" w:rsidP="0039793A">
      <w:pPr>
        <w:spacing w:before="120" w:after="120"/>
        <w:jc w:val="both"/>
      </w:pPr>
      <w:r>
        <w:t>[193]</w:t>
      </w:r>
    </w:p>
    <w:p w14:paraId="7DDAADA7" w14:textId="77777777" w:rsidR="0039793A" w:rsidRDefault="0039793A" w:rsidP="0039793A">
      <w:pPr>
        <w:spacing w:before="120" w:after="120"/>
        <w:jc w:val="both"/>
        <w:rPr>
          <w:lang w:eastAsia="fr-FR" w:bidi="fr-FR"/>
        </w:rPr>
      </w:pPr>
    </w:p>
    <w:p w14:paraId="4944DE12" w14:textId="77777777" w:rsidR="0039793A" w:rsidRPr="0032098C" w:rsidRDefault="0039793A" w:rsidP="0039793A">
      <w:pPr>
        <w:pStyle w:val="planche"/>
      </w:pPr>
      <w:bookmarkStart w:id="25" w:name="Pol_EU_pt_2_chap_06_2"/>
      <w:r w:rsidRPr="0032098C">
        <w:rPr>
          <w:lang w:eastAsia="fr-FR" w:bidi="fr-FR"/>
        </w:rPr>
        <w:t>Le rôle repensé des services de renseignement</w:t>
      </w:r>
      <w:r>
        <w:rPr>
          <w:lang w:eastAsia="fr-FR" w:bidi="fr-FR"/>
        </w:rPr>
        <w:br/>
      </w:r>
      <w:r w:rsidRPr="0032098C">
        <w:rPr>
          <w:lang w:eastAsia="fr-FR" w:bidi="fr-FR"/>
        </w:rPr>
        <w:t>et de la sécurité i</w:t>
      </w:r>
      <w:r w:rsidRPr="0032098C">
        <w:rPr>
          <w:lang w:eastAsia="fr-FR" w:bidi="fr-FR"/>
        </w:rPr>
        <w:t>n</w:t>
      </w:r>
      <w:r w:rsidRPr="0032098C">
        <w:rPr>
          <w:lang w:eastAsia="fr-FR" w:bidi="fr-FR"/>
        </w:rPr>
        <w:t>térieure</w:t>
      </w:r>
    </w:p>
    <w:bookmarkEnd w:id="25"/>
    <w:p w14:paraId="720842DC" w14:textId="77777777" w:rsidR="0039793A" w:rsidRDefault="0039793A" w:rsidP="0039793A">
      <w:pPr>
        <w:spacing w:before="120" w:after="120"/>
        <w:jc w:val="both"/>
        <w:rPr>
          <w:lang w:eastAsia="fr-FR" w:bidi="fr-FR"/>
        </w:rPr>
      </w:pPr>
    </w:p>
    <w:p w14:paraId="41F9E875"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B57B822" w14:textId="77777777" w:rsidR="0039793A" w:rsidRPr="001C2E2B" w:rsidRDefault="0039793A" w:rsidP="0039793A">
      <w:pPr>
        <w:spacing w:before="120" w:after="120"/>
        <w:jc w:val="both"/>
      </w:pPr>
      <w:r w:rsidRPr="001C2E2B">
        <w:rPr>
          <w:lang w:eastAsia="fr-FR" w:bidi="fr-FR"/>
        </w:rPr>
        <w:t>Le renseignement est une pièce vitale de la p</w:t>
      </w:r>
      <w:r w:rsidRPr="001C2E2B">
        <w:rPr>
          <w:lang w:eastAsia="fr-FR" w:bidi="fr-FR"/>
        </w:rPr>
        <w:t>o</w:t>
      </w:r>
      <w:r w:rsidRPr="001C2E2B">
        <w:rPr>
          <w:lang w:eastAsia="fr-FR" w:bidi="fr-FR"/>
        </w:rPr>
        <w:t>litique étrangère américaine, sur laquelle reposent les évaluations de la menace et le choix de nombreuses stratégies. Les événements du 11 septe</w:t>
      </w:r>
      <w:r w:rsidRPr="001C2E2B">
        <w:rPr>
          <w:lang w:eastAsia="fr-FR" w:bidi="fr-FR"/>
        </w:rPr>
        <w:t>m</w:t>
      </w:r>
      <w:r w:rsidRPr="001C2E2B">
        <w:rPr>
          <w:lang w:eastAsia="fr-FR" w:bidi="fr-FR"/>
        </w:rPr>
        <w:t>bre 2001 ont montré, de nouveau, l’importance tout autant que les no</w:t>
      </w:r>
      <w:r w:rsidRPr="001C2E2B">
        <w:rPr>
          <w:lang w:eastAsia="fr-FR" w:bidi="fr-FR"/>
        </w:rPr>
        <w:t>m</w:t>
      </w:r>
      <w:r w:rsidRPr="001C2E2B">
        <w:rPr>
          <w:lang w:eastAsia="fr-FR" w:bidi="fr-FR"/>
        </w:rPr>
        <w:t>breuses carences du système de collecte et d’analyse du renseign</w:t>
      </w:r>
      <w:r w:rsidRPr="001C2E2B">
        <w:rPr>
          <w:lang w:eastAsia="fr-FR" w:bidi="fr-FR"/>
        </w:rPr>
        <w:t>e</w:t>
      </w:r>
      <w:r w:rsidRPr="001C2E2B">
        <w:rPr>
          <w:lang w:eastAsia="fr-FR" w:bidi="fr-FR"/>
        </w:rPr>
        <w:t>ment américain. Le paradoxe du 11 septembre est là et les commi</w:t>
      </w:r>
      <w:r w:rsidRPr="001C2E2B">
        <w:rPr>
          <w:lang w:eastAsia="fr-FR" w:bidi="fr-FR"/>
        </w:rPr>
        <w:t>s</w:t>
      </w:r>
      <w:r w:rsidRPr="001C2E2B">
        <w:rPr>
          <w:lang w:eastAsia="fr-FR" w:bidi="fr-FR"/>
        </w:rPr>
        <w:t>sions d’enquête l’ont abondamment relevé</w:t>
      </w:r>
      <w:r>
        <w:rPr>
          <w:lang w:eastAsia="fr-FR" w:bidi="fr-FR"/>
        </w:rPr>
        <w:t> </w:t>
      </w:r>
      <w:r>
        <w:rPr>
          <w:rStyle w:val="Appelnotedebasdep"/>
          <w:lang w:eastAsia="fr-FR" w:bidi="fr-FR"/>
        </w:rPr>
        <w:footnoteReference w:id="425"/>
      </w:r>
      <w:r w:rsidRPr="001C2E2B">
        <w:t> :</w:t>
      </w:r>
      <w:r w:rsidRPr="001C2E2B">
        <w:rPr>
          <w:lang w:eastAsia="fr-FR" w:bidi="fr-FR"/>
        </w:rPr>
        <w:t xml:space="preserve"> d’un côté, les services de renseignement ont établi, durant les mois qui ont précédé les atte</w:t>
      </w:r>
      <w:r w:rsidRPr="001C2E2B">
        <w:rPr>
          <w:lang w:eastAsia="fr-FR" w:bidi="fr-FR"/>
        </w:rPr>
        <w:t>n</w:t>
      </w:r>
      <w:r w:rsidRPr="001C2E2B">
        <w:rPr>
          <w:lang w:eastAsia="fr-FR" w:bidi="fr-FR"/>
        </w:rPr>
        <w:t>tats, l’existence de projets d’attaques terroristes contre les États-Unis, tandis que de l’autre, ils se sont r</w:t>
      </w:r>
      <w:r w:rsidRPr="001C2E2B">
        <w:rPr>
          <w:lang w:eastAsia="fr-FR" w:bidi="fr-FR"/>
        </w:rPr>
        <w:t>é</w:t>
      </w:r>
      <w:r w:rsidRPr="001C2E2B">
        <w:rPr>
          <w:lang w:eastAsia="fr-FR" w:bidi="fr-FR"/>
        </w:rPr>
        <w:t>vélés incapables de produire une véritable mise en garde plus précise. Le 11 septembre présente de nombreuses similitudes avec l’attaque de Pearl Harbor, ainsi que cela a été abondamment souligné</w:t>
      </w:r>
      <w:r w:rsidRPr="001C2E2B">
        <w:t> :</w:t>
      </w:r>
      <w:r w:rsidRPr="001C2E2B">
        <w:rPr>
          <w:lang w:eastAsia="fr-FR" w:bidi="fr-FR"/>
        </w:rPr>
        <w:t xml:space="preserve"> outre le choc et le sentiment de vuln</w:t>
      </w:r>
      <w:r w:rsidRPr="001C2E2B">
        <w:rPr>
          <w:lang w:eastAsia="fr-FR" w:bidi="fr-FR"/>
        </w:rPr>
        <w:t>é</w:t>
      </w:r>
      <w:r w:rsidRPr="001C2E2B">
        <w:rPr>
          <w:lang w:eastAsia="fr-FR" w:bidi="fr-FR"/>
        </w:rPr>
        <w:t>rabilité que ces événements ont suscités, ils ont également mis en év</w:t>
      </w:r>
      <w:r w:rsidRPr="001C2E2B">
        <w:rPr>
          <w:lang w:eastAsia="fr-FR" w:bidi="fr-FR"/>
        </w:rPr>
        <w:t>i</w:t>
      </w:r>
      <w:r w:rsidRPr="001C2E2B">
        <w:rPr>
          <w:lang w:eastAsia="fr-FR" w:bidi="fr-FR"/>
        </w:rPr>
        <w:t>dence tant l’absolue nécessité d’un sy</w:t>
      </w:r>
      <w:r w:rsidRPr="001C2E2B">
        <w:rPr>
          <w:lang w:eastAsia="fr-FR" w:bidi="fr-FR"/>
        </w:rPr>
        <w:t>s</w:t>
      </w:r>
      <w:r w:rsidRPr="001C2E2B">
        <w:rPr>
          <w:lang w:eastAsia="fr-FR" w:bidi="fr-FR"/>
        </w:rPr>
        <w:t>tème de renseignement que ses inéluctables contraintes et carences.</w:t>
      </w:r>
    </w:p>
    <w:p w14:paraId="5F3FABD8" w14:textId="77777777" w:rsidR="0039793A" w:rsidRDefault="0039793A" w:rsidP="0039793A">
      <w:pPr>
        <w:spacing w:before="120" w:after="120"/>
        <w:jc w:val="both"/>
        <w:rPr>
          <w:lang w:eastAsia="fr-FR" w:bidi="fr-FR"/>
        </w:rPr>
      </w:pPr>
      <w:r>
        <w:rPr>
          <w:lang w:eastAsia="fr-FR" w:bidi="fr-FR"/>
        </w:rPr>
        <w:br w:type="page"/>
      </w:r>
    </w:p>
    <w:p w14:paraId="28B05FDA" w14:textId="77777777" w:rsidR="0039793A" w:rsidRPr="001C2E2B" w:rsidRDefault="0039793A" w:rsidP="0039793A">
      <w:pPr>
        <w:pStyle w:val="a"/>
      </w:pPr>
      <w:r w:rsidRPr="001C2E2B">
        <w:t>La communauté du renseignement</w:t>
      </w:r>
    </w:p>
    <w:p w14:paraId="1159F4A2" w14:textId="77777777" w:rsidR="0039793A" w:rsidRDefault="0039793A" w:rsidP="0039793A">
      <w:pPr>
        <w:spacing w:before="120" w:after="120"/>
        <w:jc w:val="both"/>
        <w:rPr>
          <w:lang w:eastAsia="fr-FR" w:bidi="fr-FR"/>
        </w:rPr>
      </w:pPr>
    </w:p>
    <w:p w14:paraId="430A9470" w14:textId="77777777" w:rsidR="0039793A" w:rsidRPr="005F2F3C" w:rsidRDefault="0039793A" w:rsidP="0039793A">
      <w:pPr>
        <w:spacing w:before="120" w:after="120"/>
        <w:jc w:val="both"/>
        <w:rPr>
          <w:lang w:eastAsia="fr-FR" w:bidi="fr-FR"/>
        </w:rPr>
      </w:pPr>
      <w:r w:rsidRPr="001C2E2B">
        <w:rPr>
          <w:lang w:eastAsia="fr-FR" w:bidi="fr-FR"/>
        </w:rPr>
        <w:t>Le renseignement doit procurer aux décideurs une analyse compl</w:t>
      </w:r>
      <w:r w:rsidRPr="001C2E2B">
        <w:rPr>
          <w:lang w:eastAsia="fr-FR" w:bidi="fr-FR"/>
        </w:rPr>
        <w:t>è</w:t>
      </w:r>
      <w:r w:rsidRPr="001C2E2B">
        <w:rPr>
          <w:lang w:eastAsia="fr-FR" w:bidi="fr-FR"/>
        </w:rPr>
        <w:t>te qui leur permettra de disposer de la totalité des informations néce</w:t>
      </w:r>
      <w:r w:rsidRPr="001C2E2B">
        <w:rPr>
          <w:lang w:eastAsia="fr-FR" w:bidi="fr-FR"/>
        </w:rPr>
        <w:t>s</w:t>
      </w:r>
      <w:r w:rsidRPr="001C2E2B">
        <w:rPr>
          <w:lang w:eastAsia="fr-FR" w:bidi="fr-FR"/>
        </w:rPr>
        <w:t>saires à la prise de décision. Il doit leur permettre de mieux appréhe</w:t>
      </w:r>
      <w:r w:rsidRPr="001C2E2B">
        <w:rPr>
          <w:lang w:eastAsia="fr-FR" w:bidi="fr-FR"/>
        </w:rPr>
        <w:t>n</w:t>
      </w:r>
      <w:r w:rsidRPr="001C2E2B">
        <w:rPr>
          <w:lang w:eastAsia="fr-FR" w:bidi="fr-FR"/>
        </w:rPr>
        <w:t>der la portée et les conséquences des év</w:t>
      </w:r>
      <w:r w:rsidRPr="001C2E2B">
        <w:rPr>
          <w:lang w:eastAsia="fr-FR" w:bidi="fr-FR"/>
        </w:rPr>
        <w:t>é</w:t>
      </w:r>
      <w:r w:rsidRPr="001C2E2B">
        <w:rPr>
          <w:lang w:eastAsia="fr-FR" w:bidi="fr-FR"/>
        </w:rPr>
        <w:t xml:space="preserve">nements. Comme l’explique Richard Betts, </w:t>
      </w:r>
      <w:r w:rsidRPr="001C2E2B">
        <w:t>« </w:t>
      </w:r>
      <w:r w:rsidRPr="001C2E2B">
        <w:rPr>
          <w:lang w:eastAsia="fr-FR" w:bidi="fr-FR"/>
        </w:rPr>
        <w:t>l’une des fonctions du renseignement n’est pas de facil</w:t>
      </w:r>
      <w:r w:rsidRPr="001C2E2B">
        <w:rPr>
          <w:lang w:eastAsia="fr-FR" w:bidi="fr-FR"/>
        </w:rPr>
        <w:t>i</w:t>
      </w:r>
      <w:r w:rsidRPr="001C2E2B">
        <w:rPr>
          <w:lang w:eastAsia="fr-FR" w:bidi="fr-FR"/>
        </w:rPr>
        <w:t>ter le travail des décideurs, mais de le compliquer, en fait de leur dire ce qu’ils ne veulent pas ente</w:t>
      </w:r>
      <w:r w:rsidRPr="001C2E2B">
        <w:rPr>
          <w:lang w:eastAsia="fr-FR" w:bidi="fr-FR"/>
        </w:rPr>
        <w:t>n</w:t>
      </w:r>
      <w:r w:rsidRPr="001C2E2B">
        <w:rPr>
          <w:lang w:eastAsia="fr-FR" w:bidi="fr-FR"/>
        </w:rPr>
        <w:t>dre</w:t>
      </w:r>
      <w:r>
        <w:rPr>
          <w:lang w:eastAsia="fr-FR" w:bidi="fr-FR"/>
        </w:rPr>
        <w:t> </w:t>
      </w:r>
      <w:r>
        <w:rPr>
          <w:rStyle w:val="Appelnotedebasdep"/>
          <w:lang w:eastAsia="fr-FR" w:bidi="fr-FR"/>
        </w:rPr>
        <w:footnoteReference w:id="426"/>
      </w:r>
      <w:r w:rsidRPr="001C2E2B">
        <w:t> »</w:t>
      </w:r>
      <w:r w:rsidRPr="001C2E2B">
        <w:rPr>
          <w:lang w:eastAsia="fr-FR" w:bidi="fr-FR"/>
        </w:rPr>
        <w:t>. Le renseignement consiste à réunir et an</w:t>
      </w:r>
      <w:r w:rsidRPr="001C2E2B">
        <w:rPr>
          <w:lang w:eastAsia="fr-FR" w:bidi="fr-FR"/>
        </w:rPr>
        <w:t>a</w:t>
      </w:r>
      <w:r w:rsidRPr="001C2E2B">
        <w:rPr>
          <w:lang w:eastAsia="fr-FR" w:bidi="fr-FR"/>
        </w:rPr>
        <w:t>lyser l’information, à soumettre des évaluations et à les diffuser auprès des décideurs. Ces derniers peuvent également reco</w:t>
      </w:r>
      <w:r w:rsidRPr="001C2E2B">
        <w:rPr>
          <w:lang w:eastAsia="fr-FR" w:bidi="fr-FR"/>
        </w:rPr>
        <w:t>u</w:t>
      </w:r>
      <w:r w:rsidRPr="001C2E2B">
        <w:rPr>
          <w:lang w:eastAsia="fr-FR" w:bidi="fr-FR"/>
        </w:rPr>
        <w:t>rir aux services de Re</w:t>
      </w:r>
      <w:r w:rsidRPr="001C2E2B">
        <w:rPr>
          <w:lang w:eastAsia="fr-FR" w:bidi="fr-FR"/>
        </w:rPr>
        <w:t>n</w:t>
      </w:r>
      <w:r w:rsidRPr="001C2E2B">
        <w:rPr>
          <w:lang w:eastAsia="fr-FR" w:bidi="fr-FR"/>
        </w:rPr>
        <w:t>seignement pour mener des opérations</w:t>
      </w:r>
      <w:r>
        <w:t xml:space="preserve"> [194] </w:t>
      </w:r>
      <w:r w:rsidRPr="001C2E2B">
        <w:rPr>
          <w:lang w:eastAsia="fr-FR" w:bidi="fr-FR"/>
        </w:rPr>
        <w:t xml:space="preserve">clandestines et pour conduire des activités de contre-espionnage. Le travail du renseignement obéit aux priorités que le président, ses conseillers et </w:t>
      </w:r>
      <w:r w:rsidRPr="005F2F3C">
        <w:rPr>
          <w:lang w:eastAsia="fr-FR" w:bidi="fr-FR"/>
        </w:rPr>
        <w:t xml:space="preserve">le </w:t>
      </w:r>
      <w:r w:rsidRPr="005F2F3C">
        <w:rPr>
          <w:bCs/>
        </w:rPr>
        <w:t xml:space="preserve">NSC </w:t>
      </w:r>
      <w:r w:rsidRPr="005F2F3C">
        <w:rPr>
          <w:lang w:eastAsia="fr-FR" w:bidi="fr-FR"/>
        </w:rPr>
        <w:t>établissent selon le contexte inte</w:t>
      </w:r>
      <w:r w:rsidRPr="005F2F3C">
        <w:rPr>
          <w:lang w:eastAsia="fr-FR" w:bidi="fr-FR"/>
        </w:rPr>
        <w:t>r</w:t>
      </w:r>
      <w:r w:rsidRPr="005F2F3C">
        <w:rPr>
          <w:lang w:eastAsia="fr-FR" w:bidi="fr-FR"/>
        </w:rPr>
        <w:t>national. Il peut ainsi s’agir de la prolifération des armes de destru</w:t>
      </w:r>
      <w:r w:rsidRPr="005F2F3C">
        <w:rPr>
          <w:lang w:eastAsia="fr-FR" w:bidi="fr-FR"/>
        </w:rPr>
        <w:t>c</w:t>
      </w:r>
      <w:r w:rsidRPr="005F2F3C">
        <w:rPr>
          <w:lang w:eastAsia="fr-FR" w:bidi="fr-FR"/>
        </w:rPr>
        <w:t>tion massive, de terrorisme, des États déliquescents, d’une menace stratégique presse</w:t>
      </w:r>
      <w:r w:rsidRPr="005F2F3C">
        <w:rPr>
          <w:lang w:eastAsia="fr-FR" w:bidi="fr-FR"/>
        </w:rPr>
        <w:t>n</w:t>
      </w:r>
      <w:r w:rsidRPr="005F2F3C">
        <w:rPr>
          <w:lang w:eastAsia="fr-FR" w:bidi="fr-FR"/>
        </w:rPr>
        <w:t>tie ou établie, ou encore d’organisations crimine</w:t>
      </w:r>
      <w:r w:rsidRPr="005F2F3C">
        <w:rPr>
          <w:lang w:eastAsia="fr-FR" w:bidi="fr-FR"/>
        </w:rPr>
        <w:t>l</w:t>
      </w:r>
      <w:r w:rsidRPr="005F2F3C">
        <w:rPr>
          <w:lang w:eastAsia="fr-FR" w:bidi="fr-FR"/>
        </w:rPr>
        <w:t>les. À l’instar de la structure militaire, l’organisation du renseignement est vaste et co</w:t>
      </w:r>
      <w:r w:rsidRPr="005F2F3C">
        <w:rPr>
          <w:lang w:eastAsia="fr-FR" w:bidi="fr-FR"/>
        </w:rPr>
        <w:t>m</w:t>
      </w:r>
      <w:r w:rsidRPr="005F2F3C">
        <w:rPr>
          <w:lang w:eastAsia="fr-FR" w:bidi="fr-FR"/>
        </w:rPr>
        <w:t>plexe</w:t>
      </w:r>
      <w:r>
        <w:rPr>
          <w:lang w:eastAsia="fr-FR" w:bidi="fr-FR"/>
        </w:rPr>
        <w:t> </w:t>
      </w:r>
      <w:r>
        <w:rPr>
          <w:rStyle w:val="Appelnotedebasdep"/>
          <w:lang w:eastAsia="fr-FR" w:bidi="fr-FR"/>
        </w:rPr>
        <w:footnoteReference w:id="427"/>
      </w:r>
      <w:r w:rsidRPr="005F2F3C">
        <w:rPr>
          <w:lang w:eastAsia="fr-FR" w:bidi="fr-FR"/>
        </w:rPr>
        <w:t>. Il s’agit même d’une « communauté » pl</w:t>
      </w:r>
      <w:r w:rsidRPr="005F2F3C">
        <w:rPr>
          <w:lang w:eastAsia="fr-FR" w:bidi="fr-FR"/>
        </w:rPr>
        <w:t>u</w:t>
      </w:r>
      <w:r w:rsidRPr="005F2F3C">
        <w:rPr>
          <w:lang w:eastAsia="fr-FR" w:bidi="fr-FR"/>
        </w:rPr>
        <w:t>tôt que d’un seul service : c’est une constellation d’organisations autonomes, at</w:t>
      </w:r>
      <w:r w:rsidRPr="005F2F3C">
        <w:rPr>
          <w:lang w:eastAsia="fr-FR" w:bidi="fr-FR"/>
        </w:rPr>
        <w:t>o</w:t>
      </w:r>
      <w:r w:rsidRPr="005F2F3C">
        <w:rPr>
          <w:lang w:eastAsia="fr-FR" w:bidi="fr-FR"/>
        </w:rPr>
        <w:t>misée dans le gouvernement américain. Cette communauté reçoit e</w:t>
      </w:r>
      <w:r w:rsidRPr="005F2F3C">
        <w:rPr>
          <w:lang w:eastAsia="fr-FR" w:bidi="fr-FR"/>
        </w:rPr>
        <w:t>n</w:t>
      </w:r>
      <w:r w:rsidRPr="005F2F3C">
        <w:rPr>
          <w:lang w:eastAsia="fr-FR" w:bidi="fr-FR"/>
        </w:rPr>
        <w:t xml:space="preserve">viron 30 milliards de dollars par an, dont 10% vont à la </w:t>
      </w:r>
      <w:r w:rsidRPr="005F2F3C">
        <w:rPr>
          <w:bCs/>
        </w:rPr>
        <w:t xml:space="preserve">CIA </w:t>
      </w:r>
      <w:r w:rsidRPr="005F2F3C">
        <w:rPr>
          <w:lang w:eastAsia="fr-FR" w:bidi="fr-FR"/>
        </w:rPr>
        <w:t>(</w:t>
      </w:r>
      <w:r w:rsidRPr="0032098C">
        <w:rPr>
          <w:i/>
          <w:iCs/>
          <w:lang w:eastAsia="fr-FR" w:bidi="fr-FR"/>
        </w:rPr>
        <w:t>Central Intell</w:t>
      </w:r>
      <w:r w:rsidRPr="0032098C">
        <w:rPr>
          <w:i/>
          <w:iCs/>
          <w:lang w:eastAsia="fr-FR" w:bidi="fr-FR"/>
        </w:rPr>
        <w:t>i</w:t>
      </w:r>
      <w:r w:rsidRPr="0032098C">
        <w:rPr>
          <w:i/>
          <w:iCs/>
          <w:lang w:eastAsia="fr-FR" w:bidi="fr-FR"/>
        </w:rPr>
        <w:t>gence Agency</w:t>
      </w:r>
      <w:r w:rsidRPr="005F2F3C">
        <w:rPr>
          <w:lang w:eastAsia="fr-FR" w:bidi="fr-FR"/>
        </w:rPr>
        <w:t>) et 85% aux agences militaires placées sous la respo</w:t>
      </w:r>
      <w:r w:rsidRPr="005F2F3C">
        <w:rPr>
          <w:lang w:eastAsia="fr-FR" w:bidi="fr-FR"/>
        </w:rPr>
        <w:t>n</w:t>
      </w:r>
      <w:r w:rsidRPr="005F2F3C">
        <w:rPr>
          <w:lang w:eastAsia="fr-FR" w:bidi="fr-FR"/>
        </w:rPr>
        <w:t>sabilité directe de la Défense. Le renseignement s’appuie sur environ 15</w:t>
      </w:r>
      <w:r>
        <w:rPr>
          <w:lang w:eastAsia="fr-FR" w:bidi="fr-FR"/>
        </w:rPr>
        <w:t> </w:t>
      </w:r>
      <w:r w:rsidRPr="005F2F3C">
        <w:rPr>
          <w:lang w:eastAsia="fr-FR" w:bidi="fr-FR"/>
        </w:rPr>
        <w:t xml:space="preserve">000 employés de la </w:t>
      </w:r>
      <w:r w:rsidRPr="005F2F3C">
        <w:rPr>
          <w:bCs/>
        </w:rPr>
        <w:t xml:space="preserve">CIA </w:t>
      </w:r>
      <w:r w:rsidRPr="005F2F3C">
        <w:rPr>
          <w:lang w:eastAsia="fr-FR" w:bidi="fr-FR"/>
        </w:rPr>
        <w:t>et, selon les estim</w:t>
      </w:r>
      <w:r w:rsidRPr="005F2F3C">
        <w:rPr>
          <w:lang w:eastAsia="fr-FR" w:bidi="fr-FR"/>
        </w:rPr>
        <w:t>a</w:t>
      </w:r>
      <w:r w:rsidRPr="005F2F3C">
        <w:rPr>
          <w:lang w:eastAsia="fr-FR" w:bidi="fr-FR"/>
        </w:rPr>
        <w:t>tions, plus de 100</w:t>
      </w:r>
      <w:r>
        <w:rPr>
          <w:lang w:eastAsia="fr-FR" w:bidi="fr-FR"/>
        </w:rPr>
        <w:t> </w:t>
      </w:r>
      <w:r w:rsidRPr="005F2F3C">
        <w:rPr>
          <w:lang w:eastAsia="fr-FR" w:bidi="fr-FR"/>
        </w:rPr>
        <w:t>000 perso</w:t>
      </w:r>
      <w:r w:rsidRPr="005F2F3C">
        <w:rPr>
          <w:lang w:eastAsia="fr-FR" w:bidi="fr-FR"/>
        </w:rPr>
        <w:t>n</w:t>
      </w:r>
      <w:r w:rsidRPr="005F2F3C">
        <w:rPr>
          <w:lang w:eastAsia="fr-FR" w:bidi="fr-FR"/>
        </w:rPr>
        <w:t>nels répartis au sein des autres agences.</w:t>
      </w:r>
    </w:p>
    <w:p w14:paraId="07ED5F43" w14:textId="77777777" w:rsidR="0039793A" w:rsidRDefault="0039793A" w:rsidP="0039793A">
      <w:pPr>
        <w:spacing w:before="120" w:after="120"/>
        <w:jc w:val="both"/>
        <w:rPr>
          <w:lang w:eastAsia="fr-FR" w:bidi="fr-FR"/>
        </w:rPr>
      </w:pPr>
    </w:p>
    <w:p w14:paraId="386C4743" w14:textId="77777777" w:rsidR="0039793A" w:rsidRDefault="0039793A" w:rsidP="0039793A">
      <w:pPr>
        <w:spacing w:before="120" w:after="120"/>
        <w:jc w:val="both"/>
        <w:rPr>
          <w:lang w:eastAsia="fr-FR" w:bidi="fr-FR"/>
        </w:rPr>
      </w:pPr>
    </w:p>
    <w:p w14:paraId="2CF6987A" w14:textId="77777777" w:rsidR="0039793A" w:rsidRPr="0032098C" w:rsidRDefault="0039793A" w:rsidP="0039793A">
      <w:pPr>
        <w:pStyle w:val="b"/>
        <w:rPr>
          <w:lang w:eastAsia="fr-FR" w:bidi="fr-FR"/>
        </w:rPr>
      </w:pPr>
      <w:r w:rsidRPr="0032098C">
        <w:rPr>
          <w:lang w:eastAsia="fr-FR" w:bidi="fr-FR"/>
        </w:rPr>
        <w:t>Le directeur de la communauté du renseign</w:t>
      </w:r>
      <w:r w:rsidRPr="0032098C">
        <w:rPr>
          <w:lang w:eastAsia="fr-FR" w:bidi="fr-FR"/>
        </w:rPr>
        <w:t>e</w:t>
      </w:r>
      <w:r w:rsidRPr="0032098C">
        <w:rPr>
          <w:lang w:eastAsia="fr-FR" w:bidi="fr-FR"/>
        </w:rPr>
        <w:t>ment</w:t>
      </w:r>
    </w:p>
    <w:p w14:paraId="0B445092" w14:textId="77777777" w:rsidR="0039793A" w:rsidRDefault="0039793A" w:rsidP="0039793A">
      <w:pPr>
        <w:spacing w:before="120" w:after="120"/>
        <w:jc w:val="both"/>
        <w:rPr>
          <w:lang w:eastAsia="fr-FR" w:bidi="fr-FR"/>
        </w:rPr>
      </w:pPr>
    </w:p>
    <w:p w14:paraId="56D3B91E" w14:textId="77777777" w:rsidR="0039793A" w:rsidRPr="005F2F3C" w:rsidRDefault="0039793A" w:rsidP="0039793A">
      <w:pPr>
        <w:spacing w:before="120" w:after="120"/>
        <w:jc w:val="both"/>
        <w:rPr>
          <w:lang w:eastAsia="fr-FR" w:bidi="fr-FR"/>
        </w:rPr>
      </w:pPr>
      <w:r w:rsidRPr="005F2F3C">
        <w:rPr>
          <w:lang w:eastAsia="fr-FR" w:bidi="fr-FR"/>
        </w:rPr>
        <w:t>Cette communauté est dirigée par le directeur des services de re</w:t>
      </w:r>
      <w:r w:rsidRPr="005F2F3C">
        <w:rPr>
          <w:lang w:eastAsia="fr-FR" w:bidi="fr-FR"/>
        </w:rPr>
        <w:t>n</w:t>
      </w:r>
      <w:r w:rsidRPr="005F2F3C">
        <w:rPr>
          <w:lang w:eastAsia="fr-FR" w:bidi="fr-FR"/>
        </w:rPr>
        <w:t xml:space="preserve">seignement, le </w:t>
      </w:r>
      <w:r w:rsidRPr="005F2F3C">
        <w:rPr>
          <w:bCs/>
        </w:rPr>
        <w:t xml:space="preserve">DCI </w:t>
      </w:r>
      <w:r w:rsidRPr="005F2F3C">
        <w:rPr>
          <w:lang w:eastAsia="fr-FR" w:bidi="fr-FR"/>
        </w:rPr>
        <w:t>(</w:t>
      </w:r>
      <w:r w:rsidRPr="0032098C">
        <w:rPr>
          <w:i/>
          <w:iCs/>
          <w:lang w:eastAsia="fr-FR" w:bidi="fr-FR"/>
        </w:rPr>
        <w:t>Director of Central Intelligence</w:t>
      </w:r>
      <w:r w:rsidRPr="005F2F3C">
        <w:rPr>
          <w:lang w:eastAsia="fr-FR" w:bidi="fr-FR"/>
        </w:rPr>
        <w:t xml:space="preserve">), nommé par le président avec l’approbation du Sénat. Le </w:t>
      </w:r>
      <w:r w:rsidRPr="005F2F3C">
        <w:rPr>
          <w:bCs/>
        </w:rPr>
        <w:t xml:space="preserve">DCI </w:t>
      </w:r>
      <w:r w:rsidRPr="005F2F3C">
        <w:rPr>
          <w:lang w:eastAsia="fr-FR" w:bidi="fr-FR"/>
        </w:rPr>
        <w:t xml:space="preserve">est, comme le </w:t>
      </w:r>
      <w:r w:rsidRPr="005F2F3C">
        <w:rPr>
          <w:bCs/>
        </w:rPr>
        <w:t xml:space="preserve">CJCS, </w:t>
      </w:r>
      <w:r w:rsidRPr="005F2F3C">
        <w:rPr>
          <w:lang w:eastAsia="fr-FR" w:bidi="fr-FR"/>
        </w:rPr>
        <w:t xml:space="preserve">membre de droit du </w:t>
      </w:r>
      <w:r w:rsidRPr="005F2F3C">
        <w:rPr>
          <w:bCs/>
        </w:rPr>
        <w:t xml:space="preserve">NSC </w:t>
      </w:r>
      <w:r w:rsidRPr="005F2F3C">
        <w:rPr>
          <w:lang w:eastAsia="fr-FR" w:bidi="fr-FR"/>
        </w:rPr>
        <w:t>en qualité de conseiller (ce qui signifie qu’il n’y a pas droit de vote).</w:t>
      </w:r>
    </w:p>
    <w:p w14:paraId="1371AA10" w14:textId="77777777" w:rsidR="0039793A" w:rsidRPr="005F2F3C" w:rsidRDefault="0039793A" w:rsidP="0039793A">
      <w:pPr>
        <w:spacing w:before="120" w:after="120"/>
        <w:jc w:val="both"/>
        <w:rPr>
          <w:lang w:eastAsia="fr-FR" w:bidi="fr-FR"/>
        </w:rPr>
      </w:pPr>
      <w:r w:rsidRPr="005F2F3C">
        <w:rPr>
          <w:lang w:eastAsia="fr-FR" w:bidi="fr-FR"/>
        </w:rPr>
        <w:t xml:space="preserve">Le </w:t>
      </w:r>
      <w:r w:rsidRPr="005F2F3C">
        <w:rPr>
          <w:bCs/>
        </w:rPr>
        <w:t xml:space="preserve">DCI </w:t>
      </w:r>
      <w:r w:rsidRPr="005F2F3C">
        <w:rPr>
          <w:lang w:eastAsia="fr-FR" w:bidi="fr-FR"/>
        </w:rPr>
        <w:t>occupe un poste unique, dans la mesure où il est simult</w:t>
      </w:r>
      <w:r w:rsidRPr="005F2F3C">
        <w:rPr>
          <w:lang w:eastAsia="fr-FR" w:bidi="fr-FR"/>
        </w:rPr>
        <w:t>a</w:t>
      </w:r>
      <w:r w:rsidRPr="005F2F3C">
        <w:rPr>
          <w:lang w:eastAsia="fr-FR" w:bidi="fr-FR"/>
        </w:rPr>
        <w:t>nément directeur de la comm</w:t>
      </w:r>
      <w:r w:rsidRPr="005F2F3C">
        <w:rPr>
          <w:lang w:eastAsia="fr-FR" w:bidi="fr-FR"/>
        </w:rPr>
        <w:t>u</w:t>
      </w:r>
      <w:r w:rsidRPr="005F2F3C">
        <w:rPr>
          <w:lang w:eastAsia="fr-FR" w:bidi="fr-FR"/>
        </w:rPr>
        <w:t xml:space="preserve">nauté du renseignement et directeur de la </w:t>
      </w:r>
      <w:r w:rsidRPr="005F2F3C">
        <w:rPr>
          <w:bCs/>
        </w:rPr>
        <w:t xml:space="preserve">CIA </w:t>
      </w:r>
      <w:r w:rsidRPr="005F2F3C">
        <w:rPr>
          <w:lang w:eastAsia="fr-FR" w:bidi="fr-FR"/>
        </w:rPr>
        <w:t xml:space="preserve">— elle-même une composante de cette communauté. Depuis G.H. Bush, le </w:t>
      </w:r>
      <w:r w:rsidRPr="005F2F3C">
        <w:rPr>
          <w:bCs/>
        </w:rPr>
        <w:t xml:space="preserve">DCI </w:t>
      </w:r>
      <w:r w:rsidRPr="005F2F3C">
        <w:rPr>
          <w:lang w:eastAsia="fr-FR" w:bidi="fr-FR"/>
        </w:rPr>
        <w:t>a le droit d’être consulté sur les budgets, les mi</w:t>
      </w:r>
      <w:r w:rsidRPr="005F2F3C">
        <w:rPr>
          <w:lang w:eastAsia="fr-FR" w:bidi="fr-FR"/>
        </w:rPr>
        <w:t>s</w:t>
      </w:r>
      <w:r w:rsidRPr="005F2F3C">
        <w:rPr>
          <w:lang w:eastAsia="fr-FR" w:bidi="fr-FR"/>
        </w:rPr>
        <w:t>sions et la nomination des directeurs des autres agences.</w:t>
      </w:r>
    </w:p>
    <w:p w14:paraId="0A95EC73" w14:textId="77777777" w:rsidR="0039793A" w:rsidRPr="001C2E2B" w:rsidRDefault="0039793A" w:rsidP="0039793A">
      <w:pPr>
        <w:spacing w:before="120" w:after="120"/>
        <w:jc w:val="both"/>
      </w:pPr>
      <w:r w:rsidRPr="005F2F3C">
        <w:rPr>
          <w:lang w:eastAsia="fr-FR" w:bidi="fr-FR"/>
        </w:rPr>
        <w:t xml:space="preserve">Malgré cela, le </w:t>
      </w:r>
      <w:r w:rsidRPr="005F2F3C">
        <w:rPr>
          <w:bCs/>
        </w:rPr>
        <w:t xml:space="preserve">DCI </w:t>
      </w:r>
      <w:r w:rsidRPr="005F2F3C">
        <w:rPr>
          <w:lang w:eastAsia="fr-FR" w:bidi="fr-FR"/>
        </w:rPr>
        <w:t>ne dispose toujours pas d’une autorité vra</w:t>
      </w:r>
      <w:r w:rsidRPr="005F2F3C">
        <w:rPr>
          <w:lang w:eastAsia="fr-FR" w:bidi="fr-FR"/>
        </w:rPr>
        <w:t>i</w:t>
      </w:r>
      <w:r w:rsidRPr="005F2F3C">
        <w:rPr>
          <w:lang w:eastAsia="fr-FR" w:bidi="fr-FR"/>
        </w:rPr>
        <w:t>ment adaptée à ses responsab</w:t>
      </w:r>
      <w:r w:rsidRPr="001C2E2B">
        <w:rPr>
          <w:lang w:eastAsia="fr-FR" w:bidi="fr-FR"/>
        </w:rPr>
        <w:t>il</w:t>
      </w:r>
      <w:r w:rsidRPr="001C2E2B">
        <w:rPr>
          <w:lang w:eastAsia="fr-FR" w:bidi="fr-FR"/>
        </w:rPr>
        <w:t>i</w:t>
      </w:r>
      <w:r w:rsidRPr="001C2E2B">
        <w:rPr>
          <w:lang w:eastAsia="fr-FR" w:bidi="fr-FR"/>
        </w:rPr>
        <w:t>tés</w:t>
      </w:r>
      <w:r w:rsidRPr="001C2E2B">
        <w:t> :</w:t>
      </w:r>
      <w:r w:rsidRPr="001C2E2B">
        <w:rPr>
          <w:lang w:eastAsia="fr-FR" w:bidi="fr-FR"/>
        </w:rPr>
        <w:t xml:space="preserve"> l’effectivité de ses pouvoirs ne correspond pas véritablement à l’étendue de son mandat</w:t>
      </w:r>
      <w:r>
        <w:rPr>
          <w:lang w:eastAsia="fr-FR" w:bidi="fr-FR"/>
        </w:rPr>
        <w:t> </w:t>
      </w:r>
      <w:r>
        <w:rPr>
          <w:rStyle w:val="Appelnotedebasdep"/>
          <w:lang w:eastAsia="fr-FR" w:bidi="fr-FR"/>
        </w:rPr>
        <w:footnoteReference w:id="428"/>
      </w:r>
      <w:r w:rsidRPr="001C2E2B">
        <w:rPr>
          <w:lang w:eastAsia="fr-FR" w:bidi="fr-FR"/>
        </w:rPr>
        <w:t>.</w:t>
      </w:r>
    </w:p>
    <w:p w14:paraId="349CB9F1" w14:textId="77777777" w:rsidR="0039793A" w:rsidRPr="001C2E2B" w:rsidRDefault="0039793A" w:rsidP="0039793A">
      <w:pPr>
        <w:spacing w:before="120" w:after="120"/>
        <w:jc w:val="both"/>
      </w:pPr>
      <w:r>
        <w:t>[195]</w:t>
      </w:r>
    </w:p>
    <w:p w14:paraId="7B9614EF" w14:textId="77777777" w:rsidR="0039793A" w:rsidRPr="005F2F3C" w:rsidRDefault="0039793A" w:rsidP="0039793A">
      <w:pPr>
        <w:spacing w:before="120" w:after="120"/>
        <w:jc w:val="both"/>
        <w:rPr>
          <w:lang w:eastAsia="fr-FR" w:bidi="fr-FR"/>
        </w:rPr>
      </w:pPr>
      <w:r w:rsidRPr="001C2E2B">
        <w:rPr>
          <w:lang w:eastAsia="fr-FR" w:bidi="fr-FR"/>
        </w:rPr>
        <w:t xml:space="preserve">Aussi l’une des réformes récemment proposées est-elle qu’il soit </w:t>
      </w:r>
      <w:r w:rsidRPr="005F2F3C">
        <w:rPr>
          <w:lang w:eastAsia="fr-FR" w:bidi="fr-FR"/>
        </w:rPr>
        <w:t xml:space="preserve">promu </w:t>
      </w:r>
      <w:r w:rsidRPr="005F2F3C">
        <w:rPr>
          <w:bCs/>
        </w:rPr>
        <w:t xml:space="preserve">DNI </w:t>
      </w:r>
      <w:r w:rsidRPr="005F2F3C">
        <w:rPr>
          <w:lang w:eastAsia="fr-FR" w:bidi="fr-FR"/>
        </w:rPr>
        <w:t>(</w:t>
      </w:r>
      <w:r w:rsidRPr="003D1775">
        <w:rPr>
          <w:i/>
          <w:iCs/>
          <w:lang w:eastAsia="fr-FR" w:bidi="fr-FR"/>
        </w:rPr>
        <w:t>Director of National Intelligence</w:t>
      </w:r>
      <w:r w:rsidRPr="005F2F3C">
        <w:rPr>
          <w:lang w:eastAsia="fr-FR" w:bidi="fr-FR"/>
        </w:rPr>
        <w:t xml:space="preserve">) abandonnant alors ses fonctions de directeur de la </w:t>
      </w:r>
      <w:r w:rsidRPr="005F2F3C">
        <w:rPr>
          <w:bCs/>
        </w:rPr>
        <w:t>CIA</w:t>
      </w:r>
      <w:r>
        <w:rPr>
          <w:lang w:eastAsia="fr-FR" w:bidi="fr-FR"/>
        </w:rPr>
        <w:t> </w:t>
      </w:r>
      <w:r>
        <w:rPr>
          <w:rStyle w:val="Appelnotedebasdep"/>
          <w:lang w:eastAsia="fr-FR" w:bidi="fr-FR"/>
        </w:rPr>
        <w:footnoteReference w:id="429"/>
      </w:r>
      <w:r w:rsidRPr="005F2F3C">
        <w:rPr>
          <w:lang w:eastAsia="fr-FR" w:bidi="fr-FR"/>
        </w:rPr>
        <w:t>, car en effet, en sa qualité de d</w:t>
      </w:r>
      <w:r w:rsidRPr="005F2F3C">
        <w:rPr>
          <w:lang w:eastAsia="fr-FR" w:bidi="fr-FR"/>
        </w:rPr>
        <w:t>i</w:t>
      </w:r>
      <w:r w:rsidRPr="005F2F3C">
        <w:rPr>
          <w:lang w:eastAsia="fr-FR" w:bidi="fr-FR"/>
        </w:rPr>
        <w:t>recteur d’une des agences de la communauté, il ne bénéficie pas d’une légitimité suffisante pour diriger l’ensemble.</w:t>
      </w:r>
    </w:p>
    <w:p w14:paraId="47AE127B" w14:textId="77777777" w:rsidR="0039793A" w:rsidRPr="005F2F3C" w:rsidRDefault="0039793A" w:rsidP="0039793A">
      <w:pPr>
        <w:spacing w:before="120" w:after="120"/>
        <w:jc w:val="both"/>
        <w:rPr>
          <w:lang w:eastAsia="fr-FR" w:bidi="fr-FR"/>
        </w:rPr>
      </w:pPr>
      <w:r w:rsidRPr="005F2F3C">
        <w:rPr>
          <w:lang w:eastAsia="fr-FR" w:bidi="fr-FR"/>
        </w:rPr>
        <w:t xml:space="preserve">En l’état actuel des choses, l’influence du </w:t>
      </w:r>
      <w:r w:rsidRPr="005F2F3C">
        <w:rPr>
          <w:bCs/>
        </w:rPr>
        <w:t xml:space="preserve">DCI </w:t>
      </w:r>
      <w:r w:rsidRPr="005F2F3C">
        <w:rPr>
          <w:lang w:eastAsia="fr-FR" w:bidi="fr-FR"/>
        </w:rPr>
        <w:t xml:space="preserve">dépend entièrement de l’appui du président et de la marge de manœuvre que ce dernier lui laissera. Certains </w:t>
      </w:r>
      <w:r w:rsidRPr="005F2F3C">
        <w:rPr>
          <w:bCs/>
        </w:rPr>
        <w:t xml:space="preserve">DCI </w:t>
      </w:r>
      <w:r w:rsidRPr="005F2F3C">
        <w:rPr>
          <w:lang w:eastAsia="fr-FR" w:bidi="fr-FR"/>
        </w:rPr>
        <w:t>ont été influents en raison même de leurs t</w:t>
      </w:r>
      <w:r w:rsidRPr="005F2F3C">
        <w:rPr>
          <w:lang w:eastAsia="fr-FR" w:bidi="fr-FR"/>
        </w:rPr>
        <w:t>a</w:t>
      </w:r>
      <w:r w:rsidRPr="005F2F3C">
        <w:rPr>
          <w:lang w:eastAsia="fr-FR" w:bidi="fr-FR"/>
        </w:rPr>
        <w:t>lents de persuasion et de leurs excellents rapports avec le président : par exemple, A. Dulles sous Eisenhower, S. Turner sous Carter, W. Casey sous Reagan. D’autres en revanche n’eurent que peu d’audience auprès de leurs présidents : R. Helms sous Nixon, J. Woo</w:t>
      </w:r>
      <w:r w:rsidRPr="005F2F3C">
        <w:rPr>
          <w:lang w:eastAsia="fr-FR" w:bidi="fr-FR"/>
        </w:rPr>
        <w:t>l</w:t>
      </w:r>
      <w:r w:rsidRPr="005F2F3C">
        <w:rPr>
          <w:lang w:eastAsia="fr-FR" w:bidi="fr-FR"/>
        </w:rPr>
        <w:t xml:space="preserve">sey et J. Deutch sous Clinton. Le </w:t>
      </w:r>
      <w:r w:rsidRPr="005F2F3C">
        <w:rPr>
          <w:bCs/>
        </w:rPr>
        <w:t xml:space="preserve">DCI </w:t>
      </w:r>
      <w:r w:rsidRPr="005F2F3C">
        <w:rPr>
          <w:lang w:eastAsia="fr-FR" w:bidi="fr-FR"/>
        </w:rPr>
        <w:t xml:space="preserve">est secondé dans ses fonctions par un adjoint, le </w:t>
      </w:r>
      <w:r w:rsidRPr="005F2F3C">
        <w:rPr>
          <w:bCs/>
        </w:rPr>
        <w:t xml:space="preserve">DDCI </w:t>
      </w:r>
      <w:r w:rsidRPr="005F2F3C">
        <w:rPr>
          <w:lang w:eastAsia="fr-FR" w:bidi="fr-FR"/>
        </w:rPr>
        <w:t>(</w:t>
      </w:r>
      <w:r w:rsidRPr="003D1775">
        <w:rPr>
          <w:i/>
          <w:iCs/>
          <w:lang w:eastAsia="fr-FR" w:bidi="fr-FR"/>
        </w:rPr>
        <w:t>Deputy Director of Ce</w:t>
      </w:r>
      <w:r w:rsidRPr="003D1775">
        <w:rPr>
          <w:i/>
          <w:iCs/>
          <w:lang w:eastAsia="fr-FR" w:bidi="fr-FR"/>
        </w:rPr>
        <w:t>n</w:t>
      </w:r>
      <w:r w:rsidRPr="003D1775">
        <w:rPr>
          <w:i/>
          <w:iCs/>
          <w:lang w:eastAsia="fr-FR" w:bidi="fr-FR"/>
        </w:rPr>
        <w:t>tral Intelligence</w:t>
      </w:r>
      <w:r w:rsidRPr="005F2F3C">
        <w:rPr>
          <w:lang w:eastAsia="fr-FR" w:bidi="fr-FR"/>
        </w:rPr>
        <w:t xml:space="preserve">), chargé de la gestion courante de la communauté du renseignement, et bénéficie du support des directeurs des divisions analytique </w:t>
      </w:r>
      <w:r w:rsidRPr="005F2F3C">
        <w:rPr>
          <w:bCs/>
        </w:rPr>
        <w:t xml:space="preserve">DDI </w:t>
      </w:r>
      <w:r w:rsidRPr="005F2F3C">
        <w:rPr>
          <w:lang w:eastAsia="fr-FR" w:bidi="fr-FR"/>
        </w:rPr>
        <w:t>(</w:t>
      </w:r>
      <w:r w:rsidRPr="003D1775">
        <w:rPr>
          <w:i/>
          <w:iCs/>
          <w:lang w:eastAsia="fr-FR" w:bidi="fr-FR"/>
        </w:rPr>
        <w:t>D</w:t>
      </w:r>
      <w:r w:rsidRPr="003D1775">
        <w:rPr>
          <w:i/>
          <w:iCs/>
          <w:lang w:eastAsia="fr-FR" w:bidi="fr-FR"/>
        </w:rPr>
        <w:t>e</w:t>
      </w:r>
      <w:r w:rsidRPr="003D1775">
        <w:rPr>
          <w:i/>
          <w:iCs/>
          <w:lang w:eastAsia="fr-FR" w:bidi="fr-FR"/>
        </w:rPr>
        <w:t>puty Director for Intelligence</w:t>
      </w:r>
      <w:r w:rsidRPr="005F2F3C">
        <w:rPr>
          <w:lang w:eastAsia="fr-FR" w:bidi="fr-FR"/>
        </w:rPr>
        <w:t xml:space="preserve">) et opérationnelle </w:t>
      </w:r>
      <w:r w:rsidRPr="005F2F3C">
        <w:rPr>
          <w:bCs/>
        </w:rPr>
        <w:t xml:space="preserve">DDO </w:t>
      </w:r>
      <w:r w:rsidRPr="005F2F3C">
        <w:rPr>
          <w:lang w:eastAsia="fr-FR" w:bidi="fr-FR"/>
        </w:rPr>
        <w:t>(</w:t>
      </w:r>
      <w:r w:rsidRPr="003D1775">
        <w:rPr>
          <w:i/>
          <w:iCs/>
          <w:lang w:eastAsia="fr-FR" w:bidi="fr-FR"/>
        </w:rPr>
        <w:t>Deputy Dire</w:t>
      </w:r>
      <w:r w:rsidRPr="003D1775">
        <w:rPr>
          <w:i/>
          <w:iCs/>
          <w:lang w:eastAsia="fr-FR" w:bidi="fr-FR"/>
        </w:rPr>
        <w:t>c</w:t>
      </w:r>
      <w:r w:rsidRPr="003D1775">
        <w:rPr>
          <w:i/>
          <w:iCs/>
          <w:lang w:eastAsia="fr-FR" w:bidi="fr-FR"/>
        </w:rPr>
        <w:t>tor for Operations</w:t>
      </w:r>
      <w:r w:rsidRPr="005F2F3C">
        <w:rPr>
          <w:lang w:eastAsia="fr-FR" w:bidi="fr-FR"/>
        </w:rPr>
        <w:t>).</w:t>
      </w:r>
    </w:p>
    <w:p w14:paraId="7C07C3AF" w14:textId="77777777" w:rsidR="0039793A" w:rsidRDefault="0039793A" w:rsidP="0039793A">
      <w:pPr>
        <w:spacing w:before="120" w:after="120"/>
        <w:jc w:val="both"/>
        <w:rPr>
          <w:lang w:eastAsia="fr-FR" w:bidi="fr-FR"/>
        </w:rPr>
      </w:pPr>
    </w:p>
    <w:p w14:paraId="50EB09F5" w14:textId="77777777" w:rsidR="0039793A" w:rsidRPr="003D1775" w:rsidRDefault="0039793A" w:rsidP="0039793A">
      <w:pPr>
        <w:pStyle w:val="b"/>
        <w:rPr>
          <w:lang w:eastAsia="fr-FR" w:bidi="fr-FR"/>
        </w:rPr>
      </w:pPr>
      <w:r w:rsidRPr="003D1775">
        <w:rPr>
          <w:lang w:eastAsia="fr-FR" w:bidi="fr-FR"/>
        </w:rPr>
        <w:t>Les agences du renseignement</w:t>
      </w:r>
    </w:p>
    <w:p w14:paraId="63E9DFBB" w14:textId="77777777" w:rsidR="0039793A" w:rsidRDefault="0039793A" w:rsidP="0039793A">
      <w:pPr>
        <w:spacing w:before="120" w:after="120"/>
        <w:jc w:val="both"/>
        <w:rPr>
          <w:lang w:eastAsia="fr-FR" w:bidi="fr-FR"/>
        </w:rPr>
      </w:pPr>
    </w:p>
    <w:p w14:paraId="1E390012" w14:textId="77777777" w:rsidR="0039793A" w:rsidRPr="005F2F3C" w:rsidRDefault="0039793A" w:rsidP="0039793A">
      <w:pPr>
        <w:spacing w:before="120" w:after="120"/>
        <w:jc w:val="both"/>
        <w:rPr>
          <w:lang w:eastAsia="fr-FR" w:bidi="fr-FR"/>
        </w:rPr>
      </w:pPr>
      <w:r w:rsidRPr="005F2F3C">
        <w:rPr>
          <w:lang w:eastAsia="fr-FR" w:bidi="fr-FR"/>
        </w:rPr>
        <w:t xml:space="preserve">Loch Johnson décrit le </w:t>
      </w:r>
      <w:r w:rsidRPr="005F2F3C">
        <w:rPr>
          <w:bCs/>
        </w:rPr>
        <w:t xml:space="preserve">DCI </w:t>
      </w:r>
      <w:r w:rsidRPr="005F2F3C">
        <w:rPr>
          <w:lang w:eastAsia="fr-FR" w:bidi="fr-FR"/>
        </w:rPr>
        <w:t>comme l’arbitre d’une « fédération tr</w:t>
      </w:r>
      <w:r w:rsidRPr="005F2F3C">
        <w:rPr>
          <w:lang w:eastAsia="fr-FR" w:bidi="fr-FR"/>
        </w:rPr>
        <w:t>i</w:t>
      </w:r>
      <w:r w:rsidRPr="005F2F3C">
        <w:rPr>
          <w:lang w:eastAsia="fr-FR" w:bidi="fr-FR"/>
        </w:rPr>
        <w:t>bale</w:t>
      </w:r>
      <w:r>
        <w:rPr>
          <w:lang w:eastAsia="fr-FR" w:bidi="fr-FR"/>
        </w:rPr>
        <w:t> </w:t>
      </w:r>
      <w:r>
        <w:rPr>
          <w:rStyle w:val="Appelnotedebasdep"/>
          <w:lang w:eastAsia="fr-FR" w:bidi="fr-FR"/>
        </w:rPr>
        <w:footnoteReference w:id="430"/>
      </w:r>
      <w:r w:rsidRPr="005F2F3C">
        <w:rPr>
          <w:lang w:eastAsia="fr-FR" w:bidi="fr-FR"/>
        </w:rPr>
        <w:t> ». La seule organis</w:t>
      </w:r>
      <w:r w:rsidRPr="005F2F3C">
        <w:rPr>
          <w:lang w:eastAsia="fr-FR" w:bidi="fr-FR"/>
        </w:rPr>
        <w:t>a</w:t>
      </w:r>
      <w:r w:rsidRPr="005F2F3C">
        <w:rPr>
          <w:lang w:eastAsia="fr-FR" w:bidi="fr-FR"/>
        </w:rPr>
        <w:t xml:space="preserve">tion que le </w:t>
      </w:r>
      <w:r w:rsidRPr="005F2F3C">
        <w:rPr>
          <w:bCs/>
        </w:rPr>
        <w:t xml:space="preserve">DCI </w:t>
      </w:r>
      <w:r w:rsidRPr="005F2F3C">
        <w:rPr>
          <w:lang w:eastAsia="fr-FR" w:bidi="fr-FR"/>
        </w:rPr>
        <w:t xml:space="preserve">contrôle véritablement est la </w:t>
      </w:r>
      <w:r w:rsidRPr="005F2F3C">
        <w:rPr>
          <w:bCs/>
        </w:rPr>
        <w:t xml:space="preserve">CIA, </w:t>
      </w:r>
      <w:r w:rsidRPr="005F2F3C">
        <w:rPr>
          <w:lang w:eastAsia="fr-FR" w:bidi="fr-FR"/>
        </w:rPr>
        <w:t>les autres agences étant gérées par leurs départements respe</w:t>
      </w:r>
      <w:r w:rsidRPr="005F2F3C">
        <w:rPr>
          <w:lang w:eastAsia="fr-FR" w:bidi="fr-FR"/>
        </w:rPr>
        <w:t>c</w:t>
      </w:r>
      <w:r w:rsidRPr="005F2F3C">
        <w:rPr>
          <w:lang w:eastAsia="fr-FR" w:bidi="fr-FR"/>
        </w:rPr>
        <w:t>tifs</w:t>
      </w:r>
      <w:r>
        <w:rPr>
          <w:lang w:eastAsia="fr-FR" w:bidi="fr-FR"/>
        </w:rPr>
        <w:t> </w:t>
      </w:r>
      <w:r>
        <w:rPr>
          <w:rStyle w:val="Appelnotedebasdep"/>
          <w:lang w:eastAsia="fr-FR" w:bidi="fr-FR"/>
        </w:rPr>
        <w:footnoteReference w:id="431"/>
      </w:r>
      <w:r w:rsidRPr="005F2F3C">
        <w:rPr>
          <w:lang w:eastAsia="fr-FR" w:bidi="fr-FR"/>
        </w:rPr>
        <w:t>.</w:t>
      </w:r>
    </w:p>
    <w:p w14:paraId="0BC4850A" w14:textId="77777777" w:rsidR="0039793A" w:rsidRPr="001C2E2B" w:rsidRDefault="0039793A" w:rsidP="0039793A">
      <w:pPr>
        <w:spacing w:before="120" w:after="120"/>
        <w:jc w:val="both"/>
      </w:pPr>
      <w:r w:rsidRPr="005F2F3C">
        <w:rPr>
          <w:lang w:eastAsia="fr-FR" w:bidi="fr-FR"/>
        </w:rPr>
        <w:t xml:space="preserve">Au département de la Défense, la </w:t>
      </w:r>
      <w:r w:rsidRPr="005F2F3C">
        <w:rPr>
          <w:bCs/>
        </w:rPr>
        <w:t xml:space="preserve">DIA </w:t>
      </w:r>
      <w:r w:rsidRPr="005F2F3C">
        <w:rPr>
          <w:lang w:eastAsia="fr-FR" w:bidi="fr-FR"/>
        </w:rPr>
        <w:t>(</w:t>
      </w:r>
      <w:r w:rsidRPr="003D1775">
        <w:rPr>
          <w:i/>
          <w:iCs/>
          <w:lang w:eastAsia="fr-FR" w:bidi="fr-FR"/>
        </w:rPr>
        <w:t>Defense Intelligence Age</w:t>
      </w:r>
      <w:r w:rsidRPr="003D1775">
        <w:rPr>
          <w:i/>
          <w:iCs/>
          <w:lang w:eastAsia="fr-FR" w:bidi="fr-FR"/>
        </w:rPr>
        <w:t>n</w:t>
      </w:r>
      <w:r w:rsidRPr="003D1775">
        <w:rPr>
          <w:i/>
          <w:iCs/>
          <w:lang w:eastAsia="fr-FR" w:bidi="fr-FR"/>
        </w:rPr>
        <w:t>cy</w:t>
      </w:r>
      <w:r w:rsidRPr="005F2F3C">
        <w:rPr>
          <w:lang w:eastAsia="fr-FR" w:bidi="fr-FR"/>
        </w:rPr>
        <w:t xml:space="preserve">) agit comme organisme de coordination du renseignement militaire pour le secrétaire </w:t>
      </w:r>
      <w:r w:rsidRPr="005F2F3C">
        <w:rPr>
          <w:bCs/>
        </w:rPr>
        <w:t xml:space="preserve">à </w:t>
      </w:r>
      <w:r w:rsidRPr="005F2F3C">
        <w:rPr>
          <w:lang w:eastAsia="fr-FR" w:bidi="fr-FR"/>
        </w:rPr>
        <w:t xml:space="preserve">la Défense, le </w:t>
      </w:r>
      <w:r w:rsidRPr="005F2F3C">
        <w:rPr>
          <w:bCs/>
        </w:rPr>
        <w:t xml:space="preserve">CJCS </w:t>
      </w:r>
      <w:r w:rsidRPr="005F2F3C">
        <w:rPr>
          <w:lang w:eastAsia="fr-FR" w:bidi="fr-FR"/>
        </w:rPr>
        <w:t>et les commandements (un</w:t>
      </w:r>
      <w:r w:rsidRPr="005F2F3C">
        <w:rPr>
          <w:lang w:eastAsia="fr-FR" w:bidi="fr-FR"/>
        </w:rPr>
        <w:t>i</w:t>
      </w:r>
      <w:r w:rsidRPr="005F2F3C">
        <w:rPr>
          <w:lang w:eastAsia="fr-FR" w:bidi="fr-FR"/>
        </w:rPr>
        <w:t xml:space="preserve">fiés et spécifiques). Fondée en 1961, la </w:t>
      </w:r>
      <w:r w:rsidRPr="005F2F3C">
        <w:rPr>
          <w:bCs/>
        </w:rPr>
        <w:t>dia</w:t>
      </w:r>
      <w:r w:rsidRPr="005F2F3C">
        <w:rPr>
          <w:lang w:eastAsia="fr-FR" w:bidi="fr-FR"/>
        </w:rPr>
        <w:t xml:space="preserve"> est placée sous la respo</w:t>
      </w:r>
      <w:r w:rsidRPr="005F2F3C">
        <w:rPr>
          <w:lang w:eastAsia="fr-FR" w:bidi="fr-FR"/>
        </w:rPr>
        <w:t>n</w:t>
      </w:r>
      <w:r w:rsidRPr="005F2F3C">
        <w:rPr>
          <w:lang w:eastAsia="fr-FR" w:bidi="fr-FR"/>
        </w:rPr>
        <w:t>sabilité d’un officier dont la nomination doit être approuvée par le S</w:t>
      </w:r>
      <w:r w:rsidRPr="005F2F3C">
        <w:rPr>
          <w:lang w:eastAsia="fr-FR" w:bidi="fr-FR"/>
        </w:rPr>
        <w:t>é</w:t>
      </w:r>
      <w:r w:rsidRPr="005F2F3C">
        <w:rPr>
          <w:lang w:eastAsia="fr-FR" w:bidi="fr-FR"/>
        </w:rPr>
        <w:t xml:space="preserve">nat. Son rôle est d’évaluer les menaces, au profit </w:t>
      </w:r>
      <w:r w:rsidRPr="005F2F3C">
        <w:rPr>
          <w:bCs/>
        </w:rPr>
        <w:t xml:space="preserve">à </w:t>
      </w:r>
      <w:r w:rsidRPr="005F2F3C">
        <w:rPr>
          <w:lang w:eastAsia="fr-FR" w:bidi="fr-FR"/>
        </w:rPr>
        <w:t>la fois des autorités civiles et des autorités militaires. Les rapports entre celles-ci déterm</w:t>
      </w:r>
      <w:r w:rsidRPr="005F2F3C">
        <w:rPr>
          <w:lang w:eastAsia="fr-FR" w:bidi="fr-FR"/>
        </w:rPr>
        <w:t>i</w:t>
      </w:r>
      <w:r w:rsidRPr="005F2F3C">
        <w:rPr>
          <w:lang w:eastAsia="fr-FR" w:bidi="fr-FR"/>
        </w:rPr>
        <w:t xml:space="preserve">nent grandement la performance de la </w:t>
      </w:r>
      <w:r w:rsidRPr="005F2F3C">
        <w:rPr>
          <w:bCs/>
        </w:rPr>
        <w:t xml:space="preserve">DIA </w:t>
      </w:r>
      <w:r w:rsidRPr="005F2F3C">
        <w:rPr>
          <w:lang w:eastAsia="fr-FR" w:bidi="fr-FR"/>
        </w:rPr>
        <w:t>et de son</w:t>
      </w:r>
      <w:r w:rsidRPr="001C2E2B">
        <w:rPr>
          <w:lang w:eastAsia="fr-FR" w:bidi="fr-FR"/>
        </w:rPr>
        <w:t xml:space="preserve"> directeur.</w:t>
      </w:r>
    </w:p>
    <w:p w14:paraId="0D308396" w14:textId="77777777" w:rsidR="0039793A" w:rsidRDefault="0039793A" w:rsidP="0039793A">
      <w:pPr>
        <w:spacing w:before="120" w:after="120"/>
        <w:jc w:val="both"/>
      </w:pPr>
      <w:r>
        <w:t>[196]</w:t>
      </w:r>
    </w:p>
    <w:p w14:paraId="1934D8C0" w14:textId="77777777" w:rsidR="0039793A" w:rsidRPr="005F2F3C" w:rsidRDefault="0039793A" w:rsidP="0039793A">
      <w:pPr>
        <w:spacing w:before="120" w:after="120"/>
        <w:jc w:val="both"/>
        <w:rPr>
          <w:lang w:eastAsia="fr-FR" w:bidi="fr-FR"/>
        </w:rPr>
      </w:pPr>
      <w:r w:rsidRPr="001C2E2B">
        <w:rPr>
          <w:lang w:eastAsia="fr-FR" w:bidi="fr-FR"/>
        </w:rPr>
        <w:t>Chaque arme possède son service de rense</w:t>
      </w:r>
      <w:r w:rsidRPr="001C2E2B">
        <w:rPr>
          <w:lang w:eastAsia="fr-FR" w:bidi="fr-FR"/>
        </w:rPr>
        <w:t>i</w:t>
      </w:r>
      <w:r w:rsidRPr="001C2E2B">
        <w:rPr>
          <w:lang w:eastAsia="fr-FR" w:bidi="fr-FR"/>
        </w:rPr>
        <w:t xml:space="preserve">gnement, qui analyse les stratégies et les tactiques ennemies, collecte des informations sur l’état des forces et des armes en présence. L’armée de l’Air, l’armée de Terre, la Marine et les Fusiliers </w:t>
      </w:r>
      <w:r w:rsidRPr="005F2F3C">
        <w:rPr>
          <w:lang w:eastAsia="fr-FR" w:bidi="fr-FR"/>
        </w:rPr>
        <w:t xml:space="preserve">marins comptent ainsi sur leurs propres moyens, rivalisant avec ceux de la </w:t>
      </w:r>
      <w:r w:rsidRPr="005F2F3C">
        <w:rPr>
          <w:bCs/>
        </w:rPr>
        <w:t xml:space="preserve">DIA </w:t>
      </w:r>
      <w:r w:rsidRPr="005F2F3C">
        <w:rPr>
          <w:lang w:eastAsia="fr-FR" w:bidi="fr-FR"/>
        </w:rPr>
        <w:t>et entraînant du coup de fr</w:t>
      </w:r>
      <w:r w:rsidRPr="005F2F3C">
        <w:rPr>
          <w:lang w:eastAsia="fr-FR" w:bidi="fr-FR"/>
        </w:rPr>
        <w:t>é</w:t>
      </w:r>
      <w:r w:rsidRPr="005F2F3C">
        <w:rPr>
          <w:lang w:eastAsia="fr-FR" w:bidi="fr-FR"/>
        </w:rPr>
        <w:t>quentes redondances.</w:t>
      </w:r>
    </w:p>
    <w:p w14:paraId="1B6C0DA0" w14:textId="77777777" w:rsidR="0039793A" w:rsidRPr="005F2F3C" w:rsidRDefault="0039793A" w:rsidP="0039793A">
      <w:pPr>
        <w:spacing w:before="120" w:after="120"/>
        <w:jc w:val="both"/>
        <w:rPr>
          <w:lang w:eastAsia="fr-FR" w:bidi="fr-FR"/>
        </w:rPr>
      </w:pPr>
      <w:r w:rsidRPr="005F2F3C">
        <w:rPr>
          <w:lang w:eastAsia="fr-FR" w:bidi="fr-FR"/>
        </w:rPr>
        <w:t>Trois agences techniques sont également liées à la Défense. Elles disposent de 30</w:t>
      </w:r>
      <w:r>
        <w:rPr>
          <w:lang w:eastAsia="fr-FR" w:bidi="fr-FR"/>
        </w:rPr>
        <w:t> </w:t>
      </w:r>
      <w:r w:rsidRPr="005F2F3C">
        <w:rPr>
          <w:lang w:eastAsia="fr-FR" w:bidi="fr-FR"/>
        </w:rPr>
        <w:t>000 employés et se partagent un budget, voté sous la forme d’un crédit global par le Congrès (ce qui signifie qu’il n’en connaît pas le détail) évalué à plus de 11 mi</w:t>
      </w:r>
      <w:r w:rsidRPr="005F2F3C">
        <w:rPr>
          <w:lang w:eastAsia="fr-FR" w:bidi="fr-FR"/>
        </w:rPr>
        <w:t>l</w:t>
      </w:r>
      <w:r w:rsidRPr="005F2F3C">
        <w:rPr>
          <w:lang w:eastAsia="fr-FR" w:bidi="fr-FR"/>
        </w:rPr>
        <w:t>liards de dollars</w:t>
      </w:r>
      <w:r>
        <w:rPr>
          <w:lang w:eastAsia="fr-FR" w:bidi="fr-FR"/>
        </w:rPr>
        <w:t> </w:t>
      </w:r>
      <w:r>
        <w:rPr>
          <w:rStyle w:val="Appelnotedebasdep"/>
          <w:lang w:eastAsia="fr-FR" w:bidi="fr-FR"/>
        </w:rPr>
        <w:footnoteReference w:id="432"/>
      </w:r>
      <w:r w:rsidRPr="005F2F3C">
        <w:rPr>
          <w:lang w:eastAsia="fr-FR" w:bidi="fr-FR"/>
        </w:rPr>
        <w:t xml:space="preserve">. Ces « gorilles », comme les fonctionnaires de la </w:t>
      </w:r>
      <w:r w:rsidRPr="005F2F3C">
        <w:rPr>
          <w:bCs/>
        </w:rPr>
        <w:t xml:space="preserve">CIA </w:t>
      </w:r>
      <w:r w:rsidRPr="005F2F3C">
        <w:rPr>
          <w:lang w:eastAsia="fr-FR" w:bidi="fr-FR"/>
        </w:rPr>
        <w:t>surnomment les agences techniques, préservent jalousement leur auton</w:t>
      </w:r>
      <w:r w:rsidRPr="005F2F3C">
        <w:rPr>
          <w:lang w:eastAsia="fr-FR" w:bidi="fr-FR"/>
        </w:rPr>
        <w:t>o</w:t>
      </w:r>
      <w:r w:rsidRPr="005F2F3C">
        <w:rPr>
          <w:lang w:eastAsia="fr-FR" w:bidi="fr-FR"/>
        </w:rPr>
        <w:t xml:space="preserve">mie. Tout d’abord, le </w:t>
      </w:r>
      <w:r w:rsidRPr="005F2F3C">
        <w:rPr>
          <w:bCs/>
        </w:rPr>
        <w:t xml:space="preserve">NRO </w:t>
      </w:r>
      <w:r w:rsidRPr="005F2F3C">
        <w:rPr>
          <w:lang w:eastAsia="fr-FR" w:bidi="fr-FR"/>
        </w:rPr>
        <w:t>(</w:t>
      </w:r>
      <w:r w:rsidRPr="005F2F3C">
        <w:rPr>
          <w:i/>
          <w:iCs/>
        </w:rPr>
        <w:t>National Reconnaissance Office),</w:t>
      </w:r>
      <w:r w:rsidRPr="005F2F3C">
        <w:t xml:space="preserve"> </w:t>
      </w:r>
      <w:r w:rsidRPr="005F2F3C">
        <w:rPr>
          <w:lang w:eastAsia="fr-FR" w:bidi="fr-FR"/>
        </w:rPr>
        <w:t>constitué en I960, est chargé de gérer et d’exploiter les capacités satellitaires du rense</w:t>
      </w:r>
      <w:r w:rsidRPr="005F2F3C">
        <w:rPr>
          <w:lang w:eastAsia="fr-FR" w:bidi="fr-FR"/>
        </w:rPr>
        <w:t>i</w:t>
      </w:r>
      <w:r w:rsidRPr="005F2F3C">
        <w:rPr>
          <w:lang w:eastAsia="fr-FR" w:bidi="fr-FR"/>
        </w:rPr>
        <w:t xml:space="preserve">gnement - plus de 100 milliards de dollars d’avoirs qui alimentent le service d’analyse </w:t>
      </w:r>
      <w:r w:rsidRPr="005F2F3C">
        <w:rPr>
          <w:bCs/>
          <w:smallCaps/>
        </w:rPr>
        <w:t>(</w:t>
      </w:r>
      <w:r w:rsidRPr="002915C5">
        <w:rPr>
          <w:bCs/>
          <w:caps/>
        </w:rPr>
        <w:t>technint</w:t>
      </w:r>
      <w:r w:rsidRPr="005F2F3C">
        <w:rPr>
          <w:bCs/>
          <w:smallCaps/>
        </w:rPr>
        <w:t xml:space="preserve"> </w:t>
      </w:r>
      <w:r w:rsidRPr="005F2F3C">
        <w:rPr>
          <w:lang w:eastAsia="fr-FR" w:bidi="fr-FR"/>
        </w:rPr>
        <w:t xml:space="preserve">pour </w:t>
      </w:r>
      <w:r w:rsidRPr="005F2F3C">
        <w:rPr>
          <w:i/>
          <w:iCs/>
        </w:rPr>
        <w:t xml:space="preserve">TECHnical </w:t>
      </w:r>
      <w:r>
        <w:rPr>
          <w:i/>
          <w:iCs/>
        </w:rPr>
        <w:t>I</w:t>
      </w:r>
      <w:r w:rsidRPr="005F2F3C">
        <w:rPr>
          <w:i/>
          <w:iCs/>
        </w:rPr>
        <w:t>NTelligence).</w:t>
      </w:r>
      <w:r w:rsidRPr="005F2F3C">
        <w:t xml:space="preserve"> </w:t>
      </w:r>
      <w:r w:rsidRPr="005F2F3C">
        <w:rPr>
          <w:lang w:eastAsia="fr-FR" w:bidi="fr-FR"/>
        </w:rPr>
        <w:t xml:space="preserve">Le </w:t>
      </w:r>
      <w:r w:rsidRPr="005F2F3C">
        <w:rPr>
          <w:bCs/>
        </w:rPr>
        <w:t xml:space="preserve">NRO </w:t>
      </w:r>
      <w:r w:rsidRPr="005F2F3C">
        <w:rPr>
          <w:lang w:eastAsia="fr-FR" w:bidi="fr-FR"/>
        </w:rPr>
        <w:t>est placé sous l’autorité du secrétaire de l’armée de l’Air. Ensu</w:t>
      </w:r>
      <w:r w:rsidRPr="005F2F3C">
        <w:rPr>
          <w:lang w:eastAsia="fr-FR" w:bidi="fr-FR"/>
        </w:rPr>
        <w:t>i</w:t>
      </w:r>
      <w:r w:rsidRPr="005F2F3C">
        <w:rPr>
          <w:lang w:eastAsia="fr-FR" w:bidi="fr-FR"/>
        </w:rPr>
        <w:t xml:space="preserve">te, la </w:t>
      </w:r>
      <w:r w:rsidRPr="005F2F3C">
        <w:rPr>
          <w:bCs/>
        </w:rPr>
        <w:t xml:space="preserve">NSA </w:t>
      </w:r>
      <w:r>
        <w:t>(</w:t>
      </w:r>
      <w:r w:rsidRPr="005F2F3C">
        <w:rPr>
          <w:i/>
          <w:iCs/>
        </w:rPr>
        <w:t>National Security Agency),</w:t>
      </w:r>
      <w:r w:rsidRPr="005F2F3C">
        <w:t xml:space="preserve"> </w:t>
      </w:r>
      <w:r w:rsidRPr="005F2F3C">
        <w:rPr>
          <w:lang w:eastAsia="fr-FR" w:bidi="fr-FR"/>
        </w:rPr>
        <w:t>mise sur pied en 1952, est d</w:t>
      </w:r>
      <w:r w:rsidRPr="005F2F3C">
        <w:rPr>
          <w:lang w:eastAsia="fr-FR" w:bidi="fr-FR"/>
        </w:rPr>
        <w:t>i</w:t>
      </w:r>
      <w:r w:rsidRPr="005F2F3C">
        <w:rPr>
          <w:lang w:eastAsia="fr-FR" w:bidi="fr-FR"/>
        </w:rPr>
        <w:t>rigée par un officier provenant à tour de rôle de l’une des quatre bra</w:t>
      </w:r>
      <w:r w:rsidRPr="005F2F3C">
        <w:rPr>
          <w:lang w:eastAsia="fr-FR" w:bidi="fr-FR"/>
        </w:rPr>
        <w:t>n</w:t>
      </w:r>
      <w:r w:rsidRPr="005F2F3C">
        <w:rPr>
          <w:lang w:eastAsia="fr-FR" w:bidi="fr-FR"/>
        </w:rPr>
        <w:t xml:space="preserve">ches militaires. Elle est responsable du </w:t>
      </w:r>
      <w:r w:rsidRPr="005F2F3C">
        <w:rPr>
          <w:bCs/>
        </w:rPr>
        <w:t xml:space="preserve">SIGINT, </w:t>
      </w:r>
      <w:r w:rsidRPr="005F2F3C">
        <w:rPr>
          <w:lang w:eastAsia="fr-FR" w:bidi="fr-FR"/>
        </w:rPr>
        <w:t xml:space="preserve">c’est-à-dire du </w:t>
      </w:r>
      <w:r w:rsidRPr="005F2F3C">
        <w:rPr>
          <w:i/>
          <w:iCs/>
        </w:rPr>
        <w:t>S</w:t>
      </w:r>
      <w:r w:rsidRPr="005F2F3C">
        <w:rPr>
          <w:i/>
          <w:iCs/>
        </w:rPr>
        <w:t>i</w:t>
      </w:r>
      <w:r w:rsidRPr="005F2F3C">
        <w:rPr>
          <w:i/>
          <w:iCs/>
        </w:rPr>
        <w:t>gna</w:t>
      </w:r>
      <w:r>
        <w:rPr>
          <w:i/>
          <w:iCs/>
        </w:rPr>
        <w:t>l</w:t>
      </w:r>
      <w:r w:rsidRPr="005F2F3C">
        <w:rPr>
          <w:i/>
          <w:iCs/>
        </w:rPr>
        <w:t>s INTelligence</w:t>
      </w:r>
      <w:r w:rsidRPr="005F2F3C">
        <w:t xml:space="preserve"> </w:t>
      </w:r>
      <w:r w:rsidRPr="005F2F3C">
        <w:rPr>
          <w:lang w:eastAsia="fr-FR" w:bidi="fr-FR"/>
        </w:rPr>
        <w:t xml:space="preserve">— autrement dit le renseignement électronique, l’interception et le cryptage des communications. Enfin, la </w:t>
      </w:r>
      <w:r w:rsidRPr="005F2F3C">
        <w:rPr>
          <w:bCs/>
        </w:rPr>
        <w:t xml:space="preserve">NIMA </w:t>
      </w:r>
      <w:r w:rsidRPr="005F2F3C">
        <w:rPr>
          <w:lang w:eastAsia="fr-FR" w:bidi="fr-FR"/>
        </w:rPr>
        <w:t>(</w:t>
      </w:r>
      <w:r w:rsidRPr="005F2F3C">
        <w:rPr>
          <w:i/>
          <w:iCs/>
        </w:rPr>
        <w:t>National Imagery and Mapping Agency),</w:t>
      </w:r>
      <w:r w:rsidRPr="005F2F3C">
        <w:t xml:space="preserve"> </w:t>
      </w:r>
      <w:r w:rsidRPr="005F2F3C">
        <w:rPr>
          <w:lang w:eastAsia="fr-FR" w:bidi="fr-FR"/>
        </w:rPr>
        <w:t>fondée en 1996, est respo</w:t>
      </w:r>
      <w:r w:rsidRPr="005F2F3C">
        <w:rPr>
          <w:lang w:eastAsia="fr-FR" w:bidi="fr-FR"/>
        </w:rPr>
        <w:t>n</w:t>
      </w:r>
      <w:r w:rsidRPr="005F2F3C">
        <w:rPr>
          <w:lang w:eastAsia="fr-FR" w:bidi="fr-FR"/>
        </w:rPr>
        <w:t xml:space="preserve">sable de </w:t>
      </w:r>
      <w:r w:rsidRPr="005F2F3C">
        <w:rPr>
          <w:bCs/>
          <w:smallCaps/>
        </w:rPr>
        <w:t xml:space="preserve">I’imint </w:t>
      </w:r>
      <w:r w:rsidRPr="005F2F3C">
        <w:t>(</w:t>
      </w:r>
      <w:r>
        <w:rPr>
          <w:i/>
          <w:iCs/>
        </w:rPr>
        <w:t>I</w:t>
      </w:r>
      <w:r w:rsidRPr="005F2F3C">
        <w:rPr>
          <w:i/>
          <w:iCs/>
        </w:rPr>
        <w:t>Magery Intelligence).</w:t>
      </w:r>
      <w:r w:rsidRPr="005F2F3C">
        <w:t xml:space="preserve"> </w:t>
      </w:r>
      <w:r w:rsidRPr="005F2F3C">
        <w:rPr>
          <w:lang w:eastAsia="fr-FR" w:bidi="fr-FR"/>
        </w:rPr>
        <w:t>En d’autres te</w:t>
      </w:r>
      <w:r w:rsidRPr="005F2F3C">
        <w:rPr>
          <w:lang w:eastAsia="fr-FR" w:bidi="fr-FR"/>
        </w:rPr>
        <w:t>r</w:t>
      </w:r>
      <w:r w:rsidRPr="005F2F3C">
        <w:rPr>
          <w:lang w:eastAsia="fr-FR" w:bidi="fr-FR"/>
        </w:rPr>
        <w:t>mes, elle est chargée d’établir la cartographie n</w:t>
      </w:r>
      <w:r w:rsidRPr="005F2F3C">
        <w:rPr>
          <w:lang w:eastAsia="fr-FR" w:bidi="fr-FR"/>
        </w:rPr>
        <w:t>é</w:t>
      </w:r>
      <w:r w:rsidRPr="005F2F3C">
        <w:rPr>
          <w:lang w:eastAsia="fr-FR" w:bidi="fr-FR"/>
        </w:rPr>
        <w:t>cessaire en vue notamment de l’emploi d’armes intelligentes et de bombes à haute précision.</w:t>
      </w:r>
    </w:p>
    <w:p w14:paraId="1B537EBB" w14:textId="77777777" w:rsidR="0039793A" w:rsidRPr="001C2E2B" w:rsidRDefault="0039793A" w:rsidP="0039793A">
      <w:pPr>
        <w:spacing w:before="120" w:after="120"/>
        <w:jc w:val="both"/>
      </w:pPr>
      <w:r w:rsidRPr="005F2F3C">
        <w:rPr>
          <w:lang w:eastAsia="fr-FR" w:bidi="fr-FR"/>
        </w:rPr>
        <w:t xml:space="preserve">Le Bureau de recherche et du renseignement du Département d’État, </w:t>
      </w:r>
      <w:r w:rsidRPr="005F2F3C">
        <w:rPr>
          <w:bCs/>
        </w:rPr>
        <w:t xml:space="preserve">INR </w:t>
      </w:r>
      <w:r w:rsidRPr="005F2F3C">
        <w:t>(</w:t>
      </w:r>
      <w:r w:rsidRPr="005F2F3C">
        <w:rPr>
          <w:i/>
          <w:iCs/>
        </w:rPr>
        <w:t>Intelligence and Research),</w:t>
      </w:r>
      <w:r w:rsidRPr="005F2F3C">
        <w:t xml:space="preserve"> </w:t>
      </w:r>
      <w:r w:rsidRPr="005F2F3C">
        <w:rPr>
          <w:lang w:eastAsia="fr-FR" w:bidi="fr-FR"/>
        </w:rPr>
        <w:t>est le seul à ne pas disposer de moyens particuliers de collecte du renseignement. Sa mi</w:t>
      </w:r>
      <w:r w:rsidRPr="005F2F3C">
        <w:rPr>
          <w:lang w:eastAsia="fr-FR" w:bidi="fr-FR"/>
        </w:rPr>
        <w:t>s</w:t>
      </w:r>
      <w:r w:rsidRPr="005F2F3C">
        <w:rPr>
          <w:lang w:eastAsia="fr-FR" w:bidi="fr-FR"/>
        </w:rPr>
        <w:t xml:space="preserve">sion, sous la direction d’un assistant-secrétaire, est d’analyser les rapports des </w:t>
      </w:r>
      <w:r w:rsidRPr="005F2F3C">
        <w:rPr>
          <w:bCs/>
        </w:rPr>
        <w:t xml:space="preserve">FSO </w:t>
      </w:r>
      <w:r w:rsidRPr="005F2F3C">
        <w:rPr>
          <w:lang w:eastAsia="fr-FR" w:bidi="fr-FR"/>
        </w:rPr>
        <w:t>et d’évaluer les évolutions politiques et diplomatiques, sur le plan régional comme international. Plusieurs centaines de fonctionna</w:t>
      </w:r>
      <w:r w:rsidRPr="005F2F3C">
        <w:rPr>
          <w:lang w:eastAsia="fr-FR" w:bidi="fr-FR"/>
        </w:rPr>
        <w:t>i</w:t>
      </w:r>
      <w:r w:rsidRPr="005F2F3C">
        <w:rPr>
          <w:lang w:eastAsia="fr-FR" w:bidi="fr-FR"/>
        </w:rPr>
        <w:t xml:space="preserve">res du Département d’État, souvent des vétérans, travaillent à </w:t>
      </w:r>
      <w:r w:rsidRPr="005F2F3C">
        <w:rPr>
          <w:bCs/>
        </w:rPr>
        <w:t>l’</w:t>
      </w:r>
      <w:r>
        <w:rPr>
          <w:bCs/>
        </w:rPr>
        <w:t>I</w:t>
      </w:r>
      <w:r w:rsidRPr="005F2F3C">
        <w:rPr>
          <w:bCs/>
        </w:rPr>
        <w:t>NR</w:t>
      </w:r>
      <w:r w:rsidRPr="005F2F3C">
        <w:rPr>
          <w:rStyle w:val="Corpsdutexte28ptGras"/>
        </w:rPr>
        <w:t xml:space="preserve"> </w:t>
      </w:r>
      <w:r w:rsidRPr="005F2F3C">
        <w:rPr>
          <w:lang w:eastAsia="fr-FR" w:bidi="fr-FR"/>
        </w:rPr>
        <w:t>et</w:t>
      </w:r>
      <w:r w:rsidRPr="001C2E2B">
        <w:rPr>
          <w:lang w:eastAsia="fr-FR" w:bidi="fr-FR"/>
        </w:rPr>
        <w:t xml:space="preserve"> rivalisent pa</w:t>
      </w:r>
      <w:r w:rsidRPr="001C2E2B">
        <w:rPr>
          <w:lang w:eastAsia="fr-FR" w:bidi="fr-FR"/>
        </w:rPr>
        <w:t>r</w:t>
      </w:r>
      <w:r w:rsidRPr="001C2E2B">
        <w:rPr>
          <w:lang w:eastAsia="fr-FR" w:bidi="fr-FR"/>
        </w:rPr>
        <w:t xml:space="preserve">fois directement avec les analystes de la </w:t>
      </w:r>
      <w:r w:rsidRPr="005F2F3C">
        <w:rPr>
          <w:bCs/>
        </w:rPr>
        <w:t>CIA.</w:t>
      </w:r>
      <w:r w:rsidRPr="001C2E2B">
        <w:rPr>
          <w:rStyle w:val="Corpsdutexte28ptGras"/>
        </w:rPr>
        <w:t xml:space="preserve"> </w:t>
      </w:r>
      <w:r w:rsidRPr="001C2E2B">
        <w:rPr>
          <w:lang w:eastAsia="fr-FR" w:bidi="fr-FR"/>
        </w:rPr>
        <w:t>Le budget de ce bureau</w:t>
      </w:r>
      <w:r>
        <w:t xml:space="preserve"> [197] </w:t>
      </w:r>
      <w:r w:rsidRPr="001C2E2B">
        <w:rPr>
          <w:lang w:eastAsia="fr-FR" w:bidi="fr-FR"/>
        </w:rPr>
        <w:t>reste cependant relativement minime, autour de 30 millions de do</w:t>
      </w:r>
      <w:r w:rsidRPr="001C2E2B">
        <w:rPr>
          <w:lang w:eastAsia="fr-FR" w:bidi="fr-FR"/>
        </w:rPr>
        <w:t>l</w:t>
      </w:r>
      <w:r w:rsidRPr="001C2E2B">
        <w:rPr>
          <w:lang w:eastAsia="fr-FR" w:bidi="fr-FR"/>
        </w:rPr>
        <w:t>lars.</w:t>
      </w:r>
    </w:p>
    <w:p w14:paraId="6D3189F9" w14:textId="77777777" w:rsidR="0039793A" w:rsidRPr="005F2F3C" w:rsidRDefault="0039793A" w:rsidP="0039793A">
      <w:pPr>
        <w:spacing w:before="120" w:after="120"/>
        <w:jc w:val="both"/>
        <w:rPr>
          <w:lang w:eastAsia="fr-FR" w:bidi="fr-FR"/>
        </w:rPr>
      </w:pPr>
      <w:r w:rsidRPr="001C2E2B">
        <w:rPr>
          <w:lang w:eastAsia="fr-FR" w:bidi="fr-FR"/>
        </w:rPr>
        <w:t>Dans le domaine du renseignement, d’autres départements ont ég</w:t>
      </w:r>
      <w:r w:rsidRPr="001C2E2B">
        <w:rPr>
          <w:lang w:eastAsia="fr-FR" w:bidi="fr-FR"/>
        </w:rPr>
        <w:t>a</w:t>
      </w:r>
      <w:r w:rsidRPr="001C2E2B">
        <w:rPr>
          <w:lang w:eastAsia="fr-FR" w:bidi="fr-FR"/>
        </w:rPr>
        <w:t>lement développé des capac</w:t>
      </w:r>
      <w:r w:rsidRPr="001C2E2B">
        <w:rPr>
          <w:lang w:eastAsia="fr-FR" w:bidi="fr-FR"/>
        </w:rPr>
        <w:t>i</w:t>
      </w:r>
      <w:r w:rsidRPr="001C2E2B">
        <w:rPr>
          <w:lang w:eastAsia="fr-FR" w:bidi="fr-FR"/>
        </w:rPr>
        <w:t>tés</w:t>
      </w:r>
      <w:r w:rsidRPr="001C2E2B">
        <w:t> :</w:t>
      </w:r>
      <w:r w:rsidRPr="001C2E2B">
        <w:rPr>
          <w:lang w:eastAsia="fr-FR" w:bidi="fr-FR"/>
        </w:rPr>
        <w:t xml:space="preserve"> tel est le cas du département de l’Énergie, du département du Trésor (d’autant qu’il était respo</w:t>
      </w:r>
      <w:r w:rsidRPr="001C2E2B">
        <w:rPr>
          <w:lang w:eastAsia="fr-FR" w:bidi="fr-FR"/>
        </w:rPr>
        <w:t>n</w:t>
      </w:r>
      <w:r w:rsidRPr="001C2E2B">
        <w:rPr>
          <w:lang w:eastAsia="fr-FR" w:bidi="fr-FR"/>
        </w:rPr>
        <w:t>sable, jusqu’en 2002, des services secrets chargés de la protection des off</w:t>
      </w:r>
      <w:r w:rsidRPr="001C2E2B">
        <w:rPr>
          <w:lang w:eastAsia="fr-FR" w:bidi="fr-FR"/>
        </w:rPr>
        <w:t>i</w:t>
      </w:r>
      <w:r w:rsidRPr="001C2E2B">
        <w:rPr>
          <w:lang w:eastAsia="fr-FR" w:bidi="fr-FR"/>
        </w:rPr>
        <w:t>ciels), et surtout, le département de la Justice. C’est en effet de ce de</w:t>
      </w:r>
      <w:r w:rsidRPr="001C2E2B">
        <w:rPr>
          <w:lang w:eastAsia="fr-FR" w:bidi="fr-FR"/>
        </w:rPr>
        <w:t>r</w:t>
      </w:r>
      <w:r w:rsidRPr="001C2E2B">
        <w:rPr>
          <w:lang w:eastAsia="fr-FR" w:bidi="fr-FR"/>
        </w:rPr>
        <w:t xml:space="preserve">nier que </w:t>
      </w:r>
      <w:r w:rsidRPr="005F2F3C">
        <w:rPr>
          <w:lang w:eastAsia="fr-FR" w:bidi="fr-FR"/>
        </w:rPr>
        <w:t xml:space="preserve">dépend le </w:t>
      </w:r>
      <w:r w:rsidRPr="005F2F3C">
        <w:rPr>
          <w:bCs/>
        </w:rPr>
        <w:t xml:space="preserve">FBI </w:t>
      </w:r>
      <w:r>
        <w:rPr>
          <w:lang w:eastAsia="fr-FR" w:bidi="fr-FR"/>
        </w:rPr>
        <w:t>(</w:t>
      </w:r>
      <w:r w:rsidRPr="000F4A16">
        <w:rPr>
          <w:i/>
          <w:iCs/>
          <w:lang w:eastAsia="fr-FR" w:bidi="fr-FR"/>
        </w:rPr>
        <w:t>Federal Bureau of Investig</w:t>
      </w:r>
      <w:r w:rsidRPr="000F4A16">
        <w:rPr>
          <w:i/>
          <w:iCs/>
          <w:lang w:eastAsia="fr-FR" w:bidi="fr-FR"/>
        </w:rPr>
        <w:t>a</w:t>
      </w:r>
      <w:r w:rsidRPr="000F4A16">
        <w:rPr>
          <w:i/>
          <w:iCs/>
          <w:lang w:eastAsia="fr-FR" w:bidi="fr-FR"/>
        </w:rPr>
        <w:t>tion</w:t>
      </w:r>
      <w:r w:rsidRPr="005F2F3C">
        <w:rPr>
          <w:lang w:eastAsia="fr-FR" w:bidi="fr-FR"/>
        </w:rPr>
        <w:t xml:space="preserve">) dont le mandat, normalement restreint aux affaires domestiques, inclut le contre-espionnage et la coordination, avec la </w:t>
      </w:r>
      <w:r w:rsidRPr="005F2F3C">
        <w:rPr>
          <w:bCs/>
        </w:rPr>
        <w:t xml:space="preserve">CIA, </w:t>
      </w:r>
      <w:r w:rsidRPr="005F2F3C">
        <w:rPr>
          <w:lang w:eastAsia="fr-FR" w:bidi="fr-FR"/>
        </w:rPr>
        <w:t>du contre-terrorisme en sol américain.</w:t>
      </w:r>
    </w:p>
    <w:p w14:paraId="2086FE95" w14:textId="77777777" w:rsidR="0039793A" w:rsidRPr="005F2F3C" w:rsidRDefault="0039793A" w:rsidP="0039793A">
      <w:pPr>
        <w:spacing w:before="120" w:after="120"/>
        <w:jc w:val="both"/>
        <w:rPr>
          <w:lang w:eastAsia="fr-FR" w:bidi="fr-FR"/>
        </w:rPr>
      </w:pPr>
      <w:r w:rsidRPr="005F2F3C">
        <w:rPr>
          <w:lang w:eastAsia="fr-FR" w:bidi="fr-FR"/>
        </w:rPr>
        <w:t xml:space="preserve">Il faut ajouter à cette nébuleuse trois entités, qui, sans être des agences, participent de l’architecture du renseignement. Elles ont une mission de conseil auprès des décideurs que sont le </w:t>
      </w:r>
      <w:r w:rsidRPr="005F2F3C">
        <w:rPr>
          <w:bCs/>
        </w:rPr>
        <w:t xml:space="preserve">DCI </w:t>
      </w:r>
      <w:r w:rsidRPr="005F2F3C">
        <w:rPr>
          <w:lang w:eastAsia="fr-FR" w:bidi="fr-FR"/>
        </w:rPr>
        <w:t>et le prés</w:t>
      </w:r>
      <w:r w:rsidRPr="005F2F3C">
        <w:rPr>
          <w:lang w:eastAsia="fr-FR" w:bidi="fr-FR"/>
        </w:rPr>
        <w:t>i</w:t>
      </w:r>
      <w:r w:rsidRPr="005F2F3C">
        <w:rPr>
          <w:lang w:eastAsia="fr-FR" w:bidi="fr-FR"/>
        </w:rPr>
        <w:t xml:space="preserve">dent. Tout d’abord, un Conseil du renseignement, le </w:t>
      </w:r>
      <w:r w:rsidRPr="005F2F3C">
        <w:rPr>
          <w:bCs/>
        </w:rPr>
        <w:t>NIC (</w:t>
      </w:r>
      <w:r w:rsidRPr="000F4A16">
        <w:rPr>
          <w:i/>
          <w:iCs/>
          <w:lang w:eastAsia="fr-FR" w:bidi="fr-FR"/>
        </w:rPr>
        <w:t>National Intelligence Council</w:t>
      </w:r>
      <w:r w:rsidRPr="005F2F3C">
        <w:rPr>
          <w:bCs/>
        </w:rPr>
        <w:t xml:space="preserve">), </w:t>
      </w:r>
      <w:r w:rsidRPr="005F2F3C">
        <w:rPr>
          <w:lang w:eastAsia="fr-FR" w:bidi="fr-FR"/>
        </w:rPr>
        <w:t xml:space="preserve">placé sous l’autorité du </w:t>
      </w:r>
      <w:r w:rsidRPr="005F2F3C">
        <w:rPr>
          <w:bCs/>
        </w:rPr>
        <w:t xml:space="preserve">DCI, </w:t>
      </w:r>
      <w:r w:rsidRPr="005F2F3C">
        <w:rPr>
          <w:lang w:eastAsia="fr-FR" w:bidi="fr-FR"/>
        </w:rPr>
        <w:t>réunit une qui</w:t>
      </w:r>
      <w:r w:rsidRPr="005F2F3C">
        <w:rPr>
          <w:lang w:eastAsia="fr-FR" w:bidi="fr-FR"/>
        </w:rPr>
        <w:t>n</w:t>
      </w:r>
      <w:r w:rsidRPr="005F2F3C">
        <w:rPr>
          <w:lang w:eastAsia="fr-FR" w:bidi="fr-FR"/>
        </w:rPr>
        <w:t>zaine de représentants du gouvernement et des agences de la comm</w:t>
      </w:r>
      <w:r w:rsidRPr="005F2F3C">
        <w:rPr>
          <w:lang w:eastAsia="fr-FR" w:bidi="fr-FR"/>
        </w:rPr>
        <w:t>u</w:t>
      </w:r>
      <w:r w:rsidRPr="005F2F3C">
        <w:rPr>
          <w:lang w:eastAsia="fr-FR" w:bidi="fr-FR"/>
        </w:rPr>
        <w:t>nauté, afin de définir les pri</w:t>
      </w:r>
      <w:r w:rsidRPr="005F2F3C">
        <w:rPr>
          <w:lang w:eastAsia="fr-FR" w:bidi="fr-FR"/>
        </w:rPr>
        <w:t>o</w:t>
      </w:r>
      <w:r w:rsidRPr="005F2F3C">
        <w:rPr>
          <w:lang w:eastAsia="fr-FR" w:bidi="fr-FR"/>
        </w:rPr>
        <w:t xml:space="preserve">rités et d’avaliser les rapports d’évaluation </w:t>
      </w:r>
      <w:r>
        <w:rPr>
          <w:lang w:eastAsia="fr-FR" w:bidi="fr-FR"/>
        </w:rPr>
        <w:t>(</w:t>
      </w:r>
      <w:r w:rsidRPr="000F4A16">
        <w:rPr>
          <w:i/>
          <w:iCs/>
          <w:lang w:eastAsia="fr-FR" w:bidi="fr-FR"/>
        </w:rPr>
        <w:t>nati</w:t>
      </w:r>
      <w:r w:rsidRPr="000F4A16">
        <w:rPr>
          <w:i/>
          <w:iCs/>
          <w:lang w:eastAsia="fr-FR" w:bidi="fr-FR"/>
        </w:rPr>
        <w:t>o</w:t>
      </w:r>
      <w:r w:rsidRPr="000F4A16">
        <w:rPr>
          <w:i/>
          <w:iCs/>
          <w:lang w:eastAsia="fr-FR" w:bidi="fr-FR"/>
        </w:rPr>
        <w:t>nal intelligence estimates</w:t>
      </w:r>
      <w:r w:rsidRPr="005F2F3C">
        <w:rPr>
          <w:lang w:eastAsia="fr-FR" w:bidi="fr-FR"/>
        </w:rPr>
        <w:t>) émanant collectivement du système de renseignement</w:t>
      </w:r>
      <w:r>
        <w:rPr>
          <w:lang w:eastAsia="fr-FR" w:bidi="fr-FR"/>
        </w:rPr>
        <w:t> </w:t>
      </w:r>
      <w:r>
        <w:rPr>
          <w:rStyle w:val="Appelnotedebasdep"/>
          <w:lang w:eastAsia="fr-FR" w:bidi="fr-FR"/>
        </w:rPr>
        <w:footnoteReference w:id="433"/>
      </w:r>
      <w:r>
        <w:rPr>
          <w:lang w:eastAsia="fr-FR" w:bidi="fr-FR"/>
        </w:rPr>
        <w:t>. Ensuite, l’I</w:t>
      </w:r>
      <w:r w:rsidRPr="005F2F3C">
        <w:rPr>
          <w:lang w:eastAsia="fr-FR" w:bidi="fr-FR"/>
        </w:rPr>
        <w:t xml:space="preserve">OB </w:t>
      </w:r>
      <w:r>
        <w:rPr>
          <w:lang w:eastAsia="fr-FR" w:bidi="fr-FR"/>
        </w:rPr>
        <w:t>(</w:t>
      </w:r>
      <w:r w:rsidRPr="000F4A16">
        <w:rPr>
          <w:i/>
          <w:iCs/>
          <w:lang w:eastAsia="fr-FR" w:bidi="fr-FR"/>
        </w:rPr>
        <w:t>Intelligence Ove</w:t>
      </w:r>
      <w:r w:rsidRPr="000F4A16">
        <w:rPr>
          <w:i/>
          <w:iCs/>
          <w:lang w:eastAsia="fr-FR" w:bidi="fr-FR"/>
        </w:rPr>
        <w:t>r</w:t>
      </w:r>
      <w:r w:rsidRPr="000F4A16">
        <w:rPr>
          <w:i/>
          <w:iCs/>
          <w:lang w:eastAsia="fr-FR" w:bidi="fr-FR"/>
        </w:rPr>
        <w:t>sight Board</w:t>
      </w:r>
      <w:r w:rsidRPr="005F2F3C">
        <w:rPr>
          <w:lang w:eastAsia="fr-FR" w:bidi="fr-FR"/>
        </w:rPr>
        <w:t>), placé sous la do</w:t>
      </w:r>
      <w:r w:rsidRPr="005F2F3C">
        <w:rPr>
          <w:lang w:eastAsia="fr-FR" w:bidi="fr-FR"/>
        </w:rPr>
        <w:t>u</w:t>
      </w:r>
      <w:r w:rsidRPr="005F2F3C">
        <w:rPr>
          <w:lang w:eastAsia="fr-FR" w:bidi="fr-FR"/>
        </w:rPr>
        <w:t xml:space="preserve">ble autorité du </w:t>
      </w:r>
      <w:r w:rsidRPr="005F2F3C">
        <w:rPr>
          <w:bCs/>
        </w:rPr>
        <w:t xml:space="preserve">DCI </w:t>
      </w:r>
      <w:r w:rsidRPr="005F2F3C">
        <w:rPr>
          <w:lang w:eastAsia="fr-FR" w:bidi="fr-FR"/>
        </w:rPr>
        <w:t xml:space="preserve">et du </w:t>
      </w:r>
      <w:r w:rsidRPr="005F2F3C">
        <w:rPr>
          <w:bCs/>
        </w:rPr>
        <w:t xml:space="preserve">NSC, </w:t>
      </w:r>
      <w:r w:rsidRPr="005F2F3C">
        <w:rPr>
          <w:lang w:eastAsia="fr-FR" w:bidi="fr-FR"/>
        </w:rPr>
        <w:t xml:space="preserve">est chargé de commenter </w:t>
      </w:r>
      <w:r w:rsidRPr="000F4A16">
        <w:rPr>
          <w:i/>
          <w:iCs/>
          <w:lang w:eastAsia="fr-FR" w:bidi="fr-FR"/>
        </w:rPr>
        <w:t>a posteriori</w:t>
      </w:r>
      <w:r w:rsidRPr="005F2F3C">
        <w:rPr>
          <w:lang w:eastAsia="fr-FR" w:bidi="fr-FR"/>
        </w:rPr>
        <w:t>, et de façon conjoncturelle, les act</w:t>
      </w:r>
      <w:r w:rsidRPr="005F2F3C">
        <w:rPr>
          <w:lang w:eastAsia="fr-FR" w:bidi="fr-FR"/>
        </w:rPr>
        <w:t>i</w:t>
      </w:r>
      <w:r w:rsidRPr="005F2F3C">
        <w:rPr>
          <w:lang w:eastAsia="fr-FR" w:bidi="fr-FR"/>
        </w:rPr>
        <w:t xml:space="preserve">vités et les opérations du renseignement. Enfin, le président des États-Unis dispose d’un comité, le FIAB </w:t>
      </w:r>
      <w:r>
        <w:rPr>
          <w:lang w:eastAsia="fr-FR" w:bidi="fr-FR"/>
        </w:rPr>
        <w:t>(</w:t>
      </w:r>
      <w:r w:rsidRPr="000F4A16">
        <w:rPr>
          <w:i/>
          <w:iCs/>
          <w:lang w:eastAsia="fr-FR" w:bidi="fr-FR"/>
        </w:rPr>
        <w:t>Foreign Intelligence Advisory Board</w:t>
      </w:r>
      <w:r w:rsidRPr="005F2F3C">
        <w:rPr>
          <w:lang w:eastAsia="fr-FR" w:bidi="fr-FR"/>
        </w:rPr>
        <w:t>), composé d’une douzaine de personnes -, dont des membres extérieurs au gouvernement - qui suggère des recommandations pour améliorer structurellement l’efficacité du système de rense</w:t>
      </w:r>
      <w:r w:rsidRPr="005F2F3C">
        <w:rPr>
          <w:lang w:eastAsia="fr-FR" w:bidi="fr-FR"/>
        </w:rPr>
        <w:t>i</w:t>
      </w:r>
      <w:r w:rsidRPr="005F2F3C">
        <w:rPr>
          <w:lang w:eastAsia="fr-FR" w:bidi="fr-FR"/>
        </w:rPr>
        <w:t>gnement. La complexité de l’ensemble du système de renseignement atteint un point paroxystique avec le fait que les appellations et l’ensemble de l’organigramme varient avec chaque nouveau pr</w:t>
      </w:r>
      <w:r w:rsidRPr="005F2F3C">
        <w:rPr>
          <w:lang w:eastAsia="fr-FR" w:bidi="fr-FR"/>
        </w:rPr>
        <w:t>é</w:t>
      </w:r>
      <w:r w:rsidRPr="005F2F3C">
        <w:rPr>
          <w:lang w:eastAsia="fr-FR" w:bidi="fr-FR"/>
        </w:rPr>
        <w:t>sident.</w:t>
      </w:r>
    </w:p>
    <w:p w14:paraId="75E16DF8" w14:textId="77777777" w:rsidR="0039793A" w:rsidRDefault="0039793A" w:rsidP="0039793A">
      <w:pPr>
        <w:spacing w:before="120" w:after="120"/>
        <w:jc w:val="both"/>
        <w:rPr>
          <w:lang w:eastAsia="fr-FR" w:bidi="fr-FR"/>
        </w:rPr>
      </w:pPr>
    </w:p>
    <w:p w14:paraId="6444CD1C" w14:textId="77777777" w:rsidR="0039793A" w:rsidRPr="000F4A16" w:rsidRDefault="0039793A" w:rsidP="0039793A">
      <w:pPr>
        <w:pStyle w:val="b"/>
        <w:rPr>
          <w:lang w:eastAsia="fr-FR" w:bidi="fr-FR"/>
        </w:rPr>
      </w:pPr>
      <w:r w:rsidRPr="000F4A16">
        <w:rPr>
          <w:lang w:eastAsia="fr-FR" w:bidi="fr-FR"/>
        </w:rPr>
        <w:t>L’Agence centrale du renseignement</w:t>
      </w:r>
    </w:p>
    <w:p w14:paraId="3E7D9B7D" w14:textId="77777777" w:rsidR="0039793A" w:rsidRDefault="0039793A" w:rsidP="0039793A">
      <w:pPr>
        <w:spacing w:before="120" w:after="120"/>
        <w:jc w:val="both"/>
        <w:rPr>
          <w:lang w:eastAsia="fr-FR" w:bidi="fr-FR"/>
        </w:rPr>
      </w:pPr>
    </w:p>
    <w:p w14:paraId="73C2EEF6" w14:textId="77777777" w:rsidR="0039793A" w:rsidRPr="001C2E2B" w:rsidRDefault="0039793A" w:rsidP="0039793A">
      <w:pPr>
        <w:spacing w:before="120" w:after="120"/>
        <w:jc w:val="both"/>
      </w:pPr>
      <w:r w:rsidRPr="005F2F3C">
        <w:rPr>
          <w:lang w:eastAsia="fr-FR" w:bidi="fr-FR"/>
        </w:rPr>
        <w:t xml:space="preserve">La </w:t>
      </w:r>
      <w:r w:rsidRPr="005F2F3C">
        <w:rPr>
          <w:bCs/>
        </w:rPr>
        <w:t xml:space="preserve">CIA </w:t>
      </w:r>
      <w:r w:rsidRPr="005F2F3C">
        <w:rPr>
          <w:lang w:eastAsia="fr-FR" w:bidi="fr-FR"/>
        </w:rPr>
        <w:t>occupe une place privilégiée</w:t>
      </w:r>
      <w:r w:rsidRPr="001C2E2B">
        <w:rPr>
          <w:lang w:eastAsia="fr-FR" w:bidi="fr-FR"/>
        </w:rPr>
        <w:t xml:space="preserve"> au sein de la communauté du renseignement pour deux ra</w:t>
      </w:r>
      <w:r w:rsidRPr="001C2E2B">
        <w:rPr>
          <w:lang w:eastAsia="fr-FR" w:bidi="fr-FR"/>
        </w:rPr>
        <w:t>i</w:t>
      </w:r>
      <w:r w:rsidRPr="001C2E2B">
        <w:rPr>
          <w:lang w:eastAsia="fr-FR" w:bidi="fr-FR"/>
        </w:rPr>
        <w:t>sons</w:t>
      </w:r>
      <w:r w:rsidRPr="001C2E2B">
        <w:t> :</w:t>
      </w:r>
      <w:r w:rsidRPr="001C2E2B">
        <w:rPr>
          <w:lang w:eastAsia="fr-FR" w:bidi="fr-FR"/>
        </w:rPr>
        <w:t xml:space="preserve"> d’une part, elle est la seule agence indépe</w:t>
      </w:r>
      <w:r w:rsidRPr="001C2E2B">
        <w:rPr>
          <w:lang w:eastAsia="fr-FR" w:bidi="fr-FR"/>
        </w:rPr>
        <w:t>n</w:t>
      </w:r>
      <w:r w:rsidRPr="001C2E2B">
        <w:rPr>
          <w:lang w:eastAsia="fr-FR" w:bidi="fr-FR"/>
        </w:rPr>
        <w:t xml:space="preserve">dante (elle ne dépend d’aucun département), et d’autre part, sa fonction principale, prévue par le </w:t>
      </w:r>
      <w:r w:rsidRPr="000F4A16">
        <w:rPr>
          <w:i/>
          <w:iCs/>
        </w:rPr>
        <w:t>National Security Act</w:t>
      </w:r>
      <w:r w:rsidRPr="001C2E2B">
        <w:rPr>
          <w:lang w:eastAsia="fr-FR" w:bidi="fr-FR"/>
        </w:rPr>
        <w:t xml:space="preserve"> de 1947, est de coordo</w:t>
      </w:r>
      <w:r>
        <w:rPr>
          <w:lang w:eastAsia="fr-FR" w:bidi="fr-FR"/>
        </w:rPr>
        <w:t>nner les activités du renseigne</w:t>
      </w:r>
      <w:r w:rsidRPr="001C2E2B">
        <w:rPr>
          <w:lang w:eastAsia="fr-FR" w:bidi="fr-FR"/>
        </w:rPr>
        <w:t>ment</w:t>
      </w:r>
      <w:r>
        <w:t xml:space="preserve"> [198]</w:t>
      </w:r>
      <w:r w:rsidRPr="001C2E2B">
        <w:rPr>
          <w:lang w:eastAsia="fr-FR" w:bidi="fr-FR"/>
        </w:rPr>
        <w:t xml:space="preserve"> des diverses org</w:t>
      </w:r>
      <w:r w:rsidRPr="001C2E2B">
        <w:rPr>
          <w:lang w:eastAsia="fr-FR" w:bidi="fr-FR"/>
        </w:rPr>
        <w:t>a</w:t>
      </w:r>
      <w:r w:rsidRPr="001C2E2B">
        <w:rPr>
          <w:lang w:eastAsia="fr-FR" w:bidi="fr-FR"/>
        </w:rPr>
        <w:t>nisations au sein du gouvernement en vue de servir l’intérêt national.</w:t>
      </w:r>
    </w:p>
    <w:p w14:paraId="18564A6E" w14:textId="77777777" w:rsidR="0039793A" w:rsidRPr="00A7177D" w:rsidRDefault="0039793A" w:rsidP="0039793A">
      <w:pPr>
        <w:spacing w:before="120" w:after="120"/>
        <w:jc w:val="both"/>
        <w:rPr>
          <w:lang w:eastAsia="fr-FR" w:bidi="fr-FR"/>
        </w:rPr>
      </w:pPr>
      <w:r w:rsidRPr="001C2E2B">
        <w:rPr>
          <w:lang w:eastAsia="fr-FR" w:bidi="fr-FR"/>
        </w:rPr>
        <w:t xml:space="preserve">L’histoire </w:t>
      </w:r>
      <w:r w:rsidRPr="00A7177D">
        <w:rPr>
          <w:lang w:eastAsia="fr-FR" w:bidi="fr-FR"/>
        </w:rPr>
        <w:t xml:space="preserve">de la </w:t>
      </w:r>
      <w:r w:rsidRPr="00A7177D">
        <w:rPr>
          <w:bCs/>
        </w:rPr>
        <w:t xml:space="preserve">CIA </w:t>
      </w:r>
      <w:r w:rsidRPr="00A7177D">
        <w:rPr>
          <w:lang w:eastAsia="fr-FR" w:bidi="fr-FR"/>
        </w:rPr>
        <w:t>a doublement influencé son évolution</w:t>
      </w:r>
      <w:r>
        <w:rPr>
          <w:lang w:eastAsia="fr-FR" w:bidi="fr-FR"/>
        </w:rPr>
        <w:t> </w:t>
      </w:r>
      <w:r>
        <w:rPr>
          <w:rStyle w:val="Appelnotedebasdep"/>
          <w:lang w:eastAsia="fr-FR" w:bidi="fr-FR"/>
        </w:rPr>
        <w:footnoteReference w:id="434"/>
      </w:r>
      <w:r w:rsidRPr="00A7177D">
        <w:rPr>
          <w:lang w:eastAsia="fr-FR" w:bidi="fr-FR"/>
        </w:rPr>
        <w:t xml:space="preserve"> : d’un côté, la </w:t>
      </w:r>
      <w:r w:rsidRPr="00A7177D">
        <w:rPr>
          <w:bCs/>
        </w:rPr>
        <w:t xml:space="preserve">CIA </w:t>
      </w:r>
      <w:r w:rsidRPr="00A7177D">
        <w:rPr>
          <w:lang w:eastAsia="fr-FR" w:bidi="fr-FR"/>
        </w:rPr>
        <w:t>n’est jamais parvenue à maîtriser et à assurer la coordination du renseignement, alors que c’était là le motif princ</w:t>
      </w:r>
      <w:r w:rsidRPr="00A7177D">
        <w:rPr>
          <w:lang w:eastAsia="fr-FR" w:bidi="fr-FR"/>
        </w:rPr>
        <w:t>i</w:t>
      </w:r>
      <w:r w:rsidRPr="00A7177D">
        <w:rPr>
          <w:lang w:eastAsia="fr-FR" w:bidi="fr-FR"/>
        </w:rPr>
        <w:t>pal de sa création par Truman en 1947. Cette lac</w:t>
      </w:r>
      <w:r w:rsidRPr="00A7177D">
        <w:rPr>
          <w:lang w:eastAsia="fr-FR" w:bidi="fr-FR"/>
        </w:rPr>
        <w:t>u</w:t>
      </w:r>
      <w:r w:rsidRPr="00A7177D">
        <w:rPr>
          <w:lang w:eastAsia="fr-FR" w:bidi="fr-FR"/>
        </w:rPr>
        <w:t xml:space="preserve">ne explique du coup la faible autorité du </w:t>
      </w:r>
      <w:r w:rsidRPr="00A7177D">
        <w:rPr>
          <w:bCs/>
        </w:rPr>
        <w:t xml:space="preserve">DCI. </w:t>
      </w:r>
      <w:r w:rsidRPr="00A7177D">
        <w:rPr>
          <w:lang w:eastAsia="fr-FR" w:bidi="fr-FR"/>
        </w:rPr>
        <w:t xml:space="preserve">De l’autre côté, la </w:t>
      </w:r>
      <w:r w:rsidRPr="00A7177D">
        <w:rPr>
          <w:bCs/>
        </w:rPr>
        <w:t xml:space="preserve">CIA </w:t>
      </w:r>
      <w:r w:rsidRPr="00A7177D">
        <w:rPr>
          <w:lang w:eastAsia="fr-FR" w:bidi="fr-FR"/>
        </w:rPr>
        <w:t>a connu une expansion fulg</w:t>
      </w:r>
      <w:r w:rsidRPr="00A7177D">
        <w:rPr>
          <w:lang w:eastAsia="fr-FR" w:bidi="fr-FR"/>
        </w:rPr>
        <w:t>u</w:t>
      </w:r>
      <w:r w:rsidRPr="00A7177D">
        <w:rPr>
          <w:lang w:eastAsia="fr-FR" w:bidi="fr-FR"/>
        </w:rPr>
        <w:t>rante et imprévue durant la guerre froide : elle est devenue un instr</w:t>
      </w:r>
      <w:r w:rsidRPr="00A7177D">
        <w:rPr>
          <w:lang w:eastAsia="fr-FR" w:bidi="fr-FR"/>
        </w:rPr>
        <w:t>u</w:t>
      </w:r>
      <w:r w:rsidRPr="00A7177D">
        <w:rPr>
          <w:lang w:eastAsia="fr-FR" w:bidi="fr-FR"/>
        </w:rPr>
        <w:t>ment privilégié des présidents pour accomplir — le plus souvent s</w:t>
      </w:r>
      <w:r w:rsidRPr="00A7177D">
        <w:rPr>
          <w:lang w:eastAsia="fr-FR" w:bidi="fr-FR"/>
        </w:rPr>
        <w:t>e</w:t>
      </w:r>
      <w:r w:rsidRPr="00A7177D">
        <w:rPr>
          <w:lang w:eastAsia="fr-FR" w:bidi="fr-FR"/>
        </w:rPr>
        <w:t>crètement — leurs objectifs de politique étrangère. Cette évolution duale engendre largement les difficultés re</w:t>
      </w:r>
      <w:r w:rsidRPr="00A7177D">
        <w:rPr>
          <w:lang w:eastAsia="fr-FR" w:bidi="fr-FR"/>
        </w:rPr>
        <w:t>n</w:t>
      </w:r>
      <w:r w:rsidRPr="00A7177D">
        <w:rPr>
          <w:lang w:eastAsia="fr-FR" w:bidi="fr-FR"/>
        </w:rPr>
        <w:t xml:space="preserve">contrées dans la conduite de certaines actions entreprises par la </w:t>
      </w:r>
      <w:r w:rsidRPr="00A7177D">
        <w:rPr>
          <w:bCs/>
        </w:rPr>
        <w:t xml:space="preserve">CIA </w:t>
      </w:r>
      <w:r w:rsidRPr="00A7177D">
        <w:rPr>
          <w:lang w:eastAsia="fr-FR" w:bidi="fr-FR"/>
        </w:rPr>
        <w:t>(insuffisance de coordin</w:t>
      </w:r>
      <w:r w:rsidRPr="00A7177D">
        <w:rPr>
          <w:lang w:eastAsia="fr-FR" w:bidi="fr-FR"/>
        </w:rPr>
        <w:t>a</w:t>
      </w:r>
      <w:r w:rsidRPr="00A7177D">
        <w:rPr>
          <w:lang w:eastAsia="fr-FR" w:bidi="fr-FR"/>
        </w:rPr>
        <w:t>tion et abus).</w:t>
      </w:r>
    </w:p>
    <w:p w14:paraId="41722990" w14:textId="77777777" w:rsidR="0039793A" w:rsidRPr="00A7177D" w:rsidRDefault="0039793A" w:rsidP="0039793A">
      <w:pPr>
        <w:spacing w:before="120" w:after="120"/>
        <w:jc w:val="both"/>
        <w:rPr>
          <w:lang w:eastAsia="fr-FR" w:bidi="fr-FR"/>
        </w:rPr>
      </w:pPr>
      <w:r w:rsidRPr="00A7177D">
        <w:rPr>
          <w:lang w:eastAsia="fr-FR" w:bidi="fr-FR"/>
        </w:rPr>
        <w:t xml:space="preserve">La </w:t>
      </w:r>
      <w:r w:rsidRPr="00A7177D">
        <w:rPr>
          <w:bCs/>
          <w:smallCaps/>
        </w:rPr>
        <w:t xml:space="preserve">cia </w:t>
      </w:r>
      <w:r w:rsidRPr="00A7177D">
        <w:rPr>
          <w:lang w:eastAsia="fr-FR" w:bidi="fr-FR"/>
        </w:rPr>
        <w:t>est en réalité l’une des plus petites agences de la comm</w:t>
      </w:r>
      <w:r w:rsidRPr="00A7177D">
        <w:rPr>
          <w:lang w:eastAsia="fr-FR" w:bidi="fr-FR"/>
        </w:rPr>
        <w:t>u</w:t>
      </w:r>
      <w:r w:rsidRPr="00A7177D">
        <w:rPr>
          <w:lang w:eastAsia="fr-FR" w:bidi="fr-FR"/>
        </w:rPr>
        <w:t>nauté du renseignement, avec seulement un dixième des ressources budgétaires</w:t>
      </w:r>
      <w:r>
        <w:rPr>
          <w:lang w:eastAsia="fr-FR" w:bidi="fr-FR"/>
        </w:rPr>
        <w:t> </w:t>
      </w:r>
      <w:r>
        <w:rPr>
          <w:rStyle w:val="Appelnotedebasdep"/>
          <w:lang w:eastAsia="fr-FR" w:bidi="fr-FR"/>
        </w:rPr>
        <w:footnoteReference w:id="435"/>
      </w:r>
      <w:r w:rsidRPr="00A7177D">
        <w:rPr>
          <w:lang w:eastAsia="fr-FR" w:bidi="fr-FR"/>
        </w:rPr>
        <w:t>. Elle comporte quatre divisions : l’administration, la science et la technologie, le renseignement analytique, le renseign</w:t>
      </w:r>
      <w:r w:rsidRPr="00A7177D">
        <w:rPr>
          <w:lang w:eastAsia="fr-FR" w:bidi="fr-FR"/>
        </w:rPr>
        <w:t>e</w:t>
      </w:r>
      <w:r w:rsidRPr="00A7177D">
        <w:rPr>
          <w:lang w:eastAsia="fr-FR" w:bidi="fr-FR"/>
        </w:rPr>
        <w:t>ment de terrain incluant les opérations clandestines. S’agissant des divisions du renseignement analytique et du renseignement de terrain, la rivalité entre la culture analytique (celle de la réflexion) et la culture opérationnelle (celle de l’action), est non seulement bien impla</w:t>
      </w:r>
      <w:r w:rsidRPr="00A7177D">
        <w:rPr>
          <w:lang w:eastAsia="fr-FR" w:bidi="fr-FR"/>
        </w:rPr>
        <w:t>n</w:t>
      </w:r>
      <w:r w:rsidRPr="00A7177D">
        <w:rPr>
          <w:lang w:eastAsia="fr-FR" w:bidi="fr-FR"/>
        </w:rPr>
        <w:t xml:space="preserve">tée mais surtout radicalement tranchée. Le </w:t>
      </w:r>
      <w:r w:rsidRPr="00A7177D">
        <w:rPr>
          <w:bCs/>
        </w:rPr>
        <w:t xml:space="preserve">DCI </w:t>
      </w:r>
      <w:r w:rsidRPr="00A7177D">
        <w:rPr>
          <w:lang w:eastAsia="fr-FR" w:bidi="fr-FR"/>
        </w:rPr>
        <w:t>a d’ailleurs, durant les dernières années, tenté d’atténuer cette compétition. Le processus du re</w:t>
      </w:r>
      <w:r w:rsidRPr="00A7177D">
        <w:rPr>
          <w:lang w:eastAsia="fr-FR" w:bidi="fr-FR"/>
        </w:rPr>
        <w:t>n</w:t>
      </w:r>
      <w:r w:rsidRPr="00A7177D">
        <w:rPr>
          <w:lang w:eastAsia="fr-FR" w:bidi="fr-FR"/>
        </w:rPr>
        <w:t>seignement comporte quatre étapes : une directive ou une demande de renseignement, son mode de collecte, son analyse et sa diffusion. Or le cloisonnement de l’information constitue un obstacle m</w:t>
      </w:r>
      <w:r w:rsidRPr="00A7177D">
        <w:rPr>
          <w:lang w:eastAsia="fr-FR" w:bidi="fr-FR"/>
        </w:rPr>
        <w:t>a</w:t>
      </w:r>
      <w:r w:rsidRPr="00A7177D">
        <w:rPr>
          <w:lang w:eastAsia="fr-FR" w:bidi="fr-FR"/>
        </w:rPr>
        <w:t>jeur à la compréhension d’une menace et à l’efficacité du système de rense</w:t>
      </w:r>
      <w:r w:rsidRPr="00A7177D">
        <w:rPr>
          <w:lang w:eastAsia="fr-FR" w:bidi="fr-FR"/>
        </w:rPr>
        <w:t>i</w:t>
      </w:r>
      <w:r w:rsidRPr="00A7177D">
        <w:rPr>
          <w:lang w:eastAsia="fr-FR" w:bidi="fr-FR"/>
        </w:rPr>
        <w:t xml:space="preserve">gnement. S’agissant du volet des opérations clandestines, celui-ci ne constitue en réalité que 2% du budget de la </w:t>
      </w:r>
      <w:r w:rsidRPr="00A7177D">
        <w:rPr>
          <w:bCs/>
        </w:rPr>
        <w:t xml:space="preserve">CIA. </w:t>
      </w:r>
      <w:r w:rsidRPr="00A7177D">
        <w:rPr>
          <w:lang w:eastAsia="fr-FR" w:bidi="fr-FR"/>
        </w:rPr>
        <w:t>Pour autant, c’est celui qui a retenu l’attention du Congrès.</w:t>
      </w:r>
    </w:p>
    <w:p w14:paraId="53B15DB7" w14:textId="77777777" w:rsidR="0039793A" w:rsidRPr="001C2E2B" w:rsidRDefault="0039793A" w:rsidP="0039793A">
      <w:pPr>
        <w:spacing w:before="120" w:after="120"/>
        <w:jc w:val="both"/>
      </w:pPr>
      <w:r w:rsidRPr="00A7177D">
        <w:rPr>
          <w:lang w:eastAsia="fr-FR" w:bidi="fr-FR"/>
        </w:rPr>
        <w:t xml:space="preserve">Au milieu des années 1970, et suite notamment aux agissements de la </w:t>
      </w:r>
      <w:r w:rsidRPr="00A7177D">
        <w:rPr>
          <w:bCs/>
        </w:rPr>
        <w:t xml:space="preserve">CIA </w:t>
      </w:r>
      <w:r w:rsidRPr="00A7177D">
        <w:rPr>
          <w:lang w:eastAsia="fr-FR" w:bidi="fr-FR"/>
        </w:rPr>
        <w:t xml:space="preserve">au Chili, le Congrès a astreint le président </w:t>
      </w:r>
      <w:r w:rsidRPr="00A7177D">
        <w:rPr>
          <w:bCs/>
        </w:rPr>
        <w:t xml:space="preserve">à </w:t>
      </w:r>
      <w:r w:rsidRPr="00A7177D">
        <w:rPr>
          <w:lang w:eastAsia="fr-FR" w:bidi="fr-FR"/>
        </w:rPr>
        <w:t>divulguer</w:t>
      </w:r>
      <w:r w:rsidRPr="001C2E2B">
        <w:rPr>
          <w:lang w:eastAsia="fr-FR" w:bidi="fr-FR"/>
        </w:rPr>
        <w:t xml:space="preserve"> toutes les activités secrètes aux comités législatifs de</w:t>
      </w:r>
      <w:r>
        <w:t xml:space="preserve"> [199] </w:t>
      </w:r>
      <w:r w:rsidRPr="001C2E2B">
        <w:rPr>
          <w:lang w:eastAsia="fr-FR" w:bidi="fr-FR"/>
        </w:rPr>
        <w:t>surveillance. À ces contraintes s’est ajoutée la loi de 1991 (</w:t>
      </w:r>
      <w:r w:rsidRPr="00DB6CAD">
        <w:rPr>
          <w:i/>
          <w:iCs/>
        </w:rPr>
        <w:t>Intell</w:t>
      </w:r>
      <w:r w:rsidRPr="00DB6CAD">
        <w:rPr>
          <w:i/>
          <w:iCs/>
        </w:rPr>
        <w:t>i</w:t>
      </w:r>
      <w:r w:rsidRPr="00DB6CAD">
        <w:rPr>
          <w:i/>
          <w:iCs/>
        </w:rPr>
        <w:t>gence Oversigbt Act</w:t>
      </w:r>
      <w:r w:rsidRPr="001C2E2B">
        <w:t>)</w:t>
      </w:r>
      <w:r w:rsidRPr="001C2E2B">
        <w:rPr>
          <w:lang w:eastAsia="fr-FR" w:bidi="fr-FR"/>
        </w:rPr>
        <w:t xml:space="preserve"> clarifiant la procédure de mise en œuvre et l’imputabilité de ces act</w:t>
      </w:r>
      <w:r w:rsidRPr="001C2E2B">
        <w:rPr>
          <w:lang w:eastAsia="fr-FR" w:bidi="fr-FR"/>
        </w:rPr>
        <w:t>i</w:t>
      </w:r>
      <w:r w:rsidRPr="001C2E2B">
        <w:rPr>
          <w:lang w:eastAsia="fr-FR" w:bidi="fr-FR"/>
        </w:rPr>
        <w:t>vités. Cela n’a, en fin de compte, pas entravé les opérations clandest</w:t>
      </w:r>
      <w:r w:rsidRPr="001C2E2B">
        <w:rPr>
          <w:lang w:eastAsia="fr-FR" w:bidi="fr-FR"/>
        </w:rPr>
        <w:t>i</w:t>
      </w:r>
      <w:r w:rsidRPr="001C2E2B">
        <w:rPr>
          <w:lang w:eastAsia="fr-FR" w:bidi="fr-FR"/>
        </w:rPr>
        <w:t>nes</w:t>
      </w:r>
      <w:r w:rsidRPr="001C2E2B">
        <w:t> ;</w:t>
      </w:r>
      <w:r w:rsidRPr="001C2E2B">
        <w:rPr>
          <w:lang w:eastAsia="fr-FR" w:bidi="fr-FR"/>
        </w:rPr>
        <w:t xml:space="preserve"> les présidents en ont simplement parfois précisé les modalités (comme l’interdiction de procéder à des assass</w:t>
      </w:r>
      <w:r w:rsidRPr="001C2E2B">
        <w:rPr>
          <w:lang w:eastAsia="fr-FR" w:bidi="fr-FR"/>
        </w:rPr>
        <w:t>i</w:t>
      </w:r>
      <w:r w:rsidRPr="001C2E2B">
        <w:rPr>
          <w:lang w:eastAsia="fr-FR" w:bidi="fr-FR"/>
        </w:rPr>
        <w:t>nats</w:t>
      </w:r>
      <w:r>
        <w:rPr>
          <w:lang w:eastAsia="fr-FR" w:bidi="fr-FR"/>
        </w:rPr>
        <w:t> </w:t>
      </w:r>
      <w:r>
        <w:rPr>
          <w:rStyle w:val="Appelnotedebasdep"/>
          <w:lang w:eastAsia="fr-FR" w:bidi="fr-FR"/>
        </w:rPr>
        <w:footnoteReference w:id="436"/>
      </w:r>
      <w:r w:rsidRPr="001C2E2B">
        <w:rPr>
          <w:lang w:eastAsia="fr-FR" w:bidi="fr-FR"/>
        </w:rPr>
        <w:t>)</w:t>
      </w:r>
      <w:r>
        <w:rPr>
          <w:lang w:eastAsia="fr-FR" w:bidi="fr-FR"/>
        </w:rPr>
        <w:t>.</w:t>
      </w:r>
      <w:r w:rsidRPr="001C2E2B">
        <w:rPr>
          <w:lang w:eastAsia="fr-FR" w:bidi="fr-FR"/>
        </w:rPr>
        <w:t xml:space="preserve"> Certaines des entreprises de la </w:t>
      </w:r>
      <w:r w:rsidRPr="001C2E2B">
        <w:rPr>
          <w:rStyle w:val="Corpsdutexte28ptGrasPetitesmajuscules"/>
        </w:rPr>
        <w:t xml:space="preserve">cia </w:t>
      </w:r>
      <w:r w:rsidRPr="001C2E2B">
        <w:rPr>
          <w:lang w:eastAsia="fr-FR" w:bidi="fr-FR"/>
        </w:rPr>
        <w:t>ont abouti à des échecs r</w:t>
      </w:r>
      <w:r w:rsidRPr="001C2E2B">
        <w:rPr>
          <w:lang w:eastAsia="fr-FR" w:bidi="fr-FR"/>
        </w:rPr>
        <w:t>e</w:t>
      </w:r>
      <w:r w:rsidRPr="001C2E2B">
        <w:rPr>
          <w:lang w:eastAsia="fr-FR" w:bidi="fr-FR"/>
        </w:rPr>
        <w:t>tentissants, telles la Baie des Cochons en 1961 et l’affaire Iran-Contra en 1985-1986.</w:t>
      </w:r>
    </w:p>
    <w:p w14:paraId="56651E9B" w14:textId="77777777" w:rsidR="0039793A" w:rsidRDefault="0039793A" w:rsidP="0039793A">
      <w:pPr>
        <w:spacing w:before="120" w:after="120"/>
        <w:jc w:val="both"/>
        <w:rPr>
          <w:lang w:eastAsia="fr-FR" w:bidi="fr-FR"/>
        </w:rPr>
      </w:pPr>
    </w:p>
    <w:p w14:paraId="0053F415" w14:textId="77777777" w:rsidR="0039793A" w:rsidRPr="00DB6CAD" w:rsidRDefault="0039793A" w:rsidP="0039793A">
      <w:pPr>
        <w:pStyle w:val="b"/>
      </w:pPr>
      <w:r w:rsidRPr="00DB6CAD">
        <w:rPr>
          <w:lang w:eastAsia="fr-FR" w:bidi="fr-FR"/>
        </w:rPr>
        <w:t>Les carences du renseignement</w:t>
      </w:r>
    </w:p>
    <w:p w14:paraId="2FC77FF4" w14:textId="77777777" w:rsidR="0039793A" w:rsidRDefault="0039793A" w:rsidP="0039793A">
      <w:pPr>
        <w:spacing w:before="120" w:after="120"/>
        <w:jc w:val="both"/>
        <w:rPr>
          <w:lang w:eastAsia="fr-FR" w:bidi="fr-FR"/>
        </w:rPr>
      </w:pPr>
    </w:p>
    <w:p w14:paraId="13848192" w14:textId="77777777" w:rsidR="0039793A" w:rsidRPr="001C2E2B" w:rsidRDefault="0039793A" w:rsidP="0039793A">
      <w:pPr>
        <w:spacing w:before="120" w:after="120"/>
        <w:jc w:val="both"/>
      </w:pPr>
      <w:r w:rsidRPr="001C2E2B">
        <w:rPr>
          <w:lang w:eastAsia="fr-FR" w:bidi="fr-FR"/>
        </w:rPr>
        <w:t>Les rivalités entre les services du renseign</w:t>
      </w:r>
      <w:r w:rsidRPr="001C2E2B">
        <w:rPr>
          <w:lang w:eastAsia="fr-FR" w:bidi="fr-FR"/>
        </w:rPr>
        <w:t>e</w:t>
      </w:r>
      <w:r w:rsidRPr="001C2E2B">
        <w:rPr>
          <w:lang w:eastAsia="fr-FR" w:bidi="fr-FR"/>
        </w:rPr>
        <w:t>ment sont légendaires et mènent parfois à des tensions sévères, surtout entre les agences c</w:t>
      </w:r>
      <w:r w:rsidRPr="001C2E2B">
        <w:rPr>
          <w:lang w:eastAsia="fr-FR" w:bidi="fr-FR"/>
        </w:rPr>
        <w:t>i</w:t>
      </w:r>
      <w:r w:rsidRPr="001C2E2B">
        <w:rPr>
          <w:lang w:eastAsia="fr-FR" w:bidi="fr-FR"/>
        </w:rPr>
        <w:t>viles et militaires. Dans un sens, cette concurrence, lor</w:t>
      </w:r>
      <w:r w:rsidRPr="001C2E2B">
        <w:rPr>
          <w:lang w:eastAsia="fr-FR" w:bidi="fr-FR"/>
        </w:rPr>
        <w:t>s</w:t>
      </w:r>
      <w:r w:rsidRPr="001C2E2B">
        <w:rPr>
          <w:lang w:eastAsia="fr-FR" w:bidi="fr-FR"/>
        </w:rPr>
        <w:t>qu’elle est bien gérée, fait place à une diversité d’opinions qui expose les déc</w:t>
      </w:r>
      <w:r w:rsidRPr="001C2E2B">
        <w:rPr>
          <w:lang w:eastAsia="fr-FR" w:bidi="fr-FR"/>
        </w:rPr>
        <w:t>i</w:t>
      </w:r>
      <w:r w:rsidRPr="001C2E2B">
        <w:rPr>
          <w:lang w:eastAsia="fr-FR" w:bidi="fr-FR"/>
        </w:rPr>
        <w:t>deurs à une variété de points de vue, permettant ainsi un débat de fond. Cependant, au fil des années, les observ</w:t>
      </w:r>
      <w:r w:rsidRPr="001C2E2B">
        <w:rPr>
          <w:lang w:eastAsia="fr-FR" w:bidi="fr-FR"/>
        </w:rPr>
        <w:t>a</w:t>
      </w:r>
      <w:r w:rsidRPr="001C2E2B">
        <w:rPr>
          <w:lang w:eastAsia="fr-FR" w:bidi="fr-FR"/>
        </w:rPr>
        <w:t>teurs du système de renseignement ont décelé des failles qui amoindrissent la portée de ce processus</w:t>
      </w:r>
      <w:r>
        <w:rPr>
          <w:lang w:eastAsia="fr-FR" w:bidi="fr-FR"/>
        </w:rPr>
        <w:t> </w:t>
      </w:r>
      <w:r>
        <w:rPr>
          <w:rStyle w:val="Appelnotedebasdep"/>
          <w:lang w:eastAsia="fr-FR" w:bidi="fr-FR"/>
        </w:rPr>
        <w:footnoteReference w:id="437"/>
      </w:r>
      <w:r w:rsidRPr="001C2E2B">
        <w:t> :</w:t>
      </w:r>
    </w:p>
    <w:p w14:paraId="5D6B7C4E" w14:textId="77777777" w:rsidR="0039793A" w:rsidRPr="001C2E2B" w:rsidRDefault="0039793A" w:rsidP="0039793A">
      <w:pPr>
        <w:spacing w:before="120" w:after="120"/>
        <w:jc w:val="both"/>
      </w:pPr>
      <w:r w:rsidRPr="001C2E2B">
        <w:rPr>
          <w:lang w:eastAsia="fr-FR" w:bidi="fr-FR"/>
        </w:rPr>
        <w:t>Le danger récurrent de la politisation du rense</w:t>
      </w:r>
      <w:r w:rsidRPr="001C2E2B">
        <w:rPr>
          <w:lang w:eastAsia="fr-FR" w:bidi="fr-FR"/>
        </w:rPr>
        <w:t>i</w:t>
      </w:r>
      <w:r w:rsidRPr="001C2E2B">
        <w:rPr>
          <w:lang w:eastAsia="fr-FR" w:bidi="fr-FR"/>
        </w:rPr>
        <w:t xml:space="preserve">gnement, que les Américains nomment </w:t>
      </w:r>
      <w:r w:rsidRPr="00DB6CAD">
        <w:rPr>
          <w:i/>
          <w:iCs/>
        </w:rPr>
        <w:t>intellige</w:t>
      </w:r>
      <w:r w:rsidRPr="00DB6CAD">
        <w:rPr>
          <w:i/>
          <w:iCs/>
        </w:rPr>
        <w:t>n</w:t>
      </w:r>
      <w:r w:rsidRPr="00DB6CAD">
        <w:rPr>
          <w:i/>
          <w:iCs/>
        </w:rPr>
        <w:t>ce to please</w:t>
      </w:r>
      <w:r>
        <w:rPr>
          <w:lang w:eastAsia="fr-FR" w:bidi="fr-FR"/>
        </w:rPr>
        <w:t> </w:t>
      </w:r>
      <w:r>
        <w:rPr>
          <w:rStyle w:val="Appelnotedebasdep"/>
          <w:lang w:eastAsia="fr-FR" w:bidi="fr-FR"/>
        </w:rPr>
        <w:footnoteReference w:id="438"/>
      </w:r>
      <w:r w:rsidRPr="001C2E2B">
        <w:rPr>
          <w:lang w:eastAsia="fr-FR" w:bidi="fr-FR"/>
        </w:rPr>
        <w:t>, est un risque réel</w:t>
      </w:r>
      <w:r w:rsidRPr="001C2E2B">
        <w:t> :</w:t>
      </w:r>
      <w:r w:rsidRPr="001C2E2B">
        <w:rPr>
          <w:lang w:eastAsia="fr-FR" w:bidi="fr-FR"/>
        </w:rPr>
        <w:t xml:space="preserve"> dans ce cadre, l’information n’est exploitée qu’afin de corréler les p</w:t>
      </w:r>
      <w:r w:rsidRPr="001C2E2B">
        <w:rPr>
          <w:lang w:eastAsia="fr-FR" w:bidi="fr-FR"/>
        </w:rPr>
        <w:t>o</w:t>
      </w:r>
      <w:r w:rsidRPr="001C2E2B">
        <w:rPr>
          <w:lang w:eastAsia="fr-FR" w:bidi="fr-FR"/>
        </w:rPr>
        <w:t>sitions, antérieurement établies, des décideurs. À l’excès, le rense</w:t>
      </w:r>
      <w:r w:rsidRPr="001C2E2B">
        <w:rPr>
          <w:lang w:eastAsia="fr-FR" w:bidi="fr-FR"/>
        </w:rPr>
        <w:t>i</w:t>
      </w:r>
      <w:r w:rsidRPr="001C2E2B">
        <w:rPr>
          <w:lang w:eastAsia="fr-FR" w:bidi="fr-FR"/>
        </w:rPr>
        <w:t>gnement finit par être biaisé. Or, quelques présidents n’ont eu aucun scrupule, ni aucune peine, à orienter l’information afin de renforcer leurs positions (Reagan sur la menace des missiles soviétiques, le re</w:t>
      </w:r>
      <w:r w:rsidRPr="001C2E2B">
        <w:rPr>
          <w:lang w:eastAsia="fr-FR" w:bidi="fr-FR"/>
        </w:rPr>
        <w:t>n</w:t>
      </w:r>
      <w:r w:rsidRPr="001C2E2B">
        <w:rPr>
          <w:lang w:eastAsia="fr-FR" w:bidi="fr-FR"/>
        </w:rPr>
        <w:t>seignement écon</w:t>
      </w:r>
      <w:r w:rsidRPr="001C2E2B">
        <w:rPr>
          <w:lang w:eastAsia="fr-FR" w:bidi="fr-FR"/>
        </w:rPr>
        <w:t>o</w:t>
      </w:r>
      <w:r w:rsidRPr="001C2E2B">
        <w:rPr>
          <w:lang w:eastAsia="fr-FR" w:bidi="fr-FR"/>
        </w:rPr>
        <w:t>mique sous Clinton, G.W. Bush sur la menace des armes de destruction massive de l’Irak).</w:t>
      </w:r>
    </w:p>
    <w:p w14:paraId="7F8C9400" w14:textId="77777777" w:rsidR="0039793A" w:rsidRPr="001C2E2B" w:rsidRDefault="0039793A" w:rsidP="0039793A">
      <w:pPr>
        <w:spacing w:before="120" w:after="120"/>
        <w:jc w:val="both"/>
      </w:pPr>
      <w:r w:rsidRPr="001C2E2B">
        <w:rPr>
          <w:lang w:eastAsia="fr-FR" w:bidi="fr-FR"/>
        </w:rPr>
        <w:t xml:space="preserve">La </w:t>
      </w:r>
      <w:r w:rsidRPr="00A7177D">
        <w:rPr>
          <w:bCs/>
        </w:rPr>
        <w:t>CIA</w:t>
      </w:r>
      <w:r w:rsidRPr="00A7177D">
        <w:rPr>
          <w:b/>
          <w:bCs/>
        </w:rPr>
        <w:t xml:space="preserve"> </w:t>
      </w:r>
      <w:r w:rsidRPr="001C2E2B">
        <w:rPr>
          <w:lang w:eastAsia="fr-FR" w:bidi="fr-FR"/>
        </w:rPr>
        <w:t>a fait parfois preuve de son inaptitude à prévoir et antic</w:t>
      </w:r>
      <w:r w:rsidRPr="001C2E2B">
        <w:rPr>
          <w:lang w:eastAsia="fr-FR" w:bidi="fr-FR"/>
        </w:rPr>
        <w:t>i</w:t>
      </w:r>
      <w:r w:rsidRPr="001C2E2B">
        <w:rPr>
          <w:lang w:eastAsia="fr-FR" w:bidi="fr-FR"/>
        </w:rPr>
        <w:t>per certains événements majeurs</w:t>
      </w:r>
      <w:r w:rsidRPr="001C2E2B">
        <w:t> :</w:t>
      </w:r>
      <w:r>
        <w:rPr>
          <w:lang w:eastAsia="fr-FR" w:bidi="fr-FR"/>
        </w:rPr>
        <w:t xml:space="preserve"> tel est le cas du déclenche</w:t>
      </w:r>
      <w:r w:rsidRPr="001C2E2B">
        <w:rPr>
          <w:lang w:eastAsia="fr-FR" w:bidi="fr-FR"/>
        </w:rPr>
        <w:t>ment</w:t>
      </w:r>
      <w:r>
        <w:t xml:space="preserve"> [200]</w:t>
      </w:r>
      <w:r w:rsidRPr="001C2E2B">
        <w:rPr>
          <w:lang w:eastAsia="fr-FR" w:bidi="fr-FR"/>
        </w:rPr>
        <w:t xml:space="preserve"> de la guerre de Corée en 1950, de l’attaque égyptienne contre Israël en 1973, de la chute du Shah d’Iran en 1979, du génocide au Rwanda en 1994, ou encore de l’attaque terroriste de 2001 - échecs pour lesquels elle a été souvent sévèrement blâmée. En revanche, elle a mis en ga</w:t>
      </w:r>
      <w:r w:rsidRPr="001C2E2B">
        <w:rPr>
          <w:lang w:eastAsia="fr-FR" w:bidi="fr-FR"/>
        </w:rPr>
        <w:t>r</w:t>
      </w:r>
      <w:r w:rsidRPr="001C2E2B">
        <w:rPr>
          <w:lang w:eastAsia="fr-FR" w:bidi="fr-FR"/>
        </w:rPr>
        <w:t>de les décideurs sur l’imminence de l’invasion du Koweït par l’Irak en août 1990, ou sur le coup d’</w:t>
      </w:r>
      <w:r>
        <w:rPr>
          <w:lang w:eastAsia="fr-FR" w:bidi="fr-FR"/>
        </w:rPr>
        <w:t>État</w:t>
      </w:r>
      <w:r w:rsidRPr="001C2E2B">
        <w:rPr>
          <w:lang w:eastAsia="fr-FR" w:bidi="fr-FR"/>
        </w:rPr>
        <w:t xml:space="preserve"> contre Gorbatchev en </w:t>
      </w:r>
      <w:r w:rsidRPr="00A37CBF">
        <w:rPr>
          <w:rStyle w:val="Corpsdutexte28ptGras"/>
          <w:b w:val="0"/>
          <w:bCs w:val="0"/>
        </w:rPr>
        <w:t>URSS</w:t>
      </w:r>
      <w:r w:rsidRPr="001C2E2B">
        <w:rPr>
          <w:rStyle w:val="Corpsdutexte28ptGras"/>
        </w:rPr>
        <w:t xml:space="preserve"> </w:t>
      </w:r>
      <w:r w:rsidRPr="001C2E2B">
        <w:rPr>
          <w:lang w:eastAsia="fr-FR" w:bidi="fr-FR"/>
        </w:rPr>
        <w:t>en août 1991, mais a été ignorée. Elle a parfois su prévoir les év</w:t>
      </w:r>
      <w:r w:rsidRPr="001C2E2B">
        <w:rPr>
          <w:lang w:eastAsia="fr-FR" w:bidi="fr-FR"/>
        </w:rPr>
        <w:t>é</w:t>
      </w:r>
      <w:r w:rsidRPr="001C2E2B">
        <w:rPr>
          <w:lang w:eastAsia="fr-FR" w:bidi="fr-FR"/>
        </w:rPr>
        <w:t>nements et être écoutée des décideurs, comme dans le cas de la crise des missiles de Cuba en octobre 1962. L’entreprise de renseignement dépend fin</w:t>
      </w:r>
      <w:r w:rsidRPr="001C2E2B">
        <w:rPr>
          <w:lang w:eastAsia="fr-FR" w:bidi="fr-FR"/>
        </w:rPr>
        <w:t>a</w:t>
      </w:r>
      <w:r w:rsidRPr="001C2E2B">
        <w:rPr>
          <w:lang w:eastAsia="fr-FR" w:bidi="fr-FR"/>
        </w:rPr>
        <w:t>lement de la subjectivité des décideurs.</w:t>
      </w:r>
    </w:p>
    <w:p w14:paraId="4F16B1C5" w14:textId="77777777" w:rsidR="0039793A" w:rsidRPr="001C2E2B" w:rsidRDefault="0039793A" w:rsidP="0039793A">
      <w:pPr>
        <w:spacing w:before="120" w:after="120"/>
        <w:jc w:val="both"/>
      </w:pPr>
      <w:r w:rsidRPr="001C2E2B">
        <w:rPr>
          <w:lang w:eastAsia="fr-FR" w:bidi="fr-FR"/>
        </w:rPr>
        <w:t>Les carences dans la qualité des analyses sont fréquentes. Elles tiennent au fait que les services de renseignement ne disposent pas des ressources disponibles (par exemple, des agents en nombre insuffisant ou peu formés aux langues étrangères) pour intercepter des projets d’attentats comme ceux du 11 septembre 2001. Ainsi, la faible qualité de la collecte du renseignement peut constituer une lacune substantie</w:t>
      </w:r>
      <w:r w:rsidRPr="001C2E2B">
        <w:rPr>
          <w:lang w:eastAsia="fr-FR" w:bidi="fr-FR"/>
        </w:rPr>
        <w:t>l</w:t>
      </w:r>
      <w:r w:rsidRPr="001C2E2B">
        <w:rPr>
          <w:lang w:eastAsia="fr-FR" w:bidi="fr-FR"/>
        </w:rPr>
        <w:t>le</w:t>
      </w:r>
      <w:r w:rsidRPr="001C2E2B">
        <w:t> :</w:t>
      </w:r>
      <w:r w:rsidRPr="001C2E2B">
        <w:rPr>
          <w:lang w:eastAsia="fr-FR" w:bidi="fr-FR"/>
        </w:rPr>
        <w:t xml:space="preserve"> l’absence d’agent en Afgh</w:t>
      </w:r>
      <w:r w:rsidRPr="001C2E2B">
        <w:rPr>
          <w:lang w:eastAsia="fr-FR" w:bidi="fr-FR"/>
        </w:rPr>
        <w:t>a</w:t>
      </w:r>
      <w:r w:rsidRPr="001C2E2B">
        <w:rPr>
          <w:lang w:eastAsia="fr-FR" w:bidi="fr-FR"/>
        </w:rPr>
        <w:t>nistan à la fin des années 1990 alors que le groupe terroriste d’Al-Qaida y a trouvé refuge semble en être l’exemple le plus probant.</w:t>
      </w:r>
    </w:p>
    <w:p w14:paraId="34AEB074" w14:textId="77777777" w:rsidR="0039793A" w:rsidRPr="001C2E2B" w:rsidRDefault="0039793A" w:rsidP="0039793A">
      <w:pPr>
        <w:spacing w:before="120" w:after="120"/>
        <w:jc w:val="both"/>
      </w:pPr>
      <w:r w:rsidRPr="001C2E2B">
        <w:rPr>
          <w:lang w:eastAsia="fr-FR" w:bidi="fr-FR"/>
        </w:rPr>
        <w:t>Un autre risque est celui du consensus, menant à une illusion gro</w:t>
      </w:r>
      <w:r w:rsidRPr="001C2E2B">
        <w:rPr>
          <w:lang w:eastAsia="fr-FR" w:bidi="fr-FR"/>
        </w:rPr>
        <w:t>u</w:t>
      </w:r>
      <w:r w:rsidRPr="001C2E2B">
        <w:rPr>
          <w:lang w:eastAsia="fr-FR" w:bidi="fr-FR"/>
        </w:rPr>
        <w:t>pale</w:t>
      </w:r>
      <w:r w:rsidRPr="001C2E2B">
        <w:t> :</w:t>
      </w:r>
      <w:r w:rsidRPr="001C2E2B">
        <w:rPr>
          <w:lang w:eastAsia="fr-FR" w:bidi="fr-FR"/>
        </w:rPr>
        <w:t xml:space="preserve"> la communauté du renseignement se complaît à adopter une a</w:t>
      </w:r>
      <w:r w:rsidRPr="001C2E2B">
        <w:rPr>
          <w:lang w:eastAsia="fr-FR" w:bidi="fr-FR"/>
        </w:rPr>
        <w:t>p</w:t>
      </w:r>
      <w:r w:rsidRPr="001C2E2B">
        <w:rPr>
          <w:lang w:eastAsia="fr-FR" w:bidi="fr-FR"/>
        </w:rPr>
        <w:t>proche qui en réalité mériterait d’être critiquée et mieux év</w:t>
      </w:r>
      <w:r w:rsidRPr="001C2E2B">
        <w:rPr>
          <w:lang w:eastAsia="fr-FR" w:bidi="fr-FR"/>
        </w:rPr>
        <w:t>a</w:t>
      </w:r>
      <w:r w:rsidRPr="001C2E2B">
        <w:rPr>
          <w:lang w:eastAsia="fr-FR" w:bidi="fr-FR"/>
        </w:rPr>
        <w:t>luée (comme la pérennité du système communiste soviétique</w:t>
      </w:r>
      <w:r>
        <w:rPr>
          <w:lang w:eastAsia="fr-FR" w:bidi="fr-FR"/>
        </w:rPr>
        <w:t> </w:t>
      </w:r>
      <w:r>
        <w:rPr>
          <w:rStyle w:val="Appelnotedebasdep"/>
          <w:lang w:eastAsia="fr-FR" w:bidi="fr-FR"/>
        </w:rPr>
        <w:footnoteReference w:id="439"/>
      </w:r>
      <w:r w:rsidRPr="001C2E2B">
        <w:rPr>
          <w:lang w:eastAsia="fr-FR" w:bidi="fr-FR"/>
        </w:rPr>
        <w:t>). C’est ainsi que les études sur les pr</w:t>
      </w:r>
      <w:r w:rsidRPr="001C2E2B">
        <w:rPr>
          <w:lang w:eastAsia="fr-FR" w:bidi="fr-FR"/>
        </w:rPr>
        <w:t>o</w:t>
      </w:r>
      <w:r w:rsidRPr="001C2E2B">
        <w:rPr>
          <w:lang w:eastAsia="fr-FR" w:bidi="fr-FR"/>
        </w:rPr>
        <w:t>fils psychologiques des chefs d’</w:t>
      </w:r>
      <w:r>
        <w:rPr>
          <w:lang w:eastAsia="fr-FR" w:bidi="fr-FR"/>
        </w:rPr>
        <w:t>État</w:t>
      </w:r>
      <w:r w:rsidRPr="001C2E2B">
        <w:rPr>
          <w:lang w:eastAsia="fr-FR" w:bidi="fr-FR"/>
        </w:rPr>
        <w:t>, sur l’état des forces ennemies, ou sur les tendances sociopolit</w:t>
      </w:r>
      <w:r w:rsidRPr="001C2E2B">
        <w:rPr>
          <w:lang w:eastAsia="fr-FR" w:bidi="fr-FR"/>
        </w:rPr>
        <w:t>i</w:t>
      </w:r>
      <w:r w:rsidRPr="001C2E2B">
        <w:rPr>
          <w:lang w:eastAsia="fr-FR" w:bidi="fr-FR"/>
        </w:rPr>
        <w:t>ques dans un pays peuvent donner lieu à des an</w:t>
      </w:r>
      <w:r w:rsidRPr="001C2E2B">
        <w:rPr>
          <w:lang w:eastAsia="fr-FR" w:bidi="fr-FR"/>
        </w:rPr>
        <w:t>a</w:t>
      </w:r>
      <w:r w:rsidRPr="001C2E2B">
        <w:rPr>
          <w:lang w:eastAsia="fr-FR" w:bidi="fr-FR"/>
        </w:rPr>
        <w:t>lyses grossièrement erronées (comme les analyses et les estimations inexactes durant la guerre contre le Nord-Vietnam</w:t>
      </w:r>
      <w:r>
        <w:rPr>
          <w:lang w:eastAsia="fr-FR" w:bidi="fr-FR"/>
        </w:rPr>
        <w:t> </w:t>
      </w:r>
      <w:r>
        <w:rPr>
          <w:rStyle w:val="Appelnotedebasdep"/>
          <w:lang w:eastAsia="fr-FR" w:bidi="fr-FR"/>
        </w:rPr>
        <w:footnoteReference w:id="440"/>
      </w:r>
      <w:r w:rsidRPr="001C2E2B">
        <w:rPr>
          <w:lang w:eastAsia="fr-FR" w:bidi="fr-FR"/>
        </w:rPr>
        <w:t>).</w:t>
      </w:r>
    </w:p>
    <w:p w14:paraId="2CB41C79" w14:textId="77777777" w:rsidR="0039793A" w:rsidRPr="001C2E2B" w:rsidRDefault="0039793A" w:rsidP="0039793A">
      <w:pPr>
        <w:spacing w:before="120" w:after="120"/>
        <w:jc w:val="both"/>
        <w:rPr>
          <w:lang w:eastAsia="fr-FR" w:bidi="fr-FR"/>
        </w:rPr>
      </w:pPr>
      <w:r w:rsidRPr="001C2E2B">
        <w:rPr>
          <w:lang w:eastAsia="fr-FR" w:bidi="fr-FR"/>
        </w:rPr>
        <w:t>La période suivant le 11 septembre 2001 est une période de trans</w:t>
      </w:r>
      <w:r w:rsidRPr="001C2E2B">
        <w:rPr>
          <w:lang w:eastAsia="fr-FR" w:bidi="fr-FR"/>
        </w:rPr>
        <w:t>i</w:t>
      </w:r>
      <w:r w:rsidRPr="001C2E2B">
        <w:rPr>
          <w:lang w:eastAsia="fr-FR" w:bidi="fr-FR"/>
        </w:rPr>
        <w:t>tion pour la communauté du renseignement</w:t>
      </w:r>
      <w:r w:rsidRPr="001C2E2B">
        <w:t> :</w:t>
      </w:r>
      <w:r w:rsidRPr="001C2E2B">
        <w:rPr>
          <w:lang w:eastAsia="fr-FR" w:bidi="fr-FR"/>
        </w:rPr>
        <w:t xml:space="preserve"> objectifs et moyens des différentes agences sont redéfinis. La structure actuelle paraît nett</w:t>
      </w:r>
      <w:r w:rsidRPr="001C2E2B">
        <w:rPr>
          <w:lang w:eastAsia="fr-FR" w:bidi="fr-FR"/>
        </w:rPr>
        <w:t>e</w:t>
      </w:r>
      <w:r w:rsidRPr="001C2E2B">
        <w:rPr>
          <w:lang w:eastAsia="fr-FR" w:bidi="fr-FR"/>
        </w:rPr>
        <w:t>ment inad</w:t>
      </w:r>
      <w:r>
        <w:rPr>
          <w:lang w:eastAsia="fr-FR" w:bidi="fr-FR"/>
        </w:rPr>
        <w:t>équate pour faire face au terro</w:t>
      </w:r>
      <w:r w:rsidRPr="001C2E2B">
        <w:rPr>
          <w:lang w:eastAsia="fr-FR" w:bidi="fr-FR"/>
        </w:rPr>
        <w:t>risme,</w:t>
      </w:r>
      <w:r>
        <w:t xml:space="preserve"> [201]</w:t>
      </w:r>
      <w:r w:rsidRPr="001C2E2B">
        <w:rPr>
          <w:lang w:eastAsia="fr-FR" w:bidi="fr-FR"/>
        </w:rPr>
        <w:t xml:space="preserve"> et nécessite des réorganisations et des évolutions dans les mentalités</w:t>
      </w:r>
      <w:r>
        <w:rPr>
          <w:lang w:eastAsia="fr-FR" w:bidi="fr-FR"/>
        </w:rPr>
        <w:t> </w:t>
      </w:r>
      <w:r>
        <w:rPr>
          <w:rStyle w:val="Appelnotedebasdep"/>
          <w:lang w:eastAsia="fr-FR" w:bidi="fr-FR"/>
        </w:rPr>
        <w:footnoteReference w:id="441"/>
      </w:r>
      <w:r w:rsidRPr="001C2E2B">
        <w:t>.</w:t>
      </w:r>
      <w:r w:rsidRPr="001C2E2B">
        <w:rPr>
          <w:lang w:eastAsia="fr-FR" w:bidi="fr-FR"/>
        </w:rPr>
        <w:t xml:space="preserve"> Le manque de cohérence constitue le principal enjeu de la restructuration et pou</w:t>
      </w:r>
      <w:r w:rsidRPr="001C2E2B">
        <w:rPr>
          <w:lang w:eastAsia="fr-FR" w:bidi="fr-FR"/>
        </w:rPr>
        <w:t>r</w:t>
      </w:r>
      <w:r w:rsidRPr="001C2E2B">
        <w:rPr>
          <w:lang w:eastAsia="fr-FR" w:bidi="fr-FR"/>
        </w:rPr>
        <w:t>rait mener à des changements aussi consid</w:t>
      </w:r>
      <w:r w:rsidRPr="001C2E2B">
        <w:rPr>
          <w:lang w:eastAsia="fr-FR" w:bidi="fr-FR"/>
        </w:rPr>
        <w:t>é</w:t>
      </w:r>
      <w:r w:rsidRPr="001C2E2B">
        <w:rPr>
          <w:lang w:eastAsia="fr-FR" w:bidi="fr-FR"/>
        </w:rPr>
        <w:t>rables que ceux qui ont affecté la structure militaire au milieu des années 1980. Ces évol</w:t>
      </w:r>
      <w:r w:rsidRPr="001C2E2B">
        <w:rPr>
          <w:lang w:eastAsia="fr-FR" w:bidi="fr-FR"/>
        </w:rPr>
        <w:t>u</w:t>
      </w:r>
      <w:r w:rsidRPr="001C2E2B">
        <w:rPr>
          <w:lang w:eastAsia="fr-FR" w:bidi="fr-FR"/>
        </w:rPr>
        <w:t>tions pourraient notamment tenir au fait qu’il exi</w:t>
      </w:r>
      <w:r w:rsidRPr="001C2E2B">
        <w:rPr>
          <w:lang w:eastAsia="fr-FR" w:bidi="fr-FR"/>
        </w:rPr>
        <w:t>s</w:t>
      </w:r>
      <w:r w:rsidRPr="001C2E2B">
        <w:rPr>
          <w:lang w:eastAsia="fr-FR" w:bidi="fr-FR"/>
        </w:rPr>
        <w:t xml:space="preserve">te plusieurs unités de contre- terrorisme réparties entre la </w:t>
      </w:r>
      <w:r w:rsidRPr="00A7177D">
        <w:rPr>
          <w:bCs/>
          <w:smallCaps/>
        </w:rPr>
        <w:t>cia</w:t>
      </w:r>
      <w:r w:rsidRPr="00A7177D">
        <w:rPr>
          <w:b/>
          <w:bCs/>
          <w:smallCaps/>
        </w:rPr>
        <w:t xml:space="preserve">, </w:t>
      </w:r>
      <w:r w:rsidRPr="001C2E2B">
        <w:rPr>
          <w:lang w:eastAsia="fr-FR" w:bidi="fr-FR"/>
        </w:rPr>
        <w:t xml:space="preserve">le </w:t>
      </w:r>
      <w:r w:rsidRPr="00A7177D">
        <w:rPr>
          <w:lang w:eastAsia="fr-FR" w:bidi="fr-FR"/>
        </w:rPr>
        <w:t xml:space="preserve">FBI, </w:t>
      </w:r>
      <w:r>
        <w:rPr>
          <w:lang w:eastAsia="fr-FR" w:bidi="fr-FR"/>
        </w:rPr>
        <w:t>l</w:t>
      </w:r>
      <w:r w:rsidRPr="00A7177D">
        <w:rPr>
          <w:lang w:eastAsia="fr-FR" w:bidi="fr-FR"/>
        </w:rPr>
        <w:t>’</w:t>
      </w:r>
      <w:r>
        <w:rPr>
          <w:lang w:eastAsia="fr-FR" w:bidi="fr-FR"/>
        </w:rPr>
        <w:t>INR</w:t>
      </w:r>
      <w:r w:rsidRPr="00A7177D">
        <w:rPr>
          <w:lang w:eastAsia="fr-FR" w:bidi="fr-FR"/>
        </w:rPr>
        <w:t xml:space="preserve"> </w:t>
      </w:r>
      <w:r w:rsidRPr="001C2E2B">
        <w:rPr>
          <w:lang w:eastAsia="fr-FR" w:bidi="fr-FR"/>
        </w:rPr>
        <w:t>et le dépa</w:t>
      </w:r>
      <w:r w:rsidRPr="001C2E2B">
        <w:rPr>
          <w:lang w:eastAsia="fr-FR" w:bidi="fr-FR"/>
        </w:rPr>
        <w:t>r</w:t>
      </w:r>
      <w:r w:rsidRPr="001C2E2B">
        <w:rPr>
          <w:lang w:eastAsia="fr-FR" w:bidi="fr-FR"/>
        </w:rPr>
        <w:t xml:space="preserve">tement de la Sécurité intérieure, sur lesquelles le </w:t>
      </w:r>
      <w:r w:rsidRPr="00A7177D">
        <w:rPr>
          <w:lang w:eastAsia="fr-FR" w:bidi="fr-FR"/>
        </w:rPr>
        <w:t xml:space="preserve">DCI </w:t>
      </w:r>
      <w:r w:rsidRPr="001C2E2B">
        <w:rPr>
          <w:lang w:eastAsia="fr-FR" w:bidi="fr-FR"/>
        </w:rPr>
        <w:t>n’a encore a</w:t>
      </w:r>
      <w:r w:rsidRPr="001C2E2B">
        <w:rPr>
          <w:lang w:eastAsia="fr-FR" w:bidi="fr-FR"/>
        </w:rPr>
        <w:t>u</w:t>
      </w:r>
      <w:r w:rsidRPr="001C2E2B">
        <w:rPr>
          <w:lang w:eastAsia="fr-FR" w:bidi="fr-FR"/>
        </w:rPr>
        <w:t>cune autorité réelle.</w:t>
      </w:r>
    </w:p>
    <w:p w14:paraId="14B508A1" w14:textId="77777777" w:rsidR="0039793A" w:rsidRDefault="0039793A" w:rsidP="0039793A">
      <w:pPr>
        <w:spacing w:before="120" w:after="120"/>
        <w:jc w:val="both"/>
        <w:rPr>
          <w:lang w:eastAsia="fr-FR" w:bidi="fr-FR"/>
        </w:rPr>
      </w:pPr>
    </w:p>
    <w:p w14:paraId="0018C496" w14:textId="77777777" w:rsidR="0039793A" w:rsidRPr="001C2E2B" w:rsidRDefault="0039793A" w:rsidP="0039793A">
      <w:pPr>
        <w:pStyle w:val="a"/>
      </w:pPr>
      <w:r w:rsidRPr="001C2E2B">
        <w:t>Le département de la Sécurité intérieure</w:t>
      </w:r>
    </w:p>
    <w:p w14:paraId="513A5587" w14:textId="77777777" w:rsidR="0039793A" w:rsidRDefault="0039793A" w:rsidP="0039793A">
      <w:pPr>
        <w:spacing w:before="120" w:after="120"/>
        <w:jc w:val="both"/>
        <w:rPr>
          <w:lang w:eastAsia="fr-FR" w:bidi="fr-FR"/>
        </w:rPr>
      </w:pPr>
    </w:p>
    <w:p w14:paraId="45F00E3C" w14:textId="77777777" w:rsidR="0039793A" w:rsidRPr="001C2E2B" w:rsidRDefault="0039793A" w:rsidP="0039793A">
      <w:pPr>
        <w:spacing w:before="120" w:after="120"/>
        <w:jc w:val="both"/>
      </w:pPr>
      <w:r w:rsidRPr="001C2E2B">
        <w:rPr>
          <w:lang w:eastAsia="fr-FR" w:bidi="fr-FR"/>
        </w:rPr>
        <w:t>Les événements du 11 septembre 2001 ont également révélé les i</w:t>
      </w:r>
      <w:r w:rsidRPr="001C2E2B">
        <w:rPr>
          <w:lang w:eastAsia="fr-FR" w:bidi="fr-FR"/>
        </w:rPr>
        <w:t>n</w:t>
      </w:r>
      <w:r w:rsidRPr="001C2E2B">
        <w:rPr>
          <w:lang w:eastAsia="fr-FR" w:bidi="fr-FR"/>
        </w:rPr>
        <w:t>suffisances des mécanismes de la sécurité intérieure et ont conduit à établir des liens particulièrement denses entre politique int</w:t>
      </w:r>
      <w:r w:rsidRPr="001C2E2B">
        <w:rPr>
          <w:lang w:eastAsia="fr-FR" w:bidi="fr-FR"/>
        </w:rPr>
        <w:t>é</w:t>
      </w:r>
      <w:r w:rsidRPr="001C2E2B">
        <w:rPr>
          <w:lang w:eastAsia="fr-FR" w:bidi="fr-FR"/>
        </w:rPr>
        <w:t>rieure et politique extérieure. Dernier-né des r</w:t>
      </w:r>
      <w:r w:rsidRPr="001C2E2B">
        <w:rPr>
          <w:lang w:eastAsia="fr-FR" w:bidi="fr-FR"/>
        </w:rPr>
        <w:t>é</w:t>
      </w:r>
      <w:r w:rsidRPr="001C2E2B">
        <w:rPr>
          <w:lang w:eastAsia="fr-FR" w:bidi="fr-FR"/>
        </w:rPr>
        <w:t>formes gouvernementales, fin 2002, le département de la Sécurité intérieure résulte de la réorganis</w:t>
      </w:r>
      <w:r w:rsidRPr="001C2E2B">
        <w:rPr>
          <w:lang w:eastAsia="fr-FR" w:bidi="fr-FR"/>
        </w:rPr>
        <w:t>a</w:t>
      </w:r>
      <w:r w:rsidRPr="001C2E2B">
        <w:rPr>
          <w:lang w:eastAsia="fr-FR" w:bidi="fr-FR"/>
        </w:rPr>
        <w:t>tion la plus importante du gouvernement d</w:t>
      </w:r>
      <w:r w:rsidRPr="001C2E2B">
        <w:rPr>
          <w:lang w:eastAsia="fr-FR" w:bidi="fr-FR"/>
        </w:rPr>
        <w:t>e</w:t>
      </w:r>
      <w:r w:rsidRPr="001C2E2B">
        <w:rPr>
          <w:lang w:eastAsia="fr-FR" w:bidi="fr-FR"/>
        </w:rPr>
        <w:t>puis la loi de 1947.</w:t>
      </w:r>
    </w:p>
    <w:p w14:paraId="255EF462" w14:textId="77777777" w:rsidR="0039793A" w:rsidRDefault="0039793A" w:rsidP="0039793A">
      <w:pPr>
        <w:spacing w:before="120" w:after="120"/>
        <w:jc w:val="both"/>
        <w:rPr>
          <w:lang w:eastAsia="fr-FR" w:bidi="fr-FR"/>
        </w:rPr>
      </w:pPr>
    </w:p>
    <w:p w14:paraId="46D20C3F" w14:textId="77777777" w:rsidR="0039793A" w:rsidRPr="00A37CBF" w:rsidRDefault="0039793A" w:rsidP="0039793A">
      <w:pPr>
        <w:pStyle w:val="b"/>
      </w:pPr>
      <w:r w:rsidRPr="00A37CBF">
        <w:rPr>
          <w:lang w:eastAsia="fr-FR" w:bidi="fr-FR"/>
        </w:rPr>
        <w:t>Une réforme substantielle</w:t>
      </w:r>
    </w:p>
    <w:p w14:paraId="032CB305" w14:textId="77777777" w:rsidR="0039793A" w:rsidRDefault="0039793A" w:rsidP="0039793A">
      <w:pPr>
        <w:spacing w:before="120" w:after="120"/>
        <w:jc w:val="both"/>
        <w:rPr>
          <w:lang w:eastAsia="fr-FR" w:bidi="fr-FR"/>
        </w:rPr>
      </w:pPr>
    </w:p>
    <w:p w14:paraId="64DC6A08" w14:textId="77777777" w:rsidR="0039793A" w:rsidRPr="001C2E2B" w:rsidRDefault="0039793A" w:rsidP="0039793A">
      <w:pPr>
        <w:spacing w:before="120" w:after="120"/>
        <w:jc w:val="both"/>
      </w:pPr>
      <w:r w:rsidRPr="001C2E2B">
        <w:rPr>
          <w:lang w:eastAsia="fr-FR" w:bidi="fr-FR"/>
        </w:rPr>
        <w:t>Ce département comprend environ 170 000 employés, dont 60</w:t>
      </w:r>
      <w:r>
        <w:rPr>
          <w:lang w:eastAsia="fr-FR" w:bidi="fr-FR"/>
        </w:rPr>
        <w:t>%</w:t>
      </w:r>
      <w:r w:rsidRPr="001C2E2B">
        <w:rPr>
          <w:lang w:eastAsia="fr-FR" w:bidi="fr-FR"/>
        </w:rPr>
        <w:t xml:space="preserve"> ont pour tâche de surveiller et de protéger les frontières américaines. Il constitue la troisième administration en importance, après le départ</w:t>
      </w:r>
      <w:r w:rsidRPr="001C2E2B">
        <w:rPr>
          <w:lang w:eastAsia="fr-FR" w:bidi="fr-FR"/>
        </w:rPr>
        <w:t>e</w:t>
      </w:r>
      <w:r w:rsidRPr="001C2E2B">
        <w:rPr>
          <w:lang w:eastAsia="fr-FR" w:bidi="fr-FR"/>
        </w:rPr>
        <w:t>ment de la Défense et celui des V</w:t>
      </w:r>
      <w:r w:rsidRPr="001C2E2B">
        <w:rPr>
          <w:lang w:eastAsia="fr-FR" w:bidi="fr-FR"/>
        </w:rPr>
        <w:t>é</w:t>
      </w:r>
      <w:r w:rsidRPr="001C2E2B">
        <w:rPr>
          <w:lang w:eastAsia="fr-FR" w:bidi="fr-FR"/>
        </w:rPr>
        <w:t>térans. Il dispose d’un budget initial de 37 mi</w:t>
      </w:r>
      <w:r w:rsidRPr="001C2E2B">
        <w:rPr>
          <w:lang w:eastAsia="fr-FR" w:bidi="fr-FR"/>
        </w:rPr>
        <w:t>l</w:t>
      </w:r>
      <w:r w:rsidRPr="001C2E2B">
        <w:rPr>
          <w:lang w:eastAsia="fr-FR" w:bidi="fr-FR"/>
        </w:rPr>
        <w:t>liards de dollars. Le département de la Sécurité intérieure agit, sur le plan domestique, comme un équivalent de la Défense, f</w:t>
      </w:r>
      <w:r w:rsidRPr="001C2E2B">
        <w:rPr>
          <w:lang w:eastAsia="fr-FR" w:bidi="fr-FR"/>
        </w:rPr>
        <w:t>é</w:t>
      </w:r>
      <w:r w:rsidRPr="001C2E2B">
        <w:rPr>
          <w:lang w:eastAsia="fr-FR" w:bidi="fr-FR"/>
        </w:rPr>
        <w:t>dérant plus d’une vingtaine d’unités et d’une centaine d’agences exi</w:t>
      </w:r>
      <w:r w:rsidRPr="001C2E2B">
        <w:rPr>
          <w:lang w:eastAsia="fr-FR" w:bidi="fr-FR"/>
        </w:rPr>
        <w:t>s</w:t>
      </w:r>
      <w:r w:rsidRPr="001C2E2B">
        <w:rPr>
          <w:lang w:eastAsia="fr-FR" w:bidi="fr-FR"/>
        </w:rPr>
        <w:t>ta</w:t>
      </w:r>
      <w:r w:rsidRPr="001C2E2B">
        <w:rPr>
          <w:lang w:eastAsia="fr-FR" w:bidi="fr-FR"/>
        </w:rPr>
        <w:t>n</w:t>
      </w:r>
      <w:r w:rsidRPr="001C2E2B">
        <w:rPr>
          <w:lang w:eastAsia="fr-FR" w:bidi="fr-FR"/>
        </w:rPr>
        <w:t>tes au sein d’une même structure (comme l’avait fait la loi de 1947 pour les forces armées). Dans le même temps, en matière de sécurité intérieure, deux petits organismes continuent de jouer un rôle de conseil à la Maison-Blanche. D’une part, le b</w:t>
      </w:r>
      <w:r w:rsidRPr="001C2E2B">
        <w:rPr>
          <w:lang w:eastAsia="fr-FR" w:bidi="fr-FR"/>
        </w:rPr>
        <w:t>u</w:t>
      </w:r>
      <w:r w:rsidRPr="001C2E2B">
        <w:rPr>
          <w:lang w:eastAsia="fr-FR" w:bidi="fr-FR"/>
        </w:rPr>
        <w:t>reau de la Sécurité du territoire national coordonne les actions du département de la Sécurité intérieure avec une quarantaine de bureaux d’autres minist</w:t>
      </w:r>
      <w:r w:rsidRPr="001C2E2B">
        <w:rPr>
          <w:lang w:eastAsia="fr-FR" w:bidi="fr-FR"/>
        </w:rPr>
        <w:t>è</w:t>
      </w:r>
      <w:r w:rsidRPr="001C2E2B">
        <w:rPr>
          <w:lang w:eastAsia="fr-FR" w:bidi="fr-FR"/>
        </w:rPr>
        <w:t>res, dont les mandats coïncident en partie avec la lutte</w:t>
      </w:r>
      <w:r>
        <w:t xml:space="preserve"> [202] </w:t>
      </w:r>
      <w:r w:rsidRPr="001C2E2B">
        <w:rPr>
          <w:lang w:eastAsia="fr-FR" w:bidi="fr-FR"/>
        </w:rPr>
        <w:t>antiterroriste. D’autre part, le Conseil de la S</w:t>
      </w:r>
      <w:r w:rsidRPr="001C2E2B">
        <w:rPr>
          <w:lang w:eastAsia="fr-FR" w:bidi="fr-FR"/>
        </w:rPr>
        <w:t>é</w:t>
      </w:r>
      <w:r w:rsidRPr="001C2E2B">
        <w:rPr>
          <w:lang w:eastAsia="fr-FR" w:bidi="fr-FR"/>
        </w:rPr>
        <w:t xml:space="preserve">curité du territoire </w:t>
      </w:r>
      <w:r w:rsidRPr="00A7177D">
        <w:rPr>
          <w:lang w:eastAsia="fr-FR" w:bidi="fr-FR"/>
        </w:rPr>
        <w:t xml:space="preserve">national, </w:t>
      </w:r>
      <w:r w:rsidRPr="00A7177D">
        <w:rPr>
          <w:bCs/>
        </w:rPr>
        <w:t xml:space="preserve">à </w:t>
      </w:r>
      <w:r w:rsidRPr="00A7177D">
        <w:rPr>
          <w:lang w:eastAsia="fr-FR" w:bidi="fr-FR"/>
        </w:rPr>
        <w:t xml:space="preserve">l’instar du </w:t>
      </w:r>
      <w:r w:rsidRPr="00A7177D">
        <w:rPr>
          <w:bCs/>
        </w:rPr>
        <w:t xml:space="preserve">NSC, </w:t>
      </w:r>
      <w:r w:rsidRPr="00A7177D">
        <w:rPr>
          <w:lang w:eastAsia="fr-FR" w:bidi="fr-FR"/>
        </w:rPr>
        <w:t>recommande des orientations et des déc</w:t>
      </w:r>
      <w:r w:rsidRPr="00A7177D">
        <w:rPr>
          <w:lang w:eastAsia="fr-FR" w:bidi="fr-FR"/>
        </w:rPr>
        <w:t>i</w:t>
      </w:r>
      <w:r w:rsidRPr="00A7177D">
        <w:rPr>
          <w:lang w:eastAsia="fr-FR" w:bidi="fr-FR"/>
        </w:rPr>
        <w:t xml:space="preserve">sions au président. Le secrétaire </w:t>
      </w:r>
      <w:r w:rsidRPr="00A7177D">
        <w:rPr>
          <w:bCs/>
        </w:rPr>
        <w:t xml:space="preserve">à </w:t>
      </w:r>
      <w:r w:rsidRPr="00A7177D">
        <w:rPr>
          <w:lang w:eastAsia="fr-FR" w:bidi="fr-FR"/>
        </w:rPr>
        <w:t>la Sécurité</w:t>
      </w:r>
      <w:r w:rsidRPr="001C2E2B">
        <w:rPr>
          <w:lang w:eastAsia="fr-FR" w:bidi="fr-FR"/>
        </w:rPr>
        <w:t xml:space="preserve"> intérieure, pour sa part, a pour mission d’assurer la protection du territoire américain et de re</w:t>
      </w:r>
      <w:r w:rsidRPr="001C2E2B">
        <w:rPr>
          <w:lang w:eastAsia="fr-FR" w:bidi="fr-FR"/>
        </w:rPr>
        <w:t>n</w:t>
      </w:r>
      <w:r w:rsidRPr="001C2E2B">
        <w:rPr>
          <w:lang w:eastAsia="fr-FR" w:bidi="fr-FR"/>
        </w:rPr>
        <w:t>dre cohérente la sécurité dans quatre domaines complémentaires</w:t>
      </w:r>
      <w:r>
        <w:rPr>
          <w:lang w:eastAsia="fr-FR" w:bidi="fr-FR"/>
        </w:rPr>
        <w:t> </w:t>
      </w:r>
      <w:r>
        <w:rPr>
          <w:rStyle w:val="Appelnotedebasdep"/>
          <w:lang w:eastAsia="fr-FR" w:bidi="fr-FR"/>
        </w:rPr>
        <w:footnoteReference w:id="442"/>
      </w:r>
      <w:r w:rsidRPr="001C2E2B">
        <w:t> :</w:t>
      </w:r>
    </w:p>
    <w:p w14:paraId="76DC9CFB" w14:textId="77777777" w:rsidR="0039793A" w:rsidRDefault="0039793A" w:rsidP="0039793A">
      <w:pPr>
        <w:spacing w:before="120" w:after="120"/>
        <w:jc w:val="both"/>
        <w:rPr>
          <w:lang w:eastAsia="fr-FR" w:bidi="fr-FR"/>
        </w:rPr>
      </w:pPr>
    </w:p>
    <w:p w14:paraId="087F457E"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la sécurité des frontières et des transports inclut l’immigration, les frontières, la garde côtière, les services secrets (la plupart de ces unités, soit plus de 150 000 employés, étant ainsi retirées aux dépa</w:t>
      </w:r>
      <w:r w:rsidRPr="001C2E2B">
        <w:rPr>
          <w:lang w:eastAsia="fr-FR" w:bidi="fr-FR"/>
        </w:rPr>
        <w:t>r</w:t>
      </w:r>
      <w:r w:rsidRPr="001C2E2B">
        <w:rPr>
          <w:lang w:eastAsia="fr-FR" w:bidi="fr-FR"/>
        </w:rPr>
        <w:t>tements de la Justice et du Trésor)</w:t>
      </w:r>
      <w:r w:rsidRPr="001C2E2B">
        <w:t> ;</w:t>
      </w:r>
    </w:p>
    <w:p w14:paraId="1599B371"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la planification des services d’urgence co</w:t>
      </w:r>
      <w:r w:rsidRPr="001C2E2B">
        <w:rPr>
          <w:lang w:eastAsia="fr-FR" w:bidi="fr-FR"/>
        </w:rPr>
        <w:t>m</w:t>
      </w:r>
      <w:r w:rsidRPr="001C2E2B">
        <w:rPr>
          <w:lang w:eastAsia="fr-FR" w:bidi="fr-FR"/>
        </w:rPr>
        <w:t>prend toutes les agences (autrefois rattachées aux départements de la Santé et de l’Énergie), responsables des premiers secours en cas d’attaques biologiques, chimiques, radiologiques et nucléaires en sol am</w:t>
      </w:r>
      <w:r w:rsidRPr="001C2E2B">
        <w:rPr>
          <w:lang w:eastAsia="fr-FR" w:bidi="fr-FR"/>
        </w:rPr>
        <w:t>é</w:t>
      </w:r>
      <w:r w:rsidRPr="001C2E2B">
        <w:rPr>
          <w:lang w:eastAsia="fr-FR" w:bidi="fr-FR"/>
        </w:rPr>
        <w:t>ricain</w:t>
      </w:r>
      <w:r w:rsidRPr="001C2E2B">
        <w:t> ;</w:t>
      </w:r>
    </w:p>
    <w:p w14:paraId="4485A029"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la science et la technologie regroupent les services de préve</w:t>
      </w:r>
      <w:r w:rsidRPr="001C2E2B">
        <w:rPr>
          <w:lang w:eastAsia="fr-FR" w:bidi="fr-FR"/>
        </w:rPr>
        <w:t>n</w:t>
      </w:r>
      <w:r w:rsidRPr="001C2E2B">
        <w:rPr>
          <w:lang w:eastAsia="fr-FR" w:bidi="fr-FR"/>
        </w:rPr>
        <w:t>tion et de contre-mesures pour faire face aux épidémies, ainsi que les pr</w:t>
      </w:r>
      <w:r w:rsidRPr="001C2E2B">
        <w:rPr>
          <w:lang w:eastAsia="fr-FR" w:bidi="fr-FR"/>
        </w:rPr>
        <w:t>o</w:t>
      </w:r>
      <w:r w:rsidRPr="001C2E2B">
        <w:rPr>
          <w:lang w:eastAsia="fr-FR" w:bidi="fr-FR"/>
        </w:rPr>
        <w:t>grammes de recherche dans les domaines biologique, chimique, radi</w:t>
      </w:r>
      <w:r w:rsidRPr="001C2E2B">
        <w:rPr>
          <w:lang w:eastAsia="fr-FR" w:bidi="fr-FR"/>
        </w:rPr>
        <w:t>o</w:t>
      </w:r>
      <w:r w:rsidRPr="001C2E2B">
        <w:rPr>
          <w:lang w:eastAsia="fr-FR" w:bidi="fr-FR"/>
        </w:rPr>
        <w:t>logique et nucléaire</w:t>
      </w:r>
      <w:r w:rsidRPr="001C2E2B">
        <w:t> ;</w:t>
      </w:r>
    </w:p>
    <w:p w14:paraId="555E21E1" w14:textId="77777777" w:rsidR="0039793A" w:rsidRPr="001C2E2B" w:rsidRDefault="0039793A" w:rsidP="0039793A">
      <w:pPr>
        <w:spacing w:before="120" w:after="120"/>
        <w:ind w:left="720" w:hanging="360"/>
        <w:jc w:val="both"/>
      </w:pPr>
      <w:r>
        <w:rPr>
          <w:lang w:eastAsia="fr-FR" w:bidi="fr-FR"/>
        </w:rPr>
        <w:t>-</w:t>
      </w:r>
      <w:r>
        <w:rPr>
          <w:lang w:eastAsia="fr-FR" w:bidi="fr-FR"/>
        </w:rPr>
        <w:tab/>
      </w:r>
      <w:r w:rsidRPr="001C2E2B">
        <w:rPr>
          <w:lang w:eastAsia="fr-FR" w:bidi="fr-FR"/>
        </w:rPr>
        <w:t>la protection des infrastructures et l’analyse de l’information comprennent les capacités du go</w:t>
      </w:r>
      <w:r w:rsidRPr="001C2E2B">
        <w:rPr>
          <w:lang w:eastAsia="fr-FR" w:bidi="fr-FR"/>
        </w:rPr>
        <w:t>u</w:t>
      </w:r>
      <w:r w:rsidRPr="001C2E2B">
        <w:rPr>
          <w:lang w:eastAsia="fr-FR" w:bidi="fr-FR"/>
        </w:rPr>
        <w:t>vernement mobilisées pour prévenir des attaques contre les systèmes de télécommunic</w:t>
      </w:r>
      <w:r w:rsidRPr="001C2E2B">
        <w:rPr>
          <w:lang w:eastAsia="fr-FR" w:bidi="fr-FR"/>
        </w:rPr>
        <w:t>a</w:t>
      </w:r>
      <w:r w:rsidRPr="001C2E2B">
        <w:rPr>
          <w:lang w:eastAsia="fr-FR" w:bidi="fr-FR"/>
        </w:rPr>
        <w:t>tions et garantir la c</w:t>
      </w:r>
      <w:r w:rsidRPr="001C2E2B">
        <w:rPr>
          <w:lang w:eastAsia="fr-FR" w:bidi="fr-FR"/>
        </w:rPr>
        <w:t>y</w:t>
      </w:r>
      <w:r w:rsidRPr="001C2E2B">
        <w:rPr>
          <w:lang w:eastAsia="fr-FR" w:bidi="fr-FR"/>
        </w:rPr>
        <w:t>ber-sécurité des équipements sensibles.</w:t>
      </w:r>
    </w:p>
    <w:p w14:paraId="17469E8A" w14:textId="77777777" w:rsidR="0039793A" w:rsidRDefault="0039793A" w:rsidP="0039793A">
      <w:pPr>
        <w:spacing w:before="120" w:after="120"/>
        <w:jc w:val="both"/>
        <w:rPr>
          <w:lang w:eastAsia="fr-FR" w:bidi="fr-FR"/>
        </w:rPr>
      </w:pPr>
    </w:p>
    <w:p w14:paraId="0B3CD9E5" w14:textId="77777777" w:rsidR="0039793A" w:rsidRPr="001C2E2B" w:rsidRDefault="0039793A" w:rsidP="0039793A">
      <w:pPr>
        <w:spacing w:before="120" w:after="120"/>
        <w:jc w:val="both"/>
      </w:pPr>
      <w:r w:rsidRPr="001C2E2B">
        <w:rPr>
          <w:lang w:eastAsia="fr-FR" w:bidi="fr-FR"/>
        </w:rPr>
        <w:t>L’objectif est de résoudre à terme les graves problèmes de duplic</w:t>
      </w:r>
      <w:r w:rsidRPr="001C2E2B">
        <w:rPr>
          <w:lang w:eastAsia="fr-FR" w:bidi="fr-FR"/>
        </w:rPr>
        <w:t>a</w:t>
      </w:r>
      <w:r w:rsidRPr="001C2E2B">
        <w:rPr>
          <w:lang w:eastAsia="fr-FR" w:bidi="fr-FR"/>
        </w:rPr>
        <w:t>tion qui, actuellement, rédu</w:t>
      </w:r>
      <w:r w:rsidRPr="001C2E2B">
        <w:rPr>
          <w:lang w:eastAsia="fr-FR" w:bidi="fr-FR"/>
        </w:rPr>
        <w:t>i</w:t>
      </w:r>
      <w:r w:rsidRPr="001C2E2B">
        <w:rPr>
          <w:lang w:eastAsia="fr-FR" w:bidi="fr-FR"/>
        </w:rPr>
        <w:t>sent substantiellement la réactivité en cas de crise (par exemple, en cas d’attaque biologique ou ch</w:t>
      </w:r>
      <w:r w:rsidRPr="001C2E2B">
        <w:rPr>
          <w:lang w:eastAsia="fr-FR" w:bidi="fr-FR"/>
        </w:rPr>
        <w:t>i</w:t>
      </w:r>
      <w:r w:rsidRPr="001C2E2B">
        <w:rPr>
          <w:lang w:eastAsia="fr-FR" w:bidi="fr-FR"/>
        </w:rPr>
        <w:t>mique, pas moins d’une douzaine d’agences féd</w:t>
      </w:r>
      <w:r w:rsidRPr="001C2E2B">
        <w:rPr>
          <w:lang w:eastAsia="fr-FR" w:bidi="fr-FR"/>
        </w:rPr>
        <w:t>é</w:t>
      </w:r>
      <w:r w:rsidRPr="001C2E2B">
        <w:rPr>
          <w:lang w:eastAsia="fr-FR" w:bidi="fr-FR"/>
        </w:rPr>
        <w:t>rales seraient impliquées).</w:t>
      </w:r>
    </w:p>
    <w:p w14:paraId="387FDDCA" w14:textId="77777777" w:rsidR="0039793A" w:rsidRDefault="0039793A" w:rsidP="0039793A">
      <w:pPr>
        <w:spacing w:before="120" w:after="120"/>
        <w:jc w:val="both"/>
        <w:rPr>
          <w:lang w:eastAsia="fr-FR" w:bidi="fr-FR"/>
        </w:rPr>
      </w:pPr>
    </w:p>
    <w:p w14:paraId="1C6C5FAF" w14:textId="77777777" w:rsidR="0039793A" w:rsidRPr="00530F9D" w:rsidRDefault="0039793A" w:rsidP="0039793A">
      <w:pPr>
        <w:pStyle w:val="b"/>
      </w:pPr>
      <w:r w:rsidRPr="00530F9D">
        <w:rPr>
          <w:lang w:eastAsia="fr-FR" w:bidi="fr-FR"/>
        </w:rPr>
        <w:t>Une réforme imparfaite</w:t>
      </w:r>
    </w:p>
    <w:p w14:paraId="049F7320" w14:textId="77777777" w:rsidR="0039793A" w:rsidRDefault="0039793A" w:rsidP="0039793A">
      <w:pPr>
        <w:spacing w:before="120" w:after="120"/>
        <w:jc w:val="both"/>
        <w:rPr>
          <w:lang w:eastAsia="fr-FR" w:bidi="fr-FR"/>
        </w:rPr>
      </w:pPr>
    </w:p>
    <w:p w14:paraId="74104F17" w14:textId="77777777" w:rsidR="0039793A" w:rsidRPr="001C2E2B" w:rsidRDefault="0039793A" w:rsidP="0039793A">
      <w:pPr>
        <w:spacing w:before="120" w:after="120"/>
        <w:jc w:val="both"/>
      </w:pPr>
      <w:r w:rsidRPr="001C2E2B">
        <w:rPr>
          <w:lang w:eastAsia="fr-FR" w:bidi="fr-FR"/>
        </w:rPr>
        <w:t>Pour la première fois, les États-Unis disposeront d’une agence ce</w:t>
      </w:r>
      <w:r w:rsidRPr="001C2E2B">
        <w:rPr>
          <w:lang w:eastAsia="fr-FR" w:bidi="fr-FR"/>
        </w:rPr>
        <w:t>n</w:t>
      </w:r>
      <w:r w:rsidRPr="001C2E2B">
        <w:rPr>
          <w:lang w:eastAsia="fr-FR" w:bidi="fr-FR"/>
        </w:rPr>
        <w:t>trale pour évaluer les vulnérabilités nationales et réagir aux</w:t>
      </w:r>
      <w:r>
        <w:t xml:space="preserve"> [203] </w:t>
      </w:r>
      <w:r w:rsidRPr="001C2E2B">
        <w:rPr>
          <w:lang w:eastAsia="fr-FR" w:bidi="fr-FR"/>
        </w:rPr>
        <w:t>m</w:t>
      </w:r>
      <w:r w:rsidRPr="001C2E2B">
        <w:rPr>
          <w:lang w:eastAsia="fr-FR" w:bidi="fr-FR"/>
        </w:rPr>
        <w:t>e</w:t>
      </w:r>
      <w:r w:rsidRPr="001C2E2B">
        <w:rPr>
          <w:lang w:eastAsia="fr-FR" w:bidi="fr-FR"/>
        </w:rPr>
        <w:t>naces contre le territoire national. Une mei</w:t>
      </w:r>
      <w:r w:rsidRPr="001C2E2B">
        <w:rPr>
          <w:lang w:eastAsia="fr-FR" w:bidi="fr-FR"/>
        </w:rPr>
        <w:t>l</w:t>
      </w:r>
      <w:r w:rsidRPr="001C2E2B">
        <w:rPr>
          <w:lang w:eastAsia="fr-FR" w:bidi="fr-FR"/>
        </w:rPr>
        <w:t>leure coordination et une meilleure communication seront également établies entre les d</w:t>
      </w:r>
      <w:r w:rsidRPr="001C2E2B">
        <w:rPr>
          <w:lang w:eastAsia="fr-FR" w:bidi="fr-FR"/>
        </w:rPr>
        <w:t>i</w:t>
      </w:r>
      <w:r w:rsidRPr="001C2E2B">
        <w:rPr>
          <w:lang w:eastAsia="fr-FR" w:bidi="fr-FR"/>
        </w:rPr>
        <w:t>vers paliers de gouvernement (fédéral, États, municipalités). En r</w:t>
      </w:r>
      <w:r w:rsidRPr="001C2E2B">
        <w:rPr>
          <w:lang w:eastAsia="fr-FR" w:bidi="fr-FR"/>
        </w:rPr>
        <w:t>e</w:t>
      </w:r>
      <w:r w:rsidRPr="001C2E2B">
        <w:rPr>
          <w:lang w:eastAsia="fr-FR" w:bidi="fr-FR"/>
        </w:rPr>
        <w:t>vanche, deux problèmes restent sans réponse</w:t>
      </w:r>
      <w:r>
        <w:rPr>
          <w:lang w:eastAsia="fr-FR" w:bidi="fr-FR"/>
        </w:rPr>
        <w:t> </w:t>
      </w:r>
      <w:r>
        <w:rPr>
          <w:rStyle w:val="Appelnotedebasdep"/>
          <w:lang w:eastAsia="fr-FR" w:bidi="fr-FR"/>
        </w:rPr>
        <w:footnoteReference w:id="443"/>
      </w:r>
      <w:r w:rsidRPr="001C2E2B">
        <w:t> :</w:t>
      </w:r>
    </w:p>
    <w:p w14:paraId="30B71599" w14:textId="77777777" w:rsidR="0039793A" w:rsidRPr="001C2E2B" w:rsidRDefault="0039793A" w:rsidP="0039793A">
      <w:pPr>
        <w:spacing w:before="120" w:after="120"/>
        <w:jc w:val="both"/>
      </w:pPr>
      <w:r w:rsidRPr="001C2E2B">
        <w:rPr>
          <w:lang w:eastAsia="fr-FR" w:bidi="fr-FR"/>
        </w:rPr>
        <w:t>— Le nouveau département comprendra une petite unité de coo</w:t>
      </w:r>
      <w:r w:rsidRPr="001C2E2B">
        <w:rPr>
          <w:lang w:eastAsia="fr-FR" w:bidi="fr-FR"/>
        </w:rPr>
        <w:t>r</w:t>
      </w:r>
      <w:r w:rsidRPr="001C2E2B">
        <w:rPr>
          <w:lang w:eastAsia="fr-FR" w:bidi="fr-FR"/>
        </w:rPr>
        <w:t xml:space="preserve">dination du </w:t>
      </w:r>
      <w:r w:rsidRPr="00A7177D">
        <w:rPr>
          <w:lang w:eastAsia="fr-FR" w:bidi="fr-FR"/>
        </w:rPr>
        <w:t>renseignement, mais qui dépendra entièrement des info</w:t>
      </w:r>
      <w:r w:rsidRPr="00A7177D">
        <w:rPr>
          <w:lang w:eastAsia="fr-FR" w:bidi="fr-FR"/>
        </w:rPr>
        <w:t>r</w:t>
      </w:r>
      <w:r w:rsidRPr="00A7177D">
        <w:rPr>
          <w:lang w:eastAsia="fr-FR" w:bidi="fr-FR"/>
        </w:rPr>
        <w:t xml:space="preserve">mations transmises par la </w:t>
      </w:r>
      <w:r w:rsidRPr="00A7177D">
        <w:rPr>
          <w:bCs/>
        </w:rPr>
        <w:t xml:space="preserve">CIA, </w:t>
      </w:r>
      <w:r w:rsidRPr="00A7177D">
        <w:rPr>
          <w:lang w:eastAsia="fr-FR" w:bidi="fr-FR"/>
        </w:rPr>
        <w:t xml:space="preserve">le </w:t>
      </w:r>
      <w:r w:rsidRPr="00A7177D">
        <w:rPr>
          <w:bCs/>
        </w:rPr>
        <w:t xml:space="preserve">FBI, </w:t>
      </w:r>
      <w:r w:rsidRPr="00A7177D">
        <w:rPr>
          <w:lang w:eastAsia="fr-FR" w:bidi="fr-FR"/>
        </w:rPr>
        <w:t xml:space="preserve">la </w:t>
      </w:r>
      <w:r w:rsidRPr="00A7177D">
        <w:rPr>
          <w:bCs/>
        </w:rPr>
        <w:t xml:space="preserve">NSA </w:t>
      </w:r>
      <w:r w:rsidRPr="00A7177D">
        <w:rPr>
          <w:lang w:eastAsia="fr-FR" w:bidi="fr-FR"/>
        </w:rPr>
        <w:t>et les autres age</w:t>
      </w:r>
      <w:r w:rsidRPr="00A7177D">
        <w:rPr>
          <w:lang w:eastAsia="fr-FR" w:bidi="fr-FR"/>
        </w:rPr>
        <w:t>n</w:t>
      </w:r>
      <w:r w:rsidRPr="00A7177D">
        <w:rPr>
          <w:lang w:eastAsia="fr-FR" w:bidi="fr-FR"/>
        </w:rPr>
        <w:t>ces de la communauté. La question fondamentale rés</w:t>
      </w:r>
      <w:r w:rsidRPr="00A7177D">
        <w:rPr>
          <w:lang w:eastAsia="fr-FR" w:bidi="fr-FR"/>
        </w:rPr>
        <w:t>i</w:t>
      </w:r>
      <w:r w:rsidRPr="00A7177D">
        <w:rPr>
          <w:lang w:eastAsia="fr-FR" w:bidi="fr-FR"/>
        </w:rPr>
        <w:t>de ici dans le fait que l’on ajoute peut-être, en réalité, un autre organisme à un système de re</w:t>
      </w:r>
      <w:r w:rsidRPr="00A7177D">
        <w:rPr>
          <w:lang w:eastAsia="fr-FR" w:bidi="fr-FR"/>
        </w:rPr>
        <w:t>n</w:t>
      </w:r>
      <w:r w:rsidRPr="00A7177D">
        <w:rPr>
          <w:lang w:eastAsia="fr-FR" w:bidi="fr-FR"/>
        </w:rPr>
        <w:t>seignement déjà insuffisamment centralisé et considérablement alou</w:t>
      </w:r>
      <w:r w:rsidRPr="00A7177D">
        <w:rPr>
          <w:lang w:eastAsia="fr-FR" w:bidi="fr-FR"/>
        </w:rPr>
        <w:t>r</w:t>
      </w:r>
      <w:r w:rsidRPr="00A7177D">
        <w:rPr>
          <w:lang w:eastAsia="fr-FR" w:bidi="fr-FR"/>
        </w:rPr>
        <w:t xml:space="preserve">di par l’existence d’une demi- douzaine de centres voués au contre-terrorisme. De plus, en excluant de cette nouvelle structure le </w:t>
      </w:r>
      <w:r w:rsidRPr="00A7177D">
        <w:rPr>
          <w:bCs/>
        </w:rPr>
        <w:t>FBI,</w:t>
      </w:r>
      <w:r w:rsidRPr="001C2E2B">
        <w:rPr>
          <w:rStyle w:val="Corpsdutexte28ptGras"/>
        </w:rPr>
        <w:t xml:space="preserve"> </w:t>
      </w:r>
      <w:r w:rsidRPr="001C2E2B">
        <w:rPr>
          <w:lang w:eastAsia="fr-FR" w:bidi="fr-FR"/>
        </w:rPr>
        <w:t>et en omettant d’y insérer une agence domestique du renseign</w:t>
      </w:r>
      <w:r w:rsidRPr="001C2E2B">
        <w:rPr>
          <w:lang w:eastAsia="fr-FR" w:bidi="fr-FR"/>
        </w:rPr>
        <w:t>e</w:t>
      </w:r>
      <w:r w:rsidRPr="001C2E2B">
        <w:rPr>
          <w:lang w:eastAsia="fr-FR" w:bidi="fr-FR"/>
        </w:rPr>
        <w:t>ment, on ne pourrait que répéter les mêmes schémas. Cette dimension domestique est en effet déterminante, ainsi qu’en témoignent les év</w:t>
      </w:r>
      <w:r w:rsidRPr="001C2E2B">
        <w:rPr>
          <w:lang w:eastAsia="fr-FR" w:bidi="fr-FR"/>
        </w:rPr>
        <w:t>é</w:t>
      </w:r>
      <w:r w:rsidRPr="001C2E2B">
        <w:rPr>
          <w:lang w:eastAsia="fr-FR" w:bidi="fr-FR"/>
        </w:rPr>
        <w:t>nements du 11 septembre</w:t>
      </w:r>
      <w:r w:rsidRPr="001C2E2B">
        <w:t> :</w:t>
      </w:r>
      <w:r w:rsidRPr="001C2E2B">
        <w:rPr>
          <w:lang w:eastAsia="fr-FR" w:bidi="fr-FR"/>
        </w:rPr>
        <w:t xml:space="preserve"> l’une des lacunes était justement l’absence de ce</w:t>
      </w:r>
      <w:r w:rsidRPr="001C2E2B">
        <w:rPr>
          <w:lang w:eastAsia="fr-FR" w:bidi="fr-FR"/>
        </w:rPr>
        <w:t>n</w:t>
      </w:r>
      <w:r w:rsidRPr="001C2E2B">
        <w:rPr>
          <w:lang w:eastAsia="fr-FR" w:bidi="fr-FR"/>
        </w:rPr>
        <w:t>tralisation du renseignement, l’absence de coordination entre le renseignement domestique et le renseignement e</w:t>
      </w:r>
      <w:r w:rsidRPr="001C2E2B">
        <w:rPr>
          <w:lang w:eastAsia="fr-FR" w:bidi="fr-FR"/>
        </w:rPr>
        <w:t>x</w:t>
      </w:r>
      <w:r w:rsidRPr="001C2E2B">
        <w:rPr>
          <w:lang w:eastAsia="fr-FR" w:bidi="fr-FR"/>
        </w:rPr>
        <w:t>térieur.</w:t>
      </w:r>
    </w:p>
    <w:p w14:paraId="7AC46C50" w14:textId="77777777" w:rsidR="0039793A" w:rsidRDefault="0039793A" w:rsidP="0039793A">
      <w:pPr>
        <w:spacing w:before="120" w:after="120"/>
        <w:jc w:val="both"/>
        <w:rPr>
          <w:lang w:eastAsia="fr-FR" w:bidi="fr-FR"/>
        </w:rPr>
      </w:pPr>
      <w:r w:rsidRPr="001C2E2B">
        <w:rPr>
          <w:lang w:eastAsia="fr-FR" w:bidi="fr-FR"/>
        </w:rPr>
        <w:t>—</w:t>
      </w:r>
      <w:r>
        <w:rPr>
          <w:lang w:eastAsia="fr-FR" w:bidi="fr-FR"/>
        </w:rPr>
        <w:t xml:space="preserve"> </w:t>
      </w:r>
      <w:r w:rsidRPr="001C2E2B">
        <w:rPr>
          <w:lang w:eastAsia="fr-FR" w:bidi="fr-FR"/>
        </w:rPr>
        <w:t>Les missions et les cultures fort divergentes des unités const</w:t>
      </w:r>
      <w:r w:rsidRPr="001C2E2B">
        <w:rPr>
          <w:lang w:eastAsia="fr-FR" w:bidi="fr-FR"/>
        </w:rPr>
        <w:t>i</w:t>
      </w:r>
      <w:r w:rsidRPr="001C2E2B">
        <w:rPr>
          <w:lang w:eastAsia="fr-FR" w:bidi="fr-FR"/>
        </w:rPr>
        <w:t>tuantes prendront sans doute bea</w:t>
      </w:r>
      <w:r w:rsidRPr="001C2E2B">
        <w:rPr>
          <w:lang w:eastAsia="fr-FR" w:bidi="fr-FR"/>
        </w:rPr>
        <w:t>u</w:t>
      </w:r>
      <w:r w:rsidRPr="001C2E2B">
        <w:rPr>
          <w:lang w:eastAsia="fr-FR" w:bidi="fr-FR"/>
        </w:rPr>
        <w:t>coup de temps à changer avant d’atteindre une réelle cohérence, à l’instar des décennies qu’a requ</w:t>
      </w:r>
      <w:r w:rsidRPr="001C2E2B">
        <w:rPr>
          <w:lang w:eastAsia="fr-FR" w:bidi="fr-FR"/>
        </w:rPr>
        <w:t>i</w:t>
      </w:r>
      <w:r w:rsidRPr="001C2E2B">
        <w:rPr>
          <w:lang w:eastAsia="fr-FR" w:bidi="fr-FR"/>
        </w:rPr>
        <w:t>ses la consolidation de la structure de la défense. La période de transition sera longue — notamment le partage de l’information entre les unités et les agences pour prévenir d’autres attentats terroristes — alors que la sécurité intérieure doit pouvoir être assurée sans délai.</w:t>
      </w:r>
    </w:p>
    <w:p w14:paraId="5C7C422E" w14:textId="77777777" w:rsidR="0039793A" w:rsidRPr="001C2E2B" w:rsidRDefault="0039793A" w:rsidP="0039793A">
      <w:pPr>
        <w:spacing w:before="120" w:after="120"/>
        <w:jc w:val="both"/>
      </w:pPr>
    </w:p>
    <w:p w14:paraId="2603C823" w14:textId="77777777" w:rsidR="0039793A" w:rsidRPr="00A54B59" w:rsidRDefault="0039793A" w:rsidP="0039793A">
      <w:pPr>
        <w:pStyle w:val="planche"/>
        <w:rPr>
          <w:lang w:eastAsia="fr-FR" w:bidi="fr-FR"/>
        </w:rPr>
      </w:pPr>
      <w:bookmarkStart w:id="26" w:name="Pol_EU_pt_2_chap_06_3"/>
      <w:r w:rsidRPr="00A54B59">
        <w:rPr>
          <w:lang w:eastAsia="fr-FR" w:bidi="fr-FR"/>
        </w:rPr>
        <w:t>Le rôle accru des ministères traditionnels</w:t>
      </w:r>
    </w:p>
    <w:bookmarkEnd w:id="26"/>
    <w:p w14:paraId="7A21AFFE" w14:textId="77777777" w:rsidR="0039793A" w:rsidRPr="001C2E2B" w:rsidRDefault="0039793A" w:rsidP="0039793A">
      <w:pPr>
        <w:spacing w:before="120" w:after="120"/>
        <w:jc w:val="both"/>
      </w:pPr>
    </w:p>
    <w:p w14:paraId="796995D6"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62A6289A" w14:textId="77777777" w:rsidR="0039793A" w:rsidRPr="001C2E2B" w:rsidRDefault="0039793A" w:rsidP="0039793A">
      <w:pPr>
        <w:spacing w:before="120" w:after="120"/>
        <w:jc w:val="both"/>
      </w:pPr>
      <w:r w:rsidRPr="001C2E2B">
        <w:rPr>
          <w:lang w:eastAsia="fr-FR" w:bidi="fr-FR"/>
        </w:rPr>
        <w:t>Durant les deux dernières décennies, des dépa</w:t>
      </w:r>
      <w:r w:rsidRPr="001C2E2B">
        <w:rPr>
          <w:lang w:eastAsia="fr-FR" w:bidi="fr-FR"/>
        </w:rPr>
        <w:t>r</w:t>
      </w:r>
      <w:r w:rsidRPr="001C2E2B">
        <w:rPr>
          <w:lang w:eastAsia="fr-FR" w:bidi="fr-FR"/>
        </w:rPr>
        <w:t>tements et agences du gouvernement, au-del</w:t>
      </w:r>
      <w:r>
        <w:rPr>
          <w:lang w:eastAsia="fr-FR" w:bidi="fr-FR"/>
        </w:rPr>
        <w:t>à des ministères plus tradition</w:t>
      </w:r>
      <w:r w:rsidRPr="001C2E2B">
        <w:rPr>
          <w:lang w:eastAsia="fr-FR" w:bidi="fr-FR"/>
        </w:rPr>
        <w:t>nels</w:t>
      </w:r>
      <w:r>
        <w:t xml:space="preserve"> [204]</w:t>
      </w:r>
      <w:r w:rsidRPr="001C2E2B">
        <w:rPr>
          <w:lang w:eastAsia="fr-FR" w:bidi="fr-FR"/>
        </w:rPr>
        <w:t xml:space="preserve"> et particulièrement dans le secteur économique, ont vu leur rôle s’accroître considérablement dans la formulation de la politique étra</w:t>
      </w:r>
      <w:r w:rsidRPr="001C2E2B">
        <w:rPr>
          <w:lang w:eastAsia="fr-FR" w:bidi="fr-FR"/>
        </w:rPr>
        <w:t>n</w:t>
      </w:r>
      <w:r w:rsidRPr="001C2E2B">
        <w:rPr>
          <w:lang w:eastAsia="fr-FR" w:bidi="fr-FR"/>
        </w:rPr>
        <w:t>gère. La montée de ces acteurs s’explique par le développ</w:t>
      </w:r>
      <w:r w:rsidRPr="001C2E2B">
        <w:rPr>
          <w:lang w:eastAsia="fr-FR" w:bidi="fr-FR"/>
        </w:rPr>
        <w:t>e</w:t>
      </w:r>
      <w:r w:rsidRPr="001C2E2B">
        <w:rPr>
          <w:lang w:eastAsia="fr-FR" w:bidi="fr-FR"/>
        </w:rPr>
        <w:t>ment de trois phénomènes</w:t>
      </w:r>
      <w:r>
        <w:rPr>
          <w:lang w:eastAsia="fr-FR" w:bidi="fr-FR"/>
        </w:rPr>
        <w:t> </w:t>
      </w:r>
      <w:r>
        <w:rPr>
          <w:rStyle w:val="Appelnotedebasdep"/>
          <w:lang w:eastAsia="fr-FR" w:bidi="fr-FR"/>
        </w:rPr>
        <w:footnoteReference w:id="444"/>
      </w:r>
      <w:r>
        <w:rPr>
          <w:lang w:eastAsia="fr-FR" w:bidi="fr-FR"/>
        </w:rPr>
        <w:t>.</w:t>
      </w:r>
      <w:r w:rsidRPr="001C2E2B">
        <w:rPr>
          <w:lang w:eastAsia="fr-FR" w:bidi="fr-FR"/>
        </w:rPr>
        <w:t xml:space="preserve"> Premièrement, les départements orie</w:t>
      </w:r>
      <w:r w:rsidRPr="001C2E2B">
        <w:rPr>
          <w:lang w:eastAsia="fr-FR" w:bidi="fr-FR"/>
        </w:rPr>
        <w:t>n</w:t>
      </w:r>
      <w:r w:rsidRPr="001C2E2B">
        <w:rPr>
          <w:lang w:eastAsia="fr-FR" w:bidi="fr-FR"/>
        </w:rPr>
        <w:t>tés en fonction de la politique intérieure ne peuvent plus faire abstra</w:t>
      </w:r>
      <w:r w:rsidRPr="001C2E2B">
        <w:rPr>
          <w:lang w:eastAsia="fr-FR" w:bidi="fr-FR"/>
        </w:rPr>
        <w:t>c</w:t>
      </w:r>
      <w:r w:rsidRPr="001C2E2B">
        <w:rPr>
          <w:lang w:eastAsia="fr-FR" w:bidi="fr-FR"/>
        </w:rPr>
        <w:t>tion de l’interdépendance et de l’impact des enjeux gl</w:t>
      </w:r>
      <w:r w:rsidRPr="001C2E2B">
        <w:rPr>
          <w:lang w:eastAsia="fr-FR" w:bidi="fr-FR"/>
        </w:rPr>
        <w:t>o</w:t>
      </w:r>
      <w:r w:rsidRPr="001C2E2B">
        <w:rPr>
          <w:lang w:eastAsia="fr-FR" w:bidi="fr-FR"/>
        </w:rPr>
        <w:t>baux sur l’économie et la société américaines. Deuxièmement, l’émergence de nouveaux e</w:t>
      </w:r>
      <w:r w:rsidRPr="001C2E2B">
        <w:rPr>
          <w:lang w:eastAsia="fr-FR" w:bidi="fr-FR"/>
        </w:rPr>
        <w:t>n</w:t>
      </w:r>
      <w:r w:rsidRPr="001C2E2B">
        <w:rPr>
          <w:lang w:eastAsia="fr-FR" w:bidi="fr-FR"/>
        </w:rPr>
        <w:t>jeux (comme l’environnement ou le trafic de drogues) impose des ajustements de la politique étrangère américaine. Troisi</w:t>
      </w:r>
      <w:r w:rsidRPr="001C2E2B">
        <w:rPr>
          <w:lang w:eastAsia="fr-FR" w:bidi="fr-FR"/>
        </w:rPr>
        <w:t>è</w:t>
      </w:r>
      <w:r w:rsidRPr="001C2E2B">
        <w:rPr>
          <w:lang w:eastAsia="fr-FR" w:bidi="fr-FR"/>
        </w:rPr>
        <w:t>mement, la géopolitique de l’après-guerre froide, et tout spécialement la lutte contre le terrorisme international, redéfinit les liens entre la sécurité et l’économie (ainsi la lutte contre le blanchiment d’argent et le fina</w:t>
      </w:r>
      <w:r w:rsidRPr="001C2E2B">
        <w:rPr>
          <w:lang w:eastAsia="fr-FR" w:bidi="fr-FR"/>
        </w:rPr>
        <w:t>n</w:t>
      </w:r>
      <w:r w:rsidRPr="001C2E2B">
        <w:rPr>
          <w:lang w:eastAsia="fr-FR" w:bidi="fr-FR"/>
        </w:rPr>
        <w:t>cement transnational du terrorisme). Ces facteurs mettent en évidence une série d’acteurs situés à la jonction entre politique intérieure et e</w:t>
      </w:r>
      <w:r w:rsidRPr="001C2E2B">
        <w:rPr>
          <w:lang w:eastAsia="fr-FR" w:bidi="fr-FR"/>
        </w:rPr>
        <w:t>x</w:t>
      </w:r>
      <w:r w:rsidRPr="001C2E2B">
        <w:rPr>
          <w:lang w:eastAsia="fr-FR" w:bidi="fr-FR"/>
        </w:rPr>
        <w:t>térieure, dont ce</w:t>
      </w:r>
      <w:r w:rsidRPr="001C2E2B">
        <w:rPr>
          <w:lang w:eastAsia="fr-FR" w:bidi="fr-FR"/>
        </w:rPr>
        <w:t>r</w:t>
      </w:r>
      <w:r w:rsidRPr="001C2E2B">
        <w:rPr>
          <w:lang w:eastAsia="fr-FR" w:bidi="fr-FR"/>
        </w:rPr>
        <w:t>tains sont particulièrement notables</w:t>
      </w:r>
      <w:r>
        <w:rPr>
          <w:lang w:eastAsia="fr-FR" w:bidi="fr-FR"/>
        </w:rPr>
        <w:t> </w:t>
      </w:r>
      <w:r>
        <w:rPr>
          <w:rStyle w:val="Appelnotedebasdep"/>
          <w:lang w:eastAsia="fr-FR" w:bidi="fr-FR"/>
        </w:rPr>
        <w:footnoteReference w:id="445"/>
      </w:r>
      <w:r w:rsidRPr="001C2E2B">
        <w:t> :</w:t>
      </w:r>
    </w:p>
    <w:p w14:paraId="1B709183" w14:textId="77777777" w:rsidR="0039793A" w:rsidRPr="00DB7EE9" w:rsidRDefault="0039793A" w:rsidP="0039793A">
      <w:pPr>
        <w:spacing w:before="120" w:after="120"/>
        <w:jc w:val="both"/>
        <w:rPr>
          <w:lang w:eastAsia="fr-FR" w:bidi="fr-FR"/>
        </w:rPr>
      </w:pPr>
      <w:r w:rsidRPr="00DB7EE9">
        <w:rPr>
          <w:lang w:eastAsia="fr-FR" w:bidi="fr-FR"/>
        </w:rPr>
        <w:t xml:space="preserve">— </w:t>
      </w:r>
      <w:r w:rsidRPr="001C2E2B">
        <w:rPr>
          <w:lang w:eastAsia="fr-FR" w:bidi="fr-FR"/>
        </w:rPr>
        <w:t>Le département du Trésor, l’un des plus vieux ministères, o</w:t>
      </w:r>
      <w:r w:rsidRPr="001C2E2B">
        <w:rPr>
          <w:lang w:eastAsia="fr-FR" w:bidi="fr-FR"/>
        </w:rPr>
        <w:t>c</w:t>
      </w:r>
      <w:r w:rsidRPr="001C2E2B">
        <w:rPr>
          <w:lang w:eastAsia="fr-FR" w:bidi="fr-FR"/>
        </w:rPr>
        <w:t xml:space="preserve">cupe une place de plus en </w:t>
      </w:r>
      <w:r w:rsidRPr="00DB7EE9">
        <w:rPr>
          <w:lang w:eastAsia="fr-FR" w:bidi="fr-FR"/>
        </w:rPr>
        <w:t>plus importante, particulièrement sur les questions monétaires internationales (lors des sommets du G8 par exe</w:t>
      </w:r>
      <w:r w:rsidRPr="00DB7EE9">
        <w:rPr>
          <w:lang w:eastAsia="fr-FR" w:bidi="fr-FR"/>
        </w:rPr>
        <w:t>m</w:t>
      </w:r>
      <w:r w:rsidRPr="00DB7EE9">
        <w:rPr>
          <w:lang w:eastAsia="fr-FR" w:bidi="fr-FR"/>
        </w:rPr>
        <w:t>ple) et surtout s’agissant de la question de l’endettement des pays du Tiers Monde, et du rôle des institutions financières internati</w:t>
      </w:r>
      <w:r w:rsidRPr="00DB7EE9">
        <w:rPr>
          <w:lang w:eastAsia="fr-FR" w:bidi="fr-FR"/>
        </w:rPr>
        <w:t>o</w:t>
      </w:r>
      <w:r w:rsidRPr="00DB7EE9">
        <w:rPr>
          <w:lang w:eastAsia="fr-FR" w:bidi="fr-FR"/>
        </w:rPr>
        <w:t>nales. Le département du Trésor nomme les représentants am</w:t>
      </w:r>
      <w:r w:rsidRPr="00DB7EE9">
        <w:rPr>
          <w:lang w:eastAsia="fr-FR" w:bidi="fr-FR"/>
        </w:rPr>
        <w:t>é</w:t>
      </w:r>
      <w:r w:rsidRPr="00DB7EE9">
        <w:rPr>
          <w:lang w:eastAsia="fr-FR" w:bidi="fr-FR"/>
        </w:rPr>
        <w:t xml:space="preserve">ricains au sein des conseils d’administration du </w:t>
      </w:r>
      <w:r w:rsidRPr="00DB7EE9">
        <w:rPr>
          <w:bCs/>
        </w:rPr>
        <w:t xml:space="preserve">FMI </w:t>
      </w:r>
      <w:r w:rsidRPr="00DB7EE9">
        <w:rPr>
          <w:lang w:eastAsia="fr-FR" w:bidi="fr-FR"/>
        </w:rPr>
        <w:t>et de la Banque mondi</w:t>
      </w:r>
      <w:r w:rsidRPr="00DB7EE9">
        <w:rPr>
          <w:lang w:eastAsia="fr-FR" w:bidi="fr-FR"/>
        </w:rPr>
        <w:t>a</w:t>
      </w:r>
      <w:r w:rsidRPr="00DB7EE9">
        <w:rPr>
          <w:lang w:eastAsia="fr-FR" w:bidi="fr-FR"/>
        </w:rPr>
        <w:t>le.</w:t>
      </w:r>
    </w:p>
    <w:p w14:paraId="488B01D7" w14:textId="77777777" w:rsidR="0039793A" w:rsidRPr="001C2E2B" w:rsidRDefault="0039793A" w:rsidP="0039793A">
      <w:pPr>
        <w:spacing w:before="120" w:after="120"/>
        <w:jc w:val="both"/>
        <w:rPr>
          <w:lang w:eastAsia="fr-FR" w:bidi="fr-FR"/>
        </w:rPr>
      </w:pPr>
      <w:r w:rsidRPr="00DB7EE9">
        <w:rPr>
          <w:lang w:eastAsia="fr-FR" w:bidi="fr-FR"/>
        </w:rPr>
        <w:t xml:space="preserve">— Le département de la Justice occupe lui aussi un rôle central. L’une de ses agences importantes est la </w:t>
      </w:r>
      <w:r w:rsidRPr="00DB7EE9">
        <w:rPr>
          <w:bCs/>
        </w:rPr>
        <w:t xml:space="preserve">DEA </w:t>
      </w:r>
      <w:r w:rsidRPr="00DB7EE9">
        <w:rPr>
          <w:lang w:eastAsia="fr-FR" w:bidi="fr-FR"/>
        </w:rPr>
        <w:t>(</w:t>
      </w:r>
      <w:r w:rsidRPr="00601DCE">
        <w:rPr>
          <w:i/>
          <w:iCs/>
          <w:lang w:eastAsia="fr-FR" w:bidi="fr-FR"/>
        </w:rPr>
        <w:t>Drug Enforcement Age</w:t>
      </w:r>
      <w:r w:rsidRPr="00601DCE">
        <w:rPr>
          <w:i/>
          <w:iCs/>
          <w:lang w:eastAsia="fr-FR" w:bidi="fr-FR"/>
        </w:rPr>
        <w:t>n</w:t>
      </w:r>
      <w:r w:rsidRPr="00601DCE">
        <w:rPr>
          <w:i/>
          <w:iCs/>
          <w:lang w:eastAsia="fr-FR" w:bidi="fr-FR"/>
        </w:rPr>
        <w:t>cy</w:t>
      </w:r>
      <w:r w:rsidRPr="00DB7EE9">
        <w:rPr>
          <w:lang w:eastAsia="fr-FR" w:bidi="fr-FR"/>
        </w:rPr>
        <w:t>) : elle a pour mandat de contrer le trafic de drogues, et d’en intercepter l’acheminement — tout spécialement de Colombie. Ce</w:t>
      </w:r>
      <w:r w:rsidRPr="00DB7EE9">
        <w:rPr>
          <w:lang w:eastAsia="fr-FR" w:bidi="fr-FR"/>
        </w:rPr>
        <w:t>r</w:t>
      </w:r>
      <w:r w:rsidRPr="00DB7EE9">
        <w:rPr>
          <w:lang w:eastAsia="fr-FR" w:bidi="fr-FR"/>
        </w:rPr>
        <w:t xml:space="preserve">taines opérations spéciales sont d’ailleurs menées </w:t>
      </w:r>
      <w:r w:rsidRPr="00DB7EE9">
        <w:rPr>
          <w:bCs/>
        </w:rPr>
        <w:t xml:space="preserve">à </w:t>
      </w:r>
      <w:r w:rsidRPr="00DB7EE9">
        <w:rPr>
          <w:lang w:eastAsia="fr-FR" w:bidi="fr-FR"/>
        </w:rPr>
        <w:t xml:space="preserve">l’étranger par des agents de la </w:t>
      </w:r>
      <w:r w:rsidRPr="00DB7EE9">
        <w:rPr>
          <w:bCs/>
        </w:rPr>
        <w:t xml:space="preserve">DEA, </w:t>
      </w:r>
      <w:r w:rsidRPr="00DB7EE9">
        <w:rPr>
          <w:lang w:eastAsia="fr-FR" w:bidi="fr-FR"/>
        </w:rPr>
        <w:t xml:space="preserve">qui agissent, tout comme le </w:t>
      </w:r>
      <w:r w:rsidRPr="00DB7EE9">
        <w:rPr>
          <w:bCs/>
        </w:rPr>
        <w:t xml:space="preserve">FBI, </w:t>
      </w:r>
      <w:r w:rsidRPr="00DB7EE9">
        <w:rPr>
          <w:lang w:eastAsia="fr-FR" w:bidi="fr-FR"/>
        </w:rPr>
        <w:t>comme représe</w:t>
      </w:r>
      <w:r w:rsidRPr="00DB7EE9">
        <w:rPr>
          <w:lang w:eastAsia="fr-FR" w:bidi="fr-FR"/>
        </w:rPr>
        <w:t>n</w:t>
      </w:r>
      <w:r w:rsidRPr="00DB7EE9">
        <w:rPr>
          <w:lang w:eastAsia="fr-FR" w:bidi="fr-FR"/>
        </w:rPr>
        <w:t>tants de la loi américaine et avec l’accord des autorités locales</w:t>
      </w:r>
      <w:r w:rsidRPr="001C2E2B">
        <w:rPr>
          <w:lang w:eastAsia="fr-FR" w:bidi="fr-FR"/>
        </w:rPr>
        <w:t>.</w:t>
      </w:r>
    </w:p>
    <w:p w14:paraId="17D2783D" w14:textId="77777777" w:rsidR="0039793A" w:rsidRPr="001C2E2B" w:rsidRDefault="0039793A" w:rsidP="0039793A">
      <w:pPr>
        <w:spacing w:before="120" w:after="120"/>
        <w:jc w:val="both"/>
      </w:pPr>
      <w:r w:rsidRPr="00DB7EE9">
        <w:rPr>
          <w:lang w:eastAsia="fr-FR" w:bidi="fr-FR"/>
        </w:rPr>
        <w:t xml:space="preserve">— </w:t>
      </w:r>
      <w:r w:rsidRPr="001C2E2B">
        <w:rPr>
          <w:lang w:eastAsia="fr-FR" w:bidi="fr-FR"/>
        </w:rPr>
        <w:t>Une autre agence, désormais intégrée au département de la S</w:t>
      </w:r>
      <w:r w:rsidRPr="001C2E2B">
        <w:rPr>
          <w:lang w:eastAsia="fr-FR" w:bidi="fr-FR"/>
        </w:rPr>
        <w:t>é</w:t>
      </w:r>
      <w:r w:rsidRPr="001C2E2B">
        <w:rPr>
          <w:lang w:eastAsia="fr-FR" w:bidi="fr-FR"/>
        </w:rPr>
        <w:t>cur</w:t>
      </w:r>
      <w:r w:rsidRPr="001C2E2B">
        <w:rPr>
          <w:lang w:eastAsia="fr-FR" w:bidi="fr-FR"/>
        </w:rPr>
        <w:t>i</w:t>
      </w:r>
      <w:r w:rsidRPr="001C2E2B">
        <w:rPr>
          <w:lang w:eastAsia="fr-FR" w:bidi="fr-FR"/>
        </w:rPr>
        <w:t xml:space="preserve">té intérieure, est </w:t>
      </w:r>
      <w:r>
        <w:t>l’</w:t>
      </w:r>
      <w:r w:rsidRPr="00601DCE">
        <w:rPr>
          <w:i/>
          <w:iCs/>
        </w:rPr>
        <w:t>Immigration and Naturalization Service</w:t>
      </w:r>
      <w:r w:rsidRPr="001C2E2B">
        <w:t xml:space="preserve"> (INS). </w:t>
      </w:r>
      <w:r w:rsidRPr="001C2E2B">
        <w:rPr>
          <w:lang w:eastAsia="fr-FR" w:bidi="fr-FR"/>
        </w:rPr>
        <w:t>Cette agence comporte sa propre police de surveillance du terr</w:t>
      </w:r>
      <w:r w:rsidRPr="001C2E2B">
        <w:rPr>
          <w:lang w:eastAsia="fr-FR" w:bidi="fr-FR"/>
        </w:rPr>
        <w:t>i</w:t>
      </w:r>
      <w:r w:rsidRPr="001C2E2B">
        <w:rPr>
          <w:lang w:eastAsia="fr-FR" w:bidi="fr-FR"/>
        </w:rPr>
        <w:t>toire américain et a pou</w:t>
      </w:r>
      <w:r>
        <w:rPr>
          <w:lang w:eastAsia="fr-FR" w:bidi="fr-FR"/>
        </w:rPr>
        <w:t>r mission de prévenir l’immigra</w:t>
      </w:r>
      <w:r w:rsidRPr="001C2E2B">
        <w:rPr>
          <w:lang w:eastAsia="fr-FR" w:bidi="fr-FR"/>
        </w:rPr>
        <w:t>tion</w:t>
      </w:r>
      <w:r>
        <w:t xml:space="preserve"> [205]</w:t>
      </w:r>
      <w:r w:rsidRPr="001C2E2B">
        <w:rPr>
          <w:lang w:eastAsia="fr-FR" w:bidi="fr-FR"/>
        </w:rPr>
        <w:t xml:space="preserve"> clande</w:t>
      </w:r>
      <w:r w:rsidRPr="001C2E2B">
        <w:rPr>
          <w:lang w:eastAsia="fr-FR" w:bidi="fr-FR"/>
        </w:rPr>
        <w:t>s</w:t>
      </w:r>
      <w:r w:rsidRPr="001C2E2B">
        <w:rPr>
          <w:lang w:eastAsia="fr-FR" w:bidi="fr-FR"/>
        </w:rPr>
        <w:t>tine. L’un des problème</w:t>
      </w:r>
      <w:r>
        <w:rPr>
          <w:lang w:eastAsia="fr-FR" w:bidi="fr-FR"/>
        </w:rPr>
        <w:t>s épineux est la frontière de 3 </w:t>
      </w:r>
      <w:r w:rsidRPr="001C2E2B">
        <w:rPr>
          <w:lang w:eastAsia="fr-FR" w:bidi="fr-FR"/>
        </w:rPr>
        <w:t>000 kilomètres avec le Mexique, où les agents de l’agence pourchassent et a</w:t>
      </w:r>
      <w:r w:rsidRPr="001C2E2B">
        <w:rPr>
          <w:lang w:eastAsia="fr-FR" w:bidi="fr-FR"/>
        </w:rPr>
        <w:t>r</w:t>
      </w:r>
      <w:r w:rsidRPr="001C2E2B">
        <w:rPr>
          <w:lang w:eastAsia="fr-FR" w:bidi="fr-FR"/>
        </w:rPr>
        <w:t>rêtent (en nombre infime) les immigrants illégaux.</w:t>
      </w:r>
    </w:p>
    <w:p w14:paraId="005B7B8E" w14:textId="77777777" w:rsidR="0039793A" w:rsidRPr="001C2E2B" w:rsidRDefault="0039793A" w:rsidP="0039793A">
      <w:pPr>
        <w:spacing w:before="120" w:after="120"/>
        <w:jc w:val="both"/>
      </w:pPr>
      <w:r w:rsidRPr="00DB7EE9">
        <w:rPr>
          <w:lang w:eastAsia="fr-FR" w:bidi="fr-FR"/>
        </w:rPr>
        <w:t xml:space="preserve">— </w:t>
      </w:r>
      <w:r w:rsidRPr="001C2E2B">
        <w:rPr>
          <w:lang w:eastAsia="fr-FR" w:bidi="fr-FR"/>
        </w:rPr>
        <w:t xml:space="preserve">Le département du Commerce et le représentant des </w:t>
      </w:r>
      <w:r>
        <w:rPr>
          <w:lang w:eastAsia="fr-FR" w:bidi="fr-FR"/>
        </w:rPr>
        <w:t>État</w:t>
      </w:r>
      <w:r w:rsidRPr="001C2E2B">
        <w:rPr>
          <w:lang w:eastAsia="fr-FR" w:bidi="fr-FR"/>
        </w:rPr>
        <w:t>s-Unis au commerce international (qui, lui, est à la Maison- Blanche) sont part</w:t>
      </w:r>
      <w:r w:rsidRPr="001C2E2B">
        <w:rPr>
          <w:lang w:eastAsia="fr-FR" w:bidi="fr-FR"/>
        </w:rPr>
        <w:t>i</w:t>
      </w:r>
      <w:r w:rsidRPr="001C2E2B">
        <w:rPr>
          <w:lang w:eastAsia="fr-FR" w:bidi="fr-FR"/>
        </w:rPr>
        <w:t>culièrement sollicités sur des enjeux tels que les négociations sur le libre-échange, la création de zones exemptes de barrières tarifaires et non tarifaires, le renouve</w:t>
      </w:r>
      <w:r w:rsidRPr="001C2E2B">
        <w:rPr>
          <w:lang w:eastAsia="fr-FR" w:bidi="fr-FR"/>
        </w:rPr>
        <w:t>l</w:t>
      </w:r>
      <w:r w:rsidRPr="001C2E2B">
        <w:rPr>
          <w:lang w:eastAsia="fr-FR" w:bidi="fr-FR"/>
        </w:rPr>
        <w:t xml:space="preserve">lement des accords commerciaux de </w:t>
      </w:r>
      <w:r w:rsidRPr="00DB7EE9">
        <w:rPr>
          <w:bCs/>
        </w:rPr>
        <w:t xml:space="preserve">l’OMC, </w:t>
      </w:r>
      <w:r w:rsidRPr="00DB7EE9">
        <w:rPr>
          <w:lang w:eastAsia="fr-FR" w:bidi="fr-FR"/>
        </w:rPr>
        <w:t>la promotion</w:t>
      </w:r>
      <w:r w:rsidRPr="001C2E2B">
        <w:rPr>
          <w:lang w:eastAsia="fr-FR" w:bidi="fr-FR"/>
        </w:rPr>
        <w:t xml:space="preserve"> des investissements et de l’assistance aux co</w:t>
      </w:r>
      <w:r w:rsidRPr="001C2E2B">
        <w:rPr>
          <w:lang w:eastAsia="fr-FR" w:bidi="fr-FR"/>
        </w:rPr>
        <w:t>m</w:t>
      </w:r>
      <w:r w:rsidRPr="001C2E2B">
        <w:rPr>
          <w:lang w:eastAsia="fr-FR" w:bidi="fr-FR"/>
        </w:rPr>
        <w:t>pagnies américaines. Le représentant agit en amont pour développer les polit</w:t>
      </w:r>
      <w:r w:rsidRPr="001C2E2B">
        <w:rPr>
          <w:lang w:eastAsia="fr-FR" w:bidi="fr-FR"/>
        </w:rPr>
        <w:t>i</w:t>
      </w:r>
      <w:r w:rsidRPr="001C2E2B">
        <w:rPr>
          <w:lang w:eastAsia="fr-FR" w:bidi="fr-FR"/>
        </w:rPr>
        <w:t>ques commerciales, tandis qu’en aval le département du Commerce surveille leur application. D’autres organismes jouent ég</w:t>
      </w:r>
      <w:r w:rsidRPr="001C2E2B">
        <w:rPr>
          <w:lang w:eastAsia="fr-FR" w:bidi="fr-FR"/>
        </w:rPr>
        <w:t>a</w:t>
      </w:r>
      <w:r w:rsidRPr="001C2E2B">
        <w:rPr>
          <w:lang w:eastAsia="fr-FR" w:bidi="fr-FR"/>
        </w:rPr>
        <w:t>lement un rôle dans la détermination de la politique économique i</w:t>
      </w:r>
      <w:r w:rsidRPr="001C2E2B">
        <w:rPr>
          <w:lang w:eastAsia="fr-FR" w:bidi="fr-FR"/>
        </w:rPr>
        <w:t>n</w:t>
      </w:r>
      <w:r w:rsidRPr="001C2E2B">
        <w:rPr>
          <w:lang w:eastAsia="fr-FR" w:bidi="fr-FR"/>
        </w:rPr>
        <w:t>ternationale</w:t>
      </w:r>
      <w:r w:rsidRPr="001C2E2B">
        <w:t> :</w:t>
      </w:r>
      <w:r w:rsidRPr="001C2E2B">
        <w:rPr>
          <w:lang w:eastAsia="fr-FR" w:bidi="fr-FR"/>
        </w:rPr>
        <w:t xml:space="preserve"> le Bureau des conseillers économiques du président, le Conseil de sécurité économique (institué par Clinton), la Banque i</w:t>
      </w:r>
      <w:r w:rsidRPr="001C2E2B">
        <w:rPr>
          <w:lang w:eastAsia="fr-FR" w:bidi="fr-FR"/>
        </w:rPr>
        <w:t>m</w:t>
      </w:r>
      <w:r w:rsidRPr="001C2E2B">
        <w:rPr>
          <w:lang w:eastAsia="fr-FR" w:bidi="fr-FR"/>
        </w:rPr>
        <w:t>port-export, le département de l’Agriculture, le département du Tr</w:t>
      </w:r>
      <w:r w:rsidRPr="001C2E2B">
        <w:rPr>
          <w:lang w:eastAsia="fr-FR" w:bidi="fr-FR"/>
        </w:rPr>
        <w:t>a</w:t>
      </w:r>
      <w:r w:rsidRPr="001C2E2B">
        <w:rPr>
          <w:lang w:eastAsia="fr-FR" w:bidi="fr-FR"/>
        </w:rPr>
        <w:t>vail, et la Co</w:t>
      </w:r>
      <w:r w:rsidRPr="001C2E2B">
        <w:rPr>
          <w:lang w:eastAsia="fr-FR" w:bidi="fr-FR"/>
        </w:rPr>
        <w:t>m</w:t>
      </w:r>
      <w:r w:rsidRPr="001C2E2B">
        <w:rPr>
          <w:lang w:eastAsia="fr-FR" w:bidi="fr-FR"/>
        </w:rPr>
        <w:t>mission du commerce international. Tous ces acteurs, à un titre ou un autre, influencent la politique étrangère en liant les e</w:t>
      </w:r>
      <w:r w:rsidRPr="001C2E2B">
        <w:rPr>
          <w:lang w:eastAsia="fr-FR" w:bidi="fr-FR"/>
        </w:rPr>
        <w:t>n</w:t>
      </w:r>
      <w:r w:rsidRPr="001C2E2B">
        <w:rPr>
          <w:lang w:eastAsia="fr-FR" w:bidi="fr-FR"/>
        </w:rPr>
        <w:t>jeux économ</w:t>
      </w:r>
      <w:r w:rsidRPr="001C2E2B">
        <w:rPr>
          <w:lang w:eastAsia="fr-FR" w:bidi="fr-FR"/>
        </w:rPr>
        <w:t>i</w:t>
      </w:r>
      <w:r w:rsidRPr="001C2E2B">
        <w:rPr>
          <w:lang w:eastAsia="fr-FR" w:bidi="fr-FR"/>
        </w:rPr>
        <w:t>ques aux intérêts stratégiques américains.</w:t>
      </w:r>
    </w:p>
    <w:p w14:paraId="509F9D53" w14:textId="77777777" w:rsidR="0039793A" w:rsidRPr="001C2E2B" w:rsidRDefault="0039793A" w:rsidP="0039793A">
      <w:pPr>
        <w:spacing w:before="120" w:after="120"/>
        <w:jc w:val="both"/>
      </w:pPr>
      <w:r w:rsidRPr="00DB7EE9">
        <w:rPr>
          <w:lang w:eastAsia="fr-FR" w:bidi="fr-FR"/>
        </w:rPr>
        <w:t xml:space="preserve">— </w:t>
      </w:r>
      <w:r w:rsidRPr="001C2E2B">
        <w:rPr>
          <w:lang w:eastAsia="fr-FR" w:bidi="fr-FR"/>
        </w:rPr>
        <w:t>Le département de l’Énergie est responsable des plans de dév</w:t>
      </w:r>
      <w:r w:rsidRPr="001C2E2B">
        <w:rPr>
          <w:lang w:eastAsia="fr-FR" w:bidi="fr-FR"/>
        </w:rPr>
        <w:t>e</w:t>
      </w:r>
      <w:r w:rsidRPr="001C2E2B">
        <w:rPr>
          <w:lang w:eastAsia="fr-FR" w:bidi="fr-FR"/>
        </w:rPr>
        <w:t>loppement et de conservation des ressources énergétiques américa</w:t>
      </w:r>
      <w:r w:rsidRPr="001C2E2B">
        <w:rPr>
          <w:lang w:eastAsia="fr-FR" w:bidi="fr-FR"/>
        </w:rPr>
        <w:t>i</w:t>
      </w:r>
      <w:r w:rsidRPr="001C2E2B">
        <w:rPr>
          <w:lang w:eastAsia="fr-FR" w:bidi="fr-FR"/>
        </w:rPr>
        <w:t>nes, notamment pétrolières. Il est aussi chargé de la gestion de l’Énergie nucléaire, et à ce titre, des matériaux fissiles et des labor</w:t>
      </w:r>
      <w:r w:rsidRPr="001C2E2B">
        <w:rPr>
          <w:lang w:eastAsia="fr-FR" w:bidi="fr-FR"/>
        </w:rPr>
        <w:t>a</w:t>
      </w:r>
      <w:r w:rsidRPr="001C2E2B">
        <w:rPr>
          <w:lang w:eastAsia="fr-FR" w:bidi="fr-FR"/>
        </w:rPr>
        <w:t>toires qui œuvrent à la fabrication des armes nucléaires (en étroite co</w:t>
      </w:r>
      <w:r w:rsidRPr="001C2E2B">
        <w:rPr>
          <w:lang w:eastAsia="fr-FR" w:bidi="fr-FR"/>
        </w:rPr>
        <w:t>l</w:t>
      </w:r>
      <w:r w:rsidRPr="001C2E2B">
        <w:rPr>
          <w:lang w:eastAsia="fr-FR" w:bidi="fr-FR"/>
        </w:rPr>
        <w:t>laboration avec le département de la Défense ainsi qu’avec l’Agence internati</w:t>
      </w:r>
      <w:r w:rsidRPr="001C2E2B">
        <w:rPr>
          <w:lang w:eastAsia="fr-FR" w:bidi="fr-FR"/>
        </w:rPr>
        <w:t>o</w:t>
      </w:r>
      <w:r w:rsidRPr="001C2E2B">
        <w:rPr>
          <w:lang w:eastAsia="fr-FR" w:bidi="fr-FR"/>
        </w:rPr>
        <w:t>nale pour l’Énergie atomique).</w:t>
      </w:r>
    </w:p>
    <w:p w14:paraId="16634F79" w14:textId="77777777" w:rsidR="0039793A" w:rsidRPr="001C2E2B" w:rsidRDefault="0039793A" w:rsidP="0039793A">
      <w:pPr>
        <w:spacing w:before="120" w:after="120"/>
        <w:jc w:val="both"/>
      </w:pPr>
      <w:r w:rsidRPr="001C2E2B">
        <w:rPr>
          <w:lang w:eastAsia="fr-FR" w:bidi="fr-FR"/>
        </w:rPr>
        <w:t>Dans le cas de ces départements et agences, on peut observer les mêmes phénomènes que ceux qui affectent les acteurs plus traditio</w:t>
      </w:r>
      <w:r w:rsidRPr="001C2E2B">
        <w:rPr>
          <w:lang w:eastAsia="fr-FR" w:bidi="fr-FR"/>
        </w:rPr>
        <w:t>n</w:t>
      </w:r>
      <w:r w:rsidRPr="001C2E2B">
        <w:rPr>
          <w:lang w:eastAsia="fr-FR" w:bidi="fr-FR"/>
        </w:rPr>
        <w:t>nels. Il y a également une culture organisationnelle bien impla</w:t>
      </w:r>
      <w:r w:rsidRPr="001C2E2B">
        <w:rPr>
          <w:lang w:eastAsia="fr-FR" w:bidi="fr-FR"/>
        </w:rPr>
        <w:t>n</w:t>
      </w:r>
      <w:r w:rsidRPr="001C2E2B">
        <w:rPr>
          <w:lang w:eastAsia="fr-FR" w:bidi="fr-FR"/>
        </w:rPr>
        <w:t>tée et des rivalités interdépartementales marquées. On note souvent des c</w:t>
      </w:r>
      <w:r w:rsidRPr="001C2E2B">
        <w:rPr>
          <w:lang w:eastAsia="fr-FR" w:bidi="fr-FR"/>
        </w:rPr>
        <w:t>a</w:t>
      </w:r>
      <w:r w:rsidRPr="001C2E2B">
        <w:rPr>
          <w:lang w:eastAsia="fr-FR" w:bidi="fr-FR"/>
        </w:rPr>
        <w:t>rences sur le plan de la coordination et l’absence de planification pour concilier les objectifs divergents. Mais ceci est vrai de toute la form</w:t>
      </w:r>
      <w:r w:rsidRPr="001C2E2B">
        <w:rPr>
          <w:lang w:eastAsia="fr-FR" w:bidi="fr-FR"/>
        </w:rPr>
        <w:t>u</w:t>
      </w:r>
      <w:r w:rsidRPr="001C2E2B">
        <w:rPr>
          <w:lang w:eastAsia="fr-FR" w:bidi="fr-FR"/>
        </w:rPr>
        <w:t>lation de la politique étrangère américaine.</w:t>
      </w:r>
    </w:p>
    <w:p w14:paraId="7AECA068" w14:textId="77777777" w:rsidR="0039793A" w:rsidRDefault="0039793A" w:rsidP="0039793A">
      <w:pPr>
        <w:spacing w:before="120" w:after="120"/>
        <w:jc w:val="both"/>
      </w:pPr>
      <w:r>
        <w:t>[206]</w:t>
      </w:r>
    </w:p>
    <w:p w14:paraId="62D2B29C" w14:textId="77777777" w:rsidR="0039793A" w:rsidRDefault="0039793A" w:rsidP="0039793A">
      <w:pPr>
        <w:spacing w:before="120" w:after="120"/>
        <w:jc w:val="both"/>
      </w:pPr>
    </w:p>
    <w:p w14:paraId="481AFC30" w14:textId="77777777" w:rsidR="0039793A" w:rsidRPr="00772BCB" w:rsidRDefault="0039793A" w:rsidP="0039793A">
      <w:pPr>
        <w:pStyle w:val="planche"/>
      </w:pPr>
      <w:bookmarkStart w:id="27" w:name="Pol_EU_pt_2_chap_06_4"/>
      <w:r w:rsidRPr="00772BCB">
        <w:rPr>
          <w:lang w:eastAsia="fr-FR" w:bidi="fr-FR"/>
        </w:rPr>
        <w:t>L’impact du jeu bureaucratique</w:t>
      </w:r>
      <w:r>
        <w:rPr>
          <w:lang w:eastAsia="fr-FR" w:bidi="fr-FR"/>
        </w:rPr>
        <w:br/>
      </w:r>
      <w:r w:rsidRPr="00772BCB">
        <w:rPr>
          <w:lang w:eastAsia="fr-FR" w:bidi="fr-FR"/>
        </w:rPr>
        <w:t>sur la prise de décision</w:t>
      </w:r>
    </w:p>
    <w:bookmarkEnd w:id="27"/>
    <w:p w14:paraId="4E499E65" w14:textId="77777777" w:rsidR="0039793A" w:rsidRDefault="0039793A" w:rsidP="0039793A">
      <w:pPr>
        <w:spacing w:before="120" w:after="120"/>
        <w:jc w:val="both"/>
      </w:pPr>
    </w:p>
    <w:p w14:paraId="794E642D"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4F660A3B" w14:textId="77777777" w:rsidR="0039793A" w:rsidRPr="001C2E2B" w:rsidRDefault="0039793A" w:rsidP="0039793A">
      <w:pPr>
        <w:spacing w:before="120" w:after="120"/>
        <w:jc w:val="both"/>
      </w:pPr>
      <w:r w:rsidRPr="001C2E2B">
        <w:t>« </w:t>
      </w:r>
      <w:r w:rsidRPr="001C2E2B">
        <w:rPr>
          <w:lang w:eastAsia="fr-FR" w:bidi="fr-FR"/>
        </w:rPr>
        <w:t>L’une des choses à endurer lorsqu’on est président, racontait R</w:t>
      </w:r>
      <w:r w:rsidRPr="001C2E2B">
        <w:rPr>
          <w:lang w:eastAsia="fr-FR" w:bidi="fr-FR"/>
        </w:rPr>
        <w:t>o</w:t>
      </w:r>
      <w:r w:rsidRPr="001C2E2B">
        <w:rPr>
          <w:lang w:eastAsia="fr-FR" w:bidi="fr-FR"/>
        </w:rPr>
        <w:t>nald Reagan, est de savoir que vous êtes entourés par une structure qui vous résiste en permanence</w:t>
      </w:r>
      <w:r>
        <w:rPr>
          <w:lang w:eastAsia="fr-FR" w:bidi="fr-FR"/>
        </w:rPr>
        <w:t> </w:t>
      </w:r>
      <w:r>
        <w:rPr>
          <w:rStyle w:val="Appelnotedebasdep"/>
          <w:lang w:eastAsia="fr-FR" w:bidi="fr-FR"/>
        </w:rPr>
        <w:footnoteReference w:id="446"/>
      </w:r>
      <w:r w:rsidRPr="001C2E2B">
        <w:rPr>
          <w:lang w:eastAsia="fr-FR" w:bidi="fr-FR"/>
        </w:rPr>
        <w:t>.</w:t>
      </w:r>
      <w:r w:rsidRPr="001C2E2B">
        <w:t> »</w:t>
      </w:r>
      <w:r w:rsidRPr="001C2E2B">
        <w:rPr>
          <w:lang w:eastAsia="fr-FR" w:bidi="fr-FR"/>
        </w:rPr>
        <w:t xml:space="preserve"> On ne peut mieux résumer la sign</w:t>
      </w:r>
      <w:r w:rsidRPr="001C2E2B">
        <w:rPr>
          <w:lang w:eastAsia="fr-FR" w:bidi="fr-FR"/>
        </w:rPr>
        <w:t>i</w:t>
      </w:r>
      <w:r w:rsidRPr="001C2E2B">
        <w:rPr>
          <w:lang w:eastAsia="fr-FR" w:bidi="fr-FR"/>
        </w:rPr>
        <w:t>fication et la portée de la culture bureaucrat</w:t>
      </w:r>
      <w:r w:rsidRPr="001C2E2B">
        <w:rPr>
          <w:lang w:eastAsia="fr-FR" w:bidi="fr-FR"/>
        </w:rPr>
        <w:t>i</w:t>
      </w:r>
      <w:r w:rsidRPr="001C2E2B">
        <w:rPr>
          <w:lang w:eastAsia="fr-FR" w:bidi="fr-FR"/>
        </w:rPr>
        <w:t>que. Déjà F.D. Roosevelt, à titre de secrétaire de la Marine dans les années 1920, disait que vo</w:t>
      </w:r>
      <w:r w:rsidRPr="001C2E2B">
        <w:rPr>
          <w:lang w:eastAsia="fr-FR" w:bidi="fr-FR"/>
        </w:rPr>
        <w:t>u</w:t>
      </w:r>
      <w:r w:rsidRPr="001C2E2B">
        <w:rPr>
          <w:lang w:eastAsia="fr-FR" w:bidi="fr-FR"/>
        </w:rPr>
        <w:t>loir changer la bureaucratie revenait à se battre avec un oreiller</w:t>
      </w:r>
      <w:r w:rsidRPr="001C2E2B">
        <w:t> :</w:t>
      </w:r>
      <w:r w:rsidRPr="001C2E2B">
        <w:rPr>
          <w:lang w:eastAsia="fr-FR" w:bidi="fr-FR"/>
        </w:rPr>
        <w:t xml:space="preserve"> ma</w:t>
      </w:r>
      <w:r w:rsidRPr="001C2E2B">
        <w:rPr>
          <w:lang w:eastAsia="fr-FR" w:bidi="fr-FR"/>
        </w:rPr>
        <w:t>l</w:t>
      </w:r>
      <w:r w:rsidRPr="001C2E2B">
        <w:rPr>
          <w:lang w:eastAsia="fr-FR" w:bidi="fr-FR"/>
        </w:rPr>
        <w:t>gré tous les coups que l’on peut lui asséner elle revient toujours à sa forme initiale</w:t>
      </w:r>
      <w:r>
        <w:rPr>
          <w:lang w:eastAsia="fr-FR" w:bidi="fr-FR"/>
        </w:rPr>
        <w:t> </w:t>
      </w:r>
      <w:r>
        <w:rPr>
          <w:rStyle w:val="Appelnotedebasdep"/>
          <w:lang w:eastAsia="fr-FR" w:bidi="fr-FR"/>
        </w:rPr>
        <w:footnoteReference w:id="447"/>
      </w:r>
      <w:r w:rsidRPr="001C2E2B">
        <w:t> !</w:t>
      </w:r>
      <w:r w:rsidRPr="001C2E2B">
        <w:rPr>
          <w:lang w:eastAsia="fr-FR" w:bidi="fr-FR"/>
        </w:rPr>
        <w:t xml:space="preserve"> La politique étrangère n’échappe pas à cette te</w:t>
      </w:r>
      <w:r w:rsidRPr="001C2E2B">
        <w:rPr>
          <w:lang w:eastAsia="fr-FR" w:bidi="fr-FR"/>
        </w:rPr>
        <w:t>n</w:t>
      </w:r>
      <w:r w:rsidRPr="001C2E2B">
        <w:rPr>
          <w:lang w:eastAsia="fr-FR" w:bidi="fr-FR"/>
        </w:rPr>
        <w:t>dance. D’une part, elle est souvent le résultat d’une compétition âpre entre départements et agences pour le contrôle des missions, des bu</w:t>
      </w:r>
      <w:r w:rsidRPr="001C2E2B">
        <w:rPr>
          <w:lang w:eastAsia="fr-FR" w:bidi="fr-FR"/>
        </w:rPr>
        <w:t>d</w:t>
      </w:r>
      <w:r w:rsidRPr="001C2E2B">
        <w:rPr>
          <w:lang w:eastAsia="fr-FR" w:bidi="fr-FR"/>
        </w:rPr>
        <w:t>gets et des structures décisionnelles. D’autre part, elle est le produit des expertises organisationnelles et des analyses propres à chaque d</w:t>
      </w:r>
      <w:r w:rsidRPr="001C2E2B">
        <w:rPr>
          <w:lang w:eastAsia="fr-FR" w:bidi="fr-FR"/>
        </w:rPr>
        <w:t>é</w:t>
      </w:r>
      <w:r w:rsidRPr="001C2E2B">
        <w:rPr>
          <w:lang w:eastAsia="fr-FR" w:bidi="fr-FR"/>
        </w:rPr>
        <w:t>pa</w:t>
      </w:r>
      <w:r w:rsidRPr="001C2E2B">
        <w:rPr>
          <w:lang w:eastAsia="fr-FR" w:bidi="fr-FR"/>
        </w:rPr>
        <w:t>r</w:t>
      </w:r>
      <w:r w:rsidRPr="001C2E2B">
        <w:rPr>
          <w:lang w:eastAsia="fr-FR" w:bidi="fr-FR"/>
        </w:rPr>
        <w:t>tement, dont dépendent les décideurs pour fonder leurs prises de déc</w:t>
      </w:r>
      <w:r w:rsidRPr="001C2E2B">
        <w:rPr>
          <w:lang w:eastAsia="fr-FR" w:bidi="fr-FR"/>
        </w:rPr>
        <w:t>i</w:t>
      </w:r>
      <w:r w:rsidRPr="001C2E2B">
        <w:rPr>
          <w:lang w:eastAsia="fr-FR" w:bidi="fr-FR"/>
        </w:rPr>
        <w:t>sion. À l’inverse de ce que l’on observe en matière de politique intérieure, ces expertises, surtout dans le domaine de la sécurité nati</w:t>
      </w:r>
      <w:r w:rsidRPr="001C2E2B">
        <w:rPr>
          <w:lang w:eastAsia="fr-FR" w:bidi="fr-FR"/>
        </w:rPr>
        <w:t>o</w:t>
      </w:r>
      <w:r w:rsidRPr="001C2E2B">
        <w:rPr>
          <w:lang w:eastAsia="fr-FR" w:bidi="fr-FR"/>
        </w:rPr>
        <w:t>nale, ne retiennent que ponctuellement l’attention des lég</w:t>
      </w:r>
      <w:r w:rsidRPr="001C2E2B">
        <w:rPr>
          <w:lang w:eastAsia="fr-FR" w:bidi="fr-FR"/>
        </w:rPr>
        <w:t>i</w:t>
      </w:r>
      <w:r w:rsidRPr="001C2E2B">
        <w:rPr>
          <w:lang w:eastAsia="fr-FR" w:bidi="fr-FR"/>
        </w:rPr>
        <w:t>slateurs, des groupes d’intérêt et de l’opinion p</w:t>
      </w:r>
      <w:r w:rsidRPr="001C2E2B">
        <w:rPr>
          <w:lang w:eastAsia="fr-FR" w:bidi="fr-FR"/>
        </w:rPr>
        <w:t>u</w:t>
      </w:r>
      <w:r w:rsidRPr="001C2E2B">
        <w:rPr>
          <w:lang w:eastAsia="fr-FR" w:bidi="fr-FR"/>
        </w:rPr>
        <w:t>blique. Amy Zegart affirme même qu’elles servent rarement l’intérêt national, voire même l’intérêt du président</w:t>
      </w:r>
      <w:r>
        <w:rPr>
          <w:lang w:eastAsia="fr-FR" w:bidi="fr-FR"/>
        </w:rPr>
        <w:t> </w:t>
      </w:r>
      <w:r>
        <w:rPr>
          <w:rStyle w:val="Appelnotedebasdep"/>
          <w:lang w:eastAsia="fr-FR" w:bidi="fr-FR"/>
        </w:rPr>
        <w:footnoteReference w:id="448"/>
      </w:r>
      <w:r w:rsidRPr="001C2E2B">
        <w:rPr>
          <w:lang w:eastAsia="fr-FR" w:bidi="fr-FR"/>
        </w:rPr>
        <w:t>. Autrement dit, le système des poids et contrepoids reste cantonné au seul appareil exéc</w:t>
      </w:r>
      <w:r w:rsidRPr="001C2E2B">
        <w:rPr>
          <w:lang w:eastAsia="fr-FR" w:bidi="fr-FR"/>
        </w:rPr>
        <w:t>u</w:t>
      </w:r>
      <w:r w:rsidRPr="001C2E2B">
        <w:rPr>
          <w:lang w:eastAsia="fr-FR" w:bidi="fr-FR"/>
        </w:rPr>
        <w:t>tif, et ce pour quatre raisons</w:t>
      </w:r>
      <w:r>
        <w:rPr>
          <w:lang w:eastAsia="fr-FR" w:bidi="fr-FR"/>
        </w:rPr>
        <w:t> </w:t>
      </w:r>
      <w:r>
        <w:rPr>
          <w:rStyle w:val="Appelnotedebasdep"/>
          <w:lang w:eastAsia="fr-FR" w:bidi="fr-FR"/>
        </w:rPr>
        <w:footnoteReference w:id="449"/>
      </w:r>
      <w:r w:rsidRPr="001C2E2B">
        <w:t> :</w:t>
      </w:r>
    </w:p>
    <w:p w14:paraId="18A36B41" w14:textId="77777777" w:rsidR="0039793A" w:rsidRPr="001C2E2B" w:rsidRDefault="0039793A" w:rsidP="0039793A">
      <w:pPr>
        <w:spacing w:before="120" w:after="120"/>
        <w:jc w:val="both"/>
      </w:pPr>
      <w:r w:rsidRPr="00DB7EE9">
        <w:rPr>
          <w:lang w:eastAsia="fr-FR" w:bidi="fr-FR"/>
        </w:rPr>
        <w:t xml:space="preserve">— </w:t>
      </w:r>
      <w:r w:rsidRPr="001C2E2B">
        <w:rPr>
          <w:lang w:eastAsia="fr-FR" w:bidi="fr-FR"/>
        </w:rPr>
        <w:t>Chaque organisation promeut son point de vue, et non celui di</w:t>
      </w:r>
      <w:r w:rsidRPr="001C2E2B">
        <w:rPr>
          <w:lang w:eastAsia="fr-FR" w:bidi="fr-FR"/>
        </w:rPr>
        <w:t>c</w:t>
      </w:r>
      <w:r w:rsidRPr="001C2E2B">
        <w:rPr>
          <w:lang w:eastAsia="fr-FR" w:bidi="fr-FR"/>
        </w:rPr>
        <w:t>té par l’intérêt national. Gén</w:t>
      </w:r>
      <w:r w:rsidRPr="001C2E2B">
        <w:rPr>
          <w:lang w:eastAsia="fr-FR" w:bidi="fr-FR"/>
        </w:rPr>
        <w:t>é</w:t>
      </w:r>
      <w:r w:rsidRPr="001C2E2B">
        <w:rPr>
          <w:lang w:eastAsia="fr-FR" w:bidi="fr-FR"/>
        </w:rPr>
        <w:t>ralement, l’intérêt de l’organisation est d’accroître ses ressources, ses budgets, son personnel et son influence — donnant lieu à des querelles de juridictions, surtout dans le doma</w:t>
      </w:r>
      <w:r w:rsidRPr="001C2E2B">
        <w:rPr>
          <w:lang w:eastAsia="fr-FR" w:bidi="fr-FR"/>
        </w:rPr>
        <w:t>i</w:t>
      </w:r>
      <w:r w:rsidRPr="001C2E2B">
        <w:rPr>
          <w:lang w:eastAsia="fr-FR" w:bidi="fr-FR"/>
        </w:rPr>
        <w:t>ne des affaires étrangères où les sphères de compétence et d’influence des bureaucraties tendent à se superp</w:t>
      </w:r>
      <w:r w:rsidRPr="001C2E2B">
        <w:rPr>
          <w:lang w:eastAsia="fr-FR" w:bidi="fr-FR"/>
        </w:rPr>
        <w:t>o</w:t>
      </w:r>
      <w:r w:rsidRPr="001C2E2B">
        <w:rPr>
          <w:lang w:eastAsia="fr-FR" w:bidi="fr-FR"/>
        </w:rPr>
        <w:t>ser. Qui est responsable du contrôle des arme</w:t>
      </w:r>
      <w:r>
        <w:rPr>
          <w:lang w:eastAsia="fr-FR" w:bidi="fr-FR"/>
        </w:rPr>
        <w:t>ments, le Dépar</w:t>
      </w:r>
      <w:r w:rsidRPr="001C2E2B">
        <w:rPr>
          <w:lang w:eastAsia="fr-FR" w:bidi="fr-FR"/>
        </w:rPr>
        <w:t xml:space="preserve">tement </w:t>
      </w:r>
      <w:r>
        <w:t xml:space="preserve"> [207]</w:t>
      </w:r>
      <w:r w:rsidRPr="001C2E2B">
        <w:rPr>
          <w:lang w:eastAsia="fr-FR" w:bidi="fr-FR"/>
        </w:rPr>
        <w:t>d’État ou de la Défe</w:t>
      </w:r>
      <w:r w:rsidRPr="001C2E2B">
        <w:rPr>
          <w:lang w:eastAsia="fr-FR" w:bidi="fr-FR"/>
        </w:rPr>
        <w:t>n</w:t>
      </w:r>
      <w:r w:rsidRPr="001C2E2B">
        <w:rPr>
          <w:lang w:eastAsia="fr-FR" w:bidi="fr-FR"/>
        </w:rPr>
        <w:t>se</w:t>
      </w:r>
      <w:r w:rsidRPr="001C2E2B">
        <w:t> ?</w:t>
      </w:r>
      <w:r w:rsidRPr="001C2E2B">
        <w:rPr>
          <w:lang w:eastAsia="fr-FR" w:bidi="fr-FR"/>
        </w:rPr>
        <w:t xml:space="preserve"> Qui s’occupe des opérations sp</w:t>
      </w:r>
      <w:r w:rsidRPr="001C2E2B">
        <w:rPr>
          <w:lang w:eastAsia="fr-FR" w:bidi="fr-FR"/>
        </w:rPr>
        <w:t>é</w:t>
      </w:r>
      <w:r w:rsidRPr="001C2E2B">
        <w:rPr>
          <w:lang w:eastAsia="fr-FR" w:bidi="fr-FR"/>
        </w:rPr>
        <w:t>ciales</w:t>
      </w:r>
      <w:r w:rsidRPr="00DB7EE9">
        <w:rPr>
          <w:lang w:eastAsia="fr-FR" w:bidi="fr-FR"/>
        </w:rPr>
        <w:t xml:space="preserve">, la </w:t>
      </w:r>
      <w:r w:rsidRPr="00DB7EE9">
        <w:rPr>
          <w:bCs/>
        </w:rPr>
        <w:t xml:space="preserve">CIA </w:t>
      </w:r>
      <w:r w:rsidRPr="00DB7EE9">
        <w:rPr>
          <w:lang w:eastAsia="fr-FR" w:bidi="fr-FR"/>
        </w:rPr>
        <w:t xml:space="preserve">ou le Pentagone ? Qui évalue les menaces : la </w:t>
      </w:r>
      <w:r w:rsidRPr="00DB7EE9">
        <w:rPr>
          <w:bCs/>
        </w:rPr>
        <w:t xml:space="preserve">CIA, </w:t>
      </w:r>
      <w:r w:rsidRPr="00DB7EE9">
        <w:rPr>
          <w:lang w:eastAsia="fr-FR" w:bidi="fr-FR"/>
        </w:rPr>
        <w:t xml:space="preserve">la </w:t>
      </w:r>
      <w:r w:rsidRPr="00DB7EE9">
        <w:rPr>
          <w:bCs/>
        </w:rPr>
        <w:t xml:space="preserve">DIA </w:t>
      </w:r>
      <w:r w:rsidRPr="00DB7EE9">
        <w:rPr>
          <w:lang w:eastAsia="fr-FR" w:bidi="fr-FR"/>
        </w:rPr>
        <w:t xml:space="preserve">ou </w:t>
      </w:r>
      <w:r>
        <w:rPr>
          <w:bCs/>
        </w:rPr>
        <w:t>l’I</w:t>
      </w:r>
      <w:r w:rsidRPr="00DB7EE9">
        <w:rPr>
          <w:bCs/>
        </w:rPr>
        <w:t>NR ?</w:t>
      </w:r>
      <w:r w:rsidRPr="00DB7EE9">
        <w:rPr>
          <w:lang w:eastAsia="fr-FR" w:bidi="fr-FR"/>
        </w:rPr>
        <w:t xml:space="preserve"> Qui</w:t>
      </w:r>
      <w:r w:rsidRPr="001C2E2B">
        <w:rPr>
          <w:lang w:eastAsia="fr-FR" w:bidi="fr-FR"/>
        </w:rPr>
        <w:t xml:space="preserve"> est respons</w:t>
      </w:r>
      <w:r w:rsidRPr="001C2E2B">
        <w:rPr>
          <w:lang w:eastAsia="fr-FR" w:bidi="fr-FR"/>
        </w:rPr>
        <w:t>a</w:t>
      </w:r>
      <w:r w:rsidRPr="001C2E2B">
        <w:rPr>
          <w:lang w:eastAsia="fr-FR" w:bidi="fr-FR"/>
        </w:rPr>
        <w:t>ble des missions de paix</w:t>
      </w:r>
      <w:r w:rsidRPr="001C2E2B">
        <w:t> :</w:t>
      </w:r>
      <w:r w:rsidRPr="001C2E2B">
        <w:rPr>
          <w:lang w:eastAsia="fr-FR" w:bidi="fr-FR"/>
        </w:rPr>
        <w:t xml:space="preserve"> le Département d’État, de la Défense ou de la Ju</w:t>
      </w:r>
      <w:r w:rsidRPr="001C2E2B">
        <w:rPr>
          <w:lang w:eastAsia="fr-FR" w:bidi="fr-FR"/>
        </w:rPr>
        <w:t>s</w:t>
      </w:r>
      <w:r w:rsidRPr="001C2E2B">
        <w:rPr>
          <w:lang w:eastAsia="fr-FR" w:bidi="fr-FR"/>
        </w:rPr>
        <w:t>tice</w:t>
      </w:r>
      <w:r w:rsidRPr="001C2E2B">
        <w:t> ?</w:t>
      </w:r>
      <w:r w:rsidRPr="001C2E2B">
        <w:rPr>
          <w:lang w:eastAsia="fr-FR" w:bidi="fr-FR"/>
        </w:rPr>
        <w:t xml:space="preserve"> Qui décide d’autoriser l’exportation </w:t>
      </w:r>
      <w:r>
        <w:rPr>
          <w:lang w:eastAsia="fr-FR" w:bidi="fr-FR"/>
        </w:rPr>
        <w:t>d’une marchandise vers un État p</w:t>
      </w:r>
      <w:r w:rsidRPr="001C2E2B">
        <w:rPr>
          <w:lang w:eastAsia="fr-FR" w:bidi="fr-FR"/>
        </w:rPr>
        <w:t>aria</w:t>
      </w:r>
      <w:r w:rsidRPr="001C2E2B">
        <w:t> :</w:t>
      </w:r>
      <w:r w:rsidRPr="001C2E2B">
        <w:rPr>
          <w:lang w:eastAsia="fr-FR" w:bidi="fr-FR"/>
        </w:rPr>
        <w:t xml:space="preserve"> le Département d’État, de la Défense ou du Co</w:t>
      </w:r>
      <w:r w:rsidRPr="001C2E2B">
        <w:rPr>
          <w:lang w:eastAsia="fr-FR" w:bidi="fr-FR"/>
        </w:rPr>
        <w:t>m</w:t>
      </w:r>
      <w:r w:rsidRPr="001C2E2B">
        <w:rPr>
          <w:lang w:eastAsia="fr-FR" w:bidi="fr-FR"/>
        </w:rPr>
        <w:t>merce</w:t>
      </w:r>
      <w:r w:rsidRPr="001C2E2B">
        <w:t> ?</w:t>
      </w:r>
      <w:r w:rsidRPr="001C2E2B">
        <w:rPr>
          <w:lang w:eastAsia="fr-FR" w:bidi="fr-FR"/>
        </w:rPr>
        <w:t xml:space="preserve"> À cela, il faut ajouter que les administrations résistent aux redéfinitions de leurs missions et aux volontés de changement. Les restructurations, comme celles de la sécurité intérieure ou de la sécur</w:t>
      </w:r>
      <w:r w:rsidRPr="001C2E2B">
        <w:rPr>
          <w:lang w:eastAsia="fr-FR" w:bidi="fr-FR"/>
        </w:rPr>
        <w:t>i</w:t>
      </w:r>
      <w:r w:rsidRPr="001C2E2B">
        <w:rPr>
          <w:lang w:eastAsia="fr-FR" w:bidi="fr-FR"/>
        </w:rPr>
        <w:t>té nationale qui l’a pr</w:t>
      </w:r>
      <w:r w:rsidRPr="001C2E2B">
        <w:rPr>
          <w:lang w:eastAsia="fr-FR" w:bidi="fr-FR"/>
        </w:rPr>
        <w:t>é</w:t>
      </w:r>
      <w:r w:rsidRPr="001C2E2B">
        <w:rPr>
          <w:lang w:eastAsia="fr-FR" w:bidi="fr-FR"/>
        </w:rPr>
        <w:t>cédée, sont là pour en témoigner.</w:t>
      </w:r>
    </w:p>
    <w:p w14:paraId="50564CB7" w14:textId="77777777" w:rsidR="0039793A" w:rsidRPr="001C2E2B" w:rsidRDefault="0039793A" w:rsidP="0039793A">
      <w:pPr>
        <w:spacing w:before="120" w:after="120"/>
        <w:jc w:val="both"/>
      </w:pPr>
      <w:r w:rsidRPr="00DB7EE9">
        <w:rPr>
          <w:lang w:eastAsia="fr-FR" w:bidi="fr-FR"/>
        </w:rPr>
        <w:t xml:space="preserve">— </w:t>
      </w:r>
      <w:r w:rsidRPr="001C2E2B">
        <w:rPr>
          <w:lang w:eastAsia="fr-FR" w:bidi="fr-FR"/>
        </w:rPr>
        <w:t>Les prises de position sont déterminées par la vision organis</w:t>
      </w:r>
      <w:r w:rsidRPr="001C2E2B">
        <w:rPr>
          <w:lang w:eastAsia="fr-FR" w:bidi="fr-FR"/>
        </w:rPr>
        <w:t>a</w:t>
      </w:r>
      <w:r w:rsidRPr="001C2E2B">
        <w:rPr>
          <w:lang w:eastAsia="fr-FR" w:bidi="fr-FR"/>
        </w:rPr>
        <w:t>tio</w:t>
      </w:r>
      <w:r w:rsidRPr="001C2E2B">
        <w:rPr>
          <w:lang w:eastAsia="fr-FR" w:bidi="fr-FR"/>
        </w:rPr>
        <w:t>n</w:t>
      </w:r>
      <w:r w:rsidRPr="001C2E2B">
        <w:rPr>
          <w:lang w:eastAsia="fr-FR" w:bidi="fr-FR"/>
        </w:rPr>
        <w:t>nelle</w:t>
      </w:r>
      <w:r w:rsidRPr="001C2E2B">
        <w:t> :</w:t>
      </w:r>
      <w:r w:rsidRPr="001C2E2B">
        <w:rPr>
          <w:lang w:eastAsia="fr-FR" w:bidi="fr-FR"/>
        </w:rPr>
        <w:t xml:space="preserve"> selon la phrase célèbre de Graham Allison, </w:t>
      </w:r>
      <w:r w:rsidRPr="001C2E2B">
        <w:t>« </w:t>
      </w:r>
      <w:r w:rsidRPr="001C2E2B">
        <w:rPr>
          <w:lang w:eastAsia="fr-FR" w:bidi="fr-FR"/>
        </w:rPr>
        <w:t>where you stand dépends on where you sit</w:t>
      </w:r>
      <w:r>
        <w:rPr>
          <w:lang w:eastAsia="fr-FR" w:bidi="fr-FR"/>
        </w:rPr>
        <w:t> </w:t>
      </w:r>
      <w:r>
        <w:rPr>
          <w:rStyle w:val="Appelnotedebasdep"/>
          <w:lang w:eastAsia="fr-FR" w:bidi="fr-FR"/>
        </w:rPr>
        <w:footnoteReference w:id="450"/>
      </w:r>
      <w:r w:rsidRPr="001C2E2B">
        <w:t> »</w:t>
      </w:r>
      <w:r w:rsidRPr="001C2E2B">
        <w:rPr>
          <w:lang w:eastAsia="fr-FR" w:bidi="fr-FR"/>
        </w:rPr>
        <w:t>. C’est ce qui fonde les interm</w:t>
      </w:r>
      <w:r w:rsidRPr="001C2E2B">
        <w:rPr>
          <w:lang w:eastAsia="fr-FR" w:bidi="fr-FR"/>
        </w:rPr>
        <w:t>i</w:t>
      </w:r>
      <w:r w:rsidRPr="001C2E2B">
        <w:rPr>
          <w:lang w:eastAsia="fr-FR" w:bidi="fr-FR"/>
        </w:rPr>
        <w:t>nables disputes entre bureaucraties</w:t>
      </w:r>
      <w:r w:rsidRPr="001C2E2B">
        <w:t> :</w:t>
      </w:r>
      <w:r w:rsidRPr="001C2E2B">
        <w:rPr>
          <w:lang w:eastAsia="fr-FR" w:bidi="fr-FR"/>
        </w:rPr>
        <w:t xml:space="preserve"> par exemple, le Pentagone favor</w:t>
      </w:r>
      <w:r w:rsidRPr="001C2E2B">
        <w:rPr>
          <w:lang w:eastAsia="fr-FR" w:bidi="fr-FR"/>
        </w:rPr>
        <w:t>i</w:t>
      </w:r>
      <w:r w:rsidRPr="001C2E2B">
        <w:rPr>
          <w:lang w:eastAsia="fr-FR" w:bidi="fr-FR"/>
        </w:rPr>
        <w:t>se les moyens militaires, le Département d’État la diplomatie, le d</w:t>
      </w:r>
      <w:r w:rsidRPr="001C2E2B">
        <w:rPr>
          <w:lang w:eastAsia="fr-FR" w:bidi="fr-FR"/>
        </w:rPr>
        <w:t>é</w:t>
      </w:r>
      <w:r w:rsidRPr="001C2E2B">
        <w:rPr>
          <w:lang w:eastAsia="fr-FR" w:bidi="fr-FR"/>
        </w:rPr>
        <w:t>partement du Commerce la libéralisation des échanges, etc. En reva</w:t>
      </w:r>
      <w:r w:rsidRPr="001C2E2B">
        <w:rPr>
          <w:lang w:eastAsia="fr-FR" w:bidi="fr-FR"/>
        </w:rPr>
        <w:t>n</w:t>
      </w:r>
      <w:r w:rsidRPr="001C2E2B">
        <w:rPr>
          <w:lang w:eastAsia="fr-FR" w:bidi="fr-FR"/>
        </w:rPr>
        <w:t>che, la vision organisationnelle prône également la préservation des ressources. Elle explique, du coup, la frilosité des forces armées à r</w:t>
      </w:r>
      <w:r w:rsidRPr="001C2E2B">
        <w:rPr>
          <w:lang w:eastAsia="fr-FR" w:bidi="fr-FR"/>
        </w:rPr>
        <w:t>e</w:t>
      </w:r>
      <w:r w:rsidRPr="001C2E2B">
        <w:rPr>
          <w:lang w:eastAsia="fr-FR" w:bidi="fr-FR"/>
        </w:rPr>
        <w:t>courir à la force puisque cet usage peut être de nature à amputer ses bu</w:t>
      </w:r>
      <w:r w:rsidRPr="001C2E2B">
        <w:rPr>
          <w:lang w:eastAsia="fr-FR" w:bidi="fr-FR"/>
        </w:rPr>
        <w:t>d</w:t>
      </w:r>
      <w:r w:rsidRPr="001C2E2B">
        <w:rPr>
          <w:lang w:eastAsia="fr-FR" w:bidi="fr-FR"/>
        </w:rPr>
        <w:t>gets et, par conséquent, sa marge de manœuvre. Cette analyse d’Allison doit pou</w:t>
      </w:r>
      <w:r w:rsidRPr="001C2E2B">
        <w:rPr>
          <w:lang w:eastAsia="fr-FR" w:bidi="fr-FR"/>
        </w:rPr>
        <w:t>r</w:t>
      </w:r>
      <w:r w:rsidRPr="001C2E2B">
        <w:rPr>
          <w:lang w:eastAsia="fr-FR" w:bidi="fr-FR"/>
        </w:rPr>
        <w:t>tant être largement nuancée</w:t>
      </w:r>
      <w:r>
        <w:rPr>
          <w:lang w:eastAsia="fr-FR" w:bidi="fr-FR"/>
        </w:rPr>
        <w:t> </w:t>
      </w:r>
      <w:r>
        <w:rPr>
          <w:rStyle w:val="Appelnotedebasdep"/>
          <w:lang w:eastAsia="fr-FR" w:bidi="fr-FR"/>
        </w:rPr>
        <w:footnoteReference w:id="451"/>
      </w:r>
      <w:r w:rsidRPr="001C2E2B">
        <w:t> :</w:t>
      </w:r>
      <w:r w:rsidRPr="001C2E2B">
        <w:rPr>
          <w:lang w:eastAsia="fr-FR" w:bidi="fr-FR"/>
        </w:rPr>
        <w:t xml:space="preserve"> elle est en effet plus pertinente s’agissant des positions organisationnelles que des p</w:t>
      </w:r>
      <w:r w:rsidRPr="001C2E2B">
        <w:rPr>
          <w:lang w:eastAsia="fr-FR" w:bidi="fr-FR"/>
        </w:rPr>
        <w:t>o</w:t>
      </w:r>
      <w:r w:rsidRPr="001C2E2B">
        <w:rPr>
          <w:lang w:eastAsia="fr-FR" w:bidi="fr-FR"/>
        </w:rPr>
        <w:t>sitions indiv</w:t>
      </w:r>
      <w:r w:rsidRPr="001C2E2B">
        <w:rPr>
          <w:lang w:eastAsia="fr-FR" w:bidi="fr-FR"/>
        </w:rPr>
        <w:t>i</w:t>
      </w:r>
      <w:r w:rsidRPr="001C2E2B">
        <w:rPr>
          <w:lang w:eastAsia="fr-FR" w:bidi="fr-FR"/>
        </w:rPr>
        <w:t>duelles. On aurait, sinon, bien des difficultés à expliquer qu’un secrétaire d’État soit partisan du recours à la guerre ta</w:t>
      </w:r>
      <w:r w:rsidRPr="001C2E2B">
        <w:rPr>
          <w:lang w:eastAsia="fr-FR" w:bidi="fr-FR"/>
        </w:rPr>
        <w:t>n</w:t>
      </w:r>
      <w:r w:rsidRPr="001C2E2B">
        <w:rPr>
          <w:lang w:eastAsia="fr-FR" w:bidi="fr-FR"/>
        </w:rPr>
        <w:t xml:space="preserve">dis que le </w:t>
      </w:r>
      <w:r w:rsidRPr="00DB7EE9">
        <w:rPr>
          <w:bCs/>
        </w:rPr>
        <w:t>CJCS</w:t>
      </w:r>
      <w:r w:rsidRPr="001C2E2B">
        <w:rPr>
          <w:rStyle w:val="Corpsdutexte28ptGras"/>
        </w:rPr>
        <w:t xml:space="preserve"> </w:t>
      </w:r>
      <w:r w:rsidRPr="001C2E2B">
        <w:rPr>
          <w:lang w:eastAsia="fr-FR" w:bidi="fr-FR"/>
        </w:rPr>
        <w:t>est de l’avis contraire, ainsi qu’on a pu le constater à propos de la Bosnie ou de la guerre du Golfe.</w:t>
      </w:r>
    </w:p>
    <w:p w14:paraId="19C9F9DA" w14:textId="77777777" w:rsidR="0039793A" w:rsidRPr="001C2E2B" w:rsidRDefault="0039793A" w:rsidP="0039793A">
      <w:pPr>
        <w:spacing w:before="120" w:after="120"/>
        <w:jc w:val="both"/>
      </w:pPr>
      <w:r w:rsidRPr="00DB7EE9">
        <w:rPr>
          <w:lang w:eastAsia="fr-FR" w:bidi="fr-FR"/>
        </w:rPr>
        <w:t xml:space="preserve">— </w:t>
      </w:r>
      <w:r w:rsidRPr="001C2E2B">
        <w:rPr>
          <w:lang w:eastAsia="fr-FR" w:bidi="fr-FR"/>
        </w:rPr>
        <w:t>Chaque bureaucratie a une culture politique propre, des habit</w:t>
      </w:r>
      <w:r w:rsidRPr="001C2E2B">
        <w:rPr>
          <w:lang w:eastAsia="fr-FR" w:bidi="fr-FR"/>
        </w:rPr>
        <w:t>u</w:t>
      </w:r>
      <w:r w:rsidRPr="001C2E2B">
        <w:rPr>
          <w:lang w:eastAsia="fr-FR" w:bidi="fr-FR"/>
        </w:rPr>
        <w:t>des de travail, et tend à développer une sorte de complexe de supéri</w:t>
      </w:r>
      <w:r w:rsidRPr="001C2E2B">
        <w:rPr>
          <w:lang w:eastAsia="fr-FR" w:bidi="fr-FR"/>
        </w:rPr>
        <w:t>o</w:t>
      </w:r>
      <w:r w:rsidRPr="001C2E2B">
        <w:rPr>
          <w:lang w:eastAsia="fr-FR" w:bidi="fr-FR"/>
        </w:rPr>
        <w:t>rité. Ainsi, lorsque Kennedy et son secrétaire à la Défense ont voulu s’ingérer dans les détails du blocus de Cuba, en 1962, le chef de l’opération navale leur a s</w:t>
      </w:r>
      <w:r w:rsidRPr="001C2E2B">
        <w:rPr>
          <w:lang w:eastAsia="fr-FR" w:bidi="fr-FR"/>
        </w:rPr>
        <w:t>è</w:t>
      </w:r>
      <w:r w:rsidRPr="001C2E2B">
        <w:rPr>
          <w:lang w:eastAsia="fr-FR" w:bidi="fr-FR"/>
        </w:rPr>
        <w:t>chement répondu de retourner dans leurs bureaux tandis que la Marine s’occuperait de tout. Cette réalité vaut non seulement pour la conception mais également pour la mise en œuvre de la politique étrangère.</w:t>
      </w:r>
    </w:p>
    <w:p w14:paraId="7482CCDA" w14:textId="77777777" w:rsidR="0039793A" w:rsidRPr="001C2E2B" w:rsidRDefault="0039793A" w:rsidP="0039793A">
      <w:pPr>
        <w:spacing w:before="120" w:after="120"/>
        <w:jc w:val="both"/>
      </w:pPr>
      <w:r>
        <w:t>[208]</w:t>
      </w:r>
    </w:p>
    <w:p w14:paraId="58F9AAEC" w14:textId="77777777" w:rsidR="0039793A" w:rsidRPr="001C2E2B" w:rsidRDefault="0039793A" w:rsidP="0039793A">
      <w:pPr>
        <w:spacing w:before="120" w:after="120"/>
        <w:jc w:val="both"/>
      </w:pPr>
      <w:r w:rsidRPr="001C2E2B">
        <w:rPr>
          <w:lang w:eastAsia="fr-FR" w:bidi="fr-FR"/>
        </w:rPr>
        <w:t>La politique étrangère n’est donc pas le produit d’un rôle, d’un i</w:t>
      </w:r>
      <w:r w:rsidRPr="001C2E2B">
        <w:rPr>
          <w:lang w:eastAsia="fr-FR" w:bidi="fr-FR"/>
        </w:rPr>
        <w:t>n</w:t>
      </w:r>
      <w:r w:rsidRPr="001C2E2B">
        <w:rPr>
          <w:lang w:eastAsia="fr-FR" w:bidi="fr-FR"/>
        </w:rPr>
        <w:t>térêt ou d’un objectif national, mais la somme d’intérêts et d’actions diffuses engendrés par une multitude de joueurs bureaucrat</w:t>
      </w:r>
      <w:r w:rsidRPr="001C2E2B">
        <w:rPr>
          <w:lang w:eastAsia="fr-FR" w:bidi="fr-FR"/>
        </w:rPr>
        <w:t>i</w:t>
      </w:r>
      <w:r w:rsidRPr="001C2E2B">
        <w:rPr>
          <w:lang w:eastAsia="fr-FR" w:bidi="fr-FR"/>
        </w:rPr>
        <w:t>ques. Cela explique du coup toutes les incohérences, les difficultés et les impr</w:t>
      </w:r>
      <w:r w:rsidRPr="001C2E2B">
        <w:rPr>
          <w:lang w:eastAsia="fr-FR" w:bidi="fr-FR"/>
        </w:rPr>
        <w:t>é</w:t>
      </w:r>
      <w:r w:rsidRPr="001C2E2B">
        <w:rPr>
          <w:lang w:eastAsia="fr-FR" w:bidi="fr-FR"/>
        </w:rPr>
        <w:t>vus de la politique extérieure</w:t>
      </w:r>
      <w:r>
        <w:rPr>
          <w:lang w:eastAsia="fr-FR" w:bidi="fr-FR"/>
        </w:rPr>
        <w:t> </w:t>
      </w:r>
      <w:r>
        <w:rPr>
          <w:rStyle w:val="Appelnotedebasdep"/>
          <w:lang w:eastAsia="fr-FR" w:bidi="fr-FR"/>
        </w:rPr>
        <w:footnoteReference w:id="452"/>
      </w:r>
      <w:r>
        <w:rPr>
          <w:lang w:eastAsia="fr-FR" w:bidi="fr-FR"/>
        </w:rPr>
        <w:t>.</w:t>
      </w:r>
      <w:r w:rsidRPr="001C2E2B">
        <w:rPr>
          <w:lang w:eastAsia="fr-FR" w:bidi="fr-FR"/>
        </w:rPr>
        <w:t xml:space="preserve"> Les conséquences de la culture </w:t>
      </w:r>
      <w:r w:rsidRPr="001C2E2B">
        <w:t>« </w:t>
      </w:r>
      <w:r w:rsidRPr="001C2E2B">
        <w:rPr>
          <w:lang w:eastAsia="fr-FR" w:bidi="fr-FR"/>
        </w:rPr>
        <w:t>paroissiale</w:t>
      </w:r>
      <w:r w:rsidRPr="001C2E2B">
        <w:t> »</w:t>
      </w:r>
      <w:r w:rsidRPr="001C2E2B">
        <w:rPr>
          <w:lang w:eastAsia="fr-FR" w:bidi="fr-FR"/>
        </w:rPr>
        <w:t xml:space="preserve"> de chaque bureaucratie se font alors ressentir de pl</w:t>
      </w:r>
      <w:r w:rsidRPr="001C2E2B">
        <w:rPr>
          <w:lang w:eastAsia="fr-FR" w:bidi="fr-FR"/>
        </w:rPr>
        <w:t>u</w:t>
      </w:r>
      <w:r w:rsidRPr="001C2E2B">
        <w:rPr>
          <w:lang w:eastAsia="fr-FR" w:bidi="fr-FR"/>
        </w:rPr>
        <w:t>sieurs manières</w:t>
      </w:r>
      <w:r w:rsidRPr="001C2E2B">
        <w:t> :</w:t>
      </w:r>
      <w:r w:rsidRPr="001C2E2B">
        <w:rPr>
          <w:lang w:eastAsia="fr-FR" w:bidi="fr-FR"/>
        </w:rPr>
        <w:t xml:space="preserve"> l’enjeu peut être simplifié, l’expertise peut être bia</w:t>
      </w:r>
      <w:r w:rsidRPr="001C2E2B">
        <w:rPr>
          <w:lang w:eastAsia="fr-FR" w:bidi="fr-FR"/>
        </w:rPr>
        <w:t>i</w:t>
      </w:r>
      <w:r w:rsidRPr="001C2E2B">
        <w:rPr>
          <w:lang w:eastAsia="fr-FR" w:bidi="fr-FR"/>
        </w:rPr>
        <w:t>sée, l’information transmise être incomplète et imparfaite, les altern</w:t>
      </w:r>
      <w:r w:rsidRPr="001C2E2B">
        <w:rPr>
          <w:lang w:eastAsia="fr-FR" w:bidi="fr-FR"/>
        </w:rPr>
        <w:t>a</w:t>
      </w:r>
      <w:r w:rsidRPr="001C2E2B">
        <w:rPr>
          <w:lang w:eastAsia="fr-FR" w:bidi="fr-FR"/>
        </w:rPr>
        <w:t>tives décisionnelles suggérées être teintées par des motivations autres que leur valeur rationnelle ou méritoire, les prises de position être i</w:t>
      </w:r>
      <w:r w:rsidRPr="001C2E2B">
        <w:rPr>
          <w:lang w:eastAsia="fr-FR" w:bidi="fr-FR"/>
        </w:rPr>
        <w:t>n</w:t>
      </w:r>
      <w:r w:rsidRPr="001C2E2B">
        <w:rPr>
          <w:lang w:eastAsia="fr-FR" w:bidi="fr-FR"/>
        </w:rPr>
        <w:t xml:space="preserve">fluencées par l’existence d’une clientèle captive (celle des </w:t>
      </w:r>
      <w:r w:rsidRPr="00DB7EE9">
        <w:rPr>
          <w:bCs/>
        </w:rPr>
        <w:t>FSO</w:t>
      </w:r>
      <w:r w:rsidRPr="00DB7EE9">
        <w:rPr>
          <w:b/>
          <w:bCs/>
        </w:rPr>
        <w:t xml:space="preserve"> </w:t>
      </w:r>
      <w:r w:rsidRPr="001C2E2B">
        <w:rPr>
          <w:lang w:eastAsia="fr-FR" w:bidi="fr-FR"/>
        </w:rPr>
        <w:t>ou des militaires, par exemple).</w:t>
      </w:r>
    </w:p>
    <w:p w14:paraId="7D1F16F1" w14:textId="77777777" w:rsidR="0039793A" w:rsidRPr="001C2E2B" w:rsidRDefault="0039793A" w:rsidP="0039793A">
      <w:pPr>
        <w:spacing w:before="120" w:after="120"/>
        <w:jc w:val="both"/>
      </w:pPr>
      <w:r w:rsidRPr="001C2E2B">
        <w:rPr>
          <w:lang w:eastAsia="fr-FR" w:bidi="fr-FR"/>
        </w:rPr>
        <w:t>— Le jeu bureaucratique est le résultat de va</w:t>
      </w:r>
      <w:r w:rsidRPr="001C2E2B">
        <w:rPr>
          <w:lang w:eastAsia="fr-FR" w:bidi="fr-FR"/>
        </w:rPr>
        <w:t>s</w:t>
      </w:r>
      <w:r w:rsidRPr="001C2E2B">
        <w:rPr>
          <w:lang w:eastAsia="fr-FR" w:bidi="fr-FR"/>
        </w:rPr>
        <w:t>tes négociations et marchandages entre organis</w:t>
      </w:r>
      <w:r w:rsidRPr="001C2E2B">
        <w:rPr>
          <w:lang w:eastAsia="fr-FR" w:bidi="fr-FR"/>
        </w:rPr>
        <w:t>a</w:t>
      </w:r>
      <w:r w:rsidRPr="001C2E2B">
        <w:rPr>
          <w:lang w:eastAsia="fr-FR" w:bidi="fr-FR"/>
        </w:rPr>
        <w:t>tions</w:t>
      </w:r>
      <w:r>
        <w:rPr>
          <w:lang w:eastAsia="fr-FR" w:bidi="fr-FR"/>
        </w:rPr>
        <w:t> </w:t>
      </w:r>
      <w:r>
        <w:rPr>
          <w:rStyle w:val="Appelnotedebasdep"/>
          <w:lang w:eastAsia="fr-FR" w:bidi="fr-FR"/>
        </w:rPr>
        <w:footnoteReference w:id="453"/>
      </w:r>
      <w:r w:rsidRPr="001C2E2B">
        <w:rPr>
          <w:lang w:eastAsia="fr-FR" w:bidi="fr-FR"/>
        </w:rPr>
        <w:t>. Il peut se résumer ainsi</w:t>
      </w:r>
      <w:r w:rsidRPr="001C2E2B">
        <w:t> :</w:t>
      </w:r>
      <w:r w:rsidRPr="001C2E2B">
        <w:rPr>
          <w:lang w:eastAsia="fr-FR" w:bidi="fr-FR"/>
        </w:rPr>
        <w:t xml:space="preserve"> qui a l’attention du président</w:t>
      </w:r>
      <w:r w:rsidRPr="001C2E2B">
        <w:t> ?</w:t>
      </w:r>
      <w:r w:rsidRPr="001C2E2B">
        <w:rPr>
          <w:lang w:eastAsia="fr-FR" w:bidi="fr-FR"/>
        </w:rPr>
        <w:t xml:space="preserve"> Qui gagne et qui perd</w:t>
      </w:r>
      <w:r w:rsidRPr="001C2E2B">
        <w:t> ?</w:t>
      </w:r>
      <w:r w:rsidRPr="001C2E2B">
        <w:rPr>
          <w:lang w:eastAsia="fr-FR" w:bidi="fr-FR"/>
        </w:rPr>
        <w:t xml:space="preserve"> Ce proce</w:t>
      </w:r>
      <w:r w:rsidRPr="001C2E2B">
        <w:rPr>
          <w:lang w:eastAsia="fr-FR" w:bidi="fr-FR"/>
        </w:rPr>
        <w:t>s</w:t>
      </w:r>
      <w:r w:rsidRPr="001C2E2B">
        <w:rPr>
          <w:lang w:eastAsia="fr-FR" w:bidi="fr-FR"/>
        </w:rPr>
        <w:t>sus mène fréquemment à des blocages qui paral</w:t>
      </w:r>
      <w:r w:rsidRPr="001C2E2B">
        <w:rPr>
          <w:lang w:eastAsia="fr-FR" w:bidi="fr-FR"/>
        </w:rPr>
        <w:t>y</w:t>
      </w:r>
      <w:r w:rsidRPr="001C2E2B">
        <w:rPr>
          <w:lang w:eastAsia="fr-FR" w:bidi="fr-FR"/>
        </w:rPr>
        <w:t>sent la prise de décision. Deux issues sont possibles. Soit les administrations aboutissent à des co</w:t>
      </w:r>
      <w:r w:rsidRPr="001C2E2B">
        <w:rPr>
          <w:lang w:eastAsia="fr-FR" w:bidi="fr-FR"/>
        </w:rPr>
        <w:t>m</w:t>
      </w:r>
      <w:r w:rsidRPr="001C2E2B">
        <w:rPr>
          <w:lang w:eastAsia="fr-FR" w:bidi="fr-FR"/>
        </w:rPr>
        <w:t>promis et résolvent alors leurs différends en négociant des ententes sur la base d’un dénominateur commun. Soit la confrontation bureaucr</w:t>
      </w:r>
      <w:r w:rsidRPr="001C2E2B">
        <w:rPr>
          <w:lang w:eastAsia="fr-FR" w:bidi="fr-FR"/>
        </w:rPr>
        <w:t>a</w:t>
      </w:r>
      <w:r w:rsidRPr="001C2E2B">
        <w:rPr>
          <w:lang w:eastAsia="fr-FR" w:bidi="fr-FR"/>
        </w:rPr>
        <w:t>tique conduit à désigner véritablement des gagnants et des perdants. Les enjeux de politique étrangère donnent alors lieu à une concurrence féroce pour gagner les faveurs du président. Rares sont les d</w:t>
      </w:r>
      <w:r w:rsidRPr="001C2E2B">
        <w:rPr>
          <w:lang w:eastAsia="fr-FR" w:bidi="fr-FR"/>
        </w:rPr>
        <w:t>é</w:t>
      </w:r>
      <w:r w:rsidRPr="001C2E2B">
        <w:rPr>
          <w:lang w:eastAsia="fr-FR" w:bidi="fr-FR"/>
        </w:rPr>
        <w:t>cisions de politique étrangère qui ne sont pas i</w:t>
      </w:r>
      <w:r w:rsidRPr="001C2E2B">
        <w:rPr>
          <w:lang w:eastAsia="fr-FR" w:bidi="fr-FR"/>
        </w:rPr>
        <w:t>n</w:t>
      </w:r>
      <w:r w:rsidRPr="001C2E2B">
        <w:rPr>
          <w:lang w:eastAsia="fr-FR" w:bidi="fr-FR"/>
        </w:rPr>
        <w:t>fluencées par l’un ou l’autre de ces résultats du jeu bureaucratique. Sur beaucoup d’enjeux, dipl</w:t>
      </w:r>
      <w:r w:rsidRPr="001C2E2B">
        <w:rPr>
          <w:lang w:eastAsia="fr-FR" w:bidi="fr-FR"/>
        </w:rPr>
        <w:t>o</w:t>
      </w:r>
      <w:r w:rsidRPr="001C2E2B">
        <w:rPr>
          <w:lang w:eastAsia="fr-FR" w:bidi="fr-FR"/>
        </w:rPr>
        <w:t>matiques, sécuritaires ou économiques, les bureaucr</w:t>
      </w:r>
      <w:r w:rsidRPr="001C2E2B">
        <w:rPr>
          <w:lang w:eastAsia="fr-FR" w:bidi="fr-FR"/>
        </w:rPr>
        <w:t>a</w:t>
      </w:r>
      <w:r w:rsidRPr="001C2E2B">
        <w:rPr>
          <w:lang w:eastAsia="fr-FR" w:bidi="fr-FR"/>
        </w:rPr>
        <w:t>ties agissent en chassé- croisé. On ne peut saisir le sens des décisions qu’en étudiant minutieusement le déroulement de ce jeu (certaines administrations ont été, sur ce plan, témoins d’affrontements spe</w:t>
      </w:r>
      <w:r w:rsidRPr="001C2E2B">
        <w:rPr>
          <w:lang w:eastAsia="fr-FR" w:bidi="fr-FR"/>
        </w:rPr>
        <w:t>c</w:t>
      </w:r>
      <w:r w:rsidRPr="001C2E2B">
        <w:rPr>
          <w:lang w:eastAsia="fr-FR" w:bidi="fr-FR"/>
        </w:rPr>
        <w:t>taculaires, par exemple celles de Nixon, Carter et Reagan).</w:t>
      </w:r>
    </w:p>
    <w:p w14:paraId="2CC01B61" w14:textId="77777777" w:rsidR="0039793A" w:rsidRPr="001C2E2B" w:rsidRDefault="0039793A" w:rsidP="0039793A">
      <w:pPr>
        <w:spacing w:before="120" w:after="120"/>
        <w:jc w:val="both"/>
      </w:pPr>
      <w:r w:rsidRPr="001C2E2B">
        <w:rPr>
          <w:lang w:eastAsia="fr-FR" w:bidi="fr-FR"/>
        </w:rPr>
        <w:t>L’élaboration de la politique étrangère américaine est-elle pour a</w:t>
      </w:r>
      <w:r w:rsidRPr="001C2E2B">
        <w:rPr>
          <w:lang w:eastAsia="fr-FR" w:bidi="fr-FR"/>
        </w:rPr>
        <w:t>u</w:t>
      </w:r>
      <w:r w:rsidRPr="001C2E2B">
        <w:rPr>
          <w:lang w:eastAsia="fr-FR" w:bidi="fr-FR"/>
        </w:rPr>
        <w:t>tant prisonnière des acteurs bureaucratiques, comme le</w:t>
      </w:r>
      <w:r>
        <w:t xml:space="preserve"> [209] </w:t>
      </w:r>
      <w:r w:rsidRPr="001C2E2B">
        <w:rPr>
          <w:lang w:eastAsia="fr-FR" w:bidi="fr-FR"/>
        </w:rPr>
        <w:t>préte</w:t>
      </w:r>
      <w:r w:rsidRPr="001C2E2B">
        <w:rPr>
          <w:lang w:eastAsia="fr-FR" w:bidi="fr-FR"/>
        </w:rPr>
        <w:t>n</w:t>
      </w:r>
      <w:r w:rsidRPr="001C2E2B">
        <w:rPr>
          <w:lang w:eastAsia="fr-FR" w:bidi="fr-FR"/>
        </w:rPr>
        <w:t>dent les adeptes de la thèse d’Allison</w:t>
      </w:r>
      <w:r w:rsidRPr="001C2E2B">
        <w:t> ?</w:t>
      </w:r>
      <w:r w:rsidRPr="001C2E2B">
        <w:rPr>
          <w:lang w:eastAsia="fr-FR" w:bidi="fr-FR"/>
        </w:rPr>
        <w:t xml:space="preserve"> Le président possède en fait des pouvoirs considérables et une très grande latitude pour d</w:t>
      </w:r>
      <w:r w:rsidRPr="001C2E2B">
        <w:rPr>
          <w:lang w:eastAsia="fr-FR" w:bidi="fr-FR"/>
        </w:rPr>
        <w:t>é</w:t>
      </w:r>
      <w:r w:rsidRPr="001C2E2B">
        <w:rPr>
          <w:lang w:eastAsia="fr-FR" w:bidi="fr-FR"/>
        </w:rPr>
        <w:t>finir et mettre en œuvre ses décisions de politique étrangère. Tout d</w:t>
      </w:r>
      <w:r w:rsidRPr="001C2E2B">
        <w:rPr>
          <w:lang w:eastAsia="fr-FR" w:bidi="fr-FR"/>
        </w:rPr>
        <w:t>é</w:t>
      </w:r>
      <w:r w:rsidRPr="001C2E2B">
        <w:rPr>
          <w:lang w:eastAsia="fr-FR" w:bidi="fr-FR"/>
        </w:rPr>
        <w:t>pend de son implication personnelle et de sa maîtrise du processus décisio</w:t>
      </w:r>
      <w:r w:rsidRPr="001C2E2B">
        <w:rPr>
          <w:lang w:eastAsia="fr-FR" w:bidi="fr-FR"/>
        </w:rPr>
        <w:t>n</w:t>
      </w:r>
      <w:r w:rsidRPr="001C2E2B">
        <w:rPr>
          <w:lang w:eastAsia="fr-FR" w:bidi="fr-FR"/>
        </w:rPr>
        <w:t>nel</w:t>
      </w:r>
      <w:r>
        <w:rPr>
          <w:lang w:eastAsia="fr-FR" w:bidi="fr-FR"/>
        </w:rPr>
        <w:t> </w:t>
      </w:r>
      <w:r>
        <w:rPr>
          <w:rStyle w:val="Appelnotedebasdep"/>
          <w:lang w:eastAsia="fr-FR" w:bidi="fr-FR"/>
        </w:rPr>
        <w:footnoteReference w:id="454"/>
      </w:r>
      <w:r w:rsidRPr="001C2E2B">
        <w:rPr>
          <w:lang w:eastAsia="fr-FR" w:bidi="fr-FR"/>
        </w:rPr>
        <w:t>. Lor</w:t>
      </w:r>
      <w:r w:rsidRPr="001C2E2B">
        <w:rPr>
          <w:lang w:eastAsia="fr-FR" w:bidi="fr-FR"/>
        </w:rPr>
        <w:t>s</w:t>
      </w:r>
      <w:r w:rsidRPr="001C2E2B">
        <w:rPr>
          <w:lang w:eastAsia="fr-FR" w:bidi="fr-FR"/>
        </w:rPr>
        <w:t>qu’un enjeu n’est pas important, que les décisions sont routinières, et que le président n’y accorde aucune attention, le jeu s’avère déterminant pour la conduite des affaires étrangères. Par contre, plus l’enjeu est important, et plus il se retrouve au ce</w:t>
      </w:r>
      <w:r w:rsidRPr="001C2E2B">
        <w:rPr>
          <w:lang w:eastAsia="fr-FR" w:bidi="fr-FR"/>
        </w:rPr>
        <w:t>n</w:t>
      </w:r>
      <w:r w:rsidRPr="001C2E2B">
        <w:rPr>
          <w:lang w:eastAsia="fr-FR" w:bidi="fr-FR"/>
        </w:rPr>
        <w:t>tre des préoccupations du président, moins signif</w:t>
      </w:r>
      <w:r w:rsidRPr="001C2E2B">
        <w:rPr>
          <w:lang w:eastAsia="fr-FR" w:bidi="fr-FR"/>
        </w:rPr>
        <w:t>i</w:t>
      </w:r>
      <w:r w:rsidRPr="001C2E2B">
        <w:rPr>
          <w:lang w:eastAsia="fr-FR" w:bidi="fr-FR"/>
        </w:rPr>
        <w:t>catif et moins dommageable est le jeu des rivalités bureaucratiques. Le président, lorsqu’il dirige ce jeu, peut contrecarrer les intérêts bureaucratiques, notamment en dés</w:t>
      </w:r>
      <w:r w:rsidRPr="001C2E2B">
        <w:rPr>
          <w:lang w:eastAsia="fr-FR" w:bidi="fr-FR"/>
        </w:rPr>
        <w:t>i</w:t>
      </w:r>
      <w:r w:rsidRPr="001C2E2B">
        <w:rPr>
          <w:lang w:eastAsia="fr-FR" w:bidi="fr-FR"/>
        </w:rPr>
        <w:t>gnant des conseillers et des décideurs qui lui sont loyaux et qui pr</w:t>
      </w:r>
      <w:r w:rsidRPr="001C2E2B">
        <w:rPr>
          <w:lang w:eastAsia="fr-FR" w:bidi="fr-FR"/>
        </w:rPr>
        <w:t>o</w:t>
      </w:r>
      <w:r w:rsidRPr="001C2E2B">
        <w:rPr>
          <w:lang w:eastAsia="fr-FR" w:bidi="fr-FR"/>
        </w:rPr>
        <w:t>meuvent sa vision et ses intérêts. En ce sens, les mécanismes burea</w:t>
      </w:r>
      <w:r w:rsidRPr="001C2E2B">
        <w:rPr>
          <w:lang w:eastAsia="fr-FR" w:bidi="fr-FR"/>
        </w:rPr>
        <w:t>u</w:t>
      </w:r>
      <w:r w:rsidRPr="001C2E2B">
        <w:rPr>
          <w:lang w:eastAsia="fr-FR" w:bidi="fr-FR"/>
        </w:rPr>
        <w:t>cratiques ne sont pas toujours le pire enn</w:t>
      </w:r>
      <w:r w:rsidRPr="001C2E2B">
        <w:rPr>
          <w:lang w:eastAsia="fr-FR" w:bidi="fr-FR"/>
        </w:rPr>
        <w:t>e</w:t>
      </w:r>
      <w:r w:rsidRPr="001C2E2B">
        <w:rPr>
          <w:lang w:eastAsia="fr-FR" w:bidi="fr-FR"/>
        </w:rPr>
        <w:t>mi de la politique étrangère américaine</w:t>
      </w:r>
      <w:r>
        <w:rPr>
          <w:lang w:eastAsia="fr-FR" w:bidi="fr-FR"/>
        </w:rPr>
        <w:t> </w:t>
      </w:r>
      <w:r>
        <w:rPr>
          <w:rStyle w:val="Appelnotedebasdep"/>
          <w:lang w:eastAsia="fr-FR" w:bidi="fr-FR"/>
        </w:rPr>
        <w:footnoteReference w:id="455"/>
      </w:r>
      <w:r w:rsidRPr="001C2E2B">
        <w:rPr>
          <w:lang w:eastAsia="fr-FR" w:bidi="fr-FR"/>
        </w:rPr>
        <w:t>. Ces mécanismes peuvent être contrôlés et rendus coh</w:t>
      </w:r>
      <w:r w:rsidRPr="001C2E2B">
        <w:rPr>
          <w:lang w:eastAsia="fr-FR" w:bidi="fr-FR"/>
        </w:rPr>
        <w:t>é</w:t>
      </w:r>
      <w:r w:rsidRPr="001C2E2B">
        <w:rPr>
          <w:lang w:eastAsia="fr-FR" w:bidi="fr-FR"/>
        </w:rPr>
        <w:t>rents par une action présidentielle vigoureuse</w:t>
      </w:r>
      <w:r>
        <w:rPr>
          <w:lang w:eastAsia="fr-FR" w:bidi="fr-FR"/>
        </w:rPr>
        <w:t> </w:t>
      </w:r>
      <w:r>
        <w:rPr>
          <w:rStyle w:val="Appelnotedebasdep"/>
          <w:lang w:eastAsia="fr-FR" w:bidi="fr-FR"/>
        </w:rPr>
        <w:footnoteReference w:id="456"/>
      </w:r>
      <w:r w:rsidRPr="001C2E2B">
        <w:rPr>
          <w:lang w:eastAsia="fr-FR" w:bidi="fr-FR"/>
        </w:rPr>
        <w:t xml:space="preserve">. Ceux que Rockman surnomme les </w:t>
      </w:r>
      <w:r w:rsidRPr="001C2E2B">
        <w:t>« </w:t>
      </w:r>
      <w:r w:rsidRPr="001C2E2B">
        <w:rPr>
          <w:lang w:eastAsia="fr-FR" w:bidi="fr-FR"/>
        </w:rPr>
        <w:t>irréguliers</w:t>
      </w:r>
      <w:r w:rsidRPr="001C2E2B">
        <w:t> »</w:t>
      </w:r>
      <w:r w:rsidRPr="001C2E2B">
        <w:rPr>
          <w:lang w:eastAsia="fr-FR" w:bidi="fr-FR"/>
        </w:rPr>
        <w:t xml:space="preserve"> de la bureaucratie servent ainsi à souhait les asp</w:t>
      </w:r>
      <w:r w:rsidRPr="001C2E2B">
        <w:rPr>
          <w:lang w:eastAsia="fr-FR" w:bidi="fr-FR"/>
        </w:rPr>
        <w:t>i</w:t>
      </w:r>
      <w:r w:rsidRPr="001C2E2B">
        <w:rPr>
          <w:lang w:eastAsia="fr-FR" w:bidi="fr-FR"/>
        </w:rPr>
        <w:t>rations et la volonté du président</w:t>
      </w:r>
      <w:r>
        <w:rPr>
          <w:lang w:eastAsia="fr-FR" w:bidi="fr-FR"/>
        </w:rPr>
        <w:t> </w:t>
      </w:r>
      <w:r>
        <w:rPr>
          <w:rStyle w:val="Appelnotedebasdep"/>
          <w:lang w:eastAsia="fr-FR" w:bidi="fr-FR"/>
        </w:rPr>
        <w:footnoteReference w:id="457"/>
      </w:r>
      <w:r w:rsidRPr="001C2E2B">
        <w:rPr>
          <w:lang w:eastAsia="fr-FR" w:bidi="fr-FR"/>
        </w:rPr>
        <w:t>. Le président, à cet égard, dispose depuis 1947 d’un tel contrôle inégalé en raison de l’existence du Conseil de s</w:t>
      </w:r>
      <w:r w:rsidRPr="001C2E2B">
        <w:rPr>
          <w:lang w:eastAsia="fr-FR" w:bidi="fr-FR"/>
        </w:rPr>
        <w:t>é</w:t>
      </w:r>
      <w:r w:rsidRPr="001C2E2B">
        <w:rPr>
          <w:lang w:eastAsia="fr-FR" w:bidi="fr-FR"/>
        </w:rPr>
        <w:t xml:space="preserve">curité nationale (le </w:t>
      </w:r>
      <w:r w:rsidRPr="00DB7EE9">
        <w:rPr>
          <w:bCs/>
        </w:rPr>
        <w:t>NSC).</w:t>
      </w:r>
    </w:p>
    <w:p w14:paraId="60E72D94" w14:textId="77777777" w:rsidR="0039793A" w:rsidRDefault="0039793A" w:rsidP="0039793A">
      <w:pPr>
        <w:spacing w:before="120" w:after="120"/>
        <w:jc w:val="both"/>
      </w:pPr>
    </w:p>
    <w:p w14:paraId="1FCC82B3" w14:textId="77777777" w:rsidR="0039793A" w:rsidRDefault="0039793A" w:rsidP="0039793A">
      <w:pPr>
        <w:pStyle w:val="p"/>
      </w:pPr>
      <w:r>
        <w:t>[210]</w:t>
      </w:r>
    </w:p>
    <w:p w14:paraId="03BED124" w14:textId="77777777" w:rsidR="0039793A" w:rsidRPr="001C2E2B" w:rsidRDefault="0039793A" w:rsidP="0039793A">
      <w:pPr>
        <w:pStyle w:val="p"/>
      </w:pPr>
      <w:r w:rsidRPr="001C2E2B">
        <w:br w:type="page"/>
      </w:r>
      <w:r>
        <w:t>[211]</w:t>
      </w:r>
    </w:p>
    <w:p w14:paraId="4A6A09D3" w14:textId="77777777" w:rsidR="0039793A" w:rsidRPr="00E07116" w:rsidRDefault="0039793A" w:rsidP="0039793A">
      <w:pPr>
        <w:jc w:val="both"/>
      </w:pPr>
    </w:p>
    <w:p w14:paraId="6107C2E2" w14:textId="77777777" w:rsidR="0039793A" w:rsidRDefault="0039793A" w:rsidP="0039793A">
      <w:pPr>
        <w:jc w:val="both"/>
      </w:pPr>
    </w:p>
    <w:p w14:paraId="01CC5323" w14:textId="77777777" w:rsidR="0039793A" w:rsidRPr="00E07116" w:rsidRDefault="0039793A" w:rsidP="0039793A">
      <w:pPr>
        <w:jc w:val="both"/>
      </w:pPr>
    </w:p>
    <w:p w14:paraId="169E22EF" w14:textId="77777777" w:rsidR="0039793A" w:rsidRPr="00642210" w:rsidRDefault="0039793A" w:rsidP="0039793A">
      <w:pPr>
        <w:spacing w:after="120"/>
        <w:jc w:val="center"/>
      </w:pPr>
      <w:bookmarkStart w:id="28" w:name="Pol_EU_pt_2_chap_07"/>
      <w:r w:rsidRPr="00642210">
        <w:rPr>
          <w:b/>
        </w:rPr>
        <w:t>La politique étrangère des «États-Unis.</w:t>
      </w:r>
      <w:r w:rsidRPr="00642210">
        <w:rPr>
          <w:b/>
        </w:rPr>
        <w:br/>
      </w:r>
      <w:r w:rsidRPr="00642210">
        <w:rPr>
          <w:i/>
        </w:rPr>
        <w:t>Fondements, acteurs, formulation</w:t>
      </w:r>
    </w:p>
    <w:p w14:paraId="4BAEEDAA" w14:textId="77777777" w:rsidR="0039793A" w:rsidRPr="00384B20" w:rsidRDefault="0039793A" w:rsidP="0039793A">
      <w:pPr>
        <w:spacing w:after="120"/>
        <w:ind w:firstLine="0"/>
        <w:jc w:val="center"/>
        <w:rPr>
          <w:color w:val="000080"/>
          <w:sz w:val="24"/>
        </w:rPr>
      </w:pPr>
      <w:r>
        <w:rPr>
          <w:color w:val="000080"/>
          <w:sz w:val="24"/>
        </w:rPr>
        <w:t>DEUXIÈME PARTIE</w:t>
      </w:r>
    </w:p>
    <w:p w14:paraId="10E05E24" w14:textId="77777777" w:rsidR="0039793A" w:rsidRPr="00384B20" w:rsidRDefault="0039793A" w:rsidP="0039793A">
      <w:pPr>
        <w:pStyle w:val="Titreniveau1"/>
      </w:pPr>
      <w:r w:rsidRPr="00384B20">
        <w:t xml:space="preserve">Chapitre </w:t>
      </w:r>
      <w:r>
        <w:t>7</w:t>
      </w:r>
    </w:p>
    <w:p w14:paraId="0A883438" w14:textId="77777777" w:rsidR="0039793A" w:rsidRPr="00E07116" w:rsidRDefault="0039793A" w:rsidP="0039793A">
      <w:pPr>
        <w:pStyle w:val="Titreniveau2"/>
      </w:pPr>
      <w:r>
        <w:t>L’INFLUENCE DU CONSEIL</w:t>
      </w:r>
      <w:r>
        <w:br/>
        <w:t>DE S</w:t>
      </w:r>
      <w:r>
        <w:t>É</w:t>
      </w:r>
      <w:r>
        <w:t>CURITÉ NATIONALE</w:t>
      </w:r>
    </w:p>
    <w:bookmarkEnd w:id="28"/>
    <w:p w14:paraId="2647F11B" w14:textId="77777777" w:rsidR="0039793A" w:rsidRPr="00E07116" w:rsidRDefault="0039793A" w:rsidP="0039793A">
      <w:pPr>
        <w:jc w:val="both"/>
        <w:rPr>
          <w:szCs w:val="36"/>
        </w:rPr>
      </w:pPr>
    </w:p>
    <w:p w14:paraId="30F96B75" w14:textId="77777777" w:rsidR="0039793A" w:rsidRPr="00E07116" w:rsidRDefault="0039793A" w:rsidP="0039793A">
      <w:pPr>
        <w:jc w:val="both"/>
      </w:pPr>
    </w:p>
    <w:p w14:paraId="6B9C2864" w14:textId="77777777" w:rsidR="0039793A" w:rsidRPr="00E07116" w:rsidRDefault="0039793A" w:rsidP="0039793A">
      <w:pPr>
        <w:jc w:val="both"/>
      </w:pPr>
    </w:p>
    <w:p w14:paraId="60C669B4" w14:textId="77777777" w:rsidR="0039793A" w:rsidRPr="00E07116" w:rsidRDefault="0039793A" w:rsidP="0039793A">
      <w:pPr>
        <w:jc w:val="both"/>
      </w:pPr>
    </w:p>
    <w:p w14:paraId="36D21574" w14:textId="77777777" w:rsidR="0039793A" w:rsidRPr="00E07116" w:rsidRDefault="0039793A" w:rsidP="0039793A">
      <w:pPr>
        <w:jc w:val="both"/>
      </w:pPr>
    </w:p>
    <w:p w14:paraId="348DCEAB"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F3E538F" w14:textId="77777777" w:rsidR="0039793A" w:rsidRPr="00681E91" w:rsidRDefault="0039793A" w:rsidP="0039793A">
      <w:pPr>
        <w:spacing w:before="120" w:after="120"/>
        <w:jc w:val="both"/>
        <w:rPr>
          <w:lang w:eastAsia="fr-FR" w:bidi="fr-FR"/>
        </w:rPr>
      </w:pPr>
      <w:r w:rsidRPr="001C2E2B">
        <w:rPr>
          <w:lang w:eastAsia="fr-FR" w:bidi="fr-FR"/>
        </w:rPr>
        <w:t xml:space="preserve">Un Exécutif faible est un gouvernement faible, disait Alexander Hamilton. Pour </w:t>
      </w:r>
      <w:r w:rsidRPr="00681E91">
        <w:rPr>
          <w:lang w:eastAsia="fr-FR" w:bidi="fr-FR"/>
        </w:rPr>
        <w:t xml:space="preserve">parer </w:t>
      </w:r>
      <w:r w:rsidRPr="00681E91">
        <w:rPr>
          <w:bCs/>
        </w:rPr>
        <w:t xml:space="preserve">à </w:t>
      </w:r>
      <w:r w:rsidRPr="00681E91">
        <w:rPr>
          <w:lang w:eastAsia="fr-FR" w:bidi="fr-FR"/>
        </w:rPr>
        <w:t>cette éventualité, le président peut s’appuyer, depuis 1947, sur une organisation qui, au sein de son B</w:t>
      </w:r>
      <w:r w:rsidRPr="00681E91">
        <w:rPr>
          <w:lang w:eastAsia="fr-FR" w:bidi="fr-FR"/>
        </w:rPr>
        <w:t>u</w:t>
      </w:r>
      <w:r w:rsidRPr="00681E91">
        <w:rPr>
          <w:lang w:eastAsia="fr-FR" w:bidi="fr-FR"/>
        </w:rPr>
        <w:t>reau exécutif, peut superviser la bonne marche des opérations en politique extérie</w:t>
      </w:r>
      <w:r w:rsidRPr="00681E91">
        <w:rPr>
          <w:lang w:eastAsia="fr-FR" w:bidi="fr-FR"/>
        </w:rPr>
        <w:t>u</w:t>
      </w:r>
      <w:r w:rsidRPr="00681E91">
        <w:rPr>
          <w:lang w:eastAsia="fr-FR" w:bidi="fr-FR"/>
        </w:rPr>
        <w:t xml:space="preserve">re, et donner une cohérence </w:t>
      </w:r>
      <w:r w:rsidRPr="00681E91">
        <w:rPr>
          <w:bCs/>
        </w:rPr>
        <w:t xml:space="preserve">à </w:t>
      </w:r>
      <w:r w:rsidRPr="00681E91">
        <w:rPr>
          <w:lang w:eastAsia="fr-FR" w:bidi="fr-FR"/>
        </w:rPr>
        <w:t xml:space="preserve">la cacophonie bureaucratique. En l’occurrence, en matière d’affaires diplomatiques et stratégiques, cette organisation, le Conseil de sécurité nationale ou </w:t>
      </w:r>
      <w:r w:rsidRPr="0018072D">
        <w:rPr>
          <w:i/>
          <w:iCs/>
          <w:lang w:eastAsia="fr-FR" w:bidi="fr-FR"/>
        </w:rPr>
        <w:t>National Security Council</w:t>
      </w:r>
      <w:r w:rsidRPr="00681E91">
        <w:rPr>
          <w:lang w:eastAsia="fr-FR" w:bidi="fr-FR"/>
        </w:rPr>
        <w:t xml:space="preserve"> </w:t>
      </w:r>
      <w:r w:rsidRPr="00681E91">
        <w:rPr>
          <w:bCs/>
        </w:rPr>
        <w:t xml:space="preserve">(NSC), </w:t>
      </w:r>
      <w:r w:rsidRPr="00681E91">
        <w:rPr>
          <w:lang w:eastAsia="fr-FR" w:bidi="fr-FR"/>
        </w:rPr>
        <w:t xml:space="preserve">constitue le centre du pouvoir </w:t>
      </w:r>
      <w:r w:rsidRPr="00681E91">
        <w:rPr>
          <w:bCs/>
        </w:rPr>
        <w:t xml:space="preserve">à </w:t>
      </w:r>
      <w:r w:rsidRPr="00681E91">
        <w:rPr>
          <w:lang w:eastAsia="fr-FR" w:bidi="fr-FR"/>
        </w:rPr>
        <w:t xml:space="preserve">la Maison-Blanche. Le </w:t>
      </w:r>
      <w:r w:rsidRPr="00681E91">
        <w:rPr>
          <w:bCs/>
        </w:rPr>
        <w:t xml:space="preserve">NSC </w:t>
      </w:r>
      <w:r w:rsidRPr="00681E91">
        <w:rPr>
          <w:lang w:eastAsia="fr-FR" w:bidi="fr-FR"/>
        </w:rPr>
        <w:t>fait partie d’un Bureau exécutif</w:t>
      </w:r>
      <w:r>
        <w:rPr>
          <w:lang w:eastAsia="fr-FR" w:bidi="fr-FR"/>
        </w:rPr>
        <w:t> </w:t>
      </w:r>
      <w:r>
        <w:rPr>
          <w:rStyle w:val="Appelnotedebasdep"/>
          <w:lang w:eastAsia="fr-FR" w:bidi="fr-FR"/>
        </w:rPr>
        <w:footnoteReference w:id="458"/>
      </w:r>
      <w:r w:rsidRPr="00681E91">
        <w:rPr>
          <w:lang w:eastAsia="fr-FR" w:bidi="fr-FR"/>
        </w:rPr>
        <w:t xml:space="preserve"> qui comprend plusieurs ce</w:t>
      </w:r>
      <w:r w:rsidRPr="00681E91">
        <w:rPr>
          <w:lang w:eastAsia="fr-FR" w:bidi="fr-FR"/>
        </w:rPr>
        <w:t>n</w:t>
      </w:r>
      <w:r w:rsidRPr="00681E91">
        <w:rPr>
          <w:lang w:eastAsia="fr-FR" w:bidi="fr-FR"/>
        </w:rPr>
        <w:t xml:space="preserve">taines de conseillers spéciaux et de hauts fonctionnaires et dispose d’un budget annuel d’environ 40 millions de dollars. L’organisation du </w:t>
      </w:r>
      <w:r w:rsidRPr="00681E91">
        <w:rPr>
          <w:bCs/>
        </w:rPr>
        <w:t xml:space="preserve">NSC </w:t>
      </w:r>
      <w:r w:rsidRPr="00681E91">
        <w:rPr>
          <w:lang w:eastAsia="fr-FR" w:bidi="fr-FR"/>
        </w:rPr>
        <w:t xml:space="preserve">est directement soumise </w:t>
      </w:r>
      <w:r w:rsidRPr="00681E91">
        <w:rPr>
          <w:bCs/>
        </w:rPr>
        <w:t xml:space="preserve">à </w:t>
      </w:r>
      <w:r w:rsidRPr="00681E91">
        <w:rPr>
          <w:lang w:eastAsia="fr-FR" w:bidi="fr-FR"/>
        </w:rPr>
        <w:t>l’autorité du président et est dev</w:t>
      </w:r>
      <w:r w:rsidRPr="00681E91">
        <w:rPr>
          <w:lang w:eastAsia="fr-FR" w:bidi="fr-FR"/>
        </w:rPr>
        <w:t>e</w:t>
      </w:r>
      <w:r w:rsidRPr="00681E91">
        <w:rPr>
          <w:lang w:eastAsia="fr-FR" w:bidi="fr-FR"/>
        </w:rPr>
        <w:t>nue le soutien influent, depuis cinquante ans, de la « présidence imp</w:t>
      </w:r>
      <w:r w:rsidRPr="00681E91">
        <w:rPr>
          <w:lang w:eastAsia="fr-FR" w:bidi="fr-FR"/>
        </w:rPr>
        <w:t>é</w:t>
      </w:r>
      <w:r w:rsidRPr="00681E91">
        <w:rPr>
          <w:lang w:eastAsia="fr-FR" w:bidi="fr-FR"/>
        </w:rPr>
        <w:t>riale ».</w:t>
      </w:r>
    </w:p>
    <w:p w14:paraId="55185BD5" w14:textId="77777777" w:rsidR="0039793A" w:rsidRPr="00681E91" w:rsidRDefault="0039793A" w:rsidP="0039793A">
      <w:pPr>
        <w:spacing w:before="120" w:after="120"/>
        <w:jc w:val="both"/>
        <w:rPr>
          <w:lang w:eastAsia="fr-FR" w:bidi="fr-FR"/>
        </w:rPr>
      </w:pPr>
      <w:r w:rsidRPr="00681E91">
        <w:rPr>
          <w:lang w:eastAsia="fr-FR" w:bidi="fr-FR"/>
        </w:rPr>
        <w:t xml:space="preserve">Il n’est pas surprenant que le </w:t>
      </w:r>
      <w:r w:rsidRPr="00681E91">
        <w:rPr>
          <w:bCs/>
        </w:rPr>
        <w:t xml:space="preserve">NSC </w:t>
      </w:r>
      <w:r w:rsidRPr="00681E91">
        <w:rPr>
          <w:lang w:eastAsia="fr-FR" w:bidi="fr-FR"/>
        </w:rPr>
        <w:t xml:space="preserve">soit devenu, avec le temps, l’agence centrale de l’élaboration de la politique étrangère - éclipsant petit à petit le Département d’État. L’organisation du </w:t>
      </w:r>
      <w:r w:rsidRPr="00681E91">
        <w:rPr>
          <w:bCs/>
        </w:rPr>
        <w:t xml:space="preserve">NSC </w:t>
      </w:r>
      <w:r w:rsidRPr="00681E91">
        <w:rPr>
          <w:lang w:eastAsia="fr-FR" w:bidi="fr-FR"/>
        </w:rPr>
        <w:t>est géogr</w:t>
      </w:r>
      <w:r w:rsidRPr="00681E91">
        <w:rPr>
          <w:lang w:eastAsia="fr-FR" w:bidi="fr-FR"/>
        </w:rPr>
        <w:t>a</w:t>
      </w:r>
      <w:r w:rsidRPr="00681E91">
        <w:rPr>
          <w:lang w:eastAsia="fr-FR" w:bidi="fr-FR"/>
        </w:rPr>
        <w:t>phiquement proche du président - puisqu’elle est dans l'</w:t>
      </w:r>
      <w:r w:rsidRPr="0018072D">
        <w:rPr>
          <w:i/>
          <w:iCs/>
          <w:lang w:eastAsia="fr-FR" w:bidi="fr-FR"/>
        </w:rPr>
        <w:t>Executive</w:t>
      </w:r>
      <w:r w:rsidRPr="0018072D">
        <w:rPr>
          <w:i/>
          <w:iCs/>
        </w:rPr>
        <w:t xml:space="preserve"> O</w:t>
      </w:r>
      <w:r w:rsidRPr="0018072D">
        <w:rPr>
          <w:i/>
          <w:iCs/>
        </w:rPr>
        <w:t>f</w:t>
      </w:r>
      <w:r w:rsidRPr="0018072D">
        <w:rPr>
          <w:i/>
          <w:iCs/>
        </w:rPr>
        <w:t>fice</w:t>
      </w:r>
      <w:r w:rsidRPr="0018072D">
        <w:rPr>
          <w:i/>
          <w:iCs/>
          <w:lang w:eastAsia="fr-FR" w:bidi="fr-FR"/>
        </w:rPr>
        <w:t xml:space="preserve"> </w:t>
      </w:r>
      <w:r w:rsidRPr="001C2E2B">
        <w:rPr>
          <w:lang w:eastAsia="fr-FR" w:bidi="fr-FR"/>
        </w:rPr>
        <w:t>en face de la Maison-Blanche. Elle lui est</w:t>
      </w:r>
      <w:r>
        <w:t xml:space="preserve"> [212] </w:t>
      </w:r>
      <w:r w:rsidRPr="00681E91">
        <w:rPr>
          <w:lang w:eastAsia="fr-FR" w:bidi="fr-FR"/>
        </w:rPr>
        <w:t>entièrement d</w:t>
      </w:r>
      <w:r w:rsidRPr="00681E91">
        <w:rPr>
          <w:lang w:eastAsia="fr-FR" w:bidi="fr-FR"/>
        </w:rPr>
        <w:t>é</w:t>
      </w:r>
      <w:r w:rsidRPr="00681E91">
        <w:rPr>
          <w:lang w:eastAsia="fr-FR" w:bidi="fr-FR"/>
        </w:rPr>
        <w:t>vouée et loyale. Le président, en effet, peut struct</w:t>
      </w:r>
      <w:r w:rsidRPr="00681E91">
        <w:rPr>
          <w:lang w:eastAsia="fr-FR" w:bidi="fr-FR"/>
        </w:rPr>
        <w:t>u</w:t>
      </w:r>
      <w:r w:rsidRPr="00681E91">
        <w:rPr>
          <w:lang w:eastAsia="fr-FR" w:bidi="fr-FR"/>
        </w:rPr>
        <w:t xml:space="preserve">rer et utiliser le </w:t>
      </w:r>
      <w:r w:rsidRPr="00681E91">
        <w:rPr>
          <w:bCs/>
        </w:rPr>
        <w:t xml:space="preserve">NSC </w:t>
      </w:r>
      <w:r w:rsidRPr="00681E91">
        <w:rPr>
          <w:lang w:eastAsia="fr-FR" w:bidi="fr-FR"/>
        </w:rPr>
        <w:t xml:space="preserve">comme il le souhaite. Aussi, dans la conduite de la politique étrangère, le </w:t>
      </w:r>
      <w:r w:rsidRPr="00681E91">
        <w:rPr>
          <w:bCs/>
        </w:rPr>
        <w:t xml:space="preserve">NSC </w:t>
      </w:r>
      <w:r w:rsidRPr="00681E91">
        <w:rPr>
          <w:lang w:eastAsia="fr-FR" w:bidi="fr-FR"/>
        </w:rPr>
        <w:t>constitue-t-il un atout précieux, auquel chaque pr</w:t>
      </w:r>
      <w:r w:rsidRPr="00681E91">
        <w:rPr>
          <w:lang w:eastAsia="fr-FR" w:bidi="fr-FR"/>
        </w:rPr>
        <w:t>é</w:t>
      </w:r>
      <w:r w:rsidRPr="00681E91">
        <w:rPr>
          <w:lang w:eastAsia="fr-FR" w:bidi="fr-FR"/>
        </w:rPr>
        <w:t>sident a recouru de façon différente. Il reste pourtant que tous les pr</w:t>
      </w:r>
      <w:r w:rsidRPr="00681E91">
        <w:rPr>
          <w:lang w:eastAsia="fr-FR" w:bidi="fr-FR"/>
        </w:rPr>
        <w:t>é</w:t>
      </w:r>
      <w:r w:rsidRPr="00681E91">
        <w:rPr>
          <w:lang w:eastAsia="fr-FR" w:bidi="fr-FR"/>
        </w:rPr>
        <w:t xml:space="preserve">sidents ont fait appel au </w:t>
      </w:r>
      <w:r w:rsidRPr="00681E91">
        <w:rPr>
          <w:bCs/>
        </w:rPr>
        <w:t xml:space="preserve">NSC </w:t>
      </w:r>
      <w:r w:rsidRPr="00681E91">
        <w:rPr>
          <w:lang w:eastAsia="fr-FR" w:bidi="fr-FR"/>
        </w:rPr>
        <w:t xml:space="preserve">pour formuler la politique étrangère. Le </w:t>
      </w:r>
      <w:r w:rsidRPr="00681E91">
        <w:rPr>
          <w:bCs/>
        </w:rPr>
        <w:t xml:space="preserve">NSC </w:t>
      </w:r>
      <w:r w:rsidRPr="00681E91">
        <w:rPr>
          <w:lang w:eastAsia="fr-FR" w:bidi="fr-FR"/>
        </w:rPr>
        <w:t>reste une organisation méco</w:t>
      </w:r>
      <w:r w:rsidRPr="00681E91">
        <w:rPr>
          <w:lang w:eastAsia="fr-FR" w:bidi="fr-FR"/>
        </w:rPr>
        <w:t>n</w:t>
      </w:r>
      <w:r w:rsidRPr="00681E91">
        <w:rPr>
          <w:lang w:eastAsia="fr-FR" w:bidi="fr-FR"/>
        </w:rPr>
        <w:t>nue et complexe</w:t>
      </w:r>
      <w:r>
        <w:rPr>
          <w:lang w:eastAsia="fr-FR" w:bidi="fr-FR"/>
        </w:rPr>
        <w:t> </w:t>
      </w:r>
      <w:r>
        <w:rPr>
          <w:rStyle w:val="Appelnotedebasdep"/>
          <w:lang w:eastAsia="fr-FR" w:bidi="fr-FR"/>
        </w:rPr>
        <w:footnoteReference w:id="459"/>
      </w:r>
      <w:r w:rsidRPr="00681E91">
        <w:rPr>
          <w:lang w:eastAsia="fr-FR" w:bidi="fr-FR"/>
        </w:rPr>
        <w:t>. Si, à l’origine il devait esse</w:t>
      </w:r>
      <w:r w:rsidRPr="00681E91">
        <w:rPr>
          <w:lang w:eastAsia="fr-FR" w:bidi="fr-FR"/>
        </w:rPr>
        <w:t>n</w:t>
      </w:r>
      <w:r w:rsidRPr="00681E91">
        <w:rPr>
          <w:lang w:eastAsia="fr-FR" w:bidi="fr-FR"/>
        </w:rPr>
        <w:t>tiellement exercer les fonctions d’organisme conseil, ce rôle s’est progressivement effacé tandis que se sont grandement dév</w:t>
      </w:r>
      <w:r w:rsidRPr="00681E91">
        <w:rPr>
          <w:lang w:eastAsia="fr-FR" w:bidi="fr-FR"/>
        </w:rPr>
        <w:t>e</w:t>
      </w:r>
      <w:r w:rsidRPr="00681E91">
        <w:rPr>
          <w:lang w:eastAsia="fr-FR" w:bidi="fr-FR"/>
        </w:rPr>
        <w:t xml:space="preserve">loppées des fonctions nouvelles autour du conseiller pour la Sécurité nationale et de son personnel. Ainsi, alors que le </w:t>
      </w:r>
      <w:r w:rsidRPr="00681E91">
        <w:rPr>
          <w:bCs/>
        </w:rPr>
        <w:t xml:space="preserve">NSC </w:t>
      </w:r>
      <w:r w:rsidRPr="00681E91">
        <w:rPr>
          <w:lang w:eastAsia="fr-FR" w:bidi="fr-FR"/>
        </w:rPr>
        <w:t>devait forme</w:t>
      </w:r>
      <w:r w:rsidRPr="00681E91">
        <w:rPr>
          <w:lang w:eastAsia="fr-FR" w:bidi="fr-FR"/>
        </w:rPr>
        <w:t>l</w:t>
      </w:r>
      <w:r w:rsidRPr="00681E91">
        <w:rPr>
          <w:lang w:eastAsia="fr-FR" w:bidi="fr-FR"/>
        </w:rPr>
        <w:t>lement être limité à son rôle de comité de coordination, il s’est, en r</w:t>
      </w:r>
      <w:r w:rsidRPr="00681E91">
        <w:rPr>
          <w:lang w:eastAsia="fr-FR" w:bidi="fr-FR"/>
        </w:rPr>
        <w:t>é</w:t>
      </w:r>
      <w:r w:rsidRPr="00681E91">
        <w:rPr>
          <w:lang w:eastAsia="fr-FR" w:bidi="fr-FR"/>
        </w:rPr>
        <w:t>alité, métamorphosé en organisation prés</w:t>
      </w:r>
      <w:r w:rsidRPr="00681E91">
        <w:rPr>
          <w:lang w:eastAsia="fr-FR" w:bidi="fr-FR"/>
        </w:rPr>
        <w:t>i</w:t>
      </w:r>
      <w:r w:rsidRPr="00681E91">
        <w:rPr>
          <w:lang w:eastAsia="fr-FR" w:bidi="fr-FR"/>
        </w:rPr>
        <w:t>dentielle de planification et de mise en œuvre de la politique étrang</w:t>
      </w:r>
      <w:r w:rsidRPr="00681E91">
        <w:rPr>
          <w:lang w:eastAsia="fr-FR" w:bidi="fr-FR"/>
        </w:rPr>
        <w:t>è</w:t>
      </w:r>
      <w:r w:rsidRPr="00681E91">
        <w:rPr>
          <w:lang w:eastAsia="fr-FR" w:bidi="fr-FR"/>
        </w:rPr>
        <w:t xml:space="preserve">re. En soi, les conditions de la mise en place du </w:t>
      </w:r>
      <w:r w:rsidRPr="00681E91">
        <w:rPr>
          <w:bCs/>
        </w:rPr>
        <w:t xml:space="preserve">NSC </w:t>
      </w:r>
      <w:r w:rsidRPr="00681E91">
        <w:rPr>
          <w:lang w:eastAsia="fr-FR" w:bidi="fr-FR"/>
        </w:rPr>
        <w:t>ne laissaient pas vraiment augurer de la vérit</w:t>
      </w:r>
      <w:r w:rsidRPr="00681E91">
        <w:rPr>
          <w:lang w:eastAsia="fr-FR" w:bidi="fr-FR"/>
        </w:rPr>
        <w:t>a</w:t>
      </w:r>
      <w:r w:rsidRPr="00681E91">
        <w:rPr>
          <w:lang w:eastAsia="fr-FR" w:bidi="fr-FR"/>
        </w:rPr>
        <w:t>ble nature du processus décisionnel en son sein et surtout de son év</w:t>
      </w:r>
      <w:r w:rsidRPr="00681E91">
        <w:rPr>
          <w:lang w:eastAsia="fr-FR" w:bidi="fr-FR"/>
        </w:rPr>
        <w:t>o</w:t>
      </w:r>
      <w:r w:rsidRPr="00681E91">
        <w:rPr>
          <w:lang w:eastAsia="fr-FR" w:bidi="fr-FR"/>
        </w:rPr>
        <w:t>lution dans le jeu de la politique étrang</w:t>
      </w:r>
      <w:r w:rsidRPr="00681E91">
        <w:rPr>
          <w:lang w:eastAsia="fr-FR" w:bidi="fr-FR"/>
        </w:rPr>
        <w:t>è</w:t>
      </w:r>
      <w:r w:rsidRPr="00681E91">
        <w:rPr>
          <w:lang w:eastAsia="fr-FR" w:bidi="fr-FR"/>
        </w:rPr>
        <w:t>re.</w:t>
      </w:r>
    </w:p>
    <w:p w14:paraId="2287CDC7" w14:textId="77777777" w:rsidR="0039793A" w:rsidRPr="00681E91" w:rsidRDefault="0039793A" w:rsidP="0039793A">
      <w:pPr>
        <w:spacing w:before="120" w:after="120"/>
        <w:jc w:val="both"/>
        <w:rPr>
          <w:lang w:eastAsia="fr-FR" w:bidi="fr-FR"/>
        </w:rPr>
      </w:pPr>
    </w:p>
    <w:p w14:paraId="4EEE0523" w14:textId="77777777" w:rsidR="0039793A" w:rsidRPr="000C4024" w:rsidRDefault="0039793A" w:rsidP="0039793A">
      <w:pPr>
        <w:pStyle w:val="planche"/>
        <w:rPr>
          <w:lang w:eastAsia="fr-FR" w:bidi="fr-FR"/>
        </w:rPr>
      </w:pPr>
      <w:bookmarkStart w:id="29" w:name="Pol_EU_pt_2_chap_07_1"/>
      <w:r w:rsidRPr="000C4024">
        <w:rPr>
          <w:lang w:eastAsia="fr-FR" w:bidi="fr-FR"/>
        </w:rPr>
        <w:t>La mise en place du NSC</w:t>
      </w:r>
    </w:p>
    <w:bookmarkEnd w:id="29"/>
    <w:p w14:paraId="1C47F240" w14:textId="77777777" w:rsidR="0039793A" w:rsidRPr="00681E91" w:rsidRDefault="0039793A" w:rsidP="0039793A">
      <w:pPr>
        <w:spacing w:before="120" w:after="120"/>
        <w:jc w:val="both"/>
        <w:rPr>
          <w:lang w:eastAsia="fr-FR" w:bidi="fr-FR"/>
        </w:rPr>
      </w:pPr>
    </w:p>
    <w:p w14:paraId="0F252F42"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092BEAF" w14:textId="77777777" w:rsidR="0039793A" w:rsidRPr="00681E91" w:rsidRDefault="0039793A" w:rsidP="0039793A">
      <w:pPr>
        <w:spacing w:before="120" w:after="120"/>
        <w:jc w:val="both"/>
        <w:rPr>
          <w:lang w:eastAsia="fr-FR" w:bidi="fr-FR"/>
        </w:rPr>
      </w:pPr>
      <w:r w:rsidRPr="00681E91">
        <w:rPr>
          <w:lang w:eastAsia="fr-FR" w:bidi="fr-FR"/>
        </w:rPr>
        <w:t xml:space="preserve">Le </w:t>
      </w:r>
      <w:r w:rsidRPr="00681E91">
        <w:rPr>
          <w:bCs/>
        </w:rPr>
        <w:t xml:space="preserve">NSC </w:t>
      </w:r>
      <w:r w:rsidRPr="00681E91">
        <w:rPr>
          <w:lang w:eastAsia="fr-FR" w:bidi="fr-FR"/>
        </w:rPr>
        <w:t xml:space="preserve">est créé par le </w:t>
      </w:r>
      <w:r w:rsidRPr="000C4024">
        <w:rPr>
          <w:i/>
          <w:iCs/>
          <w:lang w:eastAsia="fr-FR" w:bidi="fr-FR"/>
        </w:rPr>
        <w:t>National Security Act</w:t>
      </w:r>
      <w:r w:rsidRPr="00681E91">
        <w:rPr>
          <w:lang w:eastAsia="fr-FR" w:bidi="fr-FR"/>
        </w:rPr>
        <w:t xml:space="preserve"> de 1947, aux fins de « conseiller le président à pa</w:t>
      </w:r>
      <w:r w:rsidRPr="00681E91">
        <w:rPr>
          <w:lang w:eastAsia="fr-FR" w:bidi="fr-FR"/>
        </w:rPr>
        <w:t>r</w:t>
      </w:r>
      <w:r w:rsidRPr="00681E91">
        <w:rPr>
          <w:lang w:eastAsia="fr-FR" w:bidi="fr-FR"/>
        </w:rPr>
        <w:t>tir d’une politique intégrant les facteurs militaires, intérieurs et internationaux de la sécurité nationale, afin de permettre aux départements militaires et autres agences du gouvern</w:t>
      </w:r>
      <w:r w:rsidRPr="00681E91">
        <w:rPr>
          <w:lang w:eastAsia="fr-FR" w:bidi="fr-FR"/>
        </w:rPr>
        <w:t>e</w:t>
      </w:r>
      <w:r w:rsidRPr="00681E91">
        <w:rPr>
          <w:lang w:eastAsia="fr-FR" w:bidi="fr-FR"/>
        </w:rPr>
        <w:t>ment de coopérer efficacement en ce domaine</w:t>
      </w:r>
      <w:r>
        <w:rPr>
          <w:lang w:eastAsia="fr-FR" w:bidi="fr-FR"/>
        </w:rPr>
        <w:t> </w:t>
      </w:r>
      <w:r>
        <w:rPr>
          <w:rStyle w:val="Appelnotedebasdep"/>
          <w:lang w:eastAsia="fr-FR" w:bidi="fr-FR"/>
        </w:rPr>
        <w:footnoteReference w:id="460"/>
      </w:r>
      <w:r w:rsidRPr="00681E91">
        <w:rPr>
          <w:lang w:eastAsia="fr-FR" w:bidi="fr-FR"/>
        </w:rPr>
        <w:t> ». Le contexte dans l</w:t>
      </w:r>
      <w:r w:rsidRPr="00681E91">
        <w:rPr>
          <w:lang w:eastAsia="fr-FR" w:bidi="fr-FR"/>
        </w:rPr>
        <w:t>e</w:t>
      </w:r>
      <w:r w:rsidRPr="00681E91">
        <w:rPr>
          <w:lang w:eastAsia="fr-FR" w:bidi="fr-FR"/>
        </w:rPr>
        <w:t>quel il est mis en place va largement déterminer les missions qui lui sont dévolues et sa structure.</w:t>
      </w:r>
    </w:p>
    <w:p w14:paraId="38AA12E5" w14:textId="77777777" w:rsidR="0039793A" w:rsidRPr="00681E91" w:rsidRDefault="0039793A" w:rsidP="0039793A">
      <w:pPr>
        <w:spacing w:before="120" w:after="120"/>
        <w:jc w:val="both"/>
        <w:rPr>
          <w:lang w:eastAsia="fr-FR" w:bidi="fr-FR"/>
        </w:rPr>
      </w:pPr>
    </w:p>
    <w:p w14:paraId="6FA3B46E" w14:textId="77777777" w:rsidR="0039793A" w:rsidRPr="00681E91" w:rsidRDefault="0039793A" w:rsidP="0039793A">
      <w:pPr>
        <w:pStyle w:val="a"/>
      </w:pPr>
      <w:r w:rsidRPr="00681E91">
        <w:t xml:space="preserve">Le contexte de la création du </w:t>
      </w:r>
      <w:r w:rsidRPr="00681E91">
        <w:rPr>
          <w:bCs/>
        </w:rPr>
        <w:t>NSC</w:t>
      </w:r>
    </w:p>
    <w:p w14:paraId="764DC69C" w14:textId="77777777" w:rsidR="0039793A" w:rsidRPr="00681E91" w:rsidRDefault="0039793A" w:rsidP="0039793A">
      <w:pPr>
        <w:spacing w:before="120" w:after="120"/>
        <w:jc w:val="both"/>
        <w:rPr>
          <w:lang w:eastAsia="fr-FR" w:bidi="fr-FR"/>
        </w:rPr>
      </w:pPr>
    </w:p>
    <w:p w14:paraId="20C9492F" w14:textId="77777777" w:rsidR="0039793A" w:rsidRPr="001C2E2B" w:rsidRDefault="0039793A" w:rsidP="0039793A">
      <w:pPr>
        <w:spacing w:before="120" w:after="120"/>
        <w:jc w:val="both"/>
      </w:pPr>
      <w:r w:rsidRPr="00681E91">
        <w:rPr>
          <w:lang w:eastAsia="fr-FR" w:bidi="fr-FR"/>
        </w:rPr>
        <w:t xml:space="preserve">La plupart des ouvrages relatifs à la politique étrangère américaine expliquent la création du </w:t>
      </w:r>
      <w:r w:rsidRPr="00681E91">
        <w:rPr>
          <w:bCs/>
        </w:rPr>
        <w:t xml:space="preserve">NSC </w:t>
      </w:r>
      <w:r w:rsidRPr="00681E91">
        <w:rPr>
          <w:lang w:eastAsia="fr-FR" w:bidi="fr-FR"/>
        </w:rPr>
        <w:t>d’une part</w:t>
      </w:r>
      <w:r w:rsidRPr="001C2E2B">
        <w:rPr>
          <w:lang w:eastAsia="fr-FR" w:bidi="fr-FR"/>
        </w:rPr>
        <w:t xml:space="preserve"> par une volonté</w:t>
      </w:r>
      <w:r>
        <w:t xml:space="preserve"> [213] </w:t>
      </w:r>
      <w:r w:rsidRPr="001C2E2B">
        <w:rPr>
          <w:lang w:eastAsia="fr-FR" w:bidi="fr-FR"/>
        </w:rPr>
        <w:t>de remédier à l’incohérence décisionnelle qui régnait sous F.D. Roos</w:t>
      </w:r>
      <w:r w:rsidRPr="001C2E2B">
        <w:rPr>
          <w:lang w:eastAsia="fr-FR" w:bidi="fr-FR"/>
        </w:rPr>
        <w:t>e</w:t>
      </w:r>
      <w:r w:rsidRPr="001C2E2B">
        <w:rPr>
          <w:lang w:eastAsia="fr-FR" w:bidi="fr-FR"/>
        </w:rPr>
        <w:t>velt et, d’autre part, par le besoin de renforcer l’intérêt national et de mieux affronter les nouveaux enjeux de sécurité à l’aube de la guerre froide</w:t>
      </w:r>
      <w:r>
        <w:rPr>
          <w:lang w:eastAsia="fr-FR" w:bidi="fr-FR"/>
        </w:rPr>
        <w:t> </w:t>
      </w:r>
      <w:r>
        <w:rPr>
          <w:rStyle w:val="Appelnotedebasdep"/>
          <w:lang w:eastAsia="fr-FR" w:bidi="fr-FR"/>
        </w:rPr>
        <w:footnoteReference w:id="461"/>
      </w:r>
      <w:r w:rsidRPr="001C2E2B">
        <w:t>.</w:t>
      </w:r>
      <w:r w:rsidRPr="001C2E2B">
        <w:rPr>
          <w:lang w:eastAsia="fr-FR" w:bidi="fr-FR"/>
        </w:rPr>
        <w:t xml:space="preserve"> En ce sens, en adoptant la loi de 1947, le Congrès pensait </w:t>
      </w:r>
      <w:r w:rsidRPr="000C4024">
        <w:rPr>
          <w:i/>
          <w:iCs/>
        </w:rPr>
        <w:t>contraindre</w:t>
      </w:r>
      <w:r w:rsidRPr="001C2E2B">
        <w:rPr>
          <w:lang w:eastAsia="fr-FR" w:bidi="fr-FR"/>
        </w:rPr>
        <w:t xml:space="preserve"> le prés</w:t>
      </w:r>
      <w:r w:rsidRPr="001C2E2B">
        <w:rPr>
          <w:lang w:eastAsia="fr-FR" w:bidi="fr-FR"/>
        </w:rPr>
        <w:t>i</w:t>
      </w:r>
      <w:r w:rsidRPr="001C2E2B">
        <w:rPr>
          <w:lang w:eastAsia="fr-FR" w:bidi="fr-FR"/>
        </w:rPr>
        <w:t xml:space="preserve">dent Truman, et ses successeurs, à </w:t>
      </w:r>
      <w:r w:rsidRPr="000C4024">
        <w:rPr>
          <w:i/>
          <w:iCs/>
        </w:rPr>
        <w:t>devoir</w:t>
      </w:r>
      <w:r w:rsidRPr="000C4024">
        <w:rPr>
          <w:i/>
          <w:iCs/>
          <w:lang w:eastAsia="fr-FR" w:bidi="fr-FR"/>
        </w:rPr>
        <w:t xml:space="preserve"> </w:t>
      </w:r>
      <w:r w:rsidRPr="001C2E2B">
        <w:rPr>
          <w:lang w:eastAsia="fr-FR" w:bidi="fr-FR"/>
        </w:rPr>
        <w:t>tenir compte des avis de leurs secrétaires et conseillers dans la prise de d</w:t>
      </w:r>
      <w:r w:rsidRPr="001C2E2B">
        <w:rPr>
          <w:lang w:eastAsia="fr-FR" w:bidi="fr-FR"/>
        </w:rPr>
        <w:t>é</w:t>
      </w:r>
      <w:r w:rsidRPr="001C2E2B">
        <w:rPr>
          <w:lang w:eastAsia="fr-FR" w:bidi="fr-FR"/>
        </w:rPr>
        <w:t>cision. Celle-ci était devenue trop importante et trop engageante pour être lai</w:t>
      </w:r>
      <w:r w:rsidRPr="001C2E2B">
        <w:rPr>
          <w:lang w:eastAsia="fr-FR" w:bidi="fr-FR"/>
        </w:rPr>
        <w:t>s</w:t>
      </w:r>
      <w:r w:rsidRPr="001C2E2B">
        <w:rPr>
          <w:lang w:eastAsia="fr-FR" w:bidi="fr-FR"/>
        </w:rPr>
        <w:t>sée aux mains du seul président. Cette explication, en réalité, et comme l’explique Amy Zegart est loin de la vérité</w:t>
      </w:r>
      <w:r>
        <w:rPr>
          <w:lang w:eastAsia="fr-FR" w:bidi="fr-FR"/>
        </w:rPr>
        <w:t> </w:t>
      </w:r>
      <w:r>
        <w:rPr>
          <w:rStyle w:val="Appelnotedebasdep"/>
          <w:lang w:eastAsia="fr-FR" w:bidi="fr-FR"/>
        </w:rPr>
        <w:footnoteReference w:id="462"/>
      </w:r>
      <w:r w:rsidRPr="001C2E2B">
        <w:rPr>
          <w:lang w:eastAsia="fr-FR" w:bidi="fr-FR"/>
        </w:rPr>
        <w:t xml:space="preserve">. En réalité, la création du </w:t>
      </w:r>
      <w:r w:rsidRPr="001C2E2B">
        <w:t xml:space="preserve">NSC </w:t>
      </w:r>
      <w:r w:rsidRPr="001C2E2B">
        <w:rPr>
          <w:lang w:eastAsia="fr-FR" w:bidi="fr-FR"/>
        </w:rPr>
        <w:t>constitue plutôt un accident de parcours.</w:t>
      </w:r>
    </w:p>
    <w:p w14:paraId="650942F3" w14:textId="77777777" w:rsidR="0039793A" w:rsidRDefault="0039793A" w:rsidP="0039793A">
      <w:pPr>
        <w:spacing w:before="120" w:after="120"/>
        <w:jc w:val="both"/>
        <w:rPr>
          <w:lang w:eastAsia="fr-FR" w:bidi="fr-FR"/>
        </w:rPr>
      </w:pPr>
    </w:p>
    <w:p w14:paraId="2F5A4AEE" w14:textId="77777777" w:rsidR="0039793A" w:rsidRPr="000C4024" w:rsidRDefault="0039793A" w:rsidP="0039793A">
      <w:pPr>
        <w:pStyle w:val="b"/>
      </w:pPr>
      <w:r w:rsidRPr="000C4024">
        <w:rPr>
          <w:lang w:eastAsia="fr-FR" w:bidi="fr-FR"/>
        </w:rPr>
        <w:t>Une lutte bureaucratique</w:t>
      </w:r>
    </w:p>
    <w:p w14:paraId="35F96075" w14:textId="77777777" w:rsidR="0039793A" w:rsidRDefault="0039793A" w:rsidP="0039793A">
      <w:pPr>
        <w:spacing w:before="120" w:after="120"/>
        <w:jc w:val="both"/>
        <w:rPr>
          <w:lang w:eastAsia="fr-FR" w:bidi="fr-FR"/>
        </w:rPr>
      </w:pPr>
    </w:p>
    <w:p w14:paraId="3AF633BC" w14:textId="77777777" w:rsidR="0039793A" w:rsidRPr="00681E91" w:rsidRDefault="0039793A" w:rsidP="0039793A">
      <w:pPr>
        <w:spacing w:before="120" w:after="120"/>
        <w:jc w:val="both"/>
        <w:rPr>
          <w:lang w:eastAsia="fr-FR" w:bidi="fr-FR"/>
        </w:rPr>
      </w:pPr>
      <w:r w:rsidRPr="001C2E2B">
        <w:rPr>
          <w:lang w:eastAsia="fr-FR" w:bidi="fr-FR"/>
        </w:rPr>
        <w:t>La création du</w:t>
      </w:r>
      <w:r w:rsidRPr="00681E91">
        <w:rPr>
          <w:lang w:eastAsia="fr-FR" w:bidi="fr-FR"/>
        </w:rPr>
        <w:t xml:space="preserve"> </w:t>
      </w:r>
      <w:r w:rsidRPr="00681E91">
        <w:rPr>
          <w:bCs/>
        </w:rPr>
        <w:t>NSC</w:t>
      </w:r>
      <w:r w:rsidRPr="001C2E2B">
        <w:rPr>
          <w:rStyle w:val="Corpsdutexte28ptGras"/>
        </w:rPr>
        <w:t xml:space="preserve"> </w:t>
      </w:r>
      <w:r w:rsidRPr="001C2E2B">
        <w:rPr>
          <w:lang w:eastAsia="fr-FR" w:bidi="fr-FR"/>
        </w:rPr>
        <w:t>est davantage le fait d’une lutte bureaucrat</w:t>
      </w:r>
      <w:r w:rsidRPr="001C2E2B">
        <w:rPr>
          <w:lang w:eastAsia="fr-FR" w:bidi="fr-FR"/>
        </w:rPr>
        <w:t>i</w:t>
      </w:r>
      <w:r w:rsidRPr="001C2E2B">
        <w:rPr>
          <w:lang w:eastAsia="fr-FR" w:bidi="fr-FR"/>
        </w:rPr>
        <w:t>que, durant et après la seconde guerre mondiale, entre l’armée de Te</w:t>
      </w:r>
      <w:r w:rsidRPr="001C2E2B">
        <w:rPr>
          <w:lang w:eastAsia="fr-FR" w:bidi="fr-FR"/>
        </w:rPr>
        <w:t>r</w:t>
      </w:r>
      <w:r w:rsidRPr="001C2E2B">
        <w:rPr>
          <w:lang w:eastAsia="fr-FR" w:bidi="fr-FR"/>
        </w:rPr>
        <w:t xml:space="preserve">re et la Marine - la première </w:t>
      </w:r>
      <w:r w:rsidRPr="00681E91">
        <w:rPr>
          <w:lang w:eastAsia="fr-FR" w:bidi="fr-FR"/>
        </w:rPr>
        <w:t>favorisant l’unification des a</w:t>
      </w:r>
      <w:r w:rsidRPr="00681E91">
        <w:rPr>
          <w:lang w:eastAsia="fr-FR" w:bidi="fr-FR"/>
        </w:rPr>
        <w:t>r</w:t>
      </w:r>
      <w:r w:rsidRPr="00681E91">
        <w:rPr>
          <w:lang w:eastAsia="fr-FR" w:bidi="fr-FR"/>
        </w:rPr>
        <w:t xml:space="preserve">mées, la seconde voulant préserver son autonomie et son influence. Le </w:t>
      </w:r>
      <w:r w:rsidRPr="00681E91">
        <w:rPr>
          <w:bCs/>
        </w:rPr>
        <w:t>NSC</w:t>
      </w:r>
      <w:r w:rsidRPr="00681E91">
        <w:rPr>
          <w:b/>
          <w:bCs/>
        </w:rPr>
        <w:t xml:space="preserve"> </w:t>
      </w:r>
      <w:r w:rsidRPr="00681E91">
        <w:rPr>
          <w:lang w:eastAsia="fr-FR" w:bidi="fr-FR"/>
        </w:rPr>
        <w:t xml:space="preserve">doit en fait son existence </w:t>
      </w:r>
      <w:r w:rsidRPr="00681E91">
        <w:rPr>
          <w:bCs/>
        </w:rPr>
        <w:t>à</w:t>
      </w:r>
      <w:r w:rsidRPr="00681E91">
        <w:rPr>
          <w:b/>
          <w:bCs/>
        </w:rPr>
        <w:t xml:space="preserve"> </w:t>
      </w:r>
      <w:r w:rsidRPr="00681E91">
        <w:rPr>
          <w:lang w:eastAsia="fr-FR" w:bidi="fr-FR"/>
        </w:rPr>
        <w:t xml:space="preserve">la marine américaine </w:t>
      </w:r>
      <w:r w:rsidRPr="001C2E2B">
        <w:rPr>
          <w:lang w:eastAsia="fr-FR" w:bidi="fr-FR"/>
        </w:rPr>
        <w:t>et non au présumé intérêt national. La petite histoire bureaucratique des or</w:t>
      </w:r>
      <w:r w:rsidRPr="001C2E2B">
        <w:rPr>
          <w:lang w:eastAsia="fr-FR" w:bidi="fr-FR"/>
        </w:rPr>
        <w:t>i</w:t>
      </w:r>
      <w:r w:rsidRPr="001C2E2B">
        <w:rPr>
          <w:lang w:eastAsia="fr-FR" w:bidi="fr-FR"/>
        </w:rPr>
        <w:t>gines du Conseil de sécurité nationale est ainsi éclairante</w:t>
      </w:r>
      <w:r>
        <w:rPr>
          <w:lang w:eastAsia="fr-FR" w:bidi="fr-FR"/>
        </w:rPr>
        <w:t> </w:t>
      </w:r>
      <w:r>
        <w:rPr>
          <w:rStyle w:val="Appelnotedebasdep"/>
          <w:lang w:eastAsia="fr-FR" w:bidi="fr-FR"/>
        </w:rPr>
        <w:footnoteReference w:id="463"/>
      </w:r>
      <w:r w:rsidRPr="001C2E2B">
        <w:rPr>
          <w:lang w:eastAsia="fr-FR" w:bidi="fr-FR"/>
        </w:rPr>
        <w:t xml:space="preserve">. Le président Truman voulait mettre fin aux arrangements </w:t>
      </w:r>
      <w:r w:rsidRPr="007325F8">
        <w:rPr>
          <w:i/>
          <w:iCs/>
        </w:rPr>
        <w:t>ad hoc</w:t>
      </w:r>
      <w:r w:rsidRPr="007325F8">
        <w:t xml:space="preserve"> </w:t>
      </w:r>
      <w:r w:rsidRPr="001C2E2B">
        <w:rPr>
          <w:lang w:eastAsia="fr-FR" w:bidi="fr-FR"/>
        </w:rPr>
        <w:t>qui existaient d</w:t>
      </w:r>
      <w:r w:rsidRPr="001C2E2B">
        <w:rPr>
          <w:lang w:eastAsia="fr-FR" w:bidi="fr-FR"/>
        </w:rPr>
        <w:t>e</w:t>
      </w:r>
      <w:r w:rsidRPr="001C2E2B">
        <w:rPr>
          <w:lang w:eastAsia="fr-FR" w:bidi="fr-FR"/>
        </w:rPr>
        <w:t>puis 1935, et ne permettaient des conseils de guerre (associant la pr</w:t>
      </w:r>
      <w:r w:rsidRPr="001C2E2B">
        <w:rPr>
          <w:lang w:eastAsia="fr-FR" w:bidi="fr-FR"/>
        </w:rPr>
        <w:t>é</w:t>
      </w:r>
      <w:r w:rsidRPr="001C2E2B">
        <w:rPr>
          <w:lang w:eastAsia="fr-FR" w:bidi="fr-FR"/>
        </w:rPr>
        <w:t>side</w:t>
      </w:r>
      <w:r w:rsidRPr="001C2E2B">
        <w:rPr>
          <w:lang w:eastAsia="fr-FR" w:bidi="fr-FR"/>
        </w:rPr>
        <w:t>n</w:t>
      </w:r>
      <w:r w:rsidRPr="001C2E2B">
        <w:rPr>
          <w:lang w:eastAsia="fr-FR" w:bidi="fr-FR"/>
        </w:rPr>
        <w:t>ce, les secrétaires d’</w:t>
      </w:r>
      <w:r>
        <w:rPr>
          <w:lang w:eastAsia="fr-FR" w:bidi="fr-FR"/>
        </w:rPr>
        <w:t>État</w:t>
      </w:r>
      <w:r w:rsidRPr="001C2E2B">
        <w:rPr>
          <w:lang w:eastAsia="fr-FR" w:bidi="fr-FR"/>
        </w:rPr>
        <w:t>, de la Guerre et de la Marine, et les chefs d’état- m</w:t>
      </w:r>
      <w:r w:rsidRPr="001C2E2B">
        <w:rPr>
          <w:lang w:eastAsia="fr-FR" w:bidi="fr-FR"/>
        </w:rPr>
        <w:t>a</w:t>
      </w:r>
      <w:r w:rsidRPr="001C2E2B">
        <w:rPr>
          <w:lang w:eastAsia="fr-FR" w:bidi="fr-FR"/>
        </w:rPr>
        <w:t>jor des armées de Terre et de la Marine) que dans les moments de crise. Ces réunions dégénéraient souvent en luttes organ</w:t>
      </w:r>
      <w:r w:rsidRPr="001C2E2B">
        <w:rPr>
          <w:lang w:eastAsia="fr-FR" w:bidi="fr-FR"/>
        </w:rPr>
        <w:t>i</w:t>
      </w:r>
      <w:r w:rsidRPr="001C2E2B">
        <w:rPr>
          <w:lang w:eastAsia="fr-FR" w:bidi="fr-FR"/>
        </w:rPr>
        <w:t>sationnelles inutiles. La fragmentation du processus décisionnel est devenue plus grande encore lorsque l’armée de l’Air a accru son i</w:t>
      </w:r>
      <w:r w:rsidRPr="001C2E2B">
        <w:rPr>
          <w:lang w:eastAsia="fr-FR" w:bidi="fr-FR"/>
        </w:rPr>
        <w:t>n</w:t>
      </w:r>
      <w:r w:rsidRPr="001C2E2B">
        <w:rPr>
          <w:lang w:eastAsia="fr-FR" w:bidi="fr-FR"/>
        </w:rPr>
        <w:t>fluence. Truman voulait unifier les d</w:t>
      </w:r>
      <w:r w:rsidRPr="001C2E2B">
        <w:rPr>
          <w:lang w:eastAsia="fr-FR" w:bidi="fr-FR"/>
        </w:rPr>
        <w:t>é</w:t>
      </w:r>
      <w:r w:rsidRPr="001C2E2B">
        <w:rPr>
          <w:lang w:eastAsia="fr-FR" w:bidi="fr-FR"/>
        </w:rPr>
        <w:t>partements de la</w:t>
      </w:r>
      <w:r>
        <w:t xml:space="preserve"> [214] </w:t>
      </w:r>
      <w:r w:rsidRPr="001C2E2B">
        <w:rPr>
          <w:lang w:eastAsia="fr-FR" w:bidi="fr-FR"/>
        </w:rPr>
        <w:t>Guerre et de la Marine (jusqu’alors farouchement indépendants) en un seul d</w:t>
      </w:r>
      <w:r w:rsidRPr="001C2E2B">
        <w:rPr>
          <w:lang w:eastAsia="fr-FR" w:bidi="fr-FR"/>
        </w:rPr>
        <w:t>é</w:t>
      </w:r>
      <w:r w:rsidRPr="001C2E2B">
        <w:rPr>
          <w:lang w:eastAsia="fr-FR" w:bidi="fr-FR"/>
        </w:rPr>
        <w:t>partement de la Défense. Ne pouvant décemment s’opposer au prés</w:t>
      </w:r>
      <w:r w:rsidRPr="001C2E2B">
        <w:rPr>
          <w:lang w:eastAsia="fr-FR" w:bidi="fr-FR"/>
        </w:rPr>
        <w:t>i</w:t>
      </w:r>
      <w:r w:rsidRPr="001C2E2B">
        <w:rPr>
          <w:lang w:eastAsia="fr-FR" w:bidi="fr-FR"/>
        </w:rPr>
        <w:t>dent, James Forrestal</w:t>
      </w:r>
      <w:r w:rsidRPr="00681E91">
        <w:rPr>
          <w:lang w:eastAsia="fr-FR" w:bidi="fr-FR"/>
        </w:rPr>
        <w:t xml:space="preserve">, </w:t>
      </w:r>
      <w:r w:rsidRPr="00681E91">
        <w:rPr>
          <w:bCs/>
        </w:rPr>
        <w:t xml:space="preserve">à </w:t>
      </w:r>
      <w:r w:rsidRPr="00681E91">
        <w:rPr>
          <w:lang w:eastAsia="fr-FR" w:bidi="fr-FR"/>
        </w:rPr>
        <w:t>cette époque secréta</w:t>
      </w:r>
      <w:r w:rsidRPr="00681E91">
        <w:rPr>
          <w:lang w:eastAsia="fr-FR" w:bidi="fr-FR"/>
        </w:rPr>
        <w:t>i</w:t>
      </w:r>
      <w:r w:rsidRPr="00681E91">
        <w:rPr>
          <w:lang w:eastAsia="fr-FR" w:bidi="fr-FR"/>
        </w:rPr>
        <w:t xml:space="preserve">re </w:t>
      </w:r>
      <w:r w:rsidRPr="00681E91">
        <w:rPr>
          <w:bCs/>
        </w:rPr>
        <w:t xml:space="preserve">à </w:t>
      </w:r>
      <w:r w:rsidRPr="00681E91">
        <w:rPr>
          <w:lang w:eastAsia="fr-FR" w:bidi="fr-FR"/>
        </w:rPr>
        <w:t xml:space="preserve">la Marine, croyant que son département aurait le plus </w:t>
      </w:r>
      <w:r w:rsidRPr="00681E91">
        <w:rPr>
          <w:bCs/>
        </w:rPr>
        <w:t xml:space="preserve">à </w:t>
      </w:r>
      <w:r w:rsidRPr="00681E91">
        <w:rPr>
          <w:lang w:eastAsia="fr-FR" w:bidi="fr-FR"/>
        </w:rPr>
        <w:t>perdre de cette unification, supe</w:t>
      </w:r>
      <w:r w:rsidRPr="00681E91">
        <w:rPr>
          <w:lang w:eastAsia="fr-FR" w:bidi="fr-FR"/>
        </w:rPr>
        <w:t>r</w:t>
      </w:r>
      <w:r w:rsidRPr="00681E91">
        <w:rPr>
          <w:lang w:eastAsia="fr-FR" w:bidi="fr-FR"/>
        </w:rPr>
        <w:t>vise une étude de 250 pages menée par Ferdinand Eberstadt en 1945. Celle-ci recommandait, en lieu et en pl</w:t>
      </w:r>
      <w:r w:rsidRPr="00681E91">
        <w:rPr>
          <w:lang w:eastAsia="fr-FR" w:bidi="fr-FR"/>
        </w:rPr>
        <w:t>a</w:t>
      </w:r>
      <w:r w:rsidRPr="00681E91">
        <w:rPr>
          <w:lang w:eastAsia="fr-FR" w:bidi="fr-FR"/>
        </w:rPr>
        <w:t>ce de l’unification, la mise sur pied d’un comité de prise de décision : le « Conseil de sécurité nati</w:t>
      </w:r>
      <w:r w:rsidRPr="00681E91">
        <w:rPr>
          <w:lang w:eastAsia="fr-FR" w:bidi="fr-FR"/>
        </w:rPr>
        <w:t>o</w:t>
      </w:r>
      <w:r w:rsidRPr="00681E91">
        <w:rPr>
          <w:lang w:eastAsia="fr-FR" w:bidi="fr-FR"/>
        </w:rPr>
        <w:t xml:space="preserve">nale » </w:t>
      </w:r>
      <w:r w:rsidRPr="00681E91">
        <w:rPr>
          <w:bCs/>
        </w:rPr>
        <w:t xml:space="preserve">(à </w:t>
      </w:r>
      <w:r w:rsidRPr="00681E91">
        <w:rPr>
          <w:lang w:eastAsia="fr-FR" w:bidi="fr-FR"/>
        </w:rPr>
        <w:t xml:space="preserve">l’occasion appelé aussi </w:t>
      </w:r>
      <w:r w:rsidRPr="000C4024">
        <w:rPr>
          <w:i/>
          <w:iCs/>
          <w:lang w:eastAsia="fr-FR" w:bidi="fr-FR"/>
        </w:rPr>
        <w:t>Council of National Defense</w:t>
      </w:r>
      <w:r w:rsidRPr="00681E91">
        <w:rPr>
          <w:lang w:eastAsia="fr-FR" w:bidi="fr-FR"/>
        </w:rPr>
        <w:t>). Cette étude, que les cyniques surnomment alors la « revanche de Forre</w:t>
      </w:r>
      <w:r w:rsidRPr="00681E91">
        <w:rPr>
          <w:lang w:eastAsia="fr-FR" w:bidi="fr-FR"/>
        </w:rPr>
        <w:t>s</w:t>
      </w:r>
      <w:r w:rsidRPr="00681E91">
        <w:rPr>
          <w:lang w:eastAsia="fr-FR" w:bidi="fr-FR"/>
        </w:rPr>
        <w:t>tal</w:t>
      </w:r>
      <w:r>
        <w:rPr>
          <w:lang w:eastAsia="fr-FR" w:bidi="fr-FR"/>
        </w:rPr>
        <w:t> </w:t>
      </w:r>
      <w:r>
        <w:rPr>
          <w:rStyle w:val="Appelnotedebasdep"/>
          <w:lang w:eastAsia="fr-FR" w:bidi="fr-FR"/>
        </w:rPr>
        <w:footnoteReference w:id="464"/>
      </w:r>
      <w:r w:rsidRPr="00681E91">
        <w:rPr>
          <w:lang w:eastAsia="fr-FR" w:bidi="fr-FR"/>
        </w:rPr>
        <w:t> », envis</w:t>
      </w:r>
      <w:r w:rsidRPr="00681E91">
        <w:rPr>
          <w:lang w:eastAsia="fr-FR" w:bidi="fr-FR"/>
        </w:rPr>
        <w:t>a</w:t>
      </w:r>
      <w:r w:rsidRPr="00681E91">
        <w:rPr>
          <w:lang w:eastAsia="fr-FR" w:bidi="fr-FR"/>
        </w:rPr>
        <w:t>geait un comité décentralisé où les départements de la Guerre et de la Marine, en plus du secrétaire d’État, seraient en mes</w:t>
      </w:r>
      <w:r w:rsidRPr="00681E91">
        <w:rPr>
          <w:lang w:eastAsia="fr-FR" w:bidi="fr-FR"/>
        </w:rPr>
        <w:t>u</w:t>
      </w:r>
      <w:r w:rsidRPr="00681E91">
        <w:rPr>
          <w:lang w:eastAsia="fr-FR" w:bidi="fr-FR"/>
        </w:rPr>
        <w:t>re de conseiller formellement le président sur les questions de sécur</w:t>
      </w:r>
      <w:r w:rsidRPr="00681E91">
        <w:rPr>
          <w:lang w:eastAsia="fr-FR" w:bidi="fr-FR"/>
        </w:rPr>
        <w:t>i</w:t>
      </w:r>
      <w:r w:rsidRPr="00681E91">
        <w:rPr>
          <w:lang w:eastAsia="fr-FR" w:bidi="fr-FR"/>
        </w:rPr>
        <w:t>té. Cette proposition assurait la Marine d’une certaine autonomie, tout en affaiblissant l’exercice du pouvoir présidentiel. La même a</w:t>
      </w:r>
      <w:r w:rsidRPr="00681E91">
        <w:rPr>
          <w:lang w:eastAsia="fr-FR" w:bidi="fr-FR"/>
        </w:rPr>
        <w:t>n</w:t>
      </w:r>
      <w:r w:rsidRPr="00681E91">
        <w:rPr>
          <w:lang w:eastAsia="fr-FR" w:bidi="fr-FR"/>
        </w:rPr>
        <w:t>née, une autre étude, patronnée par l’armée de Terre et le département de la Guerre, suggérait, par contre, la création d’une structure central</w:t>
      </w:r>
      <w:r w:rsidRPr="00681E91">
        <w:rPr>
          <w:lang w:eastAsia="fr-FR" w:bidi="fr-FR"/>
        </w:rPr>
        <w:t>i</w:t>
      </w:r>
      <w:r w:rsidRPr="00681E91">
        <w:rPr>
          <w:lang w:eastAsia="fr-FR" w:bidi="fr-FR"/>
        </w:rPr>
        <w:t>sée - le futur département de la Défense.</w:t>
      </w:r>
    </w:p>
    <w:p w14:paraId="122B74DD" w14:textId="77777777" w:rsidR="0039793A" w:rsidRPr="00681E91" w:rsidRDefault="0039793A" w:rsidP="0039793A">
      <w:pPr>
        <w:spacing w:before="120" w:after="120"/>
        <w:jc w:val="both"/>
        <w:rPr>
          <w:lang w:eastAsia="fr-FR" w:bidi="fr-FR"/>
        </w:rPr>
      </w:pPr>
    </w:p>
    <w:p w14:paraId="282EF34A" w14:textId="77777777" w:rsidR="0039793A" w:rsidRPr="000C4024" w:rsidRDefault="0039793A" w:rsidP="0039793A">
      <w:pPr>
        <w:pStyle w:val="b"/>
        <w:rPr>
          <w:lang w:eastAsia="fr-FR" w:bidi="fr-FR"/>
        </w:rPr>
      </w:pPr>
      <w:r w:rsidRPr="000C4024">
        <w:rPr>
          <w:lang w:eastAsia="fr-FR" w:bidi="fr-FR"/>
        </w:rPr>
        <w:t>Le résultat d’un compromis</w:t>
      </w:r>
    </w:p>
    <w:p w14:paraId="2C382FC8" w14:textId="77777777" w:rsidR="0039793A" w:rsidRPr="00681E91" w:rsidRDefault="0039793A" w:rsidP="0039793A">
      <w:pPr>
        <w:spacing w:before="120" w:after="120"/>
        <w:jc w:val="both"/>
        <w:rPr>
          <w:lang w:eastAsia="fr-FR" w:bidi="fr-FR"/>
        </w:rPr>
      </w:pPr>
    </w:p>
    <w:p w14:paraId="028DD397" w14:textId="77777777" w:rsidR="0039793A" w:rsidRPr="00681E91" w:rsidRDefault="0039793A" w:rsidP="0039793A">
      <w:pPr>
        <w:spacing w:before="120" w:after="120"/>
        <w:jc w:val="both"/>
        <w:rPr>
          <w:lang w:eastAsia="fr-FR" w:bidi="fr-FR"/>
        </w:rPr>
      </w:pPr>
      <w:r w:rsidRPr="00681E91">
        <w:rPr>
          <w:lang w:eastAsia="fr-FR" w:bidi="fr-FR"/>
        </w:rPr>
        <w:t>Entre ces deux versions, Truman décide de m</w:t>
      </w:r>
      <w:r w:rsidRPr="00681E91">
        <w:rPr>
          <w:lang w:eastAsia="fr-FR" w:bidi="fr-FR"/>
        </w:rPr>
        <w:t>é</w:t>
      </w:r>
      <w:r w:rsidRPr="00681E91">
        <w:rPr>
          <w:lang w:eastAsia="fr-FR" w:bidi="fr-FR"/>
        </w:rPr>
        <w:t xml:space="preserve">nager la chèvre et le chou, en appuyant </w:t>
      </w:r>
      <w:r w:rsidRPr="00681E91">
        <w:rPr>
          <w:bCs/>
        </w:rPr>
        <w:t xml:space="preserve">à </w:t>
      </w:r>
      <w:r w:rsidRPr="00681E91">
        <w:rPr>
          <w:lang w:eastAsia="fr-FR" w:bidi="fr-FR"/>
        </w:rPr>
        <w:t xml:space="preserve">la fois l’idée de l’unification et la création d’un </w:t>
      </w:r>
      <w:r w:rsidRPr="00681E91">
        <w:rPr>
          <w:bCs/>
        </w:rPr>
        <w:t xml:space="preserve">NSC. </w:t>
      </w:r>
      <w:r w:rsidRPr="00681E91">
        <w:rPr>
          <w:lang w:eastAsia="fr-FR" w:bidi="fr-FR"/>
        </w:rPr>
        <w:t xml:space="preserve">Ce geste habile lui garantit l’appui de la Marine. Dans le même temps, le nouveau </w:t>
      </w:r>
      <w:r w:rsidRPr="00681E91">
        <w:rPr>
          <w:bCs/>
        </w:rPr>
        <w:t xml:space="preserve">NSC, </w:t>
      </w:r>
      <w:r w:rsidRPr="00681E91">
        <w:rPr>
          <w:lang w:eastAsia="fr-FR" w:bidi="fr-FR"/>
        </w:rPr>
        <w:t>ainsi créé, n’aurait rien d’aussi formel que le souhaitait Fo</w:t>
      </w:r>
      <w:r w:rsidRPr="00681E91">
        <w:rPr>
          <w:lang w:eastAsia="fr-FR" w:bidi="fr-FR"/>
        </w:rPr>
        <w:t>r</w:t>
      </w:r>
      <w:r w:rsidRPr="00681E91">
        <w:rPr>
          <w:lang w:eastAsia="fr-FR" w:bidi="fr-FR"/>
        </w:rPr>
        <w:t>restal, mais s’avérerait uniquement un organisme consultatif sans autorité réelle sur la formulation de la politique étra</w:t>
      </w:r>
      <w:r w:rsidRPr="00681E91">
        <w:rPr>
          <w:lang w:eastAsia="fr-FR" w:bidi="fr-FR"/>
        </w:rPr>
        <w:t>n</w:t>
      </w:r>
      <w:r w:rsidRPr="00681E91">
        <w:rPr>
          <w:lang w:eastAsia="fr-FR" w:bidi="fr-FR"/>
        </w:rPr>
        <w:t>gère. Cette formule de co</w:t>
      </w:r>
      <w:r w:rsidRPr="00681E91">
        <w:rPr>
          <w:lang w:eastAsia="fr-FR" w:bidi="fr-FR"/>
        </w:rPr>
        <w:t>m</w:t>
      </w:r>
      <w:r w:rsidRPr="00681E91">
        <w:rPr>
          <w:lang w:eastAsia="fr-FR" w:bidi="fr-FR"/>
        </w:rPr>
        <w:t>promis permet au président d’atteindre ses princ</w:t>
      </w:r>
      <w:r w:rsidRPr="00681E91">
        <w:rPr>
          <w:lang w:eastAsia="fr-FR" w:bidi="fr-FR"/>
        </w:rPr>
        <w:t>i</w:t>
      </w:r>
      <w:r w:rsidRPr="00681E91">
        <w:rPr>
          <w:lang w:eastAsia="fr-FR" w:bidi="fr-FR"/>
        </w:rPr>
        <w:t xml:space="preserve">paux objectifs (la création de la </w:t>
      </w:r>
      <w:r w:rsidRPr="00681E91">
        <w:rPr>
          <w:bCs/>
        </w:rPr>
        <w:t xml:space="preserve">CIA, </w:t>
      </w:r>
      <w:r w:rsidRPr="00681E91">
        <w:rPr>
          <w:lang w:eastAsia="fr-FR" w:bidi="fr-FR"/>
        </w:rPr>
        <w:t xml:space="preserve">du comité des chefs d’État-major et d’un département de la Défense « unifié ») et a l’heur de plaire au Congrès, qui vote ainsi le </w:t>
      </w:r>
      <w:r w:rsidRPr="000C4024">
        <w:rPr>
          <w:i/>
          <w:iCs/>
          <w:lang w:eastAsia="fr-FR" w:bidi="fr-FR"/>
        </w:rPr>
        <w:t>National Security Act</w:t>
      </w:r>
      <w:r w:rsidRPr="00681E91">
        <w:rPr>
          <w:lang w:eastAsia="fr-FR" w:bidi="fr-FR"/>
        </w:rPr>
        <w:t xml:space="preserve"> le 26 jui</w:t>
      </w:r>
      <w:r w:rsidRPr="00681E91">
        <w:rPr>
          <w:lang w:eastAsia="fr-FR" w:bidi="fr-FR"/>
        </w:rPr>
        <w:t>l</w:t>
      </w:r>
      <w:r w:rsidRPr="00681E91">
        <w:rPr>
          <w:lang w:eastAsia="fr-FR" w:bidi="fr-FR"/>
        </w:rPr>
        <w:t xml:space="preserve">let 1947. Le prix </w:t>
      </w:r>
      <w:r w:rsidRPr="00681E91">
        <w:rPr>
          <w:bCs/>
        </w:rPr>
        <w:t xml:space="preserve">à </w:t>
      </w:r>
      <w:r w:rsidRPr="00681E91">
        <w:rPr>
          <w:lang w:eastAsia="fr-FR" w:bidi="fr-FR"/>
        </w:rPr>
        <w:t>payer pour obtenir cette unification des forces a</w:t>
      </w:r>
      <w:r w:rsidRPr="00681E91">
        <w:rPr>
          <w:lang w:eastAsia="fr-FR" w:bidi="fr-FR"/>
        </w:rPr>
        <w:t>r</w:t>
      </w:r>
      <w:r w:rsidRPr="00681E91">
        <w:rPr>
          <w:lang w:eastAsia="fr-FR" w:bidi="fr-FR"/>
        </w:rPr>
        <w:t xml:space="preserve">mées était par conséquent l’octroi </w:t>
      </w:r>
      <w:r w:rsidRPr="00681E91">
        <w:rPr>
          <w:bCs/>
        </w:rPr>
        <w:t xml:space="preserve">à </w:t>
      </w:r>
      <w:r w:rsidRPr="00681E91">
        <w:rPr>
          <w:lang w:eastAsia="fr-FR" w:bidi="fr-FR"/>
        </w:rPr>
        <w:t xml:space="preserve">la Marine d’un </w:t>
      </w:r>
      <w:r w:rsidRPr="00681E91">
        <w:rPr>
          <w:bCs/>
        </w:rPr>
        <w:t xml:space="preserve">NSC. </w:t>
      </w:r>
      <w:r w:rsidRPr="00681E91">
        <w:rPr>
          <w:lang w:eastAsia="fr-FR" w:bidi="fr-FR"/>
        </w:rPr>
        <w:t>Cette derni</w:t>
      </w:r>
      <w:r w:rsidRPr="00681E91">
        <w:rPr>
          <w:lang w:eastAsia="fr-FR" w:bidi="fr-FR"/>
        </w:rPr>
        <w:t>è</w:t>
      </w:r>
      <w:r w:rsidRPr="00681E91">
        <w:rPr>
          <w:lang w:eastAsia="fr-FR" w:bidi="fr-FR"/>
        </w:rPr>
        <w:t>re n’en bénéficiera que pendant deux ans puisqu’en 1949, la cré</w:t>
      </w:r>
      <w:r w:rsidRPr="00681E91">
        <w:rPr>
          <w:lang w:eastAsia="fr-FR" w:bidi="fr-FR"/>
        </w:rPr>
        <w:t>a</w:t>
      </w:r>
      <w:r w:rsidRPr="00681E91">
        <w:rPr>
          <w:lang w:eastAsia="fr-FR" w:bidi="fr-FR"/>
        </w:rPr>
        <w:t xml:space="preserve">tion du poste de secrétaire </w:t>
      </w:r>
      <w:r w:rsidRPr="00681E91">
        <w:rPr>
          <w:bCs/>
        </w:rPr>
        <w:t xml:space="preserve">à </w:t>
      </w:r>
      <w:r w:rsidRPr="00681E91">
        <w:rPr>
          <w:lang w:eastAsia="fr-FR" w:bidi="fr-FR"/>
        </w:rPr>
        <w:t xml:space="preserve">la Défense va entériner sa perte d’influence. En réalité, le </w:t>
      </w:r>
      <w:r w:rsidRPr="00681E91">
        <w:rPr>
          <w:bCs/>
        </w:rPr>
        <w:t xml:space="preserve">NSC </w:t>
      </w:r>
      <w:r w:rsidRPr="00681E91">
        <w:rPr>
          <w:lang w:eastAsia="fr-FR" w:bidi="fr-FR"/>
        </w:rPr>
        <w:t>ne devient jamais l’organe décisionnel collectif et contraignant qu’avaient imaginé Forrestal et Eberstadt. Aussi, alors qu’elle lutte vigoureus</w:t>
      </w:r>
      <w:r w:rsidRPr="00681E91">
        <w:rPr>
          <w:lang w:eastAsia="fr-FR" w:bidi="fr-FR"/>
        </w:rPr>
        <w:t>e</w:t>
      </w:r>
      <w:r w:rsidRPr="00681E91">
        <w:rPr>
          <w:lang w:eastAsia="fr-FR" w:bidi="fr-FR"/>
        </w:rPr>
        <w:t xml:space="preserve">ment pour la mise en place du </w:t>
      </w:r>
      <w:r w:rsidRPr="00681E91">
        <w:rPr>
          <w:bCs/>
        </w:rPr>
        <w:t>NSC</w:t>
      </w:r>
      <w:r>
        <w:rPr>
          <w:lang w:eastAsia="fr-FR" w:bidi="fr-FR"/>
        </w:rPr>
        <w:t xml:space="preserve"> </w:t>
      </w:r>
      <w:r>
        <w:t xml:space="preserve">[215] </w:t>
      </w:r>
      <w:r w:rsidRPr="001C2E2B">
        <w:rPr>
          <w:lang w:eastAsia="fr-FR" w:bidi="fr-FR"/>
        </w:rPr>
        <w:t xml:space="preserve">en vue de contrer le processus d’unification, dès lors que celui-ci est créé, la Marine ne montre plus d’intérêt pour le Conseil de sécurité nationale. </w:t>
      </w:r>
      <w:r w:rsidRPr="00681E91">
        <w:rPr>
          <w:lang w:eastAsia="fr-FR" w:bidi="fr-FR"/>
        </w:rPr>
        <w:t xml:space="preserve">Seconde ironie du sort : alors qu’initialement, la création du </w:t>
      </w:r>
      <w:r w:rsidRPr="00681E91">
        <w:rPr>
          <w:bCs/>
        </w:rPr>
        <w:t xml:space="preserve">NSC </w:t>
      </w:r>
      <w:r w:rsidRPr="00681E91">
        <w:rPr>
          <w:lang w:eastAsia="fr-FR" w:bidi="fr-FR"/>
        </w:rPr>
        <w:t>était une concession bureaucratique faite par Truman avec rét</w:t>
      </w:r>
      <w:r w:rsidRPr="00681E91">
        <w:rPr>
          <w:lang w:eastAsia="fr-FR" w:bidi="fr-FR"/>
        </w:rPr>
        <w:t>i</w:t>
      </w:r>
      <w:r w:rsidRPr="00681E91">
        <w:rPr>
          <w:lang w:eastAsia="fr-FR" w:bidi="fr-FR"/>
        </w:rPr>
        <w:t xml:space="preserve">cence, le </w:t>
      </w:r>
      <w:r w:rsidRPr="00681E91">
        <w:rPr>
          <w:bCs/>
        </w:rPr>
        <w:t xml:space="preserve">NSC </w:t>
      </w:r>
      <w:r w:rsidRPr="00681E91">
        <w:rPr>
          <w:lang w:eastAsia="fr-FR" w:bidi="fr-FR"/>
        </w:rPr>
        <w:t xml:space="preserve">est aujourd’hui l’instrument privilégié du président pour maîtriser les querelles bureaucratiques des départements d’État et de la Défense. Le </w:t>
      </w:r>
      <w:r w:rsidRPr="000C4024">
        <w:rPr>
          <w:i/>
          <w:iCs/>
          <w:lang w:eastAsia="fr-FR" w:bidi="fr-FR"/>
        </w:rPr>
        <w:t>National Security Act</w:t>
      </w:r>
      <w:r w:rsidRPr="00681E91">
        <w:rPr>
          <w:lang w:eastAsia="fr-FR" w:bidi="fr-FR"/>
        </w:rPr>
        <w:t xml:space="preserve">, qui est l’acte de naissance du </w:t>
      </w:r>
      <w:r w:rsidRPr="00681E91">
        <w:rPr>
          <w:bCs/>
        </w:rPr>
        <w:t xml:space="preserve">NSC, </w:t>
      </w:r>
      <w:r w:rsidRPr="00681E91">
        <w:rPr>
          <w:lang w:eastAsia="fr-FR" w:bidi="fr-FR"/>
        </w:rPr>
        <w:t>doit ainsi son existence et ses bases conceptuelles au rapport Eberstadt, dont s’est servi Forrestal pour défendre la place et le rôle de la Marine dans la formulation de la politique de défense des États-Unis.</w:t>
      </w:r>
    </w:p>
    <w:p w14:paraId="15FB09B8" w14:textId="77777777" w:rsidR="0039793A" w:rsidRPr="00681E91" w:rsidRDefault="0039793A" w:rsidP="0039793A">
      <w:pPr>
        <w:spacing w:before="120" w:after="120"/>
        <w:jc w:val="both"/>
      </w:pPr>
    </w:p>
    <w:p w14:paraId="5AB0A4B9" w14:textId="77777777" w:rsidR="0039793A" w:rsidRPr="00681E91" w:rsidRDefault="0039793A" w:rsidP="0039793A">
      <w:pPr>
        <w:pStyle w:val="a"/>
      </w:pPr>
      <w:r w:rsidRPr="00681E91">
        <w:t>La structure du NSC</w:t>
      </w:r>
    </w:p>
    <w:p w14:paraId="45AC259F" w14:textId="77777777" w:rsidR="0039793A" w:rsidRPr="00681E91" w:rsidRDefault="0039793A" w:rsidP="0039793A">
      <w:pPr>
        <w:spacing w:before="120" w:after="120"/>
        <w:jc w:val="both"/>
        <w:rPr>
          <w:lang w:eastAsia="fr-FR" w:bidi="fr-FR"/>
        </w:rPr>
      </w:pPr>
    </w:p>
    <w:p w14:paraId="782C2B7C" w14:textId="77777777" w:rsidR="0039793A" w:rsidRPr="001C2E2B" w:rsidRDefault="0039793A" w:rsidP="0039793A">
      <w:pPr>
        <w:spacing w:before="120" w:after="120"/>
        <w:jc w:val="both"/>
      </w:pPr>
      <w:r w:rsidRPr="00681E91">
        <w:rPr>
          <w:lang w:eastAsia="fr-FR" w:bidi="fr-FR"/>
        </w:rPr>
        <w:t xml:space="preserve">Il est malaisé de dessiner l’architecture du </w:t>
      </w:r>
      <w:r w:rsidRPr="00681E91">
        <w:rPr>
          <w:bCs/>
        </w:rPr>
        <w:t xml:space="preserve">NSC </w:t>
      </w:r>
      <w:r w:rsidRPr="00681E91">
        <w:rPr>
          <w:lang w:eastAsia="fr-FR" w:bidi="fr-FR"/>
        </w:rPr>
        <w:t xml:space="preserve">et l’agencement de ses mécanismes. Et bien peu d’ouvrages parviennent à en dessiner les contours précis. Il est vrai que le </w:t>
      </w:r>
      <w:r w:rsidRPr="00681E91">
        <w:rPr>
          <w:bCs/>
        </w:rPr>
        <w:t xml:space="preserve">NSC </w:t>
      </w:r>
      <w:r w:rsidRPr="00681E91">
        <w:rPr>
          <w:lang w:eastAsia="fr-FR" w:bidi="fr-FR"/>
        </w:rPr>
        <w:t>n’est pas véritabl</w:t>
      </w:r>
      <w:r w:rsidRPr="00681E91">
        <w:rPr>
          <w:lang w:eastAsia="fr-FR" w:bidi="fr-FR"/>
        </w:rPr>
        <w:t>e</w:t>
      </w:r>
      <w:r w:rsidRPr="00681E91">
        <w:rPr>
          <w:lang w:eastAsia="fr-FR" w:bidi="fr-FR"/>
        </w:rPr>
        <w:t>ment une structure pyramidale et hiérarchique correspondant à une culture a</w:t>
      </w:r>
      <w:r w:rsidRPr="00681E91">
        <w:rPr>
          <w:lang w:eastAsia="fr-FR" w:bidi="fr-FR"/>
        </w:rPr>
        <w:t>d</w:t>
      </w:r>
      <w:r w:rsidRPr="00681E91">
        <w:rPr>
          <w:lang w:eastAsia="fr-FR" w:bidi="fr-FR"/>
        </w:rPr>
        <w:t>ministrative classique</w:t>
      </w:r>
      <w:r>
        <w:rPr>
          <w:lang w:eastAsia="fr-FR" w:bidi="fr-FR"/>
        </w:rPr>
        <w:t> </w:t>
      </w:r>
      <w:r>
        <w:rPr>
          <w:rStyle w:val="Appelnotedebasdep"/>
          <w:lang w:eastAsia="fr-FR" w:bidi="fr-FR"/>
        </w:rPr>
        <w:footnoteReference w:id="465"/>
      </w:r>
      <w:r>
        <w:rPr>
          <w:lang w:eastAsia="fr-FR" w:bidi="fr-FR"/>
        </w:rPr>
        <w:t>.</w:t>
      </w:r>
      <w:r w:rsidRPr="00681E91">
        <w:rPr>
          <w:lang w:eastAsia="fr-FR" w:bidi="fr-FR"/>
        </w:rPr>
        <w:t xml:space="preserve"> Le problème réside sans doute en ce que l’appellation </w:t>
      </w:r>
      <w:r w:rsidRPr="00681E91">
        <w:rPr>
          <w:bCs/>
        </w:rPr>
        <w:t xml:space="preserve">NSC </w:t>
      </w:r>
      <w:r w:rsidRPr="00681E91">
        <w:rPr>
          <w:lang w:eastAsia="fr-FR" w:bidi="fr-FR"/>
        </w:rPr>
        <w:t>recouvre une série de réalités différentes qui obl</w:t>
      </w:r>
      <w:r w:rsidRPr="00681E91">
        <w:rPr>
          <w:lang w:eastAsia="fr-FR" w:bidi="fr-FR"/>
        </w:rPr>
        <w:t>i</w:t>
      </w:r>
      <w:r w:rsidRPr="00681E91">
        <w:rPr>
          <w:lang w:eastAsia="fr-FR" w:bidi="fr-FR"/>
        </w:rPr>
        <w:t>gent d’avoir recours à des subt</w:t>
      </w:r>
      <w:r w:rsidRPr="00681E91">
        <w:rPr>
          <w:lang w:eastAsia="fr-FR" w:bidi="fr-FR"/>
        </w:rPr>
        <w:t>i</w:t>
      </w:r>
      <w:r w:rsidRPr="00681E91">
        <w:rPr>
          <w:lang w:eastAsia="fr-FR" w:bidi="fr-FR"/>
        </w:rPr>
        <w:t>lités sémantiques parfois obscures</w:t>
      </w:r>
      <w:r>
        <w:rPr>
          <w:lang w:eastAsia="fr-FR" w:bidi="fr-FR"/>
        </w:rPr>
        <w:t> </w:t>
      </w:r>
      <w:r>
        <w:rPr>
          <w:rStyle w:val="Appelnotedebasdep"/>
          <w:lang w:eastAsia="fr-FR" w:bidi="fr-FR"/>
        </w:rPr>
        <w:footnoteReference w:id="466"/>
      </w:r>
      <w:r w:rsidRPr="00681E91">
        <w:rPr>
          <w:lang w:eastAsia="fr-FR" w:bidi="fr-FR"/>
        </w:rPr>
        <w:t xml:space="preserve">. L’ensemble de la structure peut être appelé </w:t>
      </w:r>
      <w:r w:rsidRPr="00681E91">
        <w:rPr>
          <w:bCs/>
        </w:rPr>
        <w:t xml:space="preserve">NSC, </w:t>
      </w:r>
      <w:r w:rsidRPr="00681E91">
        <w:rPr>
          <w:lang w:eastAsia="fr-FR" w:bidi="fr-FR"/>
        </w:rPr>
        <w:t>de même que ch</w:t>
      </w:r>
      <w:r w:rsidRPr="00681E91">
        <w:rPr>
          <w:lang w:eastAsia="fr-FR" w:bidi="fr-FR"/>
        </w:rPr>
        <w:t>a</w:t>
      </w:r>
      <w:r w:rsidRPr="00681E91">
        <w:rPr>
          <w:lang w:eastAsia="fr-FR" w:bidi="fr-FR"/>
        </w:rPr>
        <w:t xml:space="preserve">cune de ses composantes : c’est donc là que réside la difficulté. En effet, le </w:t>
      </w:r>
      <w:r w:rsidRPr="00681E91">
        <w:rPr>
          <w:bCs/>
        </w:rPr>
        <w:t xml:space="preserve">NSC </w:t>
      </w:r>
      <w:r w:rsidRPr="00681E91">
        <w:rPr>
          <w:lang w:eastAsia="fr-FR" w:bidi="fr-FR"/>
        </w:rPr>
        <w:t>recouvre trois éléments entre lesquels le conseiller pour la Sécurité nationale fait le lien : une structure interministérielle civ</w:t>
      </w:r>
      <w:r w:rsidRPr="00681E91">
        <w:rPr>
          <w:lang w:eastAsia="fr-FR" w:bidi="fr-FR"/>
        </w:rPr>
        <w:t>i</w:t>
      </w:r>
      <w:r w:rsidRPr="00681E91">
        <w:rPr>
          <w:lang w:eastAsia="fr-FR" w:bidi="fr-FR"/>
        </w:rPr>
        <w:t>lo-militaire (composée de décideurs</w:t>
      </w:r>
      <w:r w:rsidRPr="001C2E2B">
        <w:rPr>
          <w:lang w:eastAsia="fr-FR" w:bidi="fr-FR"/>
        </w:rPr>
        <w:t>), une administration (comprenant évidemment son directeur et des ressources humaines) et des struct</w:t>
      </w:r>
      <w:r w:rsidRPr="001C2E2B">
        <w:rPr>
          <w:lang w:eastAsia="fr-FR" w:bidi="fr-FR"/>
        </w:rPr>
        <w:t>u</w:t>
      </w:r>
      <w:r w:rsidRPr="001C2E2B">
        <w:rPr>
          <w:lang w:eastAsia="fr-FR" w:bidi="fr-FR"/>
        </w:rPr>
        <w:t>res inter-administratives (composées de représentants des administr</w:t>
      </w:r>
      <w:r w:rsidRPr="001C2E2B">
        <w:rPr>
          <w:lang w:eastAsia="fr-FR" w:bidi="fr-FR"/>
        </w:rPr>
        <w:t>a</w:t>
      </w:r>
      <w:r w:rsidRPr="001C2E2B">
        <w:rPr>
          <w:lang w:eastAsia="fr-FR" w:bidi="fr-FR"/>
        </w:rPr>
        <w:t>tions concernées).</w:t>
      </w:r>
    </w:p>
    <w:p w14:paraId="518D355F" w14:textId="77777777" w:rsidR="0039793A" w:rsidRDefault="0039793A" w:rsidP="0039793A">
      <w:pPr>
        <w:spacing w:before="120" w:after="120"/>
        <w:jc w:val="both"/>
      </w:pPr>
      <w:r>
        <w:t>[216]</w:t>
      </w:r>
    </w:p>
    <w:p w14:paraId="31456B22" w14:textId="77777777" w:rsidR="0039793A" w:rsidRDefault="0039793A" w:rsidP="0039793A">
      <w:pPr>
        <w:spacing w:before="120" w:after="120"/>
        <w:jc w:val="both"/>
      </w:pPr>
    </w:p>
    <w:p w14:paraId="4F2BC739" w14:textId="77777777" w:rsidR="0039793A" w:rsidRPr="001F14BC" w:rsidRDefault="0039793A" w:rsidP="0039793A">
      <w:pPr>
        <w:pStyle w:val="b"/>
      </w:pPr>
      <w:r w:rsidRPr="001F14BC">
        <w:rPr>
          <w:lang w:eastAsia="fr-FR" w:bidi="fr-FR"/>
        </w:rPr>
        <w:t xml:space="preserve">Le </w:t>
      </w:r>
      <w:r w:rsidRPr="001F14BC">
        <w:t xml:space="preserve">NSC </w:t>
      </w:r>
      <w:r w:rsidRPr="001F14BC">
        <w:rPr>
          <w:lang w:eastAsia="fr-FR" w:bidi="fr-FR"/>
        </w:rPr>
        <w:t>stricto sensu</w:t>
      </w:r>
      <w:r w:rsidRPr="001F14BC">
        <w:t> :</w:t>
      </w:r>
      <w:r w:rsidRPr="001F14BC">
        <w:rPr>
          <w:lang w:eastAsia="fr-FR" w:bidi="fr-FR"/>
        </w:rPr>
        <w:t xml:space="preserve"> le forum décisionnel</w:t>
      </w:r>
    </w:p>
    <w:p w14:paraId="5D86C7AC" w14:textId="77777777" w:rsidR="0039793A" w:rsidRDefault="0039793A" w:rsidP="0039793A">
      <w:pPr>
        <w:spacing w:before="120" w:after="120"/>
        <w:jc w:val="both"/>
        <w:rPr>
          <w:lang w:eastAsia="fr-FR" w:bidi="fr-FR"/>
        </w:rPr>
      </w:pPr>
    </w:p>
    <w:p w14:paraId="16A6F5E4" w14:textId="77777777" w:rsidR="0039793A" w:rsidRPr="00681E91" w:rsidRDefault="0039793A" w:rsidP="0039793A">
      <w:pPr>
        <w:spacing w:before="120" w:after="120"/>
        <w:jc w:val="both"/>
        <w:rPr>
          <w:lang w:eastAsia="fr-FR" w:bidi="fr-FR"/>
        </w:rPr>
      </w:pPr>
      <w:r w:rsidRPr="001C2E2B">
        <w:rPr>
          <w:lang w:eastAsia="fr-FR" w:bidi="fr-FR"/>
        </w:rPr>
        <w:t>C’est là la partie émergée de l’iceberg et sans doute ce que l’on e</w:t>
      </w:r>
      <w:r w:rsidRPr="001C2E2B">
        <w:rPr>
          <w:lang w:eastAsia="fr-FR" w:bidi="fr-FR"/>
        </w:rPr>
        <w:t>n</w:t>
      </w:r>
      <w:r w:rsidRPr="001C2E2B">
        <w:rPr>
          <w:lang w:eastAsia="fr-FR" w:bidi="fr-FR"/>
        </w:rPr>
        <w:t xml:space="preserve">tend le plus communément lorsque l’on parle du </w:t>
      </w:r>
      <w:r w:rsidRPr="00681E91">
        <w:rPr>
          <w:bCs/>
        </w:rPr>
        <w:t>NSC</w:t>
      </w:r>
      <w:r w:rsidRPr="00681E91">
        <w:rPr>
          <w:b/>
          <w:bCs/>
        </w:rPr>
        <w:t xml:space="preserve">. </w:t>
      </w:r>
      <w:r w:rsidRPr="001C2E2B">
        <w:rPr>
          <w:lang w:eastAsia="fr-FR" w:bidi="fr-FR"/>
        </w:rPr>
        <w:t xml:space="preserve">Il s’agit de la réunion formelle de membres de droit, définie par la loi, qui vise à rassembler les décideurs civils </w:t>
      </w:r>
      <w:r w:rsidRPr="00681E91">
        <w:rPr>
          <w:lang w:eastAsia="fr-FR" w:bidi="fr-FR"/>
        </w:rPr>
        <w:t>et milita</w:t>
      </w:r>
      <w:r w:rsidRPr="00681E91">
        <w:rPr>
          <w:lang w:eastAsia="fr-FR" w:bidi="fr-FR"/>
        </w:rPr>
        <w:t>i</w:t>
      </w:r>
      <w:r w:rsidRPr="00681E91">
        <w:rPr>
          <w:lang w:eastAsia="fr-FR" w:bidi="fr-FR"/>
        </w:rPr>
        <w:t>res du gouvernement.</w:t>
      </w:r>
    </w:p>
    <w:p w14:paraId="1E33EE97" w14:textId="77777777" w:rsidR="0039793A" w:rsidRPr="00681E91" w:rsidRDefault="0039793A" w:rsidP="0039793A">
      <w:pPr>
        <w:spacing w:before="120" w:after="120"/>
        <w:jc w:val="both"/>
        <w:rPr>
          <w:lang w:eastAsia="fr-FR" w:bidi="fr-FR"/>
        </w:rPr>
      </w:pPr>
      <w:r w:rsidRPr="00681E91">
        <w:rPr>
          <w:lang w:eastAsia="fr-FR" w:bidi="fr-FR"/>
        </w:rPr>
        <w:t xml:space="preserve">Les membres statutaires du </w:t>
      </w:r>
      <w:r w:rsidRPr="00681E91">
        <w:rPr>
          <w:bCs/>
        </w:rPr>
        <w:t xml:space="preserve">NSC </w:t>
      </w:r>
      <w:r w:rsidRPr="00681E91">
        <w:rPr>
          <w:lang w:eastAsia="fr-FR" w:bidi="fr-FR"/>
        </w:rPr>
        <w:t>étaient à l’origine : le président, les secrétaires d’État, de la Défense, de l’armée de Terre, de la Mar</w:t>
      </w:r>
      <w:r w:rsidRPr="00681E91">
        <w:rPr>
          <w:lang w:eastAsia="fr-FR" w:bidi="fr-FR"/>
        </w:rPr>
        <w:t>i</w:t>
      </w:r>
      <w:r w:rsidRPr="00681E91">
        <w:rPr>
          <w:lang w:eastAsia="fr-FR" w:bidi="fr-FR"/>
        </w:rPr>
        <w:t>ne, de l’armée de l’Air et le responsable de la planific</w:t>
      </w:r>
      <w:r w:rsidRPr="00681E91">
        <w:rPr>
          <w:lang w:eastAsia="fr-FR" w:bidi="fr-FR"/>
        </w:rPr>
        <w:t>a</w:t>
      </w:r>
      <w:r w:rsidRPr="00681E91">
        <w:rPr>
          <w:lang w:eastAsia="fr-FR" w:bidi="fr-FR"/>
        </w:rPr>
        <w:t>tion d’urgence et de la défense</w:t>
      </w:r>
      <w:r>
        <w:rPr>
          <w:lang w:eastAsia="fr-FR" w:bidi="fr-FR"/>
        </w:rPr>
        <w:t xml:space="preserve"> civile au sein du gouvernement </w:t>
      </w:r>
      <w:r>
        <w:rPr>
          <w:rStyle w:val="Appelnotedebasdep"/>
          <w:lang w:eastAsia="fr-FR" w:bidi="fr-FR"/>
        </w:rPr>
        <w:footnoteReference w:id="467"/>
      </w:r>
      <w:r w:rsidRPr="00681E91">
        <w:rPr>
          <w:lang w:eastAsia="fr-FR" w:bidi="fr-FR"/>
        </w:rPr>
        <w:t xml:space="preserve">. La loi prévoyait également la création du poste de secrétaire exécutif au </w:t>
      </w:r>
      <w:r w:rsidRPr="00681E91">
        <w:rPr>
          <w:bCs/>
        </w:rPr>
        <w:t xml:space="preserve">NSC </w:t>
      </w:r>
      <w:r w:rsidRPr="00681E91">
        <w:rPr>
          <w:lang w:eastAsia="fr-FR" w:bidi="fr-FR"/>
        </w:rPr>
        <w:t>- une fonction essentiellement administrative. En 1949, suite à la réorgan</w:t>
      </w:r>
      <w:r w:rsidRPr="00681E91">
        <w:rPr>
          <w:lang w:eastAsia="fr-FR" w:bidi="fr-FR"/>
        </w:rPr>
        <w:t>i</w:t>
      </w:r>
      <w:r w:rsidRPr="00681E91">
        <w:rPr>
          <w:lang w:eastAsia="fr-FR" w:bidi="fr-FR"/>
        </w:rPr>
        <w:t>sation de la Défense nationale, la loi est amendée et les membres st</w:t>
      </w:r>
      <w:r w:rsidRPr="00681E91">
        <w:rPr>
          <w:lang w:eastAsia="fr-FR" w:bidi="fr-FR"/>
        </w:rPr>
        <w:t>a</w:t>
      </w:r>
      <w:r w:rsidRPr="00681E91">
        <w:rPr>
          <w:lang w:eastAsia="fr-FR" w:bidi="fr-FR"/>
        </w:rPr>
        <w:t xml:space="preserve">tutaires réduits à quatre : le président, le vice-président, le secrétaire d’État et le secrétaire à la Défense. Le président du comité des chefs d’État-major </w:t>
      </w:r>
      <w:r w:rsidRPr="00681E91">
        <w:rPr>
          <w:bCs/>
        </w:rPr>
        <w:t xml:space="preserve">(CJCS) </w:t>
      </w:r>
      <w:r w:rsidRPr="00681E91">
        <w:rPr>
          <w:lang w:eastAsia="fr-FR" w:bidi="fr-FR"/>
        </w:rPr>
        <w:t>ainsi que le directeur des services de renseign</w:t>
      </w:r>
      <w:r w:rsidRPr="00681E91">
        <w:rPr>
          <w:lang w:eastAsia="fr-FR" w:bidi="fr-FR"/>
        </w:rPr>
        <w:t>e</w:t>
      </w:r>
      <w:r w:rsidRPr="00681E91">
        <w:rPr>
          <w:lang w:eastAsia="fr-FR" w:bidi="fr-FR"/>
        </w:rPr>
        <w:t xml:space="preserve">ment </w:t>
      </w:r>
      <w:r w:rsidRPr="00681E91">
        <w:rPr>
          <w:bCs/>
        </w:rPr>
        <w:t>(DC</w:t>
      </w:r>
      <w:r>
        <w:rPr>
          <w:bCs/>
        </w:rPr>
        <w:t>I</w:t>
      </w:r>
      <w:r w:rsidRPr="00681E91">
        <w:rPr>
          <w:bCs/>
        </w:rPr>
        <w:t xml:space="preserve">) </w:t>
      </w:r>
      <w:r w:rsidRPr="00681E91">
        <w:rPr>
          <w:lang w:eastAsia="fr-FR" w:bidi="fr-FR"/>
        </w:rPr>
        <w:t>étaient désormais inclus comme conseillers statutaires</w:t>
      </w:r>
      <w:r>
        <w:rPr>
          <w:lang w:eastAsia="fr-FR" w:bidi="fr-FR"/>
        </w:rPr>
        <w:t> </w:t>
      </w:r>
      <w:r>
        <w:rPr>
          <w:rStyle w:val="Appelnotedebasdep"/>
          <w:lang w:eastAsia="fr-FR" w:bidi="fr-FR"/>
        </w:rPr>
        <w:footnoteReference w:id="468"/>
      </w:r>
      <w:r w:rsidRPr="00681E91">
        <w:rPr>
          <w:lang w:eastAsia="fr-FR" w:bidi="fr-FR"/>
        </w:rPr>
        <w:t>. Chaque président a, par la suite et de lui-même, convié les nouveaux membres qu’il souhaitait voir participer aux r</w:t>
      </w:r>
      <w:r w:rsidRPr="00681E91">
        <w:rPr>
          <w:lang w:eastAsia="fr-FR" w:bidi="fr-FR"/>
        </w:rPr>
        <w:t>é</w:t>
      </w:r>
      <w:r w:rsidRPr="00681E91">
        <w:rPr>
          <w:lang w:eastAsia="fr-FR" w:bidi="fr-FR"/>
        </w:rPr>
        <w:t xml:space="preserve">unions du </w:t>
      </w:r>
      <w:r w:rsidRPr="00681E91">
        <w:rPr>
          <w:bCs/>
        </w:rPr>
        <w:t xml:space="preserve">NSC. </w:t>
      </w:r>
      <w:r w:rsidRPr="00681E91">
        <w:rPr>
          <w:lang w:eastAsia="fr-FR" w:bidi="fr-FR"/>
        </w:rPr>
        <w:t>Il n’a pas été rare d’y retrouver ainsi les secrétaires au Trésor ou au Co</w:t>
      </w:r>
      <w:r w:rsidRPr="00681E91">
        <w:rPr>
          <w:lang w:eastAsia="fr-FR" w:bidi="fr-FR"/>
        </w:rPr>
        <w:t>m</w:t>
      </w:r>
      <w:r w:rsidRPr="00681E91">
        <w:rPr>
          <w:lang w:eastAsia="fr-FR" w:bidi="fr-FR"/>
        </w:rPr>
        <w:t>merce, ou encore l’ambassadeur aux Nations unies et les conseillers de la Maison-Blanche - notamment le conseiller pour la Sécurité n</w:t>
      </w:r>
      <w:r w:rsidRPr="00681E91">
        <w:rPr>
          <w:lang w:eastAsia="fr-FR" w:bidi="fr-FR"/>
        </w:rPr>
        <w:t>a</w:t>
      </w:r>
      <w:r w:rsidRPr="00681E91">
        <w:rPr>
          <w:lang w:eastAsia="fr-FR" w:bidi="fr-FR"/>
        </w:rPr>
        <w:t>tionale, un poste qui n’était pas prévu dans la loi de 1947. En fait, au-delà des membres et conseillers statutaires, le pr</w:t>
      </w:r>
      <w:r w:rsidRPr="00681E91">
        <w:rPr>
          <w:lang w:eastAsia="fr-FR" w:bidi="fr-FR"/>
        </w:rPr>
        <w:t>é</w:t>
      </w:r>
      <w:r w:rsidRPr="00681E91">
        <w:rPr>
          <w:lang w:eastAsia="fr-FR" w:bidi="fr-FR"/>
        </w:rPr>
        <w:t xml:space="preserve">sident a pu désigner qui il voulait comme membre du </w:t>
      </w:r>
      <w:r w:rsidRPr="00681E91">
        <w:rPr>
          <w:bCs/>
        </w:rPr>
        <w:t xml:space="preserve">NSC </w:t>
      </w:r>
      <w:r w:rsidRPr="00681E91">
        <w:rPr>
          <w:lang w:eastAsia="fr-FR" w:bidi="fr-FR"/>
        </w:rPr>
        <w:t>et réunir le Conseil autant — ou aussi peu — qu’il le souhaitait.</w:t>
      </w:r>
    </w:p>
    <w:p w14:paraId="4954EAA0" w14:textId="77777777" w:rsidR="0039793A" w:rsidRPr="001C2E2B" w:rsidRDefault="0039793A" w:rsidP="0039793A">
      <w:pPr>
        <w:spacing w:before="120" w:after="120"/>
        <w:jc w:val="both"/>
      </w:pPr>
      <w:r w:rsidRPr="00681E91">
        <w:rPr>
          <w:lang w:eastAsia="fr-FR" w:bidi="fr-FR"/>
        </w:rPr>
        <w:t>En agissant à titre de forum de prise de déc</w:t>
      </w:r>
      <w:r w:rsidRPr="00681E91">
        <w:rPr>
          <w:lang w:eastAsia="fr-FR" w:bidi="fr-FR"/>
        </w:rPr>
        <w:t>i</w:t>
      </w:r>
      <w:r w:rsidRPr="00681E91">
        <w:rPr>
          <w:lang w:eastAsia="fr-FR" w:bidi="fr-FR"/>
        </w:rPr>
        <w:t>sion, les membres du Conseil débattent des orie</w:t>
      </w:r>
      <w:r w:rsidRPr="00681E91">
        <w:rPr>
          <w:lang w:eastAsia="fr-FR" w:bidi="fr-FR"/>
        </w:rPr>
        <w:t>n</w:t>
      </w:r>
      <w:r w:rsidRPr="00681E91">
        <w:rPr>
          <w:lang w:eastAsia="fr-FR" w:bidi="fr-FR"/>
        </w:rPr>
        <w:t>tations des politiques et jugent des options offertes au président. En vertu de sa composition relativement re</w:t>
      </w:r>
      <w:r w:rsidRPr="00681E91">
        <w:rPr>
          <w:lang w:eastAsia="fr-FR" w:bidi="fr-FR"/>
        </w:rPr>
        <w:t>s</w:t>
      </w:r>
      <w:r w:rsidRPr="00681E91">
        <w:rPr>
          <w:lang w:eastAsia="fr-FR" w:bidi="fr-FR"/>
        </w:rPr>
        <w:t xml:space="preserve">treinte, mais parfois élargie aux autres conseillers que le président souhaite voir intervenir, le </w:t>
      </w:r>
      <w:r w:rsidRPr="00681E91">
        <w:rPr>
          <w:bCs/>
        </w:rPr>
        <w:t xml:space="preserve">NSC </w:t>
      </w:r>
      <w:r w:rsidRPr="00681E91">
        <w:rPr>
          <w:lang w:eastAsia="fr-FR" w:bidi="fr-FR"/>
        </w:rPr>
        <w:t>offre une structure collégiale perme</w:t>
      </w:r>
      <w:r w:rsidRPr="00681E91">
        <w:rPr>
          <w:lang w:eastAsia="fr-FR" w:bidi="fr-FR"/>
        </w:rPr>
        <w:t>t</w:t>
      </w:r>
      <w:r w:rsidRPr="00681E91">
        <w:rPr>
          <w:lang w:eastAsia="fr-FR" w:bidi="fr-FR"/>
        </w:rPr>
        <w:t>tant l’évaluation globale et interdépartementale des décisions. Ceux qui y siègent le font en tant que conseillers pe</w:t>
      </w:r>
      <w:r w:rsidRPr="001C2E2B">
        <w:rPr>
          <w:lang w:eastAsia="fr-FR" w:bidi="fr-FR"/>
        </w:rPr>
        <w:t>rsonnels du président, et non en tant que</w:t>
      </w:r>
      <w:r>
        <w:rPr>
          <w:lang w:eastAsia="fr-FR" w:bidi="fr-FR"/>
        </w:rPr>
        <w:t xml:space="preserve"> </w:t>
      </w:r>
      <w:r>
        <w:t xml:space="preserve">[217] </w:t>
      </w:r>
      <w:r w:rsidRPr="001C2E2B">
        <w:rPr>
          <w:lang w:eastAsia="fr-FR" w:bidi="fr-FR"/>
        </w:rPr>
        <w:t>représentants d’une organisation, ceci afin de stimuler en principe des débats contradictoires et efficaces. Le forum soumet des reco</w:t>
      </w:r>
      <w:r w:rsidRPr="001C2E2B">
        <w:rPr>
          <w:lang w:eastAsia="fr-FR" w:bidi="fr-FR"/>
        </w:rPr>
        <w:t>m</w:t>
      </w:r>
      <w:r w:rsidRPr="001C2E2B">
        <w:rPr>
          <w:lang w:eastAsia="fr-FR" w:bidi="fr-FR"/>
        </w:rPr>
        <w:t>mandations au président.</w:t>
      </w:r>
    </w:p>
    <w:p w14:paraId="59B9D8CF" w14:textId="77777777" w:rsidR="0039793A" w:rsidRPr="001C2E2B" w:rsidRDefault="0039793A" w:rsidP="0039793A">
      <w:pPr>
        <w:spacing w:before="120" w:after="120"/>
        <w:jc w:val="both"/>
      </w:pPr>
      <w:r w:rsidRPr="001C2E2B">
        <w:rPr>
          <w:lang w:eastAsia="fr-FR" w:bidi="fr-FR"/>
        </w:rPr>
        <w:t xml:space="preserve">Ce forum est pourtant progressivement </w:t>
      </w:r>
      <w:r w:rsidRPr="00681E91">
        <w:rPr>
          <w:lang w:eastAsia="fr-FR" w:bidi="fr-FR"/>
        </w:rPr>
        <w:t>devenu marginal, les prés</w:t>
      </w:r>
      <w:r w:rsidRPr="00681E91">
        <w:rPr>
          <w:lang w:eastAsia="fr-FR" w:bidi="fr-FR"/>
        </w:rPr>
        <w:t>i</w:t>
      </w:r>
      <w:r w:rsidRPr="00681E91">
        <w:rPr>
          <w:lang w:eastAsia="fr-FR" w:bidi="fr-FR"/>
        </w:rPr>
        <w:t xml:space="preserve">dents lui préférant des groupes plus informels de prise de décision — autrement dit des réunions semblables à celles du </w:t>
      </w:r>
      <w:r w:rsidRPr="00681E91">
        <w:rPr>
          <w:bCs/>
        </w:rPr>
        <w:t xml:space="preserve">NSC </w:t>
      </w:r>
      <w:r w:rsidRPr="00681E91">
        <w:rPr>
          <w:lang w:eastAsia="fr-FR" w:bidi="fr-FR"/>
        </w:rPr>
        <w:t>mais déno</w:t>
      </w:r>
      <w:r w:rsidRPr="00681E91">
        <w:rPr>
          <w:lang w:eastAsia="fr-FR" w:bidi="fr-FR"/>
        </w:rPr>
        <w:t>m</w:t>
      </w:r>
      <w:r w:rsidRPr="00681E91">
        <w:rPr>
          <w:lang w:eastAsia="fr-FR" w:bidi="fr-FR"/>
        </w:rPr>
        <w:t xml:space="preserve">mées autrement afin de préserver toute la liberté du chef de la Maison-Blanche. L’un des paradoxes de l’histoire du </w:t>
      </w:r>
      <w:r w:rsidRPr="00681E91">
        <w:rPr>
          <w:bCs/>
        </w:rPr>
        <w:t xml:space="preserve">NSC </w:t>
      </w:r>
      <w:r w:rsidRPr="00681E91">
        <w:rPr>
          <w:lang w:eastAsia="fr-FR" w:bidi="fr-FR"/>
        </w:rPr>
        <w:t>est que ses r</w:t>
      </w:r>
      <w:r w:rsidRPr="00681E91">
        <w:rPr>
          <w:lang w:eastAsia="fr-FR" w:bidi="fr-FR"/>
        </w:rPr>
        <w:t>é</w:t>
      </w:r>
      <w:r w:rsidRPr="00681E91">
        <w:rPr>
          <w:lang w:eastAsia="fr-FR" w:bidi="fr-FR"/>
        </w:rPr>
        <w:t>unions statutaires, prévues par la loi, ne se sont plus produites réguli</w:t>
      </w:r>
      <w:r w:rsidRPr="00681E91">
        <w:rPr>
          <w:lang w:eastAsia="fr-FR" w:bidi="fr-FR"/>
        </w:rPr>
        <w:t>è</w:t>
      </w:r>
      <w:r w:rsidRPr="00681E91">
        <w:rPr>
          <w:lang w:eastAsia="fr-FR" w:bidi="fr-FR"/>
        </w:rPr>
        <w:t>rement</w:t>
      </w:r>
      <w:r w:rsidRPr="001C2E2B">
        <w:rPr>
          <w:lang w:eastAsia="fr-FR" w:bidi="fr-FR"/>
        </w:rPr>
        <w:t xml:space="preserve"> après la présidence d’Eisenhower. En revanche, la fréquence des réunions informelles a augmenté depuis. L’idée or</w:t>
      </w:r>
      <w:r w:rsidRPr="001C2E2B">
        <w:rPr>
          <w:lang w:eastAsia="fr-FR" w:bidi="fr-FR"/>
        </w:rPr>
        <w:t>i</w:t>
      </w:r>
      <w:r w:rsidRPr="001C2E2B">
        <w:rPr>
          <w:lang w:eastAsia="fr-FR" w:bidi="fr-FR"/>
        </w:rPr>
        <w:t xml:space="preserve">ginelle du </w:t>
      </w:r>
      <w:r w:rsidRPr="001C2E2B">
        <w:t>« </w:t>
      </w:r>
      <w:r w:rsidRPr="001C2E2B">
        <w:rPr>
          <w:lang w:eastAsia="fr-FR" w:bidi="fr-FR"/>
        </w:rPr>
        <w:t>conseil-forum</w:t>
      </w:r>
      <w:r w:rsidRPr="001C2E2B">
        <w:t> »</w:t>
      </w:r>
      <w:r w:rsidRPr="001C2E2B">
        <w:rPr>
          <w:lang w:eastAsia="fr-FR" w:bidi="fr-FR"/>
        </w:rPr>
        <w:t>, comme organisme de prise de décision, a disparu</w:t>
      </w:r>
      <w:r w:rsidRPr="001C2E2B">
        <w:t> :</w:t>
      </w:r>
      <w:r w:rsidRPr="001C2E2B">
        <w:rPr>
          <w:lang w:eastAsia="fr-FR" w:bidi="fr-FR"/>
        </w:rPr>
        <w:t xml:space="preserve"> s’y est substituée celle d’une véritable administration donnant à la Maison-Blanche un instrument de maîtrise de la polit</w:t>
      </w:r>
      <w:r w:rsidRPr="001C2E2B">
        <w:rPr>
          <w:lang w:eastAsia="fr-FR" w:bidi="fr-FR"/>
        </w:rPr>
        <w:t>i</w:t>
      </w:r>
      <w:r w:rsidRPr="001C2E2B">
        <w:rPr>
          <w:lang w:eastAsia="fr-FR" w:bidi="fr-FR"/>
        </w:rPr>
        <w:t>que étrangère, et ce aux dépens des ministères normalement responsables.</w:t>
      </w:r>
    </w:p>
    <w:p w14:paraId="49BF717D" w14:textId="77777777" w:rsidR="0039793A" w:rsidRPr="00681E91" w:rsidRDefault="0039793A" w:rsidP="0039793A">
      <w:pPr>
        <w:spacing w:before="120" w:after="120"/>
        <w:jc w:val="both"/>
      </w:pPr>
      <w:r w:rsidRPr="001C2E2B">
        <w:rPr>
          <w:lang w:eastAsia="fr-FR" w:bidi="fr-FR"/>
        </w:rPr>
        <w:t>La plupart du temps, c’est donc le conseiller pour la Sécurité n</w:t>
      </w:r>
      <w:r w:rsidRPr="001C2E2B">
        <w:rPr>
          <w:lang w:eastAsia="fr-FR" w:bidi="fr-FR"/>
        </w:rPr>
        <w:t>a</w:t>
      </w:r>
      <w:r w:rsidRPr="001C2E2B">
        <w:rPr>
          <w:lang w:eastAsia="fr-FR" w:bidi="fr-FR"/>
        </w:rPr>
        <w:t>tionale qui constitue le relais entre le forum et les comités interdépa</w:t>
      </w:r>
      <w:r w:rsidRPr="001C2E2B">
        <w:rPr>
          <w:lang w:eastAsia="fr-FR" w:bidi="fr-FR"/>
        </w:rPr>
        <w:t>r</w:t>
      </w:r>
      <w:r w:rsidRPr="001C2E2B">
        <w:rPr>
          <w:lang w:eastAsia="fr-FR" w:bidi="fr-FR"/>
        </w:rPr>
        <w:t xml:space="preserve">tementaux, qui forment la deuxième composante du </w:t>
      </w:r>
      <w:r w:rsidRPr="00681E91">
        <w:t xml:space="preserve">système du </w:t>
      </w:r>
      <w:r w:rsidRPr="00681E91">
        <w:rPr>
          <w:bCs/>
        </w:rPr>
        <w:t>NSC.</w:t>
      </w:r>
    </w:p>
    <w:p w14:paraId="50719EA7" w14:textId="77777777" w:rsidR="0039793A" w:rsidRDefault="0039793A" w:rsidP="0039793A">
      <w:pPr>
        <w:spacing w:before="120" w:after="120"/>
        <w:jc w:val="both"/>
      </w:pPr>
    </w:p>
    <w:p w14:paraId="31E04921" w14:textId="77777777" w:rsidR="0039793A" w:rsidRPr="001F14BC" w:rsidRDefault="0039793A" w:rsidP="0039793A">
      <w:pPr>
        <w:pStyle w:val="b"/>
      </w:pPr>
      <w:r w:rsidRPr="001F14BC">
        <w:t>Les comités interdépartementaux</w:t>
      </w:r>
    </w:p>
    <w:p w14:paraId="04625660" w14:textId="77777777" w:rsidR="0039793A" w:rsidRDefault="0039793A" w:rsidP="0039793A">
      <w:pPr>
        <w:spacing w:before="120" w:after="120"/>
        <w:jc w:val="both"/>
      </w:pPr>
    </w:p>
    <w:p w14:paraId="4B985D1E" w14:textId="77777777" w:rsidR="0039793A" w:rsidRPr="001C2E2B" w:rsidRDefault="0039793A" w:rsidP="0039793A">
      <w:pPr>
        <w:spacing w:before="120" w:after="120"/>
        <w:jc w:val="both"/>
      </w:pPr>
      <w:r w:rsidRPr="00681E91">
        <w:t xml:space="preserve">Les comités interdépartementaux réunissent des représentants des différents départements sur un sujet précis. Le </w:t>
      </w:r>
      <w:r w:rsidRPr="00681E91">
        <w:rPr>
          <w:bCs/>
        </w:rPr>
        <w:t xml:space="preserve">NSC </w:t>
      </w:r>
      <w:r w:rsidRPr="00681E91">
        <w:t>opère donc par le biais d’un processus formalisé : les comités interdépartementaux pr</w:t>
      </w:r>
      <w:r w:rsidRPr="00681E91">
        <w:t>é</w:t>
      </w:r>
      <w:r w:rsidRPr="00681E91">
        <w:t xml:space="preserve">parent régulièrement des documents et des rapports appelés à être examinés lors des réunions du forum. Les travaux du </w:t>
      </w:r>
      <w:r w:rsidRPr="00681E91">
        <w:rPr>
          <w:bCs/>
        </w:rPr>
        <w:t xml:space="preserve">NSC </w:t>
      </w:r>
      <w:r w:rsidRPr="00681E91">
        <w:t>visent à aider les décideurs à formuler leurs politiques, non à les exécuter, et, en ce sens, ils n’ont généralement pas d’emprise sur les actions go</w:t>
      </w:r>
      <w:r w:rsidRPr="00681E91">
        <w:t>u</w:t>
      </w:r>
      <w:r w:rsidRPr="00681E91">
        <w:t>vernementales proprement dites. Les comités sont le plus souvent pl</w:t>
      </w:r>
      <w:r w:rsidRPr="00681E91">
        <w:t>a</w:t>
      </w:r>
      <w:r w:rsidRPr="00681E91">
        <w:t>cés sous la direction du conseiller pour la Sécurité nationale. Ce sy</w:t>
      </w:r>
      <w:r w:rsidRPr="00681E91">
        <w:t>s</w:t>
      </w:r>
      <w:r w:rsidRPr="00681E91">
        <w:t>tème doit permettre de faire entendre les différentes perspectives a</w:t>
      </w:r>
      <w:r w:rsidRPr="00681E91">
        <w:t>d</w:t>
      </w:r>
      <w:r w:rsidRPr="00681E91">
        <w:t>ministrat</w:t>
      </w:r>
      <w:r w:rsidRPr="00681E91">
        <w:t>i</w:t>
      </w:r>
      <w:r w:rsidRPr="00681E91">
        <w:t>ves sur une question donnée. Ils ont pour rôle de préparer et soumettre les options à l’attention des décideurs. Le travail du consei</w:t>
      </w:r>
      <w:r w:rsidRPr="00681E91">
        <w:t>l</w:t>
      </w:r>
      <w:r w:rsidRPr="00681E91">
        <w:t>ler est déterminant car il doit s’assurer de prendre en compte toutes les alternatives décisionnelles. Alors que jadis il agissait comme secréta</w:t>
      </w:r>
      <w:r w:rsidRPr="00681E91">
        <w:t>i</w:t>
      </w:r>
      <w:r w:rsidRPr="00681E91">
        <w:t xml:space="preserve">re exécutif du </w:t>
      </w:r>
      <w:r w:rsidRPr="00681E91">
        <w:rPr>
          <w:bCs/>
        </w:rPr>
        <w:t xml:space="preserve">NSC, </w:t>
      </w:r>
      <w:r w:rsidRPr="00681E91">
        <w:t>et accomplissait les tâches exigées par les me</w:t>
      </w:r>
      <w:r w:rsidRPr="00681E91">
        <w:t>m</w:t>
      </w:r>
      <w:r w:rsidRPr="00681E91">
        <w:t>bres</w:t>
      </w:r>
      <w:r w:rsidRPr="001C2E2B">
        <w:rPr>
          <w:lang w:eastAsia="fr-FR" w:bidi="fr-FR"/>
        </w:rPr>
        <w:t xml:space="preserve"> du forum, ses fonctions sont devenues progressivement plus pol</w:t>
      </w:r>
      <w:r w:rsidRPr="001C2E2B">
        <w:rPr>
          <w:lang w:eastAsia="fr-FR" w:bidi="fr-FR"/>
        </w:rPr>
        <w:t>i</w:t>
      </w:r>
      <w:r w:rsidRPr="001C2E2B">
        <w:rPr>
          <w:lang w:eastAsia="fr-FR" w:bidi="fr-FR"/>
        </w:rPr>
        <w:t>tiques allant même jusqu’à définir, tant auprès des comités que des membres du F</w:t>
      </w:r>
      <w:r w:rsidRPr="001C2E2B">
        <w:rPr>
          <w:lang w:eastAsia="fr-FR" w:bidi="fr-FR"/>
        </w:rPr>
        <w:t>o</w:t>
      </w:r>
      <w:r>
        <w:rPr>
          <w:lang w:eastAsia="fr-FR" w:bidi="fr-FR"/>
        </w:rPr>
        <w:t>rum, les options et les poli</w:t>
      </w:r>
      <w:r w:rsidRPr="001C2E2B">
        <w:rPr>
          <w:lang w:eastAsia="fr-FR" w:bidi="fr-FR"/>
        </w:rPr>
        <w:t>tiques</w:t>
      </w:r>
      <w:r>
        <w:t xml:space="preserve"> [218]</w:t>
      </w:r>
      <w:r w:rsidRPr="001C2E2B">
        <w:rPr>
          <w:lang w:eastAsia="fr-FR" w:bidi="fr-FR"/>
        </w:rPr>
        <w:t xml:space="preserve"> favorisées par la Maison-Blanche. Initi</w:t>
      </w:r>
      <w:r w:rsidRPr="001C2E2B">
        <w:rPr>
          <w:lang w:eastAsia="fr-FR" w:bidi="fr-FR"/>
        </w:rPr>
        <w:t>a</w:t>
      </w:r>
      <w:r w:rsidRPr="001C2E2B">
        <w:rPr>
          <w:lang w:eastAsia="fr-FR" w:bidi="fr-FR"/>
        </w:rPr>
        <w:t>lement effacé, le conseiller pour la Sécurité nati</w:t>
      </w:r>
      <w:r w:rsidRPr="001C2E2B">
        <w:rPr>
          <w:lang w:eastAsia="fr-FR" w:bidi="fr-FR"/>
        </w:rPr>
        <w:t>o</w:t>
      </w:r>
      <w:r w:rsidRPr="001C2E2B">
        <w:rPr>
          <w:lang w:eastAsia="fr-FR" w:bidi="fr-FR"/>
        </w:rPr>
        <w:t>nale est devenu, depuis les années I960, une figure influente - éclipsant de ce fait le secrétaire d’</w:t>
      </w:r>
      <w:r>
        <w:rPr>
          <w:lang w:eastAsia="fr-FR" w:bidi="fr-FR"/>
        </w:rPr>
        <w:t>État</w:t>
      </w:r>
      <w:r w:rsidRPr="001C2E2B">
        <w:rPr>
          <w:lang w:eastAsia="fr-FR" w:bidi="fr-FR"/>
        </w:rPr>
        <w:t xml:space="preserve"> dans l’élaboration de la polit</w:t>
      </w:r>
      <w:r w:rsidRPr="001C2E2B">
        <w:rPr>
          <w:lang w:eastAsia="fr-FR" w:bidi="fr-FR"/>
        </w:rPr>
        <w:t>i</w:t>
      </w:r>
      <w:r w:rsidRPr="001C2E2B">
        <w:rPr>
          <w:lang w:eastAsia="fr-FR" w:bidi="fr-FR"/>
        </w:rPr>
        <w:t>que étrangère.</w:t>
      </w:r>
    </w:p>
    <w:p w14:paraId="2F39233D" w14:textId="77777777" w:rsidR="0039793A" w:rsidRDefault="0039793A" w:rsidP="0039793A">
      <w:pPr>
        <w:spacing w:before="120" w:after="120"/>
        <w:jc w:val="both"/>
        <w:rPr>
          <w:lang w:eastAsia="fr-FR" w:bidi="fr-FR"/>
        </w:rPr>
      </w:pPr>
    </w:p>
    <w:p w14:paraId="3E099EBF" w14:textId="77777777" w:rsidR="0039793A" w:rsidRPr="001F14BC" w:rsidRDefault="0039793A" w:rsidP="0039793A">
      <w:pPr>
        <w:pStyle w:val="b"/>
      </w:pPr>
      <w:r w:rsidRPr="001F14BC">
        <w:rPr>
          <w:lang w:eastAsia="fr-FR" w:bidi="fr-FR"/>
        </w:rPr>
        <w:t xml:space="preserve">L’administration du </w:t>
      </w:r>
      <w:r w:rsidRPr="001F14BC">
        <w:t>NSC</w:t>
      </w:r>
    </w:p>
    <w:p w14:paraId="121BD916" w14:textId="77777777" w:rsidR="0039793A" w:rsidRDefault="0039793A" w:rsidP="0039793A">
      <w:pPr>
        <w:spacing w:before="120" w:after="120"/>
        <w:jc w:val="both"/>
        <w:rPr>
          <w:lang w:eastAsia="fr-FR" w:bidi="fr-FR"/>
        </w:rPr>
      </w:pPr>
    </w:p>
    <w:p w14:paraId="5163D059" w14:textId="77777777" w:rsidR="0039793A" w:rsidRPr="00B740BD" w:rsidRDefault="0039793A" w:rsidP="0039793A">
      <w:pPr>
        <w:spacing w:before="120" w:after="120"/>
        <w:jc w:val="both"/>
        <w:rPr>
          <w:lang w:eastAsia="fr-FR" w:bidi="fr-FR"/>
        </w:rPr>
      </w:pPr>
      <w:r w:rsidRPr="00B740BD">
        <w:rPr>
          <w:lang w:eastAsia="fr-FR" w:bidi="fr-FR"/>
        </w:rPr>
        <w:t xml:space="preserve">Le </w:t>
      </w:r>
      <w:r w:rsidRPr="00B740BD">
        <w:rPr>
          <w:bCs/>
        </w:rPr>
        <w:t xml:space="preserve">NSC </w:t>
      </w:r>
      <w:r w:rsidRPr="00B740BD">
        <w:rPr>
          <w:lang w:eastAsia="fr-FR" w:bidi="fr-FR"/>
        </w:rPr>
        <w:t>s’appuie sur une petite administration pour assister les di</w:t>
      </w:r>
      <w:r w:rsidRPr="00B740BD">
        <w:rPr>
          <w:lang w:eastAsia="fr-FR" w:bidi="fr-FR"/>
        </w:rPr>
        <w:t>f</w:t>
      </w:r>
      <w:r w:rsidRPr="00B740BD">
        <w:rPr>
          <w:lang w:eastAsia="fr-FR" w:bidi="fr-FR"/>
        </w:rPr>
        <w:t>férents comités lors de la conception et de la coordination des polit</w:t>
      </w:r>
      <w:r w:rsidRPr="00B740BD">
        <w:rPr>
          <w:lang w:eastAsia="fr-FR" w:bidi="fr-FR"/>
        </w:rPr>
        <w:t>i</w:t>
      </w:r>
      <w:r w:rsidRPr="00B740BD">
        <w:rPr>
          <w:lang w:eastAsia="fr-FR" w:bidi="fr-FR"/>
        </w:rPr>
        <w:t>ques. À cette fin, le Conseil dispose d’un budget considérable (env</w:t>
      </w:r>
      <w:r w:rsidRPr="00B740BD">
        <w:rPr>
          <w:lang w:eastAsia="fr-FR" w:bidi="fr-FR"/>
        </w:rPr>
        <w:t>i</w:t>
      </w:r>
      <w:r w:rsidRPr="00B740BD">
        <w:rPr>
          <w:lang w:eastAsia="fr-FR" w:bidi="fr-FR"/>
        </w:rPr>
        <w:t>ron 6 millions de dollars par an).</w:t>
      </w:r>
    </w:p>
    <w:p w14:paraId="7D3CB860" w14:textId="77777777" w:rsidR="0039793A" w:rsidRPr="00B740BD" w:rsidRDefault="0039793A" w:rsidP="0039793A">
      <w:pPr>
        <w:spacing w:before="120" w:after="120"/>
        <w:jc w:val="both"/>
        <w:rPr>
          <w:lang w:eastAsia="fr-FR" w:bidi="fr-FR"/>
        </w:rPr>
      </w:pPr>
      <w:r w:rsidRPr="00B740BD">
        <w:rPr>
          <w:lang w:eastAsia="fr-FR" w:bidi="fr-FR"/>
        </w:rPr>
        <w:t xml:space="preserve">L’administration du </w:t>
      </w:r>
      <w:r w:rsidRPr="00B740BD">
        <w:rPr>
          <w:bCs/>
        </w:rPr>
        <w:t xml:space="preserve">NSC </w:t>
      </w:r>
      <w:r w:rsidRPr="00B740BD">
        <w:rPr>
          <w:lang w:eastAsia="fr-FR" w:bidi="fr-FR"/>
        </w:rPr>
        <w:t xml:space="preserve">(le </w:t>
      </w:r>
      <w:r w:rsidRPr="001F14BC">
        <w:rPr>
          <w:i/>
          <w:iCs/>
          <w:lang w:eastAsia="fr-FR" w:bidi="fr-FR"/>
        </w:rPr>
        <w:t>Staff</w:t>
      </w:r>
      <w:r w:rsidRPr="00B740BD">
        <w:rPr>
          <w:lang w:eastAsia="fr-FR" w:bidi="fr-FR"/>
        </w:rPr>
        <w:t>) est placée sous la direction du conseiller pour la Sécurité n</w:t>
      </w:r>
      <w:r w:rsidRPr="00B740BD">
        <w:rPr>
          <w:lang w:eastAsia="fr-FR" w:bidi="fr-FR"/>
        </w:rPr>
        <w:t>a</w:t>
      </w:r>
      <w:r w:rsidRPr="00B740BD">
        <w:rPr>
          <w:lang w:eastAsia="fr-FR" w:bidi="fr-FR"/>
        </w:rPr>
        <w:t>tionale (</w:t>
      </w:r>
      <w:r w:rsidRPr="001F14BC">
        <w:rPr>
          <w:i/>
          <w:iCs/>
          <w:lang w:eastAsia="fr-FR" w:bidi="fr-FR"/>
        </w:rPr>
        <w:t>National Security Adviser</w:t>
      </w:r>
      <w:r w:rsidRPr="00B740BD">
        <w:rPr>
          <w:lang w:eastAsia="fr-FR" w:bidi="fr-FR"/>
        </w:rPr>
        <w:t xml:space="preserve"> ou </w:t>
      </w:r>
      <w:r w:rsidRPr="00B740BD">
        <w:rPr>
          <w:bCs/>
        </w:rPr>
        <w:t xml:space="preserve">NSA) </w:t>
      </w:r>
      <w:r w:rsidRPr="00B740BD">
        <w:rPr>
          <w:lang w:eastAsia="fr-FR" w:bidi="fr-FR"/>
        </w:rPr>
        <w:t>et de son adjoint (</w:t>
      </w:r>
      <w:r w:rsidRPr="001F14BC">
        <w:rPr>
          <w:i/>
          <w:iCs/>
          <w:lang w:eastAsia="fr-FR" w:bidi="fr-FR"/>
        </w:rPr>
        <w:t>Deputy Assistant for National Security A</w:t>
      </w:r>
      <w:r w:rsidRPr="001F14BC">
        <w:rPr>
          <w:i/>
          <w:iCs/>
          <w:lang w:eastAsia="fr-FR" w:bidi="fr-FR"/>
        </w:rPr>
        <w:t>f</w:t>
      </w:r>
      <w:r w:rsidRPr="001F14BC">
        <w:rPr>
          <w:i/>
          <w:iCs/>
          <w:lang w:eastAsia="fr-FR" w:bidi="fr-FR"/>
        </w:rPr>
        <w:t>fairs</w:t>
      </w:r>
      <w:r w:rsidRPr="00B740BD">
        <w:rPr>
          <w:lang w:eastAsia="fr-FR" w:bidi="fr-FR"/>
        </w:rPr>
        <w:t xml:space="preserve">, </w:t>
      </w:r>
      <w:r w:rsidRPr="00B740BD">
        <w:rPr>
          <w:bCs/>
        </w:rPr>
        <w:t xml:space="preserve">DNSA). </w:t>
      </w:r>
      <w:r w:rsidRPr="00B740BD">
        <w:rPr>
          <w:lang w:eastAsia="fr-FR" w:bidi="fr-FR"/>
        </w:rPr>
        <w:t>Elle est composée d’universitaires, de hauts fonctio</w:t>
      </w:r>
      <w:r w:rsidRPr="00B740BD">
        <w:rPr>
          <w:lang w:eastAsia="fr-FR" w:bidi="fr-FR"/>
        </w:rPr>
        <w:t>n</w:t>
      </w:r>
      <w:r w:rsidRPr="00B740BD">
        <w:rPr>
          <w:lang w:eastAsia="fr-FR" w:bidi="fr-FR"/>
        </w:rPr>
        <w:t xml:space="preserve">naires et de militaires mis </w:t>
      </w:r>
      <w:r w:rsidRPr="00B740BD">
        <w:rPr>
          <w:bCs/>
        </w:rPr>
        <w:t xml:space="preserve">à </w:t>
      </w:r>
      <w:r w:rsidRPr="00B740BD">
        <w:rPr>
          <w:lang w:eastAsia="fr-FR" w:bidi="fr-FR"/>
        </w:rPr>
        <w:t>disposition ou détachés par leurs admini</w:t>
      </w:r>
      <w:r w:rsidRPr="00B740BD">
        <w:rPr>
          <w:lang w:eastAsia="fr-FR" w:bidi="fr-FR"/>
        </w:rPr>
        <w:t>s</w:t>
      </w:r>
      <w:r w:rsidRPr="00B740BD">
        <w:rPr>
          <w:lang w:eastAsia="fr-FR" w:bidi="fr-FR"/>
        </w:rPr>
        <w:t xml:space="preserve">trations ainsi que de fonctionnaires recrutés et employés directement par le </w:t>
      </w:r>
      <w:r w:rsidRPr="00B740BD">
        <w:rPr>
          <w:bCs/>
        </w:rPr>
        <w:t xml:space="preserve">NSC. </w:t>
      </w:r>
      <w:r w:rsidRPr="00B740BD">
        <w:rPr>
          <w:lang w:eastAsia="fr-FR" w:bidi="fr-FR"/>
        </w:rPr>
        <w:t xml:space="preserve">Il incombe </w:t>
      </w:r>
      <w:r w:rsidRPr="00B740BD">
        <w:rPr>
          <w:bCs/>
        </w:rPr>
        <w:t xml:space="preserve">à </w:t>
      </w:r>
      <w:r w:rsidRPr="00B740BD">
        <w:rPr>
          <w:lang w:eastAsia="fr-FR" w:bidi="fr-FR"/>
        </w:rPr>
        <w:t xml:space="preserve">ce personnel de tenir </w:t>
      </w:r>
      <w:r w:rsidRPr="00B740BD">
        <w:rPr>
          <w:bCs/>
        </w:rPr>
        <w:t xml:space="preserve">à </w:t>
      </w:r>
      <w:r w:rsidRPr="00B740BD">
        <w:rPr>
          <w:lang w:eastAsia="fr-FR" w:bidi="fr-FR"/>
        </w:rPr>
        <w:t>jour les études pour l’évaluation des problèmes de sécurité, et qui agrègent les approches fragmentaires et sectorie</w:t>
      </w:r>
      <w:r w:rsidRPr="00B740BD">
        <w:rPr>
          <w:lang w:eastAsia="fr-FR" w:bidi="fr-FR"/>
        </w:rPr>
        <w:t>l</w:t>
      </w:r>
      <w:r w:rsidRPr="00B740BD">
        <w:rPr>
          <w:lang w:eastAsia="fr-FR" w:bidi="fr-FR"/>
        </w:rPr>
        <w:t>les des départements en une vision globale et coh</w:t>
      </w:r>
      <w:r w:rsidRPr="00B740BD">
        <w:rPr>
          <w:lang w:eastAsia="fr-FR" w:bidi="fr-FR"/>
        </w:rPr>
        <w:t>é</w:t>
      </w:r>
      <w:r w:rsidRPr="00B740BD">
        <w:rPr>
          <w:lang w:eastAsia="fr-FR" w:bidi="fr-FR"/>
        </w:rPr>
        <w:t>rente.</w:t>
      </w:r>
    </w:p>
    <w:p w14:paraId="1D7A371C" w14:textId="77777777" w:rsidR="0039793A" w:rsidRPr="00B740BD" w:rsidRDefault="0039793A" w:rsidP="0039793A">
      <w:pPr>
        <w:spacing w:before="120" w:after="120"/>
        <w:jc w:val="both"/>
        <w:rPr>
          <w:lang w:eastAsia="fr-FR" w:bidi="fr-FR"/>
        </w:rPr>
      </w:pPr>
      <w:r w:rsidRPr="00B740BD">
        <w:rPr>
          <w:lang w:eastAsia="fr-FR" w:bidi="fr-FR"/>
        </w:rPr>
        <w:t xml:space="preserve">La mission de ce personnel, </w:t>
      </w:r>
      <w:r w:rsidRPr="00B740BD">
        <w:rPr>
          <w:bCs/>
        </w:rPr>
        <w:t xml:space="preserve">à </w:t>
      </w:r>
      <w:r w:rsidRPr="00B740BD">
        <w:rPr>
          <w:lang w:eastAsia="fr-FR" w:bidi="fr-FR"/>
        </w:rPr>
        <w:t xml:space="preserve">l’origine, était d’aider </w:t>
      </w:r>
      <w:r w:rsidRPr="00B740BD">
        <w:rPr>
          <w:bCs/>
        </w:rPr>
        <w:t xml:space="preserve">à </w:t>
      </w:r>
      <w:r w:rsidRPr="00B740BD">
        <w:rPr>
          <w:lang w:eastAsia="fr-FR" w:bidi="fr-FR"/>
        </w:rPr>
        <w:t>la prépar</w:t>
      </w:r>
      <w:r w:rsidRPr="00B740BD">
        <w:rPr>
          <w:lang w:eastAsia="fr-FR" w:bidi="fr-FR"/>
        </w:rPr>
        <w:t>a</w:t>
      </w:r>
      <w:r w:rsidRPr="00B740BD">
        <w:rPr>
          <w:lang w:eastAsia="fr-FR" w:bidi="fr-FR"/>
        </w:rPr>
        <w:t xml:space="preserve">tion des réunions du forum. Aujourd’hui, leur travail consiste </w:t>
      </w:r>
      <w:r w:rsidRPr="00B740BD">
        <w:rPr>
          <w:bCs/>
        </w:rPr>
        <w:t xml:space="preserve">à </w:t>
      </w:r>
      <w:r w:rsidRPr="00B740BD">
        <w:rPr>
          <w:lang w:eastAsia="fr-FR" w:bidi="fr-FR"/>
        </w:rPr>
        <w:t>effe</w:t>
      </w:r>
      <w:r w:rsidRPr="00B740BD">
        <w:rPr>
          <w:lang w:eastAsia="fr-FR" w:bidi="fr-FR"/>
        </w:rPr>
        <w:t>c</w:t>
      </w:r>
      <w:r w:rsidRPr="00B740BD">
        <w:rPr>
          <w:lang w:eastAsia="fr-FR" w:bidi="fr-FR"/>
        </w:rPr>
        <w:t>tuer des études qui orientent et définissent, pour le prés</w:t>
      </w:r>
      <w:r w:rsidRPr="00B740BD">
        <w:rPr>
          <w:lang w:eastAsia="fr-FR" w:bidi="fr-FR"/>
        </w:rPr>
        <w:t>i</w:t>
      </w:r>
      <w:r w:rsidRPr="00B740BD">
        <w:rPr>
          <w:lang w:eastAsia="fr-FR" w:bidi="fr-FR"/>
        </w:rPr>
        <w:t>dent, l’orchestration des options envisagées par les comités. De plus, le pe</w:t>
      </w:r>
      <w:r w:rsidRPr="00B740BD">
        <w:rPr>
          <w:lang w:eastAsia="fr-FR" w:bidi="fr-FR"/>
        </w:rPr>
        <w:t>r</w:t>
      </w:r>
      <w:r w:rsidRPr="00B740BD">
        <w:rPr>
          <w:lang w:eastAsia="fr-FR" w:bidi="fr-FR"/>
        </w:rPr>
        <w:t xml:space="preserve">sonnel du </w:t>
      </w:r>
      <w:r w:rsidRPr="00B740BD">
        <w:rPr>
          <w:bCs/>
        </w:rPr>
        <w:t xml:space="preserve">NSC </w:t>
      </w:r>
      <w:r w:rsidRPr="00B740BD">
        <w:rPr>
          <w:lang w:eastAsia="fr-FR" w:bidi="fr-FR"/>
        </w:rPr>
        <w:t>est informé des communications et mémorandums qui sont échangés au sein du gouvernement, afin de contrôler la formul</w:t>
      </w:r>
      <w:r w:rsidRPr="00B740BD">
        <w:rPr>
          <w:lang w:eastAsia="fr-FR" w:bidi="fr-FR"/>
        </w:rPr>
        <w:t>a</w:t>
      </w:r>
      <w:r w:rsidRPr="00B740BD">
        <w:rPr>
          <w:lang w:eastAsia="fr-FR" w:bidi="fr-FR"/>
        </w:rPr>
        <w:t>tion et la mise en œuvre de la polit</w:t>
      </w:r>
      <w:r w:rsidRPr="00B740BD">
        <w:rPr>
          <w:lang w:eastAsia="fr-FR" w:bidi="fr-FR"/>
        </w:rPr>
        <w:t>i</w:t>
      </w:r>
      <w:r w:rsidRPr="00B740BD">
        <w:rPr>
          <w:lang w:eastAsia="fr-FR" w:bidi="fr-FR"/>
        </w:rPr>
        <w:t xml:space="preserve">que étrangère. Ces fonctions ont accru le pouvoir et les compétences du personnel du </w:t>
      </w:r>
      <w:r w:rsidRPr="00B740BD">
        <w:rPr>
          <w:bCs/>
        </w:rPr>
        <w:t xml:space="preserve">NSC, </w:t>
      </w:r>
      <w:r w:rsidRPr="00B740BD">
        <w:rPr>
          <w:lang w:eastAsia="fr-FR" w:bidi="fr-FR"/>
        </w:rPr>
        <w:t xml:space="preserve">et l’ont conduit parfois </w:t>
      </w:r>
      <w:r w:rsidRPr="00B740BD">
        <w:rPr>
          <w:bCs/>
        </w:rPr>
        <w:t xml:space="preserve">à </w:t>
      </w:r>
      <w:r w:rsidRPr="00B740BD">
        <w:rPr>
          <w:lang w:eastAsia="fr-FR" w:bidi="fr-FR"/>
        </w:rPr>
        <w:t>prendre des initiatives et mener des actions concrètes de politique étrangère. « La garde présidentielle a eu raison des mini</w:t>
      </w:r>
      <w:r w:rsidRPr="00B740BD">
        <w:rPr>
          <w:lang w:eastAsia="fr-FR" w:bidi="fr-FR"/>
        </w:rPr>
        <w:t>s</w:t>
      </w:r>
      <w:r w:rsidRPr="00B740BD">
        <w:rPr>
          <w:lang w:eastAsia="fr-FR" w:bidi="fr-FR"/>
        </w:rPr>
        <w:t>tres de sa majesté », conclut avec un brin de sarcasme Amy Zegart</w:t>
      </w:r>
      <w:r>
        <w:rPr>
          <w:lang w:eastAsia="fr-FR" w:bidi="fr-FR"/>
        </w:rPr>
        <w:t> </w:t>
      </w:r>
      <w:r>
        <w:rPr>
          <w:rStyle w:val="Appelnotedebasdep"/>
          <w:lang w:eastAsia="fr-FR" w:bidi="fr-FR"/>
        </w:rPr>
        <w:footnoteReference w:id="469"/>
      </w:r>
      <w:r>
        <w:rPr>
          <w:lang w:eastAsia="fr-FR" w:bidi="fr-FR"/>
        </w:rPr>
        <w:t>.</w:t>
      </w:r>
    </w:p>
    <w:p w14:paraId="74A0E6F0" w14:textId="77777777" w:rsidR="0039793A" w:rsidRDefault="0039793A" w:rsidP="0039793A">
      <w:pPr>
        <w:spacing w:before="120" w:after="120"/>
        <w:jc w:val="both"/>
      </w:pPr>
      <w:r w:rsidRPr="00B740BD">
        <w:rPr>
          <w:lang w:eastAsia="fr-FR" w:bidi="fr-FR"/>
        </w:rPr>
        <w:t xml:space="preserve">Le </w:t>
      </w:r>
      <w:r w:rsidRPr="00B740BD">
        <w:rPr>
          <w:bCs/>
        </w:rPr>
        <w:t xml:space="preserve">NSC </w:t>
      </w:r>
      <w:r w:rsidRPr="00B740BD">
        <w:rPr>
          <w:lang w:eastAsia="fr-FR" w:bidi="fr-FR"/>
        </w:rPr>
        <w:t xml:space="preserve">a été mis sur pied pour répondre </w:t>
      </w:r>
      <w:r w:rsidRPr="00B740BD">
        <w:rPr>
          <w:bCs/>
        </w:rPr>
        <w:t xml:space="preserve">à </w:t>
      </w:r>
      <w:r w:rsidRPr="00B740BD">
        <w:rPr>
          <w:lang w:eastAsia="fr-FR" w:bidi="fr-FR"/>
        </w:rPr>
        <w:t>trois attentes. Premi</w:t>
      </w:r>
      <w:r w:rsidRPr="00B740BD">
        <w:rPr>
          <w:lang w:eastAsia="fr-FR" w:bidi="fr-FR"/>
        </w:rPr>
        <w:t>è</w:t>
      </w:r>
      <w:r w:rsidRPr="00B740BD">
        <w:rPr>
          <w:lang w:eastAsia="fr-FR" w:bidi="fr-FR"/>
        </w:rPr>
        <w:t xml:space="preserve">rement, les membres du conseil proposeraient </w:t>
      </w:r>
      <w:r w:rsidRPr="001F14BC">
        <w:rPr>
          <w:i/>
          <w:iCs/>
          <w:lang w:eastAsia="fr-FR" w:bidi="fr-FR"/>
        </w:rPr>
        <w:t>collectivement</w:t>
      </w:r>
      <w:r w:rsidRPr="00B740BD">
        <w:rPr>
          <w:lang w:eastAsia="fr-FR" w:bidi="fr-FR"/>
        </w:rPr>
        <w:t xml:space="preserve"> des r</w:t>
      </w:r>
      <w:r w:rsidRPr="00B740BD">
        <w:rPr>
          <w:lang w:eastAsia="fr-FR" w:bidi="fr-FR"/>
        </w:rPr>
        <w:t>e</w:t>
      </w:r>
      <w:r w:rsidRPr="00B740BD">
        <w:rPr>
          <w:lang w:eastAsia="fr-FR" w:bidi="fr-FR"/>
        </w:rPr>
        <w:t>command</w:t>
      </w:r>
      <w:r w:rsidRPr="00B740BD">
        <w:rPr>
          <w:lang w:eastAsia="fr-FR" w:bidi="fr-FR"/>
        </w:rPr>
        <w:t>a</w:t>
      </w:r>
      <w:r w:rsidRPr="00B740BD">
        <w:rPr>
          <w:lang w:eastAsia="fr-FR" w:bidi="fr-FR"/>
        </w:rPr>
        <w:t xml:space="preserve">tions au président. Deuxièmement, le </w:t>
      </w:r>
      <w:r w:rsidRPr="00B740BD">
        <w:rPr>
          <w:bCs/>
        </w:rPr>
        <w:t xml:space="preserve">NSC </w:t>
      </w:r>
      <w:r w:rsidRPr="00B740BD">
        <w:rPr>
          <w:lang w:eastAsia="fr-FR" w:bidi="fr-FR"/>
        </w:rPr>
        <w:t xml:space="preserve">agirait comme outil de </w:t>
      </w:r>
      <w:r w:rsidRPr="001F14BC">
        <w:rPr>
          <w:i/>
          <w:iCs/>
          <w:lang w:eastAsia="fr-FR" w:bidi="fr-FR"/>
        </w:rPr>
        <w:t>planification</w:t>
      </w:r>
      <w:r w:rsidRPr="00B740BD">
        <w:rPr>
          <w:lang w:eastAsia="fr-FR" w:bidi="fr-FR"/>
        </w:rPr>
        <w:t xml:space="preserve"> </w:t>
      </w:r>
      <w:r w:rsidRPr="00B740BD">
        <w:rPr>
          <w:bCs/>
        </w:rPr>
        <w:t xml:space="preserve">à </w:t>
      </w:r>
      <w:r w:rsidRPr="00B740BD">
        <w:rPr>
          <w:lang w:eastAsia="fr-FR" w:bidi="fr-FR"/>
        </w:rPr>
        <w:t>long terme de la sécurité nationale. Troisi</w:t>
      </w:r>
      <w:r w:rsidRPr="00B740BD">
        <w:rPr>
          <w:lang w:eastAsia="fr-FR" w:bidi="fr-FR"/>
        </w:rPr>
        <w:t>è</w:t>
      </w:r>
      <w:r w:rsidRPr="00B740BD">
        <w:rPr>
          <w:lang w:eastAsia="fr-FR" w:bidi="fr-FR"/>
        </w:rPr>
        <w:t xml:space="preserve">mement, il stimulerait la </w:t>
      </w:r>
      <w:r w:rsidRPr="001F14BC">
        <w:rPr>
          <w:i/>
          <w:iCs/>
          <w:lang w:eastAsia="fr-FR" w:bidi="fr-FR"/>
        </w:rPr>
        <w:t>coordination</w:t>
      </w:r>
      <w:r w:rsidRPr="00B740BD">
        <w:rPr>
          <w:lang w:eastAsia="fr-FR" w:bidi="fr-FR"/>
        </w:rPr>
        <w:t xml:space="preserve"> et </w:t>
      </w:r>
      <w:r w:rsidRPr="001F14BC">
        <w:rPr>
          <w:i/>
          <w:iCs/>
          <w:lang w:eastAsia="fr-FR" w:bidi="fr-FR"/>
        </w:rPr>
        <w:t>l’intégration</w:t>
      </w:r>
      <w:r w:rsidRPr="00B740BD">
        <w:rPr>
          <w:lang w:eastAsia="fr-FR" w:bidi="fr-FR"/>
        </w:rPr>
        <w:t xml:space="preserve"> au sein du pr</w:t>
      </w:r>
      <w:r w:rsidRPr="00B740BD">
        <w:rPr>
          <w:lang w:eastAsia="fr-FR" w:bidi="fr-FR"/>
        </w:rPr>
        <w:t>o</w:t>
      </w:r>
      <w:r w:rsidRPr="00B740BD">
        <w:rPr>
          <w:lang w:eastAsia="fr-FR" w:bidi="fr-FR"/>
        </w:rPr>
        <w:t xml:space="preserve">cessus d’élaboration des politiques. Le </w:t>
      </w:r>
      <w:r w:rsidRPr="00B740BD">
        <w:rPr>
          <w:bCs/>
        </w:rPr>
        <w:t xml:space="preserve">NSC </w:t>
      </w:r>
      <w:r w:rsidRPr="00B740BD">
        <w:rPr>
          <w:lang w:eastAsia="fr-FR" w:bidi="fr-FR"/>
        </w:rPr>
        <w:t>est fond</w:t>
      </w:r>
      <w:r w:rsidRPr="00B740BD">
        <w:rPr>
          <w:lang w:eastAsia="fr-FR" w:bidi="fr-FR"/>
        </w:rPr>
        <w:t>a</w:t>
      </w:r>
      <w:r w:rsidRPr="00B740BD">
        <w:rPr>
          <w:lang w:eastAsia="fr-FR" w:bidi="fr-FR"/>
        </w:rPr>
        <w:t>mentalement un système de conseil pour le président,</w:t>
      </w:r>
      <w:r>
        <w:rPr>
          <w:lang w:eastAsia="fr-FR" w:bidi="fr-FR"/>
        </w:rPr>
        <w:t xml:space="preserve"> </w:t>
      </w:r>
      <w:r>
        <w:t xml:space="preserve">[219] </w:t>
      </w:r>
      <w:r w:rsidRPr="001C2E2B">
        <w:rPr>
          <w:lang w:eastAsia="fr-FR" w:bidi="fr-FR"/>
        </w:rPr>
        <w:t>mais en aucun cas ne déc</w:t>
      </w:r>
      <w:r w:rsidRPr="001C2E2B">
        <w:rPr>
          <w:lang w:eastAsia="fr-FR" w:bidi="fr-FR"/>
        </w:rPr>
        <w:t>i</w:t>
      </w:r>
      <w:r w:rsidRPr="001C2E2B">
        <w:rPr>
          <w:lang w:eastAsia="fr-FR" w:bidi="fr-FR"/>
        </w:rPr>
        <w:t>de pour lui (le président Truman s’en a</w:t>
      </w:r>
      <w:r w:rsidRPr="001C2E2B">
        <w:rPr>
          <w:lang w:eastAsia="fr-FR" w:bidi="fr-FR"/>
        </w:rPr>
        <w:t>s</w:t>
      </w:r>
      <w:r w:rsidRPr="001C2E2B">
        <w:rPr>
          <w:lang w:eastAsia="fr-FR" w:bidi="fr-FR"/>
        </w:rPr>
        <w:t>sura personnellement). En ce sens, le Conseil effectue des études, pr</w:t>
      </w:r>
      <w:r w:rsidRPr="001C2E2B">
        <w:rPr>
          <w:lang w:eastAsia="fr-FR" w:bidi="fr-FR"/>
        </w:rPr>
        <w:t>é</w:t>
      </w:r>
      <w:r w:rsidRPr="001C2E2B">
        <w:rPr>
          <w:lang w:eastAsia="fr-FR" w:bidi="fr-FR"/>
        </w:rPr>
        <w:t xml:space="preserve">pare des recommandations et formule des choix de politiques, conformément aux termes du </w:t>
      </w:r>
      <w:r w:rsidRPr="001F14BC">
        <w:rPr>
          <w:i/>
          <w:iCs/>
        </w:rPr>
        <w:t>Nati</w:t>
      </w:r>
      <w:r w:rsidRPr="001F14BC">
        <w:rPr>
          <w:i/>
          <w:iCs/>
        </w:rPr>
        <w:t>o</w:t>
      </w:r>
      <w:r w:rsidRPr="001F14BC">
        <w:rPr>
          <w:i/>
          <w:iCs/>
        </w:rPr>
        <w:t>nal Security Act</w:t>
      </w:r>
      <w:r w:rsidRPr="001C2E2B">
        <w:t>.</w:t>
      </w:r>
      <w:r w:rsidRPr="001C2E2B">
        <w:rPr>
          <w:lang w:eastAsia="fr-FR" w:bidi="fr-FR"/>
        </w:rPr>
        <w:t xml:space="preserve"> Le </w:t>
      </w:r>
      <w:r w:rsidRPr="001C2E2B">
        <w:t xml:space="preserve">NSC </w:t>
      </w:r>
      <w:r w:rsidRPr="001C2E2B">
        <w:rPr>
          <w:lang w:eastAsia="fr-FR" w:bidi="fr-FR"/>
        </w:rPr>
        <w:t>évalue les objectifs, les engag</w:t>
      </w:r>
      <w:r w:rsidRPr="001C2E2B">
        <w:rPr>
          <w:lang w:eastAsia="fr-FR" w:bidi="fr-FR"/>
        </w:rPr>
        <w:t>e</w:t>
      </w:r>
      <w:r w:rsidRPr="001C2E2B">
        <w:rPr>
          <w:lang w:eastAsia="fr-FR" w:bidi="fr-FR"/>
        </w:rPr>
        <w:t>ments et les risques auxquels s’exposent les États-Unis en fonction de leurs cap</w:t>
      </w:r>
      <w:r w:rsidRPr="001C2E2B">
        <w:rPr>
          <w:lang w:eastAsia="fr-FR" w:bidi="fr-FR"/>
        </w:rPr>
        <w:t>a</w:t>
      </w:r>
      <w:r w:rsidRPr="001C2E2B">
        <w:rPr>
          <w:lang w:eastAsia="fr-FR" w:bidi="fr-FR"/>
        </w:rPr>
        <w:t>cités militaires présentes et à venir. Il examine les politiques de sécur</w:t>
      </w:r>
      <w:r w:rsidRPr="001C2E2B">
        <w:rPr>
          <w:lang w:eastAsia="fr-FR" w:bidi="fr-FR"/>
        </w:rPr>
        <w:t>i</w:t>
      </w:r>
      <w:r w:rsidRPr="001C2E2B">
        <w:rPr>
          <w:lang w:eastAsia="fr-FR" w:bidi="fr-FR"/>
        </w:rPr>
        <w:t>té nationale, en vue de formuler des recomma</w:t>
      </w:r>
      <w:r w:rsidRPr="001C2E2B">
        <w:rPr>
          <w:lang w:eastAsia="fr-FR" w:bidi="fr-FR"/>
        </w:rPr>
        <w:t>n</w:t>
      </w:r>
      <w:r w:rsidRPr="001C2E2B">
        <w:rPr>
          <w:lang w:eastAsia="fr-FR" w:bidi="fr-FR"/>
        </w:rPr>
        <w:t>dations au président. Ceci résulte de l’agencement de tout un système et de l’orchestration du proce</w:t>
      </w:r>
      <w:r w:rsidRPr="001C2E2B">
        <w:rPr>
          <w:lang w:eastAsia="fr-FR" w:bidi="fr-FR"/>
        </w:rPr>
        <w:t>s</w:t>
      </w:r>
      <w:r w:rsidRPr="001C2E2B">
        <w:rPr>
          <w:lang w:eastAsia="fr-FR" w:bidi="fr-FR"/>
        </w:rPr>
        <w:t xml:space="preserve">sus décisionnel au sein du </w:t>
      </w:r>
      <w:r w:rsidRPr="001C2E2B">
        <w:t>NSC.</w:t>
      </w:r>
    </w:p>
    <w:p w14:paraId="5BC8871D" w14:textId="77777777" w:rsidR="0039793A" w:rsidRPr="001C2E2B" w:rsidRDefault="0039793A" w:rsidP="0039793A">
      <w:pPr>
        <w:spacing w:before="120" w:after="120"/>
        <w:jc w:val="both"/>
      </w:pPr>
    </w:p>
    <w:p w14:paraId="36F43C2D" w14:textId="77777777" w:rsidR="0039793A" w:rsidRPr="001F14BC" w:rsidRDefault="0039793A" w:rsidP="0039793A">
      <w:pPr>
        <w:pStyle w:val="planche"/>
      </w:pPr>
      <w:bookmarkStart w:id="30" w:name="Pol_EU_pt_2_chap_07_2"/>
      <w:r w:rsidRPr="001F14BC">
        <w:t xml:space="preserve">Le </w:t>
      </w:r>
      <w:r w:rsidRPr="001F14BC">
        <w:rPr>
          <w:lang w:eastAsia="fr-FR" w:bidi="fr-FR"/>
        </w:rPr>
        <w:t>processus décisionnel au sein du NSC</w:t>
      </w:r>
    </w:p>
    <w:bookmarkEnd w:id="30"/>
    <w:p w14:paraId="52B55F9E" w14:textId="77777777" w:rsidR="0039793A" w:rsidRDefault="0039793A" w:rsidP="0039793A">
      <w:pPr>
        <w:spacing w:before="120" w:after="120"/>
        <w:jc w:val="both"/>
        <w:rPr>
          <w:lang w:eastAsia="fr-FR" w:bidi="fr-FR"/>
        </w:rPr>
      </w:pPr>
    </w:p>
    <w:p w14:paraId="1321FF00"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A406B3C" w14:textId="77777777" w:rsidR="0039793A" w:rsidRPr="001C2E2B" w:rsidRDefault="0039793A" w:rsidP="0039793A">
      <w:pPr>
        <w:spacing w:before="120" w:after="120"/>
        <w:jc w:val="both"/>
      </w:pPr>
      <w:r w:rsidRPr="001C2E2B">
        <w:rPr>
          <w:lang w:eastAsia="fr-FR" w:bidi="fr-FR"/>
        </w:rPr>
        <w:t xml:space="preserve">Malgré ses évolutions, depuis 1947, le </w:t>
      </w:r>
      <w:r w:rsidRPr="001C2E2B">
        <w:t xml:space="preserve">NSC </w:t>
      </w:r>
      <w:r w:rsidRPr="001C2E2B">
        <w:rPr>
          <w:lang w:eastAsia="fr-FR" w:bidi="fr-FR"/>
        </w:rPr>
        <w:t>est progressivement devenu l’organisation la plus i</w:t>
      </w:r>
      <w:r w:rsidRPr="001C2E2B">
        <w:rPr>
          <w:lang w:eastAsia="fr-FR" w:bidi="fr-FR"/>
        </w:rPr>
        <w:t>n</w:t>
      </w:r>
      <w:r w:rsidRPr="001C2E2B">
        <w:rPr>
          <w:lang w:eastAsia="fr-FR" w:bidi="fr-FR"/>
        </w:rPr>
        <w:t xml:space="preserve">fluente de l’élaboration de la politique étrangère. Depuis sa création, le forum du </w:t>
      </w:r>
      <w:r w:rsidRPr="001C2E2B">
        <w:t xml:space="preserve">NSC </w:t>
      </w:r>
      <w:r w:rsidRPr="001C2E2B">
        <w:rPr>
          <w:lang w:eastAsia="fr-FR" w:bidi="fr-FR"/>
        </w:rPr>
        <w:t>n’a pas re</w:t>
      </w:r>
      <w:r w:rsidRPr="001C2E2B">
        <w:rPr>
          <w:lang w:eastAsia="fr-FR" w:bidi="fr-FR"/>
        </w:rPr>
        <w:t>m</w:t>
      </w:r>
      <w:r w:rsidRPr="001C2E2B">
        <w:rPr>
          <w:lang w:eastAsia="fr-FR" w:bidi="fr-FR"/>
        </w:rPr>
        <w:t>pli les fonctions qui lui avaient été assignées. Mais malgré des modes de ge</w:t>
      </w:r>
      <w:r w:rsidRPr="001C2E2B">
        <w:rPr>
          <w:lang w:eastAsia="fr-FR" w:bidi="fr-FR"/>
        </w:rPr>
        <w:t>s</w:t>
      </w:r>
      <w:r w:rsidRPr="001C2E2B">
        <w:rPr>
          <w:lang w:eastAsia="fr-FR" w:bidi="fr-FR"/>
        </w:rPr>
        <w:t>tion de la prise de déc</w:t>
      </w:r>
      <w:r w:rsidRPr="001C2E2B">
        <w:rPr>
          <w:lang w:eastAsia="fr-FR" w:bidi="fr-FR"/>
        </w:rPr>
        <w:t>i</w:t>
      </w:r>
      <w:r w:rsidRPr="001C2E2B">
        <w:rPr>
          <w:lang w:eastAsia="fr-FR" w:bidi="fr-FR"/>
        </w:rPr>
        <w:t xml:space="preserve">sion différents d’une présidence </w:t>
      </w:r>
      <w:r w:rsidRPr="001C2E2B">
        <w:t xml:space="preserve">à </w:t>
      </w:r>
      <w:r w:rsidRPr="001C2E2B">
        <w:rPr>
          <w:lang w:eastAsia="fr-FR" w:bidi="fr-FR"/>
        </w:rPr>
        <w:t xml:space="preserve">l’autre, l’évolution du </w:t>
      </w:r>
      <w:r w:rsidRPr="001C2E2B">
        <w:t xml:space="preserve">NSC </w:t>
      </w:r>
      <w:r w:rsidRPr="001C2E2B">
        <w:rPr>
          <w:lang w:eastAsia="fr-FR" w:bidi="fr-FR"/>
        </w:rPr>
        <w:t>s’inscrit dans la continuité. Depuis Truman, une organisation et un personnel, menés par le conseiller pour la Sécurité nationale, ont géré et orienté pour chacun des présidents le processus d’élaboration de la politique étrangère et de sécurité des États-Unis. Les études et la définition des options, le contrôle des comités inte</w:t>
      </w:r>
      <w:r w:rsidRPr="001C2E2B">
        <w:rPr>
          <w:lang w:eastAsia="fr-FR" w:bidi="fr-FR"/>
        </w:rPr>
        <w:t>r</w:t>
      </w:r>
      <w:r w:rsidRPr="001C2E2B">
        <w:rPr>
          <w:lang w:eastAsia="fr-FR" w:bidi="fr-FR"/>
        </w:rPr>
        <w:t>départementaux et la formulation des directives pr</w:t>
      </w:r>
      <w:r w:rsidRPr="001C2E2B">
        <w:rPr>
          <w:lang w:eastAsia="fr-FR" w:bidi="fr-FR"/>
        </w:rPr>
        <w:t>é</w:t>
      </w:r>
      <w:r w:rsidRPr="001C2E2B">
        <w:rPr>
          <w:lang w:eastAsia="fr-FR" w:bidi="fr-FR"/>
        </w:rPr>
        <w:t xml:space="preserve">sidentielles ont émané de l’organisation du </w:t>
      </w:r>
      <w:r w:rsidRPr="001C2E2B">
        <w:t xml:space="preserve">NSC </w:t>
      </w:r>
      <w:r w:rsidRPr="001C2E2B">
        <w:rPr>
          <w:lang w:eastAsia="fr-FR" w:bidi="fr-FR"/>
        </w:rPr>
        <w:t>— un développement et une struct</w:t>
      </w:r>
      <w:r w:rsidRPr="001C2E2B">
        <w:rPr>
          <w:lang w:eastAsia="fr-FR" w:bidi="fr-FR"/>
        </w:rPr>
        <w:t>u</w:t>
      </w:r>
      <w:r w:rsidRPr="001C2E2B">
        <w:rPr>
          <w:lang w:eastAsia="fr-FR" w:bidi="fr-FR"/>
        </w:rPr>
        <w:t>re que n’auraient jamais imaginés ses créateurs. Les mécanismes fo</w:t>
      </w:r>
      <w:r w:rsidRPr="001C2E2B">
        <w:rPr>
          <w:lang w:eastAsia="fr-FR" w:bidi="fr-FR"/>
        </w:rPr>
        <w:t>r</w:t>
      </w:r>
      <w:r w:rsidRPr="001C2E2B">
        <w:rPr>
          <w:lang w:eastAsia="fr-FR" w:bidi="fr-FR"/>
        </w:rPr>
        <w:t xml:space="preserve">mels du </w:t>
      </w:r>
      <w:r w:rsidRPr="001C2E2B">
        <w:t xml:space="preserve">NSC </w:t>
      </w:r>
      <w:r w:rsidRPr="001C2E2B">
        <w:rPr>
          <w:lang w:eastAsia="fr-FR" w:bidi="fr-FR"/>
        </w:rPr>
        <w:t xml:space="preserve">se sont petit </w:t>
      </w:r>
      <w:r w:rsidRPr="001C2E2B">
        <w:t xml:space="preserve">à </w:t>
      </w:r>
      <w:r w:rsidRPr="001C2E2B">
        <w:rPr>
          <w:lang w:eastAsia="fr-FR" w:bidi="fr-FR"/>
        </w:rPr>
        <w:t>petit vu délaissés par les présidents. Et le déclin des méc</w:t>
      </w:r>
      <w:r w:rsidRPr="001C2E2B">
        <w:rPr>
          <w:lang w:eastAsia="fr-FR" w:bidi="fr-FR"/>
        </w:rPr>
        <w:t>a</w:t>
      </w:r>
      <w:r w:rsidRPr="001C2E2B">
        <w:rPr>
          <w:lang w:eastAsia="fr-FR" w:bidi="fr-FR"/>
        </w:rPr>
        <w:t xml:space="preserve">nismes </w:t>
      </w:r>
      <w:r w:rsidRPr="001F14BC">
        <w:rPr>
          <w:i/>
          <w:iCs/>
        </w:rPr>
        <w:t>formels</w:t>
      </w:r>
      <w:r w:rsidRPr="001C2E2B">
        <w:rPr>
          <w:lang w:eastAsia="fr-FR" w:bidi="fr-FR"/>
        </w:rPr>
        <w:t xml:space="preserve"> du Conseil de sécurité nationale n’a d’égal que la croissance </w:t>
      </w:r>
      <w:r w:rsidRPr="001F14BC">
        <w:rPr>
          <w:i/>
          <w:iCs/>
        </w:rPr>
        <w:t>informelle</w:t>
      </w:r>
      <w:r w:rsidRPr="001C2E2B">
        <w:rPr>
          <w:lang w:eastAsia="fr-FR" w:bidi="fr-FR"/>
        </w:rPr>
        <w:t xml:space="preserve"> de l’organisation du </w:t>
      </w:r>
      <w:r w:rsidRPr="001C2E2B">
        <w:t xml:space="preserve">NSC. </w:t>
      </w:r>
      <w:r w:rsidRPr="001C2E2B">
        <w:rPr>
          <w:lang w:eastAsia="fr-FR" w:bidi="fr-FR"/>
        </w:rPr>
        <w:t>Ceci a permis aux prés</w:t>
      </w:r>
      <w:r w:rsidRPr="001C2E2B">
        <w:rPr>
          <w:lang w:eastAsia="fr-FR" w:bidi="fr-FR"/>
        </w:rPr>
        <w:t>i</w:t>
      </w:r>
      <w:r w:rsidRPr="001C2E2B">
        <w:rPr>
          <w:lang w:eastAsia="fr-FR" w:bidi="fr-FR"/>
        </w:rPr>
        <w:t>dents d’établir leur mainmise sur l’élaboration de la politique étrangère</w:t>
      </w:r>
      <w:r w:rsidRPr="001C2E2B">
        <w:t> :</w:t>
      </w:r>
      <w:r w:rsidRPr="001C2E2B">
        <w:rPr>
          <w:lang w:eastAsia="fr-FR" w:bidi="fr-FR"/>
        </w:rPr>
        <w:t xml:space="preserve"> l’évolution du </w:t>
      </w:r>
      <w:r w:rsidRPr="001C2E2B">
        <w:t xml:space="preserve">NSC </w:t>
      </w:r>
      <w:r w:rsidRPr="001C2E2B">
        <w:rPr>
          <w:lang w:eastAsia="fr-FR" w:bidi="fr-FR"/>
        </w:rPr>
        <w:t>montre donc bien cette te</w:t>
      </w:r>
      <w:r w:rsidRPr="001C2E2B">
        <w:rPr>
          <w:lang w:eastAsia="fr-FR" w:bidi="fr-FR"/>
        </w:rPr>
        <w:t>n</w:t>
      </w:r>
      <w:r w:rsidRPr="001C2E2B">
        <w:rPr>
          <w:lang w:eastAsia="fr-FR" w:bidi="fr-FR"/>
        </w:rPr>
        <w:t>dance présidentielle centripète.</w:t>
      </w:r>
    </w:p>
    <w:p w14:paraId="345E942C" w14:textId="77777777" w:rsidR="0039793A" w:rsidRDefault="0039793A" w:rsidP="0039793A">
      <w:pPr>
        <w:spacing w:before="120" w:after="120"/>
        <w:jc w:val="both"/>
        <w:rPr>
          <w:lang w:eastAsia="fr-FR" w:bidi="fr-FR"/>
        </w:rPr>
      </w:pPr>
    </w:p>
    <w:p w14:paraId="2B671861" w14:textId="77777777" w:rsidR="0039793A" w:rsidRPr="001C2E2B" w:rsidRDefault="0039793A" w:rsidP="0039793A">
      <w:pPr>
        <w:pStyle w:val="a"/>
      </w:pPr>
      <w:r w:rsidRPr="001C2E2B">
        <w:t>Le déclin de la procédure formelle du forum décisionnel</w:t>
      </w:r>
    </w:p>
    <w:p w14:paraId="2D1F0427" w14:textId="77777777" w:rsidR="0039793A" w:rsidRDefault="0039793A" w:rsidP="0039793A">
      <w:pPr>
        <w:spacing w:before="120" w:after="120"/>
        <w:jc w:val="both"/>
        <w:rPr>
          <w:lang w:eastAsia="fr-FR" w:bidi="fr-FR"/>
        </w:rPr>
      </w:pPr>
    </w:p>
    <w:p w14:paraId="19EF0784" w14:textId="77777777" w:rsidR="0039793A" w:rsidRPr="00B740BD" w:rsidRDefault="0039793A" w:rsidP="0039793A">
      <w:pPr>
        <w:spacing w:before="120" w:after="120"/>
        <w:jc w:val="both"/>
        <w:rPr>
          <w:lang w:eastAsia="fr-FR" w:bidi="fr-FR"/>
        </w:rPr>
      </w:pPr>
      <w:r w:rsidRPr="001C2E2B">
        <w:rPr>
          <w:lang w:eastAsia="fr-FR" w:bidi="fr-FR"/>
        </w:rPr>
        <w:t xml:space="preserve">Les réunions formelles du </w:t>
      </w:r>
      <w:r w:rsidRPr="001C2E2B">
        <w:t xml:space="preserve">NSC </w:t>
      </w:r>
      <w:r w:rsidRPr="001C2E2B">
        <w:rPr>
          <w:lang w:eastAsia="fr-FR" w:bidi="fr-FR"/>
        </w:rPr>
        <w:t>ont, progress</w:t>
      </w:r>
      <w:r w:rsidRPr="001C2E2B">
        <w:rPr>
          <w:lang w:eastAsia="fr-FR" w:bidi="fr-FR"/>
        </w:rPr>
        <w:t>i</w:t>
      </w:r>
      <w:r w:rsidRPr="001C2E2B">
        <w:rPr>
          <w:lang w:eastAsia="fr-FR" w:bidi="fr-FR"/>
        </w:rPr>
        <w:t>vement, été de moins en moins souvent conv</w:t>
      </w:r>
      <w:r w:rsidRPr="001C2E2B">
        <w:rPr>
          <w:lang w:eastAsia="fr-FR" w:bidi="fr-FR"/>
        </w:rPr>
        <w:t>o</w:t>
      </w:r>
      <w:r w:rsidRPr="001C2E2B">
        <w:rPr>
          <w:lang w:eastAsia="fr-FR" w:bidi="fr-FR"/>
        </w:rPr>
        <w:t>quées</w:t>
      </w:r>
      <w:r w:rsidRPr="001C2E2B">
        <w:t> :</w:t>
      </w:r>
      <w:r w:rsidRPr="001C2E2B">
        <w:rPr>
          <w:lang w:eastAsia="fr-FR" w:bidi="fr-FR"/>
        </w:rPr>
        <w:t xml:space="preserve"> elles sont devenues de plus</w:t>
      </w:r>
      <w:r>
        <w:t xml:space="preserve"> [220] </w:t>
      </w:r>
      <w:r w:rsidRPr="001C2E2B">
        <w:rPr>
          <w:lang w:eastAsia="fr-FR" w:bidi="fr-FR"/>
        </w:rPr>
        <w:t>en plus sporadiques au fil des présidences</w:t>
      </w:r>
      <w:r>
        <w:rPr>
          <w:lang w:eastAsia="fr-FR" w:bidi="fr-FR"/>
        </w:rPr>
        <w:t> </w:t>
      </w:r>
      <w:r>
        <w:rPr>
          <w:rStyle w:val="Appelnotedebasdep"/>
          <w:lang w:eastAsia="fr-FR" w:bidi="fr-FR"/>
        </w:rPr>
        <w:footnoteReference w:id="470"/>
      </w:r>
      <w:r w:rsidRPr="001C2E2B">
        <w:t>.</w:t>
      </w:r>
      <w:r w:rsidRPr="001C2E2B">
        <w:rPr>
          <w:lang w:eastAsia="fr-FR" w:bidi="fr-FR"/>
        </w:rPr>
        <w:t xml:space="preserve"> Ainsi, Truman, au départ, délaisse le Conseil car il le perçoit comme une contrainte i</w:t>
      </w:r>
      <w:r w:rsidRPr="001C2E2B">
        <w:rPr>
          <w:lang w:eastAsia="fr-FR" w:bidi="fr-FR"/>
        </w:rPr>
        <w:t>m</w:t>
      </w:r>
      <w:r w:rsidRPr="001C2E2B">
        <w:rPr>
          <w:lang w:eastAsia="fr-FR" w:bidi="fr-FR"/>
        </w:rPr>
        <w:t xml:space="preserve">posée par le Congrès. Il n’assiste qu’à 12 des 57 </w:t>
      </w:r>
      <w:r w:rsidRPr="00B740BD">
        <w:rPr>
          <w:lang w:eastAsia="fr-FR" w:bidi="fr-FR"/>
        </w:rPr>
        <w:t xml:space="preserve">réunions du </w:t>
      </w:r>
      <w:r w:rsidRPr="00B740BD">
        <w:rPr>
          <w:bCs/>
        </w:rPr>
        <w:t xml:space="preserve">NSC </w:t>
      </w:r>
      <w:r w:rsidRPr="00B740BD">
        <w:rPr>
          <w:lang w:eastAsia="fr-FR" w:bidi="fr-FR"/>
        </w:rPr>
        <w:t>avant la gue</w:t>
      </w:r>
      <w:r w:rsidRPr="00B740BD">
        <w:rPr>
          <w:lang w:eastAsia="fr-FR" w:bidi="fr-FR"/>
        </w:rPr>
        <w:t>r</w:t>
      </w:r>
      <w:r w:rsidRPr="00B740BD">
        <w:rPr>
          <w:lang w:eastAsia="fr-FR" w:bidi="fr-FR"/>
        </w:rPr>
        <w:t>re de Corée. Il se ravise pourtant par la suite puisqu’il ne sera absent que durant 9 des 71 rencontres, se déroulant au rythme d’une toutes les deux semaines entre 1950 et 1952. E</w:t>
      </w:r>
      <w:r w:rsidRPr="00B740BD">
        <w:rPr>
          <w:lang w:eastAsia="fr-FR" w:bidi="fr-FR"/>
        </w:rPr>
        <w:t>i</w:t>
      </w:r>
      <w:r w:rsidRPr="00B740BD">
        <w:rPr>
          <w:lang w:eastAsia="fr-FR" w:bidi="fr-FR"/>
        </w:rPr>
        <w:t>senhower est le plus assidu des chefs de la Maison-Blanche, assistant à 329 des 366 r</w:t>
      </w:r>
      <w:r w:rsidRPr="00B740BD">
        <w:rPr>
          <w:lang w:eastAsia="fr-FR" w:bidi="fr-FR"/>
        </w:rPr>
        <w:t>é</w:t>
      </w:r>
      <w:r w:rsidRPr="00B740BD">
        <w:rPr>
          <w:lang w:eastAsia="fr-FR" w:bidi="fr-FR"/>
        </w:rPr>
        <w:t xml:space="preserve">unions qu’il convoque durant huit ans - soit une tous les dix jours. En revanche, Kennedy ne sollicite l’avis du </w:t>
      </w:r>
      <w:r w:rsidRPr="00B740BD">
        <w:rPr>
          <w:bCs/>
        </w:rPr>
        <w:t xml:space="preserve">NSC </w:t>
      </w:r>
      <w:r w:rsidRPr="00B740BD">
        <w:rPr>
          <w:lang w:eastAsia="fr-FR" w:bidi="fr-FR"/>
        </w:rPr>
        <w:t>qu’à 49 reprises en trois ans tandis que Johnson, pour sa part, réunit le Conseil 26 fois en 1965 mais en moyenne seulement une fois par mois par la suite. Il y a de moins en moins de r</w:t>
      </w:r>
      <w:r w:rsidRPr="00B740BD">
        <w:rPr>
          <w:lang w:eastAsia="fr-FR" w:bidi="fr-FR"/>
        </w:rPr>
        <w:t>é</w:t>
      </w:r>
      <w:r w:rsidRPr="00B740BD">
        <w:rPr>
          <w:lang w:eastAsia="fr-FR" w:bidi="fr-FR"/>
        </w:rPr>
        <w:t xml:space="preserve">unions formelles du </w:t>
      </w:r>
      <w:r w:rsidRPr="00B740BD">
        <w:rPr>
          <w:bCs/>
        </w:rPr>
        <w:t xml:space="preserve">NSC </w:t>
      </w:r>
      <w:r w:rsidRPr="00B740BD">
        <w:rPr>
          <w:lang w:eastAsia="fr-FR" w:bidi="fr-FR"/>
        </w:rPr>
        <w:t>sous les présidences de Nixon et Ford, avec 125 rencontres en huit ans (à peine un peu plus d’une r</w:t>
      </w:r>
      <w:r w:rsidRPr="00B740BD">
        <w:rPr>
          <w:lang w:eastAsia="fr-FR" w:bidi="fr-FR"/>
        </w:rPr>
        <w:t>é</w:t>
      </w:r>
      <w:r w:rsidRPr="00B740BD">
        <w:rPr>
          <w:lang w:eastAsia="fr-FR" w:bidi="fr-FR"/>
        </w:rPr>
        <w:t>union par mois). Carter, quant à lui, ne convoque formell</w:t>
      </w:r>
      <w:r w:rsidRPr="00B740BD">
        <w:rPr>
          <w:lang w:eastAsia="fr-FR" w:bidi="fr-FR"/>
        </w:rPr>
        <w:t>e</w:t>
      </w:r>
      <w:r w:rsidRPr="00B740BD">
        <w:rPr>
          <w:lang w:eastAsia="fr-FR" w:bidi="fr-FR"/>
        </w:rPr>
        <w:t>ment le Conseil que 10 fois en quatre ans. Depuis le président Re</w:t>
      </w:r>
      <w:r w:rsidRPr="00B740BD">
        <w:rPr>
          <w:lang w:eastAsia="fr-FR" w:bidi="fr-FR"/>
        </w:rPr>
        <w:t>a</w:t>
      </w:r>
      <w:r w:rsidRPr="00B740BD">
        <w:rPr>
          <w:lang w:eastAsia="fr-FR" w:bidi="fr-FR"/>
        </w:rPr>
        <w:t>gan, cette tendance s’est, semble-t-il, maintenue. Le recours à d’autres t</w:t>
      </w:r>
      <w:r w:rsidRPr="00B740BD">
        <w:rPr>
          <w:lang w:eastAsia="fr-FR" w:bidi="fr-FR"/>
        </w:rPr>
        <w:t>y</w:t>
      </w:r>
      <w:r w:rsidRPr="00B740BD">
        <w:rPr>
          <w:lang w:eastAsia="fr-FR" w:bidi="fr-FR"/>
        </w:rPr>
        <w:t>pes de comités décisionnels témoigne du désintérêt envers les réunions fo</w:t>
      </w:r>
      <w:r w:rsidRPr="00B740BD">
        <w:rPr>
          <w:lang w:eastAsia="fr-FR" w:bidi="fr-FR"/>
        </w:rPr>
        <w:t>r</w:t>
      </w:r>
      <w:r w:rsidRPr="00B740BD">
        <w:rPr>
          <w:lang w:eastAsia="fr-FR" w:bidi="fr-FR"/>
        </w:rPr>
        <w:t xml:space="preserve">melles du </w:t>
      </w:r>
      <w:r w:rsidRPr="00B740BD">
        <w:rPr>
          <w:bCs/>
        </w:rPr>
        <w:t xml:space="preserve">NSC. </w:t>
      </w:r>
      <w:r w:rsidRPr="00B740BD">
        <w:rPr>
          <w:lang w:eastAsia="fr-FR" w:bidi="fr-FR"/>
        </w:rPr>
        <w:t>Les présidents, en effet, préfèrent utiliser des form</w:t>
      </w:r>
      <w:r w:rsidRPr="00B740BD">
        <w:rPr>
          <w:lang w:eastAsia="fr-FR" w:bidi="fr-FR"/>
        </w:rPr>
        <w:t>u</w:t>
      </w:r>
      <w:r w:rsidRPr="00B740BD">
        <w:rPr>
          <w:lang w:eastAsia="fr-FR" w:bidi="fr-FR"/>
        </w:rPr>
        <w:t xml:space="preserve">les « alternatives » au </w:t>
      </w:r>
      <w:r w:rsidRPr="00B740BD">
        <w:rPr>
          <w:bCs/>
        </w:rPr>
        <w:t xml:space="preserve">NSC </w:t>
      </w:r>
      <w:r w:rsidRPr="00B740BD">
        <w:rPr>
          <w:lang w:eastAsia="fr-FR" w:bidi="fr-FR"/>
        </w:rPr>
        <w:t>pour recueillir l’avis de leurs éminences grises : la première consiste à convoquer des réunions i</w:t>
      </w:r>
      <w:r w:rsidRPr="00B740BD">
        <w:rPr>
          <w:lang w:eastAsia="fr-FR" w:bidi="fr-FR"/>
        </w:rPr>
        <w:t>n</w:t>
      </w:r>
      <w:r w:rsidRPr="00B740BD">
        <w:rPr>
          <w:lang w:eastAsia="fr-FR" w:bidi="fr-FR"/>
        </w:rPr>
        <w:t>formelles ; la seconde à recourir aux comités interd</w:t>
      </w:r>
      <w:r w:rsidRPr="00B740BD">
        <w:rPr>
          <w:lang w:eastAsia="fr-FR" w:bidi="fr-FR"/>
        </w:rPr>
        <w:t>é</w:t>
      </w:r>
      <w:r w:rsidRPr="00B740BD">
        <w:rPr>
          <w:lang w:eastAsia="fr-FR" w:bidi="fr-FR"/>
        </w:rPr>
        <w:t>partementaux.</w:t>
      </w:r>
    </w:p>
    <w:p w14:paraId="0200010A" w14:textId="77777777" w:rsidR="0039793A" w:rsidRDefault="0039793A" w:rsidP="0039793A">
      <w:pPr>
        <w:spacing w:before="120" w:after="120"/>
        <w:jc w:val="both"/>
        <w:rPr>
          <w:lang w:eastAsia="fr-FR" w:bidi="fr-FR"/>
        </w:rPr>
      </w:pPr>
    </w:p>
    <w:p w14:paraId="553484F1" w14:textId="77777777" w:rsidR="0039793A" w:rsidRPr="001F14BC" w:rsidRDefault="0039793A" w:rsidP="0039793A">
      <w:pPr>
        <w:pStyle w:val="b"/>
        <w:rPr>
          <w:lang w:eastAsia="fr-FR" w:bidi="fr-FR"/>
        </w:rPr>
      </w:pPr>
      <w:r w:rsidRPr="001F14BC">
        <w:rPr>
          <w:lang w:eastAsia="fr-FR" w:bidi="fr-FR"/>
        </w:rPr>
        <w:t>Le recours aux comités informels</w:t>
      </w:r>
    </w:p>
    <w:p w14:paraId="5ADD071D" w14:textId="77777777" w:rsidR="0039793A" w:rsidRDefault="0039793A" w:rsidP="0039793A">
      <w:pPr>
        <w:spacing w:before="120" w:after="120"/>
        <w:jc w:val="both"/>
        <w:rPr>
          <w:lang w:eastAsia="fr-FR" w:bidi="fr-FR"/>
        </w:rPr>
      </w:pPr>
    </w:p>
    <w:p w14:paraId="6C66D426" w14:textId="77777777" w:rsidR="0039793A" w:rsidRPr="00B740BD" w:rsidRDefault="0039793A" w:rsidP="0039793A">
      <w:pPr>
        <w:spacing w:before="120" w:after="120"/>
        <w:jc w:val="both"/>
        <w:rPr>
          <w:lang w:eastAsia="fr-FR" w:bidi="fr-FR"/>
        </w:rPr>
      </w:pPr>
      <w:r w:rsidRPr="00B740BD">
        <w:rPr>
          <w:lang w:eastAsia="fr-FR" w:bidi="fr-FR"/>
        </w:rPr>
        <w:t xml:space="preserve">À partir de Kennedy, les présidents ont préféré s’en remettre à des comités informels et réduits, </w:t>
      </w:r>
      <w:r w:rsidRPr="001F14BC">
        <w:rPr>
          <w:i/>
          <w:iCs/>
          <w:lang w:eastAsia="fr-FR" w:bidi="fr-FR"/>
        </w:rPr>
        <w:t>ad hoc</w:t>
      </w:r>
      <w:r w:rsidRPr="00B740BD">
        <w:rPr>
          <w:lang w:eastAsia="fr-FR" w:bidi="fr-FR"/>
        </w:rPr>
        <w:t>, pour les assister dans leurs prises de décision</w:t>
      </w:r>
      <w:r>
        <w:rPr>
          <w:lang w:eastAsia="fr-FR" w:bidi="fr-FR"/>
        </w:rPr>
        <w:t> </w:t>
      </w:r>
      <w:r>
        <w:rPr>
          <w:rStyle w:val="Appelnotedebasdep"/>
          <w:lang w:eastAsia="fr-FR" w:bidi="fr-FR"/>
        </w:rPr>
        <w:footnoteReference w:id="471"/>
      </w:r>
      <w:r w:rsidRPr="00B740BD">
        <w:rPr>
          <w:lang w:eastAsia="fr-FR" w:bidi="fr-FR"/>
        </w:rPr>
        <w:t>. Certains ont établi des habitudes de travail avec leurs principaux conseillers, ce qui, surtout en moment de crise, a prat</w:t>
      </w:r>
      <w:r w:rsidRPr="00B740BD">
        <w:rPr>
          <w:lang w:eastAsia="fr-FR" w:bidi="fr-FR"/>
        </w:rPr>
        <w:t>i</w:t>
      </w:r>
      <w:r w:rsidRPr="00B740BD">
        <w:rPr>
          <w:lang w:eastAsia="fr-FR" w:bidi="fr-FR"/>
        </w:rPr>
        <w:t>quement engendré une so</w:t>
      </w:r>
      <w:r w:rsidRPr="00B740BD">
        <w:rPr>
          <w:lang w:eastAsia="fr-FR" w:bidi="fr-FR"/>
        </w:rPr>
        <w:t>r</w:t>
      </w:r>
      <w:r w:rsidRPr="00B740BD">
        <w:rPr>
          <w:lang w:eastAsia="fr-FR" w:bidi="fr-FR"/>
        </w:rPr>
        <w:t>te de processus institutionnalisé. On pense à l'</w:t>
      </w:r>
      <w:r w:rsidRPr="001F14BC">
        <w:rPr>
          <w:i/>
          <w:iCs/>
          <w:lang w:eastAsia="fr-FR" w:bidi="fr-FR"/>
        </w:rPr>
        <w:t xml:space="preserve">Executive Committee </w:t>
      </w:r>
      <w:r w:rsidRPr="00B740BD">
        <w:rPr>
          <w:lang w:eastAsia="fr-FR" w:bidi="fr-FR"/>
        </w:rPr>
        <w:t>(</w:t>
      </w:r>
      <w:r w:rsidRPr="001F14BC">
        <w:rPr>
          <w:i/>
          <w:iCs/>
          <w:lang w:eastAsia="fr-FR" w:bidi="fr-FR"/>
        </w:rPr>
        <w:t>Ex Com</w:t>
      </w:r>
      <w:r w:rsidRPr="00B740BD">
        <w:rPr>
          <w:lang w:eastAsia="fr-FR" w:bidi="fr-FR"/>
        </w:rPr>
        <w:t>) durant la crise de Cuba sous Kenn</w:t>
      </w:r>
      <w:r w:rsidRPr="00B740BD">
        <w:rPr>
          <w:lang w:eastAsia="fr-FR" w:bidi="fr-FR"/>
        </w:rPr>
        <w:t>e</w:t>
      </w:r>
      <w:r w:rsidRPr="00B740BD">
        <w:rPr>
          <w:lang w:eastAsia="fr-FR" w:bidi="fr-FR"/>
        </w:rPr>
        <w:t xml:space="preserve">dy, ou encore au </w:t>
      </w:r>
      <w:r w:rsidRPr="001F14BC">
        <w:rPr>
          <w:i/>
          <w:iCs/>
          <w:lang w:eastAsia="fr-FR" w:bidi="fr-FR"/>
        </w:rPr>
        <w:t>Tuesday Lunch Group</w:t>
      </w:r>
      <w:r w:rsidRPr="00B740BD">
        <w:rPr>
          <w:lang w:eastAsia="fr-FR" w:bidi="fr-FR"/>
        </w:rPr>
        <w:t xml:space="preserve"> sous Johnson qui s’est réuni à 160 reprises en cinq ans. Ce groupe, aux allures conviviales, rasse</w:t>
      </w:r>
      <w:r w:rsidRPr="00B740BD">
        <w:rPr>
          <w:lang w:eastAsia="fr-FR" w:bidi="fr-FR"/>
        </w:rPr>
        <w:t>m</w:t>
      </w:r>
      <w:r w:rsidRPr="00B740BD">
        <w:rPr>
          <w:lang w:eastAsia="fr-FR" w:bidi="fr-FR"/>
        </w:rPr>
        <w:t xml:space="preserve">ble les membres normalement statutaires du </w:t>
      </w:r>
      <w:r w:rsidRPr="00B740BD">
        <w:rPr>
          <w:bCs/>
        </w:rPr>
        <w:t xml:space="preserve">NSC, </w:t>
      </w:r>
      <w:r w:rsidRPr="00B740BD">
        <w:rPr>
          <w:lang w:eastAsia="fr-FR" w:bidi="fr-FR"/>
        </w:rPr>
        <w:t>en</w:t>
      </w:r>
      <w:r w:rsidRPr="001C2E2B">
        <w:rPr>
          <w:lang w:eastAsia="fr-FR" w:bidi="fr-FR"/>
        </w:rPr>
        <w:t xml:space="preserve"> plus du consei</w:t>
      </w:r>
      <w:r w:rsidRPr="001C2E2B">
        <w:rPr>
          <w:lang w:eastAsia="fr-FR" w:bidi="fr-FR"/>
        </w:rPr>
        <w:t>l</w:t>
      </w:r>
      <w:r w:rsidRPr="001C2E2B">
        <w:rPr>
          <w:lang w:eastAsia="fr-FR" w:bidi="fr-FR"/>
        </w:rPr>
        <w:t>ler pour la Sécurité</w:t>
      </w:r>
      <w:r>
        <w:t xml:space="preserve"> [221] </w:t>
      </w:r>
      <w:r w:rsidRPr="001C2E2B">
        <w:rPr>
          <w:lang w:eastAsia="fr-FR" w:bidi="fr-FR"/>
        </w:rPr>
        <w:t xml:space="preserve">nationale. Nixon et Kissinger réunissent en une douzaine de comités différents les décideurs de la </w:t>
      </w:r>
      <w:r w:rsidRPr="00B740BD">
        <w:rPr>
          <w:lang w:eastAsia="fr-FR" w:bidi="fr-FR"/>
        </w:rPr>
        <w:t>politique étra</w:t>
      </w:r>
      <w:r w:rsidRPr="00B740BD">
        <w:rPr>
          <w:lang w:eastAsia="fr-FR" w:bidi="fr-FR"/>
        </w:rPr>
        <w:t>n</w:t>
      </w:r>
      <w:r w:rsidRPr="00B740BD">
        <w:rPr>
          <w:lang w:eastAsia="fr-FR" w:bidi="fr-FR"/>
        </w:rPr>
        <w:t>gère et minimisent ai</w:t>
      </w:r>
      <w:r w:rsidRPr="00B740BD">
        <w:rPr>
          <w:lang w:eastAsia="fr-FR" w:bidi="fr-FR"/>
        </w:rPr>
        <w:t>n</w:t>
      </w:r>
      <w:r w:rsidRPr="00B740BD">
        <w:rPr>
          <w:lang w:eastAsia="fr-FR" w:bidi="fr-FR"/>
        </w:rPr>
        <w:t xml:space="preserve">si la nécessité et la portée des réunions du </w:t>
      </w:r>
      <w:r w:rsidRPr="00B740BD">
        <w:rPr>
          <w:bCs/>
        </w:rPr>
        <w:t xml:space="preserve">NSC. </w:t>
      </w:r>
      <w:r w:rsidRPr="00B740BD">
        <w:rPr>
          <w:lang w:eastAsia="fr-FR" w:bidi="fr-FR"/>
        </w:rPr>
        <w:t xml:space="preserve">Carter, pour sa part, institue les </w:t>
      </w:r>
      <w:r w:rsidRPr="000F4295">
        <w:rPr>
          <w:i/>
          <w:iCs/>
          <w:lang w:eastAsia="fr-FR" w:bidi="fr-FR"/>
        </w:rPr>
        <w:t>Friday Morning Breakfasts</w:t>
      </w:r>
      <w:r w:rsidRPr="00B740BD">
        <w:rPr>
          <w:lang w:eastAsia="fr-FR" w:bidi="fr-FR"/>
        </w:rPr>
        <w:t xml:space="preserve"> qui, toutes les semaines, r</w:t>
      </w:r>
      <w:r w:rsidRPr="00B740BD">
        <w:rPr>
          <w:lang w:eastAsia="fr-FR" w:bidi="fr-FR"/>
        </w:rPr>
        <w:t>é</w:t>
      </w:r>
      <w:r w:rsidRPr="00B740BD">
        <w:rPr>
          <w:lang w:eastAsia="fr-FR" w:bidi="fr-FR"/>
        </w:rPr>
        <w:t xml:space="preserve">unissent ses conseillers de politique intérieure et de politique extérieure. Reagan fait de même en créant le </w:t>
      </w:r>
      <w:r w:rsidRPr="000F4295">
        <w:rPr>
          <w:i/>
          <w:iCs/>
          <w:lang w:eastAsia="fr-FR" w:bidi="fr-FR"/>
        </w:rPr>
        <w:t>National Sec</w:t>
      </w:r>
      <w:r w:rsidRPr="000F4295">
        <w:rPr>
          <w:i/>
          <w:iCs/>
          <w:lang w:eastAsia="fr-FR" w:bidi="fr-FR"/>
        </w:rPr>
        <w:t>u</w:t>
      </w:r>
      <w:r w:rsidRPr="000F4295">
        <w:rPr>
          <w:i/>
          <w:iCs/>
          <w:lang w:eastAsia="fr-FR" w:bidi="fr-FR"/>
        </w:rPr>
        <w:t>rity Planning Group</w:t>
      </w:r>
      <w:r w:rsidRPr="00B740BD">
        <w:rPr>
          <w:lang w:eastAsia="fr-FR" w:bidi="fr-FR"/>
        </w:rPr>
        <w:t xml:space="preserve"> tandis que G.H. Bush met sur pied le </w:t>
      </w:r>
      <w:r w:rsidRPr="000F4295">
        <w:rPr>
          <w:i/>
          <w:iCs/>
          <w:lang w:eastAsia="fr-FR" w:bidi="fr-FR"/>
        </w:rPr>
        <w:t>Principals Committee</w:t>
      </w:r>
      <w:r w:rsidRPr="00B740BD">
        <w:rPr>
          <w:lang w:eastAsia="fr-FR" w:bidi="fr-FR"/>
        </w:rPr>
        <w:t xml:space="preserve">, que Clinton conservera. En d’autres termes, le mécanisme formel du </w:t>
      </w:r>
      <w:r w:rsidRPr="00B740BD">
        <w:rPr>
          <w:bCs/>
        </w:rPr>
        <w:t>NSC</w:t>
      </w:r>
      <w:r>
        <w:rPr>
          <w:lang w:eastAsia="fr-FR" w:bidi="fr-FR"/>
        </w:rPr>
        <w:t> </w:t>
      </w:r>
      <w:r>
        <w:rPr>
          <w:rStyle w:val="Appelnotedebasdep"/>
          <w:lang w:eastAsia="fr-FR" w:bidi="fr-FR"/>
        </w:rPr>
        <w:footnoteReference w:id="472"/>
      </w:r>
      <w:r w:rsidRPr="00B740BD">
        <w:rPr>
          <w:bCs/>
        </w:rPr>
        <w:t xml:space="preserve"> </w:t>
      </w:r>
      <w:r w:rsidRPr="00B740BD">
        <w:rPr>
          <w:lang w:eastAsia="fr-FR" w:bidi="fr-FR"/>
        </w:rPr>
        <w:t>est régulièrement délaissé en faveur d’une multit</w:t>
      </w:r>
      <w:r w:rsidRPr="00B740BD">
        <w:rPr>
          <w:lang w:eastAsia="fr-FR" w:bidi="fr-FR"/>
        </w:rPr>
        <w:t>u</w:t>
      </w:r>
      <w:r w:rsidRPr="00B740BD">
        <w:rPr>
          <w:lang w:eastAsia="fr-FR" w:bidi="fr-FR"/>
        </w:rPr>
        <w:t>de de pr</w:t>
      </w:r>
      <w:r w:rsidRPr="00B740BD">
        <w:rPr>
          <w:lang w:eastAsia="fr-FR" w:bidi="fr-FR"/>
        </w:rPr>
        <w:t>o</w:t>
      </w:r>
      <w:r w:rsidRPr="00B740BD">
        <w:rPr>
          <w:lang w:eastAsia="fr-FR" w:bidi="fr-FR"/>
        </w:rPr>
        <w:t>cessus plus informels de prise de décision, soulignant le fait que les pr</w:t>
      </w:r>
      <w:r w:rsidRPr="00B740BD">
        <w:rPr>
          <w:lang w:eastAsia="fr-FR" w:bidi="fr-FR"/>
        </w:rPr>
        <w:t>é</w:t>
      </w:r>
      <w:r w:rsidRPr="00B740BD">
        <w:rPr>
          <w:lang w:eastAsia="fr-FR" w:bidi="fr-FR"/>
        </w:rPr>
        <w:t>sidents souhaitent conserver - à l’instar de Truman — toute leur aut</w:t>
      </w:r>
      <w:r w:rsidRPr="00B740BD">
        <w:rPr>
          <w:lang w:eastAsia="fr-FR" w:bidi="fr-FR"/>
        </w:rPr>
        <w:t>o</w:t>
      </w:r>
      <w:r w:rsidRPr="00B740BD">
        <w:rPr>
          <w:lang w:eastAsia="fr-FR" w:bidi="fr-FR"/>
        </w:rPr>
        <w:t>nomie.</w:t>
      </w:r>
    </w:p>
    <w:p w14:paraId="3FE5B63B" w14:textId="77777777" w:rsidR="0039793A" w:rsidRPr="00B740BD" w:rsidRDefault="0039793A" w:rsidP="0039793A">
      <w:pPr>
        <w:spacing w:before="120" w:after="120"/>
        <w:jc w:val="both"/>
        <w:rPr>
          <w:lang w:eastAsia="fr-FR" w:bidi="fr-FR"/>
        </w:rPr>
      </w:pPr>
    </w:p>
    <w:p w14:paraId="6A8CDC28" w14:textId="77777777" w:rsidR="0039793A" w:rsidRPr="000F4295" w:rsidRDefault="0039793A" w:rsidP="0039793A">
      <w:pPr>
        <w:pStyle w:val="b"/>
        <w:rPr>
          <w:lang w:eastAsia="fr-FR" w:bidi="fr-FR"/>
        </w:rPr>
      </w:pPr>
      <w:r w:rsidRPr="000F4295">
        <w:rPr>
          <w:lang w:eastAsia="fr-FR" w:bidi="fr-FR"/>
        </w:rPr>
        <w:t>Le recours aux comités interdépartementaux</w:t>
      </w:r>
    </w:p>
    <w:p w14:paraId="38E6EBDC" w14:textId="77777777" w:rsidR="0039793A" w:rsidRPr="00B740BD" w:rsidRDefault="0039793A" w:rsidP="0039793A">
      <w:pPr>
        <w:spacing w:before="120" w:after="120"/>
        <w:jc w:val="both"/>
        <w:rPr>
          <w:lang w:eastAsia="fr-FR" w:bidi="fr-FR"/>
        </w:rPr>
      </w:pPr>
    </w:p>
    <w:p w14:paraId="0DF31E08" w14:textId="77777777" w:rsidR="0039793A" w:rsidRPr="00B740BD" w:rsidRDefault="0039793A" w:rsidP="0039793A">
      <w:pPr>
        <w:spacing w:before="120" w:after="120"/>
        <w:jc w:val="both"/>
      </w:pPr>
      <w:r w:rsidRPr="00B740BD">
        <w:rPr>
          <w:lang w:eastAsia="fr-FR" w:bidi="fr-FR"/>
        </w:rPr>
        <w:t>La seconde formule est celle des comités inte</w:t>
      </w:r>
      <w:r w:rsidRPr="00B740BD">
        <w:rPr>
          <w:lang w:eastAsia="fr-FR" w:bidi="fr-FR"/>
        </w:rPr>
        <w:t>r</w:t>
      </w:r>
      <w:r w:rsidRPr="00B740BD">
        <w:rPr>
          <w:lang w:eastAsia="fr-FR" w:bidi="fr-FR"/>
        </w:rPr>
        <w:t>départementaux, au sein desquels les départements et les agences participent à la formul</w:t>
      </w:r>
      <w:r w:rsidRPr="00B740BD">
        <w:rPr>
          <w:lang w:eastAsia="fr-FR" w:bidi="fr-FR"/>
        </w:rPr>
        <w:t>a</w:t>
      </w:r>
      <w:r w:rsidRPr="00B740BD">
        <w:rPr>
          <w:lang w:eastAsia="fr-FR" w:bidi="fr-FR"/>
        </w:rPr>
        <w:t xml:space="preserve">tion et à la coordination de la politique étrangère h Depuis les années I960, ces comités ont proliféré en raison de la complexité des enjeux et de la démultiplication des acteurs. L’organisation du </w:t>
      </w:r>
      <w:r w:rsidRPr="00B740BD">
        <w:rPr>
          <w:bCs/>
        </w:rPr>
        <w:t xml:space="preserve">NSC </w:t>
      </w:r>
      <w:r w:rsidRPr="00B740BD">
        <w:rPr>
          <w:lang w:eastAsia="fr-FR" w:bidi="fr-FR"/>
        </w:rPr>
        <w:t>se r</w:t>
      </w:r>
      <w:r w:rsidRPr="00B740BD">
        <w:rPr>
          <w:lang w:eastAsia="fr-FR" w:bidi="fr-FR"/>
        </w:rPr>
        <w:t>e</w:t>
      </w:r>
      <w:r w:rsidRPr="00B740BD">
        <w:rPr>
          <w:lang w:eastAsia="fr-FR" w:bidi="fr-FR"/>
        </w:rPr>
        <w:t>trouve ainsi au cœur de l’action, car elle doit gérer tout le processus au nom du président. L’esprit de ces comités est d’échanger et de coo</w:t>
      </w:r>
      <w:r w:rsidRPr="00B740BD">
        <w:rPr>
          <w:lang w:eastAsia="fr-FR" w:bidi="fr-FR"/>
        </w:rPr>
        <w:t>r</w:t>
      </w:r>
      <w:r w:rsidRPr="00B740BD">
        <w:rPr>
          <w:lang w:eastAsia="fr-FR" w:bidi="fr-FR"/>
        </w:rPr>
        <w:t>donner l’information entre bureaucraties ou avec la Ma</w:t>
      </w:r>
      <w:r w:rsidRPr="00B740BD">
        <w:rPr>
          <w:lang w:eastAsia="fr-FR" w:bidi="fr-FR"/>
        </w:rPr>
        <w:t>i</w:t>
      </w:r>
      <w:r w:rsidRPr="00B740BD">
        <w:rPr>
          <w:lang w:eastAsia="fr-FR" w:bidi="fr-FR"/>
        </w:rPr>
        <w:t xml:space="preserve">son-Blanche. Cette dernière dimension s’avère la plus importante, dans la mesure où la présidence et le personnel du </w:t>
      </w:r>
      <w:r w:rsidRPr="00B740BD">
        <w:rPr>
          <w:bCs/>
        </w:rPr>
        <w:t xml:space="preserve">NSC </w:t>
      </w:r>
      <w:r w:rsidRPr="00B740BD">
        <w:rPr>
          <w:lang w:eastAsia="fr-FR" w:bidi="fr-FR"/>
        </w:rPr>
        <w:t>s’assurent que les comités interdépartementaux appliquent fidèlement les directives présidentie</w:t>
      </w:r>
      <w:r w:rsidRPr="00B740BD">
        <w:rPr>
          <w:lang w:eastAsia="fr-FR" w:bidi="fr-FR"/>
        </w:rPr>
        <w:t>l</w:t>
      </w:r>
      <w:r w:rsidRPr="00B740BD">
        <w:rPr>
          <w:lang w:eastAsia="fr-FR" w:bidi="fr-FR"/>
        </w:rPr>
        <w:t>les. L’une des tâches impo</w:t>
      </w:r>
      <w:r w:rsidRPr="00B740BD">
        <w:rPr>
          <w:lang w:eastAsia="fr-FR" w:bidi="fr-FR"/>
        </w:rPr>
        <w:t>r</w:t>
      </w:r>
      <w:r w:rsidRPr="00B740BD">
        <w:rPr>
          <w:lang w:eastAsia="fr-FR" w:bidi="fr-FR"/>
        </w:rPr>
        <w:t>tantes de ces comités</w:t>
      </w:r>
      <w:r w:rsidRPr="001C2E2B">
        <w:rPr>
          <w:lang w:eastAsia="fr-FR" w:bidi="fr-FR"/>
        </w:rPr>
        <w:t xml:space="preserve"> interdépartementaux (</w:t>
      </w:r>
      <w:r>
        <w:rPr>
          <w:i/>
          <w:iCs/>
          <w:lang w:eastAsia="fr-FR" w:bidi="fr-FR"/>
        </w:rPr>
        <w:t>I</w:t>
      </w:r>
      <w:r w:rsidRPr="00F151A8">
        <w:rPr>
          <w:i/>
          <w:iCs/>
          <w:lang w:eastAsia="fr-FR" w:bidi="fr-FR"/>
        </w:rPr>
        <w:t>nte</w:t>
      </w:r>
      <w:r w:rsidRPr="00F151A8">
        <w:rPr>
          <w:i/>
          <w:iCs/>
          <w:lang w:eastAsia="fr-FR" w:bidi="fr-FR"/>
        </w:rPr>
        <w:t>r</w:t>
      </w:r>
      <w:r w:rsidRPr="00F151A8">
        <w:rPr>
          <w:i/>
          <w:iCs/>
          <w:lang w:eastAsia="fr-FR" w:bidi="fr-FR"/>
        </w:rPr>
        <w:t>departmental Groups</w:t>
      </w:r>
      <w:r w:rsidRPr="001C2E2B">
        <w:rPr>
          <w:lang w:eastAsia="fr-FR" w:bidi="fr-FR"/>
        </w:rPr>
        <w:t>) est de formuler en amont les énoncés de politiques (</w:t>
      </w:r>
      <w:r w:rsidRPr="00F151A8">
        <w:rPr>
          <w:i/>
          <w:iCs/>
        </w:rPr>
        <w:t>policy papers</w:t>
      </w:r>
      <w:r w:rsidRPr="001C2E2B">
        <w:rPr>
          <w:lang w:eastAsia="fr-FR" w:bidi="fr-FR"/>
        </w:rPr>
        <w:t>) devant être examinés par les décideurs. À cette fin, le président commande une telle étude en émettant une dire</w:t>
      </w:r>
      <w:r w:rsidRPr="001C2E2B">
        <w:rPr>
          <w:lang w:eastAsia="fr-FR" w:bidi="fr-FR"/>
        </w:rPr>
        <w:t>c</w:t>
      </w:r>
      <w:r w:rsidRPr="001C2E2B">
        <w:rPr>
          <w:lang w:eastAsia="fr-FR" w:bidi="fr-FR"/>
        </w:rPr>
        <w:t>tive. De la même façon, en aval, les décisions prises par le président, ou par le Forum, sont transmises sous formes de directives aux com</w:t>
      </w:r>
      <w:r w:rsidRPr="001C2E2B">
        <w:rPr>
          <w:lang w:eastAsia="fr-FR" w:bidi="fr-FR"/>
        </w:rPr>
        <w:t>i</w:t>
      </w:r>
      <w:r w:rsidRPr="001C2E2B">
        <w:rPr>
          <w:lang w:eastAsia="fr-FR" w:bidi="fr-FR"/>
        </w:rPr>
        <w:t>tés interdépartementaux. Ainsi, on dénombre à ce jour quelque 2</w:t>
      </w:r>
      <w:r>
        <w:rPr>
          <w:lang w:eastAsia="fr-FR" w:bidi="fr-FR"/>
        </w:rPr>
        <w:t> </w:t>
      </w:r>
      <w:r w:rsidRPr="001C2E2B">
        <w:rPr>
          <w:lang w:eastAsia="fr-FR" w:bidi="fr-FR"/>
        </w:rPr>
        <w:t>000 fiches identifiant ces directives et leur objet, et qui sont partiellement déclassifiés</w:t>
      </w:r>
      <w:r>
        <w:rPr>
          <w:lang w:eastAsia="fr-FR" w:bidi="fr-FR"/>
        </w:rPr>
        <w:t> </w:t>
      </w:r>
      <w:r>
        <w:rPr>
          <w:rStyle w:val="Appelnotedebasdep"/>
          <w:lang w:eastAsia="fr-FR" w:bidi="fr-FR"/>
        </w:rPr>
        <w:footnoteReference w:id="473"/>
      </w:r>
      <w:r w:rsidRPr="001C2E2B">
        <w:rPr>
          <w:lang w:eastAsia="fr-FR" w:bidi="fr-FR"/>
        </w:rPr>
        <w:t>. Par exemple</w:t>
      </w:r>
      <w:r w:rsidRPr="001C2E2B">
        <w:t> :</w:t>
      </w:r>
      <w:r w:rsidRPr="001C2E2B">
        <w:rPr>
          <w:lang w:eastAsia="fr-FR" w:bidi="fr-FR"/>
        </w:rPr>
        <w:t xml:space="preserve"> 272 </w:t>
      </w:r>
      <w:r w:rsidRPr="00F151A8">
        <w:rPr>
          <w:i/>
          <w:iCs/>
        </w:rPr>
        <w:t>National</w:t>
      </w:r>
      <w:r>
        <w:rPr>
          <w:iCs/>
        </w:rPr>
        <w:t xml:space="preserve"> </w:t>
      </w:r>
      <w:r>
        <w:t xml:space="preserve"> [222] </w:t>
      </w:r>
      <w:r w:rsidRPr="00F151A8">
        <w:rPr>
          <w:i/>
          <w:iCs/>
        </w:rPr>
        <w:t>Security Action Memoranda</w:t>
      </w:r>
      <w:r w:rsidRPr="00B740BD">
        <w:t xml:space="preserve"> </w:t>
      </w:r>
      <w:r w:rsidRPr="00B740BD">
        <w:rPr>
          <w:bCs/>
        </w:rPr>
        <w:t xml:space="preserve">(NSAM) </w:t>
      </w:r>
      <w:r w:rsidRPr="00B740BD">
        <w:t xml:space="preserve">sous Kennedy, 95 </w:t>
      </w:r>
      <w:r w:rsidRPr="00B740BD">
        <w:rPr>
          <w:bCs/>
        </w:rPr>
        <w:t xml:space="preserve">NSAM </w:t>
      </w:r>
      <w:r w:rsidRPr="00B740BD">
        <w:t xml:space="preserve">sous Johnson, 149 </w:t>
      </w:r>
      <w:r w:rsidRPr="00F151A8">
        <w:rPr>
          <w:i/>
          <w:iCs/>
        </w:rPr>
        <w:t>National Security Decision Memoranda</w:t>
      </w:r>
      <w:r w:rsidRPr="00B740BD">
        <w:t xml:space="preserve"> </w:t>
      </w:r>
      <w:r w:rsidRPr="00B740BD">
        <w:rPr>
          <w:bCs/>
        </w:rPr>
        <w:t xml:space="preserve">(NSDM) </w:t>
      </w:r>
      <w:r w:rsidRPr="00B740BD">
        <w:t xml:space="preserve">sous Nixon et Ford, 50 </w:t>
      </w:r>
      <w:r w:rsidRPr="00F151A8">
        <w:rPr>
          <w:i/>
          <w:iCs/>
        </w:rPr>
        <w:t>Presidential Directives</w:t>
      </w:r>
      <w:r w:rsidRPr="00B740BD">
        <w:t xml:space="preserve"> </w:t>
      </w:r>
      <w:r w:rsidRPr="00B740BD">
        <w:rPr>
          <w:bCs/>
        </w:rPr>
        <w:t xml:space="preserve">(PD) </w:t>
      </w:r>
      <w:r w:rsidRPr="00B740BD">
        <w:t xml:space="preserve">sous Carter, 239 </w:t>
      </w:r>
      <w:r w:rsidRPr="00F151A8">
        <w:rPr>
          <w:i/>
          <w:iCs/>
        </w:rPr>
        <w:t>National Security Decision Dire</w:t>
      </w:r>
      <w:r w:rsidRPr="00F151A8">
        <w:rPr>
          <w:i/>
          <w:iCs/>
        </w:rPr>
        <w:t>c</w:t>
      </w:r>
      <w:r w:rsidRPr="00F151A8">
        <w:rPr>
          <w:i/>
          <w:iCs/>
        </w:rPr>
        <w:t>tives</w:t>
      </w:r>
      <w:r w:rsidRPr="00B740BD">
        <w:t xml:space="preserve"> </w:t>
      </w:r>
      <w:r w:rsidRPr="00B740BD">
        <w:rPr>
          <w:bCs/>
        </w:rPr>
        <w:t xml:space="preserve">(NSDD) </w:t>
      </w:r>
      <w:r w:rsidRPr="00B740BD">
        <w:t xml:space="preserve">sous Reagan, et 19 </w:t>
      </w:r>
      <w:r w:rsidRPr="00F151A8">
        <w:rPr>
          <w:i/>
          <w:iCs/>
        </w:rPr>
        <w:t>National Security Directives</w:t>
      </w:r>
      <w:r w:rsidRPr="00B740BD">
        <w:t xml:space="preserve"> </w:t>
      </w:r>
      <w:r w:rsidRPr="00B740BD">
        <w:rPr>
          <w:bCs/>
        </w:rPr>
        <w:t xml:space="preserve">(NSD) </w:t>
      </w:r>
      <w:r w:rsidRPr="00B740BD">
        <w:t>sous G.H. Bush. Ces documents, une fois déclass</w:t>
      </w:r>
      <w:r w:rsidRPr="00B740BD">
        <w:t>i</w:t>
      </w:r>
      <w:r w:rsidRPr="00B740BD">
        <w:t>fiés, sont précieux car ils rendent compte non seul</w:t>
      </w:r>
      <w:r w:rsidRPr="00B740BD">
        <w:t>e</w:t>
      </w:r>
      <w:r w:rsidRPr="00B740BD">
        <w:t>ment des enjeux mais aussi des options de prise de décision dans la fo</w:t>
      </w:r>
      <w:r w:rsidRPr="00B740BD">
        <w:t>r</w:t>
      </w:r>
      <w:r w:rsidRPr="00B740BD">
        <w:t>mulation de la politique étrangère américaine. Transversalement, la planification des politiques est effectuée par les</w:t>
      </w:r>
      <w:r w:rsidRPr="00B740BD">
        <w:rPr>
          <w:lang w:eastAsia="fr-FR" w:bidi="fr-FR"/>
        </w:rPr>
        <w:t xml:space="preserve"> groupes interdépartementaux</w:t>
      </w:r>
      <w:r w:rsidRPr="00B740BD">
        <w:t>. Hiéra</w:t>
      </w:r>
      <w:r w:rsidRPr="00B740BD">
        <w:t>r</w:t>
      </w:r>
      <w:r w:rsidRPr="00B740BD">
        <w:t>chiquement, les rapports et les recommand</w:t>
      </w:r>
      <w:r w:rsidRPr="00B740BD">
        <w:t>a</w:t>
      </w:r>
      <w:r w:rsidRPr="00B740BD">
        <w:t>tions sont acheminés aux divers échelons du processus décisionnel, dont les r</w:t>
      </w:r>
      <w:r w:rsidRPr="00B740BD">
        <w:t>é</w:t>
      </w:r>
      <w:r w:rsidRPr="00B740BD">
        <w:t xml:space="preserve">unions du </w:t>
      </w:r>
      <w:r w:rsidRPr="00B740BD">
        <w:rPr>
          <w:bCs/>
        </w:rPr>
        <w:t>NSC</w:t>
      </w:r>
      <w:r w:rsidRPr="00B740BD">
        <w:rPr>
          <w:b/>
          <w:bCs/>
        </w:rPr>
        <w:t xml:space="preserve"> </w:t>
      </w:r>
      <w:r w:rsidRPr="00B740BD">
        <w:t>ou</w:t>
      </w:r>
      <w:r w:rsidRPr="00B740BD">
        <w:rPr>
          <w:lang w:eastAsia="fr-FR" w:bidi="fr-FR"/>
        </w:rPr>
        <w:t xml:space="preserve"> des comités plus informels constituent le point culminant.</w:t>
      </w:r>
    </w:p>
    <w:p w14:paraId="42D3DAD8" w14:textId="77777777" w:rsidR="0039793A" w:rsidRPr="00B740BD" w:rsidRDefault="0039793A" w:rsidP="0039793A">
      <w:pPr>
        <w:spacing w:before="120" w:after="120"/>
        <w:jc w:val="both"/>
        <w:rPr>
          <w:lang w:eastAsia="fr-FR" w:bidi="fr-FR"/>
        </w:rPr>
      </w:pPr>
    </w:p>
    <w:p w14:paraId="547F6450" w14:textId="77777777" w:rsidR="0039793A" w:rsidRPr="00B740BD" w:rsidRDefault="0039793A" w:rsidP="0039793A">
      <w:pPr>
        <w:pStyle w:val="a"/>
      </w:pPr>
      <w:r w:rsidRPr="00B740BD">
        <w:t>Les étapes du processus décisionnel</w:t>
      </w:r>
    </w:p>
    <w:p w14:paraId="363834B8" w14:textId="77777777" w:rsidR="0039793A" w:rsidRPr="00B740BD" w:rsidRDefault="0039793A" w:rsidP="0039793A">
      <w:pPr>
        <w:spacing w:before="120" w:after="120"/>
        <w:jc w:val="both"/>
        <w:rPr>
          <w:lang w:eastAsia="fr-FR" w:bidi="fr-FR"/>
        </w:rPr>
      </w:pPr>
    </w:p>
    <w:p w14:paraId="254B40A6" w14:textId="77777777" w:rsidR="0039793A" w:rsidRPr="00B740BD" w:rsidRDefault="0039793A" w:rsidP="0039793A">
      <w:pPr>
        <w:spacing w:before="120" w:after="120"/>
        <w:jc w:val="both"/>
      </w:pPr>
      <w:r w:rsidRPr="00B740BD">
        <w:rPr>
          <w:lang w:eastAsia="fr-FR" w:bidi="fr-FR"/>
        </w:rPr>
        <w:t>Différentes étapes se succèdent lors du long parcours partant des recommandations des comités interdépartementaux et menant jusqu</w:t>
      </w:r>
      <w:r>
        <w:rPr>
          <w:lang w:eastAsia="fr-FR" w:bidi="fr-FR"/>
        </w:rPr>
        <w:t>’à</w:t>
      </w:r>
      <w:r w:rsidRPr="00B740BD">
        <w:rPr>
          <w:lang w:eastAsia="fr-FR" w:bidi="fr-FR"/>
        </w:rPr>
        <w:t xml:space="preserve"> la décision du président. La complexité du processus montre la diff</w:t>
      </w:r>
      <w:r w:rsidRPr="00B740BD">
        <w:rPr>
          <w:lang w:eastAsia="fr-FR" w:bidi="fr-FR"/>
        </w:rPr>
        <w:t>i</w:t>
      </w:r>
      <w:r w:rsidRPr="00B740BD">
        <w:rPr>
          <w:lang w:eastAsia="fr-FR" w:bidi="fr-FR"/>
        </w:rPr>
        <w:t>culté de formulation des politiques</w:t>
      </w:r>
      <w:r>
        <w:rPr>
          <w:lang w:eastAsia="fr-FR" w:bidi="fr-FR"/>
        </w:rPr>
        <w:t> </w:t>
      </w:r>
      <w:r>
        <w:rPr>
          <w:rStyle w:val="Appelnotedebasdep"/>
          <w:lang w:eastAsia="fr-FR" w:bidi="fr-FR"/>
        </w:rPr>
        <w:footnoteReference w:id="474"/>
      </w:r>
      <w:r w:rsidRPr="00B740BD">
        <w:rPr>
          <w:lang w:eastAsia="fr-FR" w:bidi="fr-FR"/>
        </w:rPr>
        <w:t>.</w:t>
      </w:r>
    </w:p>
    <w:p w14:paraId="52FBF6EC" w14:textId="77777777" w:rsidR="0039793A" w:rsidRPr="00B740BD" w:rsidRDefault="0039793A" w:rsidP="0039793A">
      <w:pPr>
        <w:spacing w:before="120" w:after="120"/>
        <w:jc w:val="both"/>
        <w:rPr>
          <w:lang w:eastAsia="fr-FR" w:bidi="fr-FR"/>
        </w:rPr>
      </w:pPr>
      <w:r w:rsidRPr="00B740BD">
        <w:rPr>
          <w:lang w:eastAsia="fr-FR" w:bidi="fr-FR"/>
        </w:rPr>
        <w:t>La première étape est une demande formelle d’étude faite par le président, le conseiller pour la Sécurité nationale ou un membre stat</w:t>
      </w:r>
      <w:r w:rsidRPr="00B740BD">
        <w:rPr>
          <w:lang w:eastAsia="fr-FR" w:bidi="fr-FR"/>
        </w:rPr>
        <w:t>u</w:t>
      </w:r>
      <w:r w:rsidRPr="00B740BD">
        <w:rPr>
          <w:lang w:eastAsia="fr-FR" w:bidi="fr-FR"/>
        </w:rPr>
        <w:t xml:space="preserve">taire </w:t>
      </w:r>
      <w:r w:rsidRPr="00B740BD">
        <w:t xml:space="preserve">du </w:t>
      </w:r>
      <w:r w:rsidRPr="00B740BD">
        <w:rPr>
          <w:bCs/>
        </w:rPr>
        <w:t xml:space="preserve">NSC. </w:t>
      </w:r>
      <w:r w:rsidRPr="00B740BD">
        <w:t xml:space="preserve">Les paramètres de l’étude sont généralement définis par le conseiller pour la Sécurité nationale ou l’un des membres de son organisation, dans un mémorandum adressé à la bureaucratie. À partir de ce moment, les différents départements concernés par la demande assemblent et synthétisent l’information pertinente et présentent leurs résultats au personnel du </w:t>
      </w:r>
      <w:r w:rsidRPr="00B740BD">
        <w:rPr>
          <w:bCs/>
        </w:rPr>
        <w:t xml:space="preserve">NSC, </w:t>
      </w:r>
      <w:r w:rsidRPr="00B740BD">
        <w:t>qui constitue un dossier interdépart</w:t>
      </w:r>
      <w:r w:rsidRPr="00B740BD">
        <w:t>e</w:t>
      </w:r>
      <w:r w:rsidRPr="00B740BD">
        <w:t>mental sur le sujet. L’évaluation</w:t>
      </w:r>
      <w:r w:rsidRPr="00B740BD">
        <w:rPr>
          <w:lang w:eastAsia="fr-FR" w:bidi="fr-FR"/>
        </w:rPr>
        <w:t xml:space="preserve"> de l’information et les premières an</w:t>
      </w:r>
      <w:r w:rsidRPr="00B740BD">
        <w:rPr>
          <w:lang w:eastAsia="fr-FR" w:bidi="fr-FR"/>
        </w:rPr>
        <w:t>a</w:t>
      </w:r>
      <w:r w:rsidRPr="00B740BD">
        <w:rPr>
          <w:lang w:eastAsia="fr-FR" w:bidi="fr-FR"/>
        </w:rPr>
        <w:t>lyses globales sont du ressort d’un groupe interdépartemental fon</w:t>
      </w:r>
      <w:r w:rsidRPr="00B740BD">
        <w:rPr>
          <w:lang w:eastAsia="fr-FR" w:bidi="fr-FR"/>
        </w:rPr>
        <w:t>c</w:t>
      </w:r>
      <w:r w:rsidRPr="00B740BD">
        <w:rPr>
          <w:lang w:eastAsia="fr-FR" w:bidi="fr-FR"/>
        </w:rPr>
        <w:t>tionnel ou régional. Ce groupe, réunissant des</w:t>
      </w:r>
      <w:r w:rsidRPr="001C2E2B">
        <w:rPr>
          <w:lang w:eastAsia="fr-FR" w:bidi="fr-FR"/>
        </w:rPr>
        <w:t xml:space="preserve"> assistants-secrétaires, est généralement présidé par l’assistant-secrétaire responsable du pr</w:t>
      </w:r>
      <w:r w:rsidRPr="001C2E2B">
        <w:rPr>
          <w:lang w:eastAsia="fr-FR" w:bidi="fr-FR"/>
        </w:rPr>
        <w:t>o</w:t>
      </w:r>
      <w:r w:rsidRPr="001C2E2B">
        <w:rPr>
          <w:lang w:eastAsia="fr-FR" w:bidi="fr-FR"/>
        </w:rPr>
        <w:t>blème en question au sein de son département. Il lui appartient de v</w:t>
      </w:r>
      <w:r w:rsidRPr="001C2E2B">
        <w:rPr>
          <w:lang w:eastAsia="fr-FR" w:bidi="fr-FR"/>
        </w:rPr>
        <w:t>é</w:t>
      </w:r>
      <w:r w:rsidRPr="001C2E2B">
        <w:rPr>
          <w:lang w:eastAsia="fr-FR" w:bidi="fr-FR"/>
        </w:rPr>
        <w:t>rifier que toutes les options sont envis</w:t>
      </w:r>
      <w:r w:rsidRPr="001C2E2B">
        <w:rPr>
          <w:lang w:eastAsia="fr-FR" w:bidi="fr-FR"/>
        </w:rPr>
        <w:t>a</w:t>
      </w:r>
      <w:r w:rsidRPr="001C2E2B">
        <w:rPr>
          <w:lang w:eastAsia="fr-FR" w:bidi="fr-FR"/>
        </w:rPr>
        <w:t>gées et qu’elles démontrent bien les implications (coûts/avantages) de chacune d’entre elles. Ce tr</w:t>
      </w:r>
      <w:r w:rsidRPr="001C2E2B">
        <w:rPr>
          <w:lang w:eastAsia="fr-FR" w:bidi="fr-FR"/>
        </w:rPr>
        <w:t>a</w:t>
      </w:r>
      <w:r w:rsidRPr="001C2E2B">
        <w:rPr>
          <w:lang w:eastAsia="fr-FR" w:bidi="fr-FR"/>
        </w:rPr>
        <w:t>vail est étroitement supervisé par une personne de l’administration du</w:t>
      </w:r>
      <w:r>
        <w:t xml:space="preserve"> [223] </w:t>
      </w:r>
      <w:r w:rsidRPr="00B740BD">
        <w:rPr>
          <w:bCs/>
        </w:rPr>
        <w:t xml:space="preserve">NSC, </w:t>
      </w:r>
      <w:r w:rsidRPr="00B740BD">
        <w:rPr>
          <w:lang w:eastAsia="fr-FR" w:bidi="fr-FR"/>
        </w:rPr>
        <w:t>qui prépare un premier rapport et clarifie les options. Ces dernières sont ensuite examinées de façon plus approfondie par les différents experts de l’administration puis transmises à un comité i</w:t>
      </w:r>
      <w:r w:rsidRPr="00B740BD">
        <w:rPr>
          <w:lang w:eastAsia="fr-FR" w:bidi="fr-FR"/>
        </w:rPr>
        <w:t>n</w:t>
      </w:r>
      <w:r w:rsidRPr="00B740BD">
        <w:rPr>
          <w:lang w:eastAsia="fr-FR" w:bidi="fr-FR"/>
        </w:rPr>
        <w:t>terdépartemental supérieur.</w:t>
      </w:r>
    </w:p>
    <w:p w14:paraId="273C94AD" w14:textId="77777777" w:rsidR="0039793A" w:rsidRPr="00B740BD" w:rsidRDefault="0039793A" w:rsidP="0039793A">
      <w:pPr>
        <w:spacing w:before="120" w:after="120"/>
        <w:jc w:val="both"/>
        <w:rPr>
          <w:lang w:eastAsia="fr-FR" w:bidi="fr-FR"/>
        </w:rPr>
      </w:pPr>
      <w:r w:rsidRPr="00B740BD">
        <w:rPr>
          <w:lang w:eastAsia="fr-FR" w:bidi="fr-FR"/>
        </w:rPr>
        <w:t>Dans une deuxième étape, un groupe interd</w:t>
      </w:r>
      <w:r w:rsidRPr="00B740BD">
        <w:rPr>
          <w:lang w:eastAsia="fr-FR" w:bidi="fr-FR"/>
        </w:rPr>
        <w:t>é</w:t>
      </w:r>
      <w:r w:rsidRPr="00B740BD">
        <w:rPr>
          <w:lang w:eastAsia="fr-FR" w:bidi="fr-FR"/>
        </w:rPr>
        <w:t>partemental de sous-secrétaires, dirigé par un secrétaire-adjoint ou le conseiller pour la S</w:t>
      </w:r>
      <w:r w:rsidRPr="00B740BD">
        <w:rPr>
          <w:lang w:eastAsia="fr-FR" w:bidi="fr-FR"/>
        </w:rPr>
        <w:t>é</w:t>
      </w:r>
      <w:r w:rsidRPr="00B740BD">
        <w:rPr>
          <w:lang w:eastAsia="fr-FR" w:bidi="fr-FR"/>
        </w:rPr>
        <w:t>curité nationale, a pour tâche de formuler les recomma</w:t>
      </w:r>
      <w:r w:rsidRPr="00B740BD">
        <w:rPr>
          <w:lang w:eastAsia="fr-FR" w:bidi="fr-FR"/>
        </w:rPr>
        <w:t>n</w:t>
      </w:r>
      <w:r w:rsidRPr="00B740BD">
        <w:rPr>
          <w:lang w:eastAsia="fr-FR" w:bidi="fr-FR"/>
        </w:rPr>
        <w:t>dations finales qui seront soumises au forum (ou l’un des groupes informels altern</w:t>
      </w:r>
      <w:r w:rsidRPr="00B740BD">
        <w:rPr>
          <w:lang w:eastAsia="fr-FR" w:bidi="fr-FR"/>
        </w:rPr>
        <w:t>a</w:t>
      </w:r>
      <w:r w:rsidRPr="00B740BD">
        <w:rPr>
          <w:lang w:eastAsia="fr-FR" w:bidi="fr-FR"/>
        </w:rPr>
        <w:t>tifs). Ce comité supérieur doit s’assurer que toutes les options pert</w:t>
      </w:r>
      <w:r w:rsidRPr="00B740BD">
        <w:rPr>
          <w:lang w:eastAsia="fr-FR" w:bidi="fr-FR"/>
        </w:rPr>
        <w:t>i</w:t>
      </w:r>
      <w:r w:rsidRPr="00B740BD">
        <w:rPr>
          <w:lang w:eastAsia="fr-FR" w:bidi="fr-FR"/>
        </w:rPr>
        <w:t>nentes sont présentées au Conseil. S’il n’est pas satisfait de la qualité du travail du groupe interd</w:t>
      </w:r>
      <w:r w:rsidRPr="00B740BD">
        <w:rPr>
          <w:lang w:eastAsia="fr-FR" w:bidi="fr-FR"/>
        </w:rPr>
        <w:t>é</w:t>
      </w:r>
      <w:r w:rsidRPr="00B740BD">
        <w:rPr>
          <w:lang w:eastAsia="fr-FR" w:bidi="fr-FR"/>
        </w:rPr>
        <w:t>partemental et des options exposées, le comité peut retourner le rapport aux échelons inférieurs afin qu’il soit reconsidéré.</w:t>
      </w:r>
    </w:p>
    <w:p w14:paraId="5A207BA0" w14:textId="77777777" w:rsidR="0039793A" w:rsidRPr="001C2E2B" w:rsidRDefault="0039793A" w:rsidP="0039793A">
      <w:pPr>
        <w:spacing w:before="120" w:after="120"/>
        <w:jc w:val="both"/>
      </w:pPr>
      <w:r w:rsidRPr="00B740BD">
        <w:rPr>
          <w:lang w:eastAsia="fr-FR" w:bidi="fr-FR"/>
        </w:rPr>
        <w:t>La troisième étape constitue en la présentation formelle, aux me</w:t>
      </w:r>
      <w:r w:rsidRPr="00B740BD">
        <w:rPr>
          <w:lang w:eastAsia="fr-FR" w:bidi="fr-FR"/>
        </w:rPr>
        <w:t>m</w:t>
      </w:r>
      <w:r w:rsidRPr="00B740BD">
        <w:rPr>
          <w:lang w:eastAsia="fr-FR" w:bidi="fr-FR"/>
        </w:rPr>
        <w:t>bres du Forum ou du groupe informel alternatif, des recommandations préal</w:t>
      </w:r>
      <w:r w:rsidRPr="00B740BD">
        <w:rPr>
          <w:lang w:eastAsia="fr-FR" w:bidi="fr-FR"/>
        </w:rPr>
        <w:t>a</w:t>
      </w:r>
      <w:r w:rsidRPr="00B740BD">
        <w:rPr>
          <w:lang w:eastAsia="fr-FR" w:bidi="fr-FR"/>
        </w:rPr>
        <w:t>blement entérinées par le comité supérieur. Le conseiller pour la Sécurité nationale résume gén</w:t>
      </w:r>
      <w:r w:rsidRPr="00B740BD">
        <w:rPr>
          <w:lang w:eastAsia="fr-FR" w:bidi="fr-FR"/>
        </w:rPr>
        <w:t>é</w:t>
      </w:r>
      <w:r w:rsidRPr="00B740BD">
        <w:rPr>
          <w:lang w:eastAsia="fr-FR" w:bidi="fr-FR"/>
        </w:rPr>
        <w:t xml:space="preserve">ralement les orientations de politiques et les choix proposés dans le mémorandum. Chaque membre statutaire du </w:t>
      </w:r>
      <w:r w:rsidRPr="00B740BD">
        <w:rPr>
          <w:bCs/>
        </w:rPr>
        <w:t xml:space="preserve">NSC </w:t>
      </w:r>
      <w:r w:rsidRPr="00B740BD">
        <w:rPr>
          <w:lang w:eastAsia="fr-FR" w:bidi="fr-FR"/>
        </w:rPr>
        <w:t>s’exprime, conseille le président et fournit sur demande des</w:t>
      </w:r>
      <w:r w:rsidRPr="001C2E2B">
        <w:rPr>
          <w:lang w:eastAsia="fr-FR" w:bidi="fr-FR"/>
        </w:rPr>
        <w:t xml:space="preserve"> renseignements add</w:t>
      </w:r>
      <w:r w:rsidRPr="001C2E2B">
        <w:rPr>
          <w:lang w:eastAsia="fr-FR" w:bidi="fr-FR"/>
        </w:rPr>
        <w:t>i</w:t>
      </w:r>
      <w:r w:rsidRPr="001C2E2B">
        <w:rPr>
          <w:lang w:eastAsia="fr-FR" w:bidi="fr-FR"/>
        </w:rPr>
        <w:t>tionnels. Les conseillers comparent les options et soumettent une recommandation formelle au pr</w:t>
      </w:r>
      <w:r w:rsidRPr="001C2E2B">
        <w:rPr>
          <w:lang w:eastAsia="fr-FR" w:bidi="fr-FR"/>
        </w:rPr>
        <w:t>é</w:t>
      </w:r>
      <w:r w:rsidRPr="001C2E2B">
        <w:rPr>
          <w:lang w:eastAsia="fr-FR" w:bidi="fr-FR"/>
        </w:rPr>
        <w:t>sident, qui prend sa décision pendant ou après la réunion du Conseil. Ces réunions ont l’avantage, pour le président, de justifier ses décisions sur la base d’évaluations rationnelles et non partisanes. Elles ont également, en temps de crise, l’heur de légitimer la prise de décision et de laisser croire, à l’extérieur, que le président et ses assistants maîtr</w:t>
      </w:r>
      <w:r w:rsidRPr="001C2E2B">
        <w:rPr>
          <w:lang w:eastAsia="fr-FR" w:bidi="fr-FR"/>
        </w:rPr>
        <w:t>i</w:t>
      </w:r>
      <w:r w:rsidRPr="001C2E2B">
        <w:rPr>
          <w:lang w:eastAsia="fr-FR" w:bidi="fr-FR"/>
        </w:rPr>
        <w:t>sent bien la situation.</w:t>
      </w:r>
    </w:p>
    <w:p w14:paraId="2B338D9B" w14:textId="77777777" w:rsidR="0039793A" w:rsidRPr="001C2E2B" w:rsidRDefault="0039793A" w:rsidP="0039793A">
      <w:pPr>
        <w:spacing w:before="120" w:after="120"/>
        <w:jc w:val="both"/>
      </w:pPr>
      <w:r w:rsidRPr="001C2E2B">
        <w:rPr>
          <w:lang w:eastAsia="fr-FR" w:bidi="fr-FR"/>
        </w:rPr>
        <w:t>Une fois la décision prise au niveau préside</w:t>
      </w:r>
      <w:r w:rsidRPr="001C2E2B">
        <w:rPr>
          <w:lang w:eastAsia="fr-FR" w:bidi="fr-FR"/>
        </w:rPr>
        <w:t>n</w:t>
      </w:r>
      <w:r w:rsidRPr="001C2E2B">
        <w:rPr>
          <w:lang w:eastAsia="fr-FR" w:bidi="fr-FR"/>
        </w:rPr>
        <w:t>tiel, la dernière étape consiste à mettre en œuvre et à faire respecter cette décision à l’intérieur des structures de la bureaucratie. Le conseiller pour la S</w:t>
      </w:r>
      <w:r w:rsidRPr="001C2E2B">
        <w:rPr>
          <w:lang w:eastAsia="fr-FR" w:bidi="fr-FR"/>
        </w:rPr>
        <w:t>é</w:t>
      </w:r>
      <w:r w:rsidRPr="001C2E2B">
        <w:rPr>
          <w:lang w:eastAsia="fr-FR" w:bidi="fr-FR"/>
        </w:rPr>
        <w:t>curité nationale promulgue une directive d’exécution, dont la coord</w:t>
      </w:r>
      <w:r w:rsidRPr="001C2E2B">
        <w:rPr>
          <w:lang w:eastAsia="fr-FR" w:bidi="fr-FR"/>
        </w:rPr>
        <w:t>i</w:t>
      </w:r>
      <w:r w:rsidRPr="001C2E2B">
        <w:rPr>
          <w:lang w:eastAsia="fr-FR" w:bidi="fr-FR"/>
        </w:rPr>
        <w:t>nation est du ressort d’un comité interdépartemental de supervision composé de sous-secrétaires. Ce comité, sous la tutelle du conseiller pour la Sécurité nationale, du secrétaire d’</w:t>
      </w:r>
      <w:r>
        <w:rPr>
          <w:lang w:eastAsia="fr-FR" w:bidi="fr-FR"/>
        </w:rPr>
        <w:t>État</w:t>
      </w:r>
      <w:r w:rsidRPr="001C2E2B">
        <w:rPr>
          <w:lang w:eastAsia="fr-FR" w:bidi="fr-FR"/>
        </w:rPr>
        <w:t xml:space="preserve"> adjoint ou d’un de ses sous-secrétaires, veille à la bonne marche des opérations et rend compte des résultats de la décision au f</w:t>
      </w:r>
      <w:r w:rsidRPr="001C2E2B">
        <w:rPr>
          <w:lang w:eastAsia="fr-FR" w:bidi="fr-FR"/>
        </w:rPr>
        <w:t>o</w:t>
      </w:r>
      <w:r w:rsidRPr="001C2E2B">
        <w:rPr>
          <w:lang w:eastAsia="fr-FR" w:bidi="fr-FR"/>
        </w:rPr>
        <w:t>rum, à son administration ou au comité supérieur. Après un long parcours, le cercle de la formul</w:t>
      </w:r>
      <w:r w:rsidRPr="001C2E2B">
        <w:rPr>
          <w:lang w:eastAsia="fr-FR" w:bidi="fr-FR"/>
        </w:rPr>
        <w:t>a</w:t>
      </w:r>
      <w:r w:rsidRPr="001C2E2B">
        <w:rPr>
          <w:lang w:eastAsia="fr-FR" w:bidi="fr-FR"/>
        </w:rPr>
        <w:t>tion d’une politique est ainsi bouclé.</w:t>
      </w:r>
    </w:p>
    <w:p w14:paraId="73CC3D09" w14:textId="77777777" w:rsidR="0039793A" w:rsidRPr="001C2E2B" w:rsidRDefault="0039793A" w:rsidP="0039793A">
      <w:pPr>
        <w:spacing w:before="120" w:after="120"/>
        <w:jc w:val="both"/>
      </w:pPr>
      <w:r>
        <w:t>[224]</w:t>
      </w:r>
    </w:p>
    <w:p w14:paraId="7D4E7847" w14:textId="77777777" w:rsidR="0039793A" w:rsidRPr="001C2E2B" w:rsidRDefault="0039793A" w:rsidP="0039793A">
      <w:pPr>
        <w:spacing w:before="120" w:after="120"/>
        <w:jc w:val="both"/>
      </w:pPr>
      <w:r w:rsidRPr="001C2E2B">
        <w:rPr>
          <w:lang w:eastAsia="fr-FR" w:bidi="fr-FR"/>
        </w:rPr>
        <w:t xml:space="preserve">Tous les présidents ont choisi sans exception les mécanismes de </w:t>
      </w:r>
      <w:r w:rsidRPr="00B740BD">
        <w:rPr>
          <w:lang w:eastAsia="fr-FR" w:bidi="fr-FR"/>
        </w:rPr>
        <w:t xml:space="preserve">l’organisation du </w:t>
      </w:r>
      <w:r w:rsidRPr="00B740BD">
        <w:rPr>
          <w:bCs/>
        </w:rPr>
        <w:t xml:space="preserve">NSC </w:t>
      </w:r>
      <w:r w:rsidRPr="00B740BD">
        <w:rPr>
          <w:lang w:eastAsia="fr-FR" w:bidi="fr-FR"/>
        </w:rPr>
        <w:t>pour élaborer la politique étrangère alors que nombre d’entre eux avaient promis de laisser le rôle clé au Départ</w:t>
      </w:r>
      <w:r w:rsidRPr="00B740BD">
        <w:rPr>
          <w:lang w:eastAsia="fr-FR" w:bidi="fr-FR"/>
        </w:rPr>
        <w:t>e</w:t>
      </w:r>
      <w:r w:rsidRPr="00B740BD">
        <w:rPr>
          <w:lang w:eastAsia="fr-FR" w:bidi="fr-FR"/>
        </w:rPr>
        <w:t>ment d’État</w:t>
      </w:r>
      <w:r>
        <w:rPr>
          <w:lang w:eastAsia="fr-FR" w:bidi="fr-FR"/>
        </w:rPr>
        <w:t> </w:t>
      </w:r>
      <w:r>
        <w:rPr>
          <w:rStyle w:val="Appelnotedebasdep"/>
          <w:lang w:eastAsia="fr-FR" w:bidi="fr-FR"/>
        </w:rPr>
        <w:footnoteReference w:id="475"/>
      </w:r>
      <w:r>
        <w:rPr>
          <w:lang w:eastAsia="fr-FR" w:bidi="fr-FR"/>
        </w:rPr>
        <w:t>.</w:t>
      </w:r>
      <w:r w:rsidRPr="00B740BD">
        <w:rPr>
          <w:lang w:eastAsia="fr-FR" w:bidi="fr-FR"/>
        </w:rPr>
        <w:t xml:space="preserve"> Ce choix est dicté par la volonté des présidents de centr</w:t>
      </w:r>
      <w:r w:rsidRPr="00B740BD">
        <w:rPr>
          <w:lang w:eastAsia="fr-FR" w:bidi="fr-FR"/>
        </w:rPr>
        <w:t>a</w:t>
      </w:r>
      <w:r w:rsidRPr="00B740BD">
        <w:rPr>
          <w:lang w:eastAsia="fr-FR" w:bidi="fr-FR"/>
        </w:rPr>
        <w:t>liser l’orientation et la mise en œuvre de la politique étrangère : en raison de leur proximité (géographique et politique) et de leur flexib</w:t>
      </w:r>
      <w:r w:rsidRPr="00B740BD">
        <w:rPr>
          <w:lang w:eastAsia="fr-FR" w:bidi="fr-FR"/>
        </w:rPr>
        <w:t>i</w:t>
      </w:r>
      <w:r w:rsidRPr="00B740BD">
        <w:rPr>
          <w:lang w:eastAsia="fr-FR" w:bidi="fr-FR"/>
        </w:rPr>
        <w:t xml:space="preserve">lité, le conseiller pour la Sécurité nationale et son personnel sont plus à même de répondre aux attentes présidentielles. En effet, l’organisation du </w:t>
      </w:r>
      <w:r w:rsidRPr="00B740BD">
        <w:rPr>
          <w:bCs/>
        </w:rPr>
        <w:t xml:space="preserve">NSC </w:t>
      </w:r>
      <w:r w:rsidRPr="00B740BD">
        <w:rPr>
          <w:lang w:eastAsia="fr-FR" w:bidi="fr-FR"/>
        </w:rPr>
        <w:t>n’est pas une bureaucratie rigide et sclérosée comme le sont les départements</w:t>
      </w:r>
      <w:r w:rsidRPr="001C2E2B">
        <w:rPr>
          <w:lang w:eastAsia="fr-FR" w:bidi="fr-FR"/>
        </w:rPr>
        <w:t xml:space="preserve"> d’</w:t>
      </w:r>
      <w:r>
        <w:rPr>
          <w:lang w:eastAsia="fr-FR" w:bidi="fr-FR"/>
        </w:rPr>
        <w:t>État</w:t>
      </w:r>
      <w:r w:rsidRPr="001C2E2B">
        <w:rPr>
          <w:lang w:eastAsia="fr-FR" w:bidi="fr-FR"/>
        </w:rPr>
        <w:t xml:space="preserve"> et de la Défense, et elle sert les objectifs du président plutôt que des intérêts qui lui seraient propres. Ce sont ces qualités structurelles qui e</w:t>
      </w:r>
      <w:r w:rsidRPr="001C2E2B">
        <w:rPr>
          <w:lang w:eastAsia="fr-FR" w:bidi="fr-FR"/>
        </w:rPr>
        <w:t>x</w:t>
      </w:r>
      <w:r w:rsidRPr="001C2E2B">
        <w:rPr>
          <w:lang w:eastAsia="fr-FR" w:bidi="fr-FR"/>
        </w:rPr>
        <w:t>pliquent l’accroissement du rôle du conseiller pour la Sécurité nationale.</w:t>
      </w:r>
    </w:p>
    <w:p w14:paraId="46693F4B" w14:textId="77777777" w:rsidR="0039793A" w:rsidRDefault="0039793A" w:rsidP="0039793A">
      <w:pPr>
        <w:spacing w:before="120" w:after="120"/>
        <w:jc w:val="both"/>
        <w:rPr>
          <w:lang w:eastAsia="fr-FR" w:bidi="fr-FR"/>
        </w:rPr>
      </w:pPr>
    </w:p>
    <w:p w14:paraId="4EADF1B1" w14:textId="77777777" w:rsidR="0039793A" w:rsidRPr="001C2E2B" w:rsidRDefault="0039793A" w:rsidP="0039793A">
      <w:pPr>
        <w:pStyle w:val="a"/>
      </w:pPr>
      <w:r w:rsidRPr="001C2E2B">
        <w:t>Le rôle central du conseil</w:t>
      </w:r>
      <w:r>
        <w:t>ler</w:t>
      </w:r>
      <w:r>
        <w:br/>
      </w:r>
      <w:r w:rsidRPr="001C2E2B">
        <w:t>pour la Sécurité nationale</w:t>
      </w:r>
    </w:p>
    <w:p w14:paraId="021DFE27" w14:textId="77777777" w:rsidR="0039793A" w:rsidRDefault="0039793A" w:rsidP="0039793A">
      <w:pPr>
        <w:spacing w:before="120" w:after="120"/>
        <w:jc w:val="both"/>
        <w:rPr>
          <w:lang w:eastAsia="fr-FR" w:bidi="fr-FR"/>
        </w:rPr>
      </w:pPr>
    </w:p>
    <w:p w14:paraId="53ABD264" w14:textId="77777777" w:rsidR="0039793A" w:rsidRPr="001C2E2B" w:rsidRDefault="0039793A" w:rsidP="0039793A">
      <w:pPr>
        <w:spacing w:before="120" w:after="120"/>
        <w:jc w:val="both"/>
      </w:pPr>
      <w:r w:rsidRPr="001C2E2B">
        <w:rPr>
          <w:lang w:eastAsia="fr-FR" w:bidi="fr-FR"/>
        </w:rPr>
        <w:t>Les noms de McGeorge Bundy, Walt Rostow, Henry Kissinger, Zbigniew Brzezinski, Colin P</w:t>
      </w:r>
      <w:r w:rsidRPr="001C2E2B">
        <w:rPr>
          <w:lang w:eastAsia="fr-FR" w:bidi="fr-FR"/>
        </w:rPr>
        <w:t>o</w:t>
      </w:r>
      <w:r w:rsidRPr="001C2E2B">
        <w:rPr>
          <w:lang w:eastAsia="fr-FR" w:bidi="fr-FR"/>
        </w:rPr>
        <w:t>well, Brent Scowcroft, Anthony Lake, ou Cond</w:t>
      </w:r>
      <w:r w:rsidRPr="001C2E2B">
        <w:rPr>
          <w:lang w:eastAsia="fr-FR" w:bidi="fr-FR"/>
        </w:rPr>
        <w:t>o</w:t>
      </w:r>
      <w:r w:rsidRPr="001C2E2B">
        <w:rPr>
          <w:lang w:eastAsia="fr-FR" w:bidi="fr-FR"/>
        </w:rPr>
        <w:t>leezza Rice, sont intimement liés à la politique étrangère américaine. On pourrait supposer qu’il s’agit là de secrétaires d’</w:t>
      </w:r>
      <w:r>
        <w:rPr>
          <w:lang w:eastAsia="fr-FR" w:bidi="fr-FR"/>
        </w:rPr>
        <w:t>État</w:t>
      </w:r>
      <w:r w:rsidRPr="001C2E2B">
        <w:rPr>
          <w:lang w:eastAsia="fr-FR" w:bidi="fr-FR"/>
        </w:rPr>
        <w:t>. Ces personnages ont pourtant occupé le poste de conseiller pour la S</w:t>
      </w:r>
      <w:r w:rsidRPr="001C2E2B">
        <w:rPr>
          <w:lang w:eastAsia="fr-FR" w:bidi="fr-FR"/>
        </w:rPr>
        <w:t>é</w:t>
      </w:r>
      <w:r w:rsidRPr="001C2E2B">
        <w:rPr>
          <w:lang w:eastAsia="fr-FR" w:bidi="fr-FR"/>
        </w:rPr>
        <w:t>curité nationale. On ne serait toutefois pas loin de la vérité car, dans certains cas, ils ont supplanté le secrétaire en titre tant en terme de formulation de la politique étrangère que de visibilité. Ainsi, Bu</w:t>
      </w:r>
      <w:r w:rsidRPr="001C2E2B">
        <w:rPr>
          <w:lang w:eastAsia="fr-FR" w:bidi="fr-FR"/>
        </w:rPr>
        <w:t>n</w:t>
      </w:r>
      <w:r w:rsidRPr="001C2E2B">
        <w:rPr>
          <w:lang w:eastAsia="fr-FR" w:bidi="fr-FR"/>
        </w:rPr>
        <w:t>dy et Rostow ont été largement plus influents que Dean Rusk durant la pr</w:t>
      </w:r>
      <w:r w:rsidRPr="001C2E2B">
        <w:rPr>
          <w:lang w:eastAsia="fr-FR" w:bidi="fr-FR"/>
        </w:rPr>
        <w:t>é</w:t>
      </w:r>
      <w:r w:rsidRPr="001C2E2B">
        <w:rPr>
          <w:lang w:eastAsia="fr-FR" w:bidi="fr-FR"/>
        </w:rPr>
        <w:t>sidence de Johnson, de même que Kissinger et Brzezinski ont fini par véritablement usurper la place occupée respectiv</w:t>
      </w:r>
      <w:r w:rsidRPr="001C2E2B">
        <w:rPr>
          <w:lang w:eastAsia="fr-FR" w:bidi="fr-FR"/>
        </w:rPr>
        <w:t>e</w:t>
      </w:r>
      <w:r w:rsidRPr="001C2E2B">
        <w:rPr>
          <w:lang w:eastAsia="fr-FR" w:bidi="fr-FR"/>
        </w:rPr>
        <w:t>ment par William Rogers (sous Nixon) et Cyrus Vance (sous Carter)</w:t>
      </w:r>
      <w:r>
        <w:rPr>
          <w:lang w:eastAsia="fr-FR" w:bidi="fr-FR"/>
        </w:rPr>
        <w:t> </w:t>
      </w:r>
      <w:r>
        <w:rPr>
          <w:rStyle w:val="Appelnotedebasdep"/>
          <w:lang w:eastAsia="fr-FR" w:bidi="fr-FR"/>
        </w:rPr>
        <w:footnoteReference w:id="476"/>
      </w:r>
      <w:r w:rsidRPr="001C2E2B">
        <w:rPr>
          <w:lang w:eastAsia="fr-FR" w:bidi="fr-FR"/>
        </w:rPr>
        <w:t>. Cette tendance est bien a</w:t>
      </w:r>
      <w:r w:rsidRPr="001C2E2B">
        <w:rPr>
          <w:lang w:eastAsia="fr-FR" w:bidi="fr-FR"/>
        </w:rPr>
        <w:t>n</w:t>
      </w:r>
      <w:r w:rsidRPr="001C2E2B">
        <w:rPr>
          <w:lang w:eastAsia="fr-FR" w:bidi="fr-FR"/>
        </w:rPr>
        <w:t xml:space="preserve">crée et l’influence du conseiller pour la Sécurité nationale bien établie. Il n’est plus, en effet, cet acteur </w:t>
      </w:r>
      <w:r w:rsidRPr="001C2E2B">
        <w:t>« </w:t>
      </w:r>
      <w:r w:rsidRPr="001C2E2B">
        <w:rPr>
          <w:lang w:eastAsia="fr-FR" w:bidi="fr-FR"/>
        </w:rPr>
        <w:t>neutre</w:t>
      </w:r>
      <w:r w:rsidRPr="001C2E2B">
        <w:t> »</w:t>
      </w:r>
      <w:r w:rsidRPr="001C2E2B">
        <w:rPr>
          <w:lang w:eastAsia="fr-FR" w:bidi="fr-FR"/>
        </w:rPr>
        <w:t xml:space="preserve"> de la politique, </w:t>
      </w:r>
      <w:r w:rsidRPr="001C2E2B">
        <w:t>« </w:t>
      </w:r>
      <w:r w:rsidRPr="001C2E2B">
        <w:rPr>
          <w:lang w:eastAsia="fr-FR" w:bidi="fr-FR"/>
        </w:rPr>
        <w:t>honnête courtier</w:t>
      </w:r>
      <w:r w:rsidRPr="001C2E2B">
        <w:t> »</w:t>
      </w:r>
      <w:r w:rsidRPr="001C2E2B">
        <w:rPr>
          <w:lang w:eastAsia="fr-FR" w:bidi="fr-FR"/>
        </w:rPr>
        <w:t>, gestionnaire irréprochable du système des com</w:t>
      </w:r>
      <w:r w:rsidRPr="001C2E2B">
        <w:rPr>
          <w:lang w:eastAsia="fr-FR" w:bidi="fr-FR"/>
        </w:rPr>
        <w:t>i</w:t>
      </w:r>
      <w:r w:rsidRPr="001C2E2B">
        <w:rPr>
          <w:lang w:eastAsia="fr-FR" w:bidi="fr-FR"/>
        </w:rPr>
        <w:t>tés interdépartementaux, s’assurant de la pr</w:t>
      </w:r>
      <w:r w:rsidRPr="001C2E2B">
        <w:rPr>
          <w:lang w:eastAsia="fr-FR" w:bidi="fr-FR"/>
        </w:rPr>
        <w:t>é</w:t>
      </w:r>
      <w:r w:rsidRPr="001C2E2B">
        <w:rPr>
          <w:lang w:eastAsia="fr-FR" w:bidi="fr-FR"/>
        </w:rPr>
        <w:t>sentation de tous les points de vue bureaucratiques. Bien que depuis la fin des années Re</w:t>
      </w:r>
      <w:r w:rsidRPr="001C2E2B">
        <w:rPr>
          <w:lang w:eastAsia="fr-FR" w:bidi="fr-FR"/>
        </w:rPr>
        <w:t>a</w:t>
      </w:r>
      <w:r w:rsidRPr="001C2E2B">
        <w:rPr>
          <w:lang w:eastAsia="fr-FR" w:bidi="fr-FR"/>
        </w:rPr>
        <w:t>gan, son influence ait été ramenée à des proportions plus ra</w:t>
      </w:r>
      <w:r w:rsidRPr="001C2E2B">
        <w:rPr>
          <w:lang w:eastAsia="fr-FR" w:bidi="fr-FR"/>
        </w:rPr>
        <w:t>i</w:t>
      </w:r>
      <w:r w:rsidRPr="001C2E2B">
        <w:rPr>
          <w:lang w:eastAsia="fr-FR" w:bidi="fr-FR"/>
        </w:rPr>
        <w:t>sonnables, elle demeure considérable.</w:t>
      </w:r>
    </w:p>
    <w:p w14:paraId="01B33754" w14:textId="77777777" w:rsidR="0039793A" w:rsidRDefault="0039793A" w:rsidP="0039793A">
      <w:pPr>
        <w:spacing w:before="120" w:after="120"/>
        <w:jc w:val="both"/>
      </w:pPr>
      <w:r>
        <w:t>[225]</w:t>
      </w:r>
    </w:p>
    <w:p w14:paraId="535E3255" w14:textId="77777777" w:rsidR="0039793A" w:rsidRDefault="0039793A" w:rsidP="0039793A">
      <w:pPr>
        <w:spacing w:before="120" w:after="120"/>
        <w:jc w:val="both"/>
      </w:pPr>
    </w:p>
    <w:p w14:paraId="5FBDD626" w14:textId="77777777" w:rsidR="0039793A" w:rsidRPr="0056287B" w:rsidRDefault="0039793A" w:rsidP="0039793A">
      <w:pPr>
        <w:pStyle w:val="b"/>
      </w:pPr>
      <w:r w:rsidRPr="0056287B">
        <w:rPr>
          <w:lang w:eastAsia="fr-FR" w:bidi="fr-FR"/>
        </w:rPr>
        <w:t>Une influence progressivement acquise</w:t>
      </w:r>
    </w:p>
    <w:p w14:paraId="10CD5689" w14:textId="77777777" w:rsidR="0039793A" w:rsidRDefault="0039793A" w:rsidP="0039793A">
      <w:pPr>
        <w:spacing w:before="120" w:after="120"/>
        <w:jc w:val="both"/>
        <w:rPr>
          <w:lang w:eastAsia="fr-FR" w:bidi="fr-FR"/>
        </w:rPr>
      </w:pPr>
    </w:p>
    <w:p w14:paraId="307D7A5F" w14:textId="77777777" w:rsidR="0039793A" w:rsidRPr="001C2E2B" w:rsidRDefault="0039793A" w:rsidP="0039793A">
      <w:pPr>
        <w:spacing w:before="120" w:after="120"/>
        <w:jc w:val="both"/>
      </w:pPr>
      <w:r w:rsidRPr="001C2E2B">
        <w:rPr>
          <w:lang w:eastAsia="fr-FR" w:bidi="fr-FR"/>
        </w:rPr>
        <w:t>L’émergence d’un conseiller pour la Sécurité nationale influent et rivalisant d’autorité avec le secrétaire d’</w:t>
      </w:r>
      <w:r>
        <w:rPr>
          <w:lang w:eastAsia="fr-FR" w:bidi="fr-FR"/>
        </w:rPr>
        <w:t>État</w:t>
      </w:r>
      <w:r w:rsidRPr="001C2E2B">
        <w:rPr>
          <w:lang w:eastAsia="fr-FR" w:bidi="fr-FR"/>
        </w:rPr>
        <w:t xml:space="preserve"> remonte aux années I960</w:t>
      </w:r>
      <w:r w:rsidRPr="001C2E2B">
        <w:t> :</w:t>
      </w:r>
      <w:r w:rsidRPr="001C2E2B">
        <w:rPr>
          <w:lang w:eastAsia="fr-FR" w:bidi="fr-FR"/>
        </w:rPr>
        <w:t xml:space="preserve"> c’est alors que Bundy puis Rostow jouent un rôle plus engagé dans la formulation de la politique étrangère qu’aucun conseiller a</w:t>
      </w:r>
      <w:r w:rsidRPr="001C2E2B">
        <w:rPr>
          <w:lang w:eastAsia="fr-FR" w:bidi="fr-FR"/>
        </w:rPr>
        <w:t>u</w:t>
      </w:r>
      <w:r w:rsidRPr="001C2E2B">
        <w:rPr>
          <w:lang w:eastAsia="fr-FR" w:bidi="fr-FR"/>
        </w:rPr>
        <w:t>paravant</w:t>
      </w:r>
      <w:r>
        <w:rPr>
          <w:lang w:eastAsia="fr-FR" w:bidi="fr-FR"/>
        </w:rPr>
        <w:t> </w:t>
      </w:r>
      <w:r>
        <w:rPr>
          <w:rStyle w:val="Appelnotedebasdep"/>
          <w:lang w:eastAsia="fr-FR" w:bidi="fr-FR"/>
        </w:rPr>
        <w:footnoteReference w:id="477"/>
      </w:r>
      <w:r>
        <w:rPr>
          <w:lang w:eastAsia="fr-FR" w:bidi="fr-FR"/>
        </w:rPr>
        <w:t>.</w:t>
      </w:r>
    </w:p>
    <w:p w14:paraId="58CC559E" w14:textId="77777777" w:rsidR="0039793A" w:rsidRPr="001C2E2B" w:rsidRDefault="0039793A" w:rsidP="0039793A">
      <w:pPr>
        <w:spacing w:before="120" w:after="120"/>
        <w:jc w:val="both"/>
      </w:pPr>
      <w:r w:rsidRPr="001C2E2B">
        <w:rPr>
          <w:lang w:eastAsia="fr-FR" w:bidi="fr-FR"/>
        </w:rPr>
        <w:t xml:space="preserve">En application de la loi de 1947, sous Truman, le </w:t>
      </w:r>
      <w:r w:rsidRPr="001C2E2B">
        <w:t>« </w:t>
      </w:r>
      <w:r w:rsidRPr="001C2E2B">
        <w:rPr>
          <w:lang w:eastAsia="fr-FR" w:bidi="fr-FR"/>
        </w:rPr>
        <w:t>secrétaire ex</w:t>
      </w:r>
      <w:r w:rsidRPr="001C2E2B">
        <w:rPr>
          <w:lang w:eastAsia="fr-FR" w:bidi="fr-FR"/>
        </w:rPr>
        <w:t>é</w:t>
      </w:r>
      <w:r w:rsidRPr="007602FA">
        <w:rPr>
          <w:lang w:eastAsia="fr-FR" w:bidi="fr-FR"/>
        </w:rPr>
        <w:t xml:space="preserve">cutif » du </w:t>
      </w:r>
      <w:r w:rsidRPr="007602FA">
        <w:rPr>
          <w:bCs/>
        </w:rPr>
        <w:t xml:space="preserve">NSC </w:t>
      </w:r>
      <w:r w:rsidRPr="007602FA">
        <w:rPr>
          <w:lang w:eastAsia="fr-FR" w:bidi="fr-FR"/>
        </w:rPr>
        <w:t>accomplit des tâches uniquement administratives.</w:t>
      </w:r>
      <w:r w:rsidRPr="001C2E2B">
        <w:rPr>
          <w:lang w:eastAsia="fr-FR" w:bidi="fr-FR"/>
        </w:rPr>
        <w:t xml:space="preserve"> C’est en 1953 qu’Eisenhower crée le poste de </w:t>
      </w:r>
      <w:r w:rsidRPr="0056287B">
        <w:rPr>
          <w:i/>
          <w:iCs/>
        </w:rPr>
        <w:t>National Security Adv</w:t>
      </w:r>
      <w:r w:rsidRPr="0056287B">
        <w:rPr>
          <w:i/>
          <w:iCs/>
        </w:rPr>
        <w:t>i</w:t>
      </w:r>
      <w:r w:rsidRPr="0056287B">
        <w:rPr>
          <w:i/>
          <w:iCs/>
        </w:rPr>
        <w:t>sor</w:t>
      </w:r>
      <w:r w:rsidRPr="001C2E2B">
        <w:rPr>
          <w:lang w:eastAsia="fr-FR" w:bidi="fr-FR"/>
        </w:rPr>
        <w:t xml:space="preserve"> afin de renforcer l’emprise de la Maison-Blanche sur les méc</w:t>
      </w:r>
      <w:r w:rsidRPr="001C2E2B">
        <w:rPr>
          <w:lang w:eastAsia="fr-FR" w:bidi="fr-FR"/>
        </w:rPr>
        <w:t>a</w:t>
      </w:r>
      <w:r w:rsidRPr="001C2E2B">
        <w:rPr>
          <w:lang w:eastAsia="fr-FR" w:bidi="fr-FR"/>
        </w:rPr>
        <w:t>nismes départementaux de prise de décision. Le poste de secrétaire exécutif est maintenu mais ce dernier ne joue qu’un rôle discret.</w:t>
      </w:r>
    </w:p>
    <w:p w14:paraId="31FD76B3" w14:textId="77777777" w:rsidR="0039793A" w:rsidRPr="001C2E2B" w:rsidRDefault="0039793A" w:rsidP="0039793A">
      <w:pPr>
        <w:spacing w:before="120" w:after="120"/>
        <w:jc w:val="both"/>
      </w:pPr>
      <w:r w:rsidRPr="001C2E2B">
        <w:rPr>
          <w:lang w:eastAsia="fr-FR" w:bidi="fr-FR"/>
        </w:rPr>
        <w:t>Par contre, le conseiller pour la Sécurité nati</w:t>
      </w:r>
      <w:r w:rsidRPr="001C2E2B">
        <w:rPr>
          <w:lang w:eastAsia="fr-FR" w:bidi="fr-FR"/>
        </w:rPr>
        <w:t>o</w:t>
      </w:r>
      <w:r w:rsidRPr="001C2E2B">
        <w:rPr>
          <w:lang w:eastAsia="fr-FR" w:bidi="fr-FR"/>
        </w:rPr>
        <w:t>nale s’impose d’emblée comme la clé de voûte du système présidentiel de prise de décision, alors même qu’il n’est pas soumis à la procédure de confi</w:t>
      </w:r>
      <w:r w:rsidRPr="001C2E2B">
        <w:rPr>
          <w:lang w:eastAsia="fr-FR" w:bidi="fr-FR"/>
        </w:rPr>
        <w:t>r</w:t>
      </w:r>
      <w:r w:rsidRPr="001C2E2B">
        <w:rPr>
          <w:lang w:eastAsia="fr-FR" w:bidi="fr-FR"/>
        </w:rPr>
        <w:t>mation du Sénat. L’expansion de son rôle est d’ailleurs telle qu’elle provoque à l’époque deux démissions (Vance et Haig) et suscite de manière générale la méfiance, voire l’hostilité, des secréta</w:t>
      </w:r>
      <w:r w:rsidRPr="001C2E2B">
        <w:rPr>
          <w:lang w:eastAsia="fr-FR" w:bidi="fr-FR"/>
        </w:rPr>
        <w:t>i</w:t>
      </w:r>
      <w:r w:rsidRPr="001C2E2B">
        <w:rPr>
          <w:lang w:eastAsia="fr-FR" w:bidi="fr-FR"/>
        </w:rPr>
        <w:t>res d’</w:t>
      </w:r>
      <w:r>
        <w:rPr>
          <w:lang w:eastAsia="fr-FR" w:bidi="fr-FR"/>
        </w:rPr>
        <w:t>État</w:t>
      </w:r>
      <w:r w:rsidRPr="001C2E2B">
        <w:rPr>
          <w:lang w:eastAsia="fr-FR" w:bidi="fr-FR"/>
        </w:rPr>
        <w:t>. Les affrontements sont parfois d’une particulière virulence comme par exemple, entre Bundy ou Rostow et Rusk, Kissinger et Rogers, Brz</w:t>
      </w:r>
      <w:r w:rsidRPr="001C2E2B">
        <w:rPr>
          <w:lang w:eastAsia="fr-FR" w:bidi="fr-FR"/>
        </w:rPr>
        <w:t>e</w:t>
      </w:r>
      <w:r w:rsidRPr="001C2E2B">
        <w:rPr>
          <w:lang w:eastAsia="fr-FR" w:bidi="fr-FR"/>
        </w:rPr>
        <w:t>zinski et Vance, mais aussi entre les conseillers pour la Sécurité nati</w:t>
      </w:r>
      <w:r w:rsidRPr="001C2E2B">
        <w:rPr>
          <w:lang w:eastAsia="fr-FR" w:bidi="fr-FR"/>
        </w:rPr>
        <w:t>o</w:t>
      </w:r>
      <w:r w:rsidRPr="001C2E2B">
        <w:rPr>
          <w:lang w:eastAsia="fr-FR" w:bidi="fr-FR"/>
        </w:rPr>
        <w:t>nale et les secrétaires d’</w:t>
      </w:r>
      <w:r>
        <w:rPr>
          <w:lang w:eastAsia="fr-FR" w:bidi="fr-FR"/>
        </w:rPr>
        <w:t>État</w:t>
      </w:r>
      <w:r w:rsidRPr="001C2E2B">
        <w:rPr>
          <w:lang w:eastAsia="fr-FR" w:bidi="fr-FR"/>
        </w:rPr>
        <w:t xml:space="preserve"> et de la Défense sous Reagan, notamment Clark et Haig. Cette relation s’est améliorée depuis la présidence de G.H. Bush, mais elle demeure c</w:t>
      </w:r>
      <w:r w:rsidRPr="001C2E2B">
        <w:rPr>
          <w:lang w:eastAsia="fr-FR" w:bidi="fr-FR"/>
        </w:rPr>
        <w:t>e</w:t>
      </w:r>
      <w:r w:rsidRPr="001C2E2B">
        <w:rPr>
          <w:lang w:eastAsia="fr-FR" w:bidi="fr-FR"/>
        </w:rPr>
        <w:t>pendant un élément à gérer pour le président s’il veut s’assurer de la cohérence décisionnelle de la polit</w:t>
      </w:r>
      <w:r w:rsidRPr="001C2E2B">
        <w:rPr>
          <w:lang w:eastAsia="fr-FR" w:bidi="fr-FR"/>
        </w:rPr>
        <w:t>i</w:t>
      </w:r>
      <w:r w:rsidRPr="001C2E2B">
        <w:rPr>
          <w:lang w:eastAsia="fr-FR" w:bidi="fr-FR"/>
        </w:rPr>
        <w:t>que étrangère. Il reste que, très souvent, c’est vers leur conseiller pour la Sécurité nationale que se sont tournés les présidents en lui donnant la maîtrise de la politique étrangère</w:t>
      </w:r>
      <w:r>
        <w:rPr>
          <w:lang w:eastAsia="fr-FR" w:bidi="fr-FR"/>
        </w:rPr>
        <w:t> </w:t>
      </w:r>
      <w:r>
        <w:rPr>
          <w:rStyle w:val="Appelnotedebasdep"/>
          <w:lang w:eastAsia="fr-FR" w:bidi="fr-FR"/>
        </w:rPr>
        <w:footnoteReference w:id="478"/>
      </w:r>
      <w:r w:rsidRPr="001C2E2B">
        <w:rPr>
          <w:lang w:eastAsia="fr-FR" w:bidi="fr-FR"/>
        </w:rPr>
        <w:t>.</w:t>
      </w:r>
    </w:p>
    <w:p w14:paraId="63BF84DF" w14:textId="77777777" w:rsidR="0039793A" w:rsidRDefault="0039793A" w:rsidP="0039793A">
      <w:pPr>
        <w:spacing w:before="120" w:after="120"/>
        <w:jc w:val="both"/>
      </w:pPr>
      <w:r>
        <w:t>[226]</w:t>
      </w:r>
    </w:p>
    <w:p w14:paraId="455942AB" w14:textId="77777777" w:rsidR="0039793A" w:rsidRDefault="0039793A" w:rsidP="0039793A">
      <w:pPr>
        <w:spacing w:before="120" w:after="120"/>
        <w:jc w:val="both"/>
      </w:pPr>
    </w:p>
    <w:p w14:paraId="0C5F63EE" w14:textId="77777777" w:rsidR="0039793A" w:rsidRPr="00003599" w:rsidRDefault="0039793A" w:rsidP="0039793A">
      <w:pPr>
        <w:pStyle w:val="b"/>
      </w:pPr>
      <w:r w:rsidRPr="00003599">
        <w:rPr>
          <w:lang w:eastAsia="fr-FR" w:bidi="fr-FR"/>
        </w:rPr>
        <w:t>Un atout indéniable pour le président</w:t>
      </w:r>
    </w:p>
    <w:p w14:paraId="428951B7" w14:textId="77777777" w:rsidR="0039793A" w:rsidRDefault="0039793A" w:rsidP="0039793A">
      <w:pPr>
        <w:spacing w:before="120" w:after="120"/>
        <w:jc w:val="both"/>
        <w:rPr>
          <w:lang w:eastAsia="fr-FR" w:bidi="fr-FR"/>
        </w:rPr>
      </w:pPr>
    </w:p>
    <w:p w14:paraId="2910B26C" w14:textId="77777777" w:rsidR="0039793A" w:rsidRPr="001C2E2B" w:rsidRDefault="0039793A" w:rsidP="0039793A">
      <w:pPr>
        <w:spacing w:before="120" w:after="120"/>
        <w:jc w:val="both"/>
      </w:pPr>
      <w:r w:rsidRPr="001C2E2B">
        <w:rPr>
          <w:lang w:eastAsia="fr-FR" w:bidi="fr-FR"/>
        </w:rPr>
        <w:t>Le conseiller pour la Sécurité nationale permet au président de di</w:t>
      </w:r>
      <w:r w:rsidRPr="001C2E2B">
        <w:rPr>
          <w:lang w:eastAsia="fr-FR" w:bidi="fr-FR"/>
        </w:rPr>
        <w:t>s</w:t>
      </w:r>
      <w:r w:rsidRPr="001C2E2B">
        <w:rPr>
          <w:lang w:eastAsia="fr-FR" w:bidi="fr-FR"/>
        </w:rPr>
        <w:t>poser d’une connaissance d’ensemble des enjeux. Il informe, éduque le président sur les questions internationales. En effet, certains prés</w:t>
      </w:r>
      <w:r w:rsidRPr="001C2E2B">
        <w:rPr>
          <w:lang w:eastAsia="fr-FR" w:bidi="fr-FR"/>
        </w:rPr>
        <w:t>i</w:t>
      </w:r>
      <w:r w:rsidRPr="001C2E2B">
        <w:rPr>
          <w:lang w:eastAsia="fr-FR" w:bidi="fr-FR"/>
        </w:rPr>
        <w:t>dents, peu formés et peu instruits sur ces questions, apprécient la pr</w:t>
      </w:r>
      <w:r w:rsidRPr="001C2E2B">
        <w:rPr>
          <w:lang w:eastAsia="fr-FR" w:bidi="fr-FR"/>
        </w:rPr>
        <w:t>é</w:t>
      </w:r>
      <w:r w:rsidRPr="001C2E2B">
        <w:rPr>
          <w:lang w:eastAsia="fr-FR" w:bidi="fr-FR"/>
        </w:rPr>
        <w:t>sence constante et rassurante de cette éminence grise en géopolitique (le cas de C. Rice sous G.W. Bush par exemple).</w:t>
      </w:r>
    </w:p>
    <w:p w14:paraId="0099A404" w14:textId="77777777" w:rsidR="0039793A" w:rsidRPr="001C2E2B" w:rsidRDefault="0039793A" w:rsidP="0039793A">
      <w:pPr>
        <w:spacing w:before="120" w:after="120"/>
        <w:jc w:val="both"/>
      </w:pPr>
      <w:r w:rsidRPr="001C2E2B">
        <w:rPr>
          <w:lang w:eastAsia="fr-FR" w:bidi="fr-FR"/>
        </w:rPr>
        <w:t>Le conseiller pour la Sécurité nationale va g</w:t>
      </w:r>
      <w:r w:rsidRPr="001C2E2B">
        <w:rPr>
          <w:lang w:eastAsia="fr-FR" w:bidi="fr-FR"/>
        </w:rPr>
        <w:t>a</w:t>
      </w:r>
      <w:r w:rsidRPr="001C2E2B">
        <w:rPr>
          <w:lang w:eastAsia="fr-FR" w:bidi="fr-FR"/>
        </w:rPr>
        <w:t>rantir au président l’efficacité des mécanismes i</w:t>
      </w:r>
      <w:r w:rsidRPr="001C2E2B">
        <w:rPr>
          <w:lang w:eastAsia="fr-FR" w:bidi="fr-FR"/>
        </w:rPr>
        <w:t>n</w:t>
      </w:r>
      <w:r w:rsidRPr="001C2E2B">
        <w:rPr>
          <w:lang w:eastAsia="fr-FR" w:bidi="fr-FR"/>
        </w:rPr>
        <w:t>terdépartementaux de planification et d’exécution des politiques en s’assurant, notamment, que les comités tiennent compte des préférences du président, et qu’ils appliquent r</w:t>
      </w:r>
      <w:r w:rsidRPr="001C2E2B">
        <w:rPr>
          <w:lang w:eastAsia="fr-FR" w:bidi="fr-FR"/>
        </w:rPr>
        <w:t>i</w:t>
      </w:r>
      <w:r w:rsidRPr="001C2E2B">
        <w:rPr>
          <w:lang w:eastAsia="fr-FR" w:bidi="fr-FR"/>
        </w:rPr>
        <w:t>goureusement les déc</w:t>
      </w:r>
      <w:r w:rsidRPr="001C2E2B">
        <w:rPr>
          <w:lang w:eastAsia="fr-FR" w:bidi="fr-FR"/>
        </w:rPr>
        <w:t>i</w:t>
      </w:r>
      <w:r w:rsidRPr="001C2E2B">
        <w:rPr>
          <w:lang w:eastAsia="fr-FR" w:bidi="fr-FR"/>
        </w:rPr>
        <w:t>sions présidentielles.</w:t>
      </w:r>
    </w:p>
    <w:p w14:paraId="2135EB92" w14:textId="77777777" w:rsidR="0039793A" w:rsidRPr="001C2E2B" w:rsidRDefault="0039793A" w:rsidP="0039793A">
      <w:pPr>
        <w:spacing w:before="120" w:after="120"/>
        <w:jc w:val="both"/>
      </w:pPr>
      <w:r w:rsidRPr="001C2E2B">
        <w:rPr>
          <w:lang w:eastAsia="fr-FR" w:bidi="fr-FR"/>
        </w:rPr>
        <w:t>Le conseiller pour la Sécurité nationale constitue une source ind</w:t>
      </w:r>
      <w:r w:rsidRPr="001C2E2B">
        <w:rPr>
          <w:lang w:eastAsia="fr-FR" w:bidi="fr-FR"/>
        </w:rPr>
        <w:t>é</w:t>
      </w:r>
      <w:r w:rsidRPr="001C2E2B">
        <w:rPr>
          <w:lang w:eastAsia="fr-FR" w:bidi="fr-FR"/>
        </w:rPr>
        <w:t>pendante d’information, part</w:t>
      </w:r>
      <w:r w:rsidRPr="001C2E2B">
        <w:rPr>
          <w:lang w:eastAsia="fr-FR" w:bidi="fr-FR"/>
        </w:rPr>
        <w:t>i</w:t>
      </w:r>
      <w:r w:rsidRPr="001C2E2B">
        <w:rPr>
          <w:lang w:eastAsia="fr-FR" w:bidi="fr-FR"/>
        </w:rPr>
        <w:t xml:space="preserve">culièrement lorsque le président souhaite recevoir des avis autres que ceux fournis par les canaux normaux de la bureaucratie. Il peut même jouer </w:t>
      </w:r>
      <w:r w:rsidRPr="001C2E2B">
        <w:t>« </w:t>
      </w:r>
      <w:r w:rsidRPr="001C2E2B">
        <w:rPr>
          <w:lang w:eastAsia="fr-FR" w:bidi="fr-FR"/>
        </w:rPr>
        <w:t>l’avocat du diable</w:t>
      </w:r>
      <w:r w:rsidRPr="001C2E2B">
        <w:t> »</w:t>
      </w:r>
      <w:r w:rsidRPr="001C2E2B">
        <w:rPr>
          <w:lang w:eastAsia="fr-FR" w:bidi="fr-FR"/>
        </w:rPr>
        <w:t>, afin de prév</w:t>
      </w:r>
      <w:r w:rsidRPr="001C2E2B">
        <w:rPr>
          <w:lang w:eastAsia="fr-FR" w:bidi="fr-FR"/>
        </w:rPr>
        <w:t>e</w:t>
      </w:r>
      <w:r w:rsidRPr="001C2E2B">
        <w:rPr>
          <w:lang w:eastAsia="fr-FR" w:bidi="fr-FR"/>
        </w:rPr>
        <w:t>nir qu’un faux consensus n’engage le président dans une mauva</w:t>
      </w:r>
      <w:r w:rsidRPr="001C2E2B">
        <w:rPr>
          <w:lang w:eastAsia="fr-FR" w:bidi="fr-FR"/>
        </w:rPr>
        <w:t>i</w:t>
      </w:r>
      <w:r w:rsidRPr="001C2E2B">
        <w:rPr>
          <w:lang w:eastAsia="fr-FR" w:bidi="fr-FR"/>
        </w:rPr>
        <w:t>se direction</w:t>
      </w:r>
      <w:r w:rsidRPr="001C2E2B">
        <w:t> :</w:t>
      </w:r>
      <w:r w:rsidRPr="001C2E2B">
        <w:rPr>
          <w:lang w:eastAsia="fr-FR" w:bidi="fr-FR"/>
        </w:rPr>
        <w:t xml:space="preserve"> en d’autres termes, il est là pour lui éviter de prendre des décisions dont l’application serait désastreuse.</w:t>
      </w:r>
    </w:p>
    <w:p w14:paraId="2C9B09C5" w14:textId="77777777" w:rsidR="0039793A" w:rsidRPr="001C2E2B" w:rsidRDefault="0039793A" w:rsidP="0039793A">
      <w:pPr>
        <w:spacing w:before="120" w:after="120"/>
        <w:jc w:val="both"/>
      </w:pPr>
      <w:r w:rsidRPr="001C2E2B">
        <w:rPr>
          <w:lang w:eastAsia="fr-FR" w:bidi="fr-FR"/>
        </w:rPr>
        <w:t>Le conseiller pour la Sécurité nationale agit à l’occasion comme émissaire personnel du prés</w:t>
      </w:r>
      <w:r w:rsidRPr="001C2E2B">
        <w:rPr>
          <w:lang w:eastAsia="fr-FR" w:bidi="fr-FR"/>
        </w:rPr>
        <w:t>i</w:t>
      </w:r>
      <w:r w:rsidRPr="001C2E2B">
        <w:rPr>
          <w:lang w:eastAsia="fr-FR" w:bidi="fr-FR"/>
        </w:rPr>
        <w:t>dent. Il va ainsi être amené à négocier directement avec un ambassadeur, un ministre ou un chef d’</w:t>
      </w:r>
      <w:r>
        <w:rPr>
          <w:lang w:eastAsia="fr-FR" w:bidi="fr-FR"/>
        </w:rPr>
        <w:t>État</w:t>
      </w:r>
      <w:r w:rsidRPr="001C2E2B">
        <w:rPr>
          <w:lang w:eastAsia="fr-FR" w:bidi="fr-FR"/>
        </w:rPr>
        <w:t xml:space="preserve"> sur des questions particulièrement délicates et secrètes que le président ne veut pas confier au Département d’</w:t>
      </w:r>
      <w:r>
        <w:rPr>
          <w:lang w:eastAsia="fr-FR" w:bidi="fr-FR"/>
        </w:rPr>
        <w:t>État</w:t>
      </w:r>
      <w:r w:rsidRPr="001C2E2B">
        <w:rPr>
          <w:lang w:eastAsia="fr-FR" w:bidi="fr-FR"/>
        </w:rPr>
        <w:t xml:space="preserve"> en raison de possibles fuites. D’ailleurs depuis Bundy, chaque conseiller pour la Sécurité nationale est intervenu comme négoci</w:t>
      </w:r>
      <w:r w:rsidRPr="001C2E2B">
        <w:rPr>
          <w:lang w:eastAsia="fr-FR" w:bidi="fr-FR"/>
        </w:rPr>
        <w:t>a</w:t>
      </w:r>
      <w:r w:rsidRPr="001C2E2B">
        <w:rPr>
          <w:lang w:eastAsia="fr-FR" w:bidi="fr-FR"/>
        </w:rPr>
        <w:t>teur diplomatique à un moment ou à un autre de son mandat (Kissinger et Brzezinski furent certa</w:t>
      </w:r>
      <w:r w:rsidRPr="001C2E2B">
        <w:rPr>
          <w:lang w:eastAsia="fr-FR" w:bidi="fr-FR"/>
        </w:rPr>
        <w:t>i</w:t>
      </w:r>
      <w:r w:rsidRPr="001C2E2B">
        <w:rPr>
          <w:lang w:eastAsia="fr-FR" w:bidi="fr-FR"/>
        </w:rPr>
        <w:t>nement parmi les plus actifs).</w:t>
      </w:r>
    </w:p>
    <w:p w14:paraId="52D2A5B7" w14:textId="77777777" w:rsidR="0039793A" w:rsidRPr="001C2E2B" w:rsidRDefault="0039793A" w:rsidP="0039793A">
      <w:pPr>
        <w:spacing w:before="120" w:after="120"/>
        <w:jc w:val="both"/>
      </w:pPr>
      <w:r w:rsidRPr="001C2E2B">
        <w:rPr>
          <w:lang w:eastAsia="fr-FR" w:bidi="fr-FR"/>
        </w:rPr>
        <w:t>Le conseiller pour la Sécurité nationale, en ra</w:t>
      </w:r>
      <w:r w:rsidRPr="001C2E2B">
        <w:rPr>
          <w:lang w:eastAsia="fr-FR" w:bidi="fr-FR"/>
        </w:rPr>
        <w:t>i</w:t>
      </w:r>
      <w:r w:rsidRPr="001C2E2B">
        <w:rPr>
          <w:lang w:eastAsia="fr-FR" w:bidi="fr-FR"/>
        </w:rPr>
        <w:t>son de sa proximité et de son rapport étroit avec le président, coordonne et supervise la prise de décision et l’exécution des directives en temps de cr</w:t>
      </w:r>
      <w:r w:rsidRPr="001C2E2B">
        <w:rPr>
          <w:lang w:eastAsia="fr-FR" w:bidi="fr-FR"/>
        </w:rPr>
        <w:t>i</w:t>
      </w:r>
      <w:r w:rsidRPr="001C2E2B">
        <w:rPr>
          <w:lang w:eastAsia="fr-FR" w:bidi="fr-FR"/>
        </w:rPr>
        <w:t xml:space="preserve">se. Il dispose, pour ce faire, d’une série de moyens technologiques dont le centre de gestion des crises (la célèbre </w:t>
      </w:r>
      <w:r w:rsidRPr="00EB1271">
        <w:rPr>
          <w:i/>
          <w:iCs/>
        </w:rPr>
        <w:t>situation room</w:t>
      </w:r>
      <w:r w:rsidRPr="001C2E2B">
        <w:rPr>
          <w:lang w:eastAsia="fr-FR" w:bidi="fr-FR"/>
        </w:rPr>
        <w:t>) pour suivre pas à pas l’évolution d’une crise. Il intègre également les diverses réa</w:t>
      </w:r>
      <w:r w:rsidRPr="001C2E2B">
        <w:rPr>
          <w:lang w:eastAsia="fr-FR" w:bidi="fr-FR"/>
        </w:rPr>
        <w:t>c</w:t>
      </w:r>
      <w:r w:rsidRPr="001C2E2B">
        <w:rPr>
          <w:lang w:eastAsia="fr-FR" w:bidi="fr-FR"/>
        </w:rPr>
        <w:t>tions des bureaucraties pour s’assurer de la cohésion d’ensemble de la réponse américa</w:t>
      </w:r>
      <w:r w:rsidRPr="001C2E2B">
        <w:rPr>
          <w:lang w:eastAsia="fr-FR" w:bidi="fr-FR"/>
        </w:rPr>
        <w:t>i</w:t>
      </w:r>
      <w:r w:rsidRPr="001C2E2B">
        <w:rPr>
          <w:lang w:eastAsia="fr-FR" w:bidi="fr-FR"/>
        </w:rPr>
        <w:t>ne.</w:t>
      </w:r>
    </w:p>
    <w:p w14:paraId="762C4930" w14:textId="77777777" w:rsidR="0039793A" w:rsidRPr="001C2E2B" w:rsidRDefault="0039793A" w:rsidP="0039793A">
      <w:pPr>
        <w:spacing w:before="120" w:after="120"/>
        <w:jc w:val="both"/>
      </w:pPr>
      <w:r w:rsidRPr="001C2E2B">
        <w:rPr>
          <w:lang w:eastAsia="fr-FR" w:bidi="fr-FR"/>
        </w:rPr>
        <w:t>Le conseiller pour la Sécurité nationale devient parfois un porte-parole de l’Administration, expl</w:t>
      </w:r>
      <w:r w:rsidRPr="001C2E2B">
        <w:rPr>
          <w:lang w:eastAsia="fr-FR" w:bidi="fr-FR"/>
        </w:rPr>
        <w:t>i</w:t>
      </w:r>
      <w:r w:rsidRPr="001C2E2B">
        <w:rPr>
          <w:lang w:eastAsia="fr-FR" w:bidi="fr-FR"/>
        </w:rPr>
        <w:t>quant aux médias, et lors</w:t>
      </w:r>
      <w:r>
        <w:t xml:space="preserve"> [227] </w:t>
      </w:r>
      <w:r w:rsidRPr="001C2E2B">
        <w:rPr>
          <w:lang w:eastAsia="fr-FR" w:bidi="fr-FR"/>
        </w:rPr>
        <w:t>de discours ou de conférences publiques, les objectifs de la politique e</w:t>
      </w:r>
      <w:r w:rsidRPr="001C2E2B">
        <w:rPr>
          <w:lang w:eastAsia="fr-FR" w:bidi="fr-FR"/>
        </w:rPr>
        <w:t>x</w:t>
      </w:r>
      <w:r w:rsidRPr="001C2E2B">
        <w:rPr>
          <w:lang w:eastAsia="fr-FR" w:bidi="fr-FR"/>
        </w:rPr>
        <w:t>térieure et de défense du président. Cette fonction est devenue impo</w:t>
      </w:r>
      <w:r w:rsidRPr="001C2E2B">
        <w:rPr>
          <w:lang w:eastAsia="fr-FR" w:bidi="fr-FR"/>
        </w:rPr>
        <w:t>r</w:t>
      </w:r>
      <w:r w:rsidRPr="001C2E2B">
        <w:rPr>
          <w:lang w:eastAsia="fr-FR" w:bidi="fr-FR"/>
        </w:rPr>
        <w:t>tante, surtout après le passage de Kissinger à la Maison-Blanche. Il n’est pas rare, depuis, de voir le conseiller justifier et défendre les p</w:t>
      </w:r>
      <w:r w:rsidRPr="001C2E2B">
        <w:rPr>
          <w:lang w:eastAsia="fr-FR" w:bidi="fr-FR"/>
        </w:rPr>
        <w:t>o</w:t>
      </w:r>
      <w:r w:rsidRPr="001C2E2B">
        <w:rPr>
          <w:lang w:eastAsia="fr-FR" w:bidi="fr-FR"/>
        </w:rPr>
        <w:t>litiques présidentielles à la télévision, dans les journaux ou en conf</w:t>
      </w:r>
      <w:r w:rsidRPr="001C2E2B">
        <w:rPr>
          <w:lang w:eastAsia="fr-FR" w:bidi="fr-FR"/>
        </w:rPr>
        <w:t>é</w:t>
      </w:r>
      <w:r w:rsidRPr="001C2E2B">
        <w:rPr>
          <w:lang w:eastAsia="fr-FR" w:bidi="fr-FR"/>
        </w:rPr>
        <w:t>rence de presse.</w:t>
      </w:r>
    </w:p>
    <w:p w14:paraId="1C00A795" w14:textId="77777777" w:rsidR="0039793A" w:rsidRPr="001C2E2B" w:rsidRDefault="0039793A" w:rsidP="0039793A">
      <w:pPr>
        <w:spacing w:before="120" w:after="120"/>
        <w:jc w:val="both"/>
      </w:pPr>
      <w:r w:rsidRPr="001C2E2B">
        <w:rPr>
          <w:lang w:eastAsia="fr-FR" w:bidi="fr-FR"/>
        </w:rPr>
        <w:t>Enfin, si le président le requiert, le conseiller pour la Sécurité n</w:t>
      </w:r>
      <w:r w:rsidRPr="001C2E2B">
        <w:rPr>
          <w:lang w:eastAsia="fr-FR" w:bidi="fr-FR"/>
        </w:rPr>
        <w:t>a</w:t>
      </w:r>
      <w:r w:rsidRPr="001C2E2B">
        <w:rPr>
          <w:lang w:eastAsia="fr-FR" w:bidi="fr-FR"/>
        </w:rPr>
        <w:t>tionale peut devenir le gestio</w:t>
      </w:r>
      <w:r w:rsidRPr="001C2E2B">
        <w:rPr>
          <w:lang w:eastAsia="fr-FR" w:bidi="fr-FR"/>
        </w:rPr>
        <w:t>n</w:t>
      </w:r>
      <w:r w:rsidRPr="001C2E2B">
        <w:rPr>
          <w:lang w:eastAsia="fr-FR" w:bidi="fr-FR"/>
        </w:rPr>
        <w:t>naire d’un projet spécial. Dans le cas d’opérations secrètes, la Maison-Blanche peut souhaiter que le Dépa</w:t>
      </w:r>
      <w:r w:rsidRPr="001C2E2B">
        <w:rPr>
          <w:lang w:eastAsia="fr-FR" w:bidi="fr-FR"/>
        </w:rPr>
        <w:t>r</w:t>
      </w:r>
      <w:r w:rsidRPr="001C2E2B">
        <w:rPr>
          <w:lang w:eastAsia="fr-FR" w:bidi="fr-FR"/>
        </w:rPr>
        <w:t>tement d’</w:t>
      </w:r>
      <w:r>
        <w:rPr>
          <w:lang w:eastAsia="fr-FR" w:bidi="fr-FR"/>
        </w:rPr>
        <w:t>État</w:t>
      </w:r>
      <w:r w:rsidRPr="001C2E2B">
        <w:rPr>
          <w:lang w:eastAsia="fr-FR" w:bidi="fr-FR"/>
        </w:rPr>
        <w:t>, par exemple, ne soit pas impliqué. Elle va alors che</w:t>
      </w:r>
      <w:r w:rsidRPr="001C2E2B">
        <w:rPr>
          <w:lang w:eastAsia="fr-FR" w:bidi="fr-FR"/>
        </w:rPr>
        <w:t>r</w:t>
      </w:r>
      <w:r w:rsidRPr="001C2E2B">
        <w:rPr>
          <w:lang w:eastAsia="fr-FR" w:bidi="fr-FR"/>
        </w:rPr>
        <w:t>cher à mettre en œuvre et à utiliser un réseau parallèle. Aussi, réguli</w:t>
      </w:r>
      <w:r w:rsidRPr="001C2E2B">
        <w:rPr>
          <w:lang w:eastAsia="fr-FR" w:bidi="fr-FR"/>
        </w:rPr>
        <w:t>è</w:t>
      </w:r>
      <w:r w:rsidRPr="001C2E2B">
        <w:rPr>
          <w:lang w:eastAsia="fr-FR" w:bidi="fr-FR"/>
        </w:rPr>
        <w:t>rement Bundy, Kissinger, Brzezinski ou Scowcroft se sont-ils servis de leurs contacts personnels avec des représentants de gouvernements étrangers pour faire progresser certains dossiers. Ce procédé a atteint son point paroxystique, en 1985-1986, dans l’affaire de la vente d’armes à l’Iran et le détou</w:t>
      </w:r>
      <w:r w:rsidRPr="001C2E2B">
        <w:rPr>
          <w:lang w:eastAsia="fr-FR" w:bidi="fr-FR"/>
        </w:rPr>
        <w:t>r</w:t>
      </w:r>
      <w:r w:rsidRPr="001C2E2B">
        <w:rPr>
          <w:lang w:eastAsia="fr-FR" w:bidi="fr-FR"/>
        </w:rPr>
        <w:t xml:space="preserve">nement des profits pour servir la cause des </w:t>
      </w:r>
      <w:r w:rsidRPr="00EB1271">
        <w:rPr>
          <w:i/>
          <w:iCs/>
        </w:rPr>
        <w:t>Contras </w:t>
      </w:r>
      <w:r w:rsidRPr="001C2E2B">
        <w:t>:</w:t>
      </w:r>
      <w:r w:rsidRPr="001C2E2B">
        <w:rPr>
          <w:lang w:eastAsia="fr-FR" w:bidi="fr-FR"/>
        </w:rPr>
        <w:t xml:space="preserve"> de leur propre chef, le conseiller pour la Sécurité nationale McFarlane puis, par la suite, Poindexter sont allés jusqu’à élaborer une véritable politique étrangère, excluant même parfois du pr</w:t>
      </w:r>
      <w:r w:rsidRPr="001C2E2B">
        <w:rPr>
          <w:lang w:eastAsia="fr-FR" w:bidi="fr-FR"/>
        </w:rPr>
        <w:t>o</w:t>
      </w:r>
      <w:r w:rsidRPr="001C2E2B">
        <w:rPr>
          <w:lang w:eastAsia="fr-FR" w:bidi="fr-FR"/>
        </w:rPr>
        <w:t>cessus décisionnel des personnages clés tels le s</w:t>
      </w:r>
      <w:r w:rsidRPr="001C2E2B">
        <w:rPr>
          <w:lang w:eastAsia="fr-FR" w:bidi="fr-FR"/>
        </w:rPr>
        <w:t>e</w:t>
      </w:r>
      <w:r w:rsidRPr="001C2E2B">
        <w:rPr>
          <w:lang w:eastAsia="fr-FR" w:bidi="fr-FR"/>
        </w:rPr>
        <w:t>crétaire à la Défense et le secrétaire d’</w:t>
      </w:r>
      <w:r>
        <w:rPr>
          <w:lang w:eastAsia="fr-FR" w:bidi="fr-FR"/>
        </w:rPr>
        <w:t>État </w:t>
      </w:r>
      <w:r>
        <w:rPr>
          <w:rStyle w:val="Appelnotedebasdep"/>
          <w:lang w:eastAsia="fr-FR" w:bidi="fr-FR"/>
        </w:rPr>
        <w:footnoteReference w:id="479"/>
      </w:r>
      <w:r>
        <w:rPr>
          <w:lang w:eastAsia="fr-FR" w:bidi="fr-FR"/>
        </w:rPr>
        <w:t>.</w:t>
      </w:r>
    </w:p>
    <w:p w14:paraId="6029BD65" w14:textId="77777777" w:rsidR="0039793A" w:rsidRPr="001C2E2B" w:rsidRDefault="0039793A" w:rsidP="0039793A">
      <w:pPr>
        <w:spacing w:before="120" w:after="120"/>
        <w:jc w:val="both"/>
      </w:pPr>
      <w:r w:rsidRPr="001C2E2B">
        <w:rPr>
          <w:lang w:eastAsia="fr-FR" w:bidi="fr-FR"/>
        </w:rPr>
        <w:t>Ces évolutions ont généré, au cours des années, des débats vir</w:t>
      </w:r>
      <w:r w:rsidRPr="001C2E2B">
        <w:rPr>
          <w:lang w:eastAsia="fr-FR" w:bidi="fr-FR"/>
        </w:rPr>
        <w:t>u</w:t>
      </w:r>
      <w:r w:rsidRPr="001C2E2B">
        <w:rPr>
          <w:lang w:eastAsia="fr-FR" w:bidi="fr-FR"/>
        </w:rPr>
        <w:t>lents sur le rôle exact du conseiller pour la Sécurité nationale, surtout au regard des compétences du secrétaire d’</w:t>
      </w:r>
      <w:r>
        <w:rPr>
          <w:lang w:eastAsia="fr-FR" w:bidi="fr-FR"/>
        </w:rPr>
        <w:t>État</w:t>
      </w:r>
      <w:r w:rsidRPr="001C2E2B">
        <w:rPr>
          <w:lang w:eastAsia="fr-FR" w:bidi="fr-FR"/>
        </w:rPr>
        <w:t>.</w:t>
      </w:r>
    </w:p>
    <w:p w14:paraId="3C53A35C" w14:textId="77777777" w:rsidR="0039793A" w:rsidRDefault="0039793A" w:rsidP="0039793A">
      <w:pPr>
        <w:spacing w:before="120" w:after="120"/>
        <w:jc w:val="both"/>
        <w:rPr>
          <w:lang w:eastAsia="fr-FR" w:bidi="fr-FR"/>
        </w:rPr>
      </w:pPr>
    </w:p>
    <w:p w14:paraId="6FAEC7D3" w14:textId="77777777" w:rsidR="0039793A" w:rsidRPr="00EB1271" w:rsidRDefault="0039793A" w:rsidP="0039793A">
      <w:pPr>
        <w:pStyle w:val="b"/>
      </w:pPr>
      <w:r w:rsidRPr="00EB1271">
        <w:rPr>
          <w:lang w:eastAsia="fr-FR" w:bidi="fr-FR"/>
        </w:rPr>
        <w:t>Une neutralité nécessaire</w:t>
      </w:r>
    </w:p>
    <w:p w14:paraId="1F34EDD4" w14:textId="77777777" w:rsidR="0039793A" w:rsidRDefault="0039793A" w:rsidP="0039793A">
      <w:pPr>
        <w:spacing w:before="120" w:after="120"/>
        <w:jc w:val="both"/>
        <w:rPr>
          <w:lang w:eastAsia="fr-FR" w:bidi="fr-FR"/>
        </w:rPr>
      </w:pPr>
    </w:p>
    <w:p w14:paraId="4C94A160" w14:textId="77777777" w:rsidR="0039793A" w:rsidRPr="001C2E2B" w:rsidRDefault="0039793A" w:rsidP="0039793A">
      <w:pPr>
        <w:spacing w:before="120" w:after="120"/>
        <w:jc w:val="both"/>
      </w:pPr>
      <w:r w:rsidRPr="001C2E2B">
        <w:rPr>
          <w:lang w:eastAsia="fr-FR" w:bidi="fr-FR"/>
        </w:rPr>
        <w:t>Le conseiller pour la Sécurité nationale outrepasse, selon les crit</w:t>
      </w:r>
      <w:r w:rsidRPr="001C2E2B">
        <w:rPr>
          <w:lang w:eastAsia="fr-FR" w:bidi="fr-FR"/>
        </w:rPr>
        <w:t>i</w:t>
      </w:r>
      <w:r w:rsidRPr="001C2E2B">
        <w:rPr>
          <w:lang w:eastAsia="fr-FR" w:bidi="fr-FR"/>
        </w:rPr>
        <w:t>ques, son rôle initial pour devenir un acteur mû par des intérêts pr</w:t>
      </w:r>
      <w:r w:rsidRPr="001C2E2B">
        <w:rPr>
          <w:lang w:eastAsia="fr-FR" w:bidi="fr-FR"/>
        </w:rPr>
        <w:t>o</w:t>
      </w:r>
      <w:r w:rsidRPr="001C2E2B">
        <w:rPr>
          <w:lang w:eastAsia="fr-FR" w:bidi="fr-FR"/>
        </w:rPr>
        <w:t>pres et déterminé à défendre sa cause. Or cette perspective paraît di</w:t>
      </w:r>
      <w:r w:rsidRPr="001C2E2B">
        <w:rPr>
          <w:lang w:eastAsia="fr-FR" w:bidi="fr-FR"/>
        </w:rPr>
        <w:t>f</w:t>
      </w:r>
      <w:r w:rsidRPr="001C2E2B">
        <w:rPr>
          <w:lang w:eastAsia="fr-FR" w:bidi="fr-FR"/>
        </w:rPr>
        <w:t>ficilement conciliable avec ses fonctions principales de gestionnaire du processus de formulation des politiques. Pire encore, elle peut g</w:t>
      </w:r>
      <w:r w:rsidRPr="001C2E2B">
        <w:rPr>
          <w:lang w:eastAsia="fr-FR" w:bidi="fr-FR"/>
        </w:rPr>
        <w:t>é</w:t>
      </w:r>
      <w:r w:rsidRPr="001C2E2B">
        <w:rPr>
          <w:lang w:eastAsia="fr-FR" w:bidi="fr-FR"/>
        </w:rPr>
        <w:t>nérer de réels problèmes</w:t>
      </w:r>
      <w:r>
        <w:rPr>
          <w:lang w:eastAsia="fr-FR" w:bidi="fr-FR"/>
        </w:rPr>
        <w:t> </w:t>
      </w:r>
      <w:r>
        <w:rPr>
          <w:rStyle w:val="Appelnotedebasdep"/>
          <w:lang w:eastAsia="fr-FR" w:bidi="fr-FR"/>
        </w:rPr>
        <w:footnoteReference w:id="480"/>
      </w:r>
      <w:r w:rsidRPr="001C2E2B">
        <w:rPr>
          <w:lang w:eastAsia="fr-FR" w:bidi="fr-FR"/>
        </w:rPr>
        <w:t>.</w:t>
      </w:r>
    </w:p>
    <w:p w14:paraId="7CFFC506" w14:textId="77777777" w:rsidR="0039793A" w:rsidRPr="001C2E2B" w:rsidRDefault="0039793A" w:rsidP="0039793A">
      <w:pPr>
        <w:spacing w:before="120" w:after="120"/>
        <w:jc w:val="both"/>
      </w:pPr>
      <w:r>
        <w:t>[228]</w:t>
      </w:r>
    </w:p>
    <w:p w14:paraId="7B367F9F" w14:textId="77777777" w:rsidR="0039793A" w:rsidRPr="001C2E2B" w:rsidRDefault="0039793A" w:rsidP="0039793A">
      <w:pPr>
        <w:spacing w:before="120" w:after="120"/>
        <w:jc w:val="both"/>
      </w:pPr>
      <w:r w:rsidRPr="001C2E2B">
        <w:rPr>
          <w:lang w:eastAsia="fr-FR" w:bidi="fr-FR"/>
        </w:rPr>
        <w:t>Le conseiller pour la Sécurité nationale adopte une posture partis</w:t>
      </w:r>
      <w:r w:rsidRPr="001C2E2B">
        <w:rPr>
          <w:lang w:eastAsia="fr-FR" w:bidi="fr-FR"/>
        </w:rPr>
        <w:t>a</w:t>
      </w:r>
      <w:r w:rsidRPr="001C2E2B">
        <w:rPr>
          <w:lang w:eastAsia="fr-FR" w:bidi="fr-FR"/>
        </w:rPr>
        <w:t>ne qui va au-delà du simple tr</w:t>
      </w:r>
      <w:r w:rsidRPr="001C2E2B">
        <w:rPr>
          <w:lang w:eastAsia="fr-FR" w:bidi="fr-FR"/>
        </w:rPr>
        <w:t>a</w:t>
      </w:r>
      <w:r w:rsidRPr="001C2E2B">
        <w:rPr>
          <w:lang w:eastAsia="fr-FR" w:bidi="fr-FR"/>
        </w:rPr>
        <w:t>vail d’un gestionnaire impartial. En conséquence, il est susceptible de ne donner au président que son seul point de vue qu’il va défendre en présentant (voire en manipulant) une partie seulement de l’information et des analyses nécessaires pour soutenir sa position (Kissinger constitue à cet égard un cas spectac</w:t>
      </w:r>
      <w:r w:rsidRPr="001C2E2B">
        <w:rPr>
          <w:lang w:eastAsia="fr-FR" w:bidi="fr-FR"/>
        </w:rPr>
        <w:t>u</w:t>
      </w:r>
      <w:r w:rsidRPr="001C2E2B">
        <w:rPr>
          <w:lang w:eastAsia="fr-FR" w:bidi="fr-FR"/>
        </w:rPr>
        <w:t>laire).</w:t>
      </w:r>
    </w:p>
    <w:p w14:paraId="74CAEE1F" w14:textId="77777777" w:rsidR="0039793A" w:rsidRPr="001C2E2B" w:rsidRDefault="0039793A" w:rsidP="0039793A">
      <w:pPr>
        <w:spacing w:before="120" w:after="120"/>
        <w:jc w:val="both"/>
      </w:pPr>
      <w:r w:rsidRPr="001C2E2B">
        <w:rPr>
          <w:lang w:eastAsia="fr-FR" w:bidi="fr-FR"/>
        </w:rPr>
        <w:t>La fonction de porte-parole peut également e</w:t>
      </w:r>
      <w:r w:rsidRPr="001C2E2B">
        <w:rPr>
          <w:lang w:eastAsia="fr-FR" w:bidi="fr-FR"/>
        </w:rPr>
        <w:t>n</w:t>
      </w:r>
      <w:r w:rsidRPr="001C2E2B">
        <w:rPr>
          <w:lang w:eastAsia="fr-FR" w:bidi="fr-FR"/>
        </w:rPr>
        <w:t>gendrer une dérive</w:t>
      </w:r>
      <w:r w:rsidRPr="001C2E2B">
        <w:t> :</w:t>
      </w:r>
      <w:r w:rsidRPr="001C2E2B">
        <w:rPr>
          <w:lang w:eastAsia="fr-FR" w:bidi="fr-FR"/>
        </w:rPr>
        <w:t xml:space="preserve"> il y a effectivement un risque que l’impartialité du conseiller pour la Sécurité nationale soit compromise, simplement parce qu’il fera pre</w:t>
      </w:r>
      <w:r w:rsidRPr="001C2E2B">
        <w:rPr>
          <w:lang w:eastAsia="fr-FR" w:bidi="fr-FR"/>
        </w:rPr>
        <w:t>u</w:t>
      </w:r>
      <w:r w:rsidRPr="001C2E2B">
        <w:rPr>
          <w:lang w:eastAsia="fr-FR" w:bidi="fr-FR"/>
        </w:rPr>
        <w:t>ve d’un trop grand acharnement à défendre, auprès des médias, la l</w:t>
      </w:r>
      <w:r w:rsidRPr="001C2E2B">
        <w:rPr>
          <w:lang w:eastAsia="fr-FR" w:bidi="fr-FR"/>
        </w:rPr>
        <w:t>é</w:t>
      </w:r>
      <w:r w:rsidRPr="001C2E2B">
        <w:rPr>
          <w:lang w:eastAsia="fr-FR" w:bidi="fr-FR"/>
        </w:rPr>
        <w:t>gitimité des décisions présidentielles (le cas de tous les conseillers pour la Sécurité nationale depuis Bundy).</w:t>
      </w:r>
    </w:p>
    <w:p w14:paraId="281E02BD" w14:textId="77777777" w:rsidR="0039793A" w:rsidRPr="001C2E2B" w:rsidRDefault="0039793A" w:rsidP="0039793A">
      <w:pPr>
        <w:spacing w:before="120" w:after="120"/>
        <w:jc w:val="both"/>
      </w:pPr>
      <w:r w:rsidRPr="001C2E2B">
        <w:rPr>
          <w:lang w:eastAsia="fr-FR" w:bidi="fr-FR"/>
        </w:rPr>
        <w:t>À trop vouloir maintenir son influence et celle du président, le conseiller pour la Sécurité nation</w:t>
      </w:r>
      <w:r w:rsidRPr="001C2E2B">
        <w:rPr>
          <w:lang w:eastAsia="fr-FR" w:bidi="fr-FR"/>
        </w:rPr>
        <w:t>a</w:t>
      </w:r>
      <w:r w:rsidRPr="001C2E2B">
        <w:rPr>
          <w:lang w:eastAsia="fr-FR" w:bidi="fr-FR"/>
        </w:rPr>
        <w:t>le peut finir par obérer durablement une de ses fonctions essentielles</w:t>
      </w:r>
      <w:r w:rsidRPr="001C2E2B">
        <w:t> :</w:t>
      </w:r>
      <w:r w:rsidRPr="001C2E2B">
        <w:rPr>
          <w:lang w:eastAsia="fr-FR" w:bidi="fr-FR"/>
        </w:rPr>
        <w:t xml:space="preserve"> la représentation respons</w:t>
      </w:r>
      <w:r w:rsidRPr="001C2E2B">
        <w:rPr>
          <w:lang w:eastAsia="fr-FR" w:bidi="fr-FR"/>
        </w:rPr>
        <w:t>a</w:t>
      </w:r>
      <w:r w:rsidRPr="001C2E2B">
        <w:rPr>
          <w:lang w:eastAsia="fr-FR" w:bidi="fr-FR"/>
        </w:rPr>
        <w:t>ble des divers points de vue des différentes b</w:t>
      </w:r>
      <w:r w:rsidRPr="001C2E2B">
        <w:rPr>
          <w:lang w:eastAsia="fr-FR" w:bidi="fr-FR"/>
        </w:rPr>
        <w:t>u</w:t>
      </w:r>
      <w:r w:rsidRPr="001C2E2B">
        <w:rPr>
          <w:lang w:eastAsia="fr-FR" w:bidi="fr-FR"/>
        </w:rPr>
        <w:t>reaucraties (Brzezinski dans ses tentatives de contrer l’influence de Vance).</w:t>
      </w:r>
    </w:p>
    <w:p w14:paraId="225BE0A8" w14:textId="77777777" w:rsidR="0039793A" w:rsidRPr="001C2E2B" w:rsidRDefault="0039793A" w:rsidP="0039793A">
      <w:pPr>
        <w:spacing w:before="120" w:after="120"/>
        <w:jc w:val="both"/>
      </w:pPr>
      <w:r w:rsidRPr="001C2E2B">
        <w:rPr>
          <w:lang w:eastAsia="fr-FR" w:bidi="fr-FR"/>
        </w:rPr>
        <w:t>Le conseiller pour la Sécurité nationale outr</w:t>
      </w:r>
      <w:r w:rsidRPr="001C2E2B">
        <w:rPr>
          <w:lang w:eastAsia="fr-FR" w:bidi="fr-FR"/>
        </w:rPr>
        <w:t>e</w:t>
      </w:r>
      <w:r w:rsidRPr="001C2E2B">
        <w:rPr>
          <w:lang w:eastAsia="fr-FR" w:bidi="fr-FR"/>
        </w:rPr>
        <w:t>passe également ses fonctions lorsqu’il en vient à s’engager directement dans la mise en œuvre des décisions en coordonnant lui-même les actions bureaucrat</w:t>
      </w:r>
      <w:r w:rsidRPr="001C2E2B">
        <w:rPr>
          <w:lang w:eastAsia="fr-FR" w:bidi="fr-FR"/>
        </w:rPr>
        <w:t>i</w:t>
      </w:r>
      <w:r w:rsidRPr="001C2E2B">
        <w:rPr>
          <w:lang w:eastAsia="fr-FR" w:bidi="fr-FR"/>
        </w:rPr>
        <w:t>ques (Bundy et Rostow durant la guerre du Vietnam).</w:t>
      </w:r>
    </w:p>
    <w:p w14:paraId="39C65843" w14:textId="77777777" w:rsidR="0039793A" w:rsidRPr="001C2E2B" w:rsidRDefault="0039793A" w:rsidP="0039793A">
      <w:pPr>
        <w:spacing w:before="120" w:after="120"/>
        <w:jc w:val="both"/>
      </w:pPr>
      <w:r w:rsidRPr="001C2E2B">
        <w:rPr>
          <w:lang w:eastAsia="fr-FR" w:bidi="fr-FR"/>
        </w:rPr>
        <w:t>Enfin, il y a également dérive lorsque le conseiller pour la Sécurité nationale s’attribue personnellement la conduite exclusive des opér</w:t>
      </w:r>
      <w:r w:rsidRPr="001C2E2B">
        <w:rPr>
          <w:lang w:eastAsia="fr-FR" w:bidi="fr-FR"/>
        </w:rPr>
        <w:t>a</w:t>
      </w:r>
      <w:r w:rsidRPr="001C2E2B">
        <w:rPr>
          <w:lang w:eastAsia="fr-FR" w:bidi="fr-FR"/>
        </w:rPr>
        <w:t>tions de politique extérieure (ainsi les négociations secrètes de Kissi</w:t>
      </w:r>
      <w:r w:rsidRPr="001C2E2B">
        <w:rPr>
          <w:lang w:eastAsia="fr-FR" w:bidi="fr-FR"/>
        </w:rPr>
        <w:t>n</w:t>
      </w:r>
      <w:r w:rsidRPr="001C2E2B">
        <w:rPr>
          <w:lang w:eastAsia="fr-FR" w:bidi="fr-FR"/>
        </w:rPr>
        <w:t>ger avec la Chine ou au Moyen-Orient, et encore l’affaire Iran-Contra sous Re</w:t>
      </w:r>
      <w:r w:rsidRPr="001C2E2B">
        <w:rPr>
          <w:lang w:eastAsia="fr-FR" w:bidi="fr-FR"/>
        </w:rPr>
        <w:t>a</w:t>
      </w:r>
      <w:r w:rsidRPr="001C2E2B">
        <w:rPr>
          <w:lang w:eastAsia="fr-FR" w:bidi="fr-FR"/>
        </w:rPr>
        <w:t>gan).</w:t>
      </w:r>
    </w:p>
    <w:p w14:paraId="0934C3E8" w14:textId="77777777" w:rsidR="0039793A" w:rsidRPr="001C2E2B" w:rsidRDefault="0039793A" w:rsidP="0039793A">
      <w:pPr>
        <w:spacing w:before="120" w:after="120"/>
        <w:jc w:val="both"/>
      </w:pPr>
      <w:r w:rsidRPr="001C2E2B">
        <w:rPr>
          <w:lang w:eastAsia="fr-FR" w:bidi="fr-FR"/>
        </w:rPr>
        <w:t>L’existence de ces postures contradictoires a provoqué des pr</w:t>
      </w:r>
      <w:r w:rsidRPr="001C2E2B">
        <w:rPr>
          <w:lang w:eastAsia="fr-FR" w:bidi="fr-FR"/>
        </w:rPr>
        <w:t>o</w:t>
      </w:r>
      <w:r w:rsidRPr="001C2E2B">
        <w:rPr>
          <w:lang w:eastAsia="fr-FR" w:bidi="fr-FR"/>
        </w:rPr>
        <w:t>blèmes récurrents et sérieux dans la formulation de la politique étra</w:t>
      </w:r>
      <w:r w:rsidRPr="001C2E2B">
        <w:rPr>
          <w:lang w:eastAsia="fr-FR" w:bidi="fr-FR"/>
        </w:rPr>
        <w:t>n</w:t>
      </w:r>
      <w:r w:rsidRPr="001C2E2B">
        <w:rPr>
          <w:lang w:eastAsia="fr-FR" w:bidi="fr-FR"/>
        </w:rPr>
        <w:t>gère. À partir du moment où la neutralité du conseiller pour la Sécur</w:t>
      </w:r>
      <w:r w:rsidRPr="001C2E2B">
        <w:rPr>
          <w:lang w:eastAsia="fr-FR" w:bidi="fr-FR"/>
        </w:rPr>
        <w:t>i</w:t>
      </w:r>
      <w:r w:rsidRPr="001C2E2B">
        <w:rPr>
          <w:lang w:eastAsia="fr-FR" w:bidi="fr-FR"/>
        </w:rPr>
        <w:t xml:space="preserve">té nationale est mise en doute par les autres membres du </w:t>
      </w:r>
      <w:r w:rsidRPr="001C2E2B">
        <w:t xml:space="preserve">NSC </w:t>
      </w:r>
      <w:r w:rsidRPr="001C2E2B">
        <w:rPr>
          <w:lang w:eastAsia="fr-FR" w:bidi="fr-FR"/>
        </w:rPr>
        <w:t>et l’Administration dans son ensemble, les rivalités et la compétition o</w:t>
      </w:r>
      <w:r w:rsidRPr="001C2E2B">
        <w:rPr>
          <w:lang w:eastAsia="fr-FR" w:bidi="fr-FR"/>
        </w:rPr>
        <w:t>r</w:t>
      </w:r>
      <w:r w:rsidRPr="001C2E2B">
        <w:rPr>
          <w:lang w:eastAsia="fr-FR" w:bidi="fr-FR"/>
        </w:rPr>
        <w:t>ganisationnelle prennent de l’ampleur et finissent par nuire au proce</w:t>
      </w:r>
      <w:r w:rsidRPr="001C2E2B">
        <w:rPr>
          <w:lang w:eastAsia="fr-FR" w:bidi="fr-FR"/>
        </w:rPr>
        <w:t>s</w:t>
      </w:r>
      <w:r w:rsidRPr="001C2E2B">
        <w:rPr>
          <w:lang w:eastAsia="fr-FR" w:bidi="fr-FR"/>
        </w:rPr>
        <w:t>sus de prise de décision. Il en résulte très souvent une rupture du pr</w:t>
      </w:r>
      <w:r w:rsidRPr="001C2E2B">
        <w:rPr>
          <w:lang w:eastAsia="fr-FR" w:bidi="fr-FR"/>
        </w:rPr>
        <w:t>o</w:t>
      </w:r>
      <w:r w:rsidRPr="001C2E2B">
        <w:rPr>
          <w:lang w:eastAsia="fr-FR" w:bidi="fr-FR"/>
        </w:rPr>
        <w:t>cessus de form</w:t>
      </w:r>
      <w:r w:rsidRPr="001C2E2B">
        <w:rPr>
          <w:lang w:eastAsia="fr-FR" w:bidi="fr-FR"/>
        </w:rPr>
        <w:t>u</w:t>
      </w:r>
      <w:r w:rsidRPr="001C2E2B">
        <w:rPr>
          <w:lang w:eastAsia="fr-FR" w:bidi="fr-FR"/>
        </w:rPr>
        <w:t xml:space="preserve">lation des politiques, et des échecs spectaculaires pour la diplomatie des </w:t>
      </w:r>
      <w:r>
        <w:rPr>
          <w:lang w:eastAsia="fr-FR" w:bidi="fr-FR"/>
        </w:rPr>
        <w:t>État</w:t>
      </w:r>
      <w:r w:rsidRPr="001C2E2B">
        <w:rPr>
          <w:lang w:eastAsia="fr-FR" w:bidi="fr-FR"/>
        </w:rPr>
        <w:t>s-Unis dans le monde. Pour autant, le conseiller pour la Sécurité nationale et son administration (dont on notera au demeurant que ni l’un ni l’autre n’étaient initialement prévus</w:t>
      </w:r>
      <w:r>
        <w:t xml:space="preserve"> [229] </w:t>
      </w:r>
      <w:r w:rsidRPr="001C2E2B">
        <w:rPr>
          <w:lang w:eastAsia="fr-FR" w:bidi="fr-FR"/>
        </w:rPr>
        <w:t>par la loi créant le NSC) constituent aujourd’hui les piliers de la pol</w:t>
      </w:r>
      <w:r w:rsidRPr="001C2E2B">
        <w:rPr>
          <w:lang w:eastAsia="fr-FR" w:bidi="fr-FR"/>
        </w:rPr>
        <w:t>i</w:t>
      </w:r>
      <w:r w:rsidRPr="001C2E2B">
        <w:rPr>
          <w:lang w:eastAsia="fr-FR" w:bidi="fr-FR"/>
        </w:rPr>
        <w:t>tique étrangère am</w:t>
      </w:r>
      <w:r w:rsidRPr="001C2E2B">
        <w:rPr>
          <w:lang w:eastAsia="fr-FR" w:bidi="fr-FR"/>
        </w:rPr>
        <w:t>é</w:t>
      </w:r>
      <w:r w:rsidRPr="001C2E2B">
        <w:rPr>
          <w:lang w:eastAsia="fr-FR" w:bidi="fr-FR"/>
        </w:rPr>
        <w:t>ricaine.</w:t>
      </w:r>
    </w:p>
    <w:p w14:paraId="484C4C49" w14:textId="77777777" w:rsidR="0039793A" w:rsidRDefault="0039793A" w:rsidP="0039793A">
      <w:pPr>
        <w:spacing w:before="120" w:after="120"/>
        <w:jc w:val="both"/>
        <w:rPr>
          <w:lang w:eastAsia="fr-FR" w:bidi="fr-FR"/>
        </w:rPr>
      </w:pPr>
    </w:p>
    <w:p w14:paraId="32175E6B" w14:textId="77777777" w:rsidR="0039793A" w:rsidRPr="007602FA" w:rsidRDefault="0039793A" w:rsidP="0039793A">
      <w:pPr>
        <w:pStyle w:val="a"/>
      </w:pPr>
      <w:r w:rsidRPr="001C2E2B">
        <w:t xml:space="preserve">L’influence </w:t>
      </w:r>
      <w:r w:rsidRPr="007602FA">
        <w:t xml:space="preserve">de l’administration du </w:t>
      </w:r>
      <w:r w:rsidRPr="007602FA">
        <w:rPr>
          <w:bCs/>
        </w:rPr>
        <w:t>NSC</w:t>
      </w:r>
    </w:p>
    <w:p w14:paraId="458DF6CD" w14:textId="77777777" w:rsidR="0039793A" w:rsidRPr="007602FA" w:rsidRDefault="0039793A" w:rsidP="0039793A">
      <w:pPr>
        <w:spacing w:before="120" w:after="120"/>
        <w:jc w:val="both"/>
        <w:rPr>
          <w:lang w:eastAsia="fr-FR" w:bidi="fr-FR"/>
        </w:rPr>
      </w:pPr>
    </w:p>
    <w:p w14:paraId="7241FEB2" w14:textId="77777777" w:rsidR="0039793A" w:rsidRPr="007602FA" w:rsidRDefault="0039793A" w:rsidP="0039793A">
      <w:pPr>
        <w:spacing w:before="120" w:after="120"/>
        <w:jc w:val="both"/>
        <w:rPr>
          <w:lang w:eastAsia="fr-FR" w:bidi="fr-FR"/>
        </w:rPr>
      </w:pPr>
      <w:r w:rsidRPr="007602FA">
        <w:rPr>
          <w:lang w:eastAsia="fr-FR" w:bidi="fr-FR"/>
        </w:rPr>
        <w:t xml:space="preserve">Bien que le </w:t>
      </w:r>
      <w:r w:rsidRPr="0033405B">
        <w:rPr>
          <w:i/>
          <w:iCs/>
          <w:lang w:eastAsia="fr-FR" w:bidi="fr-FR"/>
        </w:rPr>
        <w:t>National Security Act</w:t>
      </w:r>
      <w:r w:rsidRPr="007602FA">
        <w:rPr>
          <w:lang w:eastAsia="fr-FR" w:bidi="fr-FR"/>
        </w:rPr>
        <w:t xml:space="preserve"> de 1947 r</w:t>
      </w:r>
      <w:r w:rsidRPr="007602FA">
        <w:rPr>
          <w:lang w:eastAsia="fr-FR" w:bidi="fr-FR"/>
        </w:rPr>
        <w:t>e</w:t>
      </w:r>
      <w:r w:rsidRPr="007602FA">
        <w:rPr>
          <w:lang w:eastAsia="fr-FR" w:bidi="fr-FR"/>
        </w:rPr>
        <w:t xml:space="preserve">connaisse l’existence d’une petite organisation pour épauler le travail du secrétaire exécutif du </w:t>
      </w:r>
      <w:r w:rsidRPr="007602FA">
        <w:rPr>
          <w:bCs/>
        </w:rPr>
        <w:t xml:space="preserve">NSC, </w:t>
      </w:r>
      <w:r w:rsidRPr="007602FA">
        <w:rPr>
          <w:lang w:eastAsia="fr-FR" w:bidi="fr-FR"/>
        </w:rPr>
        <w:t>il aurait été difficile d’en prédire l’expansion et l’influence.</w:t>
      </w:r>
    </w:p>
    <w:p w14:paraId="68D4E5E7" w14:textId="77777777" w:rsidR="0039793A" w:rsidRDefault="0039793A" w:rsidP="0039793A">
      <w:pPr>
        <w:spacing w:before="120" w:after="120"/>
        <w:jc w:val="both"/>
        <w:rPr>
          <w:lang w:eastAsia="fr-FR" w:bidi="fr-FR"/>
        </w:rPr>
      </w:pPr>
    </w:p>
    <w:p w14:paraId="4A84B6D8" w14:textId="77777777" w:rsidR="0039793A" w:rsidRPr="0033405B" w:rsidRDefault="0039793A" w:rsidP="0039793A">
      <w:pPr>
        <w:pStyle w:val="b"/>
        <w:rPr>
          <w:lang w:eastAsia="fr-FR" w:bidi="fr-FR"/>
        </w:rPr>
      </w:pPr>
      <w:r w:rsidRPr="0033405B">
        <w:rPr>
          <w:lang w:eastAsia="fr-FR" w:bidi="fr-FR"/>
        </w:rPr>
        <w:t>La croissance de l’administration du NSC</w:t>
      </w:r>
    </w:p>
    <w:p w14:paraId="606753D5" w14:textId="77777777" w:rsidR="0039793A" w:rsidRDefault="0039793A" w:rsidP="0039793A">
      <w:pPr>
        <w:spacing w:before="120" w:after="120"/>
        <w:jc w:val="both"/>
        <w:rPr>
          <w:lang w:eastAsia="fr-FR" w:bidi="fr-FR"/>
        </w:rPr>
      </w:pPr>
    </w:p>
    <w:p w14:paraId="77080AA3" w14:textId="77777777" w:rsidR="0039793A" w:rsidRPr="001C2E2B" w:rsidRDefault="0039793A" w:rsidP="0039793A">
      <w:pPr>
        <w:spacing w:before="120" w:after="120"/>
        <w:jc w:val="both"/>
      </w:pPr>
      <w:r w:rsidRPr="007602FA">
        <w:rPr>
          <w:lang w:eastAsia="fr-FR" w:bidi="fr-FR"/>
        </w:rPr>
        <w:t xml:space="preserve">Graduellement, sous Kennedy, l’organisation du </w:t>
      </w:r>
      <w:r w:rsidRPr="007602FA">
        <w:rPr>
          <w:bCs/>
        </w:rPr>
        <w:t xml:space="preserve">NSC </w:t>
      </w:r>
      <w:r w:rsidRPr="007602FA">
        <w:rPr>
          <w:lang w:eastAsia="fr-FR" w:bidi="fr-FR"/>
        </w:rPr>
        <w:t>va prendre de l’importance</w:t>
      </w:r>
      <w:r>
        <w:rPr>
          <w:lang w:eastAsia="fr-FR" w:bidi="fr-FR"/>
        </w:rPr>
        <w:t> </w:t>
      </w:r>
      <w:r>
        <w:rPr>
          <w:rStyle w:val="Appelnotedebasdep"/>
          <w:lang w:eastAsia="fr-FR" w:bidi="fr-FR"/>
        </w:rPr>
        <w:footnoteReference w:id="481"/>
      </w:r>
      <w:r w:rsidRPr="007602FA">
        <w:rPr>
          <w:lang w:eastAsia="fr-FR" w:bidi="fr-FR"/>
        </w:rPr>
        <w:t>. D’une dizaine de professionnels permanents au début des années I960, le nombre d’employés augmente à une ci</w:t>
      </w:r>
      <w:r w:rsidRPr="007602FA">
        <w:rPr>
          <w:lang w:eastAsia="fr-FR" w:bidi="fr-FR"/>
        </w:rPr>
        <w:t>n</w:t>
      </w:r>
      <w:r w:rsidRPr="007602FA">
        <w:rPr>
          <w:lang w:eastAsia="fr-FR" w:bidi="fr-FR"/>
        </w:rPr>
        <w:t>quantaine dans les années 1970 et à une centaine à la fin des années 1990. La nomination de ses membres, à l’instar de leur directeur (le conseiller pour la Sécurité nationale), n’est pas soumise à confirm</w:t>
      </w:r>
      <w:r w:rsidRPr="007602FA">
        <w:rPr>
          <w:lang w:eastAsia="fr-FR" w:bidi="fr-FR"/>
        </w:rPr>
        <w:t>a</w:t>
      </w:r>
      <w:r w:rsidRPr="007602FA">
        <w:rPr>
          <w:lang w:eastAsia="fr-FR" w:bidi="fr-FR"/>
        </w:rPr>
        <w:t>tion sén</w:t>
      </w:r>
      <w:r w:rsidRPr="007602FA">
        <w:rPr>
          <w:lang w:eastAsia="fr-FR" w:bidi="fr-FR"/>
        </w:rPr>
        <w:t>a</w:t>
      </w:r>
      <w:r w:rsidRPr="007602FA">
        <w:rPr>
          <w:lang w:eastAsia="fr-FR" w:bidi="fr-FR"/>
        </w:rPr>
        <w:t xml:space="preserve">toriale. L’administration du </w:t>
      </w:r>
      <w:r w:rsidRPr="007602FA">
        <w:rPr>
          <w:bCs/>
        </w:rPr>
        <w:t xml:space="preserve">NSC </w:t>
      </w:r>
      <w:r w:rsidRPr="007602FA">
        <w:rPr>
          <w:lang w:eastAsia="fr-FR" w:bidi="fr-FR"/>
        </w:rPr>
        <w:t>prend véritablement toute son i</w:t>
      </w:r>
      <w:r w:rsidRPr="007602FA">
        <w:rPr>
          <w:lang w:eastAsia="fr-FR" w:bidi="fr-FR"/>
        </w:rPr>
        <w:t>m</w:t>
      </w:r>
      <w:r w:rsidRPr="007602FA">
        <w:rPr>
          <w:lang w:eastAsia="fr-FR" w:bidi="fr-FR"/>
        </w:rPr>
        <w:t>portance sous Bundy, en 1961, alors que Kennedy encourage la mise sur pied d’un « petit Département d’État » à la Maison-Blanche</w:t>
      </w:r>
      <w:r>
        <w:rPr>
          <w:lang w:eastAsia="fr-FR" w:bidi="fr-FR"/>
        </w:rPr>
        <w:t> </w:t>
      </w:r>
      <w:r>
        <w:rPr>
          <w:rStyle w:val="Appelnotedebasdep"/>
          <w:lang w:eastAsia="fr-FR" w:bidi="fr-FR"/>
        </w:rPr>
        <w:footnoteReference w:id="482"/>
      </w:r>
      <w:r w:rsidRPr="007602FA">
        <w:rPr>
          <w:lang w:eastAsia="fr-FR" w:bidi="fr-FR"/>
        </w:rPr>
        <w:t>. Cette transformation institutionnelle est l’une des plus i</w:t>
      </w:r>
      <w:r w:rsidRPr="007602FA">
        <w:rPr>
          <w:lang w:eastAsia="fr-FR" w:bidi="fr-FR"/>
        </w:rPr>
        <w:t>m</w:t>
      </w:r>
      <w:r w:rsidRPr="007602FA">
        <w:rPr>
          <w:lang w:eastAsia="fr-FR" w:bidi="fr-FR"/>
        </w:rPr>
        <w:t xml:space="preserve">portantes de l’histoire de la politique étrangère des États-Unis. Au lieu de </w:t>
      </w:r>
      <w:r w:rsidRPr="000815B9">
        <w:rPr>
          <w:i/>
          <w:iCs/>
          <w:lang w:eastAsia="fr-FR" w:bidi="fr-FR"/>
        </w:rPr>
        <w:t>contraindre</w:t>
      </w:r>
      <w:r w:rsidRPr="007602FA">
        <w:rPr>
          <w:lang w:eastAsia="fr-FR" w:bidi="fr-FR"/>
        </w:rPr>
        <w:t xml:space="preserve"> le président, l’administration du </w:t>
      </w:r>
      <w:r w:rsidRPr="007602FA">
        <w:rPr>
          <w:bCs/>
        </w:rPr>
        <w:t xml:space="preserve">NSC </w:t>
      </w:r>
      <w:r w:rsidRPr="007602FA">
        <w:rPr>
          <w:lang w:eastAsia="fr-FR" w:bidi="fr-FR"/>
        </w:rPr>
        <w:t xml:space="preserve">lui permet plutôt </w:t>
      </w:r>
      <w:r w:rsidRPr="000815B9">
        <w:rPr>
          <w:i/>
          <w:iCs/>
          <w:lang w:eastAsia="fr-FR" w:bidi="fr-FR"/>
        </w:rPr>
        <w:t>d’étendre</w:t>
      </w:r>
      <w:r w:rsidRPr="007602FA">
        <w:rPr>
          <w:lang w:eastAsia="fr-FR" w:bidi="fr-FR"/>
        </w:rPr>
        <w:t xml:space="preserve"> son autorité sur l’élaboration de la politique extérie</w:t>
      </w:r>
      <w:r w:rsidRPr="007602FA">
        <w:rPr>
          <w:lang w:eastAsia="fr-FR" w:bidi="fr-FR"/>
        </w:rPr>
        <w:t>u</w:t>
      </w:r>
      <w:r w:rsidRPr="007602FA">
        <w:rPr>
          <w:lang w:eastAsia="fr-FR" w:bidi="fr-FR"/>
        </w:rPr>
        <w:t xml:space="preserve">re. Les conseillers du </w:t>
      </w:r>
      <w:r w:rsidRPr="007602FA">
        <w:rPr>
          <w:bCs/>
        </w:rPr>
        <w:t xml:space="preserve">NSC, </w:t>
      </w:r>
      <w:r w:rsidRPr="007602FA">
        <w:rPr>
          <w:lang w:eastAsia="fr-FR" w:bidi="fr-FR"/>
        </w:rPr>
        <w:t>issus de la bureaucratie et du monde un</w:t>
      </w:r>
      <w:r w:rsidRPr="007602FA">
        <w:rPr>
          <w:lang w:eastAsia="fr-FR" w:bidi="fr-FR"/>
        </w:rPr>
        <w:t>i</w:t>
      </w:r>
      <w:r w:rsidRPr="007602FA">
        <w:rPr>
          <w:lang w:eastAsia="fr-FR" w:bidi="fr-FR"/>
        </w:rPr>
        <w:t>versitaire, en vie</w:t>
      </w:r>
      <w:r w:rsidRPr="007602FA">
        <w:rPr>
          <w:lang w:eastAsia="fr-FR" w:bidi="fr-FR"/>
        </w:rPr>
        <w:t>n</w:t>
      </w:r>
      <w:r w:rsidRPr="007602FA">
        <w:rPr>
          <w:lang w:eastAsia="fr-FR" w:bidi="fr-FR"/>
        </w:rPr>
        <w:t>nent progressivement à maîtriser la planification et la mise en œuvre de la politique de Kennedy puis de Johnson. « Les meilleurs et les plus intelligents », comme les a surnommés David Halber</w:t>
      </w:r>
      <w:r w:rsidRPr="007602FA">
        <w:rPr>
          <w:lang w:eastAsia="fr-FR" w:bidi="fr-FR"/>
        </w:rPr>
        <w:t>s</w:t>
      </w:r>
      <w:r w:rsidRPr="007602FA">
        <w:rPr>
          <w:lang w:eastAsia="fr-FR" w:bidi="fr-FR"/>
        </w:rPr>
        <w:t>tam</w:t>
      </w:r>
      <w:r>
        <w:rPr>
          <w:lang w:eastAsia="fr-FR" w:bidi="fr-FR"/>
        </w:rPr>
        <w:t> </w:t>
      </w:r>
      <w:r>
        <w:rPr>
          <w:rStyle w:val="Appelnotedebasdep"/>
          <w:lang w:eastAsia="fr-FR" w:bidi="fr-FR"/>
        </w:rPr>
        <w:footnoteReference w:id="483"/>
      </w:r>
      <w:r w:rsidRPr="007602FA">
        <w:rPr>
          <w:lang w:eastAsia="fr-FR" w:bidi="fr-FR"/>
        </w:rPr>
        <w:t xml:space="preserve">, sont en contact direct avec le chef de la Maison-Blanche et s’occupent chacun d’un enjeu fonctionnel ou géographique particulier. Une telle influence de l’administration du </w:t>
      </w:r>
      <w:r w:rsidRPr="007602FA">
        <w:rPr>
          <w:bCs/>
        </w:rPr>
        <w:t xml:space="preserve">NSC </w:t>
      </w:r>
      <w:r w:rsidRPr="007602FA">
        <w:rPr>
          <w:lang w:eastAsia="fr-FR" w:bidi="fr-FR"/>
        </w:rPr>
        <w:t>aurait été impensable sous Tr</w:t>
      </w:r>
      <w:r w:rsidRPr="007602FA">
        <w:rPr>
          <w:lang w:eastAsia="fr-FR" w:bidi="fr-FR"/>
        </w:rPr>
        <w:t>u</w:t>
      </w:r>
      <w:r w:rsidRPr="007602FA">
        <w:rPr>
          <w:lang w:eastAsia="fr-FR" w:bidi="fr-FR"/>
        </w:rPr>
        <w:t>man ou Eisenhower. Elle va pourtant marquer l’histoire</w:t>
      </w:r>
      <w:r w:rsidRPr="001C2E2B">
        <w:rPr>
          <w:lang w:eastAsia="fr-FR" w:bidi="fr-FR"/>
        </w:rPr>
        <w:t xml:space="preserve"> des préside</w:t>
      </w:r>
      <w:r w:rsidRPr="001C2E2B">
        <w:rPr>
          <w:lang w:eastAsia="fr-FR" w:bidi="fr-FR"/>
        </w:rPr>
        <w:t>n</w:t>
      </w:r>
      <w:r w:rsidRPr="001C2E2B">
        <w:rPr>
          <w:lang w:eastAsia="fr-FR" w:bidi="fr-FR"/>
        </w:rPr>
        <w:t>ces qui vont suivre.</w:t>
      </w:r>
    </w:p>
    <w:p w14:paraId="0A8CFD83" w14:textId="77777777" w:rsidR="0039793A" w:rsidRDefault="0039793A" w:rsidP="0039793A">
      <w:pPr>
        <w:spacing w:before="120" w:after="120"/>
        <w:jc w:val="both"/>
      </w:pPr>
      <w:r>
        <w:br w:type="page"/>
        <w:t>[230]</w:t>
      </w:r>
    </w:p>
    <w:p w14:paraId="5DE64C73" w14:textId="77777777" w:rsidR="0039793A" w:rsidRPr="001C2E2B" w:rsidRDefault="0039793A" w:rsidP="0039793A">
      <w:pPr>
        <w:spacing w:before="120" w:after="120"/>
        <w:jc w:val="both"/>
      </w:pPr>
    </w:p>
    <w:p w14:paraId="670FCB04" w14:textId="77777777" w:rsidR="0039793A" w:rsidRPr="00E076DA" w:rsidRDefault="0039793A" w:rsidP="0039793A">
      <w:pPr>
        <w:pStyle w:val="b"/>
      </w:pPr>
      <w:r w:rsidRPr="00E076DA">
        <w:rPr>
          <w:lang w:eastAsia="fr-FR" w:bidi="fr-FR"/>
        </w:rPr>
        <w:t xml:space="preserve">Les fonctions de l'administration du </w:t>
      </w:r>
      <w:r w:rsidRPr="00E076DA">
        <w:t>NSC</w:t>
      </w:r>
    </w:p>
    <w:p w14:paraId="63EC403A" w14:textId="77777777" w:rsidR="0039793A" w:rsidRDefault="0039793A" w:rsidP="0039793A">
      <w:pPr>
        <w:spacing w:before="120" w:after="120"/>
        <w:jc w:val="both"/>
        <w:rPr>
          <w:lang w:eastAsia="fr-FR" w:bidi="fr-FR"/>
        </w:rPr>
      </w:pPr>
    </w:p>
    <w:p w14:paraId="7968E0DC" w14:textId="77777777" w:rsidR="0039793A" w:rsidRPr="007602FA" w:rsidRDefault="0039793A" w:rsidP="0039793A">
      <w:pPr>
        <w:spacing w:before="120" w:after="120"/>
        <w:jc w:val="both"/>
        <w:rPr>
          <w:lang w:eastAsia="fr-FR" w:bidi="fr-FR"/>
        </w:rPr>
      </w:pPr>
      <w:r w:rsidRPr="001C2E2B">
        <w:rPr>
          <w:lang w:eastAsia="fr-FR" w:bidi="fr-FR"/>
        </w:rPr>
        <w:t>L’administration du conseiller pour la Sécurité nationale va dev</w:t>
      </w:r>
      <w:r w:rsidRPr="001C2E2B">
        <w:rPr>
          <w:lang w:eastAsia="fr-FR" w:bidi="fr-FR"/>
        </w:rPr>
        <w:t>e</w:t>
      </w:r>
      <w:r w:rsidRPr="001C2E2B">
        <w:rPr>
          <w:lang w:eastAsia="fr-FR" w:bidi="fr-FR"/>
        </w:rPr>
        <w:t xml:space="preserve">nir un centre intellectuel et une véritable agence de coordination de la politique étrangère — les yeux et les oreilles du </w:t>
      </w:r>
      <w:r w:rsidRPr="007602FA">
        <w:rPr>
          <w:lang w:eastAsia="fr-FR" w:bidi="fr-FR"/>
        </w:rPr>
        <w:t>président dans la ge</w:t>
      </w:r>
      <w:r w:rsidRPr="007602FA">
        <w:rPr>
          <w:lang w:eastAsia="fr-FR" w:bidi="fr-FR"/>
        </w:rPr>
        <w:t>s</w:t>
      </w:r>
      <w:r w:rsidRPr="007602FA">
        <w:rPr>
          <w:lang w:eastAsia="fr-FR" w:bidi="fr-FR"/>
        </w:rPr>
        <w:t>tion des comités et des politiques du gouvernement. Sous la d</w:t>
      </w:r>
      <w:r w:rsidRPr="007602FA">
        <w:rPr>
          <w:lang w:eastAsia="fr-FR" w:bidi="fr-FR"/>
        </w:rPr>
        <w:t>i</w:t>
      </w:r>
      <w:r w:rsidRPr="007602FA">
        <w:rPr>
          <w:lang w:eastAsia="fr-FR" w:bidi="fr-FR"/>
        </w:rPr>
        <w:t xml:space="preserve">rection du conseiller pour la Sécurité nationale, l’administration du </w:t>
      </w:r>
      <w:r w:rsidRPr="007602FA">
        <w:rPr>
          <w:bCs/>
        </w:rPr>
        <w:t xml:space="preserve">NSC </w:t>
      </w:r>
      <w:r w:rsidRPr="007602FA">
        <w:rPr>
          <w:lang w:eastAsia="fr-FR" w:bidi="fr-FR"/>
        </w:rPr>
        <w:t>a six fonctions principales</w:t>
      </w:r>
      <w:r>
        <w:rPr>
          <w:lang w:eastAsia="fr-FR" w:bidi="fr-FR"/>
        </w:rPr>
        <w:t> </w:t>
      </w:r>
      <w:r>
        <w:rPr>
          <w:rStyle w:val="Appelnotedebasdep"/>
          <w:lang w:eastAsia="fr-FR" w:bidi="fr-FR"/>
        </w:rPr>
        <w:footnoteReference w:id="484"/>
      </w:r>
      <w:r w:rsidRPr="007602FA">
        <w:rPr>
          <w:lang w:eastAsia="fr-FR" w:bidi="fr-FR"/>
        </w:rPr>
        <w:t> :</w:t>
      </w:r>
    </w:p>
    <w:p w14:paraId="4787586C" w14:textId="77777777" w:rsidR="0039793A" w:rsidRPr="007602FA" w:rsidRDefault="0039793A" w:rsidP="0039793A">
      <w:pPr>
        <w:spacing w:before="120" w:after="120"/>
        <w:jc w:val="both"/>
        <w:rPr>
          <w:lang w:eastAsia="fr-FR" w:bidi="fr-FR"/>
        </w:rPr>
      </w:pPr>
      <w:r w:rsidRPr="001C2E2B">
        <w:rPr>
          <w:lang w:eastAsia="fr-FR" w:bidi="fr-FR"/>
        </w:rPr>
        <w:t xml:space="preserve">— </w:t>
      </w:r>
      <w:r w:rsidRPr="007602FA">
        <w:rPr>
          <w:lang w:eastAsia="fr-FR" w:bidi="fr-FR"/>
        </w:rPr>
        <w:t>Elle coordonne les politiques dans leur préparation et les supe</w:t>
      </w:r>
      <w:r w:rsidRPr="007602FA">
        <w:rPr>
          <w:lang w:eastAsia="fr-FR" w:bidi="fr-FR"/>
        </w:rPr>
        <w:t>r</w:t>
      </w:r>
      <w:r w:rsidRPr="007602FA">
        <w:rPr>
          <w:lang w:eastAsia="fr-FR" w:bidi="fr-FR"/>
        </w:rPr>
        <w:t>vise dans leur mise en œuvre. Dans le domaine de la planification, elle pilote les analyses globales d’un problème par les bureaucr</w:t>
      </w:r>
      <w:r w:rsidRPr="007602FA">
        <w:rPr>
          <w:lang w:eastAsia="fr-FR" w:bidi="fr-FR"/>
        </w:rPr>
        <w:t>a</w:t>
      </w:r>
      <w:r w:rsidRPr="007602FA">
        <w:rPr>
          <w:lang w:eastAsia="fr-FR" w:bidi="fr-FR"/>
        </w:rPr>
        <w:t>ties, en structurant l’information, en établissant la nature des enjeux et en soumettant des rapports interdépartementaux qui évaluent les coûts et les avantages des options suggérées.</w:t>
      </w:r>
    </w:p>
    <w:p w14:paraId="2E5814DB" w14:textId="77777777" w:rsidR="0039793A" w:rsidRPr="007602FA" w:rsidRDefault="0039793A" w:rsidP="0039793A">
      <w:pPr>
        <w:spacing w:before="120" w:after="120"/>
        <w:jc w:val="both"/>
        <w:rPr>
          <w:lang w:eastAsia="fr-FR" w:bidi="fr-FR"/>
        </w:rPr>
      </w:pPr>
      <w:r w:rsidRPr="001C2E2B">
        <w:rPr>
          <w:lang w:eastAsia="fr-FR" w:bidi="fr-FR"/>
        </w:rPr>
        <w:t xml:space="preserve">— </w:t>
      </w:r>
      <w:r w:rsidRPr="007602FA">
        <w:rPr>
          <w:lang w:eastAsia="fr-FR" w:bidi="fr-FR"/>
        </w:rPr>
        <w:t>Elle stimule la révision des politiques et adapte les programmes de sécurité. Le personnel examine tous les aspects liés à l’élaboration d’une politique de sécurité nationale, et quelquefois influence les d</w:t>
      </w:r>
      <w:r w:rsidRPr="007602FA">
        <w:rPr>
          <w:lang w:eastAsia="fr-FR" w:bidi="fr-FR"/>
        </w:rPr>
        <w:t>é</w:t>
      </w:r>
      <w:r w:rsidRPr="007602FA">
        <w:rPr>
          <w:lang w:eastAsia="fr-FR" w:bidi="fr-FR"/>
        </w:rPr>
        <w:t>cisions budgétaires sur la Défense ou les Affa</w:t>
      </w:r>
      <w:r w:rsidRPr="007602FA">
        <w:rPr>
          <w:lang w:eastAsia="fr-FR" w:bidi="fr-FR"/>
        </w:rPr>
        <w:t>i</w:t>
      </w:r>
      <w:r w:rsidRPr="007602FA">
        <w:rPr>
          <w:lang w:eastAsia="fr-FR" w:bidi="fr-FR"/>
        </w:rPr>
        <w:t>res étrangères. Il joue ainsi un rôle de sentinelle, en analysant les tendances futures de la d</w:t>
      </w:r>
      <w:r w:rsidRPr="007602FA">
        <w:rPr>
          <w:lang w:eastAsia="fr-FR" w:bidi="fr-FR"/>
        </w:rPr>
        <w:t>é</w:t>
      </w:r>
      <w:r w:rsidRPr="007602FA">
        <w:rPr>
          <w:lang w:eastAsia="fr-FR" w:bidi="fr-FR"/>
        </w:rPr>
        <w:t>fense des États-Unis et en évaluant leurs conséquences pour la polit</w:t>
      </w:r>
      <w:r w:rsidRPr="007602FA">
        <w:rPr>
          <w:lang w:eastAsia="fr-FR" w:bidi="fr-FR"/>
        </w:rPr>
        <w:t>i</w:t>
      </w:r>
      <w:r w:rsidRPr="007602FA">
        <w:rPr>
          <w:lang w:eastAsia="fr-FR" w:bidi="fr-FR"/>
        </w:rPr>
        <w:t>que étrangère américaine.</w:t>
      </w:r>
    </w:p>
    <w:p w14:paraId="0424E570" w14:textId="77777777" w:rsidR="0039793A" w:rsidRPr="001C2E2B" w:rsidRDefault="0039793A" w:rsidP="0039793A">
      <w:pPr>
        <w:spacing w:before="120" w:after="120"/>
        <w:jc w:val="both"/>
      </w:pPr>
      <w:r w:rsidRPr="001C2E2B">
        <w:rPr>
          <w:lang w:eastAsia="fr-FR" w:bidi="fr-FR"/>
        </w:rPr>
        <w:t xml:space="preserve">— </w:t>
      </w:r>
      <w:r w:rsidRPr="007602FA">
        <w:rPr>
          <w:lang w:eastAsia="fr-FR" w:bidi="fr-FR"/>
        </w:rPr>
        <w:t xml:space="preserve">Elle a un rôle de conseil. L’administration du </w:t>
      </w:r>
      <w:r w:rsidRPr="007602FA">
        <w:rPr>
          <w:bCs/>
        </w:rPr>
        <w:t xml:space="preserve">NSC </w:t>
      </w:r>
      <w:r w:rsidRPr="007602FA">
        <w:rPr>
          <w:lang w:eastAsia="fr-FR" w:bidi="fr-FR"/>
        </w:rPr>
        <w:t>et les com</w:t>
      </w:r>
      <w:r w:rsidRPr="007602FA">
        <w:rPr>
          <w:lang w:eastAsia="fr-FR" w:bidi="fr-FR"/>
        </w:rPr>
        <w:t>i</w:t>
      </w:r>
      <w:r w:rsidRPr="007602FA">
        <w:rPr>
          <w:lang w:eastAsia="fr-FR" w:bidi="fr-FR"/>
        </w:rPr>
        <w:t>tés interdépartementaux préparent des rapports transversaux, perme</w:t>
      </w:r>
      <w:r w:rsidRPr="007602FA">
        <w:rPr>
          <w:lang w:eastAsia="fr-FR" w:bidi="fr-FR"/>
        </w:rPr>
        <w:t>t</w:t>
      </w:r>
      <w:r w:rsidRPr="007602FA">
        <w:rPr>
          <w:lang w:eastAsia="fr-FR" w:bidi="fr-FR"/>
        </w:rPr>
        <w:t xml:space="preserve">tant au président et au forum de choisir parmi une série d’options et de recommandations. L’organisation du </w:t>
      </w:r>
      <w:r w:rsidRPr="007602FA">
        <w:rPr>
          <w:bCs/>
        </w:rPr>
        <w:t xml:space="preserve">NSC </w:t>
      </w:r>
      <w:r w:rsidRPr="007602FA">
        <w:rPr>
          <w:lang w:eastAsia="fr-FR" w:bidi="fr-FR"/>
        </w:rPr>
        <w:t>fo</w:t>
      </w:r>
      <w:r w:rsidRPr="007602FA">
        <w:rPr>
          <w:lang w:eastAsia="fr-FR" w:bidi="fr-FR"/>
        </w:rPr>
        <w:t>r</w:t>
      </w:r>
      <w:r w:rsidRPr="007602FA">
        <w:rPr>
          <w:lang w:eastAsia="fr-FR" w:bidi="fr-FR"/>
        </w:rPr>
        <w:t>mule par conséquent les</w:t>
      </w:r>
      <w:r w:rsidRPr="001C2E2B">
        <w:rPr>
          <w:lang w:eastAsia="fr-FR" w:bidi="fr-FR"/>
        </w:rPr>
        <w:t xml:space="preserve"> orientations possibles de politiques, avant que le Conseil (ou tout a</w:t>
      </w:r>
      <w:r w:rsidRPr="001C2E2B">
        <w:rPr>
          <w:lang w:eastAsia="fr-FR" w:bidi="fr-FR"/>
        </w:rPr>
        <w:t>u</w:t>
      </w:r>
      <w:r w:rsidRPr="001C2E2B">
        <w:rPr>
          <w:lang w:eastAsia="fr-FR" w:bidi="fr-FR"/>
        </w:rPr>
        <w:t>tre forum) ne présente au président des propos</w:t>
      </w:r>
      <w:r w:rsidRPr="001C2E2B">
        <w:rPr>
          <w:lang w:eastAsia="fr-FR" w:bidi="fr-FR"/>
        </w:rPr>
        <w:t>i</w:t>
      </w:r>
      <w:r w:rsidRPr="001C2E2B">
        <w:rPr>
          <w:lang w:eastAsia="fr-FR" w:bidi="fr-FR"/>
        </w:rPr>
        <w:t>tions précises.</w:t>
      </w:r>
    </w:p>
    <w:p w14:paraId="16829EEE" w14:textId="77777777" w:rsidR="0039793A" w:rsidRPr="001C2E2B" w:rsidRDefault="0039793A" w:rsidP="0039793A">
      <w:pPr>
        <w:spacing w:before="120" w:after="120"/>
        <w:jc w:val="both"/>
      </w:pPr>
      <w:r w:rsidRPr="001C2E2B">
        <w:rPr>
          <w:lang w:eastAsia="fr-FR" w:bidi="fr-FR"/>
        </w:rPr>
        <w:t>— Elle agrège les approches bureaucratiques pour les formater dans une perspective présidentielle. Ceci permet une coordination e</w:t>
      </w:r>
      <w:r w:rsidRPr="001C2E2B">
        <w:rPr>
          <w:lang w:eastAsia="fr-FR" w:bidi="fr-FR"/>
        </w:rPr>
        <w:t>f</w:t>
      </w:r>
      <w:r w:rsidRPr="001C2E2B">
        <w:rPr>
          <w:lang w:eastAsia="fr-FR" w:bidi="fr-FR"/>
        </w:rPr>
        <w:t>ficace des politiques de sécurité. En ce sens, l’administration doit pr</w:t>
      </w:r>
      <w:r w:rsidRPr="001C2E2B">
        <w:rPr>
          <w:lang w:eastAsia="fr-FR" w:bidi="fr-FR"/>
        </w:rPr>
        <w:t>é</w:t>
      </w:r>
      <w:r w:rsidRPr="001C2E2B">
        <w:rPr>
          <w:lang w:eastAsia="fr-FR" w:bidi="fr-FR"/>
        </w:rPr>
        <w:t>senter honnêtement et rigoureusement tous les points de vue émanant des organisations gouvernementales, même ceux avec lesquels le pe</w:t>
      </w:r>
      <w:r w:rsidRPr="001C2E2B">
        <w:rPr>
          <w:lang w:eastAsia="fr-FR" w:bidi="fr-FR"/>
        </w:rPr>
        <w:t>r</w:t>
      </w:r>
      <w:r w:rsidRPr="001C2E2B">
        <w:rPr>
          <w:lang w:eastAsia="fr-FR" w:bidi="fr-FR"/>
        </w:rPr>
        <w:t>sonnel serait en total désaccord.</w:t>
      </w:r>
      <w:r>
        <w:rPr>
          <w:lang w:eastAsia="fr-FR" w:bidi="fr-FR"/>
        </w:rPr>
        <w:t xml:space="preserve"> </w:t>
      </w:r>
      <w:r>
        <w:t xml:space="preserve">[231] </w:t>
      </w:r>
      <w:r w:rsidRPr="001C2E2B">
        <w:rPr>
          <w:lang w:eastAsia="fr-FR" w:bidi="fr-FR"/>
        </w:rPr>
        <w:t>S’agissant des enjeux qui r</w:t>
      </w:r>
      <w:r w:rsidRPr="001C2E2B">
        <w:rPr>
          <w:lang w:eastAsia="fr-FR" w:bidi="fr-FR"/>
        </w:rPr>
        <w:t>e</w:t>
      </w:r>
      <w:r w:rsidRPr="001C2E2B">
        <w:rPr>
          <w:lang w:eastAsia="fr-FR" w:bidi="fr-FR"/>
        </w:rPr>
        <w:t>coupent plusieurs compétences à la fois (défense et contrôle des a</w:t>
      </w:r>
      <w:r w:rsidRPr="001C2E2B">
        <w:rPr>
          <w:lang w:eastAsia="fr-FR" w:bidi="fr-FR"/>
        </w:rPr>
        <w:t>r</w:t>
      </w:r>
      <w:r w:rsidRPr="001C2E2B">
        <w:rPr>
          <w:lang w:eastAsia="fr-FR" w:bidi="fr-FR"/>
        </w:rPr>
        <w:t>mes, ressources énergétiques et dipl</w:t>
      </w:r>
      <w:r w:rsidRPr="001C2E2B">
        <w:rPr>
          <w:lang w:eastAsia="fr-FR" w:bidi="fr-FR"/>
        </w:rPr>
        <w:t>o</w:t>
      </w:r>
      <w:r w:rsidRPr="001C2E2B">
        <w:rPr>
          <w:lang w:eastAsia="fr-FR" w:bidi="fr-FR"/>
        </w:rPr>
        <w:t>matie, budgets et programmes militaires), le personnel assure la cohérence de la formulation des o</w:t>
      </w:r>
      <w:r w:rsidRPr="001C2E2B">
        <w:rPr>
          <w:lang w:eastAsia="fr-FR" w:bidi="fr-FR"/>
        </w:rPr>
        <w:t>p</w:t>
      </w:r>
      <w:r w:rsidRPr="001C2E2B">
        <w:rPr>
          <w:lang w:eastAsia="fr-FR" w:bidi="fr-FR"/>
        </w:rPr>
        <w:t>tions. Aussi cela impose-t-il qu’au-delà de son travail de courtier b</w:t>
      </w:r>
      <w:r w:rsidRPr="001C2E2B">
        <w:rPr>
          <w:lang w:eastAsia="fr-FR" w:bidi="fr-FR"/>
        </w:rPr>
        <w:t>u</w:t>
      </w:r>
      <w:r w:rsidRPr="001C2E2B">
        <w:rPr>
          <w:lang w:eastAsia="fr-FR" w:bidi="fr-FR"/>
        </w:rPr>
        <w:t>reaucratique, l’administration exerce son arbitrage.</w:t>
      </w:r>
    </w:p>
    <w:p w14:paraId="2C17CE81" w14:textId="77777777" w:rsidR="0039793A" w:rsidRPr="001C2E2B" w:rsidRDefault="0039793A" w:rsidP="0039793A">
      <w:pPr>
        <w:spacing w:before="120" w:after="120"/>
        <w:jc w:val="both"/>
      </w:pPr>
      <w:r w:rsidRPr="001C2E2B">
        <w:rPr>
          <w:lang w:eastAsia="fr-FR" w:bidi="fr-FR"/>
        </w:rPr>
        <w:t xml:space="preserve">— L’administration du </w:t>
      </w:r>
      <w:r w:rsidRPr="001C2E2B">
        <w:t xml:space="preserve">NSC </w:t>
      </w:r>
      <w:r w:rsidRPr="001C2E2B">
        <w:rPr>
          <w:lang w:eastAsia="fr-FR" w:bidi="fr-FR"/>
        </w:rPr>
        <w:t>joue également le rôle de bureau pe</w:t>
      </w:r>
      <w:r w:rsidRPr="001C2E2B">
        <w:rPr>
          <w:lang w:eastAsia="fr-FR" w:bidi="fr-FR"/>
        </w:rPr>
        <w:t>r</w:t>
      </w:r>
      <w:r w:rsidRPr="001C2E2B">
        <w:rPr>
          <w:lang w:eastAsia="fr-FR" w:bidi="fr-FR"/>
        </w:rPr>
        <w:t>so</w:t>
      </w:r>
      <w:r w:rsidRPr="001C2E2B">
        <w:rPr>
          <w:lang w:eastAsia="fr-FR" w:bidi="fr-FR"/>
        </w:rPr>
        <w:t>n</w:t>
      </w:r>
      <w:r w:rsidRPr="001C2E2B">
        <w:rPr>
          <w:lang w:eastAsia="fr-FR" w:bidi="fr-FR"/>
        </w:rPr>
        <w:t xml:space="preserve">nel de politique étrangère pour le compte du président. Au moyen de ses ressources, le personnel du </w:t>
      </w:r>
      <w:r w:rsidRPr="001C2E2B">
        <w:t xml:space="preserve">NSC </w:t>
      </w:r>
      <w:r w:rsidRPr="001C2E2B">
        <w:rPr>
          <w:lang w:eastAsia="fr-FR" w:bidi="fr-FR"/>
        </w:rPr>
        <w:t>va concevoir des di</w:t>
      </w:r>
      <w:r w:rsidRPr="001C2E2B">
        <w:rPr>
          <w:lang w:eastAsia="fr-FR" w:bidi="fr-FR"/>
        </w:rPr>
        <w:t>s</w:t>
      </w:r>
      <w:r w:rsidRPr="001C2E2B">
        <w:rPr>
          <w:lang w:eastAsia="fr-FR" w:bidi="fr-FR"/>
        </w:rPr>
        <w:t>cours, mener certaines négociations secrètes avec des gouvernements étra</w:t>
      </w:r>
      <w:r w:rsidRPr="001C2E2B">
        <w:rPr>
          <w:lang w:eastAsia="fr-FR" w:bidi="fr-FR"/>
        </w:rPr>
        <w:t>n</w:t>
      </w:r>
      <w:r w:rsidRPr="001C2E2B">
        <w:rPr>
          <w:lang w:eastAsia="fr-FR" w:bidi="fr-FR"/>
        </w:rPr>
        <w:t>gers, établir des plans stratégiques en période de crise, et définir les strat</w:t>
      </w:r>
      <w:r w:rsidRPr="001C2E2B">
        <w:rPr>
          <w:lang w:eastAsia="fr-FR" w:bidi="fr-FR"/>
        </w:rPr>
        <w:t>é</w:t>
      </w:r>
      <w:r w:rsidRPr="001C2E2B">
        <w:rPr>
          <w:lang w:eastAsia="fr-FR" w:bidi="fr-FR"/>
        </w:rPr>
        <w:t>gies de communication avec le Congrès, les médias et la société civile. Il va également agir co</w:t>
      </w:r>
      <w:r w:rsidRPr="001C2E2B">
        <w:rPr>
          <w:lang w:eastAsia="fr-FR" w:bidi="fr-FR"/>
        </w:rPr>
        <w:t>m</w:t>
      </w:r>
      <w:r w:rsidRPr="001C2E2B">
        <w:rPr>
          <w:lang w:eastAsia="fr-FR" w:bidi="fr-FR"/>
        </w:rPr>
        <w:t>me secrétaire exécutif du Conseil et de ses comités en préparant les résumés de recommandations, en prenant des notes durant les réunions et en formulant le programme des di</w:t>
      </w:r>
      <w:r w:rsidRPr="001C2E2B">
        <w:rPr>
          <w:lang w:eastAsia="fr-FR" w:bidi="fr-FR"/>
        </w:rPr>
        <w:t>s</w:t>
      </w:r>
      <w:r w:rsidRPr="001C2E2B">
        <w:rPr>
          <w:lang w:eastAsia="fr-FR" w:bidi="fr-FR"/>
        </w:rPr>
        <w:t>cussions présenté au Forum par le conseiller pour la Sécurité nation</w:t>
      </w:r>
      <w:r w:rsidRPr="001C2E2B">
        <w:rPr>
          <w:lang w:eastAsia="fr-FR" w:bidi="fr-FR"/>
        </w:rPr>
        <w:t>a</w:t>
      </w:r>
      <w:r w:rsidRPr="001C2E2B">
        <w:rPr>
          <w:lang w:eastAsia="fr-FR" w:bidi="fr-FR"/>
        </w:rPr>
        <w:t>le.</w:t>
      </w:r>
    </w:p>
    <w:p w14:paraId="2859EDA0" w14:textId="77777777" w:rsidR="0039793A" w:rsidRPr="001C2E2B" w:rsidRDefault="0039793A" w:rsidP="0039793A">
      <w:pPr>
        <w:spacing w:before="120" w:after="120"/>
        <w:jc w:val="both"/>
      </w:pPr>
      <w:r w:rsidRPr="001C2E2B">
        <w:rPr>
          <w:lang w:eastAsia="fr-FR" w:bidi="fr-FR"/>
        </w:rPr>
        <w:t xml:space="preserve">— L’administration du </w:t>
      </w:r>
      <w:r w:rsidRPr="001C2E2B">
        <w:t xml:space="preserve">NSC </w:t>
      </w:r>
      <w:r w:rsidRPr="001C2E2B">
        <w:rPr>
          <w:lang w:eastAsia="fr-FR" w:bidi="fr-FR"/>
        </w:rPr>
        <w:t>va centraliser les données de base des services de renseignement. Ceci permet de soumettre au comité inte</w:t>
      </w:r>
      <w:r w:rsidRPr="001C2E2B">
        <w:rPr>
          <w:lang w:eastAsia="fr-FR" w:bidi="fr-FR"/>
        </w:rPr>
        <w:t>r</w:t>
      </w:r>
      <w:r w:rsidRPr="001C2E2B">
        <w:rPr>
          <w:lang w:eastAsia="fr-FR" w:bidi="fr-FR"/>
        </w:rPr>
        <w:t>départemental compétent chargé d’une question, des ra</w:t>
      </w:r>
      <w:r w:rsidRPr="001C2E2B">
        <w:rPr>
          <w:lang w:eastAsia="fr-FR" w:bidi="fr-FR"/>
        </w:rPr>
        <w:t>p</w:t>
      </w:r>
      <w:r w:rsidRPr="001C2E2B">
        <w:rPr>
          <w:lang w:eastAsia="fr-FR" w:bidi="fr-FR"/>
        </w:rPr>
        <w:t xml:space="preserve">ports d’information complets, intégrés et à jour. En période de crise, l’administration du </w:t>
      </w:r>
      <w:r w:rsidRPr="001C2E2B">
        <w:t xml:space="preserve">NSC </w:t>
      </w:r>
      <w:r w:rsidRPr="001C2E2B">
        <w:rPr>
          <w:lang w:eastAsia="fr-FR" w:bidi="fr-FR"/>
        </w:rPr>
        <w:t>est un instrument précieux pour coordonner les réactions bureaucratiques. L’information est centralisée et interpr</w:t>
      </w:r>
      <w:r w:rsidRPr="001C2E2B">
        <w:rPr>
          <w:lang w:eastAsia="fr-FR" w:bidi="fr-FR"/>
        </w:rPr>
        <w:t>é</w:t>
      </w:r>
      <w:r w:rsidRPr="001C2E2B">
        <w:rPr>
          <w:lang w:eastAsia="fr-FR" w:bidi="fr-FR"/>
        </w:rPr>
        <w:t>tée au sein du centre de gestion des crises, permettant une vue d’ensemble sur l’évolution des événements. Au-delà, elle constitue une mémoire institutionnelle en archivant les données des exp</w:t>
      </w:r>
      <w:r w:rsidRPr="001C2E2B">
        <w:rPr>
          <w:lang w:eastAsia="fr-FR" w:bidi="fr-FR"/>
        </w:rPr>
        <w:t>é</w:t>
      </w:r>
      <w:r w:rsidRPr="001C2E2B">
        <w:rPr>
          <w:lang w:eastAsia="fr-FR" w:bidi="fr-FR"/>
        </w:rPr>
        <w:t>riences similaires antérieures.</w:t>
      </w:r>
    </w:p>
    <w:p w14:paraId="1CFDE6E6" w14:textId="77777777" w:rsidR="0039793A" w:rsidRPr="007602FA" w:rsidRDefault="0039793A" w:rsidP="0039793A">
      <w:pPr>
        <w:spacing w:before="120" w:after="120"/>
        <w:jc w:val="both"/>
        <w:rPr>
          <w:lang w:eastAsia="fr-FR" w:bidi="fr-FR"/>
        </w:rPr>
      </w:pPr>
      <w:r w:rsidRPr="001C2E2B">
        <w:rPr>
          <w:lang w:eastAsia="fr-FR" w:bidi="fr-FR"/>
        </w:rPr>
        <w:t xml:space="preserve">L’influence de l’organisation du </w:t>
      </w:r>
      <w:r w:rsidRPr="001C2E2B">
        <w:t xml:space="preserve">NSC </w:t>
      </w:r>
      <w:r w:rsidRPr="001C2E2B">
        <w:rPr>
          <w:lang w:eastAsia="fr-FR" w:bidi="fr-FR"/>
        </w:rPr>
        <w:t>est dire</w:t>
      </w:r>
      <w:r w:rsidRPr="001C2E2B">
        <w:rPr>
          <w:lang w:eastAsia="fr-FR" w:bidi="fr-FR"/>
        </w:rPr>
        <w:t>c</w:t>
      </w:r>
      <w:r w:rsidRPr="001C2E2B">
        <w:rPr>
          <w:lang w:eastAsia="fr-FR" w:bidi="fr-FR"/>
        </w:rPr>
        <w:t xml:space="preserve">tement liée </w:t>
      </w:r>
      <w:r w:rsidRPr="001C2E2B">
        <w:t xml:space="preserve">à </w:t>
      </w:r>
      <w:r w:rsidRPr="001C2E2B">
        <w:rPr>
          <w:lang w:eastAsia="fr-FR" w:bidi="fr-FR"/>
        </w:rPr>
        <w:t xml:space="preserve">sa flexibilité et </w:t>
      </w:r>
      <w:r w:rsidRPr="001C2E2B">
        <w:t xml:space="preserve">à </w:t>
      </w:r>
      <w:r w:rsidRPr="001C2E2B">
        <w:rPr>
          <w:lang w:eastAsia="fr-FR" w:bidi="fr-FR"/>
        </w:rPr>
        <w:t>sa plasticité</w:t>
      </w:r>
      <w:r w:rsidRPr="001C2E2B">
        <w:t> :</w:t>
      </w:r>
      <w:r w:rsidRPr="001C2E2B">
        <w:rPr>
          <w:lang w:eastAsia="fr-FR" w:bidi="fr-FR"/>
        </w:rPr>
        <w:t xml:space="preserve"> ch</w:t>
      </w:r>
      <w:r w:rsidRPr="001C2E2B">
        <w:rPr>
          <w:lang w:eastAsia="fr-FR" w:bidi="fr-FR"/>
        </w:rPr>
        <w:t>a</w:t>
      </w:r>
      <w:r w:rsidRPr="001C2E2B">
        <w:rPr>
          <w:lang w:eastAsia="fr-FR" w:bidi="fr-FR"/>
        </w:rPr>
        <w:t>que président y trouve les ressources nécessaires pour réaliser ses objectifs de politique étrangère et la lat</w:t>
      </w:r>
      <w:r w:rsidRPr="001C2E2B">
        <w:rPr>
          <w:lang w:eastAsia="fr-FR" w:bidi="fr-FR"/>
        </w:rPr>
        <w:t>i</w:t>
      </w:r>
      <w:r w:rsidRPr="001C2E2B">
        <w:rPr>
          <w:lang w:eastAsia="fr-FR" w:bidi="fr-FR"/>
        </w:rPr>
        <w:t>tude souhaitée pour mettre en œuvre ses d</w:t>
      </w:r>
      <w:r w:rsidRPr="001C2E2B">
        <w:rPr>
          <w:lang w:eastAsia="fr-FR" w:bidi="fr-FR"/>
        </w:rPr>
        <w:t>é</w:t>
      </w:r>
      <w:r w:rsidRPr="001C2E2B">
        <w:rPr>
          <w:lang w:eastAsia="fr-FR" w:bidi="fr-FR"/>
        </w:rPr>
        <w:t>cisions. Cette influence va parfois très loin. Certains, comme Reagan, ont permis aux hauts fon</w:t>
      </w:r>
      <w:r w:rsidRPr="001C2E2B">
        <w:rPr>
          <w:lang w:eastAsia="fr-FR" w:bidi="fr-FR"/>
        </w:rPr>
        <w:t>c</w:t>
      </w:r>
      <w:r w:rsidRPr="001C2E2B">
        <w:rPr>
          <w:lang w:eastAsia="fr-FR" w:bidi="fr-FR"/>
        </w:rPr>
        <w:t xml:space="preserve">tionnaires du </w:t>
      </w:r>
      <w:r w:rsidRPr="001C2E2B">
        <w:t xml:space="preserve">NSC </w:t>
      </w:r>
      <w:r w:rsidRPr="001C2E2B">
        <w:rPr>
          <w:lang w:eastAsia="fr-FR" w:bidi="fr-FR"/>
        </w:rPr>
        <w:t>de s’impliquer dans des opér</w:t>
      </w:r>
      <w:r w:rsidRPr="001C2E2B">
        <w:rPr>
          <w:lang w:eastAsia="fr-FR" w:bidi="fr-FR"/>
        </w:rPr>
        <w:t>a</w:t>
      </w:r>
      <w:r w:rsidRPr="001C2E2B">
        <w:rPr>
          <w:lang w:eastAsia="fr-FR" w:bidi="fr-FR"/>
        </w:rPr>
        <w:t>tions clandestines et d’outrepasser alors largement les prérogatives qui leur sont habitue</w:t>
      </w:r>
      <w:r w:rsidRPr="001C2E2B">
        <w:rPr>
          <w:lang w:eastAsia="fr-FR" w:bidi="fr-FR"/>
        </w:rPr>
        <w:t>l</w:t>
      </w:r>
      <w:r w:rsidRPr="001C2E2B">
        <w:rPr>
          <w:lang w:eastAsia="fr-FR" w:bidi="fr-FR"/>
        </w:rPr>
        <w:t>lement reconnues. Toutefois, les problèmes les plus fr</w:t>
      </w:r>
      <w:r w:rsidRPr="001C2E2B">
        <w:rPr>
          <w:lang w:eastAsia="fr-FR" w:bidi="fr-FR"/>
        </w:rPr>
        <w:t>é</w:t>
      </w:r>
      <w:r w:rsidRPr="001C2E2B">
        <w:rPr>
          <w:lang w:eastAsia="fr-FR" w:bidi="fr-FR"/>
        </w:rPr>
        <w:t>quents sont surtout liés aux rivalités bureaucratiques</w:t>
      </w:r>
      <w:r w:rsidRPr="001C2E2B">
        <w:t> :</w:t>
      </w:r>
      <w:r w:rsidRPr="001C2E2B">
        <w:rPr>
          <w:lang w:eastAsia="fr-FR" w:bidi="fr-FR"/>
        </w:rPr>
        <w:t xml:space="preserve"> la défiance des départ</w:t>
      </w:r>
      <w:r w:rsidRPr="001C2E2B">
        <w:rPr>
          <w:lang w:eastAsia="fr-FR" w:bidi="fr-FR"/>
        </w:rPr>
        <w:t>e</w:t>
      </w:r>
      <w:r w:rsidRPr="001C2E2B">
        <w:rPr>
          <w:lang w:eastAsia="fr-FR" w:bidi="fr-FR"/>
        </w:rPr>
        <w:t xml:space="preserve">ments (et cela concerne sans doute tous les ministères) est d’autant plus affirmée que l’administration du </w:t>
      </w:r>
      <w:r w:rsidRPr="001C2E2B">
        <w:t xml:space="preserve">NSC </w:t>
      </w:r>
      <w:r w:rsidRPr="001C2E2B">
        <w:rPr>
          <w:lang w:eastAsia="fr-FR" w:bidi="fr-FR"/>
        </w:rPr>
        <w:t xml:space="preserve">a fréquemment outrepassé ses compétences. Les présidents sont </w:t>
      </w:r>
      <w:r w:rsidRPr="001C2E2B">
        <w:t xml:space="preserve">à </w:t>
      </w:r>
      <w:r w:rsidRPr="001C2E2B">
        <w:rPr>
          <w:lang w:eastAsia="fr-FR" w:bidi="fr-FR"/>
        </w:rPr>
        <w:t>l’origine de cette concurre</w:t>
      </w:r>
      <w:r w:rsidRPr="001C2E2B">
        <w:rPr>
          <w:lang w:eastAsia="fr-FR" w:bidi="fr-FR"/>
        </w:rPr>
        <w:t>n</w:t>
      </w:r>
      <w:r w:rsidRPr="001C2E2B">
        <w:rPr>
          <w:lang w:eastAsia="fr-FR" w:bidi="fr-FR"/>
        </w:rPr>
        <w:t>ce, dans</w:t>
      </w:r>
      <w:r>
        <w:rPr>
          <w:lang w:eastAsia="fr-FR" w:bidi="fr-FR"/>
        </w:rPr>
        <w:t xml:space="preserve"> </w:t>
      </w:r>
      <w:r>
        <w:t xml:space="preserve">[232] </w:t>
      </w:r>
      <w:r w:rsidRPr="001C2E2B">
        <w:rPr>
          <w:lang w:eastAsia="fr-FR" w:bidi="fr-FR"/>
        </w:rPr>
        <w:t xml:space="preserve">la mesure où ils s’appuient sur le </w:t>
      </w:r>
      <w:r w:rsidRPr="007602FA">
        <w:rPr>
          <w:lang w:eastAsia="fr-FR" w:bidi="fr-FR"/>
        </w:rPr>
        <w:t xml:space="preserve">travail du </w:t>
      </w:r>
      <w:r w:rsidRPr="007602FA">
        <w:rPr>
          <w:bCs/>
        </w:rPr>
        <w:t xml:space="preserve">NSC </w:t>
      </w:r>
      <w:r w:rsidRPr="007602FA">
        <w:rPr>
          <w:lang w:eastAsia="fr-FR" w:bidi="fr-FR"/>
        </w:rPr>
        <w:t>et sur la loyauté de son administration. De toute évidence, ils sont tous con</w:t>
      </w:r>
      <w:r w:rsidRPr="007602FA">
        <w:rPr>
          <w:lang w:eastAsia="fr-FR" w:bidi="fr-FR"/>
        </w:rPr>
        <w:t>s</w:t>
      </w:r>
      <w:r w:rsidRPr="007602FA">
        <w:rPr>
          <w:lang w:eastAsia="fr-FR" w:bidi="fr-FR"/>
        </w:rPr>
        <w:t>cients, malgré des errements passagers, de la valeur et de l’efficacité du sy</w:t>
      </w:r>
      <w:r w:rsidRPr="007602FA">
        <w:rPr>
          <w:lang w:eastAsia="fr-FR" w:bidi="fr-FR"/>
        </w:rPr>
        <w:t>s</w:t>
      </w:r>
      <w:r w:rsidRPr="007602FA">
        <w:rPr>
          <w:lang w:eastAsia="fr-FR" w:bidi="fr-FR"/>
        </w:rPr>
        <w:t xml:space="preserve">tème du </w:t>
      </w:r>
      <w:r w:rsidRPr="007602FA">
        <w:rPr>
          <w:bCs/>
        </w:rPr>
        <w:t xml:space="preserve">NSC. </w:t>
      </w:r>
      <w:r w:rsidRPr="007602FA">
        <w:rPr>
          <w:lang w:eastAsia="fr-FR" w:bidi="fr-FR"/>
        </w:rPr>
        <w:t xml:space="preserve">Aussi, le Département d’État n’est pas prêt de retrouver la maîtrise de la politique étrangère que l’organisation du </w:t>
      </w:r>
      <w:r w:rsidRPr="007602FA">
        <w:rPr>
          <w:bCs/>
        </w:rPr>
        <w:t xml:space="preserve">NSC </w:t>
      </w:r>
      <w:r w:rsidRPr="007602FA">
        <w:rPr>
          <w:lang w:eastAsia="fr-FR" w:bidi="fr-FR"/>
        </w:rPr>
        <w:t>lui a su</w:t>
      </w:r>
      <w:r w:rsidRPr="007602FA">
        <w:rPr>
          <w:lang w:eastAsia="fr-FR" w:bidi="fr-FR"/>
        </w:rPr>
        <w:t>b</w:t>
      </w:r>
      <w:r w:rsidRPr="007602FA">
        <w:rPr>
          <w:lang w:eastAsia="fr-FR" w:bidi="fr-FR"/>
        </w:rPr>
        <w:t>tilisée.</w:t>
      </w:r>
    </w:p>
    <w:p w14:paraId="538FBBE0" w14:textId="77777777" w:rsidR="0039793A" w:rsidRPr="007602FA" w:rsidRDefault="0039793A" w:rsidP="0039793A">
      <w:pPr>
        <w:spacing w:before="120" w:after="120"/>
        <w:jc w:val="both"/>
        <w:rPr>
          <w:lang w:eastAsia="fr-FR" w:bidi="fr-FR"/>
        </w:rPr>
      </w:pPr>
    </w:p>
    <w:p w14:paraId="4C2774AA" w14:textId="77777777" w:rsidR="0039793A" w:rsidRPr="009C4E39" w:rsidRDefault="0039793A" w:rsidP="0039793A">
      <w:pPr>
        <w:pStyle w:val="planche"/>
        <w:rPr>
          <w:lang w:eastAsia="fr-FR" w:bidi="fr-FR"/>
        </w:rPr>
      </w:pPr>
      <w:bookmarkStart w:id="31" w:name="Pol_EU_pt_2_chap_07_3"/>
      <w:r w:rsidRPr="009C4E39">
        <w:t>L’</w:t>
      </w:r>
      <w:r>
        <w:rPr>
          <w:lang w:eastAsia="fr-FR" w:bidi="fr-FR"/>
        </w:rPr>
        <w:t>évolution du NSC</w:t>
      </w:r>
      <w:r>
        <w:rPr>
          <w:lang w:eastAsia="fr-FR" w:bidi="fr-FR"/>
        </w:rPr>
        <w:br/>
      </w:r>
      <w:r w:rsidRPr="009C4E39">
        <w:rPr>
          <w:lang w:eastAsia="fr-FR" w:bidi="fr-FR"/>
        </w:rPr>
        <w:t>dans le jeu de la politique étra</w:t>
      </w:r>
      <w:r w:rsidRPr="009C4E39">
        <w:rPr>
          <w:lang w:eastAsia="fr-FR" w:bidi="fr-FR"/>
        </w:rPr>
        <w:t>n</w:t>
      </w:r>
      <w:r w:rsidRPr="009C4E39">
        <w:rPr>
          <w:lang w:eastAsia="fr-FR" w:bidi="fr-FR"/>
        </w:rPr>
        <w:t>gère</w:t>
      </w:r>
    </w:p>
    <w:bookmarkEnd w:id="31"/>
    <w:p w14:paraId="20B37401" w14:textId="77777777" w:rsidR="0039793A" w:rsidRPr="007602FA" w:rsidRDefault="0039793A" w:rsidP="0039793A">
      <w:pPr>
        <w:spacing w:before="120" w:after="120"/>
        <w:jc w:val="both"/>
        <w:rPr>
          <w:lang w:eastAsia="fr-FR" w:bidi="fr-FR"/>
        </w:rPr>
      </w:pPr>
    </w:p>
    <w:p w14:paraId="1F760077"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0CFC8E41" w14:textId="77777777" w:rsidR="0039793A" w:rsidRPr="001C2E2B" w:rsidRDefault="0039793A" w:rsidP="0039793A">
      <w:pPr>
        <w:spacing w:before="120" w:after="120"/>
        <w:jc w:val="both"/>
      </w:pPr>
      <w:r w:rsidRPr="007602FA">
        <w:rPr>
          <w:lang w:eastAsia="fr-FR" w:bidi="fr-FR"/>
        </w:rPr>
        <w:t xml:space="preserve">L’évolution du </w:t>
      </w:r>
      <w:r w:rsidRPr="007602FA">
        <w:rPr>
          <w:bCs/>
        </w:rPr>
        <w:t xml:space="preserve">NSC </w:t>
      </w:r>
      <w:r w:rsidRPr="007602FA">
        <w:rPr>
          <w:lang w:eastAsia="fr-FR" w:bidi="fr-FR"/>
        </w:rPr>
        <w:t xml:space="preserve">dans le jeu de la politique étrangère revêt une remarquable continuité en ce sens que tous les présidents l’ont utilisé pour </w:t>
      </w:r>
      <w:r w:rsidRPr="009C4E39">
        <w:rPr>
          <w:i/>
          <w:iCs/>
          <w:lang w:eastAsia="fr-FR" w:bidi="fr-FR"/>
        </w:rPr>
        <w:t>raffermir</w:t>
      </w:r>
      <w:r w:rsidRPr="007602FA">
        <w:rPr>
          <w:lang w:eastAsia="fr-FR" w:bidi="fr-FR"/>
        </w:rPr>
        <w:t xml:space="preserve"> leur emprise sur la politique extérieure</w:t>
      </w:r>
      <w:r>
        <w:rPr>
          <w:lang w:eastAsia="fr-FR" w:bidi="fr-FR"/>
        </w:rPr>
        <w:t> </w:t>
      </w:r>
      <w:r>
        <w:rPr>
          <w:rStyle w:val="Appelnotedebasdep"/>
          <w:lang w:eastAsia="fr-FR" w:bidi="fr-FR"/>
        </w:rPr>
        <w:footnoteReference w:id="485"/>
      </w:r>
      <w:r w:rsidRPr="007602FA">
        <w:rPr>
          <w:lang w:eastAsia="fr-FR" w:bidi="fr-FR"/>
        </w:rPr>
        <w:t>. Il reste c</w:t>
      </w:r>
      <w:r w:rsidRPr="007602FA">
        <w:rPr>
          <w:lang w:eastAsia="fr-FR" w:bidi="fr-FR"/>
        </w:rPr>
        <w:t>e</w:t>
      </w:r>
      <w:r w:rsidRPr="007602FA">
        <w:rPr>
          <w:lang w:eastAsia="fr-FR" w:bidi="fr-FR"/>
        </w:rPr>
        <w:t>pendant que l’évolution de la prise de déc</w:t>
      </w:r>
      <w:r w:rsidRPr="007602FA">
        <w:rPr>
          <w:lang w:eastAsia="fr-FR" w:bidi="fr-FR"/>
        </w:rPr>
        <w:t>i</w:t>
      </w:r>
      <w:r w:rsidRPr="007602FA">
        <w:rPr>
          <w:lang w:eastAsia="fr-FR" w:bidi="fr-FR"/>
        </w:rPr>
        <w:t>sion au sein du Conseil de sécurité nationale se décompose en quatre grandes périodes. Tout d’abord, les présidents Truman et Eisenhower vont exploiter et instit</w:t>
      </w:r>
      <w:r w:rsidRPr="007602FA">
        <w:rPr>
          <w:lang w:eastAsia="fr-FR" w:bidi="fr-FR"/>
        </w:rPr>
        <w:t>u</w:t>
      </w:r>
      <w:r w:rsidRPr="007602FA">
        <w:rPr>
          <w:lang w:eastAsia="fr-FR" w:bidi="fr-FR"/>
        </w:rPr>
        <w:t xml:space="preserve">tionnaliser le rôle du </w:t>
      </w:r>
      <w:r w:rsidRPr="007602FA">
        <w:rPr>
          <w:bCs/>
        </w:rPr>
        <w:t xml:space="preserve">NSC </w:t>
      </w:r>
      <w:r w:rsidRPr="007602FA">
        <w:rPr>
          <w:lang w:eastAsia="fr-FR" w:bidi="fr-FR"/>
        </w:rPr>
        <w:t>comme forum décisionnel. Ensuite, Kenn</w:t>
      </w:r>
      <w:r w:rsidRPr="007602FA">
        <w:rPr>
          <w:lang w:eastAsia="fr-FR" w:bidi="fr-FR"/>
        </w:rPr>
        <w:t>e</w:t>
      </w:r>
      <w:r w:rsidRPr="007602FA">
        <w:rPr>
          <w:lang w:eastAsia="fr-FR" w:bidi="fr-FR"/>
        </w:rPr>
        <w:t>dy et Johnson vont mettre sur pied l’administration du conseiller pour la Sécurité nationale, dont l’influence va s’accroître substantie</w:t>
      </w:r>
      <w:r w:rsidRPr="007602FA">
        <w:rPr>
          <w:lang w:eastAsia="fr-FR" w:bidi="fr-FR"/>
        </w:rPr>
        <w:t>l</w:t>
      </w:r>
      <w:r w:rsidRPr="007602FA">
        <w:rPr>
          <w:lang w:eastAsia="fr-FR" w:bidi="fr-FR"/>
        </w:rPr>
        <w:t xml:space="preserve">lement. De plus, Nixon, puis Carter et Reagan vont permettre au conseiller pour la Sécurité nationale et </w:t>
      </w:r>
      <w:r w:rsidRPr="007602FA">
        <w:rPr>
          <w:bCs/>
        </w:rPr>
        <w:t xml:space="preserve">à </w:t>
      </w:r>
      <w:r w:rsidRPr="007602FA">
        <w:rPr>
          <w:lang w:eastAsia="fr-FR" w:bidi="fr-FR"/>
        </w:rPr>
        <w:t>son personnel d’éclipser le Département d’État dans la formulation de la politique étrangère. E</w:t>
      </w:r>
      <w:r w:rsidRPr="007602FA">
        <w:rPr>
          <w:lang w:eastAsia="fr-FR" w:bidi="fr-FR"/>
        </w:rPr>
        <w:t>n</w:t>
      </w:r>
      <w:r w:rsidRPr="007602FA">
        <w:rPr>
          <w:lang w:eastAsia="fr-FR" w:bidi="fr-FR"/>
        </w:rPr>
        <w:t xml:space="preserve">fin, G.H. Bush, Clinton et G.W. Bush vont ramener l’organisation du </w:t>
      </w:r>
      <w:r w:rsidRPr="007602FA">
        <w:rPr>
          <w:bCs/>
        </w:rPr>
        <w:t xml:space="preserve">NSC à </w:t>
      </w:r>
      <w:r w:rsidRPr="007602FA">
        <w:rPr>
          <w:lang w:eastAsia="fr-FR" w:bidi="fr-FR"/>
        </w:rPr>
        <w:t>des t</w:t>
      </w:r>
      <w:r w:rsidRPr="007602FA">
        <w:rPr>
          <w:lang w:eastAsia="fr-FR" w:bidi="fr-FR"/>
        </w:rPr>
        <w:t>â</w:t>
      </w:r>
      <w:r w:rsidRPr="007602FA">
        <w:rPr>
          <w:lang w:eastAsia="fr-FR" w:bidi="fr-FR"/>
        </w:rPr>
        <w:t>ches plus proches sans dou</w:t>
      </w:r>
      <w:r w:rsidRPr="001C2E2B">
        <w:rPr>
          <w:lang w:eastAsia="fr-FR" w:bidi="fr-FR"/>
        </w:rPr>
        <w:t>te de celles qui avaient été imaginées en 1947.</w:t>
      </w:r>
    </w:p>
    <w:p w14:paraId="4FEA0FDB" w14:textId="77777777" w:rsidR="0039793A" w:rsidRDefault="0039793A" w:rsidP="0039793A">
      <w:pPr>
        <w:spacing w:before="120" w:after="120"/>
        <w:jc w:val="both"/>
      </w:pPr>
      <w:r>
        <w:t>[233]</w:t>
      </w:r>
    </w:p>
    <w:p w14:paraId="616F1FE5" w14:textId="77777777" w:rsidR="0039793A" w:rsidRDefault="0039793A" w:rsidP="0039793A">
      <w:pPr>
        <w:spacing w:before="120" w:after="120"/>
        <w:jc w:val="both"/>
      </w:pPr>
    </w:p>
    <w:p w14:paraId="7F277E23" w14:textId="77777777" w:rsidR="0039793A" w:rsidRPr="001710A1" w:rsidRDefault="0039793A" w:rsidP="0039793A">
      <w:pPr>
        <w:pStyle w:val="a"/>
      </w:pPr>
      <w:r w:rsidRPr="001710A1">
        <w:t xml:space="preserve">L’institutionnalisation du </w:t>
      </w:r>
      <w:r w:rsidRPr="001710A1">
        <w:rPr>
          <w:bCs/>
        </w:rPr>
        <w:t>NSC</w:t>
      </w:r>
    </w:p>
    <w:p w14:paraId="291EFEC6" w14:textId="77777777" w:rsidR="0039793A" w:rsidRPr="001710A1" w:rsidRDefault="0039793A" w:rsidP="0039793A">
      <w:pPr>
        <w:spacing w:before="120" w:after="120"/>
        <w:jc w:val="both"/>
        <w:rPr>
          <w:lang w:eastAsia="fr-FR" w:bidi="fr-FR"/>
        </w:rPr>
      </w:pPr>
    </w:p>
    <w:p w14:paraId="2520C7B9" w14:textId="77777777" w:rsidR="0039793A" w:rsidRPr="00DE7EF3" w:rsidRDefault="0039793A" w:rsidP="0039793A">
      <w:pPr>
        <w:pStyle w:val="b"/>
        <w:rPr>
          <w:lang w:eastAsia="fr-FR" w:bidi="fr-FR"/>
        </w:rPr>
      </w:pPr>
      <w:r>
        <w:rPr>
          <w:lang w:eastAsia="fr-FR" w:bidi="fr-FR"/>
        </w:rPr>
        <w:t>Le NSC, coordonnateur</w:t>
      </w:r>
      <w:r>
        <w:rPr>
          <w:lang w:eastAsia="fr-FR" w:bidi="fr-FR"/>
        </w:rPr>
        <w:br/>
      </w:r>
      <w:r w:rsidRPr="00DE7EF3">
        <w:rPr>
          <w:lang w:eastAsia="fr-FR" w:bidi="fr-FR"/>
        </w:rPr>
        <w:t>des positions minist</w:t>
      </w:r>
      <w:r w:rsidRPr="00DE7EF3">
        <w:rPr>
          <w:lang w:eastAsia="fr-FR" w:bidi="fr-FR"/>
        </w:rPr>
        <w:t>é</w:t>
      </w:r>
      <w:r w:rsidRPr="00DE7EF3">
        <w:rPr>
          <w:lang w:eastAsia="fr-FR" w:bidi="fr-FR"/>
        </w:rPr>
        <w:t>rielles sous Truman</w:t>
      </w:r>
    </w:p>
    <w:p w14:paraId="759ADD38" w14:textId="77777777" w:rsidR="0039793A" w:rsidRPr="001710A1" w:rsidRDefault="0039793A" w:rsidP="0039793A">
      <w:pPr>
        <w:spacing w:before="120" w:after="120"/>
        <w:jc w:val="both"/>
        <w:rPr>
          <w:lang w:eastAsia="fr-FR" w:bidi="fr-FR"/>
        </w:rPr>
      </w:pPr>
    </w:p>
    <w:p w14:paraId="5125A574" w14:textId="77777777" w:rsidR="0039793A" w:rsidRPr="001C2E2B" w:rsidRDefault="0039793A" w:rsidP="0039793A">
      <w:pPr>
        <w:spacing w:before="120" w:after="120"/>
        <w:jc w:val="both"/>
      </w:pPr>
      <w:r w:rsidRPr="001710A1">
        <w:rPr>
          <w:lang w:eastAsia="fr-FR" w:bidi="fr-FR"/>
        </w:rPr>
        <w:t xml:space="preserve">Initialement, le président Truman (1945-1952) se méfiait du </w:t>
      </w:r>
      <w:r w:rsidRPr="001710A1">
        <w:rPr>
          <w:bCs/>
        </w:rPr>
        <w:t xml:space="preserve">NSC. </w:t>
      </w:r>
      <w:r w:rsidRPr="001710A1">
        <w:rPr>
          <w:lang w:eastAsia="fr-FR" w:bidi="fr-FR"/>
        </w:rPr>
        <w:t>Pour cette raison, il n’y a eu recours que de façon limitée, tout au moins jusqu’au déclenchement de la guerre de Corée. D’ailleurs, d</w:t>
      </w:r>
      <w:r w:rsidRPr="001710A1">
        <w:rPr>
          <w:lang w:eastAsia="fr-FR" w:bidi="fr-FR"/>
        </w:rPr>
        <w:t>u</w:t>
      </w:r>
      <w:r w:rsidRPr="001710A1">
        <w:rPr>
          <w:lang w:eastAsia="fr-FR" w:bidi="fr-FR"/>
        </w:rPr>
        <w:t>rant cette période, la prise de décision en politique étrangère est su</w:t>
      </w:r>
      <w:r w:rsidRPr="001710A1">
        <w:rPr>
          <w:lang w:eastAsia="fr-FR" w:bidi="fr-FR"/>
        </w:rPr>
        <w:t>r</w:t>
      </w:r>
      <w:r w:rsidRPr="001710A1">
        <w:rPr>
          <w:lang w:eastAsia="fr-FR" w:bidi="fr-FR"/>
        </w:rPr>
        <w:t>tout le fait des influents secrétaires d’État (James Byrnes, George Marshall et Dean Acheson). Cette époque constitue d’ailleurs les a</w:t>
      </w:r>
      <w:r w:rsidRPr="001710A1">
        <w:rPr>
          <w:lang w:eastAsia="fr-FR" w:bidi="fr-FR"/>
        </w:rPr>
        <w:t>n</w:t>
      </w:r>
      <w:r w:rsidRPr="001710A1">
        <w:rPr>
          <w:lang w:eastAsia="fr-FR" w:bidi="fr-FR"/>
        </w:rPr>
        <w:t>nées glorieuses du Départ</w:t>
      </w:r>
      <w:r w:rsidRPr="001710A1">
        <w:rPr>
          <w:lang w:eastAsia="fr-FR" w:bidi="fr-FR"/>
        </w:rPr>
        <w:t>e</w:t>
      </w:r>
      <w:r w:rsidRPr="001710A1">
        <w:rPr>
          <w:lang w:eastAsia="fr-FR" w:bidi="fr-FR"/>
        </w:rPr>
        <w:t>ment d’État qui, « présent à la création » (le titre des mémoires d’Acheson</w:t>
      </w:r>
      <w:r>
        <w:rPr>
          <w:lang w:eastAsia="fr-FR" w:bidi="fr-FR"/>
        </w:rPr>
        <w:t> </w:t>
      </w:r>
      <w:r>
        <w:rPr>
          <w:rStyle w:val="Appelnotedebasdep"/>
          <w:lang w:eastAsia="fr-FR" w:bidi="fr-FR"/>
        </w:rPr>
        <w:footnoteReference w:id="486"/>
      </w:r>
      <w:r w:rsidRPr="001710A1">
        <w:rPr>
          <w:lang w:eastAsia="fr-FR" w:bidi="fr-FR"/>
        </w:rPr>
        <w:t>) invente et supervise la nouvelle politique de l’endiguement et de la guerre froide. Le secrétaire d’État est alors le concepteur et le porte-parole de la politique étrangère am</w:t>
      </w:r>
      <w:r w:rsidRPr="001710A1">
        <w:rPr>
          <w:lang w:eastAsia="fr-FR" w:bidi="fr-FR"/>
        </w:rPr>
        <w:t>é</w:t>
      </w:r>
      <w:r w:rsidRPr="001710A1">
        <w:rPr>
          <w:lang w:eastAsia="fr-FR" w:bidi="fr-FR"/>
        </w:rPr>
        <w:t>ricaine. Ce sont le déclenchement du conflit armé en Corée, et la n</w:t>
      </w:r>
      <w:r w:rsidRPr="001710A1">
        <w:rPr>
          <w:lang w:eastAsia="fr-FR" w:bidi="fr-FR"/>
        </w:rPr>
        <w:t>é</w:t>
      </w:r>
      <w:r w:rsidRPr="001710A1">
        <w:rPr>
          <w:lang w:eastAsia="fr-FR" w:bidi="fr-FR"/>
        </w:rPr>
        <w:t xml:space="preserve">cessaire redéfinition des stratégies américaines (notamment avec l’élaboration au printemps 1950 du document </w:t>
      </w:r>
      <w:r w:rsidRPr="001710A1">
        <w:rPr>
          <w:bCs/>
        </w:rPr>
        <w:t xml:space="preserve">NSC-68 </w:t>
      </w:r>
      <w:r w:rsidRPr="001710A1">
        <w:rPr>
          <w:lang w:eastAsia="fr-FR" w:bidi="fr-FR"/>
        </w:rPr>
        <w:t>qui fixe les p</w:t>
      </w:r>
      <w:r w:rsidRPr="001710A1">
        <w:rPr>
          <w:lang w:eastAsia="fr-FR" w:bidi="fr-FR"/>
        </w:rPr>
        <w:t>a</w:t>
      </w:r>
      <w:r w:rsidRPr="001710A1">
        <w:rPr>
          <w:lang w:eastAsia="fr-FR" w:bidi="fr-FR"/>
        </w:rPr>
        <w:t xml:space="preserve">ramètres de l’endiguement) qui vont donner au </w:t>
      </w:r>
      <w:r w:rsidRPr="001710A1">
        <w:rPr>
          <w:bCs/>
        </w:rPr>
        <w:t xml:space="preserve">NSC </w:t>
      </w:r>
      <w:r w:rsidRPr="001710A1">
        <w:rPr>
          <w:lang w:eastAsia="fr-FR" w:bidi="fr-FR"/>
        </w:rPr>
        <w:t>sa première i</w:t>
      </w:r>
      <w:r w:rsidRPr="001710A1">
        <w:rPr>
          <w:lang w:eastAsia="fr-FR" w:bidi="fr-FR"/>
        </w:rPr>
        <w:t>m</w:t>
      </w:r>
      <w:r w:rsidRPr="001710A1">
        <w:rPr>
          <w:lang w:eastAsia="fr-FR" w:bidi="fr-FR"/>
        </w:rPr>
        <w:t>pulsion. Truman exploite désormais le mécanisme formel de la pr</w:t>
      </w:r>
      <w:r w:rsidRPr="001710A1">
        <w:rPr>
          <w:lang w:eastAsia="fr-FR" w:bidi="fr-FR"/>
        </w:rPr>
        <w:t>i</w:t>
      </w:r>
      <w:r w:rsidRPr="001710A1">
        <w:rPr>
          <w:lang w:eastAsia="fr-FR" w:bidi="fr-FR"/>
        </w:rPr>
        <w:t>se de déc</w:t>
      </w:r>
      <w:r w:rsidRPr="001710A1">
        <w:rPr>
          <w:lang w:eastAsia="fr-FR" w:bidi="fr-FR"/>
        </w:rPr>
        <w:t>i</w:t>
      </w:r>
      <w:r w:rsidRPr="001710A1">
        <w:rPr>
          <w:lang w:eastAsia="fr-FR" w:bidi="fr-FR"/>
        </w:rPr>
        <w:t xml:space="preserve">sion que procure le Forum du </w:t>
      </w:r>
      <w:r w:rsidRPr="001710A1">
        <w:rPr>
          <w:bCs/>
        </w:rPr>
        <w:t xml:space="preserve">NSC. </w:t>
      </w:r>
      <w:r w:rsidRPr="001710A1">
        <w:rPr>
          <w:lang w:eastAsia="fr-FR" w:bidi="fr-FR"/>
        </w:rPr>
        <w:t xml:space="preserve">L’expertise du </w:t>
      </w:r>
      <w:r w:rsidRPr="001710A1">
        <w:rPr>
          <w:bCs/>
        </w:rPr>
        <w:t xml:space="preserve">NSC </w:t>
      </w:r>
      <w:r w:rsidRPr="001710A1">
        <w:rPr>
          <w:lang w:eastAsia="fr-FR" w:bidi="fr-FR"/>
        </w:rPr>
        <w:t>lui permet de légitimer des décisions contr</w:t>
      </w:r>
      <w:r w:rsidRPr="001710A1">
        <w:rPr>
          <w:lang w:eastAsia="fr-FR" w:bidi="fr-FR"/>
        </w:rPr>
        <w:t>o</w:t>
      </w:r>
      <w:r w:rsidRPr="001710A1">
        <w:rPr>
          <w:lang w:eastAsia="fr-FR" w:bidi="fr-FR"/>
        </w:rPr>
        <w:t>versées, comme le renvoi du général MacArthur (motivé par un profond désaccord entre les deux hommes quant à l’intervention en Corée). Tandis que le secrétaire</w:t>
      </w:r>
      <w:r w:rsidRPr="001C2E2B">
        <w:rPr>
          <w:lang w:eastAsia="fr-FR" w:bidi="fr-FR"/>
        </w:rPr>
        <w:t xml:space="preserve"> exécutif du </w:t>
      </w:r>
      <w:r w:rsidRPr="00DE7EF3">
        <w:rPr>
          <w:rStyle w:val="Corpsdutexte28ptGras"/>
          <w:b w:val="0"/>
          <w:bCs w:val="0"/>
        </w:rPr>
        <w:t>NSC</w:t>
      </w:r>
      <w:r w:rsidRPr="001C2E2B">
        <w:rPr>
          <w:rStyle w:val="Corpsdutexte28ptGras"/>
        </w:rPr>
        <w:t xml:space="preserve"> </w:t>
      </w:r>
      <w:r w:rsidRPr="001C2E2B">
        <w:rPr>
          <w:lang w:eastAsia="fr-FR" w:bidi="fr-FR"/>
        </w:rPr>
        <w:t>demeure effacé (qui se souvient des conseillers Si</w:t>
      </w:r>
      <w:r w:rsidRPr="001C2E2B">
        <w:rPr>
          <w:lang w:eastAsia="fr-FR" w:bidi="fr-FR"/>
        </w:rPr>
        <w:t>d</w:t>
      </w:r>
      <w:r w:rsidRPr="001C2E2B">
        <w:rPr>
          <w:lang w:eastAsia="fr-FR" w:bidi="fr-FR"/>
        </w:rPr>
        <w:t>ney Souers et James Lay</w:t>
      </w:r>
      <w:r>
        <w:rPr>
          <w:lang w:eastAsia="fr-FR" w:bidi="fr-FR"/>
        </w:rPr>
        <w:t> </w:t>
      </w:r>
      <w:r>
        <w:rPr>
          <w:rStyle w:val="Appelnotedebasdep"/>
          <w:lang w:eastAsia="fr-FR" w:bidi="fr-FR"/>
        </w:rPr>
        <w:footnoteReference w:id="487"/>
      </w:r>
      <w:r w:rsidRPr="001C2E2B">
        <w:t> ?</w:t>
      </w:r>
      <w:r w:rsidRPr="001C2E2B">
        <w:rPr>
          <w:lang w:eastAsia="fr-FR" w:bidi="fr-FR"/>
        </w:rPr>
        <w:t>), des conseillers spéciaux, tels George E</w:t>
      </w:r>
      <w:r w:rsidRPr="001C2E2B">
        <w:rPr>
          <w:lang w:eastAsia="fr-FR" w:bidi="fr-FR"/>
        </w:rPr>
        <w:t>l</w:t>
      </w:r>
      <w:r w:rsidRPr="001C2E2B">
        <w:rPr>
          <w:lang w:eastAsia="fr-FR" w:bidi="fr-FR"/>
        </w:rPr>
        <w:t xml:space="preserve">sey, Averell Harriman et Clark Clifford deviennent des personnages clés auxquels Truman recourt fréquemment. </w:t>
      </w:r>
      <w:r>
        <w:rPr>
          <w:lang w:eastAsia="fr-FR" w:bidi="fr-FR"/>
        </w:rPr>
        <w:t>À</w:t>
      </w:r>
      <w:r w:rsidRPr="001C2E2B">
        <w:rPr>
          <w:lang w:eastAsia="fr-FR" w:bidi="fr-FR"/>
        </w:rPr>
        <w:t xml:space="preserve"> ce titre, ils ont mené plusieurs dossiers et négociations de politique étra</w:t>
      </w:r>
      <w:r w:rsidRPr="001C2E2B">
        <w:rPr>
          <w:lang w:eastAsia="fr-FR" w:bidi="fr-FR"/>
        </w:rPr>
        <w:t>n</w:t>
      </w:r>
      <w:r w:rsidRPr="001C2E2B">
        <w:rPr>
          <w:lang w:eastAsia="fr-FR" w:bidi="fr-FR"/>
        </w:rPr>
        <w:t>gère. Ce sont en fait les précurseurs des futurs conseillers pour la Sécurité nationale.</w:t>
      </w:r>
    </w:p>
    <w:p w14:paraId="2C493393" w14:textId="77777777" w:rsidR="0039793A" w:rsidRPr="001C2E2B" w:rsidRDefault="0039793A" w:rsidP="0039793A">
      <w:pPr>
        <w:spacing w:before="120" w:after="120"/>
        <w:jc w:val="both"/>
      </w:pPr>
      <w:r w:rsidRPr="001C2E2B">
        <w:rPr>
          <w:lang w:eastAsia="fr-FR" w:bidi="fr-FR"/>
        </w:rPr>
        <w:t>Sous Truman, le rôle du Conseil reste confiné à sa fonction consu</w:t>
      </w:r>
      <w:r w:rsidRPr="001C2E2B">
        <w:rPr>
          <w:lang w:eastAsia="fr-FR" w:bidi="fr-FR"/>
        </w:rPr>
        <w:t>l</w:t>
      </w:r>
      <w:r w:rsidRPr="001C2E2B">
        <w:rPr>
          <w:lang w:eastAsia="fr-FR" w:bidi="fr-FR"/>
        </w:rPr>
        <w:t>tative. Sa structure administrative est flexible et plutôt</w:t>
      </w:r>
      <w:r>
        <w:t xml:space="preserve"> [234] </w:t>
      </w:r>
      <w:r w:rsidRPr="001C2E2B">
        <w:rPr>
          <w:lang w:eastAsia="fr-FR" w:bidi="fr-FR"/>
        </w:rPr>
        <w:t>informe</w:t>
      </w:r>
      <w:r w:rsidRPr="001C2E2B">
        <w:rPr>
          <w:lang w:eastAsia="fr-FR" w:bidi="fr-FR"/>
        </w:rPr>
        <w:t>l</w:t>
      </w:r>
      <w:r w:rsidRPr="001C2E2B">
        <w:rPr>
          <w:lang w:eastAsia="fr-FR" w:bidi="fr-FR"/>
        </w:rPr>
        <w:t>le et tend essentiellement à coordonner globalement les bureaucraties. La formulation de la politique étrangère demeure l’apanage du Dépa</w:t>
      </w:r>
      <w:r w:rsidRPr="001C2E2B">
        <w:rPr>
          <w:lang w:eastAsia="fr-FR" w:bidi="fr-FR"/>
        </w:rPr>
        <w:t>r</w:t>
      </w:r>
      <w:r w:rsidRPr="001C2E2B">
        <w:rPr>
          <w:lang w:eastAsia="fr-FR" w:bidi="fr-FR"/>
        </w:rPr>
        <w:t>tement d’</w:t>
      </w:r>
      <w:r>
        <w:rPr>
          <w:lang w:eastAsia="fr-FR" w:bidi="fr-FR"/>
        </w:rPr>
        <w:t>État</w:t>
      </w:r>
      <w:r w:rsidRPr="001C2E2B">
        <w:rPr>
          <w:lang w:eastAsia="fr-FR" w:bidi="fr-FR"/>
        </w:rPr>
        <w:t>.</w:t>
      </w:r>
    </w:p>
    <w:p w14:paraId="0F4C5F7A" w14:textId="77777777" w:rsidR="0039793A" w:rsidRDefault="0039793A" w:rsidP="0039793A">
      <w:pPr>
        <w:spacing w:before="120" w:after="120"/>
        <w:jc w:val="both"/>
        <w:rPr>
          <w:lang w:eastAsia="fr-FR" w:bidi="fr-FR"/>
        </w:rPr>
      </w:pPr>
    </w:p>
    <w:p w14:paraId="7FF79353" w14:textId="77777777" w:rsidR="0039793A" w:rsidRPr="001710A1" w:rsidRDefault="0039793A" w:rsidP="0039793A">
      <w:pPr>
        <w:pStyle w:val="b"/>
      </w:pPr>
      <w:r w:rsidRPr="001710A1">
        <w:rPr>
          <w:lang w:eastAsia="fr-FR" w:bidi="fr-FR"/>
        </w:rPr>
        <w:t xml:space="preserve">Le renforcement </w:t>
      </w:r>
      <w:r w:rsidRPr="001710A1">
        <w:rPr>
          <w:iCs/>
        </w:rPr>
        <w:t xml:space="preserve">du NSC dans </w:t>
      </w:r>
      <w:r w:rsidRPr="001710A1">
        <w:rPr>
          <w:lang w:eastAsia="fr-FR" w:bidi="fr-FR"/>
        </w:rPr>
        <w:t>le processus</w:t>
      </w:r>
      <w:r w:rsidRPr="001710A1">
        <w:rPr>
          <w:lang w:eastAsia="fr-FR" w:bidi="fr-FR"/>
        </w:rPr>
        <w:br/>
        <w:t>décisionnel sous Eisenhower</w:t>
      </w:r>
    </w:p>
    <w:p w14:paraId="57DBC658" w14:textId="77777777" w:rsidR="0039793A" w:rsidRDefault="0039793A" w:rsidP="0039793A">
      <w:pPr>
        <w:spacing w:before="120" w:after="120"/>
        <w:jc w:val="both"/>
        <w:rPr>
          <w:lang w:eastAsia="fr-FR" w:bidi="fr-FR"/>
        </w:rPr>
      </w:pPr>
    </w:p>
    <w:p w14:paraId="25550D17" w14:textId="77777777" w:rsidR="0039793A" w:rsidRPr="001C2E2B" w:rsidRDefault="0039793A" w:rsidP="0039793A">
      <w:pPr>
        <w:spacing w:before="120" w:after="120"/>
        <w:jc w:val="both"/>
      </w:pPr>
      <w:r w:rsidRPr="001C2E2B">
        <w:rPr>
          <w:lang w:eastAsia="fr-FR" w:bidi="fr-FR"/>
        </w:rPr>
        <w:t>Le président Eisenhower (1953-1960) va considérablement dév</w:t>
      </w:r>
      <w:r w:rsidRPr="001C2E2B">
        <w:rPr>
          <w:lang w:eastAsia="fr-FR" w:bidi="fr-FR"/>
        </w:rPr>
        <w:t>e</w:t>
      </w:r>
      <w:r w:rsidRPr="001C2E2B">
        <w:rPr>
          <w:lang w:eastAsia="fr-FR" w:bidi="fr-FR"/>
        </w:rPr>
        <w:t>lopper les mécanismes fo</w:t>
      </w:r>
      <w:r w:rsidRPr="001C2E2B">
        <w:rPr>
          <w:lang w:eastAsia="fr-FR" w:bidi="fr-FR"/>
        </w:rPr>
        <w:t>r</w:t>
      </w:r>
      <w:r w:rsidRPr="001C2E2B">
        <w:rPr>
          <w:lang w:eastAsia="fr-FR" w:bidi="fr-FR"/>
        </w:rPr>
        <w:t xml:space="preserve">mels du </w:t>
      </w:r>
      <w:r w:rsidRPr="001C2E2B">
        <w:t xml:space="preserve">NSC, </w:t>
      </w:r>
      <w:r w:rsidRPr="001C2E2B">
        <w:rPr>
          <w:lang w:eastAsia="fr-FR" w:bidi="fr-FR"/>
        </w:rPr>
        <w:t xml:space="preserve">et en particulier les comités qui en amont </w:t>
      </w:r>
      <w:r w:rsidRPr="001C2E2B">
        <w:t>(</w:t>
      </w:r>
      <w:r w:rsidRPr="00124E50">
        <w:rPr>
          <w:i/>
          <w:iCs/>
        </w:rPr>
        <w:t>Policy Planning Board</w:t>
      </w:r>
      <w:r w:rsidRPr="001C2E2B">
        <w:t>)</w:t>
      </w:r>
      <w:r w:rsidRPr="001C2E2B">
        <w:rPr>
          <w:lang w:eastAsia="fr-FR" w:bidi="fr-FR"/>
        </w:rPr>
        <w:t xml:space="preserve"> et en aval (</w:t>
      </w:r>
      <w:r w:rsidRPr="00124E50">
        <w:rPr>
          <w:i/>
          <w:iCs/>
        </w:rPr>
        <w:t>Operations Coord</w:t>
      </w:r>
      <w:r w:rsidRPr="00124E50">
        <w:rPr>
          <w:i/>
          <w:iCs/>
        </w:rPr>
        <w:t>i</w:t>
      </w:r>
      <w:r w:rsidRPr="00124E50">
        <w:rPr>
          <w:i/>
          <w:iCs/>
        </w:rPr>
        <w:t>nating Board</w:t>
      </w:r>
      <w:r w:rsidRPr="001C2E2B">
        <w:t>)</w:t>
      </w:r>
      <w:r w:rsidRPr="001C2E2B">
        <w:rPr>
          <w:lang w:eastAsia="fr-FR" w:bidi="fr-FR"/>
        </w:rPr>
        <w:t xml:space="preserve"> vont encadrer l’action des départements. Le Forum se réunit trois fois plus que sous Truman. Les comités interdéparteme</w:t>
      </w:r>
      <w:r w:rsidRPr="001C2E2B">
        <w:rPr>
          <w:lang w:eastAsia="fr-FR" w:bidi="fr-FR"/>
        </w:rPr>
        <w:t>n</w:t>
      </w:r>
      <w:r w:rsidRPr="001C2E2B">
        <w:rPr>
          <w:lang w:eastAsia="fr-FR" w:bidi="fr-FR"/>
        </w:rPr>
        <w:t>taux sont régulièrement convoqués (jusqu’à plusieurs fois par sema</w:t>
      </w:r>
      <w:r w:rsidRPr="001C2E2B">
        <w:rPr>
          <w:lang w:eastAsia="fr-FR" w:bidi="fr-FR"/>
        </w:rPr>
        <w:t>i</w:t>
      </w:r>
      <w:r w:rsidRPr="001C2E2B">
        <w:rPr>
          <w:lang w:eastAsia="fr-FR" w:bidi="fr-FR"/>
        </w:rPr>
        <w:t xml:space="preserve">ne). Les effectifs permanents du </w:t>
      </w:r>
      <w:r w:rsidRPr="001C2E2B">
        <w:t xml:space="preserve">NSC </w:t>
      </w:r>
      <w:r w:rsidRPr="001C2E2B">
        <w:rPr>
          <w:lang w:eastAsia="fr-FR" w:bidi="fr-FR"/>
        </w:rPr>
        <w:t>doublent (de 25 à 50) et le pr</w:t>
      </w:r>
      <w:r w:rsidRPr="001C2E2B">
        <w:rPr>
          <w:lang w:eastAsia="fr-FR" w:bidi="fr-FR"/>
        </w:rPr>
        <w:t>e</w:t>
      </w:r>
      <w:r w:rsidRPr="001C2E2B">
        <w:rPr>
          <w:lang w:eastAsia="fr-FR" w:bidi="fr-FR"/>
        </w:rPr>
        <w:t>mier conseiller pour la Sécurité nationale, Robert Cutler, est officie</w:t>
      </w:r>
      <w:r w:rsidRPr="001C2E2B">
        <w:rPr>
          <w:lang w:eastAsia="fr-FR" w:bidi="fr-FR"/>
        </w:rPr>
        <w:t>l</w:t>
      </w:r>
      <w:r w:rsidRPr="001C2E2B">
        <w:rPr>
          <w:lang w:eastAsia="fr-FR" w:bidi="fr-FR"/>
        </w:rPr>
        <w:t xml:space="preserve">lement désigné. L’institution du </w:t>
      </w:r>
      <w:r w:rsidRPr="001C2E2B">
        <w:t xml:space="preserve">NSC </w:t>
      </w:r>
      <w:r w:rsidRPr="001C2E2B">
        <w:rPr>
          <w:lang w:eastAsia="fr-FR" w:bidi="fr-FR"/>
        </w:rPr>
        <w:t>prend des allures quasi milita</w:t>
      </w:r>
      <w:r w:rsidRPr="001C2E2B">
        <w:rPr>
          <w:lang w:eastAsia="fr-FR" w:bidi="fr-FR"/>
        </w:rPr>
        <w:t>i</w:t>
      </w:r>
      <w:r w:rsidRPr="001C2E2B">
        <w:rPr>
          <w:lang w:eastAsia="fr-FR" w:bidi="fr-FR"/>
        </w:rPr>
        <w:t>res, très structurée et hiérarchique. Eisenhower utilise abo</w:t>
      </w:r>
      <w:r w:rsidRPr="001C2E2B">
        <w:rPr>
          <w:lang w:eastAsia="fr-FR" w:bidi="fr-FR"/>
        </w:rPr>
        <w:t>n</w:t>
      </w:r>
      <w:r w:rsidRPr="001C2E2B">
        <w:rPr>
          <w:lang w:eastAsia="fr-FR" w:bidi="fr-FR"/>
        </w:rPr>
        <w:t xml:space="preserve">damment le </w:t>
      </w:r>
      <w:r w:rsidRPr="001C2E2B">
        <w:t xml:space="preserve">NSC </w:t>
      </w:r>
      <w:r w:rsidRPr="001C2E2B">
        <w:rPr>
          <w:lang w:eastAsia="fr-FR" w:bidi="fr-FR"/>
        </w:rPr>
        <w:t>comme conseil tout en conservant la pleine maîtrise de la d</w:t>
      </w:r>
      <w:r w:rsidRPr="001C2E2B">
        <w:rPr>
          <w:lang w:eastAsia="fr-FR" w:bidi="fr-FR"/>
        </w:rPr>
        <w:t>é</w:t>
      </w:r>
      <w:r w:rsidRPr="001C2E2B">
        <w:rPr>
          <w:lang w:eastAsia="fr-FR" w:bidi="fr-FR"/>
        </w:rPr>
        <w:t xml:space="preserve">cision. Alors que nombre d’observateurs contemporains d’Eisenhower estiment qu’il est un président passif et qu’il utilise le </w:t>
      </w:r>
      <w:r w:rsidRPr="001C2E2B">
        <w:t xml:space="preserve">NSC </w:t>
      </w:r>
      <w:r w:rsidRPr="001C2E2B">
        <w:rPr>
          <w:lang w:eastAsia="fr-FR" w:bidi="fr-FR"/>
        </w:rPr>
        <w:t>pour se réfugier derrière des décisions prises collectivement, Eisenhower est dans les faits très engagé</w:t>
      </w:r>
      <w:r w:rsidRPr="001C2E2B">
        <w:t> :</w:t>
      </w:r>
      <w:r w:rsidRPr="001C2E2B">
        <w:rPr>
          <w:lang w:eastAsia="fr-FR" w:bidi="fr-FR"/>
        </w:rPr>
        <w:t xml:space="preserve"> il maîtrise bien ses do</w:t>
      </w:r>
      <w:r w:rsidRPr="001C2E2B">
        <w:rPr>
          <w:lang w:eastAsia="fr-FR" w:bidi="fr-FR"/>
        </w:rPr>
        <w:t>s</w:t>
      </w:r>
      <w:r w:rsidRPr="001C2E2B">
        <w:rPr>
          <w:lang w:eastAsia="fr-FR" w:bidi="fr-FR"/>
        </w:rPr>
        <w:t xml:space="preserve">siers et décide de manière résolue - souvent en dehors des mécanismes du </w:t>
      </w:r>
      <w:r w:rsidRPr="001C2E2B">
        <w:t xml:space="preserve">NSC. </w:t>
      </w:r>
      <w:r w:rsidRPr="001C2E2B">
        <w:rPr>
          <w:lang w:eastAsia="fr-FR" w:bidi="fr-FR"/>
        </w:rPr>
        <w:t>En m</w:t>
      </w:r>
      <w:r w:rsidRPr="001C2E2B">
        <w:rPr>
          <w:lang w:eastAsia="fr-FR" w:bidi="fr-FR"/>
        </w:rPr>
        <w:t>a</w:t>
      </w:r>
      <w:r w:rsidRPr="001C2E2B">
        <w:rPr>
          <w:lang w:eastAsia="fr-FR" w:bidi="fr-FR"/>
        </w:rPr>
        <w:t>tière de fo</w:t>
      </w:r>
      <w:r w:rsidRPr="001C2E2B">
        <w:rPr>
          <w:lang w:eastAsia="fr-FR" w:bidi="fr-FR"/>
        </w:rPr>
        <w:t>r</w:t>
      </w:r>
      <w:r w:rsidRPr="001C2E2B">
        <w:rPr>
          <w:lang w:eastAsia="fr-FR" w:bidi="fr-FR"/>
        </w:rPr>
        <w:t>mulation de la politique étrangère, le secrétaire d’</w:t>
      </w:r>
      <w:r>
        <w:rPr>
          <w:lang w:eastAsia="fr-FR" w:bidi="fr-FR"/>
        </w:rPr>
        <w:t>État</w:t>
      </w:r>
      <w:r w:rsidRPr="001C2E2B">
        <w:rPr>
          <w:lang w:eastAsia="fr-FR" w:bidi="fr-FR"/>
        </w:rPr>
        <w:t xml:space="preserve"> (John Foster Dulles), comme son départ</w:t>
      </w:r>
      <w:r w:rsidRPr="001C2E2B">
        <w:rPr>
          <w:lang w:eastAsia="fr-FR" w:bidi="fr-FR"/>
        </w:rPr>
        <w:t>e</w:t>
      </w:r>
      <w:r w:rsidRPr="001C2E2B">
        <w:rPr>
          <w:lang w:eastAsia="fr-FR" w:bidi="fr-FR"/>
        </w:rPr>
        <w:t>ment, demeure donc l’acteur bureaucratique pr</w:t>
      </w:r>
      <w:r w:rsidRPr="001C2E2B">
        <w:rPr>
          <w:lang w:eastAsia="fr-FR" w:bidi="fr-FR"/>
        </w:rPr>
        <w:t>é</w:t>
      </w:r>
      <w:r w:rsidRPr="001C2E2B">
        <w:rPr>
          <w:lang w:eastAsia="fr-FR" w:bidi="fr-FR"/>
        </w:rPr>
        <w:t xml:space="preserve">dominant. Tandis que le secrétaire exécutif du </w:t>
      </w:r>
      <w:r w:rsidRPr="001C2E2B">
        <w:t xml:space="preserve">NSC </w:t>
      </w:r>
      <w:r w:rsidRPr="001C2E2B">
        <w:rPr>
          <w:lang w:eastAsia="fr-FR" w:bidi="fr-FR"/>
        </w:rPr>
        <w:t>(le général Andrew Goodpaster) agit comme véritable éminence grise du président, le conseiller pour la Sécurité nationale Cutler accomplit discr</w:t>
      </w:r>
      <w:r w:rsidRPr="001C2E2B">
        <w:rPr>
          <w:lang w:eastAsia="fr-FR" w:bidi="fr-FR"/>
        </w:rPr>
        <w:t>è</w:t>
      </w:r>
      <w:r w:rsidRPr="001C2E2B">
        <w:rPr>
          <w:lang w:eastAsia="fr-FR" w:bidi="fr-FR"/>
        </w:rPr>
        <w:t>tement ses tâches de coordination</w:t>
      </w:r>
      <w:r w:rsidRPr="001C2E2B">
        <w:t> :</w:t>
      </w:r>
      <w:r w:rsidRPr="001C2E2B">
        <w:rPr>
          <w:lang w:eastAsia="fr-FR" w:bidi="fr-FR"/>
        </w:rPr>
        <w:t xml:space="preserve"> les rôles, au regard de la loi, sont inversés. Par contre, le personnel du </w:t>
      </w:r>
      <w:r w:rsidRPr="001C2E2B">
        <w:t xml:space="preserve">NSC </w:t>
      </w:r>
      <w:r w:rsidRPr="001C2E2B">
        <w:rPr>
          <w:lang w:eastAsia="fr-FR" w:bidi="fr-FR"/>
        </w:rPr>
        <w:t>commence à dévelo</w:t>
      </w:r>
      <w:r w:rsidRPr="001C2E2B">
        <w:rPr>
          <w:lang w:eastAsia="fr-FR" w:bidi="fr-FR"/>
        </w:rPr>
        <w:t>p</w:t>
      </w:r>
      <w:r w:rsidRPr="001C2E2B">
        <w:rPr>
          <w:lang w:eastAsia="fr-FR" w:bidi="fr-FR"/>
        </w:rPr>
        <w:t>per de véritables protocoles, des capacités autonomes de plan</w:t>
      </w:r>
      <w:r w:rsidRPr="001C2E2B">
        <w:rPr>
          <w:lang w:eastAsia="fr-FR" w:bidi="fr-FR"/>
        </w:rPr>
        <w:t>i</w:t>
      </w:r>
      <w:r w:rsidRPr="001C2E2B">
        <w:rPr>
          <w:lang w:eastAsia="fr-FR" w:bidi="fr-FR"/>
        </w:rPr>
        <w:t>fication et de coordination de la politique étrang</w:t>
      </w:r>
      <w:r w:rsidRPr="001C2E2B">
        <w:rPr>
          <w:lang w:eastAsia="fr-FR" w:bidi="fr-FR"/>
        </w:rPr>
        <w:t>è</w:t>
      </w:r>
      <w:r w:rsidRPr="001C2E2B">
        <w:rPr>
          <w:lang w:eastAsia="fr-FR" w:bidi="fr-FR"/>
        </w:rPr>
        <w:t xml:space="preserve">re. Les canaux informels de la prise de décision se révèlent beaucoup plus déterminants qu’on ne l’avait cru. Les mécanismes du </w:t>
      </w:r>
      <w:r w:rsidRPr="001C2E2B">
        <w:t xml:space="preserve">NSC </w:t>
      </w:r>
      <w:r w:rsidRPr="001C2E2B">
        <w:rPr>
          <w:lang w:eastAsia="fr-FR" w:bidi="fr-FR"/>
        </w:rPr>
        <w:t>sont renfo</w:t>
      </w:r>
      <w:r w:rsidRPr="001C2E2B">
        <w:rPr>
          <w:lang w:eastAsia="fr-FR" w:bidi="fr-FR"/>
        </w:rPr>
        <w:t>r</w:t>
      </w:r>
      <w:r w:rsidRPr="001C2E2B">
        <w:rPr>
          <w:lang w:eastAsia="fr-FR" w:bidi="fr-FR"/>
        </w:rPr>
        <w:t>cés, notamment les comités interdépartementaux spéciaux chargés de définir les options d’actions clandestines du gouvernement américain. D’ailleurs, à la fin des années 1950, les critiques (notamment la commission Jackson au Congrès) dénoncent la lourdeur, le manque de créativité et surtout la trop grande institutionnalisation des pr</w:t>
      </w:r>
      <w:r w:rsidRPr="001C2E2B">
        <w:rPr>
          <w:lang w:eastAsia="fr-FR" w:bidi="fr-FR"/>
        </w:rPr>
        <w:t>o</w:t>
      </w:r>
      <w:r w:rsidRPr="001C2E2B">
        <w:rPr>
          <w:lang w:eastAsia="fr-FR" w:bidi="fr-FR"/>
        </w:rPr>
        <w:t>cessus du</w:t>
      </w:r>
      <w:r>
        <w:t xml:space="preserve"> </w:t>
      </w:r>
      <w:r>
        <w:rPr>
          <w:lang w:eastAsia="fr-FR" w:bidi="fr-FR"/>
        </w:rPr>
        <w:t xml:space="preserve">[235] </w:t>
      </w:r>
      <w:r w:rsidRPr="001C2E2B">
        <w:t xml:space="preserve">NSC. </w:t>
      </w:r>
      <w:r w:rsidRPr="001C2E2B">
        <w:rPr>
          <w:lang w:eastAsia="fr-FR" w:bidi="fr-FR"/>
        </w:rPr>
        <w:t>Pour autant, il semblerait qu’avec le recul, ces mécanismes aient adéquat</w:t>
      </w:r>
      <w:r w:rsidRPr="001C2E2B">
        <w:rPr>
          <w:lang w:eastAsia="fr-FR" w:bidi="fr-FR"/>
        </w:rPr>
        <w:t>e</w:t>
      </w:r>
      <w:r w:rsidRPr="001C2E2B">
        <w:rPr>
          <w:lang w:eastAsia="fr-FR" w:bidi="fr-FR"/>
        </w:rPr>
        <w:t>ment servi la présidence d’Eisenhower. Celui-ci a ainsi habilement canalisé la bureaucratie, ventilé les options et géré les crises. Les a</w:t>
      </w:r>
      <w:r w:rsidRPr="001C2E2B">
        <w:rPr>
          <w:lang w:eastAsia="fr-FR" w:bidi="fr-FR"/>
        </w:rPr>
        <w:t>n</w:t>
      </w:r>
      <w:r w:rsidRPr="001C2E2B">
        <w:rPr>
          <w:lang w:eastAsia="fr-FR" w:bidi="fr-FR"/>
        </w:rPr>
        <w:t>nées Eisenhower représe</w:t>
      </w:r>
      <w:r w:rsidRPr="001C2E2B">
        <w:rPr>
          <w:lang w:eastAsia="fr-FR" w:bidi="fr-FR"/>
        </w:rPr>
        <w:t>n</w:t>
      </w:r>
      <w:r w:rsidRPr="001C2E2B">
        <w:rPr>
          <w:lang w:eastAsia="fr-FR" w:bidi="fr-FR"/>
        </w:rPr>
        <w:t>tent, en fin de compte, un succès sur le plan déc</w:t>
      </w:r>
      <w:r w:rsidRPr="001C2E2B">
        <w:rPr>
          <w:lang w:eastAsia="fr-FR" w:bidi="fr-FR"/>
        </w:rPr>
        <w:t>i</w:t>
      </w:r>
      <w:r w:rsidRPr="001C2E2B">
        <w:rPr>
          <w:lang w:eastAsia="fr-FR" w:bidi="fr-FR"/>
        </w:rPr>
        <w:t>sionnel en politique étrangère.</w:t>
      </w:r>
    </w:p>
    <w:p w14:paraId="4AE3ED24" w14:textId="77777777" w:rsidR="0039793A" w:rsidRDefault="0039793A" w:rsidP="0039793A">
      <w:pPr>
        <w:spacing w:before="120" w:after="120"/>
        <w:jc w:val="both"/>
        <w:rPr>
          <w:lang w:eastAsia="fr-FR" w:bidi="fr-FR"/>
        </w:rPr>
      </w:pPr>
    </w:p>
    <w:p w14:paraId="250D6A5A" w14:textId="77777777" w:rsidR="0039793A" w:rsidRPr="001C2E2B" w:rsidRDefault="0039793A" w:rsidP="0039793A">
      <w:pPr>
        <w:pStyle w:val="a"/>
      </w:pPr>
      <w:r w:rsidRPr="001C2E2B">
        <w:t>La présidentialisation du NSC</w:t>
      </w:r>
    </w:p>
    <w:p w14:paraId="0EB5C43B" w14:textId="77777777" w:rsidR="0039793A" w:rsidRDefault="0039793A" w:rsidP="0039793A">
      <w:pPr>
        <w:spacing w:before="120" w:after="120"/>
        <w:jc w:val="both"/>
        <w:rPr>
          <w:lang w:eastAsia="fr-FR" w:bidi="fr-FR"/>
        </w:rPr>
      </w:pPr>
    </w:p>
    <w:p w14:paraId="6E35D47C" w14:textId="77777777" w:rsidR="0039793A" w:rsidRPr="001710A1" w:rsidRDefault="0039793A" w:rsidP="0039793A">
      <w:pPr>
        <w:pStyle w:val="b"/>
      </w:pPr>
      <w:r w:rsidRPr="001710A1">
        <w:rPr>
          <w:lang w:eastAsia="fr-FR" w:bidi="fr-FR"/>
        </w:rPr>
        <w:t>La réforme substantielle opérée par Kennedy</w:t>
      </w:r>
    </w:p>
    <w:p w14:paraId="22259D13" w14:textId="77777777" w:rsidR="0039793A" w:rsidRDefault="0039793A" w:rsidP="0039793A">
      <w:pPr>
        <w:spacing w:before="120" w:after="120"/>
        <w:jc w:val="both"/>
        <w:rPr>
          <w:lang w:eastAsia="fr-FR" w:bidi="fr-FR"/>
        </w:rPr>
      </w:pPr>
    </w:p>
    <w:p w14:paraId="1807977B" w14:textId="77777777" w:rsidR="0039793A" w:rsidRPr="001C2E2B" w:rsidRDefault="0039793A" w:rsidP="0039793A">
      <w:pPr>
        <w:spacing w:before="120" w:after="120"/>
        <w:jc w:val="both"/>
      </w:pPr>
      <w:r w:rsidRPr="001C2E2B">
        <w:rPr>
          <w:lang w:eastAsia="fr-FR" w:bidi="fr-FR"/>
        </w:rPr>
        <w:t>Dès son élection, le président Kennedy (1961-1963) va considér</w:t>
      </w:r>
      <w:r w:rsidRPr="001C2E2B">
        <w:rPr>
          <w:lang w:eastAsia="fr-FR" w:bidi="fr-FR"/>
        </w:rPr>
        <w:t>a</w:t>
      </w:r>
      <w:r w:rsidRPr="001C2E2B">
        <w:rPr>
          <w:lang w:eastAsia="fr-FR" w:bidi="fr-FR"/>
        </w:rPr>
        <w:t xml:space="preserve">blement modifier la structure du </w:t>
      </w:r>
      <w:r w:rsidRPr="001C2E2B">
        <w:t xml:space="preserve">NSC. </w:t>
      </w:r>
      <w:r w:rsidRPr="001C2E2B">
        <w:rPr>
          <w:lang w:eastAsia="fr-FR" w:bidi="fr-FR"/>
        </w:rPr>
        <w:t>Trois changements sont ainsi significatifs.</w:t>
      </w:r>
    </w:p>
    <w:p w14:paraId="764AF849" w14:textId="77777777" w:rsidR="0039793A" w:rsidRPr="001C2E2B" w:rsidRDefault="0039793A" w:rsidP="0039793A">
      <w:pPr>
        <w:spacing w:before="120" w:after="120"/>
        <w:jc w:val="both"/>
      </w:pPr>
      <w:r w:rsidRPr="00564282">
        <w:rPr>
          <w:i/>
          <w:lang w:eastAsia="fr-FR" w:bidi="fr-FR"/>
        </w:rPr>
        <w:t>En premier lieu</w:t>
      </w:r>
      <w:r w:rsidRPr="001C2E2B">
        <w:rPr>
          <w:lang w:eastAsia="fr-FR" w:bidi="fr-FR"/>
        </w:rPr>
        <w:t>, il abandonne le système des comités interdépa</w:t>
      </w:r>
      <w:r w:rsidRPr="001C2E2B">
        <w:rPr>
          <w:lang w:eastAsia="fr-FR" w:bidi="fr-FR"/>
        </w:rPr>
        <w:t>r</w:t>
      </w:r>
      <w:r w:rsidRPr="001C2E2B">
        <w:rPr>
          <w:lang w:eastAsia="fr-FR" w:bidi="fr-FR"/>
        </w:rPr>
        <w:t>tementaux mis en place par E</w:t>
      </w:r>
      <w:r w:rsidRPr="001C2E2B">
        <w:rPr>
          <w:lang w:eastAsia="fr-FR" w:bidi="fr-FR"/>
        </w:rPr>
        <w:t>i</w:t>
      </w:r>
      <w:r w:rsidRPr="001C2E2B">
        <w:rPr>
          <w:lang w:eastAsia="fr-FR" w:bidi="fr-FR"/>
        </w:rPr>
        <w:t>senhower (système qui ne sera rétabli qu’en 1966). Pendant quatre ans, le président va privilégier des formes plus souples et collégiales de prise de déc</w:t>
      </w:r>
      <w:r w:rsidRPr="001C2E2B">
        <w:rPr>
          <w:lang w:eastAsia="fr-FR" w:bidi="fr-FR"/>
        </w:rPr>
        <w:t>i</w:t>
      </w:r>
      <w:r w:rsidRPr="001C2E2B">
        <w:rPr>
          <w:lang w:eastAsia="fr-FR" w:bidi="fr-FR"/>
        </w:rPr>
        <w:t>sion. Des groupes informels de prise de décision sont introduits, notamment après la débâcle de la baie des Cochons en avril 1961 pour laquelle le Département d’</w:t>
      </w:r>
      <w:r>
        <w:rPr>
          <w:lang w:eastAsia="fr-FR" w:bidi="fr-FR"/>
        </w:rPr>
        <w:t>État</w:t>
      </w:r>
      <w:r w:rsidRPr="001C2E2B">
        <w:rPr>
          <w:lang w:eastAsia="fr-FR" w:bidi="fr-FR"/>
        </w:rPr>
        <w:t xml:space="preserve"> et la </w:t>
      </w:r>
      <w:r w:rsidRPr="001C2E2B">
        <w:t xml:space="preserve">CIA </w:t>
      </w:r>
      <w:r w:rsidRPr="001C2E2B">
        <w:rPr>
          <w:lang w:eastAsia="fr-FR" w:bidi="fr-FR"/>
        </w:rPr>
        <w:t xml:space="preserve">sont sévèrement blâmés. Un groupe tel </w:t>
      </w:r>
      <w:r>
        <w:t>l’</w:t>
      </w:r>
      <w:r w:rsidRPr="00124E50">
        <w:rPr>
          <w:i/>
          <w:iCs/>
        </w:rPr>
        <w:t>Ex Com</w:t>
      </w:r>
      <w:r w:rsidRPr="00124E50">
        <w:rPr>
          <w:i/>
          <w:iCs/>
          <w:lang w:eastAsia="fr-FR" w:bidi="fr-FR"/>
        </w:rPr>
        <w:t xml:space="preserve"> </w:t>
      </w:r>
      <w:r w:rsidRPr="001C2E2B">
        <w:rPr>
          <w:lang w:eastAsia="fr-FR" w:bidi="fr-FR"/>
        </w:rPr>
        <w:t>joue un rôle d</w:t>
      </w:r>
      <w:r w:rsidRPr="001C2E2B">
        <w:rPr>
          <w:lang w:eastAsia="fr-FR" w:bidi="fr-FR"/>
        </w:rPr>
        <w:t>é</w:t>
      </w:r>
      <w:r w:rsidRPr="001C2E2B">
        <w:rPr>
          <w:lang w:eastAsia="fr-FR" w:bidi="fr-FR"/>
        </w:rPr>
        <w:t>terminant durant la crise de Cuba en octobre 1962. Le président s’implique activement et s’entoure d’une pléiade de conseillers pe</w:t>
      </w:r>
      <w:r w:rsidRPr="001C2E2B">
        <w:rPr>
          <w:lang w:eastAsia="fr-FR" w:bidi="fr-FR"/>
        </w:rPr>
        <w:t>r</w:t>
      </w:r>
      <w:r w:rsidRPr="001C2E2B">
        <w:rPr>
          <w:lang w:eastAsia="fr-FR" w:bidi="fr-FR"/>
        </w:rPr>
        <w:t>sonnels (dont McGeorge Bundy, Robert Kennedy, Ted Sorensen, A</w:t>
      </w:r>
      <w:r w:rsidRPr="001C2E2B">
        <w:rPr>
          <w:lang w:eastAsia="fr-FR" w:bidi="fr-FR"/>
        </w:rPr>
        <w:t>r</w:t>
      </w:r>
      <w:r w:rsidRPr="001C2E2B">
        <w:rPr>
          <w:lang w:eastAsia="fr-FR" w:bidi="fr-FR"/>
        </w:rPr>
        <w:t>thur Schlesinger Jr. et le général Maxwell Taylor).</w:t>
      </w:r>
    </w:p>
    <w:p w14:paraId="352407F9" w14:textId="77777777" w:rsidR="0039793A" w:rsidRPr="001C2E2B" w:rsidRDefault="0039793A" w:rsidP="0039793A">
      <w:pPr>
        <w:spacing w:before="120" w:after="120"/>
        <w:jc w:val="both"/>
      </w:pPr>
      <w:r w:rsidRPr="00564282">
        <w:rPr>
          <w:i/>
          <w:lang w:eastAsia="fr-FR" w:bidi="fr-FR"/>
        </w:rPr>
        <w:t>En second lieu</w:t>
      </w:r>
      <w:r w:rsidRPr="001C2E2B">
        <w:rPr>
          <w:lang w:eastAsia="fr-FR" w:bidi="fr-FR"/>
        </w:rPr>
        <w:t>, les fonctions du conseiller pour la Sécurité nation</w:t>
      </w:r>
      <w:r w:rsidRPr="001C2E2B">
        <w:rPr>
          <w:lang w:eastAsia="fr-FR" w:bidi="fr-FR"/>
        </w:rPr>
        <w:t>a</w:t>
      </w:r>
      <w:r w:rsidRPr="001C2E2B">
        <w:rPr>
          <w:lang w:eastAsia="fr-FR" w:bidi="fr-FR"/>
        </w:rPr>
        <w:t>le augmentent substantiell</w:t>
      </w:r>
      <w:r w:rsidRPr="001C2E2B">
        <w:rPr>
          <w:lang w:eastAsia="fr-FR" w:bidi="fr-FR"/>
        </w:rPr>
        <w:t>e</w:t>
      </w:r>
      <w:r w:rsidRPr="001C2E2B">
        <w:rPr>
          <w:lang w:eastAsia="fr-FR" w:bidi="fr-FR"/>
        </w:rPr>
        <w:t>ment, à tel point que, pour la première fois de l’Histoire, ce dernier rivalise directement avec le secrétaire d’</w:t>
      </w:r>
      <w:r>
        <w:rPr>
          <w:lang w:eastAsia="fr-FR" w:bidi="fr-FR"/>
        </w:rPr>
        <w:t>État</w:t>
      </w:r>
      <w:r w:rsidRPr="001C2E2B">
        <w:rPr>
          <w:lang w:eastAsia="fr-FR" w:bidi="fr-FR"/>
        </w:rPr>
        <w:t>. Bundy devient un véritable concepteur de la politique extérieure, chargé même de sa mise en œuvre et exprimant ses recomma</w:t>
      </w:r>
      <w:r w:rsidRPr="001C2E2B">
        <w:rPr>
          <w:lang w:eastAsia="fr-FR" w:bidi="fr-FR"/>
        </w:rPr>
        <w:t>n</w:t>
      </w:r>
      <w:r w:rsidRPr="001C2E2B">
        <w:rPr>
          <w:lang w:eastAsia="fr-FR" w:bidi="fr-FR"/>
        </w:rPr>
        <w:t>dations personnelles à Kennedy.</w:t>
      </w:r>
    </w:p>
    <w:p w14:paraId="4252B43F" w14:textId="77777777" w:rsidR="0039793A" w:rsidRPr="001C2E2B" w:rsidRDefault="0039793A" w:rsidP="0039793A">
      <w:pPr>
        <w:spacing w:before="120" w:after="120"/>
        <w:jc w:val="both"/>
      </w:pPr>
      <w:r w:rsidRPr="00564282">
        <w:rPr>
          <w:i/>
          <w:lang w:eastAsia="fr-FR" w:bidi="fr-FR"/>
        </w:rPr>
        <w:t>En troisième lieu</w:t>
      </w:r>
      <w:r w:rsidRPr="001C2E2B">
        <w:rPr>
          <w:lang w:eastAsia="fr-FR" w:bidi="fr-FR"/>
        </w:rPr>
        <w:t>, l’administration de 49 hauts fonctionnaires (dont une dizaine appartient dire</w:t>
      </w:r>
      <w:r w:rsidRPr="001C2E2B">
        <w:rPr>
          <w:lang w:eastAsia="fr-FR" w:bidi="fr-FR"/>
        </w:rPr>
        <w:t>c</w:t>
      </w:r>
      <w:r w:rsidRPr="001C2E2B">
        <w:rPr>
          <w:lang w:eastAsia="fr-FR" w:bidi="fr-FR"/>
        </w:rPr>
        <w:t xml:space="preserve">tement au </w:t>
      </w:r>
      <w:r w:rsidRPr="001C2E2B">
        <w:t xml:space="preserve">NSC) </w:t>
      </w:r>
      <w:r w:rsidRPr="001C2E2B">
        <w:rPr>
          <w:lang w:eastAsia="fr-FR" w:bidi="fr-FR"/>
        </w:rPr>
        <w:t>se métamorphose. Il ne s’agit plus seulement de faciliter le travail de coordination entre les départements</w:t>
      </w:r>
      <w:r w:rsidRPr="001C2E2B">
        <w:t> :</w:t>
      </w:r>
      <w:r w:rsidRPr="001C2E2B">
        <w:rPr>
          <w:lang w:eastAsia="fr-FR" w:bidi="fr-FR"/>
        </w:rPr>
        <w:t xml:space="preserve"> la petite administration du </w:t>
      </w:r>
      <w:r w:rsidRPr="001C2E2B">
        <w:t xml:space="preserve">NSC </w:t>
      </w:r>
      <w:r w:rsidRPr="001C2E2B">
        <w:rPr>
          <w:lang w:eastAsia="fr-FR" w:bidi="fr-FR"/>
        </w:rPr>
        <w:t>se mue en une vérit</w:t>
      </w:r>
      <w:r w:rsidRPr="001C2E2B">
        <w:rPr>
          <w:lang w:eastAsia="fr-FR" w:bidi="fr-FR"/>
        </w:rPr>
        <w:t>a</w:t>
      </w:r>
      <w:r w:rsidRPr="001C2E2B">
        <w:rPr>
          <w:lang w:eastAsia="fr-FR" w:bidi="fr-FR"/>
        </w:rPr>
        <w:t>ble organisation prés</w:t>
      </w:r>
      <w:r w:rsidRPr="001C2E2B">
        <w:rPr>
          <w:lang w:eastAsia="fr-FR" w:bidi="fr-FR"/>
        </w:rPr>
        <w:t>i</w:t>
      </w:r>
      <w:r w:rsidRPr="001C2E2B">
        <w:rPr>
          <w:lang w:eastAsia="fr-FR" w:bidi="fr-FR"/>
        </w:rPr>
        <w:t>dentielle chargée de servir les intérêts du chef de la Maison-Blanche.</w:t>
      </w:r>
    </w:p>
    <w:p w14:paraId="79D9B817" w14:textId="77777777" w:rsidR="0039793A" w:rsidRPr="001710A1" w:rsidRDefault="0039793A" w:rsidP="0039793A">
      <w:pPr>
        <w:spacing w:before="120" w:after="120"/>
        <w:jc w:val="both"/>
        <w:rPr>
          <w:lang w:eastAsia="fr-FR" w:bidi="fr-FR"/>
        </w:rPr>
      </w:pPr>
      <w:r w:rsidRPr="001C2E2B">
        <w:rPr>
          <w:lang w:eastAsia="fr-FR" w:bidi="fr-FR"/>
        </w:rPr>
        <w:t xml:space="preserve">C’est </w:t>
      </w:r>
      <w:r w:rsidRPr="001C2E2B">
        <w:t xml:space="preserve">à </w:t>
      </w:r>
      <w:r w:rsidRPr="001C2E2B">
        <w:rPr>
          <w:lang w:eastAsia="fr-FR" w:bidi="fr-FR"/>
        </w:rPr>
        <w:t>ce moment que l’élaboration et la mise en œuvre de la pol</w:t>
      </w:r>
      <w:r w:rsidRPr="001C2E2B">
        <w:rPr>
          <w:lang w:eastAsia="fr-FR" w:bidi="fr-FR"/>
        </w:rPr>
        <w:t>i</w:t>
      </w:r>
      <w:r w:rsidRPr="001C2E2B">
        <w:rPr>
          <w:lang w:eastAsia="fr-FR" w:bidi="fr-FR"/>
        </w:rPr>
        <w:t>tique étrangère échappent au Département d’</w:t>
      </w:r>
      <w:r>
        <w:rPr>
          <w:lang w:eastAsia="fr-FR" w:bidi="fr-FR"/>
        </w:rPr>
        <w:t>État</w:t>
      </w:r>
      <w:r w:rsidRPr="001C2E2B">
        <w:rPr>
          <w:lang w:eastAsia="fr-FR" w:bidi="fr-FR"/>
        </w:rPr>
        <w:t xml:space="preserve">, dont le secrétaire Dean Rusk défend mal les prérogatives, au profit du </w:t>
      </w:r>
      <w:r w:rsidRPr="001C2E2B">
        <w:t xml:space="preserve">NSC. </w:t>
      </w:r>
      <w:r w:rsidRPr="001C2E2B">
        <w:rPr>
          <w:lang w:eastAsia="fr-FR" w:bidi="fr-FR"/>
        </w:rPr>
        <w:t xml:space="preserve">La fameuse </w:t>
      </w:r>
      <w:r w:rsidRPr="00124E50">
        <w:rPr>
          <w:i/>
          <w:iCs/>
        </w:rPr>
        <w:t>Situation room</w:t>
      </w:r>
      <w:r w:rsidRPr="001C2E2B">
        <w:rPr>
          <w:lang w:eastAsia="fr-FR" w:bidi="fr-FR"/>
        </w:rPr>
        <w:t xml:space="preserve"> est créée, certains fon</w:t>
      </w:r>
      <w:r w:rsidRPr="001C2E2B">
        <w:rPr>
          <w:lang w:eastAsia="fr-FR" w:bidi="fr-FR"/>
        </w:rPr>
        <w:t>c</w:t>
      </w:r>
      <w:r w:rsidRPr="001C2E2B">
        <w:rPr>
          <w:lang w:eastAsia="fr-FR" w:bidi="fr-FR"/>
        </w:rPr>
        <w:t xml:space="preserve">tionnaires du </w:t>
      </w:r>
      <w:r w:rsidRPr="001C2E2B">
        <w:t xml:space="preserve">NSC </w:t>
      </w:r>
      <w:r w:rsidRPr="001C2E2B">
        <w:rPr>
          <w:lang w:eastAsia="fr-FR" w:bidi="fr-FR"/>
        </w:rPr>
        <w:t xml:space="preserve">emménagent </w:t>
      </w:r>
      <w:r w:rsidRPr="001C2E2B">
        <w:t xml:space="preserve">à </w:t>
      </w:r>
      <w:r w:rsidRPr="001C2E2B">
        <w:rPr>
          <w:lang w:eastAsia="fr-FR" w:bidi="fr-FR"/>
        </w:rPr>
        <w:t>la Maison-Blanche, aux côtés du</w:t>
      </w:r>
      <w:r>
        <w:t xml:space="preserve"> [236] </w:t>
      </w:r>
      <w:r w:rsidRPr="001C2E2B">
        <w:rPr>
          <w:lang w:eastAsia="fr-FR" w:bidi="fr-FR"/>
        </w:rPr>
        <w:t>conseiller pour la Sécurité nationale, et pre</w:t>
      </w:r>
      <w:r w:rsidRPr="001C2E2B">
        <w:rPr>
          <w:lang w:eastAsia="fr-FR" w:bidi="fr-FR"/>
        </w:rPr>
        <w:t>n</w:t>
      </w:r>
      <w:r w:rsidRPr="001C2E2B">
        <w:rPr>
          <w:lang w:eastAsia="fr-FR" w:bidi="fr-FR"/>
        </w:rPr>
        <w:t xml:space="preserve">nent le contrôle de la politique étrangère — ce qui leur vaudra le sobriquet de </w:t>
      </w:r>
      <w:r w:rsidRPr="001C2E2B">
        <w:t>« </w:t>
      </w:r>
      <w:r w:rsidRPr="001C2E2B">
        <w:rPr>
          <w:lang w:eastAsia="fr-FR" w:bidi="fr-FR"/>
        </w:rPr>
        <w:t>mini-Département d’</w:t>
      </w:r>
      <w:r>
        <w:rPr>
          <w:lang w:eastAsia="fr-FR" w:bidi="fr-FR"/>
        </w:rPr>
        <w:t>État </w:t>
      </w:r>
      <w:r>
        <w:rPr>
          <w:rStyle w:val="Appelnotedebasdep"/>
          <w:lang w:eastAsia="fr-FR" w:bidi="fr-FR"/>
        </w:rPr>
        <w:footnoteReference w:id="488"/>
      </w:r>
      <w:r w:rsidRPr="001C2E2B">
        <w:t> »</w:t>
      </w:r>
      <w:r w:rsidRPr="001C2E2B">
        <w:rPr>
          <w:lang w:eastAsia="fr-FR" w:bidi="fr-FR"/>
        </w:rPr>
        <w:t>. Dans le même temps, les enjeux de d</w:t>
      </w:r>
      <w:r w:rsidRPr="001C2E2B">
        <w:rPr>
          <w:lang w:eastAsia="fr-FR" w:bidi="fr-FR"/>
        </w:rPr>
        <w:t>é</w:t>
      </w:r>
      <w:r w:rsidRPr="001C2E2B">
        <w:rPr>
          <w:lang w:eastAsia="fr-FR" w:bidi="fr-FR"/>
        </w:rPr>
        <w:t>fense — du fait notamment de l’engagement militaire en Asie du Sud-Est et de la course aux arm</w:t>
      </w:r>
      <w:r w:rsidRPr="001C2E2B">
        <w:rPr>
          <w:lang w:eastAsia="fr-FR" w:bidi="fr-FR"/>
        </w:rPr>
        <w:t>e</w:t>
      </w:r>
      <w:r w:rsidRPr="001C2E2B">
        <w:rPr>
          <w:lang w:eastAsia="fr-FR" w:bidi="fr-FR"/>
        </w:rPr>
        <w:t xml:space="preserve">ments nucléaires - occupent une place telle que le département de la Défense sous l’égide de son secrétaire, Robert </w:t>
      </w:r>
      <w:r w:rsidRPr="001710A1">
        <w:rPr>
          <w:lang w:eastAsia="fr-FR" w:bidi="fr-FR"/>
        </w:rPr>
        <w:t>McNamara, se pos</w:t>
      </w:r>
      <w:r w:rsidRPr="001710A1">
        <w:rPr>
          <w:lang w:eastAsia="fr-FR" w:bidi="fr-FR"/>
        </w:rPr>
        <w:t>i</w:t>
      </w:r>
      <w:r w:rsidRPr="001710A1">
        <w:rPr>
          <w:lang w:eastAsia="fr-FR" w:bidi="fr-FR"/>
        </w:rPr>
        <w:t>tionne, pour la première fois, comme une burea</w:t>
      </w:r>
      <w:r w:rsidRPr="001710A1">
        <w:rPr>
          <w:lang w:eastAsia="fr-FR" w:bidi="fr-FR"/>
        </w:rPr>
        <w:t>u</w:t>
      </w:r>
      <w:r w:rsidRPr="001710A1">
        <w:rPr>
          <w:lang w:eastAsia="fr-FR" w:bidi="fr-FR"/>
        </w:rPr>
        <w:t>cratie influente. Ceci contribue progressivement à exclure le Département d’État du proce</w:t>
      </w:r>
      <w:r w:rsidRPr="001710A1">
        <w:rPr>
          <w:lang w:eastAsia="fr-FR" w:bidi="fr-FR"/>
        </w:rPr>
        <w:t>s</w:t>
      </w:r>
      <w:r w:rsidRPr="001710A1">
        <w:rPr>
          <w:lang w:eastAsia="fr-FR" w:bidi="fr-FR"/>
        </w:rPr>
        <w:t>sus tandis que les déc</w:t>
      </w:r>
      <w:r w:rsidRPr="001710A1">
        <w:rPr>
          <w:lang w:eastAsia="fr-FR" w:bidi="fr-FR"/>
        </w:rPr>
        <w:t>i</w:t>
      </w:r>
      <w:r w:rsidRPr="001710A1">
        <w:rPr>
          <w:lang w:eastAsia="fr-FR" w:bidi="fr-FR"/>
        </w:rPr>
        <w:t xml:space="preserve">sions importantes sont prises en petits groupes de conseillers, souvent en dehors des réunions du </w:t>
      </w:r>
      <w:r w:rsidRPr="001710A1">
        <w:rPr>
          <w:bCs/>
        </w:rPr>
        <w:t xml:space="preserve">NSC </w:t>
      </w:r>
      <w:r w:rsidRPr="001710A1">
        <w:rPr>
          <w:lang w:eastAsia="fr-FR" w:bidi="fr-FR"/>
        </w:rPr>
        <w:t>et, ce qui est plus significatif encore, sans la pleine particip</w:t>
      </w:r>
      <w:r w:rsidRPr="001710A1">
        <w:rPr>
          <w:lang w:eastAsia="fr-FR" w:bidi="fr-FR"/>
        </w:rPr>
        <w:t>a</w:t>
      </w:r>
      <w:r w:rsidRPr="001710A1">
        <w:rPr>
          <w:lang w:eastAsia="fr-FR" w:bidi="fr-FR"/>
        </w:rPr>
        <w:t>tion directe des hauts fonctionnaires du Département d’État (auxquels on laisse les que</w:t>
      </w:r>
      <w:r w:rsidRPr="001710A1">
        <w:rPr>
          <w:lang w:eastAsia="fr-FR" w:bidi="fr-FR"/>
        </w:rPr>
        <w:t>s</w:t>
      </w:r>
      <w:r w:rsidRPr="001710A1">
        <w:rPr>
          <w:lang w:eastAsia="fr-FR" w:bidi="fr-FR"/>
        </w:rPr>
        <w:t>tions de routine diplomatique). C’est là une tendance qui ira en s’accentuant.</w:t>
      </w:r>
    </w:p>
    <w:p w14:paraId="30783714" w14:textId="77777777" w:rsidR="0039793A" w:rsidRPr="001710A1" w:rsidRDefault="0039793A" w:rsidP="0039793A">
      <w:pPr>
        <w:spacing w:before="120" w:after="120"/>
        <w:jc w:val="both"/>
        <w:rPr>
          <w:lang w:eastAsia="fr-FR" w:bidi="fr-FR"/>
        </w:rPr>
      </w:pPr>
    </w:p>
    <w:p w14:paraId="0EE5C353" w14:textId="77777777" w:rsidR="0039793A" w:rsidRPr="00EE346E" w:rsidRDefault="0039793A" w:rsidP="0039793A">
      <w:pPr>
        <w:pStyle w:val="b"/>
        <w:rPr>
          <w:lang w:eastAsia="fr-FR" w:bidi="fr-FR"/>
        </w:rPr>
      </w:pPr>
      <w:r w:rsidRPr="00EE346E">
        <w:rPr>
          <w:lang w:eastAsia="fr-FR" w:bidi="fr-FR"/>
        </w:rPr>
        <w:t xml:space="preserve">La centralisation du </w:t>
      </w:r>
      <w:r>
        <w:rPr>
          <w:lang w:eastAsia="fr-FR" w:bidi="fr-FR"/>
        </w:rPr>
        <w:t>processus décisionnel</w:t>
      </w:r>
      <w:r>
        <w:rPr>
          <w:lang w:eastAsia="fr-FR" w:bidi="fr-FR"/>
        </w:rPr>
        <w:br/>
      </w:r>
      <w:r w:rsidRPr="00EE346E">
        <w:rPr>
          <w:lang w:eastAsia="fr-FR" w:bidi="fr-FR"/>
        </w:rPr>
        <w:t>sous Johnson</w:t>
      </w:r>
    </w:p>
    <w:p w14:paraId="1F82FE74" w14:textId="77777777" w:rsidR="0039793A" w:rsidRPr="001710A1" w:rsidRDefault="0039793A" w:rsidP="0039793A">
      <w:pPr>
        <w:spacing w:before="120" w:after="120"/>
        <w:jc w:val="both"/>
        <w:rPr>
          <w:lang w:eastAsia="fr-FR" w:bidi="fr-FR"/>
        </w:rPr>
      </w:pPr>
    </w:p>
    <w:p w14:paraId="7F685D90" w14:textId="77777777" w:rsidR="0039793A" w:rsidRPr="001710A1" w:rsidRDefault="0039793A" w:rsidP="0039793A">
      <w:pPr>
        <w:spacing w:before="120" w:after="120"/>
        <w:jc w:val="both"/>
        <w:rPr>
          <w:lang w:eastAsia="fr-FR" w:bidi="fr-FR"/>
        </w:rPr>
      </w:pPr>
      <w:r w:rsidRPr="001710A1">
        <w:rPr>
          <w:lang w:eastAsia="fr-FR" w:bidi="fr-FR"/>
        </w:rPr>
        <w:t>Contrairement à ses prédécesseurs, le président Johnson (1963-1968) a une connaissance limitée des questions inte</w:t>
      </w:r>
      <w:r w:rsidRPr="001710A1">
        <w:rPr>
          <w:lang w:eastAsia="fr-FR" w:bidi="fr-FR"/>
        </w:rPr>
        <w:t>r</w:t>
      </w:r>
      <w:r w:rsidRPr="001710A1">
        <w:rPr>
          <w:lang w:eastAsia="fr-FR" w:bidi="fr-FR"/>
        </w:rPr>
        <w:t>nationales et ses priorités (avec son projet de No</w:t>
      </w:r>
      <w:r w:rsidRPr="001710A1">
        <w:rPr>
          <w:lang w:eastAsia="fr-FR" w:bidi="fr-FR"/>
        </w:rPr>
        <w:t>u</w:t>
      </w:r>
      <w:r w:rsidRPr="001710A1">
        <w:rPr>
          <w:lang w:eastAsia="fr-FR" w:bidi="fr-FR"/>
        </w:rPr>
        <w:t>velle Société) sont essentiellement internes. Sa p</w:t>
      </w:r>
      <w:r w:rsidRPr="001710A1">
        <w:rPr>
          <w:lang w:eastAsia="fr-FR" w:bidi="fr-FR"/>
        </w:rPr>
        <w:t>o</w:t>
      </w:r>
      <w:r w:rsidRPr="001710A1">
        <w:rPr>
          <w:lang w:eastAsia="fr-FR" w:bidi="fr-FR"/>
        </w:rPr>
        <w:t>litique étrangère est largement dominée par (et se réduit à) la guerre au Vietnam qu’il poursuit, pou</w:t>
      </w:r>
      <w:r w:rsidRPr="001710A1">
        <w:rPr>
          <w:lang w:eastAsia="fr-FR" w:bidi="fr-FR"/>
        </w:rPr>
        <w:t>s</w:t>
      </w:r>
      <w:r w:rsidRPr="001710A1">
        <w:rPr>
          <w:lang w:eastAsia="fr-FR" w:bidi="fr-FR"/>
        </w:rPr>
        <w:t>sé par ses conseillers trop longtemps convaincus de la certitude d’une victoire américaine. Joh</w:t>
      </w:r>
      <w:r w:rsidRPr="001710A1">
        <w:rPr>
          <w:lang w:eastAsia="fr-FR" w:bidi="fr-FR"/>
        </w:rPr>
        <w:t>n</w:t>
      </w:r>
      <w:r w:rsidRPr="001710A1">
        <w:rPr>
          <w:lang w:eastAsia="fr-FR" w:bidi="fr-FR"/>
        </w:rPr>
        <w:t>son délègue abondamment la prise de décision et s’en remet aux avis de ses proches, comme McNamara, Rusk mais surtout son conseiller pour la Sécurité nationale, Bundy (jusqu’en février 1966) puis Ro</w:t>
      </w:r>
      <w:r w:rsidRPr="001710A1">
        <w:rPr>
          <w:lang w:eastAsia="fr-FR" w:bidi="fr-FR"/>
        </w:rPr>
        <w:t>s</w:t>
      </w:r>
      <w:r w:rsidRPr="001710A1">
        <w:rPr>
          <w:lang w:eastAsia="fr-FR" w:bidi="fr-FR"/>
        </w:rPr>
        <w:t>tow (jusqu’en 1969). Walt Rostow est très influent et apprécié du prés</w:t>
      </w:r>
      <w:r w:rsidRPr="001710A1">
        <w:rPr>
          <w:lang w:eastAsia="fr-FR" w:bidi="fr-FR"/>
        </w:rPr>
        <w:t>i</w:t>
      </w:r>
      <w:r w:rsidRPr="001710A1">
        <w:rPr>
          <w:lang w:eastAsia="fr-FR" w:bidi="fr-FR"/>
        </w:rPr>
        <w:t>dent qui lui confie le rôle de coordonnateur et de porte-parole de l’Administration sur les questions relatives à la guerre</w:t>
      </w:r>
      <w:r>
        <w:rPr>
          <w:lang w:eastAsia="fr-FR" w:bidi="fr-FR"/>
        </w:rPr>
        <w:t> </w:t>
      </w:r>
      <w:r>
        <w:rPr>
          <w:rStyle w:val="Appelnotedebasdep"/>
          <w:lang w:eastAsia="fr-FR" w:bidi="fr-FR"/>
        </w:rPr>
        <w:footnoteReference w:id="489"/>
      </w:r>
      <w:r w:rsidRPr="001710A1">
        <w:rPr>
          <w:lang w:eastAsia="fr-FR" w:bidi="fr-FR"/>
        </w:rPr>
        <w:t>. Les fon</w:t>
      </w:r>
      <w:r w:rsidRPr="001710A1">
        <w:rPr>
          <w:lang w:eastAsia="fr-FR" w:bidi="fr-FR"/>
        </w:rPr>
        <w:t>c</w:t>
      </w:r>
      <w:r w:rsidRPr="001710A1">
        <w:rPr>
          <w:lang w:eastAsia="fr-FR" w:bidi="fr-FR"/>
        </w:rPr>
        <w:t xml:space="preserve">tionnaires permanents du </w:t>
      </w:r>
      <w:r w:rsidRPr="001710A1">
        <w:rPr>
          <w:bCs/>
        </w:rPr>
        <w:t xml:space="preserve">NSC </w:t>
      </w:r>
      <w:r w:rsidRPr="001710A1">
        <w:rPr>
          <w:lang w:eastAsia="fr-FR" w:bidi="fr-FR"/>
        </w:rPr>
        <w:t>conservent leur statut de conseillers prés</w:t>
      </w:r>
      <w:r w:rsidRPr="001710A1">
        <w:rPr>
          <w:lang w:eastAsia="fr-FR" w:bidi="fr-FR"/>
        </w:rPr>
        <w:t>i</w:t>
      </w:r>
      <w:r w:rsidRPr="001C2E2B">
        <w:rPr>
          <w:lang w:eastAsia="fr-FR" w:bidi="fr-FR"/>
        </w:rPr>
        <w:t>dentiels, mais ils n’ont plus accès au président comme cela était le cas avec Kennedy, ce qui les prive du coup d’un privilège déterm</w:t>
      </w:r>
      <w:r w:rsidRPr="001C2E2B">
        <w:rPr>
          <w:lang w:eastAsia="fr-FR" w:bidi="fr-FR"/>
        </w:rPr>
        <w:t>i</w:t>
      </w:r>
      <w:r w:rsidRPr="001C2E2B">
        <w:rPr>
          <w:lang w:eastAsia="fr-FR" w:bidi="fr-FR"/>
        </w:rPr>
        <w:t xml:space="preserve">nant. Les décisions sont prises en petit groupe, soit au sein du </w:t>
      </w:r>
      <w:r w:rsidRPr="00EE346E">
        <w:rPr>
          <w:i/>
          <w:iCs/>
        </w:rPr>
        <w:t>Tuesday Lunch Group</w:t>
      </w:r>
      <w:r w:rsidRPr="001C2E2B">
        <w:rPr>
          <w:lang w:eastAsia="fr-FR" w:bidi="fr-FR"/>
        </w:rPr>
        <w:t xml:space="preserve">, soit par un groupe de </w:t>
      </w:r>
      <w:r w:rsidRPr="001C2E2B">
        <w:t>« </w:t>
      </w:r>
      <w:r w:rsidRPr="001C2E2B">
        <w:rPr>
          <w:lang w:eastAsia="fr-FR" w:bidi="fr-FR"/>
        </w:rPr>
        <w:t>sages</w:t>
      </w:r>
      <w:r w:rsidRPr="001C2E2B">
        <w:t> »</w:t>
      </w:r>
      <w:r w:rsidRPr="001C2E2B">
        <w:rPr>
          <w:lang w:eastAsia="fr-FR" w:bidi="fr-FR"/>
        </w:rPr>
        <w:t xml:space="preserve">, le </w:t>
      </w:r>
      <w:r w:rsidRPr="00EE346E">
        <w:rPr>
          <w:i/>
          <w:iCs/>
        </w:rPr>
        <w:t>Wise Men Group</w:t>
      </w:r>
      <w:r w:rsidRPr="001C2E2B">
        <w:t>.</w:t>
      </w:r>
      <w:r w:rsidRPr="001C2E2B">
        <w:rPr>
          <w:lang w:eastAsia="fr-FR" w:bidi="fr-FR"/>
        </w:rPr>
        <w:t xml:space="preserve"> La réflexion y est coll</w:t>
      </w:r>
      <w:r w:rsidRPr="001C2E2B">
        <w:rPr>
          <w:lang w:eastAsia="fr-FR" w:bidi="fr-FR"/>
        </w:rPr>
        <w:t>é</w:t>
      </w:r>
      <w:r w:rsidRPr="001C2E2B">
        <w:rPr>
          <w:lang w:eastAsia="fr-FR" w:bidi="fr-FR"/>
        </w:rPr>
        <w:t>giale</w:t>
      </w:r>
      <w:r w:rsidRPr="001C2E2B">
        <w:t> :</w:t>
      </w:r>
      <w:r w:rsidRPr="001C2E2B">
        <w:rPr>
          <w:lang w:eastAsia="fr-FR" w:bidi="fr-FR"/>
        </w:rPr>
        <w:t xml:space="preserve"> s’y affirment de profondes convictions et les dissensions sont admises (le sous-secrétaire d’</w:t>
      </w:r>
      <w:r>
        <w:rPr>
          <w:lang w:eastAsia="fr-FR" w:bidi="fr-FR"/>
        </w:rPr>
        <w:t>État</w:t>
      </w:r>
      <w:r w:rsidRPr="001C2E2B">
        <w:rPr>
          <w:lang w:eastAsia="fr-FR" w:bidi="fr-FR"/>
        </w:rPr>
        <w:t xml:space="preserve"> George Bail notamment e</w:t>
      </w:r>
      <w:r w:rsidRPr="001C2E2B">
        <w:rPr>
          <w:lang w:eastAsia="fr-FR" w:bidi="fr-FR"/>
        </w:rPr>
        <w:t>x</w:t>
      </w:r>
      <w:r>
        <w:rPr>
          <w:lang w:eastAsia="fr-FR" w:bidi="fr-FR"/>
        </w:rPr>
        <w:t>pri</w:t>
      </w:r>
      <w:r w:rsidRPr="001C2E2B">
        <w:rPr>
          <w:lang w:eastAsia="fr-FR" w:bidi="fr-FR"/>
        </w:rPr>
        <w:t>mera</w:t>
      </w:r>
      <w:r>
        <w:t xml:space="preserve"> [237]</w:t>
      </w:r>
      <w:r w:rsidRPr="001C2E2B">
        <w:rPr>
          <w:lang w:eastAsia="fr-FR" w:bidi="fr-FR"/>
        </w:rPr>
        <w:t xml:space="preserve"> fermement les siennes) même si elles sont au bout du compte peu déterminantes. En effet, il en ressort so</w:t>
      </w:r>
      <w:r w:rsidRPr="001C2E2B">
        <w:rPr>
          <w:lang w:eastAsia="fr-FR" w:bidi="fr-FR"/>
        </w:rPr>
        <w:t>u</w:t>
      </w:r>
      <w:r w:rsidRPr="001C2E2B">
        <w:rPr>
          <w:lang w:eastAsia="fr-FR" w:bidi="fr-FR"/>
        </w:rPr>
        <w:t>vent un grand confor</w:t>
      </w:r>
      <w:r w:rsidRPr="001710A1">
        <w:rPr>
          <w:lang w:eastAsia="fr-FR" w:bidi="fr-FR"/>
        </w:rPr>
        <w:t>misme et une impression de consensus dus en réalité à la ma</w:t>
      </w:r>
      <w:r w:rsidRPr="001710A1">
        <w:rPr>
          <w:lang w:eastAsia="fr-FR" w:bidi="fr-FR"/>
        </w:rPr>
        <w:t>u</w:t>
      </w:r>
      <w:r w:rsidRPr="001710A1">
        <w:rPr>
          <w:lang w:eastAsia="fr-FR" w:bidi="fr-FR"/>
        </w:rPr>
        <w:t>vaise préparation et coordination de la bureaucratie, ce qui laisse les départements à l’écart du pr</w:t>
      </w:r>
      <w:r w:rsidRPr="001710A1">
        <w:rPr>
          <w:lang w:eastAsia="fr-FR" w:bidi="fr-FR"/>
        </w:rPr>
        <w:t>o</w:t>
      </w:r>
      <w:r w:rsidRPr="001710A1">
        <w:rPr>
          <w:lang w:eastAsia="fr-FR" w:bidi="fr-FR"/>
        </w:rPr>
        <w:t xml:space="preserve">cessus réel de décision. Johnson et ses proches conseillers </w:t>
      </w:r>
      <w:r w:rsidRPr="00EE346E">
        <w:rPr>
          <w:i/>
          <w:iCs/>
          <w:lang w:eastAsia="fr-FR" w:bidi="fr-FR"/>
        </w:rPr>
        <w:t>soutenaient</w:t>
      </w:r>
      <w:r w:rsidRPr="001710A1">
        <w:rPr>
          <w:lang w:eastAsia="fr-FR" w:bidi="fr-FR"/>
        </w:rPr>
        <w:t xml:space="preserve"> cette guerre</w:t>
      </w:r>
      <w:r>
        <w:rPr>
          <w:lang w:eastAsia="fr-FR" w:bidi="fr-FR"/>
        </w:rPr>
        <w:t> </w:t>
      </w:r>
      <w:r>
        <w:rPr>
          <w:rStyle w:val="Appelnotedebasdep"/>
          <w:lang w:eastAsia="fr-FR" w:bidi="fr-FR"/>
        </w:rPr>
        <w:footnoteReference w:id="490"/>
      </w:r>
      <w:r w:rsidRPr="001710A1">
        <w:rPr>
          <w:lang w:eastAsia="fr-FR" w:bidi="fr-FR"/>
        </w:rPr>
        <w:t>. En 1966, le mécani</w:t>
      </w:r>
      <w:r w:rsidRPr="001710A1">
        <w:rPr>
          <w:lang w:eastAsia="fr-FR" w:bidi="fr-FR"/>
        </w:rPr>
        <w:t>s</w:t>
      </w:r>
      <w:r w:rsidRPr="001710A1">
        <w:rPr>
          <w:lang w:eastAsia="fr-FR" w:bidi="fr-FR"/>
        </w:rPr>
        <w:t>me des comités interdépartementaux est ressuscité sous la tutelle du Département d’État. L’inaptitude de ce dernier à r</w:t>
      </w:r>
      <w:r w:rsidRPr="001710A1">
        <w:rPr>
          <w:lang w:eastAsia="fr-FR" w:bidi="fr-FR"/>
        </w:rPr>
        <w:t>é</w:t>
      </w:r>
      <w:r w:rsidRPr="001710A1">
        <w:rPr>
          <w:lang w:eastAsia="fr-FR" w:bidi="fr-FR"/>
        </w:rPr>
        <w:t xml:space="preserve">orienter la conduite de la guerre au Vietnam va contribuer à son déclin dans la formulation de la politique étrangère tandis que le département de la Défense et l’organisation du </w:t>
      </w:r>
      <w:r w:rsidRPr="001710A1">
        <w:rPr>
          <w:bCs/>
        </w:rPr>
        <w:t xml:space="preserve">NSC </w:t>
      </w:r>
      <w:r w:rsidRPr="001710A1">
        <w:rPr>
          <w:lang w:eastAsia="fr-FR" w:bidi="fr-FR"/>
        </w:rPr>
        <w:t>- alliés de circonstance pour promouvoir et diriger la guerre - gagnent en puissance. La personnal</w:t>
      </w:r>
      <w:r w:rsidRPr="001710A1">
        <w:rPr>
          <w:lang w:eastAsia="fr-FR" w:bidi="fr-FR"/>
        </w:rPr>
        <w:t>i</w:t>
      </w:r>
      <w:r w:rsidRPr="001710A1">
        <w:rPr>
          <w:lang w:eastAsia="fr-FR" w:bidi="fr-FR"/>
        </w:rPr>
        <w:t>té fragile, mais impulsive, de Johnson dessert sa cause, et son Adm</w:t>
      </w:r>
      <w:r w:rsidRPr="001710A1">
        <w:rPr>
          <w:lang w:eastAsia="fr-FR" w:bidi="fr-FR"/>
        </w:rPr>
        <w:t>i</w:t>
      </w:r>
      <w:r w:rsidRPr="001710A1">
        <w:rPr>
          <w:lang w:eastAsia="fr-FR" w:bidi="fr-FR"/>
        </w:rPr>
        <w:t>nistration s’enlise dans le bourbier vietnamien. La dimension collégi</w:t>
      </w:r>
      <w:r w:rsidRPr="001710A1">
        <w:rPr>
          <w:lang w:eastAsia="fr-FR" w:bidi="fr-FR"/>
        </w:rPr>
        <w:t>a</w:t>
      </w:r>
      <w:r w:rsidRPr="001710A1">
        <w:rPr>
          <w:lang w:eastAsia="fr-FR" w:bidi="fr-FR"/>
        </w:rPr>
        <w:t>le de la prise de décision qui avait jusque-là prévalu s’efface : en fin de mandat, le pr</w:t>
      </w:r>
      <w:r w:rsidRPr="001710A1">
        <w:rPr>
          <w:lang w:eastAsia="fr-FR" w:bidi="fr-FR"/>
        </w:rPr>
        <w:t>é</w:t>
      </w:r>
      <w:r w:rsidRPr="001710A1">
        <w:rPr>
          <w:lang w:eastAsia="fr-FR" w:bidi="fr-FR"/>
        </w:rPr>
        <w:t>sident centralise le pouvoir, se braque et finit par laisser aller les choses (comme en témoignent les départs de Bu</w:t>
      </w:r>
      <w:r w:rsidRPr="001710A1">
        <w:rPr>
          <w:lang w:eastAsia="fr-FR" w:bidi="fr-FR"/>
        </w:rPr>
        <w:t>n</w:t>
      </w:r>
      <w:r w:rsidRPr="001710A1">
        <w:rPr>
          <w:lang w:eastAsia="fr-FR" w:bidi="fr-FR"/>
        </w:rPr>
        <w:t>dy et de McNamara), au fur et à mesure que les États-Unis s’enfoncent dans cette « sale petite guerre » comme il la surnommait.</w:t>
      </w:r>
    </w:p>
    <w:p w14:paraId="61DA4AB5" w14:textId="77777777" w:rsidR="0039793A" w:rsidRDefault="0039793A" w:rsidP="0039793A">
      <w:pPr>
        <w:spacing w:before="120" w:after="120"/>
        <w:jc w:val="both"/>
        <w:rPr>
          <w:lang w:eastAsia="fr-FR" w:bidi="fr-FR"/>
        </w:rPr>
      </w:pPr>
    </w:p>
    <w:p w14:paraId="0E70E317" w14:textId="77777777" w:rsidR="0039793A" w:rsidRPr="001710A1" w:rsidRDefault="0039793A" w:rsidP="0039793A">
      <w:pPr>
        <w:pStyle w:val="a"/>
      </w:pPr>
      <w:r w:rsidRPr="001710A1">
        <w:t xml:space="preserve">L’expansion </w:t>
      </w:r>
      <w:r w:rsidRPr="001710A1">
        <w:rPr>
          <w:bCs/>
        </w:rPr>
        <w:t>du NSC</w:t>
      </w:r>
    </w:p>
    <w:p w14:paraId="1BC49AF6" w14:textId="77777777" w:rsidR="0039793A" w:rsidRDefault="0039793A" w:rsidP="0039793A">
      <w:pPr>
        <w:spacing w:before="120" w:after="120"/>
        <w:jc w:val="both"/>
        <w:rPr>
          <w:lang w:eastAsia="fr-FR" w:bidi="fr-FR"/>
        </w:rPr>
      </w:pPr>
    </w:p>
    <w:p w14:paraId="60798C48" w14:textId="77777777" w:rsidR="0039793A" w:rsidRPr="001710A1" w:rsidRDefault="0039793A" w:rsidP="0039793A">
      <w:pPr>
        <w:pStyle w:val="b"/>
        <w:rPr>
          <w:lang w:eastAsia="fr-FR" w:bidi="fr-FR"/>
        </w:rPr>
      </w:pPr>
      <w:r w:rsidRPr="001710A1">
        <w:rPr>
          <w:lang w:eastAsia="fr-FR" w:bidi="fr-FR"/>
        </w:rPr>
        <w:t>L’heure de gloire du NSC sous Nixon et Ford</w:t>
      </w:r>
    </w:p>
    <w:p w14:paraId="320799D9" w14:textId="77777777" w:rsidR="0039793A" w:rsidRDefault="0039793A" w:rsidP="0039793A">
      <w:pPr>
        <w:spacing w:before="120" w:after="120"/>
        <w:jc w:val="both"/>
        <w:rPr>
          <w:lang w:eastAsia="fr-FR" w:bidi="fr-FR"/>
        </w:rPr>
      </w:pPr>
    </w:p>
    <w:p w14:paraId="68A5DEB0" w14:textId="77777777" w:rsidR="0039793A" w:rsidRPr="001710A1" w:rsidRDefault="0039793A" w:rsidP="0039793A">
      <w:pPr>
        <w:spacing w:before="120" w:after="120"/>
        <w:jc w:val="both"/>
        <w:rPr>
          <w:lang w:eastAsia="fr-FR" w:bidi="fr-FR"/>
        </w:rPr>
      </w:pPr>
      <w:r w:rsidRPr="001710A1">
        <w:rPr>
          <w:lang w:eastAsia="fr-FR" w:bidi="fr-FR"/>
        </w:rPr>
        <w:t>Le conseiller pour la Sécurité nationale et son administration connaissent leur véritable heure de gloire sous la présidence de Nixon (1969-1974). L’avènement d’Henry Kissinger au poste de conseiller pour la Sécurité nationale sonne le glas de la primauté des intérêts b</w:t>
      </w:r>
      <w:r w:rsidRPr="001710A1">
        <w:rPr>
          <w:lang w:eastAsia="fr-FR" w:bidi="fr-FR"/>
        </w:rPr>
        <w:t>u</w:t>
      </w:r>
      <w:r w:rsidRPr="001710A1">
        <w:rPr>
          <w:lang w:eastAsia="fr-FR" w:bidi="fr-FR"/>
        </w:rPr>
        <w:t>reaucratiques et amorce l’évolution marquante de cette fonction. Avec Kissinger, pendant cinq ans (jusqu’à sa n</w:t>
      </w:r>
      <w:r w:rsidRPr="001710A1">
        <w:rPr>
          <w:lang w:eastAsia="fr-FR" w:bidi="fr-FR"/>
        </w:rPr>
        <w:t>o</w:t>
      </w:r>
      <w:r w:rsidRPr="001710A1">
        <w:rPr>
          <w:lang w:eastAsia="fr-FR" w:bidi="fr-FR"/>
        </w:rPr>
        <w:t xml:space="preserve">mination comme secrétaire d’État en 1973), l’organisation du </w:t>
      </w:r>
      <w:r w:rsidRPr="001710A1">
        <w:rPr>
          <w:bCs/>
        </w:rPr>
        <w:t xml:space="preserve">NSC </w:t>
      </w:r>
      <w:r w:rsidRPr="001710A1">
        <w:rPr>
          <w:lang w:eastAsia="fr-FR" w:bidi="fr-FR"/>
        </w:rPr>
        <w:t>domine véritablement la fo</w:t>
      </w:r>
      <w:r w:rsidRPr="001710A1">
        <w:rPr>
          <w:lang w:eastAsia="fr-FR" w:bidi="fr-FR"/>
        </w:rPr>
        <w:t>r</w:t>
      </w:r>
      <w:r w:rsidRPr="001710A1">
        <w:rPr>
          <w:lang w:eastAsia="fr-FR" w:bidi="fr-FR"/>
        </w:rPr>
        <w:t>mulation de la politique étrangère américaine. Toutes les études, to</w:t>
      </w:r>
      <w:r w:rsidRPr="001710A1">
        <w:rPr>
          <w:lang w:eastAsia="fr-FR" w:bidi="fr-FR"/>
        </w:rPr>
        <w:t>u</w:t>
      </w:r>
      <w:r w:rsidRPr="001710A1">
        <w:rPr>
          <w:lang w:eastAsia="fr-FR" w:bidi="fr-FR"/>
        </w:rPr>
        <w:t>tes les options et toutes les décisions passent par le conseiller pour la</w:t>
      </w:r>
      <w:r w:rsidRPr="001C2E2B">
        <w:rPr>
          <w:lang w:eastAsia="fr-FR" w:bidi="fr-FR"/>
        </w:rPr>
        <w:t xml:space="preserve"> Sécurité nationale qui acquiert, avec l’appui du président, une autorité inégalée (auparavant et depuis) sur la conduite des affaires extérie</w:t>
      </w:r>
      <w:r w:rsidRPr="001C2E2B">
        <w:rPr>
          <w:lang w:eastAsia="fr-FR" w:bidi="fr-FR"/>
        </w:rPr>
        <w:t>u</w:t>
      </w:r>
      <w:r w:rsidRPr="001C2E2B">
        <w:rPr>
          <w:lang w:eastAsia="fr-FR" w:bidi="fr-FR"/>
        </w:rPr>
        <w:t>res. Les</w:t>
      </w:r>
      <w:r>
        <w:t xml:space="preserve"> [238] </w:t>
      </w:r>
      <w:r w:rsidRPr="001C2E2B">
        <w:rPr>
          <w:lang w:eastAsia="fr-FR" w:bidi="fr-FR"/>
        </w:rPr>
        <w:t>réunions du Forum et de la douzaine de comités inte</w:t>
      </w:r>
      <w:r w:rsidRPr="001C2E2B">
        <w:rPr>
          <w:lang w:eastAsia="fr-FR" w:bidi="fr-FR"/>
        </w:rPr>
        <w:t>r</w:t>
      </w:r>
      <w:r w:rsidRPr="001C2E2B">
        <w:rPr>
          <w:lang w:eastAsia="fr-FR" w:bidi="fr-FR"/>
        </w:rPr>
        <w:t>départementaux sont convoquées avec la vér</w:t>
      </w:r>
      <w:r w:rsidRPr="001C2E2B">
        <w:rPr>
          <w:lang w:eastAsia="fr-FR" w:bidi="fr-FR"/>
        </w:rPr>
        <w:t>i</w:t>
      </w:r>
      <w:r w:rsidRPr="001C2E2B">
        <w:rPr>
          <w:lang w:eastAsia="fr-FR" w:bidi="fr-FR"/>
        </w:rPr>
        <w:t xml:space="preserve">table intention </w:t>
      </w:r>
      <w:r w:rsidRPr="001C2E2B">
        <w:t>« </w:t>
      </w:r>
      <w:r w:rsidRPr="001C2E2B">
        <w:rPr>
          <w:lang w:eastAsia="fr-FR" w:bidi="fr-FR"/>
        </w:rPr>
        <w:t>d’occuper ou de distraire</w:t>
      </w:r>
      <w:r w:rsidRPr="001C2E2B">
        <w:t> »</w:t>
      </w:r>
      <w:r w:rsidRPr="001C2E2B">
        <w:rPr>
          <w:lang w:eastAsia="fr-FR" w:bidi="fr-FR"/>
        </w:rPr>
        <w:t xml:space="preserve"> la bureaucratie, et de laisser les mains libres à Kissi</w:t>
      </w:r>
      <w:r w:rsidRPr="001C2E2B">
        <w:rPr>
          <w:lang w:eastAsia="fr-FR" w:bidi="fr-FR"/>
        </w:rPr>
        <w:t>n</w:t>
      </w:r>
      <w:r w:rsidRPr="001C2E2B">
        <w:rPr>
          <w:lang w:eastAsia="fr-FR" w:bidi="fr-FR"/>
        </w:rPr>
        <w:t>ger, qu’il s’agisse pour ce dernier d’extirper les États-Unis du Vietnam, de conduire les négoci</w:t>
      </w:r>
      <w:r w:rsidRPr="001C2E2B">
        <w:rPr>
          <w:lang w:eastAsia="fr-FR" w:bidi="fr-FR"/>
        </w:rPr>
        <w:t>a</w:t>
      </w:r>
      <w:r w:rsidRPr="001C2E2B">
        <w:rPr>
          <w:lang w:eastAsia="fr-FR" w:bidi="fr-FR"/>
        </w:rPr>
        <w:t xml:space="preserve">tions secrètes avec la Russie et </w:t>
      </w:r>
      <w:r w:rsidRPr="001710A1">
        <w:rPr>
          <w:lang w:eastAsia="fr-FR" w:bidi="fr-FR"/>
        </w:rPr>
        <w:t>la Chine, ou de mener à terme la réussite du plan clandestin (et i</w:t>
      </w:r>
      <w:r w:rsidRPr="001710A1">
        <w:rPr>
          <w:lang w:eastAsia="fr-FR" w:bidi="fr-FR"/>
        </w:rPr>
        <w:t>n</w:t>
      </w:r>
      <w:r w:rsidRPr="001710A1">
        <w:rPr>
          <w:lang w:eastAsia="fr-FR" w:bidi="fr-FR"/>
        </w:rPr>
        <w:t xml:space="preserve">connu de la </w:t>
      </w:r>
      <w:r w:rsidRPr="001710A1">
        <w:rPr>
          <w:bCs/>
        </w:rPr>
        <w:t xml:space="preserve">CIA) </w:t>
      </w:r>
      <w:r w:rsidRPr="001710A1">
        <w:rPr>
          <w:lang w:eastAsia="fr-FR" w:bidi="fr-FR"/>
        </w:rPr>
        <w:t xml:space="preserve">du coup d’État au Chili. Le système décisionnel est fortement centralisé et formalisé, et les bureaucraties sont manipulées par le président et son conseiller. Les décisions sont prises en secret par la Maison-Blanche et les bureaucraties, informées </w:t>
      </w:r>
      <w:r w:rsidRPr="00052648">
        <w:rPr>
          <w:i/>
          <w:iCs/>
          <w:lang w:eastAsia="fr-FR" w:bidi="fr-FR"/>
        </w:rPr>
        <w:t>a posteriori</w:t>
      </w:r>
      <w:r w:rsidRPr="001710A1">
        <w:rPr>
          <w:lang w:eastAsia="fr-FR" w:bidi="fr-FR"/>
        </w:rPr>
        <w:t>, tenues de les a</w:t>
      </w:r>
      <w:r w:rsidRPr="001710A1">
        <w:rPr>
          <w:lang w:eastAsia="fr-FR" w:bidi="fr-FR"/>
        </w:rPr>
        <w:t>p</w:t>
      </w:r>
      <w:r w:rsidRPr="001710A1">
        <w:rPr>
          <w:lang w:eastAsia="fr-FR" w:bidi="fr-FR"/>
        </w:rPr>
        <w:t xml:space="preserve">pliquer. Le conseiller pour la Sécurité nationale exerce </w:t>
      </w:r>
      <w:r w:rsidRPr="00052648">
        <w:rPr>
          <w:i/>
          <w:iCs/>
          <w:lang w:eastAsia="fr-FR" w:bidi="fr-FR"/>
        </w:rPr>
        <w:t>de facto</w:t>
      </w:r>
      <w:r w:rsidRPr="001710A1">
        <w:rPr>
          <w:lang w:eastAsia="fr-FR" w:bidi="fr-FR"/>
        </w:rPr>
        <w:t xml:space="preserve"> les compétences (conseiller, avocat, coordonnateur et exéc</w:t>
      </w:r>
      <w:r w:rsidRPr="001710A1">
        <w:rPr>
          <w:lang w:eastAsia="fr-FR" w:bidi="fr-FR"/>
        </w:rPr>
        <w:t>u</w:t>
      </w:r>
      <w:r w:rsidRPr="001710A1">
        <w:rPr>
          <w:lang w:eastAsia="fr-FR" w:bidi="fr-FR"/>
        </w:rPr>
        <w:t>tant de la p</w:t>
      </w:r>
      <w:r w:rsidRPr="001710A1">
        <w:rPr>
          <w:lang w:eastAsia="fr-FR" w:bidi="fr-FR"/>
        </w:rPr>
        <w:t>o</w:t>
      </w:r>
      <w:r w:rsidRPr="001710A1">
        <w:rPr>
          <w:lang w:eastAsia="fr-FR" w:bidi="fr-FR"/>
        </w:rPr>
        <w:t>litique étrangère) normalement dévolues au secrétaire d’État. Il faut dire que William Rogers, qui occupe ce poste, a just</w:t>
      </w:r>
      <w:r w:rsidRPr="001710A1">
        <w:rPr>
          <w:lang w:eastAsia="fr-FR" w:bidi="fr-FR"/>
        </w:rPr>
        <w:t>e</w:t>
      </w:r>
      <w:r w:rsidRPr="001710A1">
        <w:rPr>
          <w:lang w:eastAsia="fr-FR" w:bidi="fr-FR"/>
        </w:rPr>
        <w:t>ment été choisi pour ses inaptit</w:t>
      </w:r>
      <w:r w:rsidRPr="001710A1">
        <w:rPr>
          <w:lang w:eastAsia="fr-FR" w:bidi="fr-FR"/>
        </w:rPr>
        <w:t>u</w:t>
      </w:r>
      <w:r w:rsidRPr="001710A1">
        <w:rPr>
          <w:lang w:eastAsia="fr-FR" w:bidi="fr-FR"/>
        </w:rPr>
        <w:t xml:space="preserve">des. Dans le même temps, les effectifs du </w:t>
      </w:r>
      <w:r w:rsidRPr="001710A1">
        <w:rPr>
          <w:bCs/>
        </w:rPr>
        <w:t xml:space="preserve">NSC </w:t>
      </w:r>
      <w:r w:rsidRPr="001710A1">
        <w:rPr>
          <w:lang w:eastAsia="fr-FR" w:bidi="fr-FR"/>
        </w:rPr>
        <w:t>s’accroissent : il comprend alors plus d’une centaine de hauts fonctionnaires (dont cinquante e</w:t>
      </w:r>
      <w:r w:rsidRPr="001710A1">
        <w:rPr>
          <w:lang w:eastAsia="fr-FR" w:bidi="fr-FR"/>
        </w:rPr>
        <w:t>m</w:t>
      </w:r>
      <w:r w:rsidRPr="001710A1">
        <w:rPr>
          <w:lang w:eastAsia="fr-FR" w:bidi="fr-FR"/>
        </w:rPr>
        <w:t xml:space="preserve">ployés directement par le </w:t>
      </w:r>
      <w:r w:rsidRPr="001710A1">
        <w:rPr>
          <w:bCs/>
        </w:rPr>
        <w:t xml:space="preserve">NSC) </w:t>
      </w:r>
      <w:r w:rsidRPr="001710A1">
        <w:rPr>
          <w:lang w:eastAsia="fr-FR" w:bidi="fr-FR"/>
        </w:rPr>
        <w:t>qui, en multipliant leurs interférences dans la bureaucratie, affaiblissent davantage encore les prérogatives du Dépa</w:t>
      </w:r>
      <w:r w:rsidRPr="001710A1">
        <w:rPr>
          <w:lang w:eastAsia="fr-FR" w:bidi="fr-FR"/>
        </w:rPr>
        <w:t>r</w:t>
      </w:r>
      <w:r w:rsidRPr="001710A1">
        <w:rPr>
          <w:lang w:eastAsia="fr-FR" w:bidi="fr-FR"/>
        </w:rPr>
        <w:t>tement d’État (et même de la Défense). Ironiquement, cette situation ne change pas lorsque Kissi</w:t>
      </w:r>
      <w:r w:rsidRPr="001710A1">
        <w:rPr>
          <w:lang w:eastAsia="fr-FR" w:bidi="fr-FR"/>
        </w:rPr>
        <w:t>n</w:t>
      </w:r>
      <w:r w:rsidRPr="001710A1">
        <w:rPr>
          <w:lang w:eastAsia="fr-FR" w:bidi="fr-FR"/>
        </w:rPr>
        <w:t>ger devient secrétaire d’État en septembre 1973 car, il est vrai, il conserve son poste de conseiller pour la Sécurité nationale</w:t>
      </w:r>
      <w:r>
        <w:rPr>
          <w:lang w:eastAsia="fr-FR" w:bidi="fr-FR"/>
        </w:rPr>
        <w:t> </w:t>
      </w:r>
      <w:r>
        <w:rPr>
          <w:rStyle w:val="Appelnotedebasdep"/>
          <w:lang w:eastAsia="fr-FR" w:bidi="fr-FR"/>
        </w:rPr>
        <w:footnoteReference w:id="491"/>
      </w:r>
      <w:r w:rsidRPr="001710A1">
        <w:rPr>
          <w:lang w:eastAsia="fr-FR" w:bidi="fr-FR"/>
        </w:rPr>
        <w:t>.</w:t>
      </w:r>
    </w:p>
    <w:p w14:paraId="3E5D035E" w14:textId="77777777" w:rsidR="0039793A" w:rsidRPr="001710A1" w:rsidRDefault="0039793A" w:rsidP="0039793A">
      <w:pPr>
        <w:spacing w:before="120" w:after="120"/>
        <w:jc w:val="both"/>
        <w:rPr>
          <w:lang w:eastAsia="fr-FR" w:bidi="fr-FR"/>
        </w:rPr>
      </w:pPr>
      <w:r w:rsidRPr="001710A1">
        <w:rPr>
          <w:lang w:eastAsia="fr-FR" w:bidi="fr-FR"/>
        </w:rPr>
        <w:t xml:space="preserve">Entre août 1974 et janvier 1977, sous Gerald Ford, la structure du </w:t>
      </w:r>
      <w:r w:rsidRPr="001710A1">
        <w:rPr>
          <w:bCs/>
        </w:rPr>
        <w:t xml:space="preserve">NSC </w:t>
      </w:r>
      <w:r w:rsidRPr="001710A1">
        <w:rPr>
          <w:lang w:eastAsia="fr-FR" w:bidi="fr-FR"/>
        </w:rPr>
        <w:t>demeure pratiquement inchangée. Kissinger continue pour un temps de cumuler les fonctions de conseiller pour la Sécur</w:t>
      </w:r>
      <w:r w:rsidRPr="001710A1">
        <w:rPr>
          <w:lang w:eastAsia="fr-FR" w:bidi="fr-FR"/>
        </w:rPr>
        <w:t>i</w:t>
      </w:r>
      <w:r w:rsidRPr="001710A1">
        <w:rPr>
          <w:lang w:eastAsia="fr-FR" w:bidi="fr-FR"/>
        </w:rPr>
        <w:t xml:space="preserve">té nationale et de secrétaire d’État. Il utilise d’ailleurs son personnel du </w:t>
      </w:r>
      <w:r w:rsidRPr="001710A1">
        <w:rPr>
          <w:bCs/>
        </w:rPr>
        <w:t xml:space="preserve">NSC </w:t>
      </w:r>
      <w:r w:rsidRPr="001710A1">
        <w:rPr>
          <w:lang w:eastAsia="fr-FR" w:bidi="fr-FR"/>
        </w:rPr>
        <w:t xml:space="preserve">au Département d’État même, tandis que son adjoint au </w:t>
      </w:r>
      <w:r w:rsidRPr="001710A1">
        <w:rPr>
          <w:bCs/>
        </w:rPr>
        <w:t xml:space="preserve">NSC, </w:t>
      </w:r>
      <w:r w:rsidRPr="001710A1">
        <w:rPr>
          <w:lang w:eastAsia="fr-FR" w:bidi="fr-FR"/>
        </w:rPr>
        <w:t>le lieut</w:t>
      </w:r>
      <w:r w:rsidRPr="001710A1">
        <w:rPr>
          <w:lang w:eastAsia="fr-FR" w:bidi="fr-FR"/>
        </w:rPr>
        <w:t>e</w:t>
      </w:r>
      <w:r w:rsidRPr="001710A1">
        <w:rPr>
          <w:lang w:eastAsia="fr-FR" w:bidi="fr-FR"/>
        </w:rPr>
        <w:t>nant général Brent Scowcroft, assume les fonctions de gestionnaire des comités interdépa</w:t>
      </w:r>
      <w:r w:rsidRPr="001710A1">
        <w:rPr>
          <w:lang w:eastAsia="fr-FR" w:bidi="fr-FR"/>
        </w:rPr>
        <w:t>r</w:t>
      </w:r>
      <w:r w:rsidRPr="001710A1">
        <w:rPr>
          <w:lang w:eastAsia="fr-FR" w:bidi="fr-FR"/>
        </w:rPr>
        <w:t xml:space="preserve">tementaux du </w:t>
      </w:r>
      <w:r w:rsidRPr="001710A1">
        <w:rPr>
          <w:bCs/>
        </w:rPr>
        <w:t xml:space="preserve">NSC. </w:t>
      </w:r>
      <w:r w:rsidRPr="001710A1">
        <w:rPr>
          <w:lang w:eastAsia="fr-FR" w:bidi="fr-FR"/>
        </w:rPr>
        <w:t>En novembre 1975, Ford nomme Scowcroft conseiller pour la Sécurité n</w:t>
      </w:r>
      <w:r w:rsidRPr="001710A1">
        <w:rPr>
          <w:lang w:eastAsia="fr-FR" w:bidi="fr-FR"/>
        </w:rPr>
        <w:t>a</w:t>
      </w:r>
      <w:r w:rsidRPr="001710A1">
        <w:rPr>
          <w:lang w:eastAsia="fr-FR" w:bidi="fr-FR"/>
        </w:rPr>
        <w:t>tionale, libérant ainsi</w:t>
      </w:r>
      <w:r w:rsidRPr="001C2E2B">
        <w:rPr>
          <w:lang w:eastAsia="fr-FR" w:bidi="fr-FR"/>
        </w:rPr>
        <w:t xml:space="preserve"> Kissinger de son cumul.</w:t>
      </w:r>
      <w:r>
        <w:rPr>
          <w:lang w:eastAsia="fr-FR" w:bidi="fr-FR"/>
        </w:rPr>
        <w:t xml:space="preserve"> </w:t>
      </w:r>
      <w:r>
        <w:t xml:space="preserve">[239] </w:t>
      </w:r>
      <w:r w:rsidRPr="001C2E2B">
        <w:rPr>
          <w:lang w:eastAsia="fr-FR" w:bidi="fr-FR"/>
        </w:rPr>
        <w:t>Pour autant, Kissinger conserve la ha</w:t>
      </w:r>
      <w:r w:rsidRPr="001C2E2B">
        <w:rPr>
          <w:lang w:eastAsia="fr-FR" w:bidi="fr-FR"/>
        </w:rPr>
        <w:t>u</w:t>
      </w:r>
      <w:r w:rsidRPr="001C2E2B">
        <w:rPr>
          <w:lang w:eastAsia="fr-FR" w:bidi="fr-FR"/>
        </w:rPr>
        <w:t>te main sur la formulation de la politique étrangère</w:t>
      </w:r>
      <w:r w:rsidRPr="001C2E2B">
        <w:t> :</w:t>
      </w:r>
      <w:r w:rsidRPr="001C2E2B">
        <w:rPr>
          <w:lang w:eastAsia="fr-FR" w:bidi="fr-FR"/>
        </w:rPr>
        <w:t xml:space="preserve"> Scowcroft joue un rôle discret et effacé, un peu comme Cutler sous Eisenhower, en se contentant de superviser le travail des comités interdépart</w:t>
      </w:r>
      <w:r w:rsidRPr="001C2E2B">
        <w:rPr>
          <w:lang w:eastAsia="fr-FR" w:bidi="fr-FR"/>
        </w:rPr>
        <w:t>e</w:t>
      </w:r>
      <w:r w:rsidRPr="001C2E2B">
        <w:rPr>
          <w:lang w:eastAsia="fr-FR" w:bidi="fr-FR"/>
        </w:rPr>
        <w:t xml:space="preserve">mentaux. </w:t>
      </w:r>
      <w:r w:rsidRPr="001710A1">
        <w:rPr>
          <w:lang w:eastAsia="fr-FR" w:bidi="fr-FR"/>
        </w:rPr>
        <w:t>Pendant un court moment, les modifications apportées au fonctionn</w:t>
      </w:r>
      <w:r w:rsidRPr="001710A1">
        <w:rPr>
          <w:lang w:eastAsia="fr-FR" w:bidi="fr-FR"/>
        </w:rPr>
        <w:t>e</w:t>
      </w:r>
      <w:r w:rsidRPr="001710A1">
        <w:rPr>
          <w:lang w:eastAsia="fr-FR" w:bidi="fr-FR"/>
        </w:rPr>
        <w:t xml:space="preserve">ment du </w:t>
      </w:r>
      <w:r w:rsidRPr="001710A1">
        <w:rPr>
          <w:bCs/>
        </w:rPr>
        <w:t xml:space="preserve">NSC </w:t>
      </w:r>
      <w:r w:rsidRPr="001710A1">
        <w:rPr>
          <w:lang w:eastAsia="fr-FR" w:bidi="fr-FR"/>
        </w:rPr>
        <w:t>par Ford finissent par correspondre au modèle idéal de prise de décision, tel que le concevaient au départ les créateurs du Conseil de sécurité nationale.</w:t>
      </w:r>
    </w:p>
    <w:p w14:paraId="1157098A" w14:textId="77777777" w:rsidR="0039793A" w:rsidRDefault="0039793A" w:rsidP="0039793A">
      <w:pPr>
        <w:spacing w:before="120" w:after="120"/>
        <w:jc w:val="both"/>
        <w:rPr>
          <w:lang w:eastAsia="fr-FR" w:bidi="fr-FR"/>
        </w:rPr>
      </w:pPr>
    </w:p>
    <w:p w14:paraId="5315A52F" w14:textId="77777777" w:rsidR="0039793A" w:rsidRPr="001710A1" w:rsidRDefault="0039793A" w:rsidP="0039793A">
      <w:pPr>
        <w:spacing w:before="120" w:after="120"/>
        <w:jc w:val="both"/>
        <w:rPr>
          <w:lang w:eastAsia="fr-FR" w:bidi="fr-FR"/>
        </w:rPr>
      </w:pPr>
    </w:p>
    <w:p w14:paraId="006EE2CE" w14:textId="77777777" w:rsidR="0039793A" w:rsidRPr="00052648" w:rsidRDefault="0039793A" w:rsidP="0039793A">
      <w:pPr>
        <w:pStyle w:val="b"/>
        <w:rPr>
          <w:lang w:eastAsia="fr-FR" w:bidi="fr-FR"/>
        </w:rPr>
      </w:pPr>
      <w:r w:rsidRPr="00052648">
        <w:rPr>
          <w:lang w:eastAsia="fr-FR" w:bidi="fr-FR"/>
        </w:rPr>
        <w:t>Une influence et des rivalités accrues sous Ca</w:t>
      </w:r>
      <w:r w:rsidRPr="00052648">
        <w:rPr>
          <w:lang w:eastAsia="fr-FR" w:bidi="fr-FR"/>
        </w:rPr>
        <w:t>r</w:t>
      </w:r>
      <w:r w:rsidRPr="00052648">
        <w:rPr>
          <w:lang w:eastAsia="fr-FR" w:bidi="fr-FR"/>
        </w:rPr>
        <w:t>ter</w:t>
      </w:r>
    </w:p>
    <w:p w14:paraId="38FFAD70" w14:textId="77777777" w:rsidR="0039793A" w:rsidRPr="001710A1" w:rsidRDefault="0039793A" w:rsidP="0039793A">
      <w:pPr>
        <w:spacing w:before="120" w:after="120"/>
        <w:jc w:val="both"/>
        <w:rPr>
          <w:lang w:eastAsia="fr-FR" w:bidi="fr-FR"/>
        </w:rPr>
      </w:pPr>
    </w:p>
    <w:p w14:paraId="43AD68CC" w14:textId="77777777" w:rsidR="0039793A" w:rsidRPr="001710A1" w:rsidRDefault="0039793A" w:rsidP="0039793A">
      <w:pPr>
        <w:spacing w:before="120" w:after="120"/>
        <w:jc w:val="both"/>
        <w:rPr>
          <w:lang w:eastAsia="fr-FR" w:bidi="fr-FR"/>
        </w:rPr>
      </w:pPr>
      <w:r w:rsidRPr="001710A1">
        <w:rPr>
          <w:lang w:eastAsia="fr-FR" w:bidi="fr-FR"/>
        </w:rPr>
        <w:t xml:space="preserve">Sous la présidence de Carter (1977-1981), l’administration du </w:t>
      </w:r>
      <w:r w:rsidRPr="001710A1">
        <w:rPr>
          <w:bCs/>
        </w:rPr>
        <w:t xml:space="preserve">NSC </w:t>
      </w:r>
      <w:r w:rsidRPr="001710A1">
        <w:rPr>
          <w:lang w:eastAsia="fr-FR" w:bidi="fr-FR"/>
        </w:rPr>
        <w:t>maintient sa prédomina</w:t>
      </w:r>
      <w:r w:rsidRPr="001710A1">
        <w:rPr>
          <w:lang w:eastAsia="fr-FR" w:bidi="fr-FR"/>
        </w:rPr>
        <w:t>n</w:t>
      </w:r>
      <w:r w:rsidRPr="001710A1">
        <w:rPr>
          <w:lang w:eastAsia="fr-FR" w:bidi="fr-FR"/>
        </w:rPr>
        <w:t>ce, avec moins de succès toutefois que durant la période Nixon.</w:t>
      </w:r>
    </w:p>
    <w:p w14:paraId="6E9A2782" w14:textId="77777777" w:rsidR="0039793A" w:rsidRPr="001C2E2B" w:rsidRDefault="0039793A" w:rsidP="0039793A">
      <w:pPr>
        <w:spacing w:before="120" w:after="120"/>
        <w:jc w:val="both"/>
      </w:pPr>
      <w:r w:rsidRPr="001710A1">
        <w:rPr>
          <w:lang w:eastAsia="fr-FR" w:bidi="fr-FR"/>
        </w:rPr>
        <w:t>Carter abandonne les réunions du Forum, leur substituant</w:t>
      </w:r>
      <w:r w:rsidRPr="001C2E2B">
        <w:rPr>
          <w:lang w:eastAsia="fr-FR" w:bidi="fr-FR"/>
        </w:rPr>
        <w:t xml:space="preserve"> deux comités influents, dont un (le </w:t>
      </w:r>
      <w:r w:rsidRPr="00052648">
        <w:rPr>
          <w:i/>
          <w:iCs/>
        </w:rPr>
        <w:t>Spécial Coordinating Committee</w:t>
      </w:r>
      <w:r w:rsidRPr="001C2E2B">
        <w:rPr>
          <w:lang w:eastAsia="fr-FR" w:bidi="fr-FR"/>
        </w:rPr>
        <w:t>) sous la go</w:t>
      </w:r>
      <w:r w:rsidRPr="001C2E2B">
        <w:rPr>
          <w:lang w:eastAsia="fr-FR" w:bidi="fr-FR"/>
        </w:rPr>
        <w:t>u</w:t>
      </w:r>
      <w:r w:rsidRPr="001C2E2B">
        <w:rPr>
          <w:lang w:eastAsia="fr-FR" w:bidi="fr-FR"/>
        </w:rPr>
        <w:t xml:space="preserve">verne de son conseiller pour la Sécurité nationale, Zbigniew Brzezinski. Les groupes informels, tel le </w:t>
      </w:r>
      <w:r w:rsidRPr="00052648">
        <w:rPr>
          <w:i/>
          <w:iCs/>
        </w:rPr>
        <w:t>Friday Morning Breakfasts</w:t>
      </w:r>
      <w:r w:rsidRPr="001C2E2B">
        <w:rPr>
          <w:lang w:eastAsia="fr-FR" w:bidi="fr-FR"/>
        </w:rPr>
        <w:t>, sont les lieux réels de la prise de décision. Les divergences d’opinion entre Brzezinski, qui assume de nombreuses fon</w:t>
      </w:r>
      <w:r w:rsidRPr="001C2E2B">
        <w:rPr>
          <w:lang w:eastAsia="fr-FR" w:bidi="fr-FR"/>
        </w:rPr>
        <w:t>c</w:t>
      </w:r>
      <w:r w:rsidRPr="001C2E2B">
        <w:rPr>
          <w:lang w:eastAsia="fr-FR" w:bidi="fr-FR"/>
        </w:rPr>
        <w:t>tions (notamment publiques) et le secrétaire d’</w:t>
      </w:r>
      <w:r>
        <w:rPr>
          <w:lang w:eastAsia="fr-FR" w:bidi="fr-FR"/>
        </w:rPr>
        <w:t>État</w:t>
      </w:r>
      <w:r w:rsidRPr="001C2E2B">
        <w:rPr>
          <w:lang w:eastAsia="fr-FR" w:bidi="fr-FR"/>
        </w:rPr>
        <w:t xml:space="preserve"> Cyrus Vance, s’amplifient. Pour la première fois de l’Histoire, le conseiller pour la Sécurité nation</w:t>
      </w:r>
      <w:r w:rsidRPr="001C2E2B">
        <w:rPr>
          <w:lang w:eastAsia="fr-FR" w:bidi="fr-FR"/>
        </w:rPr>
        <w:t>a</w:t>
      </w:r>
      <w:r w:rsidRPr="001C2E2B">
        <w:rPr>
          <w:lang w:eastAsia="fr-FR" w:bidi="fr-FR"/>
        </w:rPr>
        <w:t xml:space="preserve">le est intégré au </w:t>
      </w:r>
      <w:r w:rsidRPr="001C2E2B">
        <w:t>« </w:t>
      </w:r>
      <w:r w:rsidRPr="001C2E2B">
        <w:rPr>
          <w:lang w:eastAsia="fr-FR" w:bidi="fr-FR"/>
        </w:rPr>
        <w:t>Conseil des ministres</w:t>
      </w:r>
      <w:r w:rsidRPr="001C2E2B">
        <w:t> »</w:t>
      </w:r>
      <w:r w:rsidRPr="001C2E2B">
        <w:rPr>
          <w:lang w:eastAsia="fr-FR" w:bidi="fr-FR"/>
        </w:rPr>
        <w:t>.</w:t>
      </w:r>
    </w:p>
    <w:p w14:paraId="2AEA986B" w14:textId="77777777" w:rsidR="0039793A" w:rsidRPr="001C2E2B" w:rsidRDefault="0039793A" w:rsidP="0039793A">
      <w:pPr>
        <w:spacing w:before="120" w:after="120"/>
        <w:jc w:val="both"/>
      </w:pPr>
      <w:r w:rsidRPr="001C2E2B">
        <w:rPr>
          <w:lang w:eastAsia="fr-FR" w:bidi="fr-FR"/>
        </w:rPr>
        <w:t>Carter avait marqué, dès le départ, son intention de trancher par rapport à son prédécesseur et de mettre un terme à la culture du secret et aux excès de la centralisation du pouvoir. Pourtant, en dépit de ses bonnes intentions, l’élaboration de la politique étrangère demeure ce</w:t>
      </w:r>
      <w:r w:rsidRPr="001C2E2B">
        <w:rPr>
          <w:lang w:eastAsia="fr-FR" w:bidi="fr-FR"/>
        </w:rPr>
        <w:t>n</w:t>
      </w:r>
      <w:r w:rsidRPr="001C2E2B">
        <w:rPr>
          <w:lang w:eastAsia="fr-FR" w:bidi="fr-FR"/>
        </w:rPr>
        <w:t>tralisée à la Maison-Blanche</w:t>
      </w:r>
      <w:r w:rsidRPr="001C2E2B">
        <w:t> :</w:t>
      </w:r>
      <w:r w:rsidRPr="001C2E2B">
        <w:rPr>
          <w:lang w:eastAsia="fr-FR" w:bidi="fr-FR"/>
        </w:rPr>
        <w:t xml:space="preserve"> le conseiller pour la Sécurité nationale et son personnel (d’une quarantaine de fonctionnaires permanents) prennent les initiatives et décident des politiques — surtout en deuxième moitié de mandat tandis que Brzezinski emporte progress</w:t>
      </w:r>
      <w:r w:rsidRPr="001C2E2B">
        <w:rPr>
          <w:lang w:eastAsia="fr-FR" w:bidi="fr-FR"/>
        </w:rPr>
        <w:t>i</w:t>
      </w:r>
      <w:r w:rsidRPr="001C2E2B">
        <w:rPr>
          <w:lang w:eastAsia="fr-FR" w:bidi="fr-FR"/>
        </w:rPr>
        <w:t>vement l’assentiment de Carter.</w:t>
      </w:r>
    </w:p>
    <w:p w14:paraId="04E613D2" w14:textId="77777777" w:rsidR="0039793A" w:rsidRPr="001C2E2B" w:rsidRDefault="0039793A" w:rsidP="0039793A">
      <w:pPr>
        <w:spacing w:before="120" w:after="120"/>
        <w:jc w:val="both"/>
      </w:pPr>
      <w:r w:rsidRPr="001C2E2B">
        <w:rPr>
          <w:lang w:eastAsia="fr-FR" w:bidi="fr-FR"/>
        </w:rPr>
        <w:t>Les rivalités s’accentuent entre l’organisation du</w:t>
      </w:r>
      <w:r>
        <w:rPr>
          <w:lang w:eastAsia="fr-FR" w:bidi="fr-FR"/>
        </w:rPr>
        <w:t xml:space="preserve"> NSC</w:t>
      </w:r>
      <w:r w:rsidRPr="001C2E2B">
        <w:rPr>
          <w:rStyle w:val="Corpsdutexte28ptGras"/>
        </w:rPr>
        <w:t xml:space="preserve"> </w:t>
      </w:r>
      <w:r w:rsidRPr="001C2E2B">
        <w:rPr>
          <w:lang w:eastAsia="fr-FR" w:bidi="fr-FR"/>
        </w:rPr>
        <w:t>et le Dépa</w:t>
      </w:r>
      <w:r w:rsidRPr="001C2E2B">
        <w:rPr>
          <w:lang w:eastAsia="fr-FR" w:bidi="fr-FR"/>
        </w:rPr>
        <w:t>r</w:t>
      </w:r>
      <w:r w:rsidRPr="001C2E2B">
        <w:rPr>
          <w:lang w:eastAsia="fr-FR" w:bidi="fr-FR"/>
        </w:rPr>
        <w:t>tement d’</w:t>
      </w:r>
      <w:r>
        <w:rPr>
          <w:lang w:eastAsia="fr-FR" w:bidi="fr-FR"/>
        </w:rPr>
        <w:t>État</w:t>
      </w:r>
      <w:r w:rsidRPr="001C2E2B">
        <w:rPr>
          <w:lang w:eastAsia="fr-FR" w:bidi="fr-FR"/>
        </w:rPr>
        <w:t>, notamment avec la crise iranienne</w:t>
      </w:r>
      <w:r>
        <w:rPr>
          <w:lang w:eastAsia="fr-FR" w:bidi="fr-FR"/>
        </w:rPr>
        <w:t> </w:t>
      </w:r>
      <w:r>
        <w:rPr>
          <w:rStyle w:val="Appelnotedebasdep"/>
          <w:lang w:eastAsia="fr-FR" w:bidi="fr-FR"/>
        </w:rPr>
        <w:footnoteReference w:id="492"/>
      </w:r>
      <w:r w:rsidRPr="001C2E2B">
        <w:rPr>
          <w:lang w:eastAsia="fr-FR" w:bidi="fr-FR"/>
        </w:rPr>
        <w:t xml:space="preserve"> et suite à l’invasion </w:t>
      </w:r>
      <w:r w:rsidRPr="001710A1">
        <w:rPr>
          <w:lang w:eastAsia="fr-FR" w:bidi="fr-FR"/>
        </w:rPr>
        <w:t xml:space="preserve">de l’Afghanistan par </w:t>
      </w:r>
      <w:r w:rsidRPr="001710A1">
        <w:rPr>
          <w:bCs/>
        </w:rPr>
        <w:t xml:space="preserve">l’URSS </w:t>
      </w:r>
      <w:r w:rsidRPr="001710A1">
        <w:rPr>
          <w:lang w:eastAsia="fr-FR" w:bidi="fr-FR"/>
        </w:rPr>
        <w:t>— au point où Vance démi</w:t>
      </w:r>
      <w:r w:rsidRPr="001710A1">
        <w:rPr>
          <w:lang w:eastAsia="fr-FR" w:bidi="fr-FR"/>
        </w:rPr>
        <w:t>s</w:t>
      </w:r>
      <w:r w:rsidRPr="001710A1">
        <w:rPr>
          <w:lang w:eastAsia="fr-FR" w:bidi="fr-FR"/>
        </w:rPr>
        <w:t>sionne en</w:t>
      </w:r>
      <w:r w:rsidRPr="001C2E2B">
        <w:rPr>
          <w:lang w:eastAsia="fr-FR" w:bidi="fr-FR"/>
        </w:rPr>
        <w:t xml:space="preserve"> avril 1980 pour protester contre les décisions de la Maison-Blanche.</w:t>
      </w:r>
    </w:p>
    <w:p w14:paraId="099315B1" w14:textId="77777777" w:rsidR="0039793A" w:rsidRPr="001C2E2B" w:rsidRDefault="0039793A" w:rsidP="0039793A">
      <w:pPr>
        <w:spacing w:before="120" w:after="120"/>
        <w:jc w:val="both"/>
      </w:pPr>
      <w:r>
        <w:t>[240]</w:t>
      </w:r>
    </w:p>
    <w:p w14:paraId="6AB3D5D4" w14:textId="77777777" w:rsidR="0039793A" w:rsidRPr="001C2E2B" w:rsidRDefault="0039793A" w:rsidP="0039793A">
      <w:pPr>
        <w:spacing w:before="120" w:after="120"/>
        <w:jc w:val="both"/>
      </w:pPr>
      <w:r w:rsidRPr="001C2E2B">
        <w:rPr>
          <w:lang w:eastAsia="fr-FR" w:bidi="fr-FR"/>
        </w:rPr>
        <w:t>Cette compétition entre Brzezinski et Vance n’aura pas été saluta</w:t>
      </w:r>
      <w:r w:rsidRPr="001C2E2B">
        <w:rPr>
          <w:lang w:eastAsia="fr-FR" w:bidi="fr-FR"/>
        </w:rPr>
        <w:t>i</w:t>
      </w:r>
      <w:r w:rsidRPr="001C2E2B">
        <w:rPr>
          <w:lang w:eastAsia="fr-FR" w:bidi="fr-FR"/>
        </w:rPr>
        <w:t>re. Au contraire, elle a été à l’origine de graves incohérences en pol</w:t>
      </w:r>
      <w:r w:rsidRPr="001C2E2B">
        <w:rPr>
          <w:lang w:eastAsia="fr-FR" w:bidi="fr-FR"/>
        </w:rPr>
        <w:t>i</w:t>
      </w:r>
      <w:r w:rsidRPr="001C2E2B">
        <w:rPr>
          <w:lang w:eastAsia="fr-FR" w:bidi="fr-FR"/>
        </w:rPr>
        <w:t>tique étrangère et elle a considérablement réduit l’efficacité du prés</w:t>
      </w:r>
      <w:r w:rsidRPr="001C2E2B">
        <w:rPr>
          <w:lang w:eastAsia="fr-FR" w:bidi="fr-FR"/>
        </w:rPr>
        <w:t>i</w:t>
      </w:r>
      <w:r w:rsidRPr="001C2E2B">
        <w:rPr>
          <w:lang w:eastAsia="fr-FR" w:bidi="fr-FR"/>
        </w:rPr>
        <w:t>dent Carter. Alors que celui-ci souhaitait, au départ, établir une appr</w:t>
      </w:r>
      <w:r w:rsidRPr="001C2E2B">
        <w:rPr>
          <w:lang w:eastAsia="fr-FR" w:bidi="fr-FR"/>
        </w:rPr>
        <w:t>o</w:t>
      </w:r>
      <w:r w:rsidRPr="001C2E2B">
        <w:rPr>
          <w:lang w:eastAsia="fr-FR" w:bidi="fr-FR"/>
        </w:rPr>
        <w:t>che collégiale de la prise de décision, il doit très vite se résigner à g</w:t>
      </w:r>
      <w:r w:rsidRPr="001C2E2B">
        <w:rPr>
          <w:lang w:eastAsia="fr-FR" w:bidi="fr-FR"/>
        </w:rPr>
        <w:t>é</w:t>
      </w:r>
      <w:r w:rsidRPr="001C2E2B">
        <w:rPr>
          <w:lang w:eastAsia="fr-FR" w:bidi="fr-FR"/>
        </w:rPr>
        <w:t>rer un système hautement compétitif et qu’il peine à maîtriser.</w:t>
      </w:r>
    </w:p>
    <w:p w14:paraId="101F1E81" w14:textId="77777777" w:rsidR="0039793A" w:rsidRPr="001C2E2B" w:rsidRDefault="0039793A" w:rsidP="0039793A">
      <w:pPr>
        <w:spacing w:before="120" w:after="120"/>
        <w:jc w:val="both"/>
      </w:pPr>
      <w:r w:rsidRPr="001C2E2B">
        <w:rPr>
          <w:lang w:eastAsia="fr-FR" w:bidi="fr-FR"/>
        </w:rPr>
        <w:t xml:space="preserve">Le </w:t>
      </w:r>
      <w:r w:rsidRPr="001C2E2B">
        <w:t xml:space="preserve">NSC </w:t>
      </w:r>
      <w:r w:rsidRPr="001C2E2B">
        <w:rPr>
          <w:lang w:eastAsia="fr-FR" w:bidi="fr-FR"/>
        </w:rPr>
        <w:t>de Carter en fait ne lui convient guère</w:t>
      </w:r>
      <w:r w:rsidRPr="001C2E2B">
        <w:t> :</w:t>
      </w:r>
      <w:r w:rsidRPr="001C2E2B">
        <w:rPr>
          <w:lang w:eastAsia="fr-FR" w:bidi="fr-FR"/>
        </w:rPr>
        <w:t xml:space="preserve"> il ne sait pas comment venir à bout des différends et peine à jouer pleinement son rôle d’arbitre au sein de son Administration. Il cherche à ménager constamment les susceptibilités de ses conseillers. Du coup, les rôles du secrétaire d’</w:t>
      </w:r>
      <w:r>
        <w:rPr>
          <w:lang w:eastAsia="fr-FR" w:bidi="fr-FR"/>
        </w:rPr>
        <w:t>État</w:t>
      </w:r>
      <w:r w:rsidRPr="001C2E2B">
        <w:rPr>
          <w:lang w:eastAsia="fr-FR" w:bidi="fr-FR"/>
        </w:rPr>
        <w:t xml:space="preserve"> et du conseiller pour la Sécurité nationale restent imprécis, cela conduisant même à l’énoncé de politiques contradicto</w:t>
      </w:r>
      <w:r w:rsidRPr="001C2E2B">
        <w:rPr>
          <w:lang w:eastAsia="fr-FR" w:bidi="fr-FR"/>
        </w:rPr>
        <w:t>i</w:t>
      </w:r>
      <w:r w:rsidRPr="001C2E2B">
        <w:rPr>
          <w:lang w:eastAsia="fr-FR" w:bidi="fr-FR"/>
        </w:rPr>
        <w:t>res. Les comités interdépartementaux sont peu efficaces et les disse</w:t>
      </w:r>
      <w:r w:rsidRPr="001C2E2B">
        <w:rPr>
          <w:lang w:eastAsia="fr-FR" w:bidi="fr-FR"/>
        </w:rPr>
        <w:t>n</w:t>
      </w:r>
      <w:r w:rsidRPr="001C2E2B">
        <w:rPr>
          <w:lang w:eastAsia="fr-FR" w:bidi="fr-FR"/>
        </w:rPr>
        <w:t xml:space="preserve">sions y sont nombreuses. Bien que l’organisation du </w:t>
      </w:r>
      <w:r w:rsidRPr="001C2E2B">
        <w:t xml:space="preserve">NSC </w:t>
      </w:r>
      <w:r w:rsidRPr="001C2E2B">
        <w:rPr>
          <w:lang w:eastAsia="fr-FR" w:bidi="fr-FR"/>
        </w:rPr>
        <w:t>soit très i</w:t>
      </w:r>
      <w:r w:rsidRPr="001C2E2B">
        <w:rPr>
          <w:lang w:eastAsia="fr-FR" w:bidi="fr-FR"/>
        </w:rPr>
        <w:t>n</w:t>
      </w:r>
      <w:r w:rsidRPr="001C2E2B">
        <w:rPr>
          <w:lang w:eastAsia="fr-FR" w:bidi="fr-FR"/>
        </w:rPr>
        <w:t>fluente, elle ne parvient pas à surmonter cette cacophonie administr</w:t>
      </w:r>
      <w:r w:rsidRPr="001C2E2B">
        <w:rPr>
          <w:lang w:eastAsia="fr-FR" w:bidi="fr-FR"/>
        </w:rPr>
        <w:t>a</w:t>
      </w:r>
      <w:r w:rsidRPr="001C2E2B">
        <w:rPr>
          <w:lang w:eastAsia="fr-FR" w:bidi="fr-FR"/>
        </w:rPr>
        <w:t>tive et sombre dans l’incohérence décisionnelle. Au bout du compte, on ne retiendra de la politique étrangère de Carter que ses hésitations et sa fragilité.</w:t>
      </w:r>
    </w:p>
    <w:p w14:paraId="14E1F157" w14:textId="77777777" w:rsidR="0039793A" w:rsidRDefault="0039793A" w:rsidP="0039793A">
      <w:pPr>
        <w:spacing w:before="120" w:after="120"/>
        <w:jc w:val="both"/>
        <w:rPr>
          <w:lang w:eastAsia="fr-FR" w:bidi="fr-FR"/>
        </w:rPr>
      </w:pPr>
    </w:p>
    <w:p w14:paraId="3AF44C1B" w14:textId="77777777" w:rsidR="0039793A" w:rsidRPr="00052648" w:rsidRDefault="0039793A" w:rsidP="0039793A">
      <w:pPr>
        <w:pStyle w:val="b"/>
      </w:pPr>
      <w:r w:rsidRPr="00052648">
        <w:rPr>
          <w:lang w:eastAsia="fr-FR" w:bidi="fr-FR"/>
        </w:rPr>
        <w:t>Les aléas du style décisionnel désengagé de Reagan</w:t>
      </w:r>
    </w:p>
    <w:p w14:paraId="491875CF" w14:textId="77777777" w:rsidR="0039793A" w:rsidRDefault="0039793A" w:rsidP="0039793A">
      <w:pPr>
        <w:spacing w:before="120" w:after="120"/>
        <w:jc w:val="both"/>
        <w:rPr>
          <w:lang w:eastAsia="fr-FR" w:bidi="fr-FR"/>
        </w:rPr>
      </w:pPr>
    </w:p>
    <w:p w14:paraId="4A6C6369" w14:textId="77777777" w:rsidR="0039793A" w:rsidRPr="001C2E2B" w:rsidRDefault="0039793A" w:rsidP="0039793A">
      <w:pPr>
        <w:spacing w:before="120" w:after="120"/>
        <w:jc w:val="both"/>
      </w:pPr>
      <w:r w:rsidRPr="001C2E2B">
        <w:rPr>
          <w:lang w:eastAsia="fr-FR" w:bidi="fr-FR"/>
        </w:rPr>
        <w:t>La présidence de Reagan (1981-1988) constitue une expérience unique de l’ère contemporaine</w:t>
      </w:r>
      <w:r w:rsidRPr="001C2E2B">
        <w:t> :</w:t>
      </w:r>
      <w:r w:rsidRPr="001C2E2B">
        <w:rPr>
          <w:lang w:eastAsia="fr-FR" w:bidi="fr-FR"/>
        </w:rPr>
        <w:t xml:space="preserve"> elle met en œuvre simultanément pl</w:t>
      </w:r>
      <w:r w:rsidRPr="001C2E2B">
        <w:rPr>
          <w:lang w:eastAsia="fr-FR" w:bidi="fr-FR"/>
        </w:rPr>
        <w:t>u</w:t>
      </w:r>
      <w:r w:rsidRPr="001C2E2B">
        <w:rPr>
          <w:lang w:eastAsia="fr-FR" w:bidi="fr-FR"/>
        </w:rPr>
        <w:t>sieurs modèles de prise de décision</w:t>
      </w:r>
      <w:r w:rsidRPr="001C2E2B">
        <w:t> :</w:t>
      </w:r>
      <w:r w:rsidRPr="001C2E2B">
        <w:rPr>
          <w:lang w:eastAsia="fr-FR" w:bidi="fr-FR"/>
        </w:rPr>
        <w:t xml:space="preserve"> à la fois collégial et co</w:t>
      </w:r>
      <w:r w:rsidRPr="001C2E2B">
        <w:rPr>
          <w:lang w:eastAsia="fr-FR" w:bidi="fr-FR"/>
        </w:rPr>
        <w:t>m</w:t>
      </w:r>
      <w:r w:rsidRPr="001C2E2B">
        <w:rPr>
          <w:lang w:eastAsia="fr-FR" w:bidi="fr-FR"/>
        </w:rPr>
        <w:t>pétitif durant le premier mandat, davantage formel durant le second. Le style décisionnel désengagé de Reagan conduit à un certain laisser-faire dans le processus décisionnel, où les conseillers rivalisent d’influence pour mener la politique étrangère au nom d’un président assez peu au fait des relations internationales. Les dysfonctionnements vont alors se multiplier.</w:t>
      </w:r>
    </w:p>
    <w:p w14:paraId="3B2E8B7C" w14:textId="77777777" w:rsidR="0039793A" w:rsidRPr="001C2E2B" w:rsidRDefault="0039793A" w:rsidP="0039793A">
      <w:pPr>
        <w:spacing w:before="120" w:after="120"/>
        <w:jc w:val="both"/>
      </w:pPr>
      <w:r w:rsidRPr="001C2E2B">
        <w:rPr>
          <w:lang w:eastAsia="fr-FR" w:bidi="fr-FR"/>
        </w:rPr>
        <w:t>Premièrement, les réunions du Forum sont rares et les processus décisionnels faiblement articulés bien qu’à compter de 1982, les re</w:t>
      </w:r>
      <w:r w:rsidRPr="001C2E2B">
        <w:rPr>
          <w:lang w:eastAsia="fr-FR" w:bidi="fr-FR"/>
        </w:rPr>
        <w:t>n</w:t>
      </w:r>
      <w:r w:rsidRPr="001C2E2B">
        <w:rPr>
          <w:lang w:eastAsia="fr-FR" w:bidi="fr-FR"/>
        </w:rPr>
        <w:t xml:space="preserve">contres informelles du </w:t>
      </w:r>
      <w:r w:rsidRPr="003A2871">
        <w:rPr>
          <w:i/>
          <w:iCs/>
        </w:rPr>
        <w:t>National Security Planning Group</w:t>
      </w:r>
      <w:r w:rsidRPr="001C2E2B">
        <w:rPr>
          <w:lang w:eastAsia="fr-FR" w:bidi="fr-FR"/>
        </w:rPr>
        <w:t>, m</w:t>
      </w:r>
      <w:r w:rsidRPr="001C2E2B">
        <w:rPr>
          <w:lang w:eastAsia="fr-FR" w:bidi="fr-FR"/>
        </w:rPr>
        <w:t>e</w:t>
      </w:r>
      <w:r w:rsidRPr="001C2E2B">
        <w:rPr>
          <w:lang w:eastAsia="fr-FR" w:bidi="fr-FR"/>
        </w:rPr>
        <w:t>nées par le conseiller pour la Sécurité nationale, deviennent plus fréquentes.</w:t>
      </w:r>
    </w:p>
    <w:p w14:paraId="03A9F3CF" w14:textId="77777777" w:rsidR="0039793A" w:rsidRPr="001C2E2B" w:rsidRDefault="0039793A" w:rsidP="0039793A">
      <w:pPr>
        <w:spacing w:before="120" w:after="120"/>
        <w:jc w:val="both"/>
      </w:pPr>
      <w:r w:rsidRPr="001C2E2B">
        <w:rPr>
          <w:lang w:eastAsia="fr-FR" w:bidi="fr-FR"/>
        </w:rPr>
        <w:t>Deuxièmement, les conflits entre le secrétaire d’</w:t>
      </w:r>
      <w:r>
        <w:rPr>
          <w:lang w:eastAsia="fr-FR" w:bidi="fr-FR"/>
        </w:rPr>
        <w:t>État</w:t>
      </w:r>
      <w:r w:rsidRPr="001C2E2B">
        <w:rPr>
          <w:lang w:eastAsia="fr-FR" w:bidi="fr-FR"/>
        </w:rPr>
        <w:t xml:space="preserve"> Haig, puis Shultz, et le secrétaire à la D</w:t>
      </w:r>
      <w:r w:rsidRPr="001C2E2B">
        <w:rPr>
          <w:lang w:eastAsia="fr-FR" w:bidi="fr-FR"/>
        </w:rPr>
        <w:t>é</w:t>
      </w:r>
      <w:r w:rsidRPr="001C2E2B">
        <w:rPr>
          <w:lang w:eastAsia="fr-FR" w:bidi="fr-FR"/>
        </w:rPr>
        <w:t>fense Caspar Weinberger sont virulents et alimentent l’impression générale d’une prise de décision anarch</w:t>
      </w:r>
      <w:r w:rsidRPr="001C2E2B">
        <w:rPr>
          <w:lang w:eastAsia="fr-FR" w:bidi="fr-FR"/>
        </w:rPr>
        <w:t>i</w:t>
      </w:r>
      <w:r w:rsidRPr="001C2E2B">
        <w:rPr>
          <w:lang w:eastAsia="fr-FR" w:bidi="fr-FR"/>
        </w:rPr>
        <w:t xml:space="preserve">que. Tandis que Haig se voit reconnaître, au début de la présidence Reagan, </w:t>
      </w:r>
      <w:r>
        <w:rPr>
          <w:lang w:eastAsia="fr-FR" w:bidi="fr-FR"/>
        </w:rPr>
        <w:t>la responsabilité de la formula</w:t>
      </w:r>
      <w:r w:rsidRPr="001C2E2B">
        <w:rPr>
          <w:lang w:eastAsia="fr-FR" w:bidi="fr-FR"/>
        </w:rPr>
        <w:t>tion</w:t>
      </w:r>
      <w:r>
        <w:t xml:space="preserve"> [241]</w:t>
      </w:r>
      <w:r w:rsidRPr="001C2E2B">
        <w:rPr>
          <w:lang w:eastAsia="fr-FR" w:bidi="fr-FR"/>
        </w:rPr>
        <w:t xml:space="preserve"> de la politique ext</w:t>
      </w:r>
      <w:r w:rsidRPr="001C2E2B">
        <w:rPr>
          <w:lang w:eastAsia="fr-FR" w:bidi="fr-FR"/>
        </w:rPr>
        <w:t>é</w:t>
      </w:r>
      <w:r w:rsidRPr="001C2E2B">
        <w:rPr>
          <w:lang w:eastAsia="fr-FR" w:bidi="fr-FR"/>
        </w:rPr>
        <w:t>rieure, il réalise, un an plus tard, que celle-ci est en réalité aux mains des conseillers de la Maison-Blanche et du conseiller pour la Sécurité nationale. Aussi, de nouveau, un s</w:t>
      </w:r>
      <w:r w:rsidRPr="001C2E2B">
        <w:rPr>
          <w:lang w:eastAsia="fr-FR" w:bidi="fr-FR"/>
        </w:rPr>
        <w:t>e</w:t>
      </w:r>
      <w:r w:rsidRPr="001C2E2B">
        <w:rPr>
          <w:lang w:eastAsia="fr-FR" w:bidi="fr-FR"/>
        </w:rPr>
        <w:t>crétaire d’</w:t>
      </w:r>
      <w:r>
        <w:rPr>
          <w:lang w:eastAsia="fr-FR" w:bidi="fr-FR"/>
        </w:rPr>
        <w:t>État</w:t>
      </w:r>
      <w:r w:rsidRPr="001C2E2B">
        <w:rPr>
          <w:lang w:eastAsia="fr-FR" w:bidi="fr-FR"/>
        </w:rPr>
        <w:t>, Alexander Haig, démissionne-t-il suite à des différends avec la Maison-Blanche impl</w:t>
      </w:r>
      <w:r w:rsidRPr="001C2E2B">
        <w:rPr>
          <w:lang w:eastAsia="fr-FR" w:bidi="fr-FR"/>
        </w:rPr>
        <w:t>i</w:t>
      </w:r>
      <w:r w:rsidRPr="001C2E2B">
        <w:rPr>
          <w:lang w:eastAsia="fr-FR" w:bidi="fr-FR"/>
        </w:rPr>
        <w:t>quant notamment le conseiller pour la Sécurité nationale.</w:t>
      </w:r>
    </w:p>
    <w:p w14:paraId="29FB04EC" w14:textId="77777777" w:rsidR="0039793A" w:rsidRPr="001C2E2B" w:rsidRDefault="0039793A" w:rsidP="0039793A">
      <w:pPr>
        <w:spacing w:before="120" w:after="120"/>
        <w:jc w:val="both"/>
      </w:pPr>
      <w:r w:rsidRPr="001C2E2B">
        <w:rPr>
          <w:lang w:eastAsia="fr-FR" w:bidi="fr-FR"/>
        </w:rPr>
        <w:t xml:space="preserve">Troisièmement, </w:t>
      </w:r>
      <w:r w:rsidRPr="003A2871">
        <w:rPr>
          <w:i/>
          <w:iCs/>
        </w:rPr>
        <w:t>six</w:t>
      </w:r>
      <w:r w:rsidRPr="001C2E2B">
        <w:rPr>
          <w:lang w:eastAsia="fr-FR" w:bidi="fr-FR"/>
        </w:rPr>
        <w:t xml:space="preserve"> conseillers pour la Sécurité nationale se succ</w:t>
      </w:r>
      <w:r w:rsidRPr="001C2E2B">
        <w:rPr>
          <w:lang w:eastAsia="fr-FR" w:bidi="fr-FR"/>
        </w:rPr>
        <w:t>è</w:t>
      </w:r>
      <w:r w:rsidRPr="001C2E2B">
        <w:rPr>
          <w:lang w:eastAsia="fr-FR" w:bidi="fr-FR"/>
        </w:rPr>
        <w:t>dent en huit ans (ce qui représe</w:t>
      </w:r>
      <w:r w:rsidRPr="001C2E2B">
        <w:rPr>
          <w:lang w:eastAsia="fr-FR" w:bidi="fr-FR"/>
        </w:rPr>
        <w:t>n</w:t>
      </w:r>
      <w:r w:rsidRPr="001C2E2B">
        <w:rPr>
          <w:lang w:eastAsia="fr-FR" w:bidi="fr-FR"/>
        </w:rPr>
        <w:t>te pratiquement la somme de ceux qui ont occupé ce poste depuis 1953). Pour autant l’influence de ce poste varie</w:t>
      </w:r>
      <w:r w:rsidRPr="001C2E2B">
        <w:t> :</w:t>
      </w:r>
      <w:r w:rsidRPr="001C2E2B">
        <w:rPr>
          <w:lang w:eastAsia="fr-FR" w:bidi="fr-FR"/>
        </w:rPr>
        <w:t xml:space="preserve"> Richard Allen entre janvier 1981 et janvier 1982, dépourvu d’autorité, est relégué en marge de la prise de décision. Par contre, son su</w:t>
      </w:r>
      <w:r w:rsidRPr="001C2E2B">
        <w:rPr>
          <w:lang w:eastAsia="fr-FR" w:bidi="fr-FR"/>
        </w:rPr>
        <w:t>c</w:t>
      </w:r>
      <w:r w:rsidRPr="001C2E2B">
        <w:rPr>
          <w:lang w:eastAsia="fr-FR" w:bidi="fr-FR"/>
        </w:rPr>
        <w:t>cesseur jusqu’en octobre 1983, (l’ancien juge) William Clark, s’avère influent et très impliqué quoique sa connaissance des enjeux internationaux soit infinitésimale. Ensuite, deux anciens milita</w:t>
      </w:r>
      <w:r w:rsidRPr="001C2E2B">
        <w:rPr>
          <w:lang w:eastAsia="fr-FR" w:bidi="fr-FR"/>
        </w:rPr>
        <w:t>i</w:t>
      </w:r>
      <w:r w:rsidRPr="001C2E2B">
        <w:rPr>
          <w:lang w:eastAsia="fr-FR" w:bidi="fr-FR"/>
        </w:rPr>
        <w:t>res, une première à ce poste, prennent la relève</w:t>
      </w:r>
      <w:r w:rsidRPr="001C2E2B">
        <w:t> :</w:t>
      </w:r>
      <w:r w:rsidRPr="001C2E2B">
        <w:rPr>
          <w:lang w:eastAsia="fr-FR" w:bidi="fr-FR"/>
        </w:rPr>
        <w:t xml:space="preserve"> le colonel Robert McFa</w:t>
      </w:r>
      <w:r w:rsidRPr="001C2E2B">
        <w:rPr>
          <w:lang w:eastAsia="fr-FR" w:bidi="fr-FR"/>
        </w:rPr>
        <w:t>r</w:t>
      </w:r>
      <w:r w:rsidRPr="001C2E2B">
        <w:rPr>
          <w:lang w:eastAsia="fr-FR" w:bidi="fr-FR"/>
        </w:rPr>
        <w:t>lane, entre octobre 1983 et décembre 1985, puis l’amiral John Poi</w:t>
      </w:r>
      <w:r w:rsidRPr="001C2E2B">
        <w:rPr>
          <w:lang w:eastAsia="fr-FR" w:bidi="fr-FR"/>
        </w:rPr>
        <w:t>n</w:t>
      </w:r>
      <w:r w:rsidRPr="001C2E2B">
        <w:rPr>
          <w:lang w:eastAsia="fr-FR" w:bidi="fr-FR"/>
        </w:rPr>
        <w:t>dexter ju</w:t>
      </w:r>
      <w:r w:rsidRPr="001C2E2B">
        <w:rPr>
          <w:lang w:eastAsia="fr-FR" w:bidi="fr-FR"/>
        </w:rPr>
        <w:t>s</w:t>
      </w:r>
      <w:r w:rsidRPr="001C2E2B">
        <w:rPr>
          <w:lang w:eastAsia="fr-FR" w:bidi="fr-FR"/>
        </w:rPr>
        <w:t xml:space="preserve">qu’en novembre 1986, sont les artisans (avec le lieutenant- colonel Oliver North, membre de l’Administration du </w:t>
      </w:r>
      <w:r w:rsidRPr="001C2E2B">
        <w:t xml:space="preserve">NSC) </w:t>
      </w:r>
      <w:r w:rsidRPr="001C2E2B">
        <w:rPr>
          <w:lang w:eastAsia="fr-FR" w:bidi="fr-FR"/>
        </w:rPr>
        <w:t>de l’opération Iran-Contra.</w:t>
      </w:r>
    </w:p>
    <w:p w14:paraId="1DF89878" w14:textId="77777777" w:rsidR="0039793A" w:rsidRPr="001C2E2B" w:rsidRDefault="0039793A" w:rsidP="0039793A">
      <w:pPr>
        <w:spacing w:before="120" w:after="120"/>
        <w:jc w:val="both"/>
      </w:pPr>
      <w:r w:rsidRPr="001C2E2B">
        <w:rPr>
          <w:lang w:eastAsia="fr-FR" w:bidi="fr-FR"/>
        </w:rPr>
        <w:t xml:space="preserve">Quatrièmement, l’organisation du </w:t>
      </w:r>
      <w:r w:rsidRPr="001C2E2B">
        <w:t xml:space="preserve">NSC </w:t>
      </w:r>
      <w:r w:rsidRPr="001C2E2B">
        <w:rPr>
          <w:lang w:eastAsia="fr-FR" w:bidi="fr-FR"/>
        </w:rPr>
        <w:t>atteint un sommet durant le second mandat, alors qu’elle comprend plus de soixante-dix fonctio</w:t>
      </w:r>
      <w:r w:rsidRPr="001C2E2B">
        <w:rPr>
          <w:lang w:eastAsia="fr-FR" w:bidi="fr-FR"/>
        </w:rPr>
        <w:t>n</w:t>
      </w:r>
      <w:r w:rsidRPr="001C2E2B">
        <w:rPr>
          <w:lang w:eastAsia="fr-FR" w:bidi="fr-FR"/>
        </w:rPr>
        <w:t>naires permanents. C’est donc à ce moment-là que le pe</w:t>
      </w:r>
      <w:r w:rsidRPr="001C2E2B">
        <w:rPr>
          <w:lang w:eastAsia="fr-FR" w:bidi="fr-FR"/>
        </w:rPr>
        <w:t>r</w:t>
      </w:r>
      <w:r w:rsidRPr="001C2E2B">
        <w:rPr>
          <w:lang w:eastAsia="fr-FR" w:bidi="fr-FR"/>
        </w:rPr>
        <w:t xml:space="preserve">sonnel du </w:t>
      </w:r>
      <w:r w:rsidRPr="001C2E2B">
        <w:t xml:space="preserve">NSC </w:t>
      </w:r>
      <w:r w:rsidRPr="001C2E2B">
        <w:rPr>
          <w:lang w:eastAsia="fr-FR" w:bidi="fr-FR"/>
        </w:rPr>
        <w:t>se risque, pour la première fois, à mener clandestinement et ill</w:t>
      </w:r>
      <w:r w:rsidRPr="001C2E2B">
        <w:rPr>
          <w:lang w:eastAsia="fr-FR" w:bidi="fr-FR"/>
        </w:rPr>
        <w:t>é</w:t>
      </w:r>
      <w:r w:rsidRPr="001C2E2B">
        <w:rPr>
          <w:lang w:eastAsia="fr-FR" w:bidi="fr-FR"/>
        </w:rPr>
        <w:t>galement toute une opération de politique étrangère</w:t>
      </w:r>
      <w:r w:rsidRPr="001C2E2B">
        <w:t> :</w:t>
      </w:r>
      <w:r w:rsidRPr="001C2E2B">
        <w:rPr>
          <w:lang w:eastAsia="fr-FR" w:bidi="fr-FR"/>
        </w:rPr>
        <w:t xml:space="preserve"> il s’agit de l’affaire Iran-Contra, en 1985-1986, où des armes sont vendues au régime iranien et où le profit des ventes sert à financer la Contra au Nicaragua</w:t>
      </w:r>
      <w:r>
        <w:rPr>
          <w:lang w:eastAsia="fr-FR" w:bidi="fr-FR"/>
        </w:rPr>
        <w:t> </w:t>
      </w:r>
      <w:r>
        <w:rPr>
          <w:rStyle w:val="Appelnotedebasdep"/>
          <w:lang w:eastAsia="fr-FR" w:bidi="fr-FR"/>
        </w:rPr>
        <w:footnoteReference w:id="493"/>
      </w:r>
      <w:r>
        <w:rPr>
          <w:lang w:eastAsia="fr-FR" w:bidi="fr-FR"/>
        </w:rPr>
        <w:t>.</w:t>
      </w:r>
      <w:r w:rsidRPr="001C2E2B">
        <w:rPr>
          <w:lang w:eastAsia="fr-FR" w:bidi="fr-FR"/>
        </w:rPr>
        <w:t xml:space="preserve"> Cette initiative est menée avec l’accord tacite du prés</w:t>
      </w:r>
      <w:r w:rsidRPr="001C2E2B">
        <w:rPr>
          <w:lang w:eastAsia="fr-FR" w:bidi="fr-FR"/>
        </w:rPr>
        <w:t>i</w:t>
      </w:r>
      <w:r w:rsidRPr="001C2E2B">
        <w:rPr>
          <w:lang w:eastAsia="fr-FR" w:bidi="fr-FR"/>
        </w:rPr>
        <w:t>dent mais sans l’assentiment des secrétaires d’</w:t>
      </w:r>
      <w:r>
        <w:rPr>
          <w:lang w:eastAsia="fr-FR" w:bidi="fr-FR"/>
        </w:rPr>
        <w:t>État</w:t>
      </w:r>
      <w:r w:rsidRPr="001C2E2B">
        <w:rPr>
          <w:lang w:eastAsia="fr-FR" w:bidi="fr-FR"/>
        </w:rPr>
        <w:t xml:space="preserve"> et à la Défense. Tandis que le </w:t>
      </w:r>
      <w:r w:rsidRPr="001C2E2B">
        <w:t xml:space="preserve">NSC </w:t>
      </w:r>
      <w:r w:rsidRPr="001C2E2B">
        <w:rPr>
          <w:lang w:eastAsia="fr-FR" w:bidi="fr-FR"/>
        </w:rPr>
        <w:t>se r</w:t>
      </w:r>
      <w:r w:rsidRPr="001C2E2B">
        <w:rPr>
          <w:lang w:eastAsia="fr-FR" w:bidi="fr-FR"/>
        </w:rPr>
        <w:t>e</w:t>
      </w:r>
      <w:r w:rsidRPr="001C2E2B">
        <w:rPr>
          <w:lang w:eastAsia="fr-FR" w:bidi="fr-FR"/>
        </w:rPr>
        <w:t>trouve au cœur de la polémique, une fois l’affaire découverte, et sous le feu d’enquêtes d’une commission pe</w:t>
      </w:r>
      <w:r w:rsidRPr="001C2E2B">
        <w:rPr>
          <w:lang w:eastAsia="fr-FR" w:bidi="fr-FR"/>
        </w:rPr>
        <w:t>r</w:t>
      </w:r>
      <w:r w:rsidRPr="001C2E2B">
        <w:rPr>
          <w:lang w:eastAsia="fr-FR" w:bidi="fr-FR"/>
        </w:rPr>
        <w:t xml:space="preserve">manente (la Commission Tower) et du Congrès, Poindexter et North démissionnent. Les enquêtes parlementaires concluront aux dangers d’utiliser le </w:t>
      </w:r>
      <w:r w:rsidRPr="001C2E2B">
        <w:t xml:space="preserve">NSC </w:t>
      </w:r>
      <w:r w:rsidRPr="001C2E2B">
        <w:rPr>
          <w:lang w:eastAsia="fr-FR" w:bidi="fr-FR"/>
        </w:rPr>
        <w:t xml:space="preserve">tel </w:t>
      </w:r>
      <w:r w:rsidRPr="001C2E2B">
        <w:t>« </w:t>
      </w:r>
      <w:r w:rsidRPr="001C2E2B">
        <w:rPr>
          <w:lang w:eastAsia="fr-FR" w:bidi="fr-FR"/>
        </w:rPr>
        <w:t>un gouvernement à l’intérieur du gouvern</w:t>
      </w:r>
      <w:r w:rsidRPr="001C2E2B">
        <w:rPr>
          <w:lang w:eastAsia="fr-FR" w:bidi="fr-FR"/>
        </w:rPr>
        <w:t>e</w:t>
      </w:r>
      <w:r w:rsidRPr="001C2E2B">
        <w:rPr>
          <w:lang w:eastAsia="fr-FR" w:bidi="fr-FR"/>
        </w:rPr>
        <w:t>ment</w:t>
      </w:r>
      <w:r w:rsidRPr="001C2E2B">
        <w:t> »</w:t>
      </w:r>
      <w:r w:rsidRPr="001C2E2B">
        <w:rPr>
          <w:lang w:eastAsia="fr-FR" w:bidi="fr-FR"/>
        </w:rPr>
        <w:t>.</w:t>
      </w:r>
    </w:p>
    <w:p w14:paraId="64FDF90D" w14:textId="77777777" w:rsidR="0039793A" w:rsidRPr="001C2E2B" w:rsidRDefault="0039793A" w:rsidP="0039793A">
      <w:pPr>
        <w:spacing w:before="120" w:after="120"/>
        <w:jc w:val="both"/>
      </w:pPr>
      <w:r w:rsidRPr="001C2E2B">
        <w:rPr>
          <w:lang w:eastAsia="fr-FR" w:bidi="fr-FR"/>
        </w:rPr>
        <w:t>Ce n’est finalement qu’à la septième année de la présidence, avec Frank Carlucci (jusqu’en novembre 1987) puis le général Colin P</w:t>
      </w:r>
      <w:r w:rsidRPr="001C2E2B">
        <w:rPr>
          <w:lang w:eastAsia="fr-FR" w:bidi="fr-FR"/>
        </w:rPr>
        <w:t>o</w:t>
      </w:r>
      <w:r w:rsidRPr="001C2E2B">
        <w:rPr>
          <w:lang w:eastAsia="fr-FR" w:bidi="fr-FR"/>
        </w:rPr>
        <w:t>well (ju</w:t>
      </w:r>
      <w:r w:rsidRPr="001C2E2B">
        <w:rPr>
          <w:lang w:eastAsia="fr-FR" w:bidi="fr-FR"/>
        </w:rPr>
        <w:t>s</w:t>
      </w:r>
      <w:r w:rsidRPr="001C2E2B">
        <w:rPr>
          <w:lang w:eastAsia="fr-FR" w:bidi="fr-FR"/>
        </w:rPr>
        <w:t>qu’en janvier 1989)</w:t>
      </w:r>
      <w:r>
        <w:rPr>
          <w:lang w:eastAsia="fr-FR" w:bidi="fr-FR"/>
        </w:rPr>
        <w:t xml:space="preserve"> que le système décisionnel par</w:t>
      </w:r>
      <w:r w:rsidRPr="001C2E2B">
        <w:rPr>
          <w:lang w:eastAsia="fr-FR" w:bidi="fr-FR"/>
        </w:rPr>
        <w:t>vient</w:t>
      </w:r>
      <w:r>
        <w:t xml:space="preserve"> [242]</w:t>
      </w:r>
      <w:r w:rsidRPr="001C2E2B">
        <w:rPr>
          <w:lang w:eastAsia="fr-FR" w:bidi="fr-FR"/>
        </w:rPr>
        <w:t xml:space="preserve"> à fonctionner convenablement. Compte tenu des cond</w:t>
      </w:r>
      <w:r w:rsidRPr="001C2E2B">
        <w:rPr>
          <w:lang w:eastAsia="fr-FR" w:bidi="fr-FR"/>
        </w:rPr>
        <w:t>i</w:t>
      </w:r>
      <w:r w:rsidRPr="001C2E2B">
        <w:rPr>
          <w:lang w:eastAsia="fr-FR" w:bidi="fr-FR"/>
        </w:rPr>
        <w:t>tions (pour le moins hasardeuses) de sa formulation, le fait que la politique étrang</w:t>
      </w:r>
      <w:r w:rsidRPr="001C2E2B">
        <w:rPr>
          <w:lang w:eastAsia="fr-FR" w:bidi="fr-FR"/>
        </w:rPr>
        <w:t>è</w:t>
      </w:r>
      <w:r w:rsidRPr="001C2E2B">
        <w:rPr>
          <w:lang w:eastAsia="fr-FR" w:bidi="fr-FR"/>
        </w:rPr>
        <w:t>re de Reagan ait abouti à des résultats plus cohérents que celle de Ca</w:t>
      </w:r>
      <w:r w:rsidRPr="001C2E2B">
        <w:rPr>
          <w:lang w:eastAsia="fr-FR" w:bidi="fr-FR"/>
        </w:rPr>
        <w:t>r</w:t>
      </w:r>
      <w:r w:rsidRPr="001C2E2B">
        <w:rPr>
          <w:lang w:eastAsia="fr-FR" w:bidi="fr-FR"/>
        </w:rPr>
        <w:t>ter relève du prodige.</w:t>
      </w:r>
    </w:p>
    <w:p w14:paraId="7E48502B" w14:textId="77777777" w:rsidR="0039793A" w:rsidRDefault="0039793A" w:rsidP="0039793A">
      <w:pPr>
        <w:spacing w:before="120" w:after="120"/>
        <w:jc w:val="both"/>
        <w:rPr>
          <w:lang w:eastAsia="fr-FR" w:bidi="fr-FR"/>
        </w:rPr>
      </w:pPr>
    </w:p>
    <w:p w14:paraId="373889C4" w14:textId="77777777" w:rsidR="0039793A" w:rsidRPr="001C2E2B" w:rsidRDefault="0039793A" w:rsidP="0039793A">
      <w:pPr>
        <w:pStyle w:val="a"/>
      </w:pPr>
      <w:r w:rsidRPr="001C2E2B">
        <w:t>Le repositionnement du NSC</w:t>
      </w:r>
    </w:p>
    <w:p w14:paraId="0F09FFB2" w14:textId="77777777" w:rsidR="0039793A" w:rsidRDefault="0039793A" w:rsidP="0039793A">
      <w:pPr>
        <w:spacing w:before="120" w:after="120"/>
        <w:jc w:val="both"/>
        <w:rPr>
          <w:lang w:eastAsia="fr-FR" w:bidi="fr-FR"/>
        </w:rPr>
      </w:pPr>
    </w:p>
    <w:p w14:paraId="0DA2FAD3" w14:textId="77777777" w:rsidR="0039793A" w:rsidRPr="001C2E2B" w:rsidRDefault="0039793A" w:rsidP="0039793A">
      <w:pPr>
        <w:spacing w:before="120" w:after="120"/>
        <w:jc w:val="both"/>
      </w:pPr>
      <w:r w:rsidRPr="001C2E2B">
        <w:rPr>
          <w:lang w:eastAsia="fr-FR" w:bidi="fr-FR"/>
        </w:rPr>
        <w:t xml:space="preserve">Compte tenu des dérives, un repositionnement du </w:t>
      </w:r>
      <w:r w:rsidRPr="001C2E2B">
        <w:t xml:space="preserve">NSC </w:t>
      </w:r>
      <w:r w:rsidRPr="001C2E2B">
        <w:rPr>
          <w:lang w:eastAsia="fr-FR" w:bidi="fr-FR"/>
        </w:rPr>
        <w:t>s’imposait. Au fond, l’affaire Iran-Contra ne représente que l’aboutissement du développ</w:t>
      </w:r>
      <w:r w:rsidRPr="001C2E2B">
        <w:rPr>
          <w:lang w:eastAsia="fr-FR" w:bidi="fr-FR"/>
        </w:rPr>
        <w:t>e</w:t>
      </w:r>
      <w:r w:rsidRPr="001C2E2B">
        <w:rPr>
          <w:lang w:eastAsia="fr-FR" w:bidi="fr-FR"/>
        </w:rPr>
        <w:t>ment affirmé sous Kissinger et Brzezinski</w:t>
      </w:r>
      <w:r w:rsidRPr="001C2E2B">
        <w:t> :</w:t>
      </w:r>
      <w:r w:rsidRPr="001C2E2B">
        <w:rPr>
          <w:lang w:eastAsia="fr-FR" w:bidi="fr-FR"/>
        </w:rPr>
        <w:t xml:space="preserve"> elle ne constitue que le point d’orgue de l’utilisation de l’organisation du </w:t>
      </w:r>
      <w:r w:rsidRPr="001C2E2B">
        <w:t xml:space="preserve">NSC </w:t>
      </w:r>
      <w:r w:rsidRPr="001C2E2B">
        <w:rPr>
          <w:lang w:eastAsia="fr-FR" w:bidi="fr-FR"/>
        </w:rPr>
        <w:t>pour contourner les obstacles politiques et bureaucratiques gouverneme</w:t>
      </w:r>
      <w:r w:rsidRPr="001C2E2B">
        <w:rPr>
          <w:lang w:eastAsia="fr-FR" w:bidi="fr-FR"/>
        </w:rPr>
        <w:t>n</w:t>
      </w:r>
      <w:r w:rsidRPr="001C2E2B">
        <w:rPr>
          <w:lang w:eastAsia="fr-FR" w:bidi="fr-FR"/>
        </w:rPr>
        <w:t>taux dans la formulation de la politique étrangère. À la suite de ce scandale et depuis le début des a</w:t>
      </w:r>
      <w:r w:rsidRPr="001C2E2B">
        <w:rPr>
          <w:lang w:eastAsia="fr-FR" w:bidi="fr-FR"/>
        </w:rPr>
        <w:t>n</w:t>
      </w:r>
      <w:r w:rsidRPr="001C2E2B">
        <w:rPr>
          <w:lang w:eastAsia="fr-FR" w:bidi="fr-FR"/>
        </w:rPr>
        <w:t xml:space="preserve">nées 1990, le </w:t>
      </w:r>
      <w:r w:rsidRPr="001C2E2B">
        <w:t xml:space="preserve">NSC </w:t>
      </w:r>
      <w:r w:rsidRPr="001C2E2B">
        <w:rPr>
          <w:lang w:eastAsia="fr-FR" w:bidi="fr-FR"/>
        </w:rPr>
        <w:t>s’est repositionné et est revenu à un mode de fonctionnement plus adéquat, tout en d</w:t>
      </w:r>
      <w:r w:rsidRPr="001C2E2B">
        <w:rPr>
          <w:lang w:eastAsia="fr-FR" w:bidi="fr-FR"/>
        </w:rPr>
        <w:t>e</w:t>
      </w:r>
      <w:r w:rsidRPr="001C2E2B">
        <w:rPr>
          <w:lang w:eastAsia="fr-FR" w:bidi="fr-FR"/>
        </w:rPr>
        <w:t>meurant l’instrument privilégié par le président au sein de son système décisionnel.</w:t>
      </w:r>
    </w:p>
    <w:p w14:paraId="407D3C1B" w14:textId="77777777" w:rsidR="0039793A" w:rsidRDefault="0039793A" w:rsidP="0039793A">
      <w:pPr>
        <w:spacing w:before="120" w:after="120"/>
        <w:jc w:val="both"/>
        <w:rPr>
          <w:lang w:eastAsia="fr-FR" w:bidi="fr-FR"/>
        </w:rPr>
      </w:pPr>
    </w:p>
    <w:p w14:paraId="1F77AE47" w14:textId="77777777" w:rsidR="0039793A" w:rsidRPr="003A2871" w:rsidRDefault="0039793A" w:rsidP="0039793A">
      <w:pPr>
        <w:pStyle w:val="b"/>
      </w:pPr>
      <w:r w:rsidRPr="003A2871">
        <w:rPr>
          <w:lang w:eastAsia="fr-FR" w:bidi="fr-FR"/>
        </w:rPr>
        <w:t>Le système cohérent de George H. Bush</w:t>
      </w:r>
    </w:p>
    <w:p w14:paraId="4D65A4CC" w14:textId="77777777" w:rsidR="0039793A" w:rsidRDefault="0039793A" w:rsidP="0039793A">
      <w:pPr>
        <w:spacing w:before="120" w:after="120"/>
        <w:jc w:val="both"/>
        <w:rPr>
          <w:lang w:eastAsia="fr-FR" w:bidi="fr-FR"/>
        </w:rPr>
      </w:pPr>
    </w:p>
    <w:p w14:paraId="4F6FF921" w14:textId="77777777" w:rsidR="0039793A" w:rsidRPr="001C2E2B" w:rsidRDefault="0039793A" w:rsidP="0039793A">
      <w:pPr>
        <w:spacing w:before="120" w:after="120"/>
        <w:jc w:val="both"/>
      </w:pPr>
      <w:r w:rsidRPr="001C2E2B">
        <w:rPr>
          <w:lang w:eastAsia="fr-FR" w:bidi="fr-FR"/>
        </w:rPr>
        <w:t>Le président George H. Bush (1989-1993) a mis sur pied un pr</w:t>
      </w:r>
      <w:r w:rsidRPr="001C2E2B">
        <w:rPr>
          <w:lang w:eastAsia="fr-FR" w:bidi="fr-FR"/>
        </w:rPr>
        <w:t>o</w:t>
      </w:r>
      <w:r w:rsidRPr="001C2E2B">
        <w:rPr>
          <w:lang w:eastAsia="fr-FR" w:bidi="fr-FR"/>
        </w:rPr>
        <w:t>cessus de prise de décision ne</w:t>
      </w:r>
      <w:r w:rsidRPr="001C2E2B">
        <w:rPr>
          <w:lang w:eastAsia="fr-FR" w:bidi="fr-FR"/>
        </w:rPr>
        <w:t>t</w:t>
      </w:r>
      <w:r w:rsidRPr="001C2E2B">
        <w:rPr>
          <w:lang w:eastAsia="fr-FR" w:bidi="fr-FR"/>
        </w:rPr>
        <w:t>tement plus efficace et harmonieux que ses préd</w:t>
      </w:r>
      <w:r w:rsidRPr="001C2E2B">
        <w:rPr>
          <w:lang w:eastAsia="fr-FR" w:bidi="fr-FR"/>
        </w:rPr>
        <w:t>é</w:t>
      </w:r>
      <w:r w:rsidRPr="001C2E2B">
        <w:rPr>
          <w:lang w:eastAsia="fr-FR" w:bidi="fr-FR"/>
        </w:rPr>
        <w:t xml:space="preserve">cesseurs, reproduisant, avec le </w:t>
      </w:r>
      <w:r w:rsidRPr="001C2E2B">
        <w:t xml:space="preserve">NSC, </w:t>
      </w:r>
      <w:r w:rsidRPr="001C2E2B">
        <w:rPr>
          <w:lang w:eastAsia="fr-FR" w:bidi="fr-FR"/>
        </w:rPr>
        <w:t>en partie le modèle d’Eisenhower, et surtout en évitant ainsi les excès des deux précéde</w:t>
      </w:r>
      <w:r w:rsidRPr="001C2E2B">
        <w:rPr>
          <w:lang w:eastAsia="fr-FR" w:bidi="fr-FR"/>
        </w:rPr>
        <w:t>n</w:t>
      </w:r>
      <w:r w:rsidRPr="001C2E2B">
        <w:rPr>
          <w:lang w:eastAsia="fr-FR" w:bidi="fr-FR"/>
        </w:rPr>
        <w:t>tes décennies. Le porte-parole de la politique étrangère est le secréta</w:t>
      </w:r>
      <w:r w:rsidRPr="001C2E2B">
        <w:rPr>
          <w:lang w:eastAsia="fr-FR" w:bidi="fr-FR"/>
        </w:rPr>
        <w:t>i</w:t>
      </w:r>
      <w:r w:rsidRPr="001C2E2B">
        <w:rPr>
          <w:lang w:eastAsia="fr-FR" w:bidi="fr-FR"/>
        </w:rPr>
        <w:t>re d’</w:t>
      </w:r>
      <w:r>
        <w:rPr>
          <w:lang w:eastAsia="fr-FR" w:bidi="fr-FR"/>
        </w:rPr>
        <w:t>État</w:t>
      </w:r>
      <w:r w:rsidRPr="001C2E2B">
        <w:rPr>
          <w:lang w:eastAsia="fr-FR" w:bidi="fr-FR"/>
        </w:rPr>
        <w:t xml:space="preserve"> (James Baker)</w:t>
      </w:r>
      <w:r w:rsidRPr="001C2E2B">
        <w:t> ;</w:t>
      </w:r>
      <w:r w:rsidRPr="001C2E2B">
        <w:rPr>
          <w:lang w:eastAsia="fr-FR" w:bidi="fr-FR"/>
        </w:rPr>
        <w:t xml:space="preserve"> le conseiller pour la Sécur</w:t>
      </w:r>
      <w:r w:rsidRPr="001C2E2B">
        <w:rPr>
          <w:lang w:eastAsia="fr-FR" w:bidi="fr-FR"/>
        </w:rPr>
        <w:t>i</w:t>
      </w:r>
      <w:r w:rsidRPr="001C2E2B">
        <w:rPr>
          <w:lang w:eastAsia="fr-FR" w:bidi="fr-FR"/>
        </w:rPr>
        <w:t>té nationale (Brent Scowcroft) est un acteur i</w:t>
      </w:r>
      <w:r w:rsidRPr="001C2E2B">
        <w:rPr>
          <w:lang w:eastAsia="fr-FR" w:bidi="fr-FR"/>
        </w:rPr>
        <w:t>n</w:t>
      </w:r>
      <w:r w:rsidRPr="001C2E2B">
        <w:rPr>
          <w:lang w:eastAsia="fr-FR" w:bidi="fr-FR"/>
        </w:rPr>
        <w:t>fluent mais impartial et discret. Le processus déc</w:t>
      </w:r>
      <w:r w:rsidRPr="001C2E2B">
        <w:rPr>
          <w:lang w:eastAsia="fr-FR" w:bidi="fr-FR"/>
        </w:rPr>
        <w:t>i</w:t>
      </w:r>
      <w:r w:rsidRPr="001C2E2B">
        <w:rPr>
          <w:lang w:eastAsia="fr-FR" w:bidi="fr-FR"/>
        </w:rPr>
        <w:t>sionnel est marqué par la collégialité et bénéficie de la grande expérience des décideurs. Bush est un président instruit et e</w:t>
      </w:r>
      <w:r w:rsidRPr="001C2E2B">
        <w:rPr>
          <w:lang w:eastAsia="fr-FR" w:bidi="fr-FR"/>
        </w:rPr>
        <w:t>n</w:t>
      </w:r>
      <w:r w:rsidRPr="001C2E2B">
        <w:rPr>
          <w:lang w:eastAsia="fr-FR" w:bidi="fr-FR"/>
        </w:rPr>
        <w:t>gagé dans les affaires étra</w:t>
      </w:r>
      <w:r w:rsidRPr="001C2E2B">
        <w:rPr>
          <w:lang w:eastAsia="fr-FR" w:bidi="fr-FR"/>
        </w:rPr>
        <w:t>n</w:t>
      </w:r>
      <w:r w:rsidRPr="001C2E2B">
        <w:rPr>
          <w:lang w:eastAsia="fr-FR" w:bidi="fr-FR"/>
        </w:rPr>
        <w:t>gères, un décideur pragmatique, prudent et déte</w:t>
      </w:r>
      <w:r w:rsidRPr="001C2E2B">
        <w:rPr>
          <w:lang w:eastAsia="fr-FR" w:bidi="fr-FR"/>
        </w:rPr>
        <w:t>r</w:t>
      </w:r>
      <w:r w:rsidRPr="001C2E2B">
        <w:rPr>
          <w:lang w:eastAsia="fr-FR" w:bidi="fr-FR"/>
        </w:rPr>
        <w:t>miné. Ces qualités lui permettent de mener avec brio la fin de la guerre froide puis la guerre du Golfe. Les décisions sont prises en p</w:t>
      </w:r>
      <w:r w:rsidRPr="001C2E2B">
        <w:rPr>
          <w:lang w:eastAsia="fr-FR" w:bidi="fr-FR"/>
        </w:rPr>
        <w:t>e</w:t>
      </w:r>
      <w:r w:rsidRPr="001C2E2B">
        <w:rPr>
          <w:lang w:eastAsia="fr-FR" w:bidi="fr-FR"/>
        </w:rPr>
        <w:t xml:space="preserve">tit groupe, au sein du </w:t>
      </w:r>
      <w:r w:rsidRPr="00CF473C">
        <w:rPr>
          <w:i/>
          <w:iCs/>
        </w:rPr>
        <w:t>Principals Committee</w:t>
      </w:r>
      <w:r w:rsidRPr="001C2E2B">
        <w:rPr>
          <w:lang w:eastAsia="fr-FR" w:bidi="fr-FR"/>
        </w:rPr>
        <w:t xml:space="preserve"> plutôt que dans le cadre des réunions très formelles du </w:t>
      </w:r>
      <w:r w:rsidRPr="001C2E2B">
        <w:t xml:space="preserve">NSC. </w:t>
      </w:r>
      <w:r w:rsidRPr="001C2E2B">
        <w:rPr>
          <w:lang w:eastAsia="fr-FR" w:bidi="fr-FR"/>
        </w:rPr>
        <w:t>L’équipe de Bush présente une certaine homog</w:t>
      </w:r>
      <w:r w:rsidRPr="001C2E2B">
        <w:rPr>
          <w:lang w:eastAsia="fr-FR" w:bidi="fr-FR"/>
        </w:rPr>
        <w:t>é</w:t>
      </w:r>
      <w:r w:rsidRPr="001C2E2B">
        <w:rPr>
          <w:lang w:eastAsia="fr-FR" w:bidi="fr-FR"/>
        </w:rPr>
        <w:t>néité</w:t>
      </w:r>
      <w:r w:rsidRPr="001C2E2B">
        <w:t> :</w:t>
      </w:r>
      <w:r w:rsidRPr="001C2E2B">
        <w:rPr>
          <w:lang w:eastAsia="fr-FR" w:bidi="fr-FR"/>
        </w:rPr>
        <w:t xml:space="preserve"> les convictions sont assez conservatrices et ils évitent des réponses jugées précipitées ou risquées (comme par exe</w:t>
      </w:r>
      <w:r w:rsidRPr="001C2E2B">
        <w:rPr>
          <w:lang w:eastAsia="fr-FR" w:bidi="fr-FR"/>
        </w:rPr>
        <w:t>m</w:t>
      </w:r>
      <w:r w:rsidRPr="001C2E2B">
        <w:rPr>
          <w:lang w:eastAsia="fr-FR" w:bidi="fr-FR"/>
        </w:rPr>
        <w:t>ple dans le cas de l’ex-Yougoslavie). Les quelques désaccords entre conseillers restent polis et sans conséquences sérieuses pour la polit</w:t>
      </w:r>
      <w:r w:rsidRPr="001C2E2B">
        <w:rPr>
          <w:lang w:eastAsia="fr-FR" w:bidi="fr-FR"/>
        </w:rPr>
        <w:t>i</w:t>
      </w:r>
      <w:r w:rsidRPr="001C2E2B">
        <w:rPr>
          <w:lang w:eastAsia="fr-FR" w:bidi="fr-FR"/>
        </w:rPr>
        <w:t>que étrangère. Celle-ci d</w:t>
      </w:r>
      <w:r w:rsidRPr="001C2E2B">
        <w:rPr>
          <w:lang w:eastAsia="fr-FR" w:bidi="fr-FR"/>
        </w:rPr>
        <w:t>e</w:t>
      </w:r>
      <w:r w:rsidRPr="001C2E2B">
        <w:rPr>
          <w:lang w:eastAsia="fr-FR" w:bidi="fr-FR"/>
        </w:rPr>
        <w:t>meure largement contrôlée par la Maison-Blanche, d’une part en raison de l’attention particulière qu’y porte le président, et</w:t>
      </w:r>
      <w:r>
        <w:t xml:space="preserve"> [243] </w:t>
      </w:r>
      <w:r w:rsidRPr="001C2E2B">
        <w:rPr>
          <w:lang w:eastAsia="fr-FR" w:bidi="fr-FR"/>
        </w:rPr>
        <w:t>d’autre part parce que la soixantaine de fonctio</w:t>
      </w:r>
      <w:r w:rsidRPr="001C2E2B">
        <w:rPr>
          <w:lang w:eastAsia="fr-FR" w:bidi="fr-FR"/>
        </w:rPr>
        <w:t>n</w:t>
      </w:r>
      <w:r w:rsidRPr="001C2E2B">
        <w:rPr>
          <w:lang w:eastAsia="fr-FR" w:bidi="fr-FR"/>
        </w:rPr>
        <w:t xml:space="preserve">naires permanents du </w:t>
      </w:r>
      <w:r w:rsidRPr="001C2E2B">
        <w:t xml:space="preserve">NSC </w:t>
      </w:r>
      <w:r w:rsidRPr="001C2E2B">
        <w:rPr>
          <w:lang w:eastAsia="fr-FR" w:bidi="fr-FR"/>
        </w:rPr>
        <w:t>assure la cohérence interdépartementale, sous la coordination du conseiller pour la Sécurité nationale, véritable éminence grise de cette Administration.</w:t>
      </w:r>
    </w:p>
    <w:p w14:paraId="15B54AB9" w14:textId="77777777" w:rsidR="0039793A" w:rsidRDefault="0039793A" w:rsidP="0039793A">
      <w:pPr>
        <w:spacing w:before="120" w:after="120"/>
        <w:jc w:val="both"/>
        <w:rPr>
          <w:lang w:eastAsia="fr-FR" w:bidi="fr-FR"/>
        </w:rPr>
      </w:pPr>
    </w:p>
    <w:p w14:paraId="6700459D" w14:textId="77777777" w:rsidR="0039793A" w:rsidRPr="00CF473C" w:rsidRDefault="0039793A" w:rsidP="0039793A">
      <w:pPr>
        <w:pStyle w:val="b"/>
      </w:pPr>
      <w:r w:rsidRPr="00CF473C">
        <w:rPr>
          <w:lang w:eastAsia="fr-FR" w:bidi="fr-FR"/>
        </w:rPr>
        <w:t>Un ajustement efficace sous Clinton</w:t>
      </w:r>
    </w:p>
    <w:p w14:paraId="107B90E6" w14:textId="77777777" w:rsidR="0039793A" w:rsidRDefault="0039793A" w:rsidP="0039793A">
      <w:pPr>
        <w:spacing w:before="120" w:after="120"/>
        <w:jc w:val="both"/>
        <w:rPr>
          <w:lang w:eastAsia="fr-FR" w:bidi="fr-FR"/>
        </w:rPr>
      </w:pPr>
    </w:p>
    <w:p w14:paraId="6F727A81" w14:textId="77777777" w:rsidR="0039793A" w:rsidRPr="001C2E2B" w:rsidRDefault="0039793A" w:rsidP="0039793A">
      <w:pPr>
        <w:spacing w:before="120" w:after="120"/>
        <w:jc w:val="both"/>
      </w:pPr>
      <w:r w:rsidRPr="001C2E2B">
        <w:rPr>
          <w:lang w:eastAsia="fr-FR" w:bidi="fr-FR"/>
        </w:rPr>
        <w:t>Initialement, le président Clinton (1993-2000) veut appliquer le modèle de Kennedy, c’est-à-dire un processus décisionnel collégial et informel. Quoique très peu formé aux questions internationales, Cli</w:t>
      </w:r>
      <w:r w:rsidRPr="001C2E2B">
        <w:rPr>
          <w:lang w:eastAsia="fr-FR" w:bidi="fr-FR"/>
        </w:rPr>
        <w:t>n</w:t>
      </w:r>
      <w:r w:rsidRPr="001C2E2B">
        <w:rPr>
          <w:lang w:eastAsia="fr-FR" w:bidi="fr-FR"/>
        </w:rPr>
        <w:t>ton fait preuve d’une réelle volonté d’apprendre, qui rappelle son pr</w:t>
      </w:r>
      <w:r w:rsidRPr="001C2E2B">
        <w:rPr>
          <w:lang w:eastAsia="fr-FR" w:bidi="fr-FR"/>
        </w:rPr>
        <w:t>é</w:t>
      </w:r>
      <w:r w:rsidRPr="001C2E2B">
        <w:rPr>
          <w:lang w:eastAsia="fr-FR" w:bidi="fr-FR"/>
        </w:rPr>
        <w:t xml:space="preserve">décesseur démocrate Jimmy Carter. Le </w:t>
      </w:r>
      <w:r w:rsidRPr="00901C10">
        <w:rPr>
          <w:i/>
          <w:iCs/>
        </w:rPr>
        <w:t>Principals Committee</w:t>
      </w:r>
      <w:r w:rsidRPr="001C2E2B">
        <w:rPr>
          <w:lang w:eastAsia="fr-FR" w:bidi="fr-FR"/>
        </w:rPr>
        <w:t xml:space="preserve"> est r</w:t>
      </w:r>
      <w:r w:rsidRPr="001C2E2B">
        <w:rPr>
          <w:lang w:eastAsia="fr-FR" w:bidi="fr-FR"/>
        </w:rPr>
        <w:t>e</w:t>
      </w:r>
      <w:r w:rsidRPr="001C2E2B">
        <w:rPr>
          <w:lang w:eastAsia="fr-FR" w:bidi="fr-FR"/>
        </w:rPr>
        <w:t>conduit et constitue le forum décisionnel privil</w:t>
      </w:r>
      <w:r w:rsidRPr="001C2E2B">
        <w:rPr>
          <w:lang w:eastAsia="fr-FR" w:bidi="fr-FR"/>
        </w:rPr>
        <w:t>é</w:t>
      </w:r>
      <w:r w:rsidRPr="001C2E2B">
        <w:rPr>
          <w:lang w:eastAsia="fr-FR" w:bidi="fr-FR"/>
        </w:rPr>
        <w:t xml:space="preserve">gié. Pour accorder une importance plus grande aux questions économiques et commerciales, Clinton met sur pied le </w:t>
      </w:r>
      <w:r w:rsidRPr="00901C10">
        <w:rPr>
          <w:i/>
          <w:iCs/>
        </w:rPr>
        <w:t>National Economi</w:t>
      </w:r>
      <w:r>
        <w:rPr>
          <w:i/>
          <w:iCs/>
        </w:rPr>
        <w:t>c</w:t>
      </w:r>
      <w:r w:rsidRPr="00901C10">
        <w:rPr>
          <w:i/>
          <w:iCs/>
        </w:rPr>
        <w:t xml:space="preserve"> Council</w:t>
      </w:r>
      <w:r w:rsidRPr="001C2E2B">
        <w:t>,</w:t>
      </w:r>
      <w:r w:rsidRPr="001C2E2B">
        <w:rPr>
          <w:lang w:eastAsia="fr-FR" w:bidi="fr-FR"/>
        </w:rPr>
        <w:t xml:space="preserve"> co</w:t>
      </w:r>
      <w:r w:rsidRPr="001C2E2B">
        <w:rPr>
          <w:lang w:eastAsia="fr-FR" w:bidi="fr-FR"/>
        </w:rPr>
        <w:t>m</w:t>
      </w:r>
      <w:r w:rsidRPr="001C2E2B">
        <w:rPr>
          <w:lang w:eastAsia="fr-FR" w:bidi="fr-FR"/>
        </w:rPr>
        <w:t xml:space="preserve">parable au </w:t>
      </w:r>
      <w:r w:rsidRPr="001C2E2B">
        <w:t xml:space="preserve">NSC. </w:t>
      </w:r>
      <w:r w:rsidRPr="001C2E2B">
        <w:rPr>
          <w:lang w:eastAsia="fr-FR" w:bidi="fr-FR"/>
        </w:rPr>
        <w:t xml:space="preserve">L’administration du </w:t>
      </w:r>
      <w:r w:rsidRPr="001C2E2B">
        <w:t xml:space="preserve">NSC </w:t>
      </w:r>
      <w:r w:rsidRPr="001C2E2B">
        <w:rPr>
          <w:lang w:eastAsia="fr-FR" w:bidi="fr-FR"/>
        </w:rPr>
        <w:t>atteint des effectifs inégalés avec une centaine de fonctionnaires permanents. Le premier mandat du prés</w:t>
      </w:r>
      <w:r w:rsidRPr="001C2E2B">
        <w:rPr>
          <w:lang w:eastAsia="fr-FR" w:bidi="fr-FR"/>
        </w:rPr>
        <w:t>i</w:t>
      </w:r>
      <w:r w:rsidRPr="001C2E2B">
        <w:rPr>
          <w:lang w:eastAsia="fr-FR" w:bidi="fr-FR"/>
        </w:rPr>
        <w:t>dent est néanmoins laborieux</w:t>
      </w:r>
      <w:r>
        <w:rPr>
          <w:lang w:eastAsia="fr-FR" w:bidi="fr-FR"/>
        </w:rPr>
        <w:t> </w:t>
      </w:r>
      <w:r>
        <w:rPr>
          <w:rStyle w:val="Appelnotedebasdep"/>
          <w:lang w:eastAsia="fr-FR" w:bidi="fr-FR"/>
        </w:rPr>
        <w:footnoteReference w:id="494"/>
      </w:r>
      <w:r>
        <w:rPr>
          <w:lang w:eastAsia="fr-FR" w:bidi="fr-FR"/>
        </w:rPr>
        <w:t>,</w:t>
      </w:r>
      <w:r w:rsidRPr="001C2E2B">
        <w:rPr>
          <w:lang w:eastAsia="fr-FR" w:bidi="fr-FR"/>
        </w:rPr>
        <w:t xml:space="preserve"> ce qui ne sera pas le cas du second</w:t>
      </w:r>
      <w:r w:rsidRPr="001C2E2B">
        <w:t> :</w:t>
      </w:r>
      <w:r w:rsidRPr="001C2E2B">
        <w:rPr>
          <w:lang w:eastAsia="fr-FR" w:bidi="fr-FR"/>
        </w:rPr>
        <w:t xml:space="preserve"> il faut donc distinguer deux temps.</w:t>
      </w:r>
    </w:p>
    <w:p w14:paraId="15D2947C" w14:textId="77777777" w:rsidR="0039793A" w:rsidRPr="001C2E2B" w:rsidRDefault="0039793A" w:rsidP="0039793A">
      <w:pPr>
        <w:spacing w:before="120" w:after="120"/>
        <w:jc w:val="both"/>
      </w:pPr>
      <w:r w:rsidRPr="001C2E2B">
        <w:rPr>
          <w:lang w:eastAsia="fr-FR" w:bidi="fr-FR"/>
        </w:rPr>
        <w:t>Dans un premier temps, le manque de leadership, le désengag</w:t>
      </w:r>
      <w:r w:rsidRPr="001C2E2B">
        <w:rPr>
          <w:lang w:eastAsia="fr-FR" w:bidi="fr-FR"/>
        </w:rPr>
        <w:t>e</w:t>
      </w:r>
      <w:r w:rsidRPr="001C2E2B">
        <w:rPr>
          <w:lang w:eastAsia="fr-FR" w:bidi="fr-FR"/>
        </w:rPr>
        <w:t>ment de Clinton, des incohére</w:t>
      </w:r>
      <w:r w:rsidRPr="001C2E2B">
        <w:rPr>
          <w:lang w:eastAsia="fr-FR" w:bidi="fr-FR"/>
        </w:rPr>
        <w:t>n</w:t>
      </w:r>
      <w:r w:rsidRPr="001C2E2B">
        <w:rPr>
          <w:lang w:eastAsia="fr-FR" w:bidi="fr-FR"/>
        </w:rPr>
        <w:t>ces décisionnelles ou encore certaines rivalités rendent difficile et cacophonique la formulation de la polit</w:t>
      </w:r>
      <w:r w:rsidRPr="001C2E2B">
        <w:rPr>
          <w:lang w:eastAsia="fr-FR" w:bidi="fr-FR"/>
        </w:rPr>
        <w:t>i</w:t>
      </w:r>
      <w:r w:rsidRPr="001C2E2B">
        <w:rPr>
          <w:lang w:eastAsia="fr-FR" w:bidi="fr-FR"/>
        </w:rPr>
        <w:t>que étrangère</w:t>
      </w:r>
      <w:r w:rsidRPr="001C2E2B">
        <w:t> :</w:t>
      </w:r>
      <w:r w:rsidRPr="001C2E2B">
        <w:rPr>
          <w:lang w:eastAsia="fr-FR" w:bidi="fr-FR"/>
        </w:rPr>
        <w:t xml:space="preserve"> elle est en ce sens comp</w:t>
      </w:r>
      <w:r w:rsidRPr="001C2E2B">
        <w:rPr>
          <w:lang w:eastAsia="fr-FR" w:bidi="fr-FR"/>
        </w:rPr>
        <w:t>a</w:t>
      </w:r>
      <w:r w:rsidRPr="001C2E2B">
        <w:rPr>
          <w:lang w:eastAsia="fr-FR" w:bidi="fr-FR"/>
        </w:rPr>
        <w:t xml:space="preserve">rable à celle de Carter. On parle alors de </w:t>
      </w:r>
      <w:r w:rsidRPr="001C2E2B">
        <w:t>« </w:t>
      </w:r>
      <w:r w:rsidRPr="001C2E2B">
        <w:rPr>
          <w:lang w:eastAsia="fr-FR" w:bidi="fr-FR"/>
        </w:rPr>
        <w:t>chaos créatif</w:t>
      </w:r>
      <w:r w:rsidRPr="001C2E2B">
        <w:t> » :</w:t>
      </w:r>
      <w:r w:rsidRPr="001C2E2B">
        <w:rPr>
          <w:lang w:eastAsia="fr-FR" w:bidi="fr-FR"/>
        </w:rPr>
        <w:t xml:space="preserve"> Warren Christopher est un secrétaire d’</w:t>
      </w:r>
      <w:r>
        <w:rPr>
          <w:lang w:eastAsia="fr-FR" w:bidi="fr-FR"/>
        </w:rPr>
        <w:t>État</w:t>
      </w:r>
      <w:r w:rsidRPr="001C2E2B">
        <w:rPr>
          <w:lang w:eastAsia="fr-FR" w:bidi="fr-FR"/>
        </w:rPr>
        <w:t xml:space="preserve"> terne et les secrétaires à la Défense, Les A</w:t>
      </w:r>
      <w:r w:rsidRPr="001C2E2B">
        <w:rPr>
          <w:lang w:eastAsia="fr-FR" w:bidi="fr-FR"/>
        </w:rPr>
        <w:t>s</w:t>
      </w:r>
      <w:r w:rsidRPr="001C2E2B">
        <w:rPr>
          <w:lang w:eastAsia="fr-FR" w:bidi="fr-FR"/>
        </w:rPr>
        <w:t>pin puis William Perry, ne contrôlent guère leurs subordonnés</w:t>
      </w:r>
      <w:r w:rsidRPr="001C2E2B">
        <w:t> ;</w:t>
      </w:r>
      <w:r w:rsidRPr="001C2E2B">
        <w:rPr>
          <w:lang w:eastAsia="fr-FR" w:bidi="fr-FR"/>
        </w:rPr>
        <w:t xml:space="preserve"> tandis que le conseiller pour la S</w:t>
      </w:r>
      <w:r w:rsidRPr="001C2E2B">
        <w:rPr>
          <w:lang w:eastAsia="fr-FR" w:bidi="fr-FR"/>
        </w:rPr>
        <w:t>é</w:t>
      </w:r>
      <w:r w:rsidRPr="001C2E2B">
        <w:rPr>
          <w:lang w:eastAsia="fr-FR" w:bidi="fr-FR"/>
        </w:rPr>
        <w:t>curité nationale, Anthony Lake, tient un rôle plutôt neutre. La configuration d’ensemble produit un système mou, un processus décisionnel hésitant et incohérent. Les réunions sont longues et ineff</w:t>
      </w:r>
      <w:r w:rsidRPr="001C2E2B">
        <w:rPr>
          <w:lang w:eastAsia="fr-FR" w:bidi="fr-FR"/>
        </w:rPr>
        <w:t>i</w:t>
      </w:r>
      <w:r w:rsidRPr="001C2E2B">
        <w:rPr>
          <w:lang w:eastAsia="fr-FR" w:bidi="fr-FR"/>
        </w:rPr>
        <w:t>c</w:t>
      </w:r>
      <w:r w:rsidRPr="001C2E2B">
        <w:rPr>
          <w:lang w:eastAsia="fr-FR" w:bidi="fr-FR"/>
        </w:rPr>
        <w:t>a</w:t>
      </w:r>
      <w:r w:rsidRPr="001C2E2B">
        <w:rPr>
          <w:lang w:eastAsia="fr-FR" w:bidi="fr-FR"/>
        </w:rPr>
        <w:t>ces, ce qui explique en grande partie les difficultés et les revers de la politique étrangère par exemple sur les questions de la Somalie, de la Bosnie, de la Corée du Nord, de la Chine, du Rwanda ou de Ha</w:t>
      </w:r>
      <w:r w:rsidRPr="001C2E2B">
        <w:rPr>
          <w:lang w:eastAsia="fr-FR" w:bidi="fr-FR"/>
        </w:rPr>
        <w:t>ï</w:t>
      </w:r>
      <w:r w:rsidRPr="001C2E2B">
        <w:rPr>
          <w:lang w:eastAsia="fr-FR" w:bidi="fr-FR"/>
        </w:rPr>
        <w:t xml:space="preserve">ti. Le côté </w:t>
      </w:r>
      <w:r w:rsidRPr="001C2E2B">
        <w:t>« </w:t>
      </w:r>
      <w:r w:rsidRPr="001C2E2B">
        <w:rPr>
          <w:lang w:eastAsia="fr-FR" w:bidi="fr-FR"/>
        </w:rPr>
        <w:t>caméléon</w:t>
      </w:r>
      <w:r w:rsidRPr="001C2E2B">
        <w:t> »</w:t>
      </w:r>
      <w:r w:rsidRPr="001C2E2B">
        <w:rPr>
          <w:lang w:eastAsia="fr-FR" w:bidi="fr-FR"/>
        </w:rPr>
        <w:t xml:space="preserve"> du président, sur le plan de la prise de décision, n’arrange rien puisque les politiques et les objectifs changent con</w:t>
      </w:r>
      <w:r w:rsidRPr="001C2E2B">
        <w:rPr>
          <w:lang w:eastAsia="fr-FR" w:bidi="fr-FR"/>
        </w:rPr>
        <w:t>s</w:t>
      </w:r>
      <w:r w:rsidRPr="001C2E2B">
        <w:rPr>
          <w:lang w:eastAsia="fr-FR" w:bidi="fr-FR"/>
        </w:rPr>
        <w:t>tamment. Les frustrations s’accumulent durant les deux premières a</w:t>
      </w:r>
      <w:r w:rsidRPr="001C2E2B">
        <w:rPr>
          <w:lang w:eastAsia="fr-FR" w:bidi="fr-FR"/>
        </w:rPr>
        <w:t>n</w:t>
      </w:r>
      <w:r w:rsidRPr="001C2E2B">
        <w:rPr>
          <w:lang w:eastAsia="fr-FR" w:bidi="fr-FR"/>
        </w:rPr>
        <w:t>nées.</w:t>
      </w:r>
    </w:p>
    <w:p w14:paraId="4A9728FF" w14:textId="77777777" w:rsidR="0039793A" w:rsidRPr="00E72F4B" w:rsidRDefault="0039793A" w:rsidP="0039793A">
      <w:pPr>
        <w:spacing w:before="120" w:after="120"/>
        <w:jc w:val="both"/>
        <w:rPr>
          <w:lang w:eastAsia="fr-FR" w:bidi="fr-FR"/>
        </w:rPr>
      </w:pPr>
      <w:r w:rsidRPr="001C2E2B">
        <w:rPr>
          <w:lang w:eastAsia="fr-FR" w:bidi="fr-FR"/>
        </w:rPr>
        <w:t>Dans un deuxième temps, à compter de 1995, les choses comme</w:t>
      </w:r>
      <w:r w:rsidRPr="001C2E2B">
        <w:rPr>
          <w:lang w:eastAsia="fr-FR" w:bidi="fr-FR"/>
        </w:rPr>
        <w:t>n</w:t>
      </w:r>
      <w:r w:rsidRPr="001C2E2B">
        <w:rPr>
          <w:lang w:eastAsia="fr-FR" w:bidi="fr-FR"/>
        </w:rPr>
        <w:t>cent à changer. Clinton, enco</w:t>
      </w:r>
      <w:r w:rsidRPr="001C2E2B">
        <w:rPr>
          <w:lang w:eastAsia="fr-FR" w:bidi="fr-FR"/>
        </w:rPr>
        <w:t>u</w:t>
      </w:r>
      <w:r w:rsidRPr="001C2E2B">
        <w:rPr>
          <w:lang w:eastAsia="fr-FR" w:bidi="fr-FR"/>
        </w:rPr>
        <w:t>ragé par Lake, décide de</w:t>
      </w:r>
      <w:r>
        <w:t xml:space="preserve"> [244] </w:t>
      </w:r>
      <w:r w:rsidRPr="001C2E2B">
        <w:rPr>
          <w:lang w:eastAsia="fr-FR" w:bidi="fr-FR"/>
        </w:rPr>
        <w:t>s’impliquer personnellement dans la formulation de la politique étra</w:t>
      </w:r>
      <w:r w:rsidRPr="001C2E2B">
        <w:rPr>
          <w:lang w:eastAsia="fr-FR" w:bidi="fr-FR"/>
        </w:rPr>
        <w:t>n</w:t>
      </w:r>
      <w:r w:rsidRPr="001C2E2B">
        <w:rPr>
          <w:lang w:eastAsia="fr-FR" w:bidi="fr-FR"/>
        </w:rPr>
        <w:t xml:space="preserve">gère et </w:t>
      </w:r>
      <w:r w:rsidRPr="00901C10">
        <w:rPr>
          <w:i/>
          <w:iCs/>
        </w:rPr>
        <w:t>prend</w:t>
      </w:r>
      <w:r w:rsidRPr="001C2E2B">
        <w:rPr>
          <w:lang w:eastAsia="fr-FR" w:bidi="fr-FR"/>
        </w:rPr>
        <w:t xml:space="preserve"> des déc</w:t>
      </w:r>
      <w:r w:rsidRPr="001C2E2B">
        <w:rPr>
          <w:lang w:eastAsia="fr-FR" w:bidi="fr-FR"/>
        </w:rPr>
        <w:t>i</w:t>
      </w:r>
      <w:r w:rsidRPr="001C2E2B">
        <w:rPr>
          <w:lang w:eastAsia="fr-FR" w:bidi="fr-FR"/>
        </w:rPr>
        <w:t xml:space="preserve">sions (il agit en ce sens comme Kennedy et non comme Carter). Certains </w:t>
      </w:r>
      <w:r w:rsidRPr="00E72F4B">
        <w:rPr>
          <w:lang w:eastAsia="fr-FR" w:bidi="fr-FR"/>
        </w:rPr>
        <w:t xml:space="preserve">succès en découlent, comme l’intervention en Bosnie, l’élargissement de </w:t>
      </w:r>
      <w:r w:rsidRPr="00E72F4B">
        <w:rPr>
          <w:bCs/>
        </w:rPr>
        <w:t xml:space="preserve">l’OTAN </w:t>
      </w:r>
      <w:r w:rsidRPr="00E72F4B">
        <w:rPr>
          <w:lang w:eastAsia="fr-FR" w:bidi="fr-FR"/>
        </w:rPr>
        <w:t>et la médiation de la paix au Moyen-Orient. Le second mandat est marqué par un processus déc</w:t>
      </w:r>
      <w:r w:rsidRPr="00E72F4B">
        <w:rPr>
          <w:lang w:eastAsia="fr-FR" w:bidi="fr-FR"/>
        </w:rPr>
        <w:t>i</w:t>
      </w:r>
      <w:r w:rsidRPr="00E72F4B">
        <w:rPr>
          <w:lang w:eastAsia="fr-FR" w:bidi="fr-FR"/>
        </w:rPr>
        <w:t>sionnel efficace et une atmosphère plus sereine, d’autant que les pe</w:t>
      </w:r>
      <w:r w:rsidRPr="00E72F4B">
        <w:rPr>
          <w:lang w:eastAsia="fr-FR" w:bidi="fr-FR"/>
        </w:rPr>
        <w:t>r</w:t>
      </w:r>
      <w:r w:rsidRPr="00E72F4B">
        <w:rPr>
          <w:lang w:eastAsia="fr-FR" w:bidi="fr-FR"/>
        </w:rPr>
        <w:t>sonnages clés de la politique étrangère sont renouvelés. Madeleine Albright remplace Warren Christopher, le sénateur Wi</w:t>
      </w:r>
      <w:r w:rsidRPr="00E72F4B">
        <w:rPr>
          <w:lang w:eastAsia="fr-FR" w:bidi="fr-FR"/>
        </w:rPr>
        <w:t>l</w:t>
      </w:r>
      <w:r w:rsidRPr="00E72F4B">
        <w:rPr>
          <w:lang w:eastAsia="fr-FR" w:bidi="fr-FR"/>
        </w:rPr>
        <w:t>liam Cohen devient secrétaire à la Défense, et Samuel Berger succède à Anthony Lake. Ces nouveaux conseillers sont plus résolus et plus i</w:t>
      </w:r>
      <w:r w:rsidRPr="00E72F4B">
        <w:rPr>
          <w:lang w:eastAsia="fr-FR" w:bidi="fr-FR"/>
        </w:rPr>
        <w:t>n</w:t>
      </w:r>
      <w:r w:rsidRPr="00E72F4B">
        <w:rPr>
          <w:lang w:eastAsia="fr-FR" w:bidi="fr-FR"/>
        </w:rPr>
        <w:t xml:space="preserve">fluents. Le conseiller pour la Sécurité nationale et son personnel transforment le </w:t>
      </w:r>
      <w:r w:rsidRPr="00E72F4B">
        <w:rPr>
          <w:bCs/>
        </w:rPr>
        <w:t xml:space="preserve">NSC </w:t>
      </w:r>
      <w:r w:rsidRPr="00E72F4B">
        <w:rPr>
          <w:lang w:eastAsia="fr-FR" w:bidi="fr-FR"/>
        </w:rPr>
        <w:t>en véritable bureau personnel de Clinton pour assurer un contr</w:t>
      </w:r>
      <w:r w:rsidRPr="00E72F4B">
        <w:rPr>
          <w:lang w:eastAsia="fr-FR" w:bidi="fr-FR"/>
        </w:rPr>
        <w:t>ô</w:t>
      </w:r>
      <w:r w:rsidRPr="00E72F4B">
        <w:rPr>
          <w:lang w:eastAsia="fr-FR" w:bidi="fr-FR"/>
        </w:rPr>
        <w:t>le plus important des directives présidentie</w:t>
      </w:r>
      <w:r w:rsidRPr="00E72F4B">
        <w:rPr>
          <w:lang w:eastAsia="fr-FR" w:bidi="fr-FR"/>
        </w:rPr>
        <w:t>l</w:t>
      </w:r>
      <w:r w:rsidRPr="00E72F4B">
        <w:rPr>
          <w:lang w:eastAsia="fr-FR" w:bidi="fr-FR"/>
        </w:rPr>
        <w:t>les, et ainsi accroître la cohérence de la politique étrangère</w:t>
      </w:r>
      <w:r>
        <w:rPr>
          <w:lang w:eastAsia="fr-FR" w:bidi="fr-FR"/>
        </w:rPr>
        <w:t> </w:t>
      </w:r>
      <w:r>
        <w:rPr>
          <w:rStyle w:val="Appelnotedebasdep"/>
          <w:lang w:eastAsia="fr-FR" w:bidi="fr-FR"/>
        </w:rPr>
        <w:footnoteReference w:id="495"/>
      </w:r>
      <w:r w:rsidRPr="00E72F4B">
        <w:rPr>
          <w:lang w:eastAsia="fr-FR" w:bidi="fr-FR"/>
        </w:rPr>
        <w:t>. Clinton dispose donc du sy</w:t>
      </w:r>
      <w:r w:rsidRPr="00E72F4B">
        <w:rPr>
          <w:lang w:eastAsia="fr-FR" w:bidi="fr-FR"/>
        </w:rPr>
        <w:t>s</w:t>
      </w:r>
      <w:r w:rsidRPr="00E72F4B">
        <w:rPr>
          <w:lang w:eastAsia="fr-FR" w:bidi="fr-FR"/>
        </w:rPr>
        <w:t>tème décisionnel collégial auquel il aspirait : le mécani</w:t>
      </w:r>
      <w:r w:rsidRPr="00E72F4B">
        <w:rPr>
          <w:lang w:eastAsia="fr-FR" w:bidi="fr-FR"/>
        </w:rPr>
        <w:t>s</w:t>
      </w:r>
      <w:r w:rsidRPr="00E72F4B">
        <w:rPr>
          <w:lang w:eastAsia="fr-FR" w:bidi="fr-FR"/>
        </w:rPr>
        <w:t>me fonctionne enfin tandis que le président arbitre les différends et impose les déc</w:t>
      </w:r>
      <w:r w:rsidRPr="00E72F4B">
        <w:rPr>
          <w:lang w:eastAsia="fr-FR" w:bidi="fr-FR"/>
        </w:rPr>
        <w:t>i</w:t>
      </w:r>
      <w:r w:rsidRPr="00E72F4B">
        <w:rPr>
          <w:lang w:eastAsia="fr-FR" w:bidi="fr-FR"/>
        </w:rPr>
        <w:t>sions.</w:t>
      </w:r>
    </w:p>
    <w:p w14:paraId="240C9136" w14:textId="77777777" w:rsidR="0039793A" w:rsidRPr="00E72F4B" w:rsidRDefault="0039793A" w:rsidP="0039793A">
      <w:pPr>
        <w:spacing w:before="120" w:after="120"/>
        <w:jc w:val="both"/>
        <w:rPr>
          <w:lang w:eastAsia="fr-FR" w:bidi="fr-FR"/>
        </w:rPr>
      </w:pPr>
    </w:p>
    <w:p w14:paraId="112B7E8A" w14:textId="77777777" w:rsidR="0039793A" w:rsidRPr="00B34E0E" w:rsidRDefault="0039793A" w:rsidP="0039793A">
      <w:pPr>
        <w:pStyle w:val="b"/>
        <w:rPr>
          <w:lang w:eastAsia="fr-FR" w:bidi="fr-FR"/>
        </w:rPr>
      </w:pPr>
      <w:r w:rsidRPr="00B34E0E">
        <w:rPr>
          <w:lang w:eastAsia="fr-FR" w:bidi="fr-FR"/>
        </w:rPr>
        <w:t>Le maintien du rôle clé d</w:t>
      </w:r>
      <w:r>
        <w:rPr>
          <w:lang w:eastAsia="fr-FR" w:bidi="fr-FR"/>
        </w:rPr>
        <w:t>u NSC</w:t>
      </w:r>
      <w:r>
        <w:rPr>
          <w:lang w:eastAsia="fr-FR" w:bidi="fr-FR"/>
        </w:rPr>
        <w:br/>
      </w:r>
      <w:r w:rsidRPr="00B34E0E">
        <w:rPr>
          <w:lang w:eastAsia="fr-FR" w:bidi="fr-FR"/>
        </w:rPr>
        <w:t>sous George W. Bush</w:t>
      </w:r>
    </w:p>
    <w:p w14:paraId="4CA23745" w14:textId="77777777" w:rsidR="0039793A" w:rsidRPr="00E72F4B" w:rsidRDefault="0039793A" w:rsidP="0039793A">
      <w:pPr>
        <w:spacing w:before="120" w:after="120"/>
        <w:jc w:val="both"/>
        <w:rPr>
          <w:lang w:eastAsia="fr-FR" w:bidi="fr-FR"/>
        </w:rPr>
      </w:pPr>
    </w:p>
    <w:p w14:paraId="062F2252" w14:textId="77777777" w:rsidR="0039793A" w:rsidRDefault="0039793A" w:rsidP="0039793A">
      <w:pPr>
        <w:spacing w:before="120" w:after="120"/>
        <w:jc w:val="both"/>
        <w:rPr>
          <w:lang w:eastAsia="fr-FR" w:bidi="fr-FR"/>
        </w:rPr>
      </w:pPr>
      <w:r w:rsidRPr="00E72F4B">
        <w:rPr>
          <w:lang w:eastAsia="fr-FR" w:bidi="fr-FR"/>
        </w:rPr>
        <w:t>Le président George W. Bush (depuis 2001) dispose de l’équipe de conseillers la plus expérimentée depuis celle de son père. Elle est ég</w:t>
      </w:r>
      <w:r w:rsidRPr="00E72F4B">
        <w:rPr>
          <w:lang w:eastAsia="fr-FR" w:bidi="fr-FR"/>
        </w:rPr>
        <w:t>a</w:t>
      </w:r>
      <w:r w:rsidRPr="00E72F4B">
        <w:rPr>
          <w:lang w:eastAsia="fr-FR" w:bidi="fr-FR"/>
        </w:rPr>
        <w:t>lement farouchement idéologique et, dans le contexte de la lutte ant</w:t>
      </w:r>
      <w:r w:rsidRPr="00E72F4B">
        <w:rPr>
          <w:lang w:eastAsia="fr-FR" w:bidi="fr-FR"/>
        </w:rPr>
        <w:t>i</w:t>
      </w:r>
      <w:r w:rsidRPr="00E72F4B">
        <w:rPr>
          <w:lang w:eastAsia="fr-FR" w:bidi="fr-FR"/>
        </w:rPr>
        <w:t>terroriste, très engagée dans les questions internationales. Et en effet, les interve</w:t>
      </w:r>
      <w:r w:rsidRPr="00E72F4B">
        <w:rPr>
          <w:lang w:eastAsia="fr-FR" w:bidi="fr-FR"/>
        </w:rPr>
        <w:t>n</w:t>
      </w:r>
      <w:r w:rsidRPr="00E72F4B">
        <w:rPr>
          <w:lang w:eastAsia="fr-FR" w:bidi="fr-FR"/>
        </w:rPr>
        <w:t>tions militaires se succèdent. Le quatuor formé par Colin Powell (secrétaire d’État), Donald Rumsfeld (secrétaire à la Défense), Richard Cheney (vice-président) et Condoleezza Rice (conseillère pour la Sécurité nationale</w:t>
      </w:r>
      <w:r>
        <w:rPr>
          <w:lang w:eastAsia="fr-FR" w:bidi="fr-FR"/>
        </w:rPr>
        <w:t> </w:t>
      </w:r>
      <w:r>
        <w:rPr>
          <w:rStyle w:val="Appelnotedebasdep"/>
          <w:lang w:eastAsia="fr-FR" w:bidi="fr-FR"/>
        </w:rPr>
        <w:footnoteReference w:id="496"/>
      </w:r>
      <w:r w:rsidRPr="00E72F4B">
        <w:rPr>
          <w:lang w:eastAsia="fr-FR" w:bidi="fr-FR"/>
        </w:rPr>
        <w:t>) mène avec le président une politique a</w:t>
      </w:r>
      <w:r w:rsidRPr="00E72F4B">
        <w:rPr>
          <w:lang w:eastAsia="fr-FR" w:bidi="fr-FR"/>
        </w:rPr>
        <w:t>c</w:t>
      </w:r>
      <w:r w:rsidRPr="00E72F4B">
        <w:rPr>
          <w:lang w:eastAsia="fr-FR" w:bidi="fr-FR"/>
        </w:rPr>
        <w:t>tiviste. Par conséquent, les débats et rivalités entre conseillers sont intenses et le système décisionnel semble osciller entre l’approche compétitive et collégiale - pour l’instant sans fa</w:t>
      </w:r>
      <w:r w:rsidRPr="00E72F4B">
        <w:rPr>
          <w:lang w:eastAsia="fr-FR" w:bidi="fr-FR"/>
        </w:rPr>
        <w:t>i</w:t>
      </w:r>
      <w:r w:rsidRPr="00E72F4B">
        <w:rPr>
          <w:lang w:eastAsia="fr-FR" w:bidi="fr-FR"/>
        </w:rPr>
        <w:t>blir</w:t>
      </w:r>
      <w:r>
        <w:rPr>
          <w:lang w:eastAsia="fr-FR" w:bidi="fr-FR"/>
        </w:rPr>
        <w:t> </w:t>
      </w:r>
      <w:r>
        <w:rPr>
          <w:rStyle w:val="Appelnotedebasdep"/>
          <w:lang w:eastAsia="fr-FR" w:bidi="fr-FR"/>
        </w:rPr>
        <w:footnoteReference w:id="497"/>
      </w:r>
      <w:r w:rsidRPr="00E72F4B">
        <w:rPr>
          <w:lang w:eastAsia="fr-FR" w:bidi="fr-FR"/>
        </w:rPr>
        <w:t xml:space="preserve">. L’organisation du </w:t>
      </w:r>
      <w:r w:rsidRPr="00E72F4B">
        <w:rPr>
          <w:bCs/>
        </w:rPr>
        <w:t xml:space="preserve">NSC, </w:t>
      </w:r>
      <w:r w:rsidRPr="00E72F4B">
        <w:rPr>
          <w:lang w:eastAsia="fr-FR" w:bidi="fr-FR"/>
        </w:rPr>
        <w:t>quoique réduite, demeure la pierre angulaire de la prise de décision, tandis qu’elle v</w:t>
      </w:r>
      <w:r w:rsidRPr="001C2E2B">
        <w:rPr>
          <w:lang w:eastAsia="fr-FR" w:bidi="fr-FR"/>
        </w:rPr>
        <w:t>oit poindre de nouvelles stru</w:t>
      </w:r>
      <w:r w:rsidRPr="001C2E2B">
        <w:rPr>
          <w:lang w:eastAsia="fr-FR" w:bidi="fr-FR"/>
        </w:rPr>
        <w:t>c</w:t>
      </w:r>
      <w:r w:rsidRPr="001C2E2B">
        <w:rPr>
          <w:lang w:eastAsia="fr-FR" w:bidi="fr-FR"/>
        </w:rPr>
        <w:t>tures</w:t>
      </w:r>
      <w:r>
        <w:t xml:space="preserve"> [245] </w:t>
      </w:r>
      <w:r w:rsidRPr="001C2E2B">
        <w:rPr>
          <w:lang w:eastAsia="fr-FR" w:bidi="fr-FR"/>
        </w:rPr>
        <w:t>potentiellement rivales (le Conseil de la sécurité du terr</w:t>
      </w:r>
      <w:r w:rsidRPr="001C2E2B">
        <w:rPr>
          <w:lang w:eastAsia="fr-FR" w:bidi="fr-FR"/>
        </w:rPr>
        <w:t>i</w:t>
      </w:r>
      <w:r w:rsidRPr="001C2E2B">
        <w:rPr>
          <w:lang w:eastAsia="fr-FR" w:bidi="fr-FR"/>
        </w:rPr>
        <w:t>toire national et le Bureau de la lutte a</w:t>
      </w:r>
      <w:r w:rsidRPr="001C2E2B">
        <w:rPr>
          <w:lang w:eastAsia="fr-FR" w:bidi="fr-FR"/>
        </w:rPr>
        <w:t>n</w:t>
      </w:r>
      <w:r w:rsidRPr="001C2E2B">
        <w:rPr>
          <w:lang w:eastAsia="fr-FR" w:bidi="fr-FR"/>
        </w:rPr>
        <w:t>titerroriste, tous deux installés à la Maison-Blanche). Le conseiller pour la Sécurité nationale est la vér</w:t>
      </w:r>
      <w:r w:rsidRPr="001C2E2B">
        <w:rPr>
          <w:lang w:eastAsia="fr-FR" w:bidi="fr-FR"/>
        </w:rPr>
        <w:t>i</w:t>
      </w:r>
      <w:r w:rsidRPr="001C2E2B">
        <w:rPr>
          <w:lang w:eastAsia="fr-FR" w:bidi="fr-FR"/>
        </w:rPr>
        <w:t>table éminence grise de G.W. Bush.</w:t>
      </w:r>
    </w:p>
    <w:p w14:paraId="59444581" w14:textId="77777777" w:rsidR="0039793A" w:rsidRPr="001C2E2B" w:rsidRDefault="0039793A" w:rsidP="0039793A">
      <w:pPr>
        <w:spacing w:before="120" w:after="120"/>
        <w:jc w:val="both"/>
      </w:pPr>
    </w:p>
    <w:p w14:paraId="2B2B5C07" w14:textId="77777777" w:rsidR="0039793A" w:rsidRPr="001C2E2B" w:rsidRDefault="0039793A" w:rsidP="0039793A">
      <w:pPr>
        <w:pStyle w:val="c"/>
      </w:pPr>
      <w:r w:rsidRPr="001C2E2B">
        <w:t>*</w:t>
      </w:r>
      <w:r>
        <w:br/>
        <w:t>*    *</w:t>
      </w:r>
    </w:p>
    <w:p w14:paraId="39763D2E" w14:textId="77777777" w:rsidR="0039793A" w:rsidRDefault="0039793A" w:rsidP="0039793A">
      <w:pPr>
        <w:spacing w:before="120" w:after="120"/>
        <w:jc w:val="both"/>
        <w:rPr>
          <w:lang w:eastAsia="fr-FR" w:bidi="fr-FR"/>
        </w:rPr>
      </w:pPr>
    </w:p>
    <w:p w14:paraId="0815CFE0" w14:textId="77777777" w:rsidR="0039793A" w:rsidRPr="001C2E2B" w:rsidRDefault="0039793A" w:rsidP="0039793A">
      <w:pPr>
        <w:spacing w:before="120" w:after="120"/>
        <w:jc w:val="both"/>
      </w:pPr>
      <w:r w:rsidRPr="001C2E2B">
        <w:rPr>
          <w:lang w:eastAsia="fr-FR" w:bidi="fr-FR"/>
        </w:rPr>
        <w:t xml:space="preserve">Il faut noter que quasiment tous les présidents entrent en fonction en annonçant leur intention de réduire l’influence de l’organisation du </w:t>
      </w:r>
      <w:r w:rsidRPr="001C2E2B">
        <w:t xml:space="preserve">NSC. </w:t>
      </w:r>
      <w:r w:rsidRPr="001C2E2B">
        <w:rPr>
          <w:lang w:eastAsia="fr-FR" w:bidi="fr-FR"/>
        </w:rPr>
        <w:t>Ils finissent tous par lui accorder en réalité plus d’importance. Presque tous affirment au début leur volonté de faire du secrétaire d’</w:t>
      </w:r>
      <w:r>
        <w:rPr>
          <w:lang w:eastAsia="fr-FR" w:bidi="fr-FR"/>
        </w:rPr>
        <w:t>État</w:t>
      </w:r>
      <w:r w:rsidRPr="001C2E2B">
        <w:rPr>
          <w:lang w:eastAsia="fr-FR" w:bidi="fr-FR"/>
        </w:rPr>
        <w:t>, et de son d</w:t>
      </w:r>
      <w:r w:rsidRPr="001C2E2B">
        <w:rPr>
          <w:lang w:eastAsia="fr-FR" w:bidi="fr-FR"/>
        </w:rPr>
        <w:t>é</w:t>
      </w:r>
      <w:r w:rsidRPr="001C2E2B">
        <w:rPr>
          <w:lang w:eastAsia="fr-FR" w:bidi="fr-FR"/>
        </w:rPr>
        <w:t>partement, le principal acteur bureaucratique de la formulation de la politique étrangère. Dans la pl</w:t>
      </w:r>
      <w:r w:rsidRPr="001C2E2B">
        <w:rPr>
          <w:lang w:eastAsia="fr-FR" w:bidi="fr-FR"/>
        </w:rPr>
        <w:t>u</w:t>
      </w:r>
      <w:r w:rsidRPr="001C2E2B">
        <w:rPr>
          <w:lang w:eastAsia="fr-FR" w:bidi="fr-FR"/>
        </w:rPr>
        <w:t>part des cas, l’intention n’est cependant pas suivie d’effet et les présidents finissent par privilégier le conseiller pour la Sécurité nationale et son Admini</w:t>
      </w:r>
      <w:r w:rsidRPr="001C2E2B">
        <w:rPr>
          <w:lang w:eastAsia="fr-FR" w:bidi="fr-FR"/>
        </w:rPr>
        <w:t>s</w:t>
      </w:r>
      <w:r w:rsidRPr="001C2E2B">
        <w:rPr>
          <w:lang w:eastAsia="fr-FR" w:bidi="fr-FR"/>
        </w:rPr>
        <w:t>tration. D’ailleurs ce dernier finit presque to</w:t>
      </w:r>
      <w:r w:rsidRPr="001C2E2B">
        <w:rPr>
          <w:lang w:eastAsia="fr-FR" w:bidi="fr-FR"/>
        </w:rPr>
        <w:t>u</w:t>
      </w:r>
      <w:r w:rsidRPr="001C2E2B">
        <w:rPr>
          <w:lang w:eastAsia="fr-FR" w:bidi="fr-FR"/>
        </w:rPr>
        <w:t>jours par occuper une place incontournable dans la coordination et la mise en œuvre des d</w:t>
      </w:r>
      <w:r w:rsidRPr="001C2E2B">
        <w:rPr>
          <w:lang w:eastAsia="fr-FR" w:bidi="fr-FR"/>
        </w:rPr>
        <w:t>é</w:t>
      </w:r>
      <w:r w:rsidRPr="001C2E2B">
        <w:rPr>
          <w:lang w:eastAsia="fr-FR" w:bidi="fr-FR"/>
        </w:rPr>
        <w:t>cisions. Le fondement de cet irrémédiable glissement est l’efficacité du processus décisionnel, cruciale pour le bon fonctionnement de l’appareil Exécutif. Ai</w:t>
      </w:r>
      <w:r w:rsidRPr="001C2E2B">
        <w:rPr>
          <w:lang w:eastAsia="fr-FR" w:bidi="fr-FR"/>
        </w:rPr>
        <w:t>n</w:t>
      </w:r>
      <w:r w:rsidRPr="001C2E2B">
        <w:rPr>
          <w:lang w:eastAsia="fr-FR" w:bidi="fr-FR"/>
        </w:rPr>
        <w:t xml:space="preserve">si, s’agissant du </w:t>
      </w:r>
      <w:r w:rsidRPr="001C2E2B">
        <w:t xml:space="preserve">NSC, </w:t>
      </w:r>
      <w:r w:rsidRPr="001C2E2B">
        <w:rPr>
          <w:lang w:eastAsia="fr-FR" w:bidi="fr-FR"/>
        </w:rPr>
        <w:t>on constatera que les modèles d’Eisenhower, Ford ou G.H. Bush (un prés</w:t>
      </w:r>
      <w:r w:rsidRPr="001C2E2B">
        <w:rPr>
          <w:lang w:eastAsia="fr-FR" w:bidi="fr-FR"/>
        </w:rPr>
        <w:t>i</w:t>
      </w:r>
      <w:r w:rsidRPr="001C2E2B">
        <w:rPr>
          <w:lang w:eastAsia="fr-FR" w:bidi="fr-FR"/>
        </w:rPr>
        <w:t>dent engagé, un conseiller pour la Sécurité nati</w:t>
      </w:r>
      <w:r w:rsidRPr="001C2E2B">
        <w:rPr>
          <w:lang w:eastAsia="fr-FR" w:bidi="fr-FR"/>
        </w:rPr>
        <w:t>o</w:t>
      </w:r>
      <w:r w:rsidRPr="001C2E2B">
        <w:rPr>
          <w:lang w:eastAsia="fr-FR" w:bidi="fr-FR"/>
        </w:rPr>
        <w:t xml:space="preserve">nale et son personnel tenant des rôles neutres) ont été efficaces. En revanche, le </w:t>
      </w:r>
      <w:r w:rsidRPr="001C2E2B">
        <w:t xml:space="preserve">NSC </w:t>
      </w:r>
      <w:r w:rsidRPr="001C2E2B">
        <w:rPr>
          <w:lang w:eastAsia="fr-FR" w:bidi="fr-FR"/>
        </w:rPr>
        <w:t>fonctionne mal lor</w:t>
      </w:r>
      <w:r w:rsidRPr="001C2E2B">
        <w:rPr>
          <w:lang w:eastAsia="fr-FR" w:bidi="fr-FR"/>
        </w:rPr>
        <w:t>s</w:t>
      </w:r>
      <w:r w:rsidRPr="001C2E2B">
        <w:rPr>
          <w:lang w:eastAsia="fr-FR" w:bidi="fr-FR"/>
        </w:rPr>
        <w:t>qu’il est marginalisé (comme sous Johnson), livré à lui-même faute d’intérêt du président (Re</w:t>
      </w:r>
      <w:r w:rsidRPr="001C2E2B">
        <w:rPr>
          <w:lang w:eastAsia="fr-FR" w:bidi="fr-FR"/>
        </w:rPr>
        <w:t>a</w:t>
      </w:r>
      <w:r w:rsidRPr="001C2E2B">
        <w:rPr>
          <w:lang w:eastAsia="fr-FR" w:bidi="fr-FR"/>
        </w:rPr>
        <w:t>gan, Clinton), lorsque se créent des rivalités go</w:t>
      </w:r>
      <w:r w:rsidRPr="001C2E2B">
        <w:rPr>
          <w:lang w:eastAsia="fr-FR" w:bidi="fr-FR"/>
        </w:rPr>
        <w:t>u</w:t>
      </w:r>
      <w:r w:rsidRPr="001C2E2B">
        <w:rPr>
          <w:lang w:eastAsia="fr-FR" w:bidi="fr-FR"/>
        </w:rPr>
        <w:t>vernementales sans que le président n’arbitre la prise de décision (Carter) ou à l’inverse, lorsqu’il est utilisé pour neutraliser les burea</w:t>
      </w:r>
      <w:r w:rsidRPr="001C2E2B">
        <w:rPr>
          <w:lang w:eastAsia="fr-FR" w:bidi="fr-FR"/>
        </w:rPr>
        <w:t>u</w:t>
      </w:r>
      <w:r w:rsidRPr="001C2E2B">
        <w:rPr>
          <w:lang w:eastAsia="fr-FR" w:bidi="fr-FR"/>
        </w:rPr>
        <w:t>craties (Nixon). Et ce n’est pas anodin puisque les succès et les échecs des mécanismes du Conseil de sécur</w:t>
      </w:r>
      <w:r w:rsidRPr="001C2E2B">
        <w:rPr>
          <w:lang w:eastAsia="fr-FR" w:bidi="fr-FR"/>
        </w:rPr>
        <w:t>i</w:t>
      </w:r>
      <w:r w:rsidRPr="001C2E2B">
        <w:rPr>
          <w:lang w:eastAsia="fr-FR" w:bidi="fr-FR"/>
        </w:rPr>
        <w:t>té nationale ont une incidence directe sur la conduite de la politique étrangère américaine.</w:t>
      </w:r>
    </w:p>
    <w:p w14:paraId="47D486C3" w14:textId="77777777" w:rsidR="0039793A" w:rsidRPr="001C2E2B" w:rsidRDefault="0039793A" w:rsidP="0039793A">
      <w:pPr>
        <w:spacing w:before="120" w:after="120"/>
        <w:jc w:val="both"/>
      </w:pPr>
    </w:p>
    <w:p w14:paraId="3F42BE22" w14:textId="77777777" w:rsidR="0039793A" w:rsidRPr="001C2E2B" w:rsidRDefault="0039793A" w:rsidP="0039793A">
      <w:pPr>
        <w:pStyle w:val="p"/>
      </w:pPr>
      <w:r>
        <w:t>[246]</w:t>
      </w:r>
    </w:p>
    <w:p w14:paraId="7E84E947" w14:textId="77777777" w:rsidR="0039793A" w:rsidRDefault="0039793A" w:rsidP="0039793A">
      <w:pPr>
        <w:pStyle w:val="p"/>
        <w:rPr>
          <w:lang w:eastAsia="fr-FR" w:bidi="fr-FR"/>
        </w:rPr>
      </w:pPr>
      <w:r>
        <w:br w:type="page"/>
      </w:r>
      <w:r>
        <w:rPr>
          <w:lang w:eastAsia="fr-FR" w:bidi="fr-FR"/>
        </w:rPr>
        <w:t>[247]</w:t>
      </w:r>
    </w:p>
    <w:p w14:paraId="4BF63B35" w14:textId="77777777" w:rsidR="0039793A" w:rsidRPr="00E07116" w:rsidRDefault="0039793A" w:rsidP="0039793A">
      <w:pPr>
        <w:jc w:val="both"/>
      </w:pPr>
    </w:p>
    <w:p w14:paraId="404A482E" w14:textId="77777777" w:rsidR="0039793A" w:rsidRPr="00E07116" w:rsidRDefault="0039793A" w:rsidP="0039793A"/>
    <w:p w14:paraId="7CBFE413" w14:textId="77777777" w:rsidR="0039793A" w:rsidRPr="00E07116" w:rsidRDefault="0039793A" w:rsidP="0039793A">
      <w:pPr>
        <w:jc w:val="both"/>
      </w:pPr>
    </w:p>
    <w:p w14:paraId="689DA529" w14:textId="77777777" w:rsidR="0039793A" w:rsidRPr="00E07116" w:rsidRDefault="0039793A" w:rsidP="0039793A">
      <w:pPr>
        <w:jc w:val="both"/>
      </w:pPr>
    </w:p>
    <w:p w14:paraId="02D60445" w14:textId="77777777" w:rsidR="0039793A" w:rsidRPr="00642210" w:rsidRDefault="0039793A" w:rsidP="0039793A">
      <w:pPr>
        <w:spacing w:after="120"/>
        <w:jc w:val="center"/>
      </w:pPr>
      <w:bookmarkStart w:id="32" w:name="Pol_EU_pt_3"/>
      <w:r w:rsidRPr="00642210">
        <w:rPr>
          <w:b/>
        </w:rPr>
        <w:t>La politique étrangère des «États-Unis.</w:t>
      </w:r>
      <w:r w:rsidRPr="00642210">
        <w:rPr>
          <w:b/>
        </w:rPr>
        <w:br/>
      </w:r>
      <w:r w:rsidRPr="00642210">
        <w:rPr>
          <w:i/>
        </w:rPr>
        <w:t>Fondements, acteurs, formulation</w:t>
      </w:r>
    </w:p>
    <w:p w14:paraId="676E6D88" w14:textId="77777777" w:rsidR="0039793A" w:rsidRPr="00E07116" w:rsidRDefault="0039793A" w:rsidP="0039793A">
      <w:pPr>
        <w:jc w:val="both"/>
      </w:pPr>
    </w:p>
    <w:p w14:paraId="126CE988" w14:textId="77777777" w:rsidR="0039793A" w:rsidRPr="00384B20" w:rsidRDefault="0039793A" w:rsidP="0039793A">
      <w:pPr>
        <w:pStyle w:val="partie"/>
        <w:jc w:val="center"/>
        <w:rPr>
          <w:sz w:val="72"/>
        </w:rPr>
      </w:pPr>
      <w:r>
        <w:rPr>
          <w:sz w:val="72"/>
        </w:rPr>
        <w:t>Troisième</w:t>
      </w:r>
      <w:r w:rsidRPr="00384B20">
        <w:rPr>
          <w:sz w:val="72"/>
        </w:rPr>
        <w:t xml:space="preserve"> partie</w:t>
      </w:r>
    </w:p>
    <w:p w14:paraId="7747B8D4" w14:textId="77777777" w:rsidR="0039793A" w:rsidRPr="00E07116" w:rsidRDefault="0039793A" w:rsidP="0039793A">
      <w:pPr>
        <w:jc w:val="both"/>
      </w:pPr>
    </w:p>
    <w:p w14:paraId="158AA696" w14:textId="77777777" w:rsidR="0039793A" w:rsidRPr="00384B20" w:rsidRDefault="0039793A" w:rsidP="0039793A">
      <w:pPr>
        <w:pStyle w:val="Titreniveau2"/>
      </w:pPr>
      <w:r>
        <w:t>LE POUVOIR LÉGISLATIF</w:t>
      </w:r>
      <w:r>
        <w:br/>
        <w:t>ET LE POIDS DE</w:t>
      </w:r>
      <w:r>
        <w:br/>
        <w:t>LA SOCIÉTÉ CIVILE</w:t>
      </w:r>
    </w:p>
    <w:bookmarkEnd w:id="32"/>
    <w:p w14:paraId="03258EDB" w14:textId="77777777" w:rsidR="0039793A" w:rsidRPr="00E07116" w:rsidRDefault="0039793A" w:rsidP="0039793A">
      <w:pPr>
        <w:jc w:val="both"/>
      </w:pPr>
    </w:p>
    <w:p w14:paraId="52E60A2D" w14:textId="77777777" w:rsidR="0039793A" w:rsidRPr="00E07116" w:rsidRDefault="0039793A" w:rsidP="0039793A">
      <w:pPr>
        <w:jc w:val="both"/>
      </w:pPr>
    </w:p>
    <w:p w14:paraId="5E21370A" w14:textId="77777777" w:rsidR="0039793A" w:rsidRPr="00C70582" w:rsidRDefault="0039793A" w:rsidP="0039793A">
      <w:pPr>
        <w:spacing w:before="120" w:after="120"/>
        <w:jc w:val="center"/>
        <w:rPr>
          <w:i/>
          <w:iCs/>
        </w:rPr>
      </w:pPr>
      <w:r>
        <w:rPr>
          <w:i/>
          <w:iCs/>
          <w:lang w:eastAsia="fr-FR" w:bidi="fr-FR"/>
        </w:rPr>
        <w:t>Justin VAÏSSE</w:t>
      </w:r>
    </w:p>
    <w:p w14:paraId="3B49718B" w14:textId="77777777" w:rsidR="0039793A" w:rsidRPr="00E07116" w:rsidRDefault="0039793A" w:rsidP="0039793A">
      <w:pPr>
        <w:jc w:val="both"/>
      </w:pPr>
    </w:p>
    <w:p w14:paraId="0B95C574" w14:textId="77777777" w:rsidR="0039793A" w:rsidRPr="00E07116" w:rsidRDefault="0039793A" w:rsidP="0039793A">
      <w:pPr>
        <w:jc w:val="both"/>
      </w:pPr>
    </w:p>
    <w:p w14:paraId="0BC4B275" w14:textId="77777777" w:rsidR="0039793A" w:rsidRPr="00E07116" w:rsidRDefault="0039793A" w:rsidP="0039793A">
      <w:pPr>
        <w:jc w:val="both"/>
      </w:pPr>
    </w:p>
    <w:p w14:paraId="13FEF8A4"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7955FA7" w14:textId="77777777" w:rsidR="0039793A" w:rsidRPr="00C30976" w:rsidRDefault="0039793A" w:rsidP="0039793A">
      <w:pPr>
        <w:spacing w:before="120" w:after="120"/>
        <w:jc w:val="both"/>
      </w:pPr>
      <w:r w:rsidRPr="00C30976">
        <w:rPr>
          <w:lang w:eastAsia="fr-FR" w:bidi="fr-FR"/>
        </w:rPr>
        <w:t>L’une des particularités de la politique étrangère américaine est le rôle important qu’y joue le Lég</w:t>
      </w:r>
      <w:r w:rsidRPr="00C30976">
        <w:rPr>
          <w:lang w:eastAsia="fr-FR" w:bidi="fr-FR"/>
        </w:rPr>
        <w:t>i</w:t>
      </w:r>
      <w:r w:rsidRPr="00C30976">
        <w:rPr>
          <w:lang w:eastAsia="fr-FR" w:bidi="fr-FR"/>
        </w:rPr>
        <w:t>slatif, et plus généralement les forces de la société civile. Certes, en matière de relations extérieures, l’Exécutif possède la prééminence, et c’est bien le président qui reste l’acteur principal de la diplomatie américaine. Pourtant, si l’on se pl</w:t>
      </w:r>
      <w:r w:rsidRPr="00C30976">
        <w:rPr>
          <w:lang w:eastAsia="fr-FR" w:bidi="fr-FR"/>
        </w:rPr>
        <w:t>a</w:t>
      </w:r>
      <w:r w:rsidRPr="00C30976">
        <w:rPr>
          <w:lang w:eastAsia="fr-FR" w:bidi="fr-FR"/>
        </w:rPr>
        <w:t>ce dans une optique comparative, la particularité des États-Unis au regard des autres démocraties libérales réside davantage dans la pui</w:t>
      </w:r>
      <w:r w:rsidRPr="00C30976">
        <w:rPr>
          <w:lang w:eastAsia="fr-FR" w:bidi="fr-FR"/>
        </w:rPr>
        <w:t>s</w:t>
      </w:r>
      <w:r w:rsidRPr="00C30976">
        <w:rPr>
          <w:lang w:eastAsia="fr-FR" w:bidi="fr-FR"/>
        </w:rPr>
        <w:t>sance du Congrès en matière de politique étrangère que dans celle du président, de même que dans la place qu’occupent, dans le processus de décision en politique étrangère, divers groupes de la société civile qui agissent général</w:t>
      </w:r>
      <w:r w:rsidRPr="00C30976">
        <w:rPr>
          <w:lang w:eastAsia="fr-FR" w:bidi="fr-FR"/>
        </w:rPr>
        <w:t>e</w:t>
      </w:r>
      <w:r w:rsidRPr="00C30976">
        <w:rPr>
          <w:lang w:eastAsia="fr-FR" w:bidi="fr-FR"/>
        </w:rPr>
        <w:t>ment — mais non exclusivement - à travers le Congrès</w:t>
      </w:r>
      <w:r w:rsidRPr="00C30976">
        <w:t> :</w:t>
      </w:r>
      <w:r w:rsidRPr="00C30976">
        <w:rPr>
          <w:lang w:eastAsia="fr-FR" w:bidi="fr-FR"/>
        </w:rPr>
        <w:t xml:space="preserve"> opinion publique, forces politiques et économiques, lobbies et organisations non gouve</w:t>
      </w:r>
      <w:r w:rsidRPr="00C30976">
        <w:rPr>
          <w:lang w:eastAsia="fr-FR" w:bidi="fr-FR"/>
        </w:rPr>
        <w:t>r</w:t>
      </w:r>
      <w:r w:rsidRPr="00C30976">
        <w:rPr>
          <w:lang w:eastAsia="fr-FR" w:bidi="fr-FR"/>
        </w:rPr>
        <w:t>nementales.</w:t>
      </w:r>
    </w:p>
    <w:p w14:paraId="78836CB8" w14:textId="77777777" w:rsidR="0039793A" w:rsidRPr="00C30976" w:rsidRDefault="0039793A" w:rsidP="0039793A">
      <w:pPr>
        <w:spacing w:before="120" w:after="120"/>
        <w:jc w:val="both"/>
      </w:pPr>
      <w:r w:rsidRPr="00C30976">
        <w:rPr>
          <w:lang w:eastAsia="fr-FR" w:bidi="fr-FR"/>
        </w:rPr>
        <w:t>Pour rendre compte de cet apparent paradoxe - un Exécutif fort, un Législatif fort — il convient de distinguer différents secteurs de la p</w:t>
      </w:r>
      <w:r w:rsidRPr="00C30976">
        <w:rPr>
          <w:lang w:eastAsia="fr-FR" w:bidi="fr-FR"/>
        </w:rPr>
        <w:t>o</w:t>
      </w:r>
      <w:r w:rsidRPr="00C30976">
        <w:rPr>
          <w:lang w:eastAsia="fr-FR" w:bidi="fr-FR"/>
        </w:rPr>
        <w:t>litique étrangère. Dans les manœuvres diplomatiques ou milita</w:t>
      </w:r>
      <w:r w:rsidRPr="00C30976">
        <w:rPr>
          <w:lang w:eastAsia="fr-FR" w:bidi="fr-FR"/>
        </w:rPr>
        <w:t>i</w:t>
      </w:r>
      <w:r w:rsidRPr="00C30976">
        <w:rPr>
          <w:lang w:eastAsia="fr-FR" w:bidi="fr-FR"/>
        </w:rPr>
        <w:t>res, ou encore en temps de crise, la puissance du président est à son zénith et l’influence du Congrès et celle de la société civile au plus bas. En r</w:t>
      </w:r>
      <w:r w:rsidRPr="00C30976">
        <w:rPr>
          <w:lang w:eastAsia="fr-FR" w:bidi="fr-FR"/>
        </w:rPr>
        <w:t>e</w:t>
      </w:r>
      <w:r w:rsidRPr="00C30976">
        <w:rPr>
          <w:lang w:eastAsia="fr-FR" w:bidi="fr-FR"/>
        </w:rPr>
        <w:t>vanche, dans la définition des grandes orientations, la stratégie dipl</w:t>
      </w:r>
      <w:r w:rsidRPr="00C30976">
        <w:rPr>
          <w:lang w:eastAsia="fr-FR" w:bidi="fr-FR"/>
        </w:rPr>
        <w:t>o</w:t>
      </w:r>
      <w:r w:rsidRPr="00C30976">
        <w:rPr>
          <w:lang w:eastAsia="fr-FR" w:bidi="fr-FR"/>
        </w:rPr>
        <w:t>matique de moyen et long terme - telle qu’infliger des sanctions ou attribuer une aide économique, fixer des droits de douanes, offrir ou refuser un soutien</w:t>
      </w:r>
      <w:r>
        <w:t xml:space="preserve"> [248] </w:t>
      </w:r>
      <w:r w:rsidRPr="00C30976">
        <w:rPr>
          <w:lang w:eastAsia="fr-FR" w:bidi="fr-FR"/>
        </w:rPr>
        <w:t>militaire - l’influence du Congrès et, à travers elle, de la société c</w:t>
      </w:r>
      <w:r w:rsidRPr="00C30976">
        <w:rPr>
          <w:lang w:eastAsia="fr-FR" w:bidi="fr-FR"/>
        </w:rPr>
        <w:t>i</w:t>
      </w:r>
      <w:r w:rsidRPr="00C30976">
        <w:rPr>
          <w:lang w:eastAsia="fr-FR" w:bidi="fr-FR"/>
        </w:rPr>
        <w:t>vile, est souvent décisive.</w:t>
      </w:r>
    </w:p>
    <w:p w14:paraId="64EED3FD" w14:textId="77777777" w:rsidR="0039793A" w:rsidRPr="00C30976" w:rsidRDefault="0039793A" w:rsidP="0039793A">
      <w:pPr>
        <w:spacing w:before="120" w:after="120"/>
        <w:jc w:val="both"/>
      </w:pPr>
      <w:r w:rsidRPr="00C30976">
        <w:rPr>
          <w:lang w:eastAsia="fr-FR" w:bidi="fr-FR"/>
        </w:rPr>
        <w:t>Cette influence du Législatif et de la société civile varie sensibl</w:t>
      </w:r>
      <w:r w:rsidRPr="00C30976">
        <w:rPr>
          <w:lang w:eastAsia="fr-FR" w:bidi="fr-FR"/>
        </w:rPr>
        <w:t>e</w:t>
      </w:r>
      <w:r w:rsidRPr="00C30976">
        <w:rPr>
          <w:lang w:eastAsia="fr-FR" w:bidi="fr-FR"/>
        </w:rPr>
        <w:t>ment avec le temps</w:t>
      </w:r>
      <w:r w:rsidRPr="00C30976">
        <w:t> :</w:t>
      </w:r>
      <w:r w:rsidRPr="00C30976">
        <w:rPr>
          <w:lang w:eastAsia="fr-FR" w:bidi="fr-FR"/>
        </w:rPr>
        <w:t xml:space="preserve"> particuli</w:t>
      </w:r>
      <w:r w:rsidRPr="00C30976">
        <w:rPr>
          <w:lang w:eastAsia="fr-FR" w:bidi="fr-FR"/>
        </w:rPr>
        <w:t>è</w:t>
      </w:r>
      <w:r w:rsidRPr="00C30976">
        <w:rPr>
          <w:lang w:eastAsia="fr-FR" w:bidi="fr-FR"/>
        </w:rPr>
        <w:t>rement forte dans l’entre- deux-guerres, très faible au cœur de la guerre froide (années 1950), elle a considér</w:t>
      </w:r>
      <w:r w:rsidRPr="00C30976">
        <w:rPr>
          <w:lang w:eastAsia="fr-FR" w:bidi="fr-FR"/>
        </w:rPr>
        <w:t>a</w:t>
      </w:r>
      <w:r w:rsidRPr="00C30976">
        <w:rPr>
          <w:lang w:eastAsia="fr-FR" w:bidi="fr-FR"/>
        </w:rPr>
        <w:t xml:space="preserve">blement augmenté après la guerre du Vietnam, en réponse à l’ascension de la </w:t>
      </w:r>
      <w:r w:rsidRPr="00C30976">
        <w:t>« </w:t>
      </w:r>
      <w:r w:rsidRPr="00C30976">
        <w:rPr>
          <w:lang w:eastAsia="fr-FR" w:bidi="fr-FR"/>
        </w:rPr>
        <w:t>présidence impériale</w:t>
      </w:r>
      <w:r w:rsidRPr="00C30976">
        <w:t> »</w:t>
      </w:r>
      <w:r w:rsidRPr="00C30976">
        <w:rPr>
          <w:lang w:eastAsia="fr-FR" w:bidi="fr-FR"/>
        </w:rPr>
        <w:t>. Stabilisée dans les années 1980, elle a augmenté à nouveau dans les années 1990, pour se réduire brusquement suite aux atte</w:t>
      </w:r>
      <w:r w:rsidRPr="00C30976">
        <w:rPr>
          <w:lang w:eastAsia="fr-FR" w:bidi="fr-FR"/>
        </w:rPr>
        <w:t>n</w:t>
      </w:r>
      <w:r w:rsidRPr="00C30976">
        <w:rPr>
          <w:lang w:eastAsia="fr-FR" w:bidi="fr-FR"/>
        </w:rPr>
        <w:t>tats du 11 septembre.</w:t>
      </w:r>
    </w:p>
    <w:p w14:paraId="39478892" w14:textId="77777777" w:rsidR="0039793A" w:rsidRPr="00C30976" w:rsidRDefault="0039793A" w:rsidP="0039793A">
      <w:pPr>
        <w:spacing w:before="120" w:after="120"/>
        <w:jc w:val="both"/>
      </w:pPr>
      <w:r w:rsidRPr="00C30976">
        <w:rPr>
          <w:lang w:eastAsia="fr-FR" w:bidi="fr-FR"/>
        </w:rPr>
        <w:t>Enfin, du fait du rôle clé de l’hyper-puissance américaine dans presque toutes les régions du mo</w:t>
      </w:r>
      <w:r w:rsidRPr="00C30976">
        <w:rPr>
          <w:lang w:eastAsia="fr-FR" w:bidi="fr-FR"/>
        </w:rPr>
        <w:t>n</w:t>
      </w:r>
      <w:r w:rsidRPr="00C30976">
        <w:rPr>
          <w:lang w:eastAsia="fr-FR" w:bidi="fr-FR"/>
        </w:rPr>
        <w:t>de et dans tous les domaines des affaires internati</w:t>
      </w:r>
      <w:r w:rsidRPr="00C30976">
        <w:rPr>
          <w:lang w:eastAsia="fr-FR" w:bidi="fr-FR"/>
        </w:rPr>
        <w:t>o</w:t>
      </w:r>
      <w:r w:rsidRPr="00C30976">
        <w:rPr>
          <w:lang w:eastAsia="fr-FR" w:bidi="fr-FR"/>
        </w:rPr>
        <w:t>nales, une petite influence sur la politique étrangère américaine peut produire de grands effets. Ainsi, non seulement le Congrès, mais également les m</w:t>
      </w:r>
      <w:r w:rsidRPr="00C30976">
        <w:rPr>
          <w:lang w:eastAsia="fr-FR" w:bidi="fr-FR"/>
        </w:rPr>
        <w:t>é</w:t>
      </w:r>
      <w:r w:rsidRPr="00C30976">
        <w:rPr>
          <w:lang w:eastAsia="fr-FR" w:bidi="fr-FR"/>
        </w:rPr>
        <w:t>dias, les lobbies, ou encore l’opinion publique, jouent un rôle important dans le processus de déc</w:t>
      </w:r>
      <w:r w:rsidRPr="00C30976">
        <w:rPr>
          <w:lang w:eastAsia="fr-FR" w:bidi="fr-FR"/>
        </w:rPr>
        <w:t>i</w:t>
      </w:r>
      <w:r w:rsidRPr="00C30976">
        <w:rPr>
          <w:lang w:eastAsia="fr-FR" w:bidi="fr-FR"/>
        </w:rPr>
        <w:t>sion, mais la puissance américaine confère un écho démultiplié à leur influence.</w:t>
      </w:r>
    </w:p>
    <w:p w14:paraId="084F25F4" w14:textId="77777777" w:rsidR="0039793A" w:rsidRDefault="0039793A" w:rsidP="0039793A">
      <w:pPr>
        <w:spacing w:before="120" w:after="120"/>
        <w:jc w:val="both"/>
        <w:rPr>
          <w:lang w:eastAsia="fr-FR" w:bidi="fr-FR"/>
        </w:rPr>
      </w:pPr>
    </w:p>
    <w:p w14:paraId="5F6FBE1B" w14:textId="77777777" w:rsidR="0039793A" w:rsidRPr="00C30976" w:rsidRDefault="0039793A" w:rsidP="0039793A">
      <w:pPr>
        <w:spacing w:before="120" w:after="120"/>
        <w:jc w:val="both"/>
      </w:pPr>
      <w:r w:rsidRPr="00C30976">
        <w:rPr>
          <w:lang w:eastAsia="fr-FR" w:bidi="fr-FR"/>
        </w:rPr>
        <w:t>C’est sans doute là que se situe le champ des e</w:t>
      </w:r>
      <w:r w:rsidRPr="00C30976">
        <w:rPr>
          <w:lang w:eastAsia="fr-FR" w:bidi="fr-FR"/>
        </w:rPr>
        <w:t>n</w:t>
      </w:r>
      <w:r w:rsidRPr="00C30976">
        <w:rPr>
          <w:lang w:eastAsia="fr-FR" w:bidi="fr-FR"/>
        </w:rPr>
        <w:t>jeux</w:t>
      </w:r>
      <w:r w:rsidRPr="00C30976">
        <w:t> :</w:t>
      </w:r>
      <w:r w:rsidRPr="00C30976">
        <w:rPr>
          <w:lang w:eastAsia="fr-FR" w:bidi="fr-FR"/>
        </w:rPr>
        <w:t xml:space="preserve"> aucun pays ne réserve un tel rôle au pouvoir législatif et à la société civile dans la définition de sa politique étrangère. Dès lors, le péril est bien c</w:t>
      </w:r>
      <w:r w:rsidRPr="00C30976">
        <w:rPr>
          <w:lang w:eastAsia="fr-FR" w:bidi="fr-FR"/>
        </w:rPr>
        <w:t>e</w:t>
      </w:r>
      <w:r w:rsidRPr="00C30976">
        <w:rPr>
          <w:lang w:eastAsia="fr-FR" w:bidi="fr-FR"/>
        </w:rPr>
        <w:t>lui de l’incohérence, celui d’une diplomatie ballo</w:t>
      </w:r>
      <w:r w:rsidRPr="00C30976">
        <w:rPr>
          <w:lang w:eastAsia="fr-FR" w:bidi="fr-FR"/>
        </w:rPr>
        <w:t>t</w:t>
      </w:r>
      <w:r w:rsidRPr="00C30976">
        <w:rPr>
          <w:lang w:eastAsia="fr-FR" w:bidi="fr-FR"/>
        </w:rPr>
        <w:t>tée entre considérations locales et catégorielles contradictoires, entre intérêts particuliers irr</w:t>
      </w:r>
      <w:r w:rsidRPr="00C30976">
        <w:rPr>
          <w:lang w:eastAsia="fr-FR" w:bidi="fr-FR"/>
        </w:rPr>
        <w:t>é</w:t>
      </w:r>
      <w:r w:rsidRPr="00C30976">
        <w:rPr>
          <w:lang w:eastAsia="fr-FR" w:bidi="fr-FR"/>
        </w:rPr>
        <w:t>conc</w:t>
      </w:r>
      <w:r w:rsidRPr="00C30976">
        <w:rPr>
          <w:lang w:eastAsia="fr-FR" w:bidi="fr-FR"/>
        </w:rPr>
        <w:t>i</w:t>
      </w:r>
      <w:r w:rsidRPr="00C30976">
        <w:rPr>
          <w:lang w:eastAsia="fr-FR" w:bidi="fr-FR"/>
        </w:rPr>
        <w:t>liables, aboutissant à des blocages dont le reste du monde, par contrecoup, pâtit. Ainsi que le rema</w:t>
      </w:r>
      <w:r w:rsidRPr="00C30976">
        <w:rPr>
          <w:lang w:eastAsia="fr-FR" w:bidi="fr-FR"/>
        </w:rPr>
        <w:t>r</w:t>
      </w:r>
      <w:r w:rsidRPr="00C30976">
        <w:rPr>
          <w:lang w:eastAsia="fr-FR" w:bidi="fr-FR"/>
        </w:rPr>
        <w:t>quait Tocqueville dès 1835</w:t>
      </w:r>
      <w:r w:rsidRPr="00C30976">
        <w:t> :</w:t>
      </w:r>
      <w:r w:rsidRPr="00C30976">
        <w:rPr>
          <w:lang w:eastAsia="fr-FR" w:bidi="fr-FR"/>
        </w:rPr>
        <w:t xml:space="preserve"> </w:t>
      </w:r>
      <w:r w:rsidRPr="00C30976">
        <w:t>« </w:t>
      </w:r>
      <w:r w:rsidRPr="00C30976">
        <w:rPr>
          <w:lang w:eastAsia="fr-FR" w:bidi="fr-FR"/>
        </w:rPr>
        <w:t>La politique extérieure n’exige l’usage de presque aucune des qual</w:t>
      </w:r>
      <w:r w:rsidRPr="00C30976">
        <w:rPr>
          <w:lang w:eastAsia="fr-FR" w:bidi="fr-FR"/>
        </w:rPr>
        <w:t>i</w:t>
      </w:r>
      <w:r w:rsidRPr="00C30976">
        <w:rPr>
          <w:lang w:eastAsia="fr-FR" w:bidi="fr-FR"/>
        </w:rPr>
        <w:t>tés qui sont propres à la démocratie, et commande au contraire le dév</w:t>
      </w:r>
      <w:r w:rsidRPr="00C30976">
        <w:rPr>
          <w:lang w:eastAsia="fr-FR" w:bidi="fr-FR"/>
        </w:rPr>
        <w:t>e</w:t>
      </w:r>
      <w:r w:rsidRPr="00C30976">
        <w:rPr>
          <w:lang w:eastAsia="fr-FR" w:bidi="fr-FR"/>
        </w:rPr>
        <w:t>loppement de presque toutes celles qui lui manquent</w:t>
      </w:r>
      <w:r>
        <w:rPr>
          <w:lang w:eastAsia="fr-FR" w:bidi="fr-FR"/>
        </w:rPr>
        <w:t> </w:t>
      </w:r>
      <w:r>
        <w:rPr>
          <w:rStyle w:val="Appelnotedebasdep"/>
          <w:lang w:eastAsia="fr-FR" w:bidi="fr-FR"/>
        </w:rPr>
        <w:footnoteReference w:id="498"/>
      </w:r>
      <w:r w:rsidRPr="00C30976">
        <w:t> »</w:t>
      </w:r>
      <w:r w:rsidRPr="00C30976">
        <w:rPr>
          <w:lang w:eastAsia="fr-FR" w:bidi="fr-FR"/>
        </w:rPr>
        <w:t xml:space="preserve"> Cela suffit-il pour condamner le rôle de la démocratie de la décision en politique étrangère</w:t>
      </w:r>
      <w:r w:rsidRPr="00C30976">
        <w:t> ?</w:t>
      </w:r>
    </w:p>
    <w:p w14:paraId="5CDD020D" w14:textId="77777777" w:rsidR="0039793A" w:rsidRDefault="0039793A" w:rsidP="0039793A">
      <w:pPr>
        <w:pStyle w:val="p"/>
      </w:pPr>
      <w:r w:rsidRPr="00C30976">
        <w:br w:type="page"/>
      </w:r>
      <w:r>
        <w:t>[249]</w:t>
      </w:r>
    </w:p>
    <w:p w14:paraId="25A48A4F" w14:textId="77777777" w:rsidR="0039793A" w:rsidRPr="00E07116" w:rsidRDefault="0039793A" w:rsidP="0039793A">
      <w:pPr>
        <w:jc w:val="both"/>
      </w:pPr>
    </w:p>
    <w:p w14:paraId="345ACD85" w14:textId="77777777" w:rsidR="0039793A" w:rsidRDefault="0039793A" w:rsidP="0039793A">
      <w:pPr>
        <w:jc w:val="both"/>
      </w:pPr>
    </w:p>
    <w:p w14:paraId="1A8B3279" w14:textId="77777777" w:rsidR="0039793A" w:rsidRPr="00E07116" w:rsidRDefault="0039793A" w:rsidP="0039793A">
      <w:pPr>
        <w:jc w:val="both"/>
      </w:pPr>
    </w:p>
    <w:p w14:paraId="691C068C" w14:textId="77777777" w:rsidR="0039793A" w:rsidRPr="00642210" w:rsidRDefault="0039793A" w:rsidP="0039793A">
      <w:pPr>
        <w:spacing w:after="120"/>
        <w:jc w:val="center"/>
      </w:pPr>
      <w:bookmarkStart w:id="33" w:name="Pol_EU_pt_3_chap_08"/>
      <w:r w:rsidRPr="00642210">
        <w:rPr>
          <w:b/>
        </w:rPr>
        <w:t>La politique étrangère des «États-Unis.</w:t>
      </w:r>
      <w:r w:rsidRPr="00642210">
        <w:rPr>
          <w:b/>
        </w:rPr>
        <w:br/>
      </w:r>
      <w:r w:rsidRPr="00642210">
        <w:rPr>
          <w:i/>
        </w:rPr>
        <w:t>Fondements, acteurs, formulation</w:t>
      </w:r>
    </w:p>
    <w:p w14:paraId="73342AB5" w14:textId="77777777" w:rsidR="0039793A" w:rsidRPr="00384B20" w:rsidRDefault="0039793A" w:rsidP="0039793A">
      <w:pPr>
        <w:spacing w:after="120"/>
        <w:ind w:firstLine="0"/>
        <w:jc w:val="center"/>
        <w:rPr>
          <w:color w:val="000080"/>
          <w:sz w:val="24"/>
        </w:rPr>
      </w:pPr>
      <w:r>
        <w:rPr>
          <w:color w:val="000080"/>
          <w:sz w:val="24"/>
        </w:rPr>
        <w:t>TROISIÈME PARTIE</w:t>
      </w:r>
    </w:p>
    <w:p w14:paraId="335759A4" w14:textId="77777777" w:rsidR="0039793A" w:rsidRPr="00384B20" w:rsidRDefault="0039793A" w:rsidP="0039793A">
      <w:pPr>
        <w:pStyle w:val="Titreniveau1"/>
      </w:pPr>
      <w:r w:rsidRPr="00384B20">
        <w:t xml:space="preserve">Chapitre </w:t>
      </w:r>
      <w:r>
        <w:t>8</w:t>
      </w:r>
    </w:p>
    <w:p w14:paraId="3916B408" w14:textId="77777777" w:rsidR="0039793A" w:rsidRPr="00E07116" w:rsidRDefault="0039793A" w:rsidP="0039793A">
      <w:pPr>
        <w:pStyle w:val="Titreniveau2"/>
      </w:pPr>
      <w:r>
        <w:t>LE CONGRÈS</w:t>
      </w:r>
    </w:p>
    <w:bookmarkEnd w:id="33"/>
    <w:p w14:paraId="37056D60" w14:textId="77777777" w:rsidR="0039793A" w:rsidRPr="00E07116" w:rsidRDefault="0039793A" w:rsidP="0039793A">
      <w:pPr>
        <w:jc w:val="both"/>
        <w:rPr>
          <w:szCs w:val="36"/>
        </w:rPr>
      </w:pPr>
    </w:p>
    <w:p w14:paraId="6641C6E0" w14:textId="77777777" w:rsidR="0039793A" w:rsidRPr="00E07116" w:rsidRDefault="0039793A" w:rsidP="0039793A">
      <w:pPr>
        <w:jc w:val="both"/>
      </w:pPr>
    </w:p>
    <w:p w14:paraId="047778C3" w14:textId="77777777" w:rsidR="0039793A" w:rsidRPr="00E07116" w:rsidRDefault="0039793A" w:rsidP="0039793A">
      <w:pPr>
        <w:jc w:val="both"/>
      </w:pPr>
    </w:p>
    <w:p w14:paraId="76608E34" w14:textId="77777777" w:rsidR="0039793A" w:rsidRPr="00E07116" w:rsidRDefault="0039793A" w:rsidP="0039793A">
      <w:pPr>
        <w:jc w:val="both"/>
      </w:pPr>
    </w:p>
    <w:p w14:paraId="713C5806" w14:textId="77777777" w:rsidR="0039793A" w:rsidRPr="00E07116" w:rsidRDefault="0039793A" w:rsidP="0039793A">
      <w:pPr>
        <w:jc w:val="both"/>
      </w:pPr>
    </w:p>
    <w:p w14:paraId="3309D731"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1B9133C4" w14:textId="77777777" w:rsidR="0039793A" w:rsidRPr="00C30976" w:rsidRDefault="0039793A" w:rsidP="0039793A">
      <w:pPr>
        <w:spacing w:before="120" w:after="120"/>
        <w:jc w:val="both"/>
      </w:pPr>
      <w:r w:rsidRPr="00C30976">
        <w:rPr>
          <w:lang w:eastAsia="fr-FR" w:bidi="fr-FR"/>
        </w:rPr>
        <w:t>Pour comprendre l’influence que le Congrès exerce sur la politique étrangère des États-Unis, l’énumération abstraite des pouvoirs qui lui sont confiés par la Constitution, si elle est un point de départ indispe</w:t>
      </w:r>
      <w:r w:rsidRPr="00C30976">
        <w:rPr>
          <w:lang w:eastAsia="fr-FR" w:bidi="fr-FR"/>
        </w:rPr>
        <w:t>n</w:t>
      </w:r>
      <w:r w:rsidRPr="00C30976">
        <w:rPr>
          <w:lang w:eastAsia="fr-FR" w:bidi="fr-FR"/>
        </w:rPr>
        <w:t>sable, ne suffit pas. En effet, ces pouvoirs ne peuvent se définir ind</w:t>
      </w:r>
      <w:r w:rsidRPr="00C30976">
        <w:rPr>
          <w:lang w:eastAsia="fr-FR" w:bidi="fr-FR"/>
        </w:rPr>
        <w:t>é</w:t>
      </w:r>
      <w:r w:rsidRPr="00C30976">
        <w:rPr>
          <w:lang w:eastAsia="fr-FR" w:bidi="fr-FR"/>
        </w:rPr>
        <w:t>pendamment de ceux de l’Exécutif qui possède le leadership en mati</w:t>
      </w:r>
      <w:r w:rsidRPr="00C30976">
        <w:rPr>
          <w:lang w:eastAsia="fr-FR" w:bidi="fr-FR"/>
        </w:rPr>
        <w:t>è</w:t>
      </w:r>
      <w:r w:rsidRPr="00C30976">
        <w:rPr>
          <w:lang w:eastAsia="fr-FR" w:bidi="fr-FR"/>
        </w:rPr>
        <w:t>re de politique étrangère. Ils ont été modelés par l’Histoire, par la s</w:t>
      </w:r>
      <w:r w:rsidRPr="00C30976">
        <w:rPr>
          <w:lang w:eastAsia="fr-FR" w:bidi="fr-FR"/>
        </w:rPr>
        <w:t>é</w:t>
      </w:r>
      <w:r w:rsidRPr="00C30976">
        <w:rPr>
          <w:lang w:eastAsia="fr-FR" w:bidi="fr-FR"/>
        </w:rPr>
        <w:t>dimentation des rapports de force des décennies passées et par la pr</w:t>
      </w:r>
      <w:r w:rsidRPr="00C30976">
        <w:rPr>
          <w:lang w:eastAsia="fr-FR" w:bidi="fr-FR"/>
        </w:rPr>
        <w:t>a</w:t>
      </w:r>
      <w:r w:rsidRPr="00C30976">
        <w:rPr>
          <w:lang w:eastAsia="fr-FR" w:bidi="fr-FR"/>
        </w:rPr>
        <w:t>tique constitutionnelle. D’où l’importance de rappeler ce contexte hi</w:t>
      </w:r>
      <w:r w:rsidRPr="00C30976">
        <w:rPr>
          <w:lang w:eastAsia="fr-FR" w:bidi="fr-FR"/>
        </w:rPr>
        <w:t>s</w:t>
      </w:r>
      <w:r w:rsidRPr="00C30976">
        <w:rPr>
          <w:lang w:eastAsia="fr-FR" w:bidi="fr-FR"/>
        </w:rPr>
        <w:t>torique dans lequel s’inscrivent les pouvoirs du Congrès en politique étrangère, ainsi que leurs conditions concrètes d’exercice, en intera</w:t>
      </w:r>
      <w:r w:rsidRPr="00C30976">
        <w:rPr>
          <w:lang w:eastAsia="fr-FR" w:bidi="fr-FR"/>
        </w:rPr>
        <w:t>c</w:t>
      </w:r>
      <w:r w:rsidRPr="00C30976">
        <w:rPr>
          <w:lang w:eastAsia="fr-FR" w:bidi="fr-FR"/>
        </w:rPr>
        <w:t xml:space="preserve">tion permanente avec l’Exécutif. Plus qu’une </w:t>
      </w:r>
      <w:r w:rsidRPr="00C30976">
        <w:t>« </w:t>
      </w:r>
      <w:r w:rsidRPr="00C30976">
        <w:rPr>
          <w:lang w:eastAsia="fr-FR" w:bidi="fr-FR"/>
        </w:rPr>
        <w:t>incitation à la concu</w:t>
      </w:r>
      <w:r w:rsidRPr="00C30976">
        <w:rPr>
          <w:lang w:eastAsia="fr-FR" w:bidi="fr-FR"/>
        </w:rPr>
        <w:t>r</w:t>
      </w:r>
      <w:r w:rsidRPr="00C30976">
        <w:rPr>
          <w:lang w:eastAsia="fr-FR" w:bidi="fr-FR"/>
        </w:rPr>
        <w:t>rence entre institutions pour l’obtention du privilège de diriger la pol</w:t>
      </w:r>
      <w:r w:rsidRPr="00C30976">
        <w:rPr>
          <w:lang w:eastAsia="fr-FR" w:bidi="fr-FR"/>
        </w:rPr>
        <w:t>i</w:t>
      </w:r>
      <w:r w:rsidRPr="00C30976">
        <w:rPr>
          <w:lang w:eastAsia="fr-FR" w:bidi="fr-FR"/>
        </w:rPr>
        <w:t>tique étrangère</w:t>
      </w:r>
      <w:r>
        <w:rPr>
          <w:lang w:eastAsia="fr-FR" w:bidi="fr-FR"/>
        </w:rPr>
        <w:t> </w:t>
      </w:r>
      <w:r>
        <w:rPr>
          <w:rStyle w:val="Appelnotedebasdep"/>
          <w:lang w:eastAsia="fr-FR" w:bidi="fr-FR"/>
        </w:rPr>
        <w:footnoteReference w:id="499"/>
      </w:r>
      <w:r w:rsidRPr="00C30976">
        <w:t> »</w:t>
      </w:r>
      <w:r w:rsidRPr="00C30976">
        <w:rPr>
          <w:lang w:eastAsia="fr-FR" w:bidi="fr-FR"/>
        </w:rPr>
        <w:t>, le dispositif institutionnel américain appelle les deux branches à tenter de coopérer, d’atteindre des compromis, pour exercer un pouvoir partagé.</w:t>
      </w:r>
    </w:p>
    <w:p w14:paraId="2C7BAC30" w14:textId="77777777" w:rsidR="0039793A" w:rsidRDefault="0039793A" w:rsidP="0039793A">
      <w:pPr>
        <w:spacing w:before="120" w:after="120"/>
        <w:jc w:val="both"/>
        <w:rPr>
          <w:lang w:eastAsia="fr-FR" w:bidi="fr-FR"/>
        </w:rPr>
      </w:pPr>
      <w:r>
        <w:rPr>
          <w:lang w:eastAsia="fr-FR" w:bidi="fr-FR"/>
        </w:rPr>
        <w:br w:type="page"/>
      </w:r>
    </w:p>
    <w:p w14:paraId="1F8979F1" w14:textId="77777777" w:rsidR="0039793A" w:rsidRPr="00775577" w:rsidRDefault="0039793A" w:rsidP="0039793A">
      <w:pPr>
        <w:pStyle w:val="planche"/>
      </w:pPr>
      <w:bookmarkStart w:id="34" w:name="Pol_EU_pt_3_chap_08_1"/>
      <w:r w:rsidRPr="00775577">
        <w:rPr>
          <w:lang w:eastAsia="fr-FR" w:bidi="fr-FR"/>
        </w:rPr>
        <w:t>Les pouvoirs du Congrès</w:t>
      </w:r>
    </w:p>
    <w:bookmarkEnd w:id="34"/>
    <w:p w14:paraId="7817D77B" w14:textId="77777777" w:rsidR="0039793A" w:rsidRDefault="0039793A" w:rsidP="0039793A">
      <w:pPr>
        <w:spacing w:before="120" w:after="120"/>
        <w:jc w:val="both"/>
        <w:rPr>
          <w:lang w:eastAsia="fr-FR" w:bidi="fr-FR"/>
        </w:rPr>
      </w:pPr>
    </w:p>
    <w:p w14:paraId="45B28E15"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6E0193F8" w14:textId="77777777" w:rsidR="0039793A" w:rsidRPr="00C30976" w:rsidRDefault="0039793A" w:rsidP="0039793A">
      <w:pPr>
        <w:spacing w:before="120" w:after="120"/>
        <w:jc w:val="both"/>
      </w:pPr>
      <w:r w:rsidRPr="00C30976">
        <w:rPr>
          <w:lang w:eastAsia="fr-FR" w:bidi="fr-FR"/>
        </w:rPr>
        <w:t>Il importe de voir au-delà des variations histor</w:t>
      </w:r>
      <w:r w:rsidRPr="00C30976">
        <w:rPr>
          <w:lang w:eastAsia="fr-FR" w:bidi="fr-FR"/>
        </w:rPr>
        <w:t>i</w:t>
      </w:r>
      <w:r w:rsidRPr="00C30976">
        <w:rPr>
          <w:lang w:eastAsia="fr-FR" w:bidi="fr-FR"/>
        </w:rPr>
        <w:t>ques de l’importance et du rôle du Congrès, ses pouvoirs qu’</w:t>
      </w:r>
      <w:r>
        <w:rPr>
          <w:lang w:eastAsia="fr-FR" w:bidi="fr-FR"/>
        </w:rPr>
        <w:t>on peut qua</w:t>
      </w:r>
      <w:r w:rsidRPr="00C30976">
        <w:rPr>
          <w:lang w:eastAsia="fr-FR" w:bidi="fr-FR"/>
        </w:rPr>
        <w:t>lifter</w:t>
      </w:r>
      <w:r>
        <w:t xml:space="preserve"> [250]</w:t>
      </w:r>
      <w:r w:rsidRPr="00C30976">
        <w:rPr>
          <w:lang w:eastAsia="fr-FR" w:bidi="fr-FR"/>
        </w:rPr>
        <w:t xml:space="preserve"> d’invisibles, qui permettent d’apprécier à leur juste v</w:t>
      </w:r>
      <w:r w:rsidRPr="00C30976">
        <w:rPr>
          <w:lang w:eastAsia="fr-FR" w:bidi="fr-FR"/>
        </w:rPr>
        <w:t>a</w:t>
      </w:r>
      <w:r w:rsidRPr="00C30976">
        <w:rPr>
          <w:lang w:eastAsia="fr-FR" w:bidi="fr-FR"/>
        </w:rPr>
        <w:t>leur ses pouvoirs constitutionnels et législatifs, non sans préciser les cond</w:t>
      </w:r>
      <w:r w:rsidRPr="00C30976">
        <w:rPr>
          <w:lang w:eastAsia="fr-FR" w:bidi="fr-FR"/>
        </w:rPr>
        <w:t>i</w:t>
      </w:r>
      <w:r w:rsidRPr="00C30976">
        <w:rPr>
          <w:lang w:eastAsia="fr-FR" w:bidi="fr-FR"/>
        </w:rPr>
        <w:t>tions pratiques dans lesquelles il exerce ces pouvoirs, qui repr</w:t>
      </w:r>
      <w:r w:rsidRPr="00C30976">
        <w:rPr>
          <w:lang w:eastAsia="fr-FR" w:bidi="fr-FR"/>
        </w:rPr>
        <w:t>é</w:t>
      </w:r>
      <w:r w:rsidRPr="00C30976">
        <w:rPr>
          <w:lang w:eastAsia="fr-FR" w:bidi="fr-FR"/>
        </w:rPr>
        <w:t>sentent un facteur déterminant pour comprendre son rôle en politique étrang</w:t>
      </w:r>
      <w:r w:rsidRPr="00C30976">
        <w:rPr>
          <w:lang w:eastAsia="fr-FR" w:bidi="fr-FR"/>
        </w:rPr>
        <w:t>è</w:t>
      </w:r>
      <w:r w:rsidRPr="00C30976">
        <w:rPr>
          <w:lang w:eastAsia="fr-FR" w:bidi="fr-FR"/>
        </w:rPr>
        <w:t>re.</w:t>
      </w:r>
    </w:p>
    <w:p w14:paraId="4D9670DA" w14:textId="77777777" w:rsidR="0039793A" w:rsidRDefault="0039793A" w:rsidP="0039793A">
      <w:pPr>
        <w:spacing w:before="120" w:after="120"/>
        <w:jc w:val="both"/>
        <w:rPr>
          <w:lang w:eastAsia="fr-FR" w:bidi="fr-FR"/>
        </w:rPr>
      </w:pPr>
    </w:p>
    <w:p w14:paraId="1F743A6E" w14:textId="77777777" w:rsidR="0039793A" w:rsidRPr="00C30976" w:rsidRDefault="0039793A" w:rsidP="0039793A">
      <w:pPr>
        <w:pStyle w:val="a"/>
      </w:pPr>
      <w:r w:rsidRPr="00C30976">
        <w:t>Les variations historiques des pouvoirs</w:t>
      </w:r>
      <w:r>
        <w:br/>
      </w:r>
      <w:r w:rsidRPr="00C30976">
        <w:t>du Congrès</w:t>
      </w:r>
    </w:p>
    <w:p w14:paraId="48F262A1" w14:textId="77777777" w:rsidR="0039793A" w:rsidRDefault="0039793A" w:rsidP="0039793A">
      <w:pPr>
        <w:spacing w:before="120" w:after="120"/>
        <w:jc w:val="both"/>
        <w:rPr>
          <w:lang w:eastAsia="fr-FR" w:bidi="fr-FR"/>
        </w:rPr>
      </w:pPr>
    </w:p>
    <w:p w14:paraId="15BE9E12" w14:textId="77777777" w:rsidR="0039793A" w:rsidRPr="00C30976" w:rsidRDefault="0039793A" w:rsidP="0039793A">
      <w:pPr>
        <w:spacing w:before="120" w:after="120"/>
        <w:jc w:val="both"/>
      </w:pPr>
      <w:r w:rsidRPr="00C30976">
        <w:rPr>
          <w:lang w:eastAsia="fr-FR" w:bidi="fr-FR"/>
        </w:rPr>
        <w:t>Historiquement, il existe une corrélation cycl</w:t>
      </w:r>
      <w:r w:rsidRPr="00C30976">
        <w:rPr>
          <w:lang w:eastAsia="fr-FR" w:bidi="fr-FR"/>
        </w:rPr>
        <w:t>i</w:t>
      </w:r>
      <w:r w:rsidRPr="00C30976">
        <w:rPr>
          <w:lang w:eastAsia="fr-FR" w:bidi="fr-FR"/>
        </w:rPr>
        <w:t>que entre l’évolution de la politique étrangère am</w:t>
      </w:r>
      <w:r w:rsidRPr="00C30976">
        <w:rPr>
          <w:lang w:eastAsia="fr-FR" w:bidi="fr-FR"/>
        </w:rPr>
        <w:t>é</w:t>
      </w:r>
      <w:r w:rsidRPr="00C30976">
        <w:rPr>
          <w:lang w:eastAsia="fr-FR" w:bidi="fr-FR"/>
        </w:rPr>
        <w:t>ricaine et le rôle qu’y joue le Congrès. Ainsi, les phases d’extraversion de l’Amérique ont toujours corre</w:t>
      </w:r>
      <w:r w:rsidRPr="00C30976">
        <w:rPr>
          <w:lang w:eastAsia="fr-FR" w:bidi="fr-FR"/>
        </w:rPr>
        <w:t>s</w:t>
      </w:r>
      <w:r w:rsidRPr="00C30976">
        <w:rPr>
          <w:lang w:eastAsia="fr-FR" w:bidi="fr-FR"/>
        </w:rPr>
        <w:t>pondu à une affirmation de l’Exécutif, et ce</w:t>
      </w:r>
      <w:r w:rsidRPr="00C30976">
        <w:rPr>
          <w:lang w:eastAsia="fr-FR" w:bidi="fr-FR"/>
        </w:rPr>
        <w:t>l</w:t>
      </w:r>
      <w:r w:rsidRPr="00C30976">
        <w:rPr>
          <w:lang w:eastAsia="fr-FR" w:bidi="fr-FR"/>
        </w:rPr>
        <w:t>les d’introversion à un regain d’influence du Lég</w:t>
      </w:r>
      <w:r w:rsidRPr="00C30976">
        <w:rPr>
          <w:lang w:eastAsia="fr-FR" w:bidi="fr-FR"/>
        </w:rPr>
        <w:t>i</w:t>
      </w:r>
      <w:r w:rsidRPr="00C30976">
        <w:rPr>
          <w:lang w:eastAsia="fr-FR" w:bidi="fr-FR"/>
        </w:rPr>
        <w:t>slatif</w:t>
      </w:r>
      <w:r>
        <w:rPr>
          <w:lang w:eastAsia="fr-FR" w:bidi="fr-FR"/>
        </w:rPr>
        <w:t> </w:t>
      </w:r>
      <w:r>
        <w:rPr>
          <w:rStyle w:val="Appelnotedebasdep"/>
          <w:lang w:eastAsia="fr-FR" w:bidi="fr-FR"/>
        </w:rPr>
        <w:footnoteReference w:id="500"/>
      </w:r>
      <w:r>
        <w:rPr>
          <w:lang w:eastAsia="fr-FR" w:bidi="fr-FR"/>
        </w:rPr>
        <w:t>.</w:t>
      </w:r>
    </w:p>
    <w:p w14:paraId="4CC2DB60" w14:textId="77777777" w:rsidR="0039793A" w:rsidRDefault="0039793A" w:rsidP="0039793A">
      <w:pPr>
        <w:spacing w:before="120" w:after="120"/>
        <w:jc w:val="both"/>
        <w:rPr>
          <w:lang w:eastAsia="fr-FR" w:bidi="fr-FR"/>
        </w:rPr>
      </w:pPr>
    </w:p>
    <w:p w14:paraId="6A66CC9C" w14:textId="77777777" w:rsidR="0039793A" w:rsidRPr="00775577" w:rsidRDefault="0039793A" w:rsidP="0039793A">
      <w:pPr>
        <w:pStyle w:val="b"/>
      </w:pPr>
      <w:r w:rsidRPr="00775577">
        <w:rPr>
          <w:lang w:eastAsia="fr-FR" w:bidi="fr-FR"/>
        </w:rPr>
        <w:t>Des variations à long terme</w:t>
      </w:r>
    </w:p>
    <w:p w14:paraId="04C47B9B" w14:textId="77777777" w:rsidR="0039793A" w:rsidRDefault="0039793A" w:rsidP="0039793A">
      <w:pPr>
        <w:spacing w:before="120" w:after="120"/>
        <w:jc w:val="both"/>
        <w:rPr>
          <w:lang w:eastAsia="fr-FR" w:bidi="fr-FR"/>
        </w:rPr>
      </w:pPr>
    </w:p>
    <w:p w14:paraId="00C69140" w14:textId="77777777" w:rsidR="0039793A" w:rsidRPr="00C30976" w:rsidRDefault="0039793A" w:rsidP="0039793A">
      <w:pPr>
        <w:spacing w:before="120" w:after="120"/>
        <w:jc w:val="both"/>
      </w:pPr>
      <w:r w:rsidRPr="00C30976">
        <w:rPr>
          <w:lang w:eastAsia="fr-FR" w:bidi="fr-FR"/>
        </w:rPr>
        <w:t>Après la guerre de Sécession (1860-1865) qui a vu Abraham Li</w:t>
      </w:r>
      <w:r w:rsidRPr="00C30976">
        <w:rPr>
          <w:lang w:eastAsia="fr-FR" w:bidi="fr-FR"/>
        </w:rPr>
        <w:t>n</w:t>
      </w:r>
      <w:r w:rsidRPr="00C30976">
        <w:rPr>
          <w:lang w:eastAsia="fr-FR" w:bidi="fr-FR"/>
        </w:rPr>
        <w:t>coln se saisir de tous les leviers de commande de la politique étrang</w:t>
      </w:r>
      <w:r w:rsidRPr="00C30976">
        <w:rPr>
          <w:lang w:eastAsia="fr-FR" w:bidi="fr-FR"/>
        </w:rPr>
        <w:t>è</w:t>
      </w:r>
      <w:r w:rsidRPr="00C30976">
        <w:rPr>
          <w:lang w:eastAsia="fr-FR" w:bidi="fr-FR"/>
        </w:rPr>
        <w:t>re de l’Union, le Congrès réaffirme ses prérogatives pendant une tre</w:t>
      </w:r>
      <w:r w:rsidRPr="00C30976">
        <w:rPr>
          <w:lang w:eastAsia="fr-FR" w:bidi="fr-FR"/>
        </w:rPr>
        <w:t>n</w:t>
      </w:r>
      <w:r w:rsidRPr="00C30976">
        <w:rPr>
          <w:lang w:eastAsia="fr-FR" w:bidi="fr-FR"/>
        </w:rPr>
        <w:t>taine d’années, lors d’une phase de faible act</w:t>
      </w:r>
      <w:r w:rsidRPr="00C30976">
        <w:rPr>
          <w:lang w:eastAsia="fr-FR" w:bidi="fr-FR"/>
        </w:rPr>
        <w:t>i</w:t>
      </w:r>
      <w:r w:rsidRPr="00C30976">
        <w:rPr>
          <w:lang w:eastAsia="fr-FR" w:bidi="fr-FR"/>
        </w:rPr>
        <w:t>vité extérieure des États-Unis, et ce jusqu’à la période impérialiste de 1898-1920 durant laque</w:t>
      </w:r>
      <w:r w:rsidRPr="00C30976">
        <w:rPr>
          <w:lang w:eastAsia="fr-FR" w:bidi="fr-FR"/>
        </w:rPr>
        <w:t>l</w:t>
      </w:r>
      <w:r w:rsidRPr="00C30976">
        <w:rPr>
          <w:lang w:eastAsia="fr-FR" w:bidi="fr-FR"/>
        </w:rPr>
        <w:t>le, à la suite de Théodore Roosevelt, les présidents r</w:t>
      </w:r>
      <w:r w:rsidRPr="00C30976">
        <w:rPr>
          <w:lang w:eastAsia="fr-FR" w:bidi="fr-FR"/>
        </w:rPr>
        <w:t>e</w:t>
      </w:r>
      <w:r w:rsidRPr="00C30976">
        <w:rPr>
          <w:lang w:eastAsia="fr-FR" w:bidi="fr-FR"/>
        </w:rPr>
        <w:t xml:space="preserve">prennent l’initiative. Du moins jusqu’à ce que Woodrow Wilson ne la perde en 1919-1920, avec l’échec de la ratification du traité de Versailles et de l’entrée des États-Unis dans la </w:t>
      </w:r>
      <w:r w:rsidRPr="00C30976">
        <w:t>SDN</w:t>
      </w:r>
      <w:r>
        <w:rPr>
          <w:lang w:eastAsia="fr-FR" w:bidi="fr-FR"/>
        </w:rPr>
        <w:t> </w:t>
      </w:r>
      <w:r>
        <w:rPr>
          <w:rStyle w:val="Appelnotedebasdep"/>
          <w:lang w:eastAsia="fr-FR" w:bidi="fr-FR"/>
        </w:rPr>
        <w:footnoteReference w:id="501"/>
      </w:r>
      <w:r w:rsidRPr="00C30976">
        <w:rPr>
          <w:lang w:eastAsia="fr-FR" w:bidi="fr-FR"/>
        </w:rPr>
        <w:t>. La phase isolationniste de l’entre-deux-guerres correspond à nouveau à une reprise en main des affaires étrang</w:t>
      </w:r>
      <w:r w:rsidRPr="00C30976">
        <w:rPr>
          <w:lang w:eastAsia="fr-FR" w:bidi="fr-FR"/>
        </w:rPr>
        <w:t>è</w:t>
      </w:r>
      <w:r w:rsidRPr="00C30976">
        <w:rPr>
          <w:lang w:eastAsia="fr-FR" w:bidi="fr-FR"/>
        </w:rPr>
        <w:t>res par les deux Chambres (restrictions à l’immigration, tarifs protectionnistes, lois de ne</w:t>
      </w:r>
      <w:r w:rsidRPr="00C30976">
        <w:rPr>
          <w:lang w:eastAsia="fr-FR" w:bidi="fr-FR"/>
        </w:rPr>
        <w:t>u</w:t>
      </w:r>
      <w:r w:rsidRPr="00C30976">
        <w:rPr>
          <w:lang w:eastAsia="fr-FR" w:bidi="fr-FR"/>
        </w:rPr>
        <w:t>tralité, etc.).</w:t>
      </w:r>
    </w:p>
    <w:p w14:paraId="5CBEF09B" w14:textId="77777777" w:rsidR="0039793A" w:rsidRPr="00C30976" w:rsidRDefault="0039793A" w:rsidP="0039793A">
      <w:pPr>
        <w:spacing w:before="120" w:after="120"/>
        <w:jc w:val="both"/>
      </w:pPr>
      <w:r w:rsidRPr="00C30976">
        <w:rPr>
          <w:lang w:eastAsia="fr-FR" w:bidi="fr-FR"/>
        </w:rPr>
        <w:t>Il y a un retournement de situation à partir de 1941, du fait de l’entrée en guerre</w:t>
      </w:r>
      <w:r w:rsidRPr="00C30976">
        <w:t> :</w:t>
      </w:r>
      <w:r w:rsidRPr="00C30976">
        <w:rPr>
          <w:lang w:eastAsia="fr-FR" w:bidi="fr-FR"/>
        </w:rPr>
        <w:t xml:space="preserve"> le nouvel inte</w:t>
      </w:r>
      <w:r w:rsidRPr="00C30976">
        <w:rPr>
          <w:lang w:eastAsia="fr-FR" w:bidi="fr-FR"/>
        </w:rPr>
        <w:t>r</w:t>
      </w:r>
      <w:r w:rsidRPr="00C30976">
        <w:rPr>
          <w:lang w:eastAsia="fr-FR" w:bidi="fr-FR"/>
        </w:rPr>
        <w:t xml:space="preserve">nationalisme américain s’appuie sur l’ascension d’une </w:t>
      </w:r>
      <w:r w:rsidRPr="00C30976">
        <w:t>« </w:t>
      </w:r>
      <w:r w:rsidRPr="00C30976">
        <w:rPr>
          <w:lang w:eastAsia="fr-FR" w:bidi="fr-FR"/>
        </w:rPr>
        <w:t>présidence impériale</w:t>
      </w:r>
      <w:r>
        <w:rPr>
          <w:lang w:eastAsia="fr-FR" w:bidi="fr-FR"/>
        </w:rPr>
        <w:t> </w:t>
      </w:r>
      <w:r>
        <w:rPr>
          <w:rStyle w:val="Appelnotedebasdep"/>
          <w:lang w:eastAsia="fr-FR" w:bidi="fr-FR"/>
        </w:rPr>
        <w:footnoteReference w:id="502"/>
      </w:r>
      <w:r w:rsidRPr="00C30976">
        <w:t> »</w:t>
      </w:r>
      <w:r w:rsidRPr="00C30976">
        <w:rPr>
          <w:lang w:eastAsia="fr-FR" w:bidi="fr-FR"/>
        </w:rPr>
        <w:t xml:space="preserve"> dont l’appareil burea</w:t>
      </w:r>
      <w:r w:rsidRPr="00C30976">
        <w:rPr>
          <w:lang w:eastAsia="fr-FR" w:bidi="fr-FR"/>
        </w:rPr>
        <w:t>u</w:t>
      </w:r>
      <w:r w:rsidRPr="00C30976">
        <w:rPr>
          <w:lang w:eastAsia="fr-FR" w:bidi="fr-FR"/>
        </w:rPr>
        <w:t>cratique et la latitude d’action croissent très rapidement - guerre froide oblige — et devant l</w:t>
      </w:r>
      <w:r w:rsidRPr="00C30976">
        <w:rPr>
          <w:lang w:eastAsia="fr-FR" w:bidi="fr-FR"/>
        </w:rPr>
        <w:t>a</w:t>
      </w:r>
      <w:r w:rsidRPr="00C30976">
        <w:rPr>
          <w:lang w:eastAsia="fr-FR" w:bidi="fr-FR"/>
        </w:rPr>
        <w:t>quelle le</w:t>
      </w:r>
      <w:r>
        <w:t xml:space="preserve"> [251] </w:t>
      </w:r>
      <w:r w:rsidRPr="00C30976">
        <w:rPr>
          <w:lang w:eastAsia="fr-FR" w:bidi="fr-FR"/>
        </w:rPr>
        <w:t>Congrès s’efface en partie, dans une attitude d</w:t>
      </w:r>
      <w:r w:rsidRPr="00C30976">
        <w:rPr>
          <w:lang w:eastAsia="fr-FR" w:bidi="fr-FR"/>
        </w:rPr>
        <w:t>é</w:t>
      </w:r>
      <w:r w:rsidRPr="00C30976">
        <w:rPr>
          <w:lang w:eastAsia="fr-FR" w:bidi="fr-FR"/>
        </w:rPr>
        <w:t>férente qui s’exprime par le consensus bipartisan</w:t>
      </w:r>
      <w:r>
        <w:rPr>
          <w:lang w:eastAsia="fr-FR" w:bidi="fr-FR"/>
        </w:rPr>
        <w:t> </w:t>
      </w:r>
      <w:r>
        <w:rPr>
          <w:rStyle w:val="Appelnotedebasdep"/>
          <w:lang w:eastAsia="fr-FR" w:bidi="fr-FR"/>
        </w:rPr>
        <w:footnoteReference w:id="503"/>
      </w:r>
      <w:r w:rsidRPr="00C30976">
        <w:rPr>
          <w:lang w:eastAsia="fr-FR" w:bidi="fr-FR"/>
        </w:rPr>
        <w:t xml:space="preserve"> sur les sujets de politique étrangère </w:t>
      </w:r>
      <w:r w:rsidRPr="00C30976">
        <w:t>(</w:t>
      </w:r>
      <w:r w:rsidRPr="00893D5C">
        <w:rPr>
          <w:i/>
          <w:iCs/>
        </w:rPr>
        <w:t>politics stops at the water’s edge</w:t>
      </w:r>
      <w:r>
        <w:rPr>
          <w:lang w:eastAsia="fr-FR" w:bidi="fr-FR"/>
        </w:rPr>
        <w:t> </w:t>
      </w:r>
      <w:r>
        <w:rPr>
          <w:rStyle w:val="Appelnotedebasdep"/>
          <w:lang w:eastAsia="fr-FR" w:bidi="fr-FR"/>
        </w:rPr>
        <w:footnoteReference w:id="504"/>
      </w:r>
      <w:r w:rsidRPr="00C30976">
        <w:rPr>
          <w:lang w:eastAsia="fr-FR" w:bidi="fr-FR"/>
        </w:rPr>
        <w:t>).</w:t>
      </w:r>
    </w:p>
    <w:p w14:paraId="24215888" w14:textId="77777777" w:rsidR="0039793A" w:rsidRPr="00C30976" w:rsidRDefault="0039793A" w:rsidP="0039793A">
      <w:pPr>
        <w:spacing w:before="120" w:after="120"/>
        <w:jc w:val="both"/>
      </w:pPr>
      <w:r w:rsidRPr="00C30976">
        <w:rPr>
          <w:lang w:eastAsia="fr-FR" w:bidi="fr-FR"/>
        </w:rPr>
        <w:t xml:space="preserve">Le retour de l’Amérique à l’introversion, suite à la rupture du consensus sur la guerre du Vietnam à la fin des années I960, s’accompagne cette fois de ce que certains ont caractérisé, non sans exagération, comme l’ascension d’un </w:t>
      </w:r>
      <w:r w:rsidRPr="00C30976">
        <w:t>« </w:t>
      </w:r>
      <w:r w:rsidRPr="00C30976">
        <w:rPr>
          <w:lang w:eastAsia="fr-FR" w:bidi="fr-FR"/>
        </w:rPr>
        <w:t>Congrès impérial</w:t>
      </w:r>
      <w:r w:rsidRPr="00C30976">
        <w:t> »</w:t>
      </w:r>
      <w:r>
        <w:rPr>
          <w:lang w:eastAsia="fr-FR" w:bidi="fr-FR"/>
        </w:rPr>
        <w:t> </w:t>
      </w:r>
      <w:r>
        <w:rPr>
          <w:rStyle w:val="Appelnotedebasdep"/>
          <w:lang w:eastAsia="fr-FR" w:bidi="fr-FR"/>
        </w:rPr>
        <w:footnoteReference w:id="505"/>
      </w:r>
      <w:r w:rsidRPr="00C30976">
        <w:t> :</w:t>
      </w:r>
      <w:r w:rsidRPr="00C30976">
        <w:rPr>
          <w:lang w:eastAsia="fr-FR" w:bidi="fr-FR"/>
        </w:rPr>
        <w:t xml:space="preserve"> le L</w:t>
      </w:r>
      <w:r w:rsidRPr="00C30976">
        <w:rPr>
          <w:lang w:eastAsia="fr-FR" w:bidi="fr-FR"/>
        </w:rPr>
        <w:t>é</w:t>
      </w:r>
      <w:r w:rsidRPr="00C30976">
        <w:rPr>
          <w:lang w:eastAsia="fr-FR" w:bidi="fr-FR"/>
        </w:rPr>
        <w:t>gislatif regagne une part du terrain abandonné au profit de la prés</w:t>
      </w:r>
      <w:r w:rsidRPr="00C30976">
        <w:rPr>
          <w:lang w:eastAsia="fr-FR" w:bidi="fr-FR"/>
        </w:rPr>
        <w:t>i</w:t>
      </w:r>
      <w:r w:rsidRPr="00C30976">
        <w:rPr>
          <w:lang w:eastAsia="fr-FR" w:bidi="fr-FR"/>
        </w:rPr>
        <w:t>dence en augmentant sa surveillance de l’Exécutif et ses champs d’intervention et de réglementation. À titre d’exemple, il abroge sy</w:t>
      </w:r>
      <w:r w:rsidRPr="00C30976">
        <w:rPr>
          <w:lang w:eastAsia="fr-FR" w:bidi="fr-FR"/>
        </w:rPr>
        <w:t>m</w:t>
      </w:r>
      <w:r w:rsidRPr="00C30976">
        <w:rPr>
          <w:lang w:eastAsia="fr-FR" w:bidi="fr-FR"/>
        </w:rPr>
        <w:t>boliquement la résolution du golfe du Tonkin, votée en 1964, qui donnait ca</w:t>
      </w:r>
      <w:r w:rsidRPr="00C30976">
        <w:rPr>
          <w:lang w:eastAsia="fr-FR" w:bidi="fr-FR"/>
        </w:rPr>
        <w:t>r</w:t>
      </w:r>
      <w:r w:rsidRPr="00C30976">
        <w:rPr>
          <w:lang w:eastAsia="fr-FR" w:bidi="fr-FR"/>
        </w:rPr>
        <w:t>te blanche à l’Exécutif pour mener la guerre au Vietnam. Il vote la loi Case-Zablocki, qui force le président à informer le Congrès de tout accord ex</w:t>
      </w:r>
      <w:r w:rsidRPr="00C30976">
        <w:rPr>
          <w:lang w:eastAsia="fr-FR" w:bidi="fr-FR"/>
        </w:rPr>
        <w:t>é</w:t>
      </w:r>
      <w:r w:rsidRPr="00C30976">
        <w:rPr>
          <w:lang w:eastAsia="fr-FR" w:bidi="fr-FR"/>
        </w:rPr>
        <w:t>cutif conclu avec un pays étranger, en 1972. Il adopte la loi sur les pouvoirs de guerre en outrepassant un veto de R</w:t>
      </w:r>
      <w:r w:rsidRPr="00C30976">
        <w:rPr>
          <w:lang w:eastAsia="fr-FR" w:bidi="fr-FR"/>
        </w:rPr>
        <w:t>i</w:t>
      </w:r>
      <w:r w:rsidRPr="00C30976">
        <w:rPr>
          <w:lang w:eastAsia="fr-FR" w:bidi="fr-FR"/>
        </w:rPr>
        <w:t>chard Nixon par un vote des 2/3 en 1973. Il se donne les moyens de contrôler et de restreindre la liberté de l’Exécutif en matière de re</w:t>
      </w:r>
      <w:r w:rsidRPr="00C30976">
        <w:rPr>
          <w:lang w:eastAsia="fr-FR" w:bidi="fr-FR"/>
        </w:rPr>
        <w:t>n</w:t>
      </w:r>
      <w:r w:rsidRPr="00C30976">
        <w:rPr>
          <w:lang w:eastAsia="fr-FR" w:bidi="fr-FR"/>
        </w:rPr>
        <w:t>seignement et d’action secrète et d’exportations d’armes. Il multiplie ses demandes de rapports sur les activités de l’Exécutif. De surcroît, le Congrès ne se contente plus de fixer de vagues paramètres d’action pour l’Exécutif, il en vient à définir de manière substantielle la polit</w:t>
      </w:r>
      <w:r w:rsidRPr="00C30976">
        <w:rPr>
          <w:lang w:eastAsia="fr-FR" w:bidi="fr-FR"/>
        </w:rPr>
        <w:t>i</w:t>
      </w:r>
      <w:r w:rsidRPr="00C30976">
        <w:rPr>
          <w:lang w:eastAsia="fr-FR" w:bidi="fr-FR"/>
        </w:rPr>
        <w:t>que étrangère américaine. Pour cela, il augmente ses capacités b</w:t>
      </w:r>
      <w:r w:rsidRPr="00C30976">
        <w:rPr>
          <w:lang w:eastAsia="fr-FR" w:bidi="fr-FR"/>
        </w:rPr>
        <w:t>u</w:t>
      </w:r>
      <w:r w:rsidRPr="00C30976">
        <w:rPr>
          <w:lang w:eastAsia="fr-FR" w:bidi="fr-FR"/>
        </w:rPr>
        <w:t>reaucratiques à prendre en charge des dossiers internationaux co</w:t>
      </w:r>
      <w:r w:rsidRPr="00C30976">
        <w:rPr>
          <w:lang w:eastAsia="fr-FR" w:bidi="fr-FR"/>
        </w:rPr>
        <w:t>m</w:t>
      </w:r>
      <w:r w:rsidRPr="00C30976">
        <w:rPr>
          <w:lang w:eastAsia="fr-FR" w:bidi="fr-FR"/>
        </w:rPr>
        <w:t xml:space="preserve">plexes, puisque son absence d’expertise conférait un avantage certain à l’Exécutif. Ainsi, le </w:t>
      </w:r>
      <w:r w:rsidRPr="00893D5C">
        <w:rPr>
          <w:i/>
          <w:iCs/>
        </w:rPr>
        <w:t>General Accounting Office</w:t>
      </w:r>
      <w:r w:rsidRPr="00C30976">
        <w:rPr>
          <w:lang w:eastAsia="fr-FR" w:bidi="fr-FR"/>
        </w:rPr>
        <w:t xml:space="preserve"> (évaluation des pr</w:t>
      </w:r>
      <w:r w:rsidRPr="00C30976">
        <w:rPr>
          <w:lang w:eastAsia="fr-FR" w:bidi="fr-FR"/>
        </w:rPr>
        <w:t>o</w:t>
      </w:r>
      <w:r>
        <w:rPr>
          <w:lang w:eastAsia="fr-FR" w:bidi="fr-FR"/>
        </w:rPr>
        <w:t>grammes du rapport coût/</w:t>
      </w:r>
      <w:r w:rsidRPr="00C30976">
        <w:rPr>
          <w:lang w:eastAsia="fr-FR" w:bidi="fr-FR"/>
        </w:rPr>
        <w:t xml:space="preserve">avantage de chaque décision), le </w:t>
      </w:r>
      <w:r w:rsidRPr="00893D5C">
        <w:rPr>
          <w:i/>
          <w:iCs/>
        </w:rPr>
        <w:t>Congre</w:t>
      </w:r>
      <w:r w:rsidRPr="00893D5C">
        <w:rPr>
          <w:i/>
          <w:iCs/>
        </w:rPr>
        <w:t>s</w:t>
      </w:r>
      <w:r w:rsidRPr="00893D5C">
        <w:rPr>
          <w:i/>
          <w:iCs/>
        </w:rPr>
        <w:t>sional Budget Office</w:t>
      </w:r>
      <w:r w:rsidRPr="00C30976">
        <w:rPr>
          <w:lang w:eastAsia="fr-FR" w:bidi="fr-FR"/>
        </w:rPr>
        <w:t xml:space="preserve"> (</w:t>
      </w:r>
      <w:r>
        <w:rPr>
          <w:lang w:eastAsia="fr-FR" w:bidi="fr-FR"/>
        </w:rPr>
        <w:t>ana</w:t>
      </w:r>
      <w:r w:rsidRPr="00C30976">
        <w:rPr>
          <w:lang w:eastAsia="fr-FR" w:bidi="fr-FR"/>
        </w:rPr>
        <w:t>lyses</w:t>
      </w:r>
      <w:r>
        <w:t xml:space="preserve"> [252]</w:t>
      </w:r>
      <w:r w:rsidRPr="00C30976">
        <w:rPr>
          <w:lang w:eastAsia="fr-FR" w:bidi="fr-FR"/>
        </w:rPr>
        <w:t xml:space="preserve"> budgétaires</w:t>
      </w:r>
      <w:r w:rsidRPr="00C30976">
        <w:t> ;</w:t>
      </w:r>
      <w:r w:rsidRPr="00C30976">
        <w:rPr>
          <w:lang w:eastAsia="fr-FR" w:bidi="fr-FR"/>
        </w:rPr>
        <w:t xml:space="preserve"> macroéconomie) et le </w:t>
      </w:r>
      <w:r w:rsidRPr="00CE0830">
        <w:rPr>
          <w:i/>
          <w:iCs/>
        </w:rPr>
        <w:t>Congressional Research Service</w:t>
      </w:r>
      <w:r w:rsidRPr="00C30976">
        <w:rPr>
          <w:lang w:eastAsia="fr-FR" w:bidi="fr-FR"/>
        </w:rPr>
        <w:t xml:space="preserve"> (recherches jurid</w:t>
      </w:r>
      <w:r w:rsidRPr="00C30976">
        <w:rPr>
          <w:lang w:eastAsia="fr-FR" w:bidi="fr-FR"/>
        </w:rPr>
        <w:t>i</w:t>
      </w:r>
      <w:r w:rsidRPr="00C30976">
        <w:rPr>
          <w:lang w:eastAsia="fr-FR" w:bidi="fr-FR"/>
        </w:rPr>
        <w:t xml:space="preserve">ques, politiques, historiques, etc.), ainsi que </w:t>
      </w:r>
      <w:r>
        <w:t>l’</w:t>
      </w:r>
      <w:r w:rsidRPr="00CE0830">
        <w:rPr>
          <w:i/>
          <w:iCs/>
        </w:rPr>
        <w:t>Office of Technology Assessment</w:t>
      </w:r>
      <w:r>
        <w:rPr>
          <w:lang w:eastAsia="fr-FR" w:bidi="fr-FR"/>
        </w:rPr>
        <w:t> </w:t>
      </w:r>
      <w:r>
        <w:rPr>
          <w:rStyle w:val="Appelnotedebasdep"/>
          <w:lang w:eastAsia="fr-FR" w:bidi="fr-FR"/>
        </w:rPr>
        <w:footnoteReference w:id="506"/>
      </w:r>
      <w:r w:rsidRPr="00C30976">
        <w:rPr>
          <w:lang w:eastAsia="fr-FR" w:bidi="fr-FR"/>
        </w:rPr>
        <w:t xml:space="preserve"> voient leurs effe</w:t>
      </w:r>
      <w:r w:rsidRPr="00C30976">
        <w:rPr>
          <w:lang w:eastAsia="fr-FR" w:bidi="fr-FR"/>
        </w:rPr>
        <w:t>c</w:t>
      </w:r>
      <w:r w:rsidRPr="00C30976">
        <w:rPr>
          <w:lang w:eastAsia="fr-FR" w:bidi="fr-FR"/>
        </w:rPr>
        <w:t>tifs augmenter rapidement jusqu’à la fin de la guerre froide, où ils atteignent plus de 15 000 perso</w:t>
      </w:r>
      <w:r w:rsidRPr="00C30976">
        <w:rPr>
          <w:lang w:eastAsia="fr-FR" w:bidi="fr-FR"/>
        </w:rPr>
        <w:t>n</w:t>
      </w:r>
      <w:r w:rsidRPr="00C30976">
        <w:rPr>
          <w:lang w:eastAsia="fr-FR" w:bidi="fr-FR"/>
        </w:rPr>
        <w:t>nes.</w:t>
      </w:r>
    </w:p>
    <w:p w14:paraId="2E4E1FC4" w14:textId="77777777" w:rsidR="0039793A" w:rsidRPr="00C30976" w:rsidRDefault="0039793A" w:rsidP="0039793A">
      <w:pPr>
        <w:spacing w:before="120" w:after="120"/>
        <w:jc w:val="both"/>
      </w:pPr>
      <w:r w:rsidRPr="00C30976">
        <w:rPr>
          <w:lang w:eastAsia="fr-FR" w:bidi="fr-FR"/>
        </w:rPr>
        <w:t>Cette phase d’affirmation du Congrès se heurte cependant, pendant la dernière décennie de la guerre froide, aux présidences très intern</w:t>
      </w:r>
      <w:r w:rsidRPr="00C30976">
        <w:rPr>
          <w:lang w:eastAsia="fr-FR" w:bidi="fr-FR"/>
        </w:rPr>
        <w:t>a</w:t>
      </w:r>
      <w:r w:rsidRPr="00C30976">
        <w:rPr>
          <w:lang w:eastAsia="fr-FR" w:bidi="fr-FR"/>
        </w:rPr>
        <w:t>tionalistes et hamiltoniennes</w:t>
      </w:r>
      <w:r>
        <w:rPr>
          <w:lang w:eastAsia="fr-FR" w:bidi="fr-FR"/>
        </w:rPr>
        <w:t> </w:t>
      </w:r>
      <w:r>
        <w:rPr>
          <w:rStyle w:val="Appelnotedebasdep"/>
          <w:lang w:eastAsia="fr-FR" w:bidi="fr-FR"/>
        </w:rPr>
        <w:footnoteReference w:id="507"/>
      </w:r>
      <w:r w:rsidRPr="00C30976">
        <w:rPr>
          <w:lang w:eastAsia="fr-FR" w:bidi="fr-FR"/>
        </w:rPr>
        <w:t xml:space="preserve"> de Ronald Reagan et de George H. Bush. À bien des égards, cette collision des a</w:t>
      </w:r>
      <w:r w:rsidRPr="00C30976">
        <w:rPr>
          <w:lang w:eastAsia="fr-FR" w:bidi="fr-FR"/>
        </w:rPr>
        <w:t>n</w:t>
      </w:r>
      <w:r w:rsidRPr="00C30976">
        <w:rPr>
          <w:lang w:eastAsia="fr-FR" w:bidi="fr-FR"/>
        </w:rPr>
        <w:t>nées 1980 se poursuit après la guerre froide</w:t>
      </w:r>
      <w:r w:rsidRPr="00C30976">
        <w:t> :</w:t>
      </w:r>
      <w:r w:rsidRPr="00C30976">
        <w:rPr>
          <w:lang w:eastAsia="fr-FR" w:bidi="fr-FR"/>
        </w:rPr>
        <w:t xml:space="preserve"> à un Législatif qui continue d’affirmer ses pr</w:t>
      </w:r>
      <w:r w:rsidRPr="00C30976">
        <w:rPr>
          <w:lang w:eastAsia="fr-FR" w:bidi="fr-FR"/>
        </w:rPr>
        <w:t>é</w:t>
      </w:r>
      <w:r w:rsidRPr="00C30976">
        <w:rPr>
          <w:lang w:eastAsia="fr-FR" w:bidi="fr-FR"/>
        </w:rPr>
        <w:t>rogatives - surtout à partir de 1994, lorsqu’un Congrès faro</w:t>
      </w:r>
      <w:r w:rsidRPr="00C30976">
        <w:rPr>
          <w:lang w:eastAsia="fr-FR" w:bidi="fr-FR"/>
        </w:rPr>
        <w:t>u</w:t>
      </w:r>
      <w:r w:rsidRPr="00C30976">
        <w:rPr>
          <w:lang w:eastAsia="fr-FR" w:bidi="fr-FR"/>
        </w:rPr>
        <w:t>chement républ</w:t>
      </w:r>
      <w:r w:rsidRPr="00C30976">
        <w:rPr>
          <w:lang w:eastAsia="fr-FR" w:bidi="fr-FR"/>
        </w:rPr>
        <w:t>i</w:t>
      </w:r>
      <w:r w:rsidRPr="00C30976">
        <w:rPr>
          <w:lang w:eastAsia="fr-FR" w:bidi="fr-FR"/>
        </w:rPr>
        <w:t>cain s’oppose au président Clinton, un démocrate — répond un Ex</w:t>
      </w:r>
      <w:r w:rsidRPr="00C30976">
        <w:rPr>
          <w:lang w:eastAsia="fr-FR" w:bidi="fr-FR"/>
        </w:rPr>
        <w:t>é</w:t>
      </w:r>
      <w:r w:rsidRPr="00C30976">
        <w:rPr>
          <w:lang w:eastAsia="fr-FR" w:bidi="fr-FR"/>
        </w:rPr>
        <w:t>cutif qui entend bien assumer les responsabilités mondiales de l’Amérique et maintenir le cap de l’extraversion. Le résultat est une accentuation des disputes, par su</w:t>
      </w:r>
      <w:r w:rsidRPr="00C30976">
        <w:rPr>
          <w:lang w:eastAsia="fr-FR" w:bidi="fr-FR"/>
        </w:rPr>
        <w:t>r</w:t>
      </w:r>
      <w:r w:rsidRPr="00C30976">
        <w:rPr>
          <w:lang w:eastAsia="fr-FR" w:bidi="fr-FR"/>
        </w:rPr>
        <w:t>croît libérées de la relative retenue qu’imposait l’endiguement du communisme.</w:t>
      </w:r>
    </w:p>
    <w:p w14:paraId="06256B30" w14:textId="77777777" w:rsidR="0039793A" w:rsidRDefault="0039793A" w:rsidP="0039793A">
      <w:pPr>
        <w:spacing w:before="120" w:after="120"/>
        <w:jc w:val="both"/>
        <w:rPr>
          <w:lang w:eastAsia="fr-FR" w:bidi="fr-FR"/>
        </w:rPr>
      </w:pPr>
    </w:p>
    <w:p w14:paraId="648DC0C4" w14:textId="77777777" w:rsidR="0039793A" w:rsidRPr="00006049" w:rsidRDefault="0039793A" w:rsidP="0039793A">
      <w:pPr>
        <w:pStyle w:val="b"/>
      </w:pPr>
      <w:r w:rsidRPr="00006049">
        <w:rPr>
          <w:lang w:eastAsia="fr-FR" w:bidi="fr-FR"/>
        </w:rPr>
        <w:t>Des variations à court terme</w:t>
      </w:r>
    </w:p>
    <w:p w14:paraId="2D28FF1D" w14:textId="77777777" w:rsidR="0039793A" w:rsidRDefault="0039793A" w:rsidP="0039793A">
      <w:pPr>
        <w:spacing w:before="120" w:after="120"/>
        <w:jc w:val="both"/>
        <w:rPr>
          <w:lang w:eastAsia="fr-FR" w:bidi="fr-FR"/>
        </w:rPr>
      </w:pPr>
    </w:p>
    <w:p w14:paraId="18CFC232" w14:textId="77777777" w:rsidR="0039793A" w:rsidRPr="00C30976" w:rsidRDefault="0039793A" w:rsidP="0039793A">
      <w:pPr>
        <w:spacing w:before="120" w:after="120"/>
        <w:jc w:val="both"/>
      </w:pPr>
      <w:r w:rsidRPr="00C30976">
        <w:rPr>
          <w:lang w:eastAsia="fr-FR" w:bidi="fr-FR"/>
        </w:rPr>
        <w:t>Les variations dans l’influence du Congrès relèvent aussi de d</w:t>
      </w:r>
      <w:r w:rsidRPr="00C30976">
        <w:rPr>
          <w:lang w:eastAsia="fr-FR" w:bidi="fr-FR"/>
        </w:rPr>
        <w:t>y</w:t>
      </w:r>
      <w:r w:rsidRPr="00C30976">
        <w:rPr>
          <w:lang w:eastAsia="fr-FR" w:bidi="fr-FR"/>
        </w:rPr>
        <w:t xml:space="preserve">namiques de court terme. Il va de soi que lorsque </w:t>
      </w:r>
      <w:r w:rsidRPr="00C30976">
        <w:t>« </w:t>
      </w:r>
      <w:r w:rsidRPr="00C30976">
        <w:rPr>
          <w:lang w:eastAsia="fr-FR" w:bidi="fr-FR"/>
        </w:rPr>
        <w:t>le gouvernement est divisé</w:t>
      </w:r>
      <w:r w:rsidRPr="00C30976">
        <w:t> »</w:t>
      </w:r>
      <w:r w:rsidRPr="00C30976">
        <w:rPr>
          <w:lang w:eastAsia="fr-FR" w:bidi="fr-FR"/>
        </w:rPr>
        <w:t xml:space="preserve">, c’est-à-dire lorsque l’une des deux Chambres au moins est de bord opposé au président, les conflits Exécutif- Législatif sont plus vifs, et le Congrès tend mécaniquement à s’affirmer davantage face à la Maison-Blanche. Cette situation de </w:t>
      </w:r>
      <w:r w:rsidRPr="00C30976">
        <w:t>« </w:t>
      </w:r>
      <w:r w:rsidRPr="00C30976">
        <w:rPr>
          <w:lang w:eastAsia="fr-FR" w:bidi="fr-FR"/>
        </w:rPr>
        <w:t>cohabitation</w:t>
      </w:r>
      <w:r w:rsidRPr="00C30976">
        <w:t> »</w:t>
      </w:r>
      <w:r w:rsidRPr="00C30976">
        <w:rPr>
          <w:lang w:eastAsia="fr-FR" w:bidi="fr-FR"/>
        </w:rPr>
        <w:t xml:space="preserve"> s’est o</w:t>
      </w:r>
      <w:r w:rsidRPr="00C30976">
        <w:rPr>
          <w:lang w:eastAsia="fr-FR" w:bidi="fr-FR"/>
        </w:rPr>
        <w:t>b</w:t>
      </w:r>
      <w:r w:rsidRPr="00C30976">
        <w:rPr>
          <w:lang w:eastAsia="fr-FR" w:bidi="fr-FR"/>
        </w:rPr>
        <w:t>servée 33 anné</w:t>
      </w:r>
      <w:r>
        <w:rPr>
          <w:lang w:eastAsia="fr-FR" w:bidi="fr-FR"/>
        </w:rPr>
        <w:t>es et demie, de 1950 à 2002 (64</w:t>
      </w:r>
      <w:r w:rsidRPr="00C30976">
        <w:rPr>
          <w:lang w:eastAsia="fr-FR" w:bidi="fr-FR"/>
        </w:rPr>
        <w:t>% de la période), dont 19 années et demie de 1980 à 2002 (89% de la période)</w:t>
      </w:r>
      <w:r>
        <w:rPr>
          <w:lang w:eastAsia="fr-FR" w:bidi="fr-FR"/>
        </w:rPr>
        <w:t> </w:t>
      </w:r>
      <w:r>
        <w:rPr>
          <w:rStyle w:val="Appelnotedebasdep"/>
          <w:lang w:eastAsia="fr-FR" w:bidi="fr-FR"/>
        </w:rPr>
        <w:footnoteReference w:id="508"/>
      </w:r>
      <w:r w:rsidRPr="00C30976">
        <w:rPr>
          <w:lang w:eastAsia="fr-FR" w:bidi="fr-FR"/>
        </w:rPr>
        <w:t>. D’autres fa</w:t>
      </w:r>
      <w:r w:rsidRPr="00C30976">
        <w:rPr>
          <w:lang w:eastAsia="fr-FR" w:bidi="fr-FR"/>
        </w:rPr>
        <w:t>c</w:t>
      </w:r>
      <w:r w:rsidRPr="00C30976">
        <w:rPr>
          <w:lang w:eastAsia="fr-FR" w:bidi="fr-FR"/>
        </w:rPr>
        <w:t>teurs politiques de court terme jouent sur les relati</w:t>
      </w:r>
      <w:r>
        <w:rPr>
          <w:lang w:eastAsia="fr-FR" w:bidi="fr-FR"/>
        </w:rPr>
        <w:t>ons Exécutif-Législatif en poli</w:t>
      </w:r>
      <w:r w:rsidRPr="00C30976">
        <w:rPr>
          <w:lang w:eastAsia="fr-FR" w:bidi="fr-FR"/>
        </w:rPr>
        <w:t>tique</w:t>
      </w:r>
      <w:r>
        <w:t xml:space="preserve"> [253]</w:t>
      </w:r>
      <w:r w:rsidRPr="00C30976">
        <w:rPr>
          <w:lang w:eastAsia="fr-FR" w:bidi="fr-FR"/>
        </w:rPr>
        <w:t xml:space="preserve"> étrangère, tel l’affaiblissement du prés</w:t>
      </w:r>
      <w:r w:rsidRPr="00C30976">
        <w:rPr>
          <w:lang w:eastAsia="fr-FR" w:bidi="fr-FR"/>
        </w:rPr>
        <w:t>i</w:t>
      </w:r>
      <w:r w:rsidRPr="00C30976">
        <w:rPr>
          <w:lang w:eastAsia="fr-FR" w:bidi="fr-FR"/>
        </w:rPr>
        <w:t>dent, soit en fin de mandat, soit lorsqu’il est atteint par une crise qui encourage le Congrès à s’affirmer (ainsi Nixon au moment du Wate</w:t>
      </w:r>
      <w:r w:rsidRPr="00C30976">
        <w:rPr>
          <w:lang w:eastAsia="fr-FR" w:bidi="fr-FR"/>
        </w:rPr>
        <w:t>r</w:t>
      </w:r>
      <w:r w:rsidRPr="00C30976">
        <w:rPr>
          <w:lang w:eastAsia="fr-FR" w:bidi="fr-FR"/>
        </w:rPr>
        <w:t>gate</w:t>
      </w:r>
      <w:r w:rsidRPr="00C30976">
        <w:t> ;</w:t>
      </w:r>
      <w:r w:rsidRPr="00C30976">
        <w:rPr>
          <w:lang w:eastAsia="fr-FR" w:bidi="fr-FR"/>
        </w:rPr>
        <w:t xml:space="preserve"> Clinton en 1998 au moment du </w:t>
      </w:r>
      <w:r w:rsidRPr="00C30976">
        <w:t>« </w:t>
      </w:r>
      <w:r w:rsidRPr="00C30976">
        <w:rPr>
          <w:lang w:eastAsia="fr-FR" w:bidi="fr-FR"/>
        </w:rPr>
        <w:t>Monicagate</w:t>
      </w:r>
      <w:r>
        <w:rPr>
          <w:lang w:eastAsia="fr-FR" w:bidi="fr-FR"/>
        </w:rPr>
        <w:t> </w:t>
      </w:r>
      <w:r>
        <w:rPr>
          <w:rStyle w:val="Appelnotedebasdep"/>
          <w:lang w:eastAsia="fr-FR" w:bidi="fr-FR"/>
        </w:rPr>
        <w:footnoteReference w:id="509"/>
      </w:r>
      <w:r w:rsidRPr="00C30976">
        <w:t> »</w:t>
      </w:r>
      <w:r w:rsidRPr="00C30976">
        <w:rPr>
          <w:lang w:eastAsia="fr-FR" w:bidi="fr-FR"/>
        </w:rPr>
        <w:t>).</w:t>
      </w:r>
    </w:p>
    <w:p w14:paraId="7559B6A7" w14:textId="77777777" w:rsidR="0039793A" w:rsidRPr="00C30976" w:rsidRDefault="0039793A" w:rsidP="0039793A">
      <w:pPr>
        <w:spacing w:before="120" w:after="120"/>
        <w:jc w:val="both"/>
      </w:pPr>
      <w:r w:rsidRPr="00C30976">
        <w:rPr>
          <w:lang w:eastAsia="fr-FR" w:bidi="fr-FR"/>
        </w:rPr>
        <w:t xml:space="preserve">Inversement, les attentats du 11 septembre 2001 ont eu pour effet de rallier le Congrès </w:t>
      </w:r>
      <w:r w:rsidRPr="00C30976">
        <w:t>« </w:t>
      </w:r>
      <w:r w:rsidRPr="00C30976">
        <w:rPr>
          <w:lang w:eastAsia="fr-FR" w:bidi="fr-FR"/>
        </w:rPr>
        <w:t>autour du drapeau</w:t>
      </w:r>
      <w:r>
        <w:rPr>
          <w:lang w:eastAsia="fr-FR" w:bidi="fr-FR"/>
        </w:rPr>
        <w:t> </w:t>
      </w:r>
      <w:r>
        <w:rPr>
          <w:rStyle w:val="Appelnotedebasdep"/>
          <w:lang w:eastAsia="fr-FR" w:bidi="fr-FR"/>
        </w:rPr>
        <w:footnoteReference w:id="510"/>
      </w:r>
      <w:r w:rsidRPr="00C30976">
        <w:t> »</w:t>
      </w:r>
      <w:r w:rsidRPr="00C30976">
        <w:rPr>
          <w:lang w:eastAsia="fr-FR" w:bidi="fr-FR"/>
        </w:rPr>
        <w:t>, donc autour du prés</w:t>
      </w:r>
      <w:r w:rsidRPr="00C30976">
        <w:rPr>
          <w:lang w:eastAsia="fr-FR" w:bidi="fr-FR"/>
        </w:rPr>
        <w:t>i</w:t>
      </w:r>
      <w:r w:rsidRPr="00C30976">
        <w:rPr>
          <w:lang w:eastAsia="fr-FR" w:bidi="fr-FR"/>
        </w:rPr>
        <w:t>dent, à tel point que le Législatif, dans les années qui suivent, r</w:t>
      </w:r>
      <w:r w:rsidRPr="00C30976">
        <w:rPr>
          <w:lang w:eastAsia="fr-FR" w:bidi="fr-FR"/>
        </w:rPr>
        <w:t>e</w:t>
      </w:r>
      <w:r w:rsidRPr="00C30976">
        <w:rPr>
          <w:lang w:eastAsia="fr-FR" w:bidi="fr-FR"/>
        </w:rPr>
        <w:t>perd incontestablement une part du terrain repris sur l’Exécutif en matière de politique étrangère, abandonnant certaines de ses prérogatives. Il paraît revenu au meilleur temps du consensus bipartisan de la guerre froide, lorsqu’il s’inclinait largement devant les souhaits de la Ma</w:t>
      </w:r>
      <w:r w:rsidRPr="00C30976">
        <w:rPr>
          <w:lang w:eastAsia="fr-FR" w:bidi="fr-FR"/>
        </w:rPr>
        <w:t>i</w:t>
      </w:r>
      <w:r w:rsidRPr="00C30976">
        <w:rPr>
          <w:lang w:eastAsia="fr-FR" w:bidi="fr-FR"/>
        </w:rPr>
        <w:t>son-Blanche. En t</w:t>
      </w:r>
      <w:r w:rsidRPr="00C30976">
        <w:rPr>
          <w:lang w:eastAsia="fr-FR" w:bidi="fr-FR"/>
        </w:rPr>
        <w:t>é</w:t>
      </w:r>
      <w:r w:rsidRPr="00C30976">
        <w:rPr>
          <w:lang w:eastAsia="fr-FR" w:bidi="fr-FR"/>
        </w:rPr>
        <w:t>moignent ainsi les deux autorisations de guerre en Afghanistan et surtout en Irak, à peine débattues</w:t>
      </w:r>
      <w:r>
        <w:rPr>
          <w:lang w:eastAsia="fr-FR" w:bidi="fr-FR"/>
        </w:rPr>
        <w:t> </w:t>
      </w:r>
      <w:r>
        <w:rPr>
          <w:rStyle w:val="Appelnotedebasdep"/>
          <w:lang w:eastAsia="fr-FR" w:bidi="fr-FR"/>
        </w:rPr>
        <w:footnoteReference w:id="511"/>
      </w:r>
      <w:r w:rsidRPr="00C30976">
        <w:rPr>
          <w:lang w:eastAsia="fr-FR" w:bidi="fr-FR"/>
        </w:rPr>
        <w:t>.</w:t>
      </w:r>
    </w:p>
    <w:p w14:paraId="0DC1113E" w14:textId="77777777" w:rsidR="0039793A" w:rsidRDefault="0039793A" w:rsidP="0039793A">
      <w:pPr>
        <w:spacing w:before="120" w:after="120"/>
        <w:jc w:val="both"/>
        <w:rPr>
          <w:lang w:eastAsia="fr-FR" w:bidi="fr-FR"/>
        </w:rPr>
      </w:pPr>
    </w:p>
    <w:p w14:paraId="42BF32A4" w14:textId="77777777" w:rsidR="0039793A" w:rsidRPr="00C30976" w:rsidRDefault="0039793A" w:rsidP="0039793A">
      <w:pPr>
        <w:pStyle w:val="a"/>
      </w:pPr>
      <w:r w:rsidRPr="00C30976">
        <w:t>Les pouvoirs invisibles du Congrès</w:t>
      </w:r>
    </w:p>
    <w:p w14:paraId="3C06A37B" w14:textId="77777777" w:rsidR="0039793A" w:rsidRDefault="0039793A" w:rsidP="0039793A">
      <w:pPr>
        <w:spacing w:before="120" w:after="120"/>
        <w:jc w:val="both"/>
        <w:rPr>
          <w:lang w:eastAsia="fr-FR" w:bidi="fr-FR"/>
        </w:rPr>
      </w:pPr>
    </w:p>
    <w:p w14:paraId="65BA80B8" w14:textId="77777777" w:rsidR="0039793A" w:rsidRPr="00C30976" w:rsidRDefault="0039793A" w:rsidP="0039793A">
      <w:pPr>
        <w:spacing w:before="120" w:after="120"/>
        <w:jc w:val="both"/>
      </w:pPr>
      <w:r w:rsidRPr="00C30976">
        <w:rPr>
          <w:lang w:eastAsia="fr-FR" w:bidi="fr-FR"/>
        </w:rPr>
        <w:t>Dans les relations présidence-Congrès en mati</w:t>
      </w:r>
      <w:r w:rsidRPr="00C30976">
        <w:rPr>
          <w:lang w:eastAsia="fr-FR" w:bidi="fr-FR"/>
        </w:rPr>
        <w:t>è</w:t>
      </w:r>
      <w:r w:rsidRPr="00C30976">
        <w:rPr>
          <w:lang w:eastAsia="fr-FR" w:bidi="fr-FR"/>
        </w:rPr>
        <w:t>re de politique étrangère, il convient de prendre en compte non seulement ce qui se fait mais également ce qui ne se fait pas, ou plus précisément ce que le président choisit de ne pas faire parce qu’il sait que le Congrès n’acceptera pas. C’est ce qu’on peut a</w:t>
      </w:r>
      <w:r w:rsidRPr="00C30976">
        <w:rPr>
          <w:lang w:eastAsia="fr-FR" w:bidi="fr-FR"/>
        </w:rPr>
        <w:t>p</w:t>
      </w:r>
      <w:r w:rsidRPr="00C30976">
        <w:rPr>
          <w:lang w:eastAsia="fr-FR" w:bidi="fr-FR"/>
        </w:rPr>
        <w:t xml:space="preserve">peler le </w:t>
      </w:r>
      <w:r w:rsidRPr="00C30976">
        <w:t>« </w:t>
      </w:r>
      <w:r w:rsidRPr="00C30976">
        <w:rPr>
          <w:lang w:eastAsia="fr-FR" w:bidi="fr-FR"/>
        </w:rPr>
        <w:t>pouvoir invisible</w:t>
      </w:r>
      <w:r w:rsidRPr="00C30976">
        <w:t> »</w:t>
      </w:r>
      <w:r w:rsidRPr="00C30976">
        <w:rPr>
          <w:lang w:eastAsia="fr-FR" w:bidi="fr-FR"/>
        </w:rPr>
        <w:t xml:space="preserve"> du Législatif, qui ne se manifeste pas par des actes officiels ni par un affrontement au grand jour avec l’Exécutif, mais par une inflexion en amont de la politique du prés</w:t>
      </w:r>
      <w:r w:rsidRPr="00C30976">
        <w:rPr>
          <w:lang w:eastAsia="fr-FR" w:bidi="fr-FR"/>
        </w:rPr>
        <w:t>i</w:t>
      </w:r>
      <w:r w:rsidRPr="00C30976">
        <w:rPr>
          <w:lang w:eastAsia="fr-FR" w:bidi="fr-FR"/>
        </w:rPr>
        <w:t>dent, ce dernier anticipant et intégrant dans ses ca</w:t>
      </w:r>
      <w:r w:rsidRPr="00C30976">
        <w:rPr>
          <w:lang w:eastAsia="fr-FR" w:bidi="fr-FR"/>
        </w:rPr>
        <w:t>l</w:t>
      </w:r>
      <w:r w:rsidRPr="00C30976">
        <w:rPr>
          <w:lang w:eastAsia="fr-FR" w:bidi="fr-FR"/>
        </w:rPr>
        <w:t>culs la réaction du Congrès pour ne pas subir un échec plus tard. Ainsi, plusieurs traités, comme c</w:t>
      </w:r>
      <w:r w:rsidRPr="00C30976">
        <w:rPr>
          <w:lang w:eastAsia="fr-FR" w:bidi="fr-FR"/>
        </w:rPr>
        <w:t>e</w:t>
      </w:r>
      <w:r w:rsidRPr="00C30976">
        <w:rPr>
          <w:lang w:eastAsia="fr-FR" w:bidi="fr-FR"/>
        </w:rPr>
        <w:t>lui sur le canal de Panama (1979), ont pris en compte, lors des négociations, les objections de sénateurs qui du coup, lors du scrutin, ont voté en faveur de la ratific</w:t>
      </w:r>
      <w:r w:rsidRPr="00C30976">
        <w:rPr>
          <w:lang w:eastAsia="fr-FR" w:bidi="fr-FR"/>
        </w:rPr>
        <w:t>a</w:t>
      </w:r>
      <w:r w:rsidRPr="00C30976">
        <w:rPr>
          <w:lang w:eastAsia="fr-FR" w:bidi="fr-FR"/>
        </w:rPr>
        <w:t>tion</w:t>
      </w:r>
      <w:r w:rsidRPr="00C30976">
        <w:t> ;</w:t>
      </w:r>
      <w:r w:rsidRPr="00C30976">
        <w:rPr>
          <w:lang w:eastAsia="fr-FR" w:bidi="fr-FR"/>
        </w:rPr>
        <w:t xml:space="preserve"> à l’inverse, dans le plus fameux exemple de rejet</w:t>
      </w:r>
      <w:r>
        <w:t xml:space="preserve"> [254] </w:t>
      </w:r>
      <w:r w:rsidRPr="00C30976">
        <w:rPr>
          <w:lang w:eastAsia="fr-FR" w:bidi="fr-FR"/>
        </w:rPr>
        <w:t>d’un tra</w:t>
      </w:r>
      <w:r w:rsidRPr="00C30976">
        <w:rPr>
          <w:lang w:eastAsia="fr-FR" w:bidi="fr-FR"/>
        </w:rPr>
        <w:t>i</w:t>
      </w:r>
      <w:r w:rsidRPr="00C30976">
        <w:rPr>
          <w:lang w:eastAsia="fr-FR" w:bidi="fr-FR"/>
        </w:rPr>
        <w:t>té, celui de Versailles en 1920, aucune représentation s</w:t>
      </w:r>
      <w:r w:rsidRPr="00C30976">
        <w:rPr>
          <w:lang w:eastAsia="fr-FR" w:bidi="fr-FR"/>
        </w:rPr>
        <w:t>é</w:t>
      </w:r>
      <w:r w:rsidRPr="00C30976">
        <w:rPr>
          <w:lang w:eastAsia="fr-FR" w:bidi="fr-FR"/>
        </w:rPr>
        <w:t>natoriale n’avait été appelée à n</w:t>
      </w:r>
      <w:r w:rsidRPr="00C30976">
        <w:rPr>
          <w:lang w:eastAsia="fr-FR" w:bidi="fr-FR"/>
        </w:rPr>
        <w:t>é</w:t>
      </w:r>
      <w:r w:rsidRPr="00C30976">
        <w:rPr>
          <w:lang w:eastAsia="fr-FR" w:bidi="fr-FR"/>
        </w:rPr>
        <w:t>gocier l’accord. D’autres traités, alors qu’ils sont signés par le président, n’ont jamais fait l’objet d’un vote car le président savait qu’il ne disposerait pas des voix nécessa</w:t>
      </w:r>
      <w:r w:rsidRPr="00C30976">
        <w:rPr>
          <w:lang w:eastAsia="fr-FR" w:bidi="fr-FR"/>
        </w:rPr>
        <w:t>i</w:t>
      </w:r>
      <w:r w:rsidRPr="00C30976">
        <w:rPr>
          <w:lang w:eastAsia="fr-FR" w:bidi="fr-FR"/>
        </w:rPr>
        <w:t>res</w:t>
      </w:r>
      <w:r w:rsidRPr="00C30976">
        <w:t> ;</w:t>
      </w:r>
      <w:r w:rsidRPr="00C30976">
        <w:rPr>
          <w:lang w:eastAsia="fr-FR" w:bidi="fr-FR"/>
        </w:rPr>
        <w:t xml:space="preserve"> c’est le cas de </w:t>
      </w:r>
      <w:r w:rsidRPr="00C30976">
        <w:t>SALT</w:t>
      </w:r>
      <w:r>
        <w:t> </w:t>
      </w:r>
      <w:r w:rsidRPr="00C30976">
        <w:t xml:space="preserve">II </w:t>
      </w:r>
      <w:r w:rsidRPr="00C30976">
        <w:rPr>
          <w:lang w:eastAsia="fr-FR" w:bidi="fr-FR"/>
        </w:rPr>
        <w:t>(Carter), de la Cour pénale internationale ou encore du Protocole de Kyoto sur l’environnement (Clinton). De même, en m</w:t>
      </w:r>
      <w:r w:rsidRPr="00C30976">
        <w:rPr>
          <w:lang w:eastAsia="fr-FR" w:bidi="fr-FR"/>
        </w:rPr>
        <w:t>a</w:t>
      </w:r>
      <w:r w:rsidRPr="00C30976">
        <w:rPr>
          <w:lang w:eastAsia="fr-FR" w:bidi="fr-FR"/>
        </w:rPr>
        <w:t>tière commerciale, depuis l’adoption de la procédure de r</w:t>
      </w:r>
      <w:r w:rsidRPr="00C30976">
        <w:rPr>
          <w:lang w:eastAsia="fr-FR" w:bidi="fr-FR"/>
        </w:rPr>
        <w:t>a</w:t>
      </w:r>
      <w:r w:rsidRPr="00C30976">
        <w:rPr>
          <w:lang w:eastAsia="fr-FR" w:bidi="fr-FR"/>
        </w:rPr>
        <w:t xml:space="preserve">tification </w:t>
      </w:r>
      <w:r w:rsidRPr="00C30976">
        <w:t>fast-track</w:t>
      </w:r>
      <w:r w:rsidRPr="00C30976">
        <w:rPr>
          <w:lang w:eastAsia="fr-FR" w:bidi="fr-FR"/>
        </w:rPr>
        <w:t xml:space="preserve"> en 1974 (le président négocie un accord comme</w:t>
      </w:r>
      <w:r w:rsidRPr="00C30976">
        <w:rPr>
          <w:lang w:eastAsia="fr-FR" w:bidi="fr-FR"/>
        </w:rPr>
        <w:t>r</w:t>
      </w:r>
      <w:r w:rsidRPr="00C30976">
        <w:rPr>
          <w:lang w:eastAsia="fr-FR" w:bidi="fr-FR"/>
        </w:rPr>
        <w:t>cial que le Congrès peut accepter ou rejeter en bloc, mais non modifier), des pa</w:t>
      </w:r>
      <w:r w:rsidRPr="00C30976">
        <w:rPr>
          <w:lang w:eastAsia="fr-FR" w:bidi="fr-FR"/>
        </w:rPr>
        <w:t>r</w:t>
      </w:r>
      <w:r w:rsidRPr="00C30976">
        <w:rPr>
          <w:lang w:eastAsia="fr-FR" w:bidi="fr-FR"/>
        </w:rPr>
        <w:t>lementaires sont intégrés en amont, lors des négoci</w:t>
      </w:r>
      <w:r w:rsidRPr="00C30976">
        <w:rPr>
          <w:lang w:eastAsia="fr-FR" w:bidi="fr-FR"/>
        </w:rPr>
        <w:t>a</w:t>
      </w:r>
      <w:r w:rsidRPr="00C30976">
        <w:rPr>
          <w:lang w:eastAsia="fr-FR" w:bidi="fr-FR"/>
        </w:rPr>
        <w:t>tions, afin de prendre en compte leur point de vue et d’augmenter les cha</w:t>
      </w:r>
      <w:r w:rsidRPr="00C30976">
        <w:rPr>
          <w:lang w:eastAsia="fr-FR" w:bidi="fr-FR"/>
        </w:rPr>
        <w:t>n</w:t>
      </w:r>
      <w:r w:rsidRPr="00C30976">
        <w:rPr>
          <w:lang w:eastAsia="fr-FR" w:bidi="fr-FR"/>
        </w:rPr>
        <w:t>ces d’une approbation par le Congrès</w:t>
      </w:r>
      <w:r>
        <w:rPr>
          <w:lang w:eastAsia="fr-FR" w:bidi="fr-FR"/>
        </w:rPr>
        <w:t> </w:t>
      </w:r>
      <w:r>
        <w:rPr>
          <w:rStyle w:val="Appelnotedebasdep"/>
          <w:lang w:eastAsia="fr-FR" w:bidi="fr-FR"/>
        </w:rPr>
        <w:footnoteReference w:id="512"/>
      </w:r>
      <w:r w:rsidRPr="00C30976">
        <w:rPr>
          <w:lang w:eastAsia="fr-FR" w:bidi="fr-FR"/>
        </w:rPr>
        <w:t>.</w:t>
      </w:r>
    </w:p>
    <w:p w14:paraId="3EE90748" w14:textId="77777777" w:rsidR="0039793A" w:rsidRPr="00C30976" w:rsidRDefault="0039793A" w:rsidP="0039793A">
      <w:pPr>
        <w:spacing w:before="120" w:after="120"/>
        <w:jc w:val="both"/>
      </w:pPr>
      <w:r w:rsidRPr="00C30976">
        <w:rPr>
          <w:lang w:eastAsia="fr-FR" w:bidi="fr-FR"/>
        </w:rPr>
        <w:t>Ces pouvoirs invisibles du Congrès reposent aussi sur l’existence d’un rapport de force global entre le président et les deux Chambres</w:t>
      </w:r>
      <w:r w:rsidRPr="00C30976">
        <w:t> :</w:t>
      </w:r>
      <w:r w:rsidRPr="00C30976">
        <w:rPr>
          <w:lang w:eastAsia="fr-FR" w:bidi="fr-FR"/>
        </w:rPr>
        <w:t xml:space="preserve"> un affrontement sur un sujet particulier de politique étrang</w:t>
      </w:r>
      <w:r w:rsidRPr="00C30976">
        <w:rPr>
          <w:lang w:eastAsia="fr-FR" w:bidi="fr-FR"/>
        </w:rPr>
        <w:t>è</w:t>
      </w:r>
      <w:r w:rsidRPr="00C30976">
        <w:rPr>
          <w:lang w:eastAsia="fr-FR" w:bidi="fr-FR"/>
        </w:rPr>
        <w:t>re peut très bien faire l’objet d’un marchandage i</w:t>
      </w:r>
      <w:r w:rsidRPr="00C30976">
        <w:rPr>
          <w:lang w:eastAsia="fr-FR" w:bidi="fr-FR"/>
        </w:rPr>
        <w:t>n</w:t>
      </w:r>
      <w:r w:rsidRPr="00C30976">
        <w:rPr>
          <w:lang w:eastAsia="fr-FR" w:bidi="fr-FR"/>
        </w:rPr>
        <w:t>téressant un autre sujet. De tels marchandages sont également possibles avec des sujets de politique intérieure, ce qui conduit parfois à des blocages regrettables de la pol</w:t>
      </w:r>
      <w:r w:rsidRPr="00C30976">
        <w:rPr>
          <w:lang w:eastAsia="fr-FR" w:bidi="fr-FR"/>
        </w:rPr>
        <w:t>i</w:t>
      </w:r>
      <w:r w:rsidRPr="00C30976">
        <w:rPr>
          <w:lang w:eastAsia="fr-FR" w:bidi="fr-FR"/>
        </w:rPr>
        <w:t xml:space="preserve">tique étrangère américaine, lorsqu’un dossier diplomatique ou une nomination est </w:t>
      </w:r>
      <w:r w:rsidRPr="00C30976">
        <w:t>« </w:t>
      </w:r>
      <w:r w:rsidRPr="00C30976">
        <w:rPr>
          <w:lang w:eastAsia="fr-FR" w:bidi="fr-FR"/>
        </w:rPr>
        <w:t>pris en otage</w:t>
      </w:r>
      <w:r w:rsidRPr="00C30976">
        <w:t> »</w:t>
      </w:r>
      <w:r w:rsidRPr="00C30976">
        <w:rPr>
          <w:lang w:eastAsia="fr-FR" w:bidi="fr-FR"/>
        </w:rPr>
        <w:t xml:space="preserve"> pour obtenir des gains dans un autre domaine. Plus généralement, quel que soit le domaine considéré, on prendra garde à ne pas lim</w:t>
      </w:r>
      <w:r w:rsidRPr="00C30976">
        <w:rPr>
          <w:lang w:eastAsia="fr-FR" w:bidi="fr-FR"/>
        </w:rPr>
        <w:t>i</w:t>
      </w:r>
      <w:r w:rsidRPr="00C30976">
        <w:rPr>
          <w:lang w:eastAsia="fr-FR" w:bidi="fr-FR"/>
        </w:rPr>
        <w:t>ter l’influence du Congrès à ses pouvoirs substantiels et effectivement exercés, et l’on n’oubliera pas la nécess</w:t>
      </w:r>
      <w:r w:rsidRPr="00C30976">
        <w:rPr>
          <w:lang w:eastAsia="fr-FR" w:bidi="fr-FR"/>
        </w:rPr>
        <w:t>i</w:t>
      </w:r>
      <w:r w:rsidRPr="00C30976">
        <w:rPr>
          <w:lang w:eastAsia="fr-FR" w:bidi="fr-FR"/>
        </w:rPr>
        <w:t>té pour le président d’agir toujours dans un environnement politique permissif, dont les fro</w:t>
      </w:r>
      <w:r w:rsidRPr="00C30976">
        <w:rPr>
          <w:lang w:eastAsia="fr-FR" w:bidi="fr-FR"/>
        </w:rPr>
        <w:t>n</w:t>
      </w:r>
      <w:r w:rsidRPr="00C30976">
        <w:rPr>
          <w:lang w:eastAsia="fr-FR" w:bidi="fr-FR"/>
        </w:rPr>
        <w:t>tières sont fixées par le Congrès et par l’opinion publique, à travers les sondages par exemple. Ainsi, une pe</w:t>
      </w:r>
      <w:r w:rsidRPr="00C30976">
        <w:rPr>
          <w:lang w:eastAsia="fr-FR" w:bidi="fr-FR"/>
        </w:rPr>
        <w:t>r</w:t>
      </w:r>
      <w:r w:rsidRPr="00C30976">
        <w:rPr>
          <w:lang w:eastAsia="fr-FR" w:bidi="fr-FR"/>
        </w:rPr>
        <w:t>te de popularité pour le pr</w:t>
      </w:r>
      <w:r w:rsidRPr="00C30976">
        <w:rPr>
          <w:lang w:eastAsia="fr-FR" w:bidi="fr-FR"/>
        </w:rPr>
        <w:t>é</w:t>
      </w:r>
      <w:r w:rsidRPr="00C30976">
        <w:rPr>
          <w:lang w:eastAsia="fr-FR" w:bidi="fr-FR"/>
        </w:rPr>
        <w:t>sident signifie une perte d’influence au Congrès. En effet, le président américain ne bénéficie pas d’une maj</w:t>
      </w:r>
      <w:r w:rsidRPr="00C30976">
        <w:rPr>
          <w:lang w:eastAsia="fr-FR" w:bidi="fr-FR"/>
        </w:rPr>
        <w:t>o</w:t>
      </w:r>
      <w:r w:rsidRPr="00C30976">
        <w:rPr>
          <w:lang w:eastAsia="fr-FR" w:bidi="fr-FR"/>
        </w:rPr>
        <w:t>rité automatique dans les deux Chambres</w:t>
      </w:r>
      <w:r w:rsidRPr="00C30976">
        <w:t> :</w:t>
      </w:r>
      <w:r w:rsidRPr="00C30976">
        <w:rPr>
          <w:lang w:eastAsia="fr-FR" w:bidi="fr-FR"/>
        </w:rPr>
        <w:t xml:space="preserve"> même lorsque le pouvoir législatif est du même bord que le président, ce dernier doit sans arrêt convaincre chaque sénateur et parfois chaque repr</w:t>
      </w:r>
      <w:r w:rsidRPr="00C30976">
        <w:rPr>
          <w:lang w:eastAsia="fr-FR" w:bidi="fr-FR"/>
        </w:rPr>
        <w:t>é</w:t>
      </w:r>
      <w:r w:rsidRPr="00C30976">
        <w:rPr>
          <w:lang w:eastAsia="fr-FR" w:bidi="fr-FR"/>
        </w:rPr>
        <w:t>sentant du bien-fondé de ses politiques</w:t>
      </w:r>
      <w:r w:rsidRPr="00C30976">
        <w:t> ;</w:t>
      </w:r>
      <w:r w:rsidRPr="00C30976">
        <w:rPr>
          <w:lang w:eastAsia="fr-FR" w:bidi="fr-FR"/>
        </w:rPr>
        <w:t xml:space="preserve"> s’il est apprécié et puissant, les parlementa</w:t>
      </w:r>
      <w:r w:rsidRPr="00C30976">
        <w:rPr>
          <w:lang w:eastAsia="fr-FR" w:bidi="fr-FR"/>
        </w:rPr>
        <w:t>i</w:t>
      </w:r>
      <w:r w:rsidRPr="00C30976">
        <w:rPr>
          <w:lang w:eastAsia="fr-FR" w:bidi="fr-FR"/>
        </w:rPr>
        <w:t>res seront plus susceptibles de suivre son leadership et d’approuver par leurs votes sa politique étrangère,</w:t>
      </w:r>
      <w:r>
        <w:t xml:space="preserve"> [255] </w:t>
      </w:r>
      <w:r w:rsidRPr="00C30976">
        <w:rPr>
          <w:lang w:eastAsia="fr-FR" w:bidi="fr-FR"/>
        </w:rPr>
        <w:t>comme la période histor</w:t>
      </w:r>
      <w:r w:rsidRPr="00C30976">
        <w:rPr>
          <w:lang w:eastAsia="fr-FR" w:bidi="fr-FR"/>
        </w:rPr>
        <w:t>i</w:t>
      </w:r>
      <w:r w:rsidRPr="00C30976">
        <w:rPr>
          <w:lang w:eastAsia="fr-FR" w:bidi="fr-FR"/>
        </w:rPr>
        <w:t>que qui suit le 11 septembre 2001 le d</w:t>
      </w:r>
      <w:r w:rsidRPr="00C30976">
        <w:rPr>
          <w:lang w:eastAsia="fr-FR" w:bidi="fr-FR"/>
        </w:rPr>
        <w:t>é</w:t>
      </w:r>
      <w:r w:rsidRPr="00C30976">
        <w:rPr>
          <w:lang w:eastAsia="fr-FR" w:bidi="fr-FR"/>
        </w:rPr>
        <w:t>montre.</w:t>
      </w:r>
    </w:p>
    <w:p w14:paraId="0CC93957" w14:textId="77777777" w:rsidR="0039793A" w:rsidRPr="00C30976" w:rsidRDefault="0039793A" w:rsidP="0039793A">
      <w:pPr>
        <w:spacing w:before="120" w:after="120"/>
        <w:jc w:val="both"/>
      </w:pPr>
      <w:r w:rsidRPr="00C30976">
        <w:rPr>
          <w:lang w:eastAsia="fr-FR" w:bidi="fr-FR"/>
        </w:rPr>
        <w:t>Il est incontestable que le président est le pr</w:t>
      </w:r>
      <w:r w:rsidRPr="00C30976">
        <w:rPr>
          <w:lang w:eastAsia="fr-FR" w:bidi="fr-FR"/>
        </w:rPr>
        <w:t>e</w:t>
      </w:r>
      <w:r w:rsidRPr="00C30976">
        <w:rPr>
          <w:lang w:eastAsia="fr-FR" w:bidi="fr-FR"/>
        </w:rPr>
        <w:t>mier lobbyiste du Congrès, et la vaste équipe chargée (à la Maison-Blanche) de ses ra</w:t>
      </w:r>
      <w:r w:rsidRPr="00C30976">
        <w:rPr>
          <w:lang w:eastAsia="fr-FR" w:bidi="fr-FR"/>
        </w:rPr>
        <w:t>p</w:t>
      </w:r>
      <w:r w:rsidRPr="00C30976">
        <w:rPr>
          <w:lang w:eastAsia="fr-FR" w:bidi="fr-FR"/>
        </w:rPr>
        <w:t>ports avec les parlementaires joue un rôle important. Le président prend parfois beaucoup de temps pour convaincre le Congrès, app</w:t>
      </w:r>
      <w:r w:rsidRPr="00C30976">
        <w:rPr>
          <w:lang w:eastAsia="fr-FR" w:bidi="fr-FR"/>
        </w:rPr>
        <w:t>e</w:t>
      </w:r>
      <w:r w:rsidRPr="00C30976">
        <w:rPr>
          <w:lang w:eastAsia="fr-FR" w:bidi="fr-FR"/>
        </w:rPr>
        <w:t>lant personnellement les parleme</w:t>
      </w:r>
      <w:r w:rsidRPr="00C30976">
        <w:rPr>
          <w:lang w:eastAsia="fr-FR" w:bidi="fr-FR"/>
        </w:rPr>
        <w:t>n</w:t>
      </w:r>
      <w:r w:rsidRPr="00C30976">
        <w:rPr>
          <w:lang w:eastAsia="fr-FR" w:bidi="fr-FR"/>
        </w:rPr>
        <w:t>taires récalcitrants, tâchant de les convaincre par ses arguments, par la pression ou par le marchand</w:t>
      </w:r>
      <w:r w:rsidRPr="00C30976">
        <w:rPr>
          <w:lang w:eastAsia="fr-FR" w:bidi="fr-FR"/>
        </w:rPr>
        <w:t>a</w:t>
      </w:r>
      <w:r w:rsidRPr="00C30976">
        <w:rPr>
          <w:lang w:eastAsia="fr-FR" w:bidi="fr-FR"/>
        </w:rPr>
        <w:t>ge</w:t>
      </w:r>
      <w:r>
        <w:rPr>
          <w:lang w:eastAsia="fr-FR" w:bidi="fr-FR"/>
        </w:rPr>
        <w:t> </w:t>
      </w:r>
      <w:r>
        <w:rPr>
          <w:rStyle w:val="Appelnotedebasdep"/>
          <w:lang w:eastAsia="fr-FR" w:bidi="fr-FR"/>
        </w:rPr>
        <w:footnoteReference w:id="513"/>
      </w:r>
      <w:r w:rsidRPr="00C30976">
        <w:t>.</w:t>
      </w:r>
    </w:p>
    <w:p w14:paraId="1EA96C77" w14:textId="77777777" w:rsidR="0039793A" w:rsidRPr="00C30976" w:rsidRDefault="0039793A" w:rsidP="0039793A">
      <w:pPr>
        <w:spacing w:before="120" w:after="120"/>
        <w:jc w:val="both"/>
      </w:pPr>
      <w:r w:rsidRPr="00C30976">
        <w:rPr>
          <w:lang w:eastAsia="fr-FR" w:bidi="fr-FR"/>
        </w:rPr>
        <w:t>Ces pouvoirs invisibles du Congrès vont plus loin encore</w:t>
      </w:r>
      <w:r w:rsidRPr="00C30976">
        <w:t> :</w:t>
      </w:r>
      <w:r w:rsidRPr="00C30976">
        <w:rPr>
          <w:lang w:eastAsia="fr-FR" w:bidi="fr-FR"/>
        </w:rPr>
        <w:t xml:space="preserve"> contra</w:t>
      </w:r>
      <w:r w:rsidRPr="00C30976">
        <w:rPr>
          <w:lang w:eastAsia="fr-FR" w:bidi="fr-FR"/>
        </w:rPr>
        <w:t>i</w:t>
      </w:r>
      <w:r w:rsidRPr="00C30976">
        <w:rPr>
          <w:lang w:eastAsia="fr-FR" w:bidi="fr-FR"/>
        </w:rPr>
        <w:t>rement à ce qui se passe dans la plupart des autres démocraties libér</w:t>
      </w:r>
      <w:r w:rsidRPr="00C30976">
        <w:rPr>
          <w:lang w:eastAsia="fr-FR" w:bidi="fr-FR"/>
        </w:rPr>
        <w:t>a</w:t>
      </w:r>
      <w:r w:rsidRPr="00C30976">
        <w:rPr>
          <w:lang w:eastAsia="fr-FR" w:bidi="fr-FR"/>
        </w:rPr>
        <w:t>les, il existe une interaction dense et permanente entre les hauts fon</w:t>
      </w:r>
      <w:r w:rsidRPr="00C30976">
        <w:rPr>
          <w:lang w:eastAsia="fr-FR" w:bidi="fr-FR"/>
        </w:rPr>
        <w:t>c</w:t>
      </w:r>
      <w:r w:rsidRPr="00C30976">
        <w:rPr>
          <w:lang w:eastAsia="fr-FR" w:bidi="fr-FR"/>
        </w:rPr>
        <w:t>tionnaires de l’Exécutif et le Congrès. Les agents du Pentagone et du Département d’</w:t>
      </w:r>
      <w:r>
        <w:rPr>
          <w:lang w:eastAsia="fr-FR" w:bidi="fr-FR"/>
        </w:rPr>
        <w:t>État</w:t>
      </w:r>
      <w:r w:rsidRPr="00C30976">
        <w:rPr>
          <w:lang w:eastAsia="fr-FR" w:bidi="fr-FR"/>
        </w:rPr>
        <w:t xml:space="preserve"> sont constamment à l’écoute des parlementaires qui peuvent les convoquer et les interroger et qui peuvent surtout d</w:t>
      </w:r>
      <w:r w:rsidRPr="00C30976">
        <w:rPr>
          <w:lang w:eastAsia="fr-FR" w:bidi="fr-FR"/>
        </w:rPr>
        <w:t>é</w:t>
      </w:r>
      <w:r w:rsidRPr="00C30976">
        <w:rPr>
          <w:lang w:eastAsia="fr-FR" w:bidi="fr-FR"/>
        </w:rPr>
        <w:t>cider de s’opposer à la politique qu’ils mènent, notamment en coupant leurs fina</w:t>
      </w:r>
      <w:r w:rsidRPr="00C30976">
        <w:rPr>
          <w:lang w:eastAsia="fr-FR" w:bidi="fr-FR"/>
        </w:rPr>
        <w:t>n</w:t>
      </w:r>
      <w:r w:rsidRPr="00C30976">
        <w:rPr>
          <w:lang w:eastAsia="fr-FR" w:bidi="fr-FR"/>
        </w:rPr>
        <w:t>cements. Ces auditions (</w:t>
      </w:r>
      <w:r w:rsidRPr="00FE6054">
        <w:rPr>
          <w:i/>
          <w:iCs/>
        </w:rPr>
        <w:t>hearings</w:t>
      </w:r>
      <w:r w:rsidRPr="00C30976">
        <w:rPr>
          <w:lang w:eastAsia="fr-FR" w:bidi="fr-FR"/>
        </w:rPr>
        <w:t>) sont l’un des lieux où se manifeste la puissance des élus du pe</w:t>
      </w:r>
      <w:r w:rsidRPr="00C30976">
        <w:rPr>
          <w:lang w:eastAsia="fr-FR" w:bidi="fr-FR"/>
        </w:rPr>
        <w:t>u</w:t>
      </w:r>
      <w:r w:rsidRPr="00C30976">
        <w:rPr>
          <w:lang w:eastAsia="fr-FR" w:bidi="fr-FR"/>
        </w:rPr>
        <w:t xml:space="preserve">ple par rapport aux </w:t>
      </w:r>
      <w:r w:rsidRPr="00C30976">
        <w:t>« </w:t>
      </w:r>
      <w:r w:rsidRPr="00C30976">
        <w:rPr>
          <w:lang w:eastAsia="fr-FR" w:bidi="fr-FR"/>
        </w:rPr>
        <w:t>bureaucrates de Washin</w:t>
      </w:r>
      <w:r w:rsidRPr="00C30976">
        <w:rPr>
          <w:lang w:eastAsia="fr-FR" w:bidi="fr-FR"/>
        </w:rPr>
        <w:t>g</w:t>
      </w:r>
      <w:r w:rsidRPr="00C30976">
        <w:rPr>
          <w:lang w:eastAsia="fr-FR" w:bidi="fr-FR"/>
        </w:rPr>
        <w:t>ton</w:t>
      </w:r>
      <w:r w:rsidRPr="00C30976">
        <w:t> »</w:t>
      </w:r>
      <w:r w:rsidRPr="00C30976">
        <w:rPr>
          <w:lang w:eastAsia="fr-FR" w:bidi="fr-FR"/>
        </w:rPr>
        <w:t>, où toutes les questions - même les plus inattendues et les plus ineptes - de ces potentats et to</w:t>
      </w:r>
      <w:r w:rsidRPr="00C30976">
        <w:rPr>
          <w:lang w:eastAsia="fr-FR" w:bidi="fr-FR"/>
        </w:rPr>
        <w:t>u</w:t>
      </w:r>
      <w:r w:rsidRPr="00C30976">
        <w:rPr>
          <w:lang w:eastAsia="fr-FR" w:bidi="fr-FR"/>
        </w:rPr>
        <w:t>tes leurs remontrances sont possibles sans que l’intéressé puisse s’y soustra</w:t>
      </w:r>
      <w:r w:rsidRPr="00C30976">
        <w:rPr>
          <w:lang w:eastAsia="fr-FR" w:bidi="fr-FR"/>
        </w:rPr>
        <w:t>i</w:t>
      </w:r>
      <w:r w:rsidRPr="00C30976">
        <w:rPr>
          <w:lang w:eastAsia="fr-FR" w:bidi="fr-FR"/>
        </w:rPr>
        <w:t>re</w:t>
      </w:r>
      <w:r>
        <w:rPr>
          <w:lang w:eastAsia="fr-FR" w:bidi="fr-FR"/>
        </w:rPr>
        <w:t> </w:t>
      </w:r>
      <w:r>
        <w:rPr>
          <w:rStyle w:val="Appelnotedebasdep"/>
          <w:lang w:eastAsia="fr-FR" w:bidi="fr-FR"/>
        </w:rPr>
        <w:footnoteReference w:id="514"/>
      </w:r>
      <w:r w:rsidRPr="00C30976">
        <w:rPr>
          <w:lang w:eastAsia="fr-FR" w:bidi="fr-FR"/>
        </w:rPr>
        <w:t xml:space="preserve">. S’assurer que les parlementaires et leurs nombreux assistants </w:t>
      </w:r>
      <w:r w:rsidRPr="00C30976">
        <w:t>(</w:t>
      </w:r>
      <w:r w:rsidRPr="00FE6054">
        <w:rPr>
          <w:i/>
          <w:iCs/>
        </w:rPr>
        <w:t>staffers</w:t>
      </w:r>
      <w:r w:rsidRPr="00C30976">
        <w:t>)</w:t>
      </w:r>
      <w:r w:rsidRPr="00C30976">
        <w:rPr>
          <w:lang w:eastAsia="fr-FR" w:bidi="fr-FR"/>
        </w:rPr>
        <w:t xml:space="preserve"> sont satisfaits et tenus informés, entretenir avec eux de bo</w:t>
      </w:r>
      <w:r w:rsidRPr="00C30976">
        <w:rPr>
          <w:lang w:eastAsia="fr-FR" w:bidi="fr-FR"/>
        </w:rPr>
        <w:t>n</w:t>
      </w:r>
      <w:r w:rsidRPr="00C30976">
        <w:rPr>
          <w:lang w:eastAsia="fr-FR" w:bidi="fr-FR"/>
        </w:rPr>
        <w:t>nes relations, est un souci constant des acteurs de la politique étrang</w:t>
      </w:r>
      <w:r w:rsidRPr="00C30976">
        <w:rPr>
          <w:lang w:eastAsia="fr-FR" w:bidi="fr-FR"/>
        </w:rPr>
        <w:t>è</w:t>
      </w:r>
      <w:r w:rsidRPr="00C30976">
        <w:rPr>
          <w:lang w:eastAsia="fr-FR" w:bidi="fr-FR"/>
        </w:rPr>
        <w:t>re américaine.</w:t>
      </w:r>
    </w:p>
    <w:p w14:paraId="64B2CB00" w14:textId="77777777" w:rsidR="0039793A" w:rsidRDefault="0039793A" w:rsidP="0039793A">
      <w:pPr>
        <w:spacing w:before="120" w:after="120"/>
        <w:jc w:val="both"/>
        <w:rPr>
          <w:lang w:eastAsia="fr-FR" w:bidi="fr-FR"/>
        </w:rPr>
      </w:pPr>
    </w:p>
    <w:p w14:paraId="3A229A90" w14:textId="77777777" w:rsidR="0039793A" w:rsidRPr="00C30976" w:rsidRDefault="0039793A" w:rsidP="0039793A">
      <w:pPr>
        <w:pStyle w:val="a"/>
      </w:pPr>
      <w:r w:rsidRPr="00C30976">
        <w:t>Les pouvoirs de politique extérieure du Congrès</w:t>
      </w:r>
    </w:p>
    <w:p w14:paraId="5C905ECD" w14:textId="77777777" w:rsidR="0039793A" w:rsidRDefault="0039793A" w:rsidP="0039793A">
      <w:pPr>
        <w:spacing w:before="120" w:after="120"/>
        <w:jc w:val="both"/>
        <w:rPr>
          <w:lang w:eastAsia="fr-FR" w:bidi="fr-FR"/>
        </w:rPr>
      </w:pPr>
    </w:p>
    <w:p w14:paraId="2991CC2B" w14:textId="77777777" w:rsidR="0039793A" w:rsidRPr="00C30976" w:rsidRDefault="0039793A" w:rsidP="0039793A">
      <w:pPr>
        <w:spacing w:before="120" w:after="120"/>
        <w:jc w:val="both"/>
      </w:pPr>
      <w:r w:rsidRPr="00C30976">
        <w:rPr>
          <w:lang w:eastAsia="fr-FR" w:bidi="fr-FR"/>
        </w:rPr>
        <w:t>La Constitution de 1787 accorde beaucoup d’importance au Congrès, auquel elle consacre son article premier (l’Exécutif n’étant évoqué que dans l’article 2). Elle confie au Législatif des fonctions importantes en politique étrangère. Ainsi, d’après</w:t>
      </w:r>
      <w:r>
        <w:t xml:space="preserve"> [256] </w:t>
      </w:r>
      <w:r w:rsidRPr="00C30976">
        <w:rPr>
          <w:lang w:eastAsia="fr-FR" w:bidi="fr-FR"/>
        </w:rPr>
        <w:t>l’article I se</w:t>
      </w:r>
      <w:r w:rsidRPr="00C30976">
        <w:rPr>
          <w:lang w:eastAsia="fr-FR" w:bidi="fr-FR"/>
        </w:rPr>
        <w:t>c</w:t>
      </w:r>
      <w:r w:rsidRPr="00C30976">
        <w:rPr>
          <w:lang w:eastAsia="fr-FR" w:bidi="fr-FR"/>
        </w:rPr>
        <w:t>tion 8 de la Constitution de 1787, le Congrès a le pouvoir de</w:t>
      </w:r>
      <w:r w:rsidRPr="00C30976">
        <w:t> :</w:t>
      </w:r>
    </w:p>
    <w:p w14:paraId="59526476" w14:textId="77777777" w:rsidR="0039793A" w:rsidRDefault="0039793A" w:rsidP="0039793A">
      <w:pPr>
        <w:ind w:left="360"/>
        <w:jc w:val="both"/>
      </w:pPr>
    </w:p>
    <w:p w14:paraId="48E4F0B6" w14:textId="77777777" w:rsidR="0039793A" w:rsidRPr="00C30976" w:rsidRDefault="0039793A" w:rsidP="0039793A">
      <w:pPr>
        <w:ind w:left="360"/>
        <w:jc w:val="both"/>
      </w:pPr>
      <w:r w:rsidRPr="00C30976">
        <w:t>« </w:t>
      </w:r>
      <w:r>
        <w:rPr>
          <w:lang w:eastAsia="fr-FR" w:bidi="fr-FR"/>
        </w:rPr>
        <w:t xml:space="preserve">— </w:t>
      </w:r>
      <w:r w:rsidRPr="00C30976">
        <w:rPr>
          <w:lang w:eastAsia="fr-FR" w:bidi="fr-FR"/>
        </w:rPr>
        <w:t>réglementer le commerce avec les nations étrangères [...]</w:t>
      </w:r>
      <w:r w:rsidRPr="00C30976">
        <w:t> ;</w:t>
      </w:r>
    </w:p>
    <w:p w14:paraId="11F35AE6" w14:textId="77777777" w:rsidR="0039793A" w:rsidRPr="00C30976" w:rsidRDefault="0039793A" w:rsidP="0039793A">
      <w:pPr>
        <w:ind w:left="360"/>
        <w:jc w:val="both"/>
      </w:pPr>
      <w:r>
        <w:rPr>
          <w:lang w:eastAsia="fr-FR" w:bidi="fr-FR"/>
        </w:rPr>
        <w:t xml:space="preserve">— </w:t>
      </w:r>
      <w:r w:rsidRPr="00C30976">
        <w:rPr>
          <w:lang w:eastAsia="fr-FR" w:bidi="fr-FR"/>
        </w:rPr>
        <w:t>définir et punir les actes de piraterie et les cr</w:t>
      </w:r>
      <w:r w:rsidRPr="00C30976">
        <w:rPr>
          <w:lang w:eastAsia="fr-FR" w:bidi="fr-FR"/>
        </w:rPr>
        <w:t>i</w:t>
      </w:r>
      <w:r w:rsidRPr="00C30976">
        <w:rPr>
          <w:lang w:eastAsia="fr-FR" w:bidi="fr-FR"/>
        </w:rPr>
        <w:t>mes commis en haute mer et les délits contre le droit des gens</w:t>
      </w:r>
      <w:r w:rsidRPr="00C30976">
        <w:t> ;</w:t>
      </w:r>
    </w:p>
    <w:p w14:paraId="3FF2E8CB" w14:textId="77777777" w:rsidR="0039793A" w:rsidRPr="00C30976" w:rsidRDefault="0039793A" w:rsidP="0039793A">
      <w:pPr>
        <w:ind w:left="360"/>
        <w:jc w:val="both"/>
      </w:pPr>
      <w:r>
        <w:rPr>
          <w:lang w:eastAsia="fr-FR" w:bidi="fr-FR"/>
        </w:rPr>
        <w:t xml:space="preserve">— </w:t>
      </w:r>
      <w:r w:rsidRPr="00C30976">
        <w:rPr>
          <w:lang w:eastAsia="fr-FR" w:bidi="fr-FR"/>
        </w:rPr>
        <w:t>déclarer la guerre [...]</w:t>
      </w:r>
      <w:r w:rsidRPr="00C30976">
        <w:t> ;</w:t>
      </w:r>
    </w:p>
    <w:p w14:paraId="64D99946" w14:textId="77777777" w:rsidR="0039793A" w:rsidRPr="00C30976" w:rsidRDefault="0039793A" w:rsidP="0039793A">
      <w:pPr>
        <w:ind w:left="360"/>
        <w:jc w:val="both"/>
      </w:pPr>
      <w:r>
        <w:rPr>
          <w:lang w:eastAsia="fr-FR" w:bidi="fr-FR"/>
        </w:rPr>
        <w:t xml:space="preserve">— </w:t>
      </w:r>
      <w:r w:rsidRPr="00C30976">
        <w:rPr>
          <w:lang w:eastAsia="fr-FR" w:bidi="fr-FR"/>
        </w:rPr>
        <w:t>lever et entretenir des armées [...]</w:t>
      </w:r>
      <w:r w:rsidRPr="00C30976">
        <w:t> ;</w:t>
      </w:r>
    </w:p>
    <w:p w14:paraId="0AD9F0FE" w14:textId="77777777" w:rsidR="0039793A" w:rsidRPr="00C30976" w:rsidRDefault="0039793A" w:rsidP="0039793A">
      <w:pPr>
        <w:ind w:left="360"/>
        <w:jc w:val="both"/>
      </w:pPr>
      <w:r>
        <w:rPr>
          <w:lang w:eastAsia="fr-FR" w:bidi="fr-FR"/>
        </w:rPr>
        <w:t xml:space="preserve">— </w:t>
      </w:r>
      <w:r w:rsidRPr="00C30976">
        <w:rPr>
          <w:lang w:eastAsia="fr-FR" w:bidi="fr-FR"/>
        </w:rPr>
        <w:t>créer et entretenir une marine de guerre</w:t>
      </w:r>
      <w:r w:rsidRPr="00C30976">
        <w:t> ;</w:t>
      </w:r>
    </w:p>
    <w:p w14:paraId="65FEFC97" w14:textId="77777777" w:rsidR="0039793A" w:rsidRPr="00C30976" w:rsidRDefault="0039793A" w:rsidP="0039793A">
      <w:pPr>
        <w:ind w:left="360"/>
        <w:jc w:val="both"/>
      </w:pPr>
      <w:r>
        <w:rPr>
          <w:lang w:eastAsia="fr-FR" w:bidi="fr-FR"/>
        </w:rPr>
        <w:t xml:space="preserve">— </w:t>
      </w:r>
      <w:r w:rsidRPr="00C30976">
        <w:rPr>
          <w:lang w:eastAsia="fr-FR" w:bidi="fr-FR"/>
        </w:rPr>
        <w:t>pourvoir à la convocation de la milice pour ass</w:t>
      </w:r>
      <w:r w:rsidRPr="00C30976">
        <w:rPr>
          <w:lang w:eastAsia="fr-FR" w:bidi="fr-FR"/>
        </w:rPr>
        <w:t>u</w:t>
      </w:r>
      <w:r w:rsidRPr="00C30976">
        <w:rPr>
          <w:lang w:eastAsia="fr-FR" w:bidi="fr-FR"/>
        </w:rPr>
        <w:t>rer l’exécution des lois de l’Union, réprimer les insurrections et r</w:t>
      </w:r>
      <w:r w:rsidRPr="00C30976">
        <w:rPr>
          <w:lang w:eastAsia="fr-FR" w:bidi="fr-FR"/>
        </w:rPr>
        <w:t>e</w:t>
      </w:r>
      <w:r w:rsidRPr="00C30976">
        <w:rPr>
          <w:lang w:eastAsia="fr-FR" w:bidi="fr-FR"/>
        </w:rPr>
        <w:t>pousser les inv</w:t>
      </w:r>
      <w:r w:rsidRPr="00C30976">
        <w:rPr>
          <w:lang w:eastAsia="fr-FR" w:bidi="fr-FR"/>
        </w:rPr>
        <w:t>a</w:t>
      </w:r>
      <w:r w:rsidRPr="00C30976">
        <w:rPr>
          <w:lang w:eastAsia="fr-FR" w:bidi="fr-FR"/>
        </w:rPr>
        <w:t>sions</w:t>
      </w:r>
      <w:r w:rsidRPr="00C30976">
        <w:t> ;</w:t>
      </w:r>
    </w:p>
    <w:p w14:paraId="022D0F2A" w14:textId="77777777" w:rsidR="0039793A" w:rsidRPr="00C30976" w:rsidRDefault="0039793A" w:rsidP="0039793A">
      <w:pPr>
        <w:ind w:left="360"/>
        <w:jc w:val="both"/>
      </w:pPr>
      <w:r>
        <w:rPr>
          <w:lang w:eastAsia="fr-FR" w:bidi="fr-FR"/>
        </w:rPr>
        <w:t xml:space="preserve">— </w:t>
      </w:r>
      <w:r w:rsidRPr="00C30976">
        <w:rPr>
          <w:lang w:eastAsia="fr-FR" w:bidi="fr-FR"/>
        </w:rPr>
        <w:t>pourvoir à l’organisation, à l’armement et à la discipline de la mil</w:t>
      </w:r>
      <w:r w:rsidRPr="00C30976">
        <w:rPr>
          <w:lang w:eastAsia="fr-FR" w:bidi="fr-FR"/>
        </w:rPr>
        <w:t>i</w:t>
      </w:r>
      <w:r w:rsidRPr="00C30976">
        <w:rPr>
          <w:lang w:eastAsia="fr-FR" w:bidi="fr-FR"/>
        </w:rPr>
        <w:t>ce [...]</w:t>
      </w:r>
      <w:r w:rsidRPr="00C30976">
        <w:t> »</w:t>
      </w:r>
      <w:r w:rsidRPr="00C30976">
        <w:rPr>
          <w:lang w:eastAsia="fr-FR" w:bidi="fr-FR"/>
        </w:rPr>
        <w:t>.</w:t>
      </w:r>
    </w:p>
    <w:p w14:paraId="15AB7DBA" w14:textId="77777777" w:rsidR="0039793A" w:rsidRDefault="0039793A" w:rsidP="0039793A">
      <w:pPr>
        <w:ind w:left="360"/>
        <w:jc w:val="both"/>
        <w:rPr>
          <w:lang w:eastAsia="fr-FR" w:bidi="fr-FR"/>
        </w:rPr>
      </w:pPr>
    </w:p>
    <w:p w14:paraId="6F02F647" w14:textId="77777777" w:rsidR="0039793A" w:rsidRPr="00C30976" w:rsidRDefault="0039793A" w:rsidP="0039793A">
      <w:pPr>
        <w:spacing w:before="120" w:after="120"/>
        <w:jc w:val="both"/>
      </w:pPr>
      <w:r w:rsidRPr="00C30976">
        <w:rPr>
          <w:lang w:eastAsia="fr-FR" w:bidi="fr-FR"/>
        </w:rPr>
        <w:t>L’article II section 2 précise les pouvoirs respe</w:t>
      </w:r>
      <w:r w:rsidRPr="00C30976">
        <w:rPr>
          <w:lang w:eastAsia="fr-FR" w:bidi="fr-FR"/>
        </w:rPr>
        <w:t>c</w:t>
      </w:r>
      <w:r w:rsidRPr="00C30976">
        <w:rPr>
          <w:lang w:eastAsia="fr-FR" w:bidi="fr-FR"/>
        </w:rPr>
        <w:t>tifs du président et du Congrès</w:t>
      </w:r>
      <w:r w:rsidRPr="00C30976">
        <w:t> :</w:t>
      </w:r>
      <w:r w:rsidRPr="00C30976">
        <w:rPr>
          <w:lang w:eastAsia="fr-FR" w:bidi="fr-FR"/>
        </w:rPr>
        <w:t xml:space="preserve"> </w:t>
      </w:r>
      <w:r w:rsidRPr="00C30976">
        <w:t>« </w:t>
      </w:r>
      <w:r w:rsidRPr="00C30976">
        <w:rPr>
          <w:lang w:eastAsia="fr-FR" w:bidi="fr-FR"/>
        </w:rPr>
        <w:t>Le président aura le pouvoir, sur l’avis conforme du Sénat, de concl</w:t>
      </w:r>
      <w:r w:rsidRPr="00C30976">
        <w:rPr>
          <w:lang w:eastAsia="fr-FR" w:bidi="fr-FR"/>
        </w:rPr>
        <w:t>u</w:t>
      </w:r>
      <w:r w:rsidRPr="00C30976">
        <w:rPr>
          <w:lang w:eastAsia="fr-FR" w:bidi="fr-FR"/>
        </w:rPr>
        <w:t>re des traités, pourvu que deux tiers des sénateurs présents donnent leur accord</w:t>
      </w:r>
      <w:r w:rsidRPr="00C30976">
        <w:t> ;</w:t>
      </w:r>
      <w:r w:rsidRPr="00C30976">
        <w:rPr>
          <w:lang w:eastAsia="fr-FR" w:bidi="fr-FR"/>
        </w:rPr>
        <w:t xml:space="preserve"> et il présentera au Sénat et, sur l’avis conforme de ce dernier, nommera les ambassadeurs, les autres mini</w:t>
      </w:r>
      <w:r w:rsidRPr="00C30976">
        <w:rPr>
          <w:lang w:eastAsia="fr-FR" w:bidi="fr-FR"/>
        </w:rPr>
        <w:t>s</w:t>
      </w:r>
      <w:r w:rsidRPr="00C30976">
        <w:rPr>
          <w:lang w:eastAsia="fr-FR" w:bidi="fr-FR"/>
        </w:rPr>
        <w:t>tres et les consuls [...].</w:t>
      </w:r>
      <w:r w:rsidRPr="00C30976">
        <w:t> »</w:t>
      </w:r>
      <w:r w:rsidRPr="00C30976">
        <w:rPr>
          <w:lang w:eastAsia="fr-FR" w:bidi="fr-FR"/>
        </w:rPr>
        <w:t xml:space="preserve"> Ce même article confie au président la fon</w:t>
      </w:r>
      <w:r w:rsidRPr="00C30976">
        <w:rPr>
          <w:lang w:eastAsia="fr-FR" w:bidi="fr-FR"/>
        </w:rPr>
        <w:t>c</w:t>
      </w:r>
      <w:r w:rsidRPr="00C30976">
        <w:rPr>
          <w:lang w:eastAsia="fr-FR" w:bidi="fr-FR"/>
        </w:rPr>
        <w:t>tion de commandant en chef des armées. E</w:t>
      </w:r>
      <w:r w:rsidRPr="00C30976">
        <w:rPr>
          <w:lang w:eastAsia="fr-FR" w:bidi="fr-FR"/>
        </w:rPr>
        <w:t>n</w:t>
      </w:r>
      <w:r w:rsidRPr="00C30976">
        <w:rPr>
          <w:lang w:eastAsia="fr-FR" w:bidi="fr-FR"/>
        </w:rPr>
        <w:t>fin, la Constitution confie au Congrès le pouvoir de réglementer l’immigration (article I section 9).</w:t>
      </w:r>
    </w:p>
    <w:p w14:paraId="5FAEEAFE" w14:textId="77777777" w:rsidR="0039793A" w:rsidRDefault="0039793A" w:rsidP="0039793A">
      <w:pPr>
        <w:spacing w:before="120" w:after="120"/>
        <w:jc w:val="both"/>
        <w:rPr>
          <w:lang w:eastAsia="fr-FR" w:bidi="fr-FR"/>
        </w:rPr>
      </w:pPr>
    </w:p>
    <w:p w14:paraId="5479ED03" w14:textId="77777777" w:rsidR="0039793A" w:rsidRPr="00FE6054" w:rsidRDefault="0039793A" w:rsidP="0039793A">
      <w:pPr>
        <w:pStyle w:val="b"/>
      </w:pPr>
      <w:r w:rsidRPr="00FE6054">
        <w:rPr>
          <w:lang w:eastAsia="fr-FR" w:bidi="fr-FR"/>
        </w:rPr>
        <w:t>L évolution de la pratique constitutionnelle</w:t>
      </w:r>
    </w:p>
    <w:p w14:paraId="648664A7" w14:textId="77777777" w:rsidR="0039793A" w:rsidRDefault="0039793A" w:rsidP="0039793A">
      <w:pPr>
        <w:spacing w:before="120" w:after="120"/>
        <w:jc w:val="both"/>
        <w:rPr>
          <w:lang w:eastAsia="fr-FR" w:bidi="fr-FR"/>
        </w:rPr>
      </w:pPr>
    </w:p>
    <w:p w14:paraId="12D04F56" w14:textId="77777777" w:rsidR="0039793A" w:rsidRPr="00C30976" w:rsidRDefault="0039793A" w:rsidP="0039793A">
      <w:pPr>
        <w:spacing w:before="120" w:after="120"/>
        <w:jc w:val="both"/>
      </w:pPr>
      <w:r w:rsidRPr="00C30976">
        <w:rPr>
          <w:lang w:eastAsia="fr-FR" w:bidi="fr-FR"/>
        </w:rPr>
        <w:t xml:space="preserve">En dépit de ces larges pouvoirs ainsi confiés par la Constitution au Congrès, la réalité </w:t>
      </w:r>
      <w:r>
        <w:rPr>
          <w:lang w:eastAsia="fr-FR" w:bidi="fr-FR"/>
        </w:rPr>
        <w:t>e</w:t>
      </w:r>
      <w:r w:rsidRPr="00C30976">
        <w:rPr>
          <w:lang w:eastAsia="fr-FR" w:bidi="fr-FR"/>
        </w:rPr>
        <w:t>st bien diff</w:t>
      </w:r>
      <w:r w:rsidRPr="00C30976">
        <w:rPr>
          <w:lang w:eastAsia="fr-FR" w:bidi="fr-FR"/>
        </w:rPr>
        <w:t>é</w:t>
      </w:r>
      <w:r w:rsidRPr="00C30976">
        <w:rPr>
          <w:lang w:eastAsia="fr-FR" w:bidi="fr-FR"/>
        </w:rPr>
        <w:t>rente</w:t>
      </w:r>
      <w:r w:rsidRPr="00C30976">
        <w:t> :</w:t>
      </w:r>
      <w:r w:rsidRPr="00C30976">
        <w:rPr>
          <w:lang w:eastAsia="fr-FR" w:bidi="fr-FR"/>
        </w:rPr>
        <w:t xml:space="preserve"> l’Exécutif a gagné beaucoup de terrain, y compris dans les domaines spécifiquement réservés au Congrès.</w:t>
      </w:r>
    </w:p>
    <w:p w14:paraId="5C804299" w14:textId="77777777" w:rsidR="0039793A" w:rsidRPr="00C30976" w:rsidRDefault="0039793A" w:rsidP="0039793A">
      <w:pPr>
        <w:spacing w:before="120" w:after="120"/>
        <w:jc w:val="both"/>
      </w:pPr>
      <w:r w:rsidRPr="00C30976">
        <w:rPr>
          <w:lang w:eastAsia="fr-FR" w:bidi="fr-FR"/>
        </w:rPr>
        <w:t>Ainsi, la Constitution confie au Congrès le po</w:t>
      </w:r>
      <w:r w:rsidRPr="00C30976">
        <w:rPr>
          <w:lang w:eastAsia="fr-FR" w:bidi="fr-FR"/>
        </w:rPr>
        <w:t>u</w:t>
      </w:r>
      <w:r w:rsidRPr="00C30976">
        <w:rPr>
          <w:lang w:eastAsia="fr-FR" w:bidi="fr-FR"/>
        </w:rPr>
        <w:t>voir de déclarer la guerre</w:t>
      </w:r>
      <w:r w:rsidRPr="00C30976">
        <w:t> ;</w:t>
      </w:r>
      <w:r w:rsidRPr="00C30976">
        <w:rPr>
          <w:lang w:eastAsia="fr-FR" w:bidi="fr-FR"/>
        </w:rPr>
        <w:t xml:space="preserve"> l’idée des constituants était d’empêcher un président de conduire de son propre chef une guerre de convenance, à l’instar des monarques européens. Mais la Charte fondamentale a plié devant la pratique constitutionnelle</w:t>
      </w:r>
      <w:r w:rsidRPr="00C30976">
        <w:t> :</w:t>
      </w:r>
      <w:r w:rsidRPr="00C30976">
        <w:rPr>
          <w:lang w:eastAsia="fr-FR" w:bidi="fr-FR"/>
        </w:rPr>
        <w:t xml:space="preserve"> le prés</w:t>
      </w:r>
      <w:r w:rsidRPr="00C30976">
        <w:rPr>
          <w:lang w:eastAsia="fr-FR" w:bidi="fr-FR"/>
        </w:rPr>
        <w:t>i</w:t>
      </w:r>
      <w:r w:rsidRPr="00C30976">
        <w:rPr>
          <w:lang w:eastAsia="fr-FR" w:bidi="fr-FR"/>
        </w:rPr>
        <w:t>dent, en tant que Chef des armées et responsable de la sécurité nationale, a progressivement gagné du terrain et repris ce pouvoir au Congrès dans les faits. La Loi sur les pouvoirs de guerre (</w:t>
      </w:r>
      <w:r w:rsidRPr="00FE6054">
        <w:rPr>
          <w:i/>
          <w:iCs/>
        </w:rPr>
        <w:t>War Po</w:t>
      </w:r>
      <w:r>
        <w:rPr>
          <w:i/>
          <w:iCs/>
        </w:rPr>
        <w:t>w</w:t>
      </w:r>
      <w:r w:rsidRPr="00FE6054">
        <w:rPr>
          <w:i/>
          <w:iCs/>
        </w:rPr>
        <w:t>ers Act</w:t>
      </w:r>
      <w:r w:rsidRPr="00C30976">
        <w:t>)</w:t>
      </w:r>
      <w:r w:rsidRPr="00C30976">
        <w:rPr>
          <w:lang w:eastAsia="fr-FR" w:bidi="fr-FR"/>
        </w:rPr>
        <w:t xml:space="preserve"> de 1973 fait obligation au prés</w:t>
      </w:r>
      <w:r w:rsidRPr="00C30976">
        <w:rPr>
          <w:lang w:eastAsia="fr-FR" w:bidi="fr-FR"/>
        </w:rPr>
        <w:t>i</w:t>
      </w:r>
      <w:r w:rsidRPr="00C30976">
        <w:rPr>
          <w:lang w:eastAsia="fr-FR" w:bidi="fr-FR"/>
        </w:rPr>
        <w:t>dent de consulter si possible au préalable, puis d’informer le Congrès des déploiements de troupes à l’étranger qu’elle limite à 60 jours sauf décision contraire du Congrès. De plus, ce dernier peut à tout moment faire cesser les opérations par une résolution</w:t>
      </w:r>
      <w:r>
        <w:rPr>
          <w:lang w:eastAsia="fr-FR" w:bidi="fr-FR"/>
        </w:rPr>
        <w:t xml:space="preserve"> </w:t>
      </w:r>
      <w:r>
        <w:t xml:space="preserve">[257] </w:t>
      </w:r>
      <w:r w:rsidRPr="00C30976">
        <w:rPr>
          <w:lang w:eastAsia="fr-FR" w:bidi="fr-FR"/>
        </w:rPr>
        <w:t>concurrente - acte qui ne nécessite pas de signature du prés</w:t>
      </w:r>
      <w:r w:rsidRPr="00C30976">
        <w:rPr>
          <w:lang w:eastAsia="fr-FR" w:bidi="fr-FR"/>
        </w:rPr>
        <w:t>i</w:t>
      </w:r>
      <w:r w:rsidRPr="00C30976">
        <w:rPr>
          <w:lang w:eastAsia="fr-FR" w:bidi="fr-FR"/>
        </w:rPr>
        <w:t>dent et lui ôte donc son droit de veto</w:t>
      </w:r>
      <w:r>
        <w:rPr>
          <w:lang w:eastAsia="fr-FR" w:bidi="fr-FR"/>
        </w:rPr>
        <w:t> </w:t>
      </w:r>
      <w:r>
        <w:rPr>
          <w:rStyle w:val="Appelnotedebasdep"/>
          <w:lang w:eastAsia="fr-FR" w:bidi="fr-FR"/>
        </w:rPr>
        <w:footnoteReference w:id="515"/>
      </w:r>
      <w:r w:rsidRPr="00C30976">
        <w:rPr>
          <w:lang w:eastAsia="fr-FR" w:bidi="fr-FR"/>
        </w:rPr>
        <w:t>. À l’instar de Richard Nixon, tous les présidents ont affi</w:t>
      </w:r>
      <w:r w:rsidRPr="00C30976">
        <w:rPr>
          <w:lang w:eastAsia="fr-FR" w:bidi="fr-FR"/>
        </w:rPr>
        <w:t>r</w:t>
      </w:r>
      <w:r w:rsidRPr="00C30976">
        <w:rPr>
          <w:lang w:eastAsia="fr-FR" w:bidi="fr-FR"/>
        </w:rPr>
        <w:t>mé la non-conformité de la Loi sur les pouvoirs de guerre à la Const</w:t>
      </w:r>
      <w:r w:rsidRPr="00C30976">
        <w:rPr>
          <w:lang w:eastAsia="fr-FR" w:bidi="fr-FR"/>
        </w:rPr>
        <w:t>i</w:t>
      </w:r>
      <w:r w:rsidRPr="00C30976">
        <w:rPr>
          <w:lang w:eastAsia="fr-FR" w:bidi="fr-FR"/>
        </w:rPr>
        <w:t>tution, et ont refusé de se conformer à ses contrai</w:t>
      </w:r>
      <w:r w:rsidRPr="00C30976">
        <w:rPr>
          <w:lang w:eastAsia="fr-FR" w:bidi="fr-FR"/>
        </w:rPr>
        <w:t>n</w:t>
      </w:r>
      <w:r w:rsidRPr="00C30976">
        <w:rPr>
          <w:lang w:eastAsia="fr-FR" w:bidi="fr-FR"/>
        </w:rPr>
        <w:t>tes rigides, au motif qu’elle constitue une intrusion du Lég</w:t>
      </w:r>
      <w:r w:rsidRPr="00C30976">
        <w:rPr>
          <w:lang w:eastAsia="fr-FR" w:bidi="fr-FR"/>
        </w:rPr>
        <w:t>i</w:t>
      </w:r>
      <w:r w:rsidRPr="00C30976">
        <w:rPr>
          <w:lang w:eastAsia="fr-FR" w:bidi="fr-FR"/>
        </w:rPr>
        <w:t>slatif dans leur pouvoir de commandant en chef des armées et plus généralement dans leur po</w:t>
      </w:r>
      <w:r w:rsidRPr="00C30976">
        <w:rPr>
          <w:lang w:eastAsia="fr-FR" w:bidi="fr-FR"/>
        </w:rPr>
        <w:t>u</w:t>
      </w:r>
      <w:r w:rsidRPr="00C30976">
        <w:rPr>
          <w:lang w:eastAsia="fr-FR" w:bidi="fr-FR"/>
        </w:rPr>
        <w:t>voir exécutif. Le jeu a donc consisté à se plier à moitié à la Loi sur les pouvoirs de guerre</w:t>
      </w:r>
      <w:r w:rsidRPr="00C30976">
        <w:t> :</w:t>
      </w:r>
      <w:r w:rsidRPr="00C30976">
        <w:rPr>
          <w:lang w:eastAsia="fr-FR" w:bidi="fr-FR"/>
        </w:rPr>
        <w:t xml:space="preserve"> d’une part, en informant et consu</w:t>
      </w:r>
      <w:r w:rsidRPr="00C30976">
        <w:rPr>
          <w:lang w:eastAsia="fr-FR" w:bidi="fr-FR"/>
        </w:rPr>
        <w:t>l</w:t>
      </w:r>
      <w:r w:rsidRPr="00C30976">
        <w:rPr>
          <w:lang w:eastAsia="fr-FR" w:bidi="fr-FR"/>
        </w:rPr>
        <w:t>tant le Congrès conformément à l’esprit de la loi (</w:t>
      </w:r>
      <w:r w:rsidRPr="006762B2">
        <w:rPr>
          <w:i/>
          <w:iCs/>
        </w:rPr>
        <w:t>consistent with the r</w:t>
      </w:r>
      <w:r>
        <w:rPr>
          <w:i/>
          <w:iCs/>
        </w:rPr>
        <w:t>e</w:t>
      </w:r>
      <w:r w:rsidRPr="006762B2">
        <w:rPr>
          <w:i/>
          <w:iCs/>
        </w:rPr>
        <w:t>solution</w:t>
      </w:r>
      <w:r w:rsidRPr="00C30976">
        <w:t>)</w:t>
      </w:r>
      <w:r w:rsidRPr="00C30976">
        <w:rPr>
          <w:lang w:eastAsia="fr-FR" w:bidi="fr-FR"/>
        </w:rPr>
        <w:t xml:space="preserve"> et non à sa lettre </w:t>
      </w:r>
      <w:r>
        <w:rPr>
          <w:lang w:eastAsia="fr-FR" w:bidi="fr-FR"/>
        </w:rPr>
        <w:t>(</w:t>
      </w:r>
      <w:r w:rsidRPr="006762B2">
        <w:rPr>
          <w:rStyle w:val="Corpsdutexte210ptItalique"/>
        </w:rPr>
        <w:t xml:space="preserve">in </w:t>
      </w:r>
      <w:r w:rsidRPr="006762B2">
        <w:rPr>
          <w:i/>
          <w:iCs/>
        </w:rPr>
        <w:t>compliance</w:t>
      </w:r>
      <w:r w:rsidRPr="00C30976">
        <w:rPr>
          <w:lang w:eastAsia="fr-FR" w:bidi="fr-FR"/>
        </w:rPr>
        <w:t>), et d’autre part en pr</w:t>
      </w:r>
      <w:r w:rsidRPr="00C30976">
        <w:rPr>
          <w:lang w:eastAsia="fr-FR" w:bidi="fr-FR"/>
        </w:rPr>
        <w:t>e</w:t>
      </w:r>
      <w:r w:rsidRPr="00C30976">
        <w:rPr>
          <w:lang w:eastAsia="fr-FR" w:bidi="fr-FR"/>
        </w:rPr>
        <w:t>nant soin de' ne jamais invoquer, dans les actes d’information du Congrès, l’article IV (a) (1) qui déclenche le com</w:t>
      </w:r>
      <w:r w:rsidRPr="00C30976">
        <w:rPr>
          <w:lang w:eastAsia="fr-FR" w:bidi="fr-FR"/>
        </w:rPr>
        <w:t>p</w:t>
      </w:r>
      <w:r w:rsidRPr="00C30976">
        <w:rPr>
          <w:lang w:eastAsia="fr-FR" w:bidi="fr-FR"/>
        </w:rPr>
        <w:t>te à rebours des 60 jours</w:t>
      </w:r>
      <w:r>
        <w:rPr>
          <w:lang w:eastAsia="fr-FR" w:bidi="fr-FR"/>
        </w:rPr>
        <w:t> </w:t>
      </w:r>
      <w:r>
        <w:rPr>
          <w:rStyle w:val="Appelnotedebasdep"/>
          <w:lang w:eastAsia="fr-FR" w:bidi="fr-FR"/>
        </w:rPr>
        <w:footnoteReference w:id="516"/>
      </w:r>
      <w:r w:rsidRPr="00C30976">
        <w:rPr>
          <w:lang w:eastAsia="fr-FR" w:bidi="fr-FR"/>
        </w:rPr>
        <w:t>. De fait, sur les 92 rapports soumis de 1975 à 2001 sur des opérations e</w:t>
      </w:r>
      <w:r w:rsidRPr="00C30976">
        <w:rPr>
          <w:lang w:eastAsia="fr-FR" w:bidi="fr-FR"/>
        </w:rPr>
        <w:t>x</w:t>
      </w:r>
      <w:r w:rsidRPr="00C30976">
        <w:rPr>
          <w:lang w:eastAsia="fr-FR" w:bidi="fr-FR"/>
        </w:rPr>
        <w:t xml:space="preserve">térieures, un seul (concernant la reprise par la force du </w:t>
      </w:r>
      <w:r w:rsidRPr="006762B2">
        <w:rPr>
          <w:i/>
          <w:iCs/>
        </w:rPr>
        <w:t>Mayaguez</w:t>
      </w:r>
      <w:r w:rsidRPr="00C30976">
        <w:t>,</w:t>
      </w:r>
      <w:r w:rsidRPr="00C30976">
        <w:rPr>
          <w:lang w:eastAsia="fr-FR" w:bidi="fr-FR"/>
        </w:rPr>
        <w:t xml:space="preserve"> un bâtiment américain saisi par la Marine cambodgienne en 1975) mentionne e</w:t>
      </w:r>
      <w:r w:rsidRPr="00C30976">
        <w:rPr>
          <w:lang w:eastAsia="fr-FR" w:bidi="fr-FR"/>
        </w:rPr>
        <w:t>x</w:t>
      </w:r>
      <w:r w:rsidRPr="00C30976">
        <w:rPr>
          <w:lang w:eastAsia="fr-FR" w:bidi="fr-FR"/>
        </w:rPr>
        <w:t>plicitement l’article IV (a) (1). Le Congrès lui-même s’est accomm</w:t>
      </w:r>
      <w:r w:rsidRPr="00C30976">
        <w:rPr>
          <w:lang w:eastAsia="fr-FR" w:bidi="fr-FR"/>
        </w:rPr>
        <w:t>o</w:t>
      </w:r>
      <w:r w:rsidRPr="00C30976">
        <w:rPr>
          <w:lang w:eastAsia="fr-FR" w:bidi="fr-FR"/>
        </w:rPr>
        <w:t xml:space="preserve">dé de procédures législatives </w:t>
      </w:r>
      <w:r w:rsidRPr="006762B2">
        <w:rPr>
          <w:i/>
          <w:iCs/>
        </w:rPr>
        <w:t>ad hoc</w:t>
      </w:r>
      <w:r w:rsidRPr="00C30976">
        <w:rPr>
          <w:lang w:eastAsia="fr-FR" w:bidi="fr-FR"/>
        </w:rPr>
        <w:t>, ne souha</w:t>
      </w:r>
      <w:r w:rsidRPr="00C30976">
        <w:rPr>
          <w:lang w:eastAsia="fr-FR" w:bidi="fr-FR"/>
        </w:rPr>
        <w:t>i</w:t>
      </w:r>
      <w:r w:rsidRPr="00C30976">
        <w:rPr>
          <w:lang w:eastAsia="fr-FR" w:bidi="fr-FR"/>
        </w:rPr>
        <w:t>tant pas forcément se placer dans le cadre juridique r</w:t>
      </w:r>
      <w:r w:rsidRPr="00C30976">
        <w:rPr>
          <w:lang w:eastAsia="fr-FR" w:bidi="fr-FR"/>
        </w:rPr>
        <w:t>i</w:t>
      </w:r>
      <w:r w:rsidRPr="00C30976">
        <w:rPr>
          <w:lang w:eastAsia="fr-FR" w:bidi="fr-FR"/>
        </w:rPr>
        <w:t>gide de la Loi sur les pouvoirs de guerre lors des crises, comme lors des votes d’autorisation de l’emploi de la force contre l’Irak, les 12 janvier 1991 et 10-11 octobre 2002.</w:t>
      </w:r>
    </w:p>
    <w:p w14:paraId="3F87D5CD" w14:textId="77777777" w:rsidR="0039793A" w:rsidRPr="00C30976" w:rsidRDefault="0039793A" w:rsidP="0039793A">
      <w:pPr>
        <w:spacing w:before="120" w:after="120"/>
        <w:jc w:val="both"/>
      </w:pPr>
      <w:r w:rsidRPr="00C30976">
        <w:rPr>
          <w:lang w:eastAsia="fr-FR" w:bidi="fr-FR"/>
        </w:rPr>
        <w:t xml:space="preserve">En 1999, le président Clinton a mené une guerre aérienne contre la Serbie dans le cadre multilatéral de </w:t>
      </w:r>
      <w:r w:rsidRPr="00C30976">
        <w:t xml:space="preserve">l’OTAN </w:t>
      </w:r>
      <w:r w:rsidRPr="006762B2">
        <w:rPr>
          <w:i/>
          <w:iCs/>
          <w:lang w:eastAsia="fr-FR" w:bidi="fr-FR"/>
        </w:rPr>
        <w:t xml:space="preserve">sans </w:t>
      </w:r>
      <w:r w:rsidRPr="006762B2">
        <w:rPr>
          <w:i/>
          <w:iCs/>
        </w:rPr>
        <w:t>autorisation explic</w:t>
      </w:r>
      <w:r w:rsidRPr="006762B2">
        <w:rPr>
          <w:i/>
          <w:iCs/>
        </w:rPr>
        <w:t>i</w:t>
      </w:r>
      <w:r w:rsidRPr="006762B2">
        <w:rPr>
          <w:i/>
          <w:iCs/>
        </w:rPr>
        <w:t>te</w:t>
      </w:r>
      <w:r w:rsidRPr="006762B2">
        <w:rPr>
          <w:i/>
          <w:iCs/>
          <w:lang w:eastAsia="fr-FR" w:bidi="fr-FR"/>
        </w:rPr>
        <w:t xml:space="preserve"> du Congrès</w:t>
      </w:r>
      <w:r w:rsidRPr="00C30976">
        <w:rPr>
          <w:lang w:eastAsia="fr-FR" w:bidi="fr-FR"/>
        </w:rPr>
        <w:t xml:space="preserve"> - mais sans </w:t>
      </w:r>
      <w:r w:rsidRPr="006762B2">
        <w:rPr>
          <w:i/>
          <w:iCs/>
        </w:rPr>
        <w:t>refus explicite</w:t>
      </w:r>
      <w:r w:rsidRPr="00C30976">
        <w:rPr>
          <w:lang w:eastAsia="fr-FR" w:bidi="fr-FR"/>
        </w:rPr>
        <w:t xml:space="preserve"> non plus, et sans que les deux Chambres forcent l’application de la Loi sur les pouvoirs de guerre. Le 30 avril 1999, un recours fondé sur le non-respect de la Loi sur les pouvoirs de guerre a été formé par le représentant Tom Cam</w:t>
      </w:r>
      <w:r w:rsidRPr="00C30976">
        <w:rPr>
          <w:lang w:eastAsia="fr-FR" w:bidi="fr-FR"/>
        </w:rPr>
        <w:t>p</w:t>
      </w:r>
      <w:r w:rsidRPr="00C30976">
        <w:rPr>
          <w:lang w:eastAsia="fr-FR" w:bidi="fr-FR"/>
        </w:rPr>
        <w:t>bell et certains de ses collègues, mais une cour fédérale (8 juin 1999) et la cour d’appel du District de</w:t>
      </w:r>
      <w:r>
        <w:rPr>
          <w:lang w:eastAsia="fr-FR" w:bidi="fr-FR"/>
        </w:rPr>
        <w:t xml:space="preserve"> </w:t>
      </w:r>
      <w:r>
        <w:t xml:space="preserve">[258] </w:t>
      </w:r>
      <w:r w:rsidRPr="00C30976">
        <w:rPr>
          <w:lang w:eastAsia="fr-FR" w:bidi="fr-FR"/>
        </w:rPr>
        <w:t>Columbia (18 février 2000) ont successivement estimé qu’il n’était pas possible pour ces représe</w:t>
      </w:r>
      <w:r w:rsidRPr="00C30976">
        <w:rPr>
          <w:lang w:eastAsia="fr-FR" w:bidi="fr-FR"/>
        </w:rPr>
        <w:t>n</w:t>
      </w:r>
      <w:r w:rsidRPr="00C30976">
        <w:rPr>
          <w:lang w:eastAsia="fr-FR" w:bidi="fr-FR"/>
        </w:rPr>
        <w:t>tants de mener une action judiciaire contre le prés</w:t>
      </w:r>
      <w:r w:rsidRPr="00C30976">
        <w:rPr>
          <w:lang w:eastAsia="fr-FR" w:bidi="fr-FR"/>
        </w:rPr>
        <w:t>i</w:t>
      </w:r>
      <w:r w:rsidRPr="00C30976">
        <w:rPr>
          <w:lang w:eastAsia="fr-FR" w:bidi="fr-FR"/>
        </w:rPr>
        <w:t>dent sur ces bases. La Cour suprême, le 2 octobre 2000, a choisi de ne pas se prononcer, la fin de non- recevoir émise par la cour inférieure devenant définit</w:t>
      </w:r>
      <w:r w:rsidRPr="00C30976">
        <w:rPr>
          <w:lang w:eastAsia="fr-FR" w:bidi="fr-FR"/>
        </w:rPr>
        <w:t>i</w:t>
      </w:r>
      <w:r w:rsidRPr="00C30976">
        <w:rPr>
          <w:lang w:eastAsia="fr-FR" w:bidi="fr-FR"/>
        </w:rPr>
        <w:t>ve</w:t>
      </w:r>
      <w:r>
        <w:rPr>
          <w:lang w:eastAsia="fr-FR" w:bidi="fr-FR"/>
        </w:rPr>
        <w:t> </w:t>
      </w:r>
      <w:r>
        <w:rPr>
          <w:rStyle w:val="Appelnotedebasdep"/>
          <w:lang w:eastAsia="fr-FR" w:bidi="fr-FR"/>
        </w:rPr>
        <w:footnoteReference w:id="517"/>
      </w:r>
      <w:r w:rsidRPr="00C30976">
        <w:t xml:space="preserve">. </w:t>
      </w:r>
      <w:r w:rsidRPr="00C30976">
        <w:rPr>
          <w:lang w:eastAsia="fr-FR" w:bidi="fr-FR"/>
        </w:rPr>
        <w:t>En 2001 et 2002, dans le conte</w:t>
      </w:r>
      <w:r w:rsidRPr="00C30976">
        <w:rPr>
          <w:lang w:eastAsia="fr-FR" w:bidi="fr-FR"/>
        </w:rPr>
        <w:t>x</w:t>
      </w:r>
      <w:r w:rsidRPr="00C30976">
        <w:rPr>
          <w:lang w:eastAsia="fr-FR" w:bidi="fr-FR"/>
        </w:rPr>
        <w:t>te particulier de l’après- 11 septembre marqué par un retour de la prés</w:t>
      </w:r>
      <w:r w:rsidRPr="00C30976">
        <w:rPr>
          <w:lang w:eastAsia="fr-FR" w:bidi="fr-FR"/>
        </w:rPr>
        <w:t>i</w:t>
      </w:r>
      <w:r w:rsidRPr="00C30976">
        <w:rPr>
          <w:lang w:eastAsia="fr-FR" w:bidi="fr-FR"/>
        </w:rPr>
        <w:t>dence impériale, le Congrès a adopté deux autorisations d’emploi de la force militaire. Le 14 septembre 2001, les deux Chambres ont voté un même texte aut</w:t>
      </w:r>
      <w:r w:rsidRPr="00C30976">
        <w:rPr>
          <w:lang w:eastAsia="fr-FR" w:bidi="fr-FR"/>
        </w:rPr>
        <w:t>o</w:t>
      </w:r>
      <w:r w:rsidRPr="00C30976">
        <w:rPr>
          <w:lang w:eastAsia="fr-FR" w:bidi="fr-FR"/>
        </w:rPr>
        <w:t xml:space="preserve">risant l’usage de la force militaire contre les </w:t>
      </w:r>
      <w:r w:rsidRPr="00C30976">
        <w:t>« </w:t>
      </w:r>
      <w:r w:rsidRPr="00C30976">
        <w:rPr>
          <w:lang w:eastAsia="fr-FR" w:bidi="fr-FR"/>
        </w:rPr>
        <w:t>nations, organisations ou personnes</w:t>
      </w:r>
      <w:r w:rsidRPr="00C30976">
        <w:t> »</w:t>
      </w:r>
      <w:r w:rsidRPr="00C30976">
        <w:rPr>
          <w:lang w:eastAsia="fr-FR" w:bidi="fr-FR"/>
        </w:rPr>
        <w:t xml:space="preserve"> impliquées dans les attaques du 11 septembre</w:t>
      </w:r>
      <w:r>
        <w:rPr>
          <w:lang w:eastAsia="fr-FR" w:bidi="fr-FR"/>
        </w:rPr>
        <w:t> </w:t>
      </w:r>
      <w:r>
        <w:rPr>
          <w:rStyle w:val="Appelnotedebasdep"/>
          <w:lang w:eastAsia="fr-FR" w:bidi="fr-FR"/>
        </w:rPr>
        <w:footnoteReference w:id="518"/>
      </w:r>
      <w:r w:rsidRPr="00C30976">
        <w:rPr>
          <w:lang w:eastAsia="fr-FR" w:bidi="fr-FR"/>
        </w:rPr>
        <w:t xml:space="preserve"> - ce qui a rendu possible l’attaque de l’Afghanistan. Les 10 et 11 octobre 2002, peu avant les élections de mi-mandat, elles ont voté une autor</w:t>
      </w:r>
      <w:r w:rsidRPr="00C30976">
        <w:rPr>
          <w:lang w:eastAsia="fr-FR" w:bidi="fr-FR"/>
        </w:rPr>
        <w:t>i</w:t>
      </w:r>
      <w:r w:rsidRPr="00C30976">
        <w:rPr>
          <w:lang w:eastAsia="fr-FR" w:bidi="fr-FR"/>
        </w:rPr>
        <w:t>sation de recours à la force contre l’Irak</w:t>
      </w:r>
      <w:r>
        <w:rPr>
          <w:lang w:eastAsia="fr-FR" w:bidi="fr-FR"/>
        </w:rPr>
        <w:t> </w:t>
      </w:r>
      <w:r>
        <w:rPr>
          <w:rStyle w:val="Appelnotedebasdep"/>
          <w:lang w:eastAsia="fr-FR" w:bidi="fr-FR"/>
        </w:rPr>
        <w:footnoteReference w:id="519"/>
      </w:r>
      <w:r>
        <w:rPr>
          <w:lang w:eastAsia="fr-FR" w:bidi="fr-FR"/>
        </w:rPr>
        <w:t xml:space="preserve"> </w:t>
      </w:r>
      <w:r w:rsidRPr="00C30976">
        <w:rPr>
          <w:lang w:eastAsia="fr-FR" w:bidi="fr-FR"/>
        </w:rPr>
        <w:t>— avant même que le d</w:t>
      </w:r>
      <w:r w:rsidRPr="00C30976">
        <w:rPr>
          <w:lang w:eastAsia="fr-FR" w:bidi="fr-FR"/>
        </w:rPr>
        <w:t>é</w:t>
      </w:r>
      <w:r w:rsidRPr="00C30976">
        <w:rPr>
          <w:lang w:eastAsia="fr-FR" w:bidi="fr-FR"/>
        </w:rPr>
        <w:t>bat aux Nations unies ait abouti à la résolution 1441 (à l’inverse de la crise du Golfe de 1990-1991, où le débat à l’ONU, aboutissant n</w:t>
      </w:r>
      <w:r w:rsidRPr="00C30976">
        <w:rPr>
          <w:lang w:eastAsia="fr-FR" w:bidi="fr-FR"/>
        </w:rPr>
        <w:t>o</w:t>
      </w:r>
      <w:r w:rsidRPr="00C30976">
        <w:rPr>
          <w:lang w:eastAsia="fr-FR" w:bidi="fr-FR"/>
        </w:rPr>
        <w:t>tamment à la résolution 678, avait re</w:t>
      </w:r>
      <w:r w:rsidRPr="00C30976">
        <w:rPr>
          <w:lang w:eastAsia="fr-FR" w:bidi="fr-FR"/>
        </w:rPr>
        <w:t>n</w:t>
      </w:r>
      <w:r w:rsidRPr="00C30976">
        <w:rPr>
          <w:lang w:eastAsia="fr-FR" w:bidi="fr-FR"/>
        </w:rPr>
        <w:t>forcé la main du président face au Congrès). Ces deux dernières autoris</w:t>
      </w:r>
      <w:r w:rsidRPr="00C30976">
        <w:rPr>
          <w:lang w:eastAsia="fr-FR" w:bidi="fr-FR"/>
        </w:rPr>
        <w:t>a</w:t>
      </w:r>
      <w:r w:rsidRPr="00C30976">
        <w:rPr>
          <w:lang w:eastAsia="fr-FR" w:bidi="fr-FR"/>
        </w:rPr>
        <w:t xml:space="preserve">tions du Congrès renforcent l’usage selon lequel on se place dans </w:t>
      </w:r>
      <w:r w:rsidRPr="005F5610">
        <w:rPr>
          <w:i/>
        </w:rPr>
        <w:t>l’esprit</w:t>
      </w:r>
      <w:r w:rsidRPr="00C30976">
        <w:rPr>
          <w:lang w:eastAsia="fr-FR" w:bidi="fr-FR"/>
        </w:rPr>
        <w:t xml:space="preserve"> de la Loi sur les pouvoirs de guerre (autorisation explicite par un vote, consultations, inform</w:t>
      </w:r>
      <w:r w:rsidRPr="00C30976">
        <w:rPr>
          <w:lang w:eastAsia="fr-FR" w:bidi="fr-FR"/>
        </w:rPr>
        <w:t>a</w:t>
      </w:r>
      <w:r w:rsidRPr="00C30976">
        <w:rPr>
          <w:lang w:eastAsia="fr-FR" w:bidi="fr-FR"/>
        </w:rPr>
        <w:t>tion des parlementaires à intervalles réguliers) sans que le président ou le Congrès renoncent formellement à son appréciation de la constit</w:t>
      </w:r>
      <w:r w:rsidRPr="00C30976">
        <w:rPr>
          <w:lang w:eastAsia="fr-FR" w:bidi="fr-FR"/>
        </w:rPr>
        <w:t>u</w:t>
      </w:r>
      <w:r w:rsidRPr="00C30976">
        <w:rPr>
          <w:lang w:eastAsia="fr-FR" w:bidi="fr-FR"/>
        </w:rPr>
        <w:t>tionnalité de la Loi.</w:t>
      </w:r>
    </w:p>
    <w:p w14:paraId="5921FABA" w14:textId="77777777" w:rsidR="0039793A" w:rsidRDefault="0039793A" w:rsidP="0039793A">
      <w:pPr>
        <w:spacing w:before="120" w:after="120"/>
        <w:jc w:val="both"/>
        <w:rPr>
          <w:lang w:eastAsia="fr-FR" w:bidi="fr-FR"/>
        </w:rPr>
      </w:pPr>
      <w:r>
        <w:rPr>
          <w:lang w:eastAsia="fr-FR" w:bidi="fr-FR"/>
        </w:rPr>
        <w:br w:type="page"/>
      </w:r>
    </w:p>
    <w:p w14:paraId="079CA8EF" w14:textId="77777777" w:rsidR="0039793A" w:rsidRPr="00626420" w:rsidRDefault="0039793A" w:rsidP="0039793A">
      <w:pPr>
        <w:pStyle w:val="b"/>
      </w:pPr>
      <w:r w:rsidRPr="00626420">
        <w:rPr>
          <w:lang w:eastAsia="fr-FR" w:bidi="fr-FR"/>
        </w:rPr>
        <w:t>Les pouvoirs réels du Congres</w:t>
      </w:r>
    </w:p>
    <w:p w14:paraId="200999DD" w14:textId="77777777" w:rsidR="0039793A" w:rsidRDefault="0039793A" w:rsidP="0039793A">
      <w:pPr>
        <w:spacing w:before="120" w:after="120"/>
        <w:jc w:val="both"/>
        <w:rPr>
          <w:lang w:eastAsia="fr-FR" w:bidi="fr-FR"/>
        </w:rPr>
      </w:pPr>
    </w:p>
    <w:p w14:paraId="2B60803D" w14:textId="77777777" w:rsidR="0039793A" w:rsidRPr="00C30976" w:rsidRDefault="0039793A" w:rsidP="0039793A">
      <w:pPr>
        <w:spacing w:before="120" w:after="120"/>
        <w:jc w:val="both"/>
      </w:pPr>
      <w:r w:rsidRPr="00C30976">
        <w:rPr>
          <w:lang w:eastAsia="fr-FR" w:bidi="fr-FR"/>
        </w:rPr>
        <w:t>Est-ce à dire que le président a les mains libres et peut mener les guerres et opérations extérieures comme il l’entend</w:t>
      </w:r>
      <w:r w:rsidRPr="00C30976">
        <w:t> ?</w:t>
      </w:r>
      <w:r w:rsidRPr="00C30976">
        <w:rPr>
          <w:lang w:eastAsia="fr-FR" w:bidi="fr-FR"/>
        </w:rPr>
        <w:t xml:space="preserve"> Pas tout à fait, et pour deux raisons. D’une part, il est probable qu’un vote m</w:t>
      </w:r>
      <w:r w:rsidRPr="00C30976">
        <w:rPr>
          <w:lang w:eastAsia="fr-FR" w:bidi="fr-FR"/>
        </w:rPr>
        <w:t>a</w:t>
      </w:r>
      <w:r w:rsidRPr="00C30976">
        <w:rPr>
          <w:lang w:eastAsia="fr-FR" w:bidi="fr-FR"/>
        </w:rPr>
        <w:t>joritaire des deux Chambres, appuyé par un arrêt du financement des opér</w:t>
      </w:r>
      <w:r w:rsidRPr="00C30976">
        <w:rPr>
          <w:lang w:eastAsia="fr-FR" w:bidi="fr-FR"/>
        </w:rPr>
        <w:t>a</w:t>
      </w:r>
      <w:r w:rsidRPr="00C30976">
        <w:rPr>
          <w:lang w:eastAsia="fr-FR" w:bidi="fr-FR"/>
        </w:rPr>
        <w:t xml:space="preserve">tions </w:t>
      </w:r>
      <w:r>
        <w:rPr>
          <w:lang w:eastAsia="fr-FR" w:bidi="fr-FR"/>
        </w:rPr>
        <w:t>—</w:t>
      </w:r>
      <w:r w:rsidRPr="00C30976">
        <w:rPr>
          <w:lang w:eastAsia="fr-FR" w:bidi="fr-FR"/>
        </w:rPr>
        <w:t xml:space="preserve"> qui est la véritable arme du Congrès </w:t>
      </w:r>
      <w:r>
        <w:rPr>
          <w:lang w:eastAsia="fr-FR" w:bidi="fr-FR"/>
        </w:rPr>
        <w:t xml:space="preserve">— </w:t>
      </w:r>
      <w:r>
        <w:t xml:space="preserve">[259] </w:t>
      </w:r>
      <w:r w:rsidRPr="00C30976">
        <w:rPr>
          <w:lang w:eastAsia="fr-FR" w:bidi="fr-FR"/>
        </w:rPr>
        <w:t>forcera le pr</w:t>
      </w:r>
      <w:r w:rsidRPr="00C30976">
        <w:rPr>
          <w:lang w:eastAsia="fr-FR" w:bidi="fr-FR"/>
        </w:rPr>
        <w:t>é</w:t>
      </w:r>
      <w:r w:rsidRPr="00C30976">
        <w:rPr>
          <w:lang w:eastAsia="fr-FR" w:bidi="fr-FR"/>
        </w:rPr>
        <w:t>sident à faire machine arrière</w:t>
      </w:r>
      <w:r w:rsidRPr="00C30976">
        <w:t> ;</w:t>
      </w:r>
      <w:r w:rsidRPr="00C30976">
        <w:rPr>
          <w:lang w:eastAsia="fr-FR" w:bidi="fr-FR"/>
        </w:rPr>
        <w:t xml:space="preserve"> c’est ce qui a failli se passer après les accords de Dayton, quand la Chambre a finalement repoussé par 218 contre 210 voix seulement une interdiction de fina</w:t>
      </w:r>
      <w:r w:rsidRPr="00C30976">
        <w:rPr>
          <w:lang w:eastAsia="fr-FR" w:bidi="fr-FR"/>
        </w:rPr>
        <w:t>n</w:t>
      </w:r>
      <w:r w:rsidRPr="00C30976">
        <w:rPr>
          <w:lang w:eastAsia="fr-FR" w:bidi="fr-FR"/>
        </w:rPr>
        <w:t xml:space="preserve">cement de </w:t>
      </w:r>
      <w:r>
        <w:t>l’I</w:t>
      </w:r>
      <w:r w:rsidRPr="00C30976">
        <w:t xml:space="preserve">FOR </w:t>
      </w:r>
      <w:r w:rsidRPr="00C30976">
        <w:rPr>
          <w:lang w:eastAsia="fr-FR" w:bidi="fr-FR"/>
        </w:rPr>
        <w:t>(la force de maintien de la paix en Bosnie) le 13 décembre 1995. D’autre part, ni le président ni l’armée, au moment d’employer la fo</w:t>
      </w:r>
      <w:r w:rsidRPr="00C30976">
        <w:rPr>
          <w:lang w:eastAsia="fr-FR" w:bidi="fr-FR"/>
        </w:rPr>
        <w:t>r</w:t>
      </w:r>
      <w:r w:rsidRPr="00C30976">
        <w:rPr>
          <w:lang w:eastAsia="fr-FR" w:bidi="fr-FR"/>
        </w:rPr>
        <w:t>ce, ne peuvent se passer d’un soutien clair de la n</w:t>
      </w:r>
      <w:r w:rsidRPr="00C30976">
        <w:rPr>
          <w:lang w:eastAsia="fr-FR" w:bidi="fr-FR"/>
        </w:rPr>
        <w:t>a</w:t>
      </w:r>
      <w:r w:rsidRPr="00C30976">
        <w:rPr>
          <w:lang w:eastAsia="fr-FR" w:bidi="fr-FR"/>
        </w:rPr>
        <w:t>tion, qui doit s’exprimer dans les deux Chambres. Ainsi le président conserve une grande latitude d’action, mais ne peut se passer durablement d’un so</w:t>
      </w:r>
      <w:r w:rsidRPr="00C30976">
        <w:rPr>
          <w:lang w:eastAsia="fr-FR" w:bidi="fr-FR"/>
        </w:rPr>
        <w:t>u</w:t>
      </w:r>
      <w:r w:rsidRPr="00C30976">
        <w:rPr>
          <w:lang w:eastAsia="fr-FR" w:bidi="fr-FR"/>
        </w:rPr>
        <w:t>tien ou du moins d’une abste</w:t>
      </w:r>
      <w:r w:rsidRPr="00C30976">
        <w:rPr>
          <w:lang w:eastAsia="fr-FR" w:bidi="fr-FR"/>
        </w:rPr>
        <w:t>n</w:t>
      </w:r>
      <w:r w:rsidRPr="00C30976">
        <w:rPr>
          <w:lang w:eastAsia="fr-FR" w:bidi="fr-FR"/>
        </w:rPr>
        <w:t>tion constructive (cas fréquent dans les années Cli</w:t>
      </w:r>
      <w:r w:rsidRPr="00C30976">
        <w:rPr>
          <w:lang w:eastAsia="fr-FR" w:bidi="fr-FR"/>
        </w:rPr>
        <w:t>n</w:t>
      </w:r>
      <w:r w:rsidRPr="00C30976">
        <w:rPr>
          <w:lang w:eastAsia="fr-FR" w:bidi="fr-FR"/>
        </w:rPr>
        <w:t>ton) du Congrès</w:t>
      </w:r>
      <w:r w:rsidRPr="00C30976">
        <w:t> ;</w:t>
      </w:r>
      <w:r w:rsidRPr="00C30976">
        <w:rPr>
          <w:lang w:eastAsia="fr-FR" w:bidi="fr-FR"/>
        </w:rPr>
        <w:t xml:space="preserve"> d’où la nécessité de le ménager, d’anticiper ses réactions et de le consulter autant qu’il est possible. C’est particulièrement vrai pour les opérations de rétabli</w:t>
      </w:r>
      <w:r w:rsidRPr="00C30976">
        <w:rPr>
          <w:lang w:eastAsia="fr-FR" w:bidi="fr-FR"/>
        </w:rPr>
        <w:t>s</w:t>
      </w:r>
      <w:r w:rsidRPr="00C30976">
        <w:rPr>
          <w:lang w:eastAsia="fr-FR" w:bidi="fr-FR"/>
        </w:rPr>
        <w:t xml:space="preserve">sement ou de maintien de la paix dans le cadre des Nations unies ou de </w:t>
      </w:r>
      <w:r w:rsidRPr="00C30976">
        <w:t xml:space="preserve">l’OTAN </w:t>
      </w:r>
      <w:r w:rsidRPr="00C30976">
        <w:rPr>
          <w:lang w:eastAsia="fr-FR" w:bidi="fr-FR"/>
        </w:rPr>
        <w:t xml:space="preserve">(Somalie, </w:t>
      </w:r>
      <w:r w:rsidRPr="002C29C7">
        <w:rPr>
          <w:smallCaps/>
        </w:rPr>
        <w:t xml:space="preserve">ifor </w:t>
      </w:r>
      <w:r w:rsidRPr="00C30976">
        <w:rPr>
          <w:lang w:eastAsia="fr-FR" w:bidi="fr-FR"/>
        </w:rPr>
        <w:t xml:space="preserve">et </w:t>
      </w:r>
      <w:r w:rsidRPr="00C30976">
        <w:t xml:space="preserve">SFOR </w:t>
      </w:r>
      <w:r w:rsidRPr="00C30976">
        <w:rPr>
          <w:lang w:eastAsia="fr-FR" w:bidi="fr-FR"/>
        </w:rPr>
        <w:t>en Bosnie, Af</w:t>
      </w:r>
      <w:r w:rsidRPr="00C30976">
        <w:rPr>
          <w:lang w:eastAsia="fr-FR" w:bidi="fr-FR"/>
        </w:rPr>
        <w:t>g</w:t>
      </w:r>
      <w:r w:rsidRPr="00C30976">
        <w:rPr>
          <w:lang w:eastAsia="fr-FR" w:bidi="fr-FR"/>
        </w:rPr>
        <w:t>hanistan, Irak).</w:t>
      </w:r>
    </w:p>
    <w:p w14:paraId="30246C8B" w14:textId="77777777" w:rsidR="0039793A" w:rsidRPr="00C30976" w:rsidRDefault="0039793A" w:rsidP="0039793A">
      <w:pPr>
        <w:spacing w:before="120" w:after="120"/>
        <w:jc w:val="both"/>
      </w:pPr>
      <w:r w:rsidRPr="00C30976">
        <w:rPr>
          <w:lang w:eastAsia="fr-FR" w:bidi="fr-FR"/>
        </w:rPr>
        <w:t>Le stationnement des troupes américaines est un enjeu discuté par le Congrès, mais moins au titre de la Loi sur les pouvoirs de guerre (en raison de la complexité constitutionnelle supplémentaire qu’introduit la participation à des opérations multilatérales) qu’à tr</w:t>
      </w:r>
      <w:r w:rsidRPr="00C30976">
        <w:rPr>
          <w:lang w:eastAsia="fr-FR" w:bidi="fr-FR"/>
        </w:rPr>
        <w:t>a</w:t>
      </w:r>
      <w:r w:rsidRPr="00C30976">
        <w:rPr>
          <w:lang w:eastAsia="fr-FR" w:bidi="fr-FR"/>
        </w:rPr>
        <w:t>vers la question du financement de ces opérations. Ainsi, après avoir utilisé une première fois l’arme financière en 1973 pour co</w:t>
      </w:r>
      <w:r w:rsidRPr="00C30976">
        <w:rPr>
          <w:lang w:eastAsia="fr-FR" w:bidi="fr-FR"/>
        </w:rPr>
        <w:t>u</w:t>
      </w:r>
      <w:r w:rsidRPr="00C30976">
        <w:rPr>
          <w:lang w:eastAsia="fr-FR" w:bidi="fr-FR"/>
        </w:rPr>
        <w:t>per court aux opérations militaires engagées au Cambodge et au Laos par le gouvernement de R</w:t>
      </w:r>
      <w:r w:rsidRPr="00C30976">
        <w:rPr>
          <w:lang w:eastAsia="fr-FR" w:bidi="fr-FR"/>
        </w:rPr>
        <w:t>i</w:t>
      </w:r>
      <w:r w:rsidRPr="00C30976">
        <w:rPr>
          <w:lang w:eastAsia="fr-FR" w:bidi="fr-FR"/>
        </w:rPr>
        <w:t>chard Nixon</w:t>
      </w:r>
      <w:r>
        <w:rPr>
          <w:lang w:eastAsia="fr-FR" w:bidi="fr-FR"/>
        </w:rPr>
        <w:t> </w:t>
      </w:r>
      <w:r>
        <w:rPr>
          <w:rStyle w:val="Appelnotedebasdep"/>
          <w:lang w:eastAsia="fr-FR" w:bidi="fr-FR"/>
        </w:rPr>
        <w:footnoteReference w:id="520"/>
      </w:r>
      <w:r>
        <w:rPr>
          <w:lang w:eastAsia="fr-FR" w:bidi="fr-FR"/>
        </w:rPr>
        <w:t>,</w:t>
      </w:r>
      <w:r w:rsidRPr="00C30976">
        <w:t xml:space="preserve"> </w:t>
      </w:r>
      <w:r w:rsidRPr="00C30976">
        <w:rPr>
          <w:lang w:eastAsia="fr-FR" w:bidi="fr-FR"/>
        </w:rPr>
        <w:t>après avoir refusé à Gerald Ford la possibilité de fournir des armes à Saigon pour éviter sa chute imm</w:t>
      </w:r>
      <w:r w:rsidRPr="00C30976">
        <w:rPr>
          <w:lang w:eastAsia="fr-FR" w:bidi="fr-FR"/>
        </w:rPr>
        <w:t>i</w:t>
      </w:r>
      <w:r w:rsidRPr="00C30976">
        <w:rPr>
          <w:lang w:eastAsia="fr-FR" w:bidi="fr-FR"/>
        </w:rPr>
        <w:t>nente aux mains du Vietnam du Nord, le Congrès renouvelle ce type de pressions vingt ans plus tard afin d’accélérer le retrait des troupes américaines de Somalie, effectif en mars 1994. Le problème, final</w:t>
      </w:r>
      <w:r w:rsidRPr="00C30976">
        <w:rPr>
          <w:lang w:eastAsia="fr-FR" w:bidi="fr-FR"/>
        </w:rPr>
        <w:t>e</w:t>
      </w:r>
      <w:r w:rsidRPr="00C30976">
        <w:rPr>
          <w:lang w:eastAsia="fr-FR" w:bidi="fr-FR"/>
        </w:rPr>
        <w:t>ment, c’est que l’inobservance formelle de la Loi sur les pouvoirs de guerre prive les acteurs — particulièrement le Congrès — d’un méc</w:t>
      </w:r>
      <w:r w:rsidRPr="00C30976">
        <w:rPr>
          <w:lang w:eastAsia="fr-FR" w:bidi="fr-FR"/>
        </w:rPr>
        <w:t>a</w:t>
      </w:r>
      <w:r w:rsidRPr="00C30976">
        <w:rPr>
          <w:lang w:eastAsia="fr-FR" w:bidi="fr-FR"/>
        </w:rPr>
        <w:t>nisme de consultation instit</w:t>
      </w:r>
      <w:r w:rsidRPr="00C30976">
        <w:rPr>
          <w:lang w:eastAsia="fr-FR" w:bidi="fr-FR"/>
        </w:rPr>
        <w:t>u</w:t>
      </w:r>
      <w:r w:rsidRPr="00C30976">
        <w:rPr>
          <w:lang w:eastAsia="fr-FR" w:bidi="fr-FR"/>
        </w:rPr>
        <w:t>tionnalisé, automatique. Et finalement, le flou qui en résulte ne satisfait vraiment personne.</w:t>
      </w:r>
    </w:p>
    <w:p w14:paraId="0064D5CF" w14:textId="77777777" w:rsidR="0039793A" w:rsidRPr="00C30976" w:rsidRDefault="0039793A" w:rsidP="0039793A">
      <w:pPr>
        <w:spacing w:before="120" w:after="120"/>
        <w:jc w:val="both"/>
      </w:pPr>
      <w:r w:rsidRPr="00C30976">
        <w:rPr>
          <w:lang w:eastAsia="fr-FR" w:bidi="fr-FR"/>
        </w:rPr>
        <w:t>Ainsi qu’il est possible de le constater en matière d’opérations e</w:t>
      </w:r>
      <w:r w:rsidRPr="00C30976">
        <w:rPr>
          <w:lang w:eastAsia="fr-FR" w:bidi="fr-FR"/>
        </w:rPr>
        <w:t>x</w:t>
      </w:r>
      <w:r w:rsidRPr="00C30976">
        <w:rPr>
          <w:lang w:eastAsia="fr-FR" w:bidi="fr-FR"/>
        </w:rPr>
        <w:t xml:space="preserve">térieures, le </w:t>
      </w:r>
      <w:r w:rsidRPr="00C30976">
        <w:t>« </w:t>
      </w:r>
      <w:r w:rsidRPr="00C30976">
        <w:rPr>
          <w:lang w:eastAsia="fr-FR" w:bidi="fr-FR"/>
        </w:rPr>
        <w:t>pouvoir du porte-monnaie</w:t>
      </w:r>
      <w:r w:rsidRPr="00C30976">
        <w:t> »</w:t>
      </w:r>
      <w:r w:rsidRPr="00C30976">
        <w:rPr>
          <w:lang w:eastAsia="fr-FR" w:bidi="fr-FR"/>
        </w:rPr>
        <w:t xml:space="preserve"> est une arme essentielle pour le Congrès. Rien ne sort du Trésor qui n’ait été autorisé </w:t>
      </w:r>
      <w:r w:rsidRPr="00C30976">
        <w:t>(</w:t>
      </w:r>
      <w:r w:rsidRPr="002C29C7">
        <w:rPr>
          <w:i/>
          <w:iCs/>
        </w:rPr>
        <w:t>author</w:t>
      </w:r>
      <w:r w:rsidRPr="002C29C7">
        <w:rPr>
          <w:i/>
          <w:iCs/>
        </w:rPr>
        <w:t>i</w:t>
      </w:r>
      <w:r w:rsidRPr="002C29C7">
        <w:rPr>
          <w:i/>
          <w:iCs/>
        </w:rPr>
        <w:t>zed</w:t>
      </w:r>
      <w:r w:rsidRPr="00C30976">
        <w:t>)</w:t>
      </w:r>
      <w:r w:rsidRPr="00C30976">
        <w:rPr>
          <w:lang w:eastAsia="fr-FR" w:bidi="fr-FR"/>
        </w:rPr>
        <w:t xml:space="preserve"> et attribué </w:t>
      </w:r>
      <w:r>
        <w:t>(</w:t>
      </w:r>
      <w:r w:rsidRPr="002C29C7">
        <w:rPr>
          <w:i/>
          <w:iCs/>
        </w:rPr>
        <w:t>appropriated</w:t>
      </w:r>
      <w:r w:rsidRPr="00C30976">
        <w:t>)</w:t>
      </w:r>
      <w:r w:rsidRPr="00C30976">
        <w:rPr>
          <w:lang w:eastAsia="fr-FR" w:bidi="fr-FR"/>
        </w:rPr>
        <w:t xml:space="preserve"> — deux étapes distinctes de la proc</w:t>
      </w:r>
      <w:r w:rsidRPr="00C30976">
        <w:rPr>
          <w:lang w:eastAsia="fr-FR" w:bidi="fr-FR"/>
        </w:rPr>
        <w:t>é</w:t>
      </w:r>
      <w:r w:rsidRPr="00C30976">
        <w:rPr>
          <w:lang w:eastAsia="fr-FR" w:bidi="fr-FR"/>
        </w:rPr>
        <w:t>dure budgétaire qui sont autant d’occasions pour le Congrès d’imprimer sa marque aux orientations de la politique étrangère. Bien sûr, quelques a</w:t>
      </w:r>
      <w:r>
        <w:rPr>
          <w:lang w:eastAsia="fr-FR" w:bidi="fr-FR"/>
        </w:rPr>
        <w:t>rrangements marginaux existent,</w:t>
      </w:r>
      <w:r>
        <w:t xml:space="preserve"> [260] </w:t>
      </w:r>
      <w:r w:rsidRPr="00C30976">
        <w:rPr>
          <w:lang w:eastAsia="fr-FR" w:bidi="fr-FR"/>
        </w:rPr>
        <w:t>comme les fonds discrétionnaires accordés au président, la pratique du virement budgétaire en cours d’exercice (</w:t>
      </w:r>
      <w:r w:rsidRPr="007C44B3">
        <w:rPr>
          <w:i/>
          <w:iCs/>
        </w:rPr>
        <w:t>reprogramming</w:t>
      </w:r>
      <w:r w:rsidRPr="00C30976">
        <w:t xml:space="preserve">) </w:t>
      </w:r>
      <w:r w:rsidRPr="00C30976">
        <w:rPr>
          <w:lang w:eastAsia="fr-FR" w:bidi="fr-FR"/>
        </w:rPr>
        <w:t>ou encore la pr</w:t>
      </w:r>
      <w:r w:rsidRPr="00C30976">
        <w:rPr>
          <w:lang w:eastAsia="fr-FR" w:bidi="fr-FR"/>
        </w:rPr>
        <w:t>a</w:t>
      </w:r>
      <w:r w:rsidRPr="00C30976">
        <w:rPr>
          <w:lang w:eastAsia="fr-FR" w:bidi="fr-FR"/>
        </w:rPr>
        <w:t>tique par laquelle le président refuse de dépenser les fonds appropriés par le Congrès (</w:t>
      </w:r>
      <w:r w:rsidRPr="007C44B3">
        <w:rPr>
          <w:i/>
          <w:iCs/>
        </w:rPr>
        <w:t>impoudment</w:t>
      </w:r>
      <w:r w:rsidRPr="00C30976">
        <w:rPr>
          <w:lang w:eastAsia="fr-FR" w:bidi="fr-FR"/>
        </w:rPr>
        <w:t xml:space="preserve">). La mauvaise volonté de l’Exécutif peut s’exprimer par un détournement des fonds votés dans un but précis. Ainsi, l’Administration Clinton a dépensé l’essentiel des 97 millions de dollars votés par le Congrès dans </w:t>
      </w:r>
      <w:r>
        <w:rPr>
          <w:lang w:eastAsia="fr-FR" w:bidi="fr-FR"/>
        </w:rPr>
        <w:t>l’</w:t>
      </w:r>
      <w:r w:rsidRPr="007C44B3">
        <w:rPr>
          <w:i/>
          <w:iCs/>
        </w:rPr>
        <w:t>Iraq Liberation Act</w:t>
      </w:r>
      <w:r w:rsidRPr="00C30976">
        <w:rPr>
          <w:lang w:eastAsia="fr-FR" w:bidi="fr-FR"/>
        </w:rPr>
        <w:t xml:space="preserve"> de 1998 à des fins autres (location de bureaux et achat de fournitures, organis</w:t>
      </w:r>
      <w:r w:rsidRPr="00C30976">
        <w:rPr>
          <w:lang w:eastAsia="fr-FR" w:bidi="fr-FR"/>
        </w:rPr>
        <w:t>a</w:t>
      </w:r>
      <w:r w:rsidRPr="00C30976">
        <w:rPr>
          <w:lang w:eastAsia="fr-FR" w:bidi="fr-FR"/>
        </w:rPr>
        <w:t>tion de conférences) que celles prévues par la loi (entra</w:t>
      </w:r>
      <w:r w:rsidRPr="00C30976">
        <w:rPr>
          <w:lang w:eastAsia="fr-FR" w:bidi="fr-FR"/>
        </w:rPr>
        <w:t>î</w:t>
      </w:r>
      <w:r w:rsidRPr="00C30976">
        <w:rPr>
          <w:lang w:eastAsia="fr-FR" w:bidi="fr-FR"/>
        </w:rPr>
        <w:t>nement des forces irakiennes d’opposition). Au-delà de quelques cas de contr</w:t>
      </w:r>
      <w:r w:rsidRPr="00C30976">
        <w:rPr>
          <w:lang w:eastAsia="fr-FR" w:bidi="fr-FR"/>
        </w:rPr>
        <w:t>o</w:t>
      </w:r>
      <w:r w:rsidRPr="00C30976">
        <w:rPr>
          <w:lang w:eastAsia="fr-FR" w:bidi="fr-FR"/>
        </w:rPr>
        <w:t>verse, ces mécanismes budgétaires font souvent l’objet d’accords - parfois discrets - entre les deux branches et pour l’essentiel, le prés</w:t>
      </w:r>
      <w:r w:rsidRPr="00C30976">
        <w:rPr>
          <w:lang w:eastAsia="fr-FR" w:bidi="fr-FR"/>
        </w:rPr>
        <w:t>i</w:t>
      </w:r>
      <w:r w:rsidRPr="00C30976">
        <w:rPr>
          <w:lang w:eastAsia="fr-FR" w:bidi="fr-FR"/>
        </w:rPr>
        <w:t xml:space="preserve">dent ne peut disposer des fonds comme il l’entend. L’exemple le plus célèbre reste celui de l’amendement Boland de 1982, qui interdisait toute dépense par le Pentagone ou la </w:t>
      </w:r>
      <w:r w:rsidRPr="00C30976">
        <w:t xml:space="preserve">CIA </w:t>
      </w:r>
      <w:r w:rsidRPr="00C30976">
        <w:rPr>
          <w:lang w:eastAsia="fr-FR" w:bidi="fr-FR"/>
        </w:rPr>
        <w:t>en f</w:t>
      </w:r>
      <w:r w:rsidRPr="00C30976">
        <w:rPr>
          <w:lang w:eastAsia="fr-FR" w:bidi="fr-FR"/>
        </w:rPr>
        <w:t>a</w:t>
      </w:r>
      <w:r w:rsidRPr="00C30976">
        <w:rPr>
          <w:lang w:eastAsia="fr-FR" w:bidi="fr-FR"/>
        </w:rPr>
        <w:t>veur des Contras du Nicaragua</w:t>
      </w:r>
      <w:r>
        <w:rPr>
          <w:lang w:eastAsia="fr-FR" w:bidi="fr-FR"/>
        </w:rPr>
        <w:t> </w:t>
      </w:r>
      <w:r>
        <w:rPr>
          <w:rStyle w:val="Appelnotedebasdep"/>
          <w:lang w:eastAsia="fr-FR" w:bidi="fr-FR"/>
        </w:rPr>
        <w:footnoteReference w:id="521"/>
      </w:r>
      <w:r w:rsidRPr="00C30976">
        <w:rPr>
          <w:lang w:eastAsia="fr-FR" w:bidi="fr-FR"/>
        </w:rPr>
        <w:t>. Deux ans plus</w:t>
      </w:r>
      <w:r>
        <w:rPr>
          <w:lang w:eastAsia="fr-FR" w:bidi="fr-FR"/>
        </w:rPr>
        <w:t xml:space="preserve"> </w:t>
      </w:r>
      <w:r w:rsidRPr="00C30976">
        <w:rPr>
          <w:lang w:eastAsia="fr-FR" w:bidi="fr-FR"/>
        </w:rPr>
        <w:t xml:space="preserve">tard, au regard de l’activisme de la </w:t>
      </w:r>
      <w:r w:rsidRPr="00C30976">
        <w:t xml:space="preserve">CIA </w:t>
      </w:r>
      <w:r w:rsidRPr="00C30976">
        <w:rPr>
          <w:lang w:eastAsia="fr-FR" w:bidi="fr-FR"/>
        </w:rPr>
        <w:t>qui aide les Contras à mi</w:t>
      </w:r>
      <w:r>
        <w:rPr>
          <w:lang w:eastAsia="fr-FR" w:bidi="fr-FR"/>
        </w:rPr>
        <w:t>ne</w:t>
      </w:r>
      <w:r w:rsidRPr="00C30976">
        <w:rPr>
          <w:lang w:eastAsia="fr-FR" w:bidi="fr-FR"/>
        </w:rPr>
        <w:t>r les ports du Nic</w:t>
      </w:r>
      <w:r w:rsidRPr="00C30976">
        <w:rPr>
          <w:lang w:eastAsia="fr-FR" w:bidi="fr-FR"/>
        </w:rPr>
        <w:t>a</w:t>
      </w:r>
      <w:r w:rsidRPr="00C30976">
        <w:rPr>
          <w:lang w:eastAsia="fr-FR" w:bidi="fr-FR"/>
        </w:rPr>
        <w:t>ragua, le Sénat joint ses forces à celle de la Cha</w:t>
      </w:r>
      <w:r w:rsidRPr="00C30976">
        <w:rPr>
          <w:lang w:eastAsia="fr-FR" w:bidi="fr-FR"/>
        </w:rPr>
        <w:t>m</w:t>
      </w:r>
      <w:r w:rsidRPr="00C30976">
        <w:rPr>
          <w:lang w:eastAsia="fr-FR" w:bidi="fr-FR"/>
        </w:rPr>
        <w:t>bre pour refuser tout financement destiné à déstabiliser le régime sandiniste (même si certains républicains du S</w:t>
      </w:r>
      <w:r w:rsidRPr="00C30976">
        <w:rPr>
          <w:lang w:eastAsia="fr-FR" w:bidi="fr-FR"/>
        </w:rPr>
        <w:t>é</w:t>
      </w:r>
      <w:r w:rsidRPr="00C30976">
        <w:rPr>
          <w:lang w:eastAsia="fr-FR" w:bidi="fr-FR"/>
        </w:rPr>
        <w:t>nat approuvaient en principe les opér</w:t>
      </w:r>
      <w:r w:rsidRPr="00C30976">
        <w:rPr>
          <w:lang w:eastAsia="fr-FR" w:bidi="fr-FR"/>
        </w:rPr>
        <w:t>a</w:t>
      </w:r>
      <w:r w:rsidRPr="00C30976">
        <w:rPr>
          <w:lang w:eastAsia="fr-FR" w:bidi="fr-FR"/>
        </w:rPr>
        <w:t>tions, le fait que le Congrès n’ait pas été consulté comme le prévoyait la loi les a fait changer d’avis)</w:t>
      </w:r>
      <w:r>
        <w:rPr>
          <w:lang w:eastAsia="fr-FR" w:bidi="fr-FR"/>
        </w:rPr>
        <w:t> </w:t>
      </w:r>
      <w:r>
        <w:rPr>
          <w:rStyle w:val="Appelnotedebasdep"/>
          <w:lang w:eastAsia="fr-FR" w:bidi="fr-FR"/>
        </w:rPr>
        <w:footnoteReference w:id="522"/>
      </w:r>
      <w:r w:rsidRPr="00C30976">
        <w:rPr>
          <w:lang w:eastAsia="fr-FR" w:bidi="fr-FR"/>
        </w:rPr>
        <w:t>. Le refus du Congrès a finalement conduit une partie de l’Administration à chercher des financements altern</w:t>
      </w:r>
      <w:r w:rsidRPr="00C30976">
        <w:rPr>
          <w:lang w:eastAsia="fr-FR" w:bidi="fr-FR"/>
        </w:rPr>
        <w:t>a</w:t>
      </w:r>
      <w:r w:rsidRPr="00C30976">
        <w:rPr>
          <w:lang w:eastAsia="fr-FR" w:bidi="fr-FR"/>
        </w:rPr>
        <w:t>tifs</w:t>
      </w:r>
      <w:r w:rsidRPr="00C30976">
        <w:t> :</w:t>
      </w:r>
      <w:r w:rsidRPr="00C30976">
        <w:rPr>
          <w:lang w:eastAsia="fr-FR" w:bidi="fr-FR"/>
        </w:rPr>
        <w:t xml:space="preserve"> c’est là l’origine de la fameuse affaire Iran-Contra, dans laquelle des ventes d’armes à l’Iran (pourtant officiellement désigné comme régime e</w:t>
      </w:r>
      <w:r w:rsidRPr="00C30976">
        <w:rPr>
          <w:lang w:eastAsia="fr-FR" w:bidi="fr-FR"/>
        </w:rPr>
        <w:t>n</w:t>
      </w:r>
      <w:r w:rsidRPr="00C30976">
        <w:rPr>
          <w:lang w:eastAsia="fr-FR" w:bidi="fr-FR"/>
        </w:rPr>
        <w:t>nemi des États-Unis) avait permis de disposer de fonds s</w:t>
      </w:r>
      <w:r w:rsidRPr="00C30976">
        <w:rPr>
          <w:lang w:eastAsia="fr-FR" w:bidi="fr-FR"/>
        </w:rPr>
        <w:t>e</w:t>
      </w:r>
      <w:r w:rsidRPr="00C30976">
        <w:rPr>
          <w:lang w:eastAsia="fr-FR" w:bidi="fr-FR"/>
        </w:rPr>
        <w:t>crets pour soutenir les Contras. Ainsi, par son pouvoir exclusif sur l’argent d</w:t>
      </w:r>
      <w:r w:rsidRPr="00C30976">
        <w:rPr>
          <w:lang w:eastAsia="fr-FR" w:bidi="fr-FR"/>
        </w:rPr>
        <w:t>é</w:t>
      </w:r>
      <w:r w:rsidRPr="00C30976">
        <w:rPr>
          <w:lang w:eastAsia="fr-FR" w:bidi="fr-FR"/>
        </w:rPr>
        <w:t>boursé, le Congrès peut tracer le profil des rel</w:t>
      </w:r>
      <w:r w:rsidRPr="00C30976">
        <w:rPr>
          <w:lang w:eastAsia="fr-FR" w:bidi="fr-FR"/>
        </w:rPr>
        <w:t>a</w:t>
      </w:r>
      <w:r w:rsidRPr="00C30976">
        <w:rPr>
          <w:lang w:eastAsia="fr-FR" w:bidi="fr-FR"/>
        </w:rPr>
        <w:t>tions entre l’Amérique et de nombreux pays, en choisissant de fournir ou non une aide mil</w:t>
      </w:r>
      <w:r w:rsidRPr="00C30976">
        <w:rPr>
          <w:lang w:eastAsia="fr-FR" w:bidi="fr-FR"/>
        </w:rPr>
        <w:t>i</w:t>
      </w:r>
      <w:r w:rsidRPr="00C30976">
        <w:rPr>
          <w:lang w:eastAsia="fr-FR" w:bidi="fr-FR"/>
        </w:rPr>
        <w:t>taire ou une aide au développement. Il peut aussi, par ce biais, faire valoir ses priorités</w:t>
      </w:r>
      <w:r w:rsidRPr="00C30976">
        <w:t> :</w:t>
      </w:r>
      <w:r w:rsidRPr="00C30976">
        <w:rPr>
          <w:lang w:eastAsia="fr-FR" w:bidi="fr-FR"/>
        </w:rPr>
        <w:t xml:space="preserve"> en 1995, au moment des coupes bu</w:t>
      </w:r>
      <w:r w:rsidRPr="00C30976">
        <w:rPr>
          <w:lang w:eastAsia="fr-FR" w:bidi="fr-FR"/>
        </w:rPr>
        <w:t>d</w:t>
      </w:r>
      <w:r w:rsidRPr="00C30976">
        <w:rPr>
          <w:lang w:eastAsia="fr-FR" w:bidi="fr-FR"/>
        </w:rPr>
        <w:t xml:space="preserve">gétaires les plus importantes opérées sur les Affaires étrangères, Newt Gingrich, </w:t>
      </w:r>
      <w:r w:rsidRPr="007C44B3">
        <w:rPr>
          <w:i/>
          <w:iCs/>
        </w:rPr>
        <w:t>Speaker</w:t>
      </w:r>
      <w:r w:rsidRPr="00C30976">
        <w:rPr>
          <w:lang w:eastAsia="fr-FR" w:bidi="fr-FR"/>
        </w:rPr>
        <w:t xml:space="preserve"> de la Chambre, obtient que 18 millions de dollars du budget du renseignement soient consacrés au renversement du</w:t>
      </w:r>
      <w:r>
        <w:t xml:space="preserve"> [261] </w:t>
      </w:r>
      <w:r w:rsidRPr="00C30976">
        <w:rPr>
          <w:lang w:eastAsia="fr-FR" w:bidi="fr-FR"/>
        </w:rPr>
        <w:t>régime de la République islamique d’Iran</w:t>
      </w:r>
      <w:r>
        <w:rPr>
          <w:lang w:eastAsia="fr-FR" w:bidi="fr-FR"/>
        </w:rPr>
        <w:t> </w:t>
      </w:r>
      <w:r>
        <w:rPr>
          <w:rStyle w:val="Appelnotedebasdep"/>
          <w:lang w:eastAsia="fr-FR" w:bidi="fr-FR"/>
        </w:rPr>
        <w:footnoteReference w:id="523"/>
      </w:r>
      <w:r>
        <w:rPr>
          <w:lang w:eastAsia="fr-FR" w:bidi="fr-FR"/>
        </w:rPr>
        <w:t>.</w:t>
      </w:r>
      <w:r w:rsidRPr="00C30976">
        <w:rPr>
          <w:lang w:eastAsia="fr-FR" w:bidi="fr-FR"/>
        </w:rPr>
        <w:t xml:space="preserve"> Ce pouvoir du porte- monnaie peut constituer une arme utile dans d’autres combats</w:t>
      </w:r>
      <w:r w:rsidRPr="00C30976">
        <w:t> :</w:t>
      </w:r>
      <w:r w:rsidRPr="00C30976">
        <w:rPr>
          <w:lang w:eastAsia="fr-FR" w:bidi="fr-FR"/>
        </w:rPr>
        <w:t xml:space="preserve"> pe</w:t>
      </w:r>
      <w:r w:rsidRPr="00C30976">
        <w:rPr>
          <w:lang w:eastAsia="fr-FR" w:bidi="fr-FR"/>
        </w:rPr>
        <w:t>n</w:t>
      </w:r>
      <w:r w:rsidRPr="00C30976">
        <w:rPr>
          <w:lang w:eastAsia="fr-FR" w:bidi="fr-FR"/>
        </w:rPr>
        <w:t>dant toute la seconde moitié des années 1990, le Congrès républ</w:t>
      </w:r>
      <w:r w:rsidRPr="00C30976">
        <w:rPr>
          <w:lang w:eastAsia="fr-FR" w:bidi="fr-FR"/>
        </w:rPr>
        <w:t>i</w:t>
      </w:r>
      <w:r w:rsidRPr="00C30976">
        <w:rPr>
          <w:lang w:eastAsia="fr-FR" w:bidi="fr-FR"/>
        </w:rPr>
        <w:t xml:space="preserve">cain a bloqué les crédits destinés à </w:t>
      </w:r>
      <w:r w:rsidRPr="00C30976">
        <w:t xml:space="preserve">l’ONU, </w:t>
      </w:r>
      <w:r w:rsidRPr="00C30976">
        <w:rPr>
          <w:lang w:eastAsia="fr-FR" w:bidi="fr-FR"/>
        </w:rPr>
        <w:t>soit pour forcer l’Administration Clinton à réformer l’organisation multilatérale, soit pour imposer ses vues sur la question de l’avortement (des parleme</w:t>
      </w:r>
      <w:r w:rsidRPr="00C30976">
        <w:rPr>
          <w:lang w:eastAsia="fr-FR" w:bidi="fr-FR"/>
        </w:rPr>
        <w:t>n</w:t>
      </w:r>
      <w:r w:rsidRPr="00C30976">
        <w:rPr>
          <w:lang w:eastAsia="fr-FR" w:bidi="fr-FR"/>
        </w:rPr>
        <w:t>taires ayant attaché un cavalier législatif visant à interdire le soutien à l’avortement par les organis</w:t>
      </w:r>
      <w:r w:rsidRPr="00C30976">
        <w:rPr>
          <w:lang w:eastAsia="fr-FR" w:bidi="fr-FR"/>
        </w:rPr>
        <w:t>a</w:t>
      </w:r>
      <w:r w:rsidRPr="00C30976">
        <w:rPr>
          <w:lang w:eastAsia="fr-FR" w:bidi="fr-FR"/>
        </w:rPr>
        <w:t xml:space="preserve">tions internationales à la loi de financement de </w:t>
      </w:r>
      <w:r w:rsidRPr="00C30976">
        <w:t>l’ONU).</w:t>
      </w:r>
    </w:p>
    <w:p w14:paraId="376B1A5A" w14:textId="77777777" w:rsidR="0039793A" w:rsidRPr="00C30976" w:rsidRDefault="0039793A" w:rsidP="0039793A">
      <w:pPr>
        <w:spacing w:before="120" w:after="120"/>
        <w:jc w:val="both"/>
      </w:pPr>
      <w:r w:rsidRPr="00C30976">
        <w:rPr>
          <w:lang w:eastAsia="fr-FR" w:bidi="fr-FR"/>
        </w:rPr>
        <w:t>La Constitution confère un troisième pouvoir, cette fois au seul Sénat</w:t>
      </w:r>
      <w:r w:rsidRPr="00C30976">
        <w:t> :</w:t>
      </w:r>
      <w:r w:rsidRPr="00C30976">
        <w:rPr>
          <w:lang w:eastAsia="fr-FR" w:bidi="fr-FR"/>
        </w:rPr>
        <w:t xml:space="preserve"> celui de confirmer les a</w:t>
      </w:r>
      <w:r w:rsidRPr="00C30976">
        <w:rPr>
          <w:lang w:eastAsia="fr-FR" w:bidi="fr-FR"/>
        </w:rPr>
        <w:t>m</w:t>
      </w:r>
      <w:r w:rsidRPr="00C30976">
        <w:rPr>
          <w:lang w:eastAsia="fr-FR" w:bidi="fr-FR"/>
        </w:rPr>
        <w:t>bassadeurs nommés par le président — de même qu’un nombre significatif de hauts responsables de pol</w:t>
      </w:r>
      <w:r w:rsidRPr="00C30976">
        <w:rPr>
          <w:lang w:eastAsia="fr-FR" w:bidi="fr-FR"/>
        </w:rPr>
        <w:t>i</w:t>
      </w:r>
      <w:r w:rsidRPr="00C30976">
        <w:rPr>
          <w:lang w:eastAsia="fr-FR" w:bidi="fr-FR"/>
        </w:rPr>
        <w:t xml:space="preserve">tique étrangère </w:t>
      </w:r>
      <w:r>
        <w:rPr>
          <w:lang w:eastAsia="fr-FR" w:bidi="fr-FR"/>
        </w:rPr>
        <w:t>—</w:t>
      </w:r>
      <w:r w:rsidRPr="00C30976">
        <w:rPr>
          <w:lang w:eastAsia="fr-FR" w:bidi="fr-FR"/>
        </w:rPr>
        <w:t xml:space="preserve"> et de le conseiller dans ce choix. L’influence sén</w:t>
      </w:r>
      <w:r w:rsidRPr="00C30976">
        <w:rPr>
          <w:lang w:eastAsia="fr-FR" w:bidi="fr-FR"/>
        </w:rPr>
        <w:t>a</w:t>
      </w:r>
      <w:r w:rsidRPr="00C30976">
        <w:rPr>
          <w:lang w:eastAsia="fr-FR" w:bidi="fr-FR"/>
        </w:rPr>
        <w:t>toriale s’exerce de deux manières. D’une part, les sénateurs peuvent rejeter la confirmation d’un ambassadeur ou d’un haut re</w:t>
      </w:r>
      <w:r w:rsidRPr="00C30976">
        <w:rPr>
          <w:lang w:eastAsia="fr-FR" w:bidi="fr-FR"/>
        </w:rPr>
        <w:t>s</w:t>
      </w:r>
      <w:r w:rsidRPr="00C30976">
        <w:rPr>
          <w:lang w:eastAsia="fr-FR" w:bidi="fr-FR"/>
        </w:rPr>
        <w:t>ponsable dont ils ne partagent pas les conceptions politiques pour le poste considéré. Ainsi par exemple, le Sénat a menacé de bloquer la nom</w:t>
      </w:r>
      <w:r w:rsidRPr="00C30976">
        <w:rPr>
          <w:lang w:eastAsia="fr-FR" w:bidi="fr-FR"/>
        </w:rPr>
        <w:t>i</w:t>
      </w:r>
      <w:r w:rsidRPr="00C30976">
        <w:rPr>
          <w:lang w:eastAsia="fr-FR" w:bidi="fr-FR"/>
        </w:rPr>
        <w:t>nation de Morton Halperin comme adjoint au secrétaire à la Défense pour la démocratie et les opérations de maintien de la paix en 1993, le jugeant trop libéral, trop engagé au moment de la guerre du Vietnam dans la défense des libertés civiles au détriment de la sécurité nation</w:t>
      </w:r>
      <w:r w:rsidRPr="00C30976">
        <w:rPr>
          <w:lang w:eastAsia="fr-FR" w:bidi="fr-FR"/>
        </w:rPr>
        <w:t>a</w:t>
      </w:r>
      <w:r w:rsidRPr="00C30976">
        <w:rPr>
          <w:lang w:eastAsia="fr-FR" w:bidi="fr-FR"/>
        </w:rPr>
        <w:t>le. Il n’est pas rare qu’à l’instar d’Halperin, des candidats pressentis ou nommés par le président retirent leur candidature avant même d’affronter un processus de confirmation pénible et d’auditions devant la commission des Affaires étrangères et des sénateurs hostiles. D’autre part, l’influence peut se faire indirecte</w:t>
      </w:r>
      <w:r w:rsidRPr="00C30976">
        <w:t> :</w:t>
      </w:r>
      <w:r w:rsidRPr="00C30976">
        <w:rPr>
          <w:lang w:eastAsia="fr-FR" w:bidi="fr-FR"/>
        </w:rPr>
        <w:t xml:space="preserve"> le Sénat peut se servir de ce pouvoir pour obtenir des concessions de l’Administration sur d’autres sujets sans rapport avec le poste considéré, en bloquant ind</w:t>
      </w:r>
      <w:r w:rsidRPr="00C30976">
        <w:rPr>
          <w:lang w:eastAsia="fr-FR" w:bidi="fr-FR"/>
        </w:rPr>
        <w:t>é</w:t>
      </w:r>
      <w:r w:rsidRPr="00C30976">
        <w:rPr>
          <w:lang w:eastAsia="fr-FR" w:bidi="fr-FR"/>
        </w:rPr>
        <w:t>finiment une confirmation demandée par l’Exécutif. Ainsi, de 1995 à 2000, le blocage récurrent de multiples nominations d’ambassadeurs par la commission des Relations extérieures du Sénat est emblémat</w:t>
      </w:r>
      <w:r w:rsidRPr="00C30976">
        <w:rPr>
          <w:lang w:eastAsia="fr-FR" w:bidi="fr-FR"/>
        </w:rPr>
        <w:t>i</w:t>
      </w:r>
      <w:r w:rsidRPr="00C30976">
        <w:rPr>
          <w:lang w:eastAsia="fr-FR" w:bidi="fr-FR"/>
        </w:rPr>
        <w:t>que de la constance de l’affrontement entre un président démocrate et un Congrès républicain</w:t>
      </w:r>
      <w:r>
        <w:rPr>
          <w:lang w:eastAsia="fr-FR" w:bidi="fr-FR"/>
        </w:rPr>
        <w:t> </w:t>
      </w:r>
      <w:r>
        <w:rPr>
          <w:rStyle w:val="Appelnotedebasdep"/>
          <w:lang w:eastAsia="fr-FR" w:bidi="fr-FR"/>
        </w:rPr>
        <w:footnoteReference w:id="524"/>
      </w:r>
      <w:r w:rsidRPr="00C30976">
        <w:rPr>
          <w:lang w:eastAsia="fr-FR" w:bidi="fr-FR"/>
        </w:rPr>
        <w:t>, sur toute la gamme des sujets possibles. De telles</w:t>
      </w:r>
      <w:r>
        <w:t xml:space="preserve"> [262] </w:t>
      </w:r>
      <w:r w:rsidRPr="00C30976">
        <w:rPr>
          <w:lang w:eastAsia="fr-FR" w:bidi="fr-FR"/>
        </w:rPr>
        <w:t>raisons purement intérieures et politiciennes expl</w:t>
      </w:r>
      <w:r w:rsidRPr="00C30976">
        <w:rPr>
          <w:lang w:eastAsia="fr-FR" w:bidi="fr-FR"/>
        </w:rPr>
        <w:t>i</w:t>
      </w:r>
      <w:r w:rsidRPr="00C30976">
        <w:rPr>
          <w:lang w:eastAsia="fr-FR" w:bidi="fr-FR"/>
        </w:rPr>
        <w:t>quent la très lo</w:t>
      </w:r>
      <w:r w:rsidRPr="00C30976">
        <w:rPr>
          <w:lang w:eastAsia="fr-FR" w:bidi="fr-FR"/>
        </w:rPr>
        <w:t>n</w:t>
      </w:r>
      <w:r w:rsidRPr="00C30976">
        <w:rPr>
          <w:lang w:eastAsia="fr-FR" w:bidi="fr-FR"/>
        </w:rPr>
        <w:t>gue vacance du poste d’ambassadeur au Brésil</w:t>
      </w:r>
      <w:r w:rsidRPr="00C30976">
        <w:t> :</w:t>
      </w:r>
      <w:r w:rsidRPr="00C30976">
        <w:rPr>
          <w:lang w:eastAsia="fr-FR" w:bidi="fr-FR"/>
        </w:rPr>
        <w:t xml:space="preserve"> Jesse Helms, le président de la commission des Relations extérieures du Sénat, avait un contentieux personnel avec Brian A</w:t>
      </w:r>
      <w:r w:rsidRPr="00C30976">
        <w:rPr>
          <w:lang w:eastAsia="fr-FR" w:bidi="fr-FR"/>
        </w:rPr>
        <w:t>t</w:t>
      </w:r>
      <w:r w:rsidRPr="00C30976">
        <w:rPr>
          <w:lang w:eastAsia="fr-FR" w:bidi="fr-FR"/>
        </w:rPr>
        <w:t xml:space="preserve">wood qui a été pendant six ans directeur de </w:t>
      </w:r>
      <w:r w:rsidRPr="00C30976">
        <w:t>l’USA</w:t>
      </w:r>
      <w:r>
        <w:t>I</w:t>
      </w:r>
      <w:r w:rsidRPr="00C30976">
        <w:t xml:space="preserve">D, </w:t>
      </w:r>
      <w:r w:rsidRPr="00C30976">
        <w:rPr>
          <w:lang w:eastAsia="fr-FR" w:bidi="fr-FR"/>
        </w:rPr>
        <w:t>l’agence d’aide au développ</w:t>
      </w:r>
      <w:r w:rsidRPr="00C30976">
        <w:rPr>
          <w:lang w:eastAsia="fr-FR" w:bidi="fr-FR"/>
        </w:rPr>
        <w:t>e</w:t>
      </w:r>
      <w:r w:rsidRPr="00C30976">
        <w:rPr>
          <w:lang w:eastAsia="fr-FR" w:bidi="fr-FR"/>
        </w:rPr>
        <w:t xml:space="preserve">ment que Helms détestait, et a bloqué son poste si longtemps qu’Atwood a fini par se retirer. Il en est allé de même pour le poste d’ambassadeur à </w:t>
      </w:r>
      <w:r w:rsidRPr="00C30976">
        <w:t xml:space="preserve">l’ONU, </w:t>
      </w:r>
      <w:r w:rsidRPr="00C30976">
        <w:rPr>
          <w:lang w:eastAsia="fr-FR" w:bidi="fr-FR"/>
        </w:rPr>
        <w:t>resté vacant de juin 1998 à août 1999 (y compris donc lors des opér</w:t>
      </w:r>
      <w:r w:rsidRPr="00C30976">
        <w:rPr>
          <w:lang w:eastAsia="fr-FR" w:bidi="fr-FR"/>
        </w:rPr>
        <w:t>a</w:t>
      </w:r>
      <w:r w:rsidRPr="00C30976">
        <w:rPr>
          <w:lang w:eastAsia="fr-FR" w:bidi="fr-FR"/>
        </w:rPr>
        <w:t xml:space="preserve">tions </w:t>
      </w:r>
      <w:r w:rsidRPr="00C30976">
        <w:t>« </w:t>
      </w:r>
      <w:r w:rsidRPr="00C30976">
        <w:rPr>
          <w:lang w:eastAsia="fr-FR" w:bidi="fr-FR"/>
        </w:rPr>
        <w:t>Renard du désert</w:t>
      </w:r>
      <w:r w:rsidRPr="00C30976">
        <w:t> »</w:t>
      </w:r>
      <w:r w:rsidRPr="00C30976">
        <w:rPr>
          <w:lang w:eastAsia="fr-FR" w:bidi="fr-FR"/>
        </w:rPr>
        <w:t xml:space="preserve"> en Irak et </w:t>
      </w:r>
      <w:r w:rsidRPr="00C30976">
        <w:t>« </w:t>
      </w:r>
      <w:r w:rsidRPr="00C30976">
        <w:rPr>
          <w:lang w:eastAsia="fr-FR" w:bidi="fr-FR"/>
        </w:rPr>
        <w:t>Force déterminée</w:t>
      </w:r>
      <w:r w:rsidRPr="00C30976">
        <w:t> »</w:t>
      </w:r>
      <w:r w:rsidRPr="00C30976">
        <w:rPr>
          <w:lang w:eastAsia="fr-FR" w:bidi="fr-FR"/>
        </w:rPr>
        <w:t xml:space="preserve"> en Serbie) en attendant la confirmation de R</w:t>
      </w:r>
      <w:r w:rsidRPr="00C30976">
        <w:rPr>
          <w:lang w:eastAsia="fr-FR" w:bidi="fr-FR"/>
        </w:rPr>
        <w:t>i</w:t>
      </w:r>
      <w:r w:rsidRPr="00C30976">
        <w:rPr>
          <w:lang w:eastAsia="fr-FR" w:bidi="fr-FR"/>
        </w:rPr>
        <w:t>chard Holbrooke qui a fait l’objet de toutes sortes de demandes de la part de la majorité républicaine, qui souhaitait entre autres, pour prix de son accord, obtenir un engag</w:t>
      </w:r>
      <w:r w:rsidRPr="00C30976">
        <w:rPr>
          <w:lang w:eastAsia="fr-FR" w:bidi="fr-FR"/>
        </w:rPr>
        <w:t>e</w:t>
      </w:r>
      <w:r w:rsidRPr="00C30976">
        <w:rPr>
          <w:lang w:eastAsia="fr-FR" w:bidi="fr-FR"/>
        </w:rPr>
        <w:t>ment de l’Administration à réformer le fonctionnement b</w:t>
      </w:r>
      <w:r w:rsidRPr="00C30976">
        <w:rPr>
          <w:lang w:eastAsia="fr-FR" w:bidi="fr-FR"/>
        </w:rPr>
        <w:t>u</w:t>
      </w:r>
      <w:r w:rsidRPr="00C30976">
        <w:rPr>
          <w:lang w:eastAsia="fr-FR" w:bidi="fr-FR"/>
        </w:rPr>
        <w:t xml:space="preserve">reaucratique de </w:t>
      </w:r>
      <w:r w:rsidRPr="00C30976">
        <w:t>l’ONU.</w:t>
      </w:r>
    </w:p>
    <w:p w14:paraId="22DEB25C" w14:textId="77777777" w:rsidR="0039793A" w:rsidRPr="00C30976" w:rsidRDefault="0039793A" w:rsidP="0039793A">
      <w:pPr>
        <w:spacing w:before="120" w:after="120"/>
        <w:jc w:val="both"/>
      </w:pPr>
      <w:r w:rsidRPr="00C30976">
        <w:rPr>
          <w:lang w:eastAsia="fr-FR" w:bidi="fr-FR"/>
        </w:rPr>
        <w:t>Le Sénat possède en propre un quatrième po</w:t>
      </w:r>
      <w:r w:rsidRPr="00C30976">
        <w:rPr>
          <w:lang w:eastAsia="fr-FR" w:bidi="fr-FR"/>
        </w:rPr>
        <w:t>u</w:t>
      </w:r>
      <w:r w:rsidRPr="00C30976">
        <w:rPr>
          <w:lang w:eastAsia="fr-FR" w:bidi="fr-FR"/>
        </w:rPr>
        <w:t>voir de politique étrangère</w:t>
      </w:r>
      <w:r w:rsidRPr="00C30976">
        <w:t> :</w:t>
      </w:r>
      <w:r w:rsidRPr="00C30976">
        <w:rPr>
          <w:lang w:eastAsia="fr-FR" w:bidi="fr-FR"/>
        </w:rPr>
        <w:t xml:space="preserve"> celui de ratifier les tra</w:t>
      </w:r>
      <w:r w:rsidRPr="00C30976">
        <w:rPr>
          <w:lang w:eastAsia="fr-FR" w:bidi="fr-FR"/>
        </w:rPr>
        <w:t>i</w:t>
      </w:r>
      <w:r w:rsidRPr="00C30976">
        <w:rPr>
          <w:lang w:eastAsia="fr-FR" w:bidi="fr-FR"/>
        </w:rPr>
        <w:t>tés et de conseiller le président dans les négoci</w:t>
      </w:r>
      <w:r w:rsidRPr="00C30976">
        <w:rPr>
          <w:lang w:eastAsia="fr-FR" w:bidi="fr-FR"/>
        </w:rPr>
        <w:t>a</w:t>
      </w:r>
      <w:r w:rsidRPr="00C30976">
        <w:rPr>
          <w:lang w:eastAsia="fr-FR" w:bidi="fr-FR"/>
        </w:rPr>
        <w:t>tions. Cette ratification doit se faire aux deux tiers des 100 sénateurs de l’Union. Il suffit donc de 34 sénateurs pour rejeter un traité</w:t>
      </w:r>
      <w:r>
        <w:rPr>
          <w:lang w:eastAsia="fr-FR" w:bidi="fr-FR"/>
        </w:rPr>
        <w:t> </w:t>
      </w:r>
      <w:r>
        <w:rPr>
          <w:rStyle w:val="Appelnotedebasdep"/>
          <w:lang w:eastAsia="fr-FR" w:bidi="fr-FR"/>
        </w:rPr>
        <w:footnoteReference w:id="525"/>
      </w:r>
      <w:r w:rsidRPr="00C30976">
        <w:t>.</w:t>
      </w:r>
      <w:r w:rsidRPr="00C30976">
        <w:rPr>
          <w:lang w:eastAsia="fr-FR" w:bidi="fr-FR"/>
        </w:rPr>
        <w:t xml:space="preserve"> Pourtant, ce cas de figure est relativement peu fréquent</w:t>
      </w:r>
      <w:r w:rsidRPr="00C30976">
        <w:t> :</w:t>
      </w:r>
      <w:r w:rsidRPr="00C30976">
        <w:rPr>
          <w:lang w:eastAsia="fr-FR" w:bidi="fr-FR"/>
        </w:rPr>
        <w:t xml:space="preserve"> d</w:t>
      </w:r>
      <w:r w:rsidRPr="00C30976">
        <w:rPr>
          <w:lang w:eastAsia="fr-FR" w:bidi="fr-FR"/>
        </w:rPr>
        <w:t>e</w:t>
      </w:r>
      <w:r w:rsidRPr="00C30976">
        <w:rPr>
          <w:lang w:eastAsia="fr-FR" w:bidi="fr-FR"/>
        </w:rPr>
        <w:t xml:space="preserve">puis le rejet du traité de Versailles en 1920, seuls six traités ont été refusés par le Sénat, le plus célèbre étant, le 13 octobre 1999, le </w:t>
      </w:r>
      <w:r w:rsidRPr="00C30976">
        <w:t xml:space="preserve">TICE </w:t>
      </w:r>
      <w:r w:rsidRPr="00C30976">
        <w:rPr>
          <w:lang w:eastAsia="fr-FR" w:bidi="fr-FR"/>
        </w:rPr>
        <w:t>(traité d’interdiction complet des essais nucléaires), lequel a constitué une cuisante défaite pour l’Administration Clinton</w:t>
      </w:r>
      <w:r>
        <w:rPr>
          <w:lang w:eastAsia="fr-FR" w:bidi="fr-FR"/>
        </w:rPr>
        <w:t> </w:t>
      </w:r>
      <w:r>
        <w:rPr>
          <w:rStyle w:val="Appelnotedebasdep"/>
          <w:lang w:eastAsia="fr-FR" w:bidi="fr-FR"/>
        </w:rPr>
        <w:footnoteReference w:id="526"/>
      </w:r>
      <w:r w:rsidRPr="00C30976">
        <w:rPr>
          <w:lang w:eastAsia="fr-FR" w:bidi="fr-FR"/>
        </w:rPr>
        <w:t>. Une fois enc</w:t>
      </w:r>
      <w:r w:rsidRPr="00C30976">
        <w:rPr>
          <w:lang w:eastAsia="fr-FR" w:bidi="fr-FR"/>
        </w:rPr>
        <w:t>o</w:t>
      </w:r>
      <w:r w:rsidRPr="00C30976">
        <w:rPr>
          <w:lang w:eastAsia="fr-FR" w:bidi="fr-FR"/>
        </w:rPr>
        <w:t>re, ce pouvoir confère au Sénat une arme utilisable à d’autres fins</w:t>
      </w:r>
      <w:r w:rsidRPr="00C30976">
        <w:t> :</w:t>
      </w:r>
      <w:r w:rsidRPr="00C30976">
        <w:rPr>
          <w:lang w:eastAsia="fr-FR" w:bidi="fr-FR"/>
        </w:rPr>
        <w:t xml:space="preserve"> ainsi la ratification de la Convention sur les armes chimiques </w:t>
      </w:r>
      <w:r w:rsidRPr="00C30976">
        <w:t xml:space="preserve">(CWC) </w:t>
      </w:r>
      <w:r w:rsidRPr="00C30976">
        <w:rPr>
          <w:lang w:eastAsia="fr-FR" w:bidi="fr-FR"/>
        </w:rPr>
        <w:t>en 1997 n’a été obtenue par Madeleine Albright qu’après avoir larg</w:t>
      </w:r>
      <w:r w:rsidRPr="00C30976">
        <w:rPr>
          <w:lang w:eastAsia="fr-FR" w:bidi="fr-FR"/>
        </w:rPr>
        <w:t>e</w:t>
      </w:r>
      <w:r w:rsidRPr="00C30976">
        <w:rPr>
          <w:lang w:eastAsia="fr-FR" w:bidi="fr-FR"/>
        </w:rPr>
        <w:t>ment cédé à Jesse Helms sur la question de la réorganisation du D</w:t>
      </w:r>
      <w:r w:rsidRPr="00C30976">
        <w:rPr>
          <w:lang w:eastAsia="fr-FR" w:bidi="fr-FR"/>
        </w:rPr>
        <w:t>é</w:t>
      </w:r>
      <w:r w:rsidRPr="00C30976">
        <w:rPr>
          <w:lang w:eastAsia="fr-FR" w:bidi="fr-FR"/>
        </w:rPr>
        <w:t>partement d’</w:t>
      </w:r>
      <w:r>
        <w:rPr>
          <w:lang w:eastAsia="fr-FR" w:bidi="fr-FR"/>
        </w:rPr>
        <w:t>État</w:t>
      </w:r>
      <w:r w:rsidRPr="00C30976">
        <w:rPr>
          <w:lang w:eastAsia="fr-FR" w:bidi="fr-FR"/>
        </w:rPr>
        <w:t xml:space="preserve"> (intégration de l’Agence pour le contrôle des arm</w:t>
      </w:r>
      <w:r w:rsidRPr="00C30976">
        <w:rPr>
          <w:lang w:eastAsia="fr-FR" w:bidi="fr-FR"/>
        </w:rPr>
        <w:t>e</w:t>
      </w:r>
      <w:r w:rsidRPr="00C30976">
        <w:rPr>
          <w:lang w:eastAsia="fr-FR" w:bidi="fr-FR"/>
        </w:rPr>
        <w:t xml:space="preserve">ments — </w:t>
      </w:r>
      <w:r w:rsidRPr="00C30976">
        <w:t xml:space="preserve">ACDA </w:t>
      </w:r>
      <w:r w:rsidRPr="00C30976">
        <w:rPr>
          <w:lang w:eastAsia="fr-FR" w:bidi="fr-FR"/>
        </w:rPr>
        <w:t>- dans le Département d’</w:t>
      </w:r>
      <w:r>
        <w:rPr>
          <w:lang w:eastAsia="fr-FR" w:bidi="fr-FR"/>
        </w:rPr>
        <w:t>État</w:t>
      </w:r>
      <w:r w:rsidRPr="00C30976">
        <w:rPr>
          <w:lang w:eastAsia="fr-FR" w:bidi="fr-FR"/>
        </w:rPr>
        <w:t>, réorganisation interne de l’Agence d’aide au dév</w:t>
      </w:r>
      <w:r w:rsidRPr="00C30976">
        <w:rPr>
          <w:lang w:eastAsia="fr-FR" w:bidi="fr-FR"/>
        </w:rPr>
        <w:t>e</w:t>
      </w:r>
      <w:r w:rsidRPr="00C30976">
        <w:rPr>
          <w:lang w:eastAsia="fr-FR" w:bidi="fr-FR"/>
        </w:rPr>
        <w:t xml:space="preserve">loppement — </w:t>
      </w:r>
      <w:r w:rsidRPr="00C30976">
        <w:t xml:space="preserve">USAID </w:t>
      </w:r>
      <w:r w:rsidRPr="00C30976">
        <w:rPr>
          <w:lang w:eastAsia="fr-FR" w:bidi="fr-FR"/>
        </w:rPr>
        <w:t xml:space="preserve">— et de l’Agence d’information extérieure des États-Unis - </w:t>
      </w:r>
      <w:r w:rsidRPr="00C30976">
        <w:t xml:space="preserve">USIA </w:t>
      </w:r>
      <w:r w:rsidRPr="00C30976">
        <w:rPr>
          <w:lang w:eastAsia="fr-FR" w:bidi="fr-FR"/>
        </w:rPr>
        <w:t>- notamment). Aussi, associer des sénateurs aux négociations internationales et</w:t>
      </w:r>
      <w:r>
        <w:t xml:space="preserve"> [263] </w:t>
      </w:r>
      <w:r w:rsidRPr="00C30976">
        <w:rPr>
          <w:lang w:eastAsia="fr-FR" w:bidi="fr-FR"/>
        </w:rPr>
        <w:t>r</w:t>
      </w:r>
      <w:r w:rsidRPr="00C30976">
        <w:rPr>
          <w:lang w:eastAsia="fr-FR" w:bidi="fr-FR"/>
        </w:rPr>
        <w:t>e</w:t>
      </w:r>
      <w:r w:rsidRPr="00C30976">
        <w:rPr>
          <w:lang w:eastAsia="fr-FR" w:bidi="fr-FR"/>
        </w:rPr>
        <w:t>cueillir leur conseil est-il nécessaire, même si cela peut se r</w:t>
      </w:r>
      <w:r w:rsidRPr="00C30976">
        <w:rPr>
          <w:lang w:eastAsia="fr-FR" w:bidi="fr-FR"/>
        </w:rPr>
        <w:t>e</w:t>
      </w:r>
      <w:r w:rsidRPr="00C30976">
        <w:rPr>
          <w:lang w:eastAsia="fr-FR" w:bidi="fr-FR"/>
        </w:rPr>
        <w:t>tourner contre la présidence</w:t>
      </w:r>
      <w:r>
        <w:rPr>
          <w:lang w:eastAsia="fr-FR" w:bidi="fr-FR"/>
        </w:rPr>
        <w:t> </w:t>
      </w:r>
      <w:r>
        <w:rPr>
          <w:rStyle w:val="Appelnotedebasdep"/>
          <w:lang w:eastAsia="fr-FR" w:bidi="fr-FR"/>
        </w:rPr>
        <w:footnoteReference w:id="527"/>
      </w:r>
      <w:r w:rsidRPr="00C30976">
        <w:t>.</w:t>
      </w:r>
    </w:p>
    <w:p w14:paraId="546D361B" w14:textId="77777777" w:rsidR="0039793A" w:rsidRDefault="0039793A" w:rsidP="0039793A">
      <w:pPr>
        <w:spacing w:before="120" w:after="120"/>
        <w:jc w:val="both"/>
        <w:rPr>
          <w:lang w:eastAsia="fr-FR" w:bidi="fr-FR"/>
        </w:rPr>
      </w:pPr>
      <w:r w:rsidRPr="00C30976">
        <w:rPr>
          <w:lang w:eastAsia="fr-FR" w:bidi="fr-FR"/>
        </w:rPr>
        <w:t>Plus généralement, l’Exécutif, lorsqu’il négocie les traités, intègre cette exigence de ratification s</w:t>
      </w:r>
      <w:r w:rsidRPr="00C30976">
        <w:rPr>
          <w:lang w:eastAsia="fr-FR" w:bidi="fr-FR"/>
        </w:rPr>
        <w:t>a</w:t>
      </w:r>
      <w:r w:rsidRPr="00C30976">
        <w:rPr>
          <w:lang w:eastAsia="fr-FR" w:bidi="fr-FR"/>
        </w:rPr>
        <w:t>chant qu’il ne peut sciemment accepter de faire des concessions qui seront réfutées par les sénateurs. Ceci l’amène donc à prendre en compte par anticipation leurs préoccup</w:t>
      </w:r>
      <w:r w:rsidRPr="00C30976">
        <w:rPr>
          <w:lang w:eastAsia="fr-FR" w:bidi="fr-FR"/>
        </w:rPr>
        <w:t>a</w:t>
      </w:r>
      <w:r w:rsidRPr="00C30976">
        <w:rPr>
          <w:lang w:eastAsia="fr-FR" w:bidi="fr-FR"/>
        </w:rPr>
        <w:t>tions politiques, et à les associer aux négociations. Parfois, ce méc</w:t>
      </w:r>
      <w:r w:rsidRPr="00C30976">
        <w:rPr>
          <w:lang w:eastAsia="fr-FR" w:bidi="fr-FR"/>
        </w:rPr>
        <w:t>a</w:t>
      </w:r>
      <w:r w:rsidRPr="00C30976">
        <w:rPr>
          <w:lang w:eastAsia="fr-FR" w:bidi="fr-FR"/>
        </w:rPr>
        <w:t>nisme sert d’ailleurs de prétexte aux négociateurs pour just</w:t>
      </w:r>
      <w:r w:rsidRPr="00C30976">
        <w:rPr>
          <w:lang w:eastAsia="fr-FR" w:bidi="fr-FR"/>
        </w:rPr>
        <w:t>i</w:t>
      </w:r>
      <w:r w:rsidRPr="00C30976">
        <w:rPr>
          <w:lang w:eastAsia="fr-FR" w:bidi="fr-FR"/>
        </w:rPr>
        <w:t>fier une inflexibilité américaine sans que soit mise en cause leur propre volo</w:t>
      </w:r>
      <w:r w:rsidRPr="00C30976">
        <w:rPr>
          <w:lang w:eastAsia="fr-FR" w:bidi="fr-FR"/>
        </w:rPr>
        <w:t>n</w:t>
      </w:r>
      <w:r w:rsidRPr="00C30976">
        <w:rPr>
          <w:lang w:eastAsia="fr-FR" w:bidi="fr-FR"/>
        </w:rPr>
        <w:t>té d’aboutir, leur inclination à faire des concessions. Il arrive cepe</w:t>
      </w:r>
      <w:r w:rsidRPr="00C30976">
        <w:rPr>
          <w:lang w:eastAsia="fr-FR" w:bidi="fr-FR"/>
        </w:rPr>
        <w:t>n</w:t>
      </w:r>
      <w:r w:rsidRPr="00C30976">
        <w:rPr>
          <w:lang w:eastAsia="fr-FR" w:bidi="fr-FR"/>
        </w:rPr>
        <w:t>dant et malgré tout que le Congrès refuse purement et si</w:t>
      </w:r>
      <w:r w:rsidRPr="00C30976">
        <w:rPr>
          <w:lang w:eastAsia="fr-FR" w:bidi="fr-FR"/>
        </w:rPr>
        <w:t>m</w:t>
      </w:r>
      <w:r w:rsidRPr="00C30976">
        <w:rPr>
          <w:lang w:eastAsia="fr-FR" w:bidi="fr-FR"/>
        </w:rPr>
        <w:t>plement de ratifier certains traités</w:t>
      </w:r>
      <w:r>
        <w:rPr>
          <w:lang w:eastAsia="fr-FR" w:bidi="fr-FR"/>
        </w:rPr>
        <w:t> </w:t>
      </w:r>
      <w:r>
        <w:rPr>
          <w:rStyle w:val="Appelnotedebasdep"/>
          <w:lang w:eastAsia="fr-FR" w:bidi="fr-FR"/>
        </w:rPr>
        <w:footnoteReference w:id="528"/>
      </w:r>
      <w:r w:rsidRPr="00C30976">
        <w:rPr>
          <w:lang w:eastAsia="fr-FR" w:bidi="fr-FR"/>
        </w:rPr>
        <w:t>. Au début des années 2000, plus de 52 d’entre eux sont en désh</w:t>
      </w:r>
      <w:r w:rsidRPr="00C30976">
        <w:rPr>
          <w:lang w:eastAsia="fr-FR" w:bidi="fr-FR"/>
        </w:rPr>
        <w:t>é</w:t>
      </w:r>
      <w:r w:rsidRPr="00C30976">
        <w:rPr>
          <w:lang w:eastAsia="fr-FR" w:bidi="fr-FR"/>
        </w:rPr>
        <w:t>rence au Sénat</w:t>
      </w:r>
      <w:r>
        <w:rPr>
          <w:lang w:eastAsia="fr-FR" w:bidi="fr-FR"/>
        </w:rPr>
        <w:t> </w:t>
      </w:r>
      <w:r>
        <w:rPr>
          <w:rStyle w:val="Appelnotedebasdep"/>
          <w:lang w:eastAsia="fr-FR" w:bidi="fr-FR"/>
        </w:rPr>
        <w:footnoteReference w:id="529"/>
      </w:r>
      <w:r w:rsidRPr="00C30976">
        <w:rPr>
          <w:lang w:eastAsia="fr-FR" w:bidi="fr-FR"/>
        </w:rPr>
        <w:t xml:space="preserve"> ou attendent de lui être soumis, le plus vieux datant de 1949... Un grand nombre d’entre eux sont obscurs ou dépassés tandis que d’autres sont au contraire esse</w:t>
      </w:r>
      <w:r w:rsidRPr="00C30976">
        <w:rPr>
          <w:lang w:eastAsia="fr-FR" w:bidi="fr-FR"/>
        </w:rPr>
        <w:t>n</w:t>
      </w:r>
      <w:r w:rsidRPr="00C30976">
        <w:rPr>
          <w:lang w:eastAsia="fr-FR" w:bidi="fr-FR"/>
        </w:rPr>
        <w:t>tiels. Ainsi la Convention sur le droit de la mer de Montego Bay, que Reagan refuse de signer en 1982, amendée pour satisfaire les obje</w:t>
      </w:r>
      <w:r w:rsidRPr="00C30976">
        <w:rPr>
          <w:lang w:eastAsia="fr-FR" w:bidi="fr-FR"/>
        </w:rPr>
        <w:t>c</w:t>
      </w:r>
      <w:r w:rsidRPr="00C30976">
        <w:rPr>
          <w:lang w:eastAsia="fr-FR" w:bidi="fr-FR"/>
        </w:rPr>
        <w:t>tions amér</w:t>
      </w:r>
      <w:r w:rsidRPr="00C30976">
        <w:rPr>
          <w:lang w:eastAsia="fr-FR" w:bidi="fr-FR"/>
        </w:rPr>
        <w:t>i</w:t>
      </w:r>
      <w:r w:rsidRPr="00C30976">
        <w:rPr>
          <w:lang w:eastAsia="fr-FR" w:bidi="fr-FR"/>
        </w:rPr>
        <w:t>caines et signée par Clinton en 1994, attend toujours d’être examinée par la commission des relations extérieures</w:t>
      </w:r>
      <w:r w:rsidRPr="00C30976">
        <w:t> ;</w:t>
      </w:r>
      <w:r w:rsidRPr="00C30976">
        <w:rPr>
          <w:lang w:eastAsia="fr-FR" w:bidi="fr-FR"/>
        </w:rPr>
        <w:t xml:space="preserve"> mais les rép</w:t>
      </w:r>
      <w:r w:rsidRPr="00C30976">
        <w:rPr>
          <w:lang w:eastAsia="fr-FR" w:bidi="fr-FR"/>
        </w:rPr>
        <w:t>u</w:t>
      </w:r>
      <w:r w:rsidRPr="00C30976">
        <w:rPr>
          <w:lang w:eastAsia="fr-FR" w:bidi="fr-FR"/>
        </w:rPr>
        <w:t>blicains ont promis de faire échouer la rat</w:t>
      </w:r>
      <w:r w:rsidRPr="00C30976">
        <w:rPr>
          <w:lang w:eastAsia="fr-FR" w:bidi="fr-FR"/>
        </w:rPr>
        <w:t>i</w:t>
      </w:r>
      <w:r w:rsidRPr="00C30976">
        <w:rPr>
          <w:lang w:eastAsia="fr-FR" w:bidi="fr-FR"/>
        </w:rPr>
        <w:t>fication.</w:t>
      </w:r>
    </w:p>
    <w:p w14:paraId="7CC19CF8" w14:textId="77777777" w:rsidR="0039793A" w:rsidRPr="00C30976" w:rsidRDefault="0039793A" w:rsidP="0039793A">
      <w:pPr>
        <w:spacing w:before="120" w:after="120"/>
        <w:jc w:val="both"/>
      </w:pPr>
    </w:p>
    <w:p w14:paraId="2AAFDD44" w14:textId="77777777" w:rsidR="0039793A" w:rsidRDefault="0039793A" w:rsidP="0039793A">
      <w:pPr>
        <w:pStyle w:val="a"/>
      </w:pPr>
      <w:r w:rsidRPr="00C30976">
        <w:t>Le pouvoir législatif du Congrès</w:t>
      </w:r>
    </w:p>
    <w:p w14:paraId="37C84741" w14:textId="77777777" w:rsidR="0039793A" w:rsidRPr="00C30976" w:rsidRDefault="0039793A" w:rsidP="0039793A">
      <w:pPr>
        <w:spacing w:before="120" w:after="120"/>
        <w:jc w:val="both"/>
      </w:pPr>
    </w:p>
    <w:p w14:paraId="19626261" w14:textId="77777777" w:rsidR="0039793A" w:rsidRPr="00C30976" w:rsidRDefault="0039793A" w:rsidP="0039793A">
      <w:pPr>
        <w:spacing w:before="120" w:after="120"/>
        <w:jc w:val="both"/>
      </w:pPr>
      <w:r w:rsidRPr="00C30976">
        <w:rPr>
          <w:lang w:eastAsia="fr-FR" w:bidi="fr-FR"/>
        </w:rPr>
        <w:t>La prérogative constitutionnelle exclusive du Congrès est de faire la loi. Plusieurs législations substantielles, définissant la politique étrangère p</w:t>
      </w:r>
      <w:r w:rsidRPr="00C30976">
        <w:rPr>
          <w:lang w:eastAsia="fr-FR" w:bidi="fr-FR"/>
        </w:rPr>
        <w:t>o</w:t>
      </w:r>
      <w:r w:rsidRPr="00C30976">
        <w:rPr>
          <w:lang w:eastAsia="fr-FR" w:bidi="fr-FR"/>
        </w:rPr>
        <w:t>sitiveme</w:t>
      </w:r>
      <w:r>
        <w:rPr>
          <w:lang w:eastAsia="fr-FR" w:bidi="fr-FR"/>
        </w:rPr>
        <w:t>nt et non plus seulement négati</w:t>
      </w:r>
      <w:r w:rsidRPr="00C30976">
        <w:rPr>
          <w:lang w:eastAsia="fr-FR" w:bidi="fr-FR"/>
        </w:rPr>
        <w:t>vement</w:t>
      </w:r>
      <w:r>
        <w:t xml:space="preserve"> [264]</w:t>
      </w:r>
      <w:r w:rsidRPr="00C30976">
        <w:rPr>
          <w:lang w:eastAsia="fr-FR" w:bidi="fr-FR"/>
        </w:rPr>
        <w:t xml:space="preserve"> (contrôle, restrictions, etc.), ont imprimé leur marque à la politique étrangère américaine au cours des dernières années, que ce soit par voie d</w:t>
      </w:r>
      <w:r w:rsidRPr="00C30976">
        <w:rPr>
          <w:lang w:eastAsia="fr-FR" w:bidi="fr-FR"/>
        </w:rPr>
        <w:t>i</w:t>
      </w:r>
      <w:r w:rsidRPr="00C30976">
        <w:rPr>
          <w:lang w:eastAsia="fr-FR" w:bidi="fr-FR"/>
        </w:rPr>
        <w:t>recte ou par voie indirecte.</w:t>
      </w:r>
    </w:p>
    <w:p w14:paraId="6E64EDF0" w14:textId="77777777" w:rsidR="0039793A" w:rsidRDefault="0039793A" w:rsidP="0039793A">
      <w:pPr>
        <w:spacing w:before="120" w:after="120"/>
        <w:jc w:val="both"/>
        <w:rPr>
          <w:lang w:eastAsia="fr-FR" w:bidi="fr-FR"/>
        </w:rPr>
      </w:pPr>
    </w:p>
    <w:p w14:paraId="31091410" w14:textId="77777777" w:rsidR="0039793A" w:rsidRPr="00AA0230" w:rsidRDefault="0039793A" w:rsidP="0039793A">
      <w:pPr>
        <w:pStyle w:val="b"/>
      </w:pPr>
      <w:r w:rsidRPr="00AA0230">
        <w:rPr>
          <w:lang w:eastAsia="fr-FR" w:bidi="fr-FR"/>
        </w:rPr>
        <w:t>L’action législative substantielle</w:t>
      </w:r>
    </w:p>
    <w:p w14:paraId="445377AA" w14:textId="77777777" w:rsidR="0039793A" w:rsidRDefault="0039793A" w:rsidP="0039793A">
      <w:pPr>
        <w:spacing w:before="120" w:after="120"/>
        <w:jc w:val="both"/>
        <w:rPr>
          <w:lang w:eastAsia="fr-FR" w:bidi="fr-FR"/>
        </w:rPr>
      </w:pPr>
    </w:p>
    <w:p w14:paraId="51228408" w14:textId="77777777" w:rsidR="0039793A" w:rsidRPr="00C30976" w:rsidRDefault="0039793A" w:rsidP="0039793A">
      <w:pPr>
        <w:spacing w:before="120" w:after="120"/>
        <w:jc w:val="both"/>
      </w:pPr>
      <w:r w:rsidRPr="00C30976">
        <w:rPr>
          <w:lang w:eastAsia="fr-FR" w:bidi="fr-FR"/>
        </w:rPr>
        <w:t xml:space="preserve">Ainsi les deux lois de sanction contre les « États délinquants » </w:t>
      </w:r>
      <w:r w:rsidRPr="00C92B40">
        <w:rPr>
          <w:i/>
          <w:iCs/>
        </w:rPr>
        <w:t>(r</w:t>
      </w:r>
      <w:r w:rsidRPr="00C92B40">
        <w:rPr>
          <w:i/>
          <w:iCs/>
        </w:rPr>
        <w:t>o</w:t>
      </w:r>
      <w:r>
        <w:rPr>
          <w:i/>
          <w:iCs/>
        </w:rPr>
        <w:t>gu</w:t>
      </w:r>
      <w:r w:rsidRPr="00C92B40">
        <w:rPr>
          <w:i/>
          <w:iCs/>
        </w:rPr>
        <w:t>e States</w:t>
      </w:r>
      <w:r w:rsidRPr="00C30976">
        <w:rPr>
          <w:lang w:eastAsia="fr-FR" w:bidi="fr-FR"/>
        </w:rPr>
        <w:t>) de 1996, Helms-Burton et D’Amato- Kennedy</w:t>
      </w:r>
      <w:r>
        <w:rPr>
          <w:lang w:eastAsia="fr-FR" w:bidi="fr-FR"/>
        </w:rPr>
        <w:t> </w:t>
      </w:r>
      <w:r>
        <w:rPr>
          <w:rStyle w:val="Appelnotedebasdep"/>
          <w:lang w:eastAsia="fr-FR" w:bidi="fr-FR"/>
        </w:rPr>
        <w:footnoteReference w:id="530"/>
      </w:r>
      <w:r>
        <w:rPr>
          <w:lang w:eastAsia="fr-FR" w:bidi="fr-FR"/>
        </w:rPr>
        <w:t>,</w:t>
      </w:r>
      <w:r w:rsidRPr="00C30976">
        <w:rPr>
          <w:lang w:eastAsia="fr-FR" w:bidi="fr-FR"/>
        </w:rPr>
        <w:t xml:space="preserve"> refl</w:t>
      </w:r>
      <w:r w:rsidRPr="00C30976">
        <w:rPr>
          <w:lang w:eastAsia="fr-FR" w:bidi="fr-FR"/>
        </w:rPr>
        <w:t>è</w:t>
      </w:r>
      <w:r w:rsidRPr="00C30976">
        <w:rPr>
          <w:lang w:eastAsia="fr-FR" w:bidi="fr-FR"/>
        </w:rPr>
        <w:t>tent deux initiatives propres au Congrès qui ont largement échappé au président. Il faut dire que la Constit</w:t>
      </w:r>
      <w:r w:rsidRPr="00C30976">
        <w:rPr>
          <w:lang w:eastAsia="fr-FR" w:bidi="fr-FR"/>
        </w:rPr>
        <w:t>u</w:t>
      </w:r>
      <w:r w:rsidRPr="00C30976">
        <w:rPr>
          <w:lang w:eastAsia="fr-FR" w:bidi="fr-FR"/>
        </w:rPr>
        <w:t xml:space="preserve">tion donne spécifiquement au Congrès la responsabilité de </w:t>
      </w:r>
      <w:r w:rsidRPr="00C30976">
        <w:t>« </w:t>
      </w:r>
      <w:r w:rsidRPr="00C30976">
        <w:rPr>
          <w:lang w:eastAsia="fr-FR" w:bidi="fr-FR"/>
        </w:rPr>
        <w:t>réguler le commerce avec les autres nations</w:t>
      </w:r>
      <w:r w:rsidRPr="00C30976">
        <w:t> »</w:t>
      </w:r>
      <w:r w:rsidRPr="00C30976">
        <w:rPr>
          <w:lang w:eastAsia="fr-FR" w:bidi="fr-FR"/>
        </w:rPr>
        <w:t>, et que les élus se servent parfois de ce po</w:t>
      </w:r>
      <w:r w:rsidRPr="00C30976">
        <w:rPr>
          <w:lang w:eastAsia="fr-FR" w:bidi="fr-FR"/>
        </w:rPr>
        <w:t>u</w:t>
      </w:r>
      <w:r w:rsidRPr="00C30976">
        <w:rPr>
          <w:lang w:eastAsia="fr-FR" w:bidi="fr-FR"/>
        </w:rPr>
        <w:t>voir à des fins politiques - il n’est que de rappeler comment les parlementaires imp</w:t>
      </w:r>
      <w:r w:rsidRPr="00C30976">
        <w:rPr>
          <w:lang w:eastAsia="fr-FR" w:bidi="fr-FR"/>
        </w:rPr>
        <w:t>o</w:t>
      </w:r>
      <w:r w:rsidRPr="00C30976">
        <w:rPr>
          <w:lang w:eastAsia="fr-FR" w:bidi="fr-FR"/>
        </w:rPr>
        <w:t>sèrent des san</w:t>
      </w:r>
      <w:r w:rsidRPr="00C30976">
        <w:rPr>
          <w:lang w:eastAsia="fr-FR" w:bidi="fr-FR"/>
        </w:rPr>
        <w:t>c</w:t>
      </w:r>
      <w:r w:rsidRPr="00C30976">
        <w:rPr>
          <w:lang w:eastAsia="fr-FR" w:bidi="fr-FR"/>
        </w:rPr>
        <w:t>tions économiques contre l’Afrique du Sud en 1986 pour obtenir la fin du régime d’apartheid, renve</w:t>
      </w:r>
      <w:r w:rsidRPr="00C30976">
        <w:rPr>
          <w:lang w:eastAsia="fr-FR" w:bidi="fr-FR"/>
        </w:rPr>
        <w:t>r</w:t>
      </w:r>
      <w:r w:rsidRPr="00C30976">
        <w:rPr>
          <w:lang w:eastAsia="fr-FR" w:bidi="fr-FR"/>
        </w:rPr>
        <w:t>sant même le veto du président Reagan. Cette arme du président, le veto, peut en effet être surmontée grâce à un vote aux deux tiers du Congrès</w:t>
      </w:r>
      <w:r w:rsidRPr="00C30976">
        <w:t> ;</w:t>
      </w:r>
      <w:r w:rsidRPr="00C30976">
        <w:rPr>
          <w:lang w:eastAsia="fr-FR" w:bidi="fr-FR"/>
        </w:rPr>
        <w:t xml:space="preserve"> elle sert so</w:t>
      </w:r>
      <w:r w:rsidRPr="00C30976">
        <w:rPr>
          <w:lang w:eastAsia="fr-FR" w:bidi="fr-FR"/>
        </w:rPr>
        <w:t>u</w:t>
      </w:r>
      <w:r w:rsidRPr="00C30976">
        <w:rPr>
          <w:lang w:eastAsia="fr-FR" w:bidi="fr-FR"/>
        </w:rPr>
        <w:t>vent au président de menace pour obtenir une atténuation des mesures envisagées par les parl</w:t>
      </w:r>
      <w:r w:rsidRPr="00C30976">
        <w:rPr>
          <w:lang w:eastAsia="fr-FR" w:bidi="fr-FR"/>
        </w:rPr>
        <w:t>e</w:t>
      </w:r>
      <w:r w:rsidRPr="00C30976">
        <w:rPr>
          <w:lang w:eastAsia="fr-FR" w:bidi="fr-FR"/>
        </w:rPr>
        <w:t>mentaires, ainsi son pouvoir de suspension des sanctions (</w:t>
      </w:r>
      <w:r w:rsidRPr="00AA0230">
        <w:rPr>
          <w:i/>
          <w:iCs/>
        </w:rPr>
        <w:t>waiver</w:t>
      </w:r>
      <w:r w:rsidRPr="00C30976">
        <w:rPr>
          <w:lang w:eastAsia="fr-FR" w:bidi="fr-FR"/>
        </w:rPr>
        <w:t xml:space="preserve">) dans les deux lois de sanction de 1996 (le président obtient le droit de décider la non-application de la loi dans les cas qu’il choisit) ou encore dans le </w:t>
      </w:r>
      <w:r w:rsidRPr="00AA0230">
        <w:rPr>
          <w:i/>
          <w:iCs/>
        </w:rPr>
        <w:t>Jérusalem Ambassy Act</w:t>
      </w:r>
      <w:r w:rsidRPr="00C30976">
        <w:rPr>
          <w:lang w:eastAsia="fr-FR" w:bidi="fr-FR"/>
        </w:rPr>
        <w:t xml:space="preserve"> de 1995 qui prévoit un transfert de l’ambassade américaine de Tel-aviv à Jérus</w:t>
      </w:r>
      <w:r w:rsidRPr="00C30976">
        <w:rPr>
          <w:lang w:eastAsia="fr-FR" w:bidi="fr-FR"/>
        </w:rPr>
        <w:t>a</w:t>
      </w:r>
      <w:r w:rsidRPr="00C30976">
        <w:rPr>
          <w:lang w:eastAsia="fr-FR" w:bidi="fr-FR"/>
        </w:rPr>
        <w:t>lem (le président obtient le droit de reporter de six mois en six mois l’application effective de la loi). Le Congrès peut aussi vouloir, en votant certaines lois, non pas dicter le détail de la politique américa</w:t>
      </w:r>
      <w:r w:rsidRPr="00C30976">
        <w:rPr>
          <w:lang w:eastAsia="fr-FR" w:bidi="fr-FR"/>
        </w:rPr>
        <w:t>i</w:t>
      </w:r>
      <w:r w:rsidRPr="00C30976">
        <w:rPr>
          <w:lang w:eastAsia="fr-FR" w:bidi="fr-FR"/>
        </w:rPr>
        <w:t>ne, mais amener l’Exécutif à modifier sa politique</w:t>
      </w:r>
      <w:r w:rsidRPr="00C30976">
        <w:t> :</w:t>
      </w:r>
      <w:r w:rsidRPr="00C30976">
        <w:rPr>
          <w:lang w:eastAsia="fr-FR" w:bidi="fr-FR"/>
        </w:rPr>
        <w:t xml:space="preserve"> ainsi les pressions exercées par les votes successifs en faveur de la levée de l’embargo sur les armes en Bosnie, s’intensifiant jusqu’à l’été 1995, visaient su</w:t>
      </w:r>
      <w:r w:rsidRPr="00C30976">
        <w:rPr>
          <w:lang w:eastAsia="fr-FR" w:bidi="fr-FR"/>
        </w:rPr>
        <w:t>r</w:t>
      </w:r>
      <w:r w:rsidRPr="00C30976">
        <w:rPr>
          <w:lang w:eastAsia="fr-FR" w:bidi="fr-FR"/>
        </w:rPr>
        <w:t>tout à inciter Bill Clinton à prendre des mesures décisives pour cha</w:t>
      </w:r>
      <w:r w:rsidRPr="00C30976">
        <w:rPr>
          <w:lang w:eastAsia="fr-FR" w:bidi="fr-FR"/>
        </w:rPr>
        <w:t>n</w:t>
      </w:r>
      <w:r w:rsidRPr="00C30976">
        <w:rPr>
          <w:lang w:eastAsia="fr-FR" w:bidi="fr-FR"/>
        </w:rPr>
        <w:t xml:space="preserve">ger la situation. De même, les nombreux projets de loi hostiles à </w:t>
      </w:r>
      <w:r w:rsidRPr="00C30976">
        <w:t xml:space="preserve">l’ONU </w:t>
      </w:r>
      <w:r w:rsidRPr="00C30976">
        <w:rPr>
          <w:lang w:eastAsia="fr-FR" w:bidi="fr-FR"/>
        </w:rPr>
        <w:t>au milieu des années 1990, certains préconisant même le r</w:t>
      </w:r>
      <w:r w:rsidRPr="00C30976">
        <w:rPr>
          <w:lang w:eastAsia="fr-FR" w:bidi="fr-FR"/>
        </w:rPr>
        <w:t>e</w:t>
      </w:r>
      <w:r w:rsidRPr="00C30976">
        <w:rPr>
          <w:lang w:eastAsia="fr-FR" w:bidi="fr-FR"/>
        </w:rPr>
        <w:t>trait pur et</w:t>
      </w:r>
      <w:r>
        <w:t xml:space="preserve"> [265] </w:t>
      </w:r>
      <w:r w:rsidRPr="00C30976">
        <w:rPr>
          <w:lang w:eastAsia="fr-FR" w:bidi="fr-FR"/>
        </w:rPr>
        <w:t>simple de l’organisation</w:t>
      </w:r>
      <w:r>
        <w:rPr>
          <w:lang w:eastAsia="fr-FR" w:bidi="fr-FR"/>
        </w:rPr>
        <w:t> </w:t>
      </w:r>
      <w:r>
        <w:rPr>
          <w:rStyle w:val="Appelnotedebasdep"/>
          <w:lang w:eastAsia="fr-FR" w:bidi="fr-FR"/>
        </w:rPr>
        <w:footnoteReference w:id="531"/>
      </w:r>
      <w:r w:rsidRPr="00C30976">
        <w:rPr>
          <w:lang w:eastAsia="fr-FR" w:bidi="fr-FR"/>
        </w:rPr>
        <w:t>, ont servi à faire pre</w:t>
      </w:r>
      <w:r w:rsidRPr="00C30976">
        <w:rPr>
          <w:lang w:eastAsia="fr-FR" w:bidi="fr-FR"/>
        </w:rPr>
        <w:t>s</w:t>
      </w:r>
      <w:r w:rsidRPr="00C30976">
        <w:rPr>
          <w:lang w:eastAsia="fr-FR" w:bidi="fr-FR"/>
        </w:rPr>
        <w:t>sion sur l’Administration pour quelle prenne ses distances vis-à-vis des N</w:t>
      </w:r>
      <w:r w:rsidRPr="00C30976">
        <w:rPr>
          <w:lang w:eastAsia="fr-FR" w:bidi="fr-FR"/>
        </w:rPr>
        <w:t>a</w:t>
      </w:r>
      <w:r w:rsidRPr="00C30976">
        <w:rPr>
          <w:lang w:eastAsia="fr-FR" w:bidi="fr-FR"/>
        </w:rPr>
        <w:t>tions unies et force l’organisation à réformer son fonctionnement, ce quelle a fait. L’action législative substantielle n’est pourtant pas, pour le Congrès, la voie privilégiée d’influence sur la politique étra</w:t>
      </w:r>
      <w:r w:rsidRPr="00C30976">
        <w:rPr>
          <w:lang w:eastAsia="fr-FR" w:bidi="fr-FR"/>
        </w:rPr>
        <w:t>n</w:t>
      </w:r>
      <w:r w:rsidRPr="00C30976">
        <w:rPr>
          <w:lang w:eastAsia="fr-FR" w:bidi="fr-FR"/>
        </w:rPr>
        <w:t>gère</w:t>
      </w:r>
      <w:r w:rsidRPr="00C30976">
        <w:t> ;</w:t>
      </w:r>
      <w:r w:rsidRPr="00C30976">
        <w:rPr>
          <w:lang w:eastAsia="fr-FR" w:bidi="fr-FR"/>
        </w:rPr>
        <w:t xml:space="preserve"> comme l’a fait remarquer James Lindsay</w:t>
      </w:r>
      <w:r>
        <w:rPr>
          <w:lang w:eastAsia="fr-FR" w:bidi="fr-FR"/>
        </w:rPr>
        <w:t> </w:t>
      </w:r>
      <w:r>
        <w:rPr>
          <w:rStyle w:val="Appelnotedebasdep"/>
          <w:lang w:eastAsia="fr-FR" w:bidi="fr-FR"/>
        </w:rPr>
        <w:footnoteReference w:id="532"/>
      </w:r>
      <w:r w:rsidRPr="00C30976">
        <w:rPr>
          <w:lang w:eastAsia="fr-FR" w:bidi="fr-FR"/>
        </w:rPr>
        <w:t>, les résolutions non contraignantes, la pression par médias interp</w:t>
      </w:r>
      <w:r w:rsidRPr="00C30976">
        <w:rPr>
          <w:lang w:eastAsia="fr-FR" w:bidi="fr-FR"/>
        </w:rPr>
        <w:t>o</w:t>
      </w:r>
      <w:r w:rsidRPr="00C30976">
        <w:rPr>
          <w:lang w:eastAsia="fr-FR" w:bidi="fr-FR"/>
        </w:rPr>
        <w:t>sés, l’obligation d’information ou encore la manipulation des structures administrat</w:t>
      </w:r>
      <w:r w:rsidRPr="00C30976">
        <w:rPr>
          <w:lang w:eastAsia="fr-FR" w:bidi="fr-FR"/>
        </w:rPr>
        <w:t>i</w:t>
      </w:r>
      <w:r w:rsidRPr="00C30976">
        <w:rPr>
          <w:lang w:eastAsia="fr-FR" w:bidi="fr-FR"/>
        </w:rPr>
        <w:t>ves constituent autant d’alternatives pratiquées par les élus pour a</w:t>
      </w:r>
      <w:r w:rsidRPr="00C30976">
        <w:rPr>
          <w:lang w:eastAsia="fr-FR" w:bidi="fr-FR"/>
        </w:rPr>
        <w:t>f</w:t>
      </w:r>
      <w:r w:rsidRPr="00C30976">
        <w:rPr>
          <w:lang w:eastAsia="fr-FR" w:bidi="fr-FR"/>
        </w:rPr>
        <w:t>firmer leur puissance et peser sur les décisions en politique étrangère.</w:t>
      </w:r>
    </w:p>
    <w:p w14:paraId="3430077D" w14:textId="77777777" w:rsidR="0039793A" w:rsidRDefault="0039793A" w:rsidP="0039793A">
      <w:pPr>
        <w:spacing w:before="120" w:after="120"/>
        <w:jc w:val="both"/>
        <w:rPr>
          <w:lang w:eastAsia="fr-FR" w:bidi="fr-FR"/>
        </w:rPr>
      </w:pPr>
    </w:p>
    <w:p w14:paraId="319C256C" w14:textId="77777777" w:rsidR="0039793A" w:rsidRPr="00C14263" w:rsidRDefault="0039793A" w:rsidP="0039793A">
      <w:pPr>
        <w:pStyle w:val="b"/>
      </w:pPr>
      <w:r w:rsidRPr="00C14263">
        <w:rPr>
          <w:lang w:eastAsia="fr-FR" w:bidi="fr-FR"/>
        </w:rPr>
        <w:t>Une influence indirecte</w:t>
      </w:r>
    </w:p>
    <w:p w14:paraId="4E545FFF" w14:textId="77777777" w:rsidR="0039793A" w:rsidRDefault="0039793A" w:rsidP="0039793A">
      <w:pPr>
        <w:spacing w:before="120" w:after="120"/>
        <w:jc w:val="both"/>
        <w:rPr>
          <w:lang w:eastAsia="fr-FR" w:bidi="fr-FR"/>
        </w:rPr>
      </w:pPr>
    </w:p>
    <w:p w14:paraId="15F3A995" w14:textId="77777777" w:rsidR="0039793A" w:rsidRPr="00C30976" w:rsidRDefault="0039793A" w:rsidP="0039793A">
      <w:pPr>
        <w:spacing w:before="120" w:after="120"/>
        <w:jc w:val="both"/>
      </w:pPr>
      <w:r w:rsidRPr="00C30976">
        <w:rPr>
          <w:lang w:eastAsia="fr-FR" w:bidi="fr-FR"/>
        </w:rPr>
        <w:t>Les deux Chambres ont ainsi la possibilité de voter des résolutions non contraignantes exprimant les préoccupations des législateurs. Ces résolutions visent souvent autant à faire pression sur l’Exécutif — sans lui lier les mains, ce qui pourrait dans certaines situations app</w:t>
      </w:r>
      <w:r w:rsidRPr="00C30976">
        <w:rPr>
          <w:lang w:eastAsia="fr-FR" w:bidi="fr-FR"/>
        </w:rPr>
        <w:t>a</w:t>
      </w:r>
      <w:r w:rsidRPr="00C30976">
        <w:rPr>
          <w:lang w:eastAsia="fr-FR" w:bidi="fr-FR"/>
        </w:rPr>
        <w:t>raître comme irresponsable sur la scène internationale — qu’à d</w:t>
      </w:r>
      <w:r w:rsidRPr="00C30976">
        <w:rPr>
          <w:lang w:eastAsia="fr-FR" w:bidi="fr-FR"/>
        </w:rPr>
        <w:t>é</w:t>
      </w:r>
      <w:r w:rsidRPr="00C30976">
        <w:rPr>
          <w:lang w:eastAsia="fr-FR" w:bidi="fr-FR"/>
        </w:rPr>
        <w:t>douaner les parlementaires vis-à-vis des électeurs, leur perme</w:t>
      </w:r>
      <w:r w:rsidRPr="00C30976">
        <w:rPr>
          <w:lang w:eastAsia="fr-FR" w:bidi="fr-FR"/>
        </w:rPr>
        <w:t>t</w:t>
      </w:r>
      <w:r w:rsidRPr="00C30976">
        <w:rPr>
          <w:lang w:eastAsia="fr-FR" w:bidi="fr-FR"/>
        </w:rPr>
        <w:t>tant d’afficher une certaine visibilité sur des déc</w:t>
      </w:r>
      <w:r w:rsidRPr="00C30976">
        <w:rPr>
          <w:lang w:eastAsia="fr-FR" w:bidi="fr-FR"/>
        </w:rPr>
        <w:t>i</w:t>
      </w:r>
      <w:r w:rsidRPr="00C30976">
        <w:rPr>
          <w:lang w:eastAsia="fr-FR" w:bidi="fr-FR"/>
        </w:rPr>
        <w:t>sions en fait dénuées de portée et d’autorité. L’affaire du visa accordé, en dépit d’une violente opposition de la Chine continentale, au Premier m</w:t>
      </w:r>
      <w:r w:rsidRPr="00C30976">
        <w:rPr>
          <w:lang w:eastAsia="fr-FR" w:bidi="fr-FR"/>
        </w:rPr>
        <w:t>i</w:t>
      </w:r>
      <w:r w:rsidRPr="00C30976">
        <w:rPr>
          <w:lang w:eastAsia="fr-FR" w:bidi="fr-FR"/>
        </w:rPr>
        <w:t>nistre taiwanais Lee Teng-Hui pour une visite privée à son ancienne université (</w:t>
      </w:r>
      <w:r w:rsidRPr="00C14263">
        <w:rPr>
          <w:i/>
          <w:iCs/>
        </w:rPr>
        <w:t>Co</w:t>
      </w:r>
      <w:r w:rsidRPr="00C14263">
        <w:rPr>
          <w:i/>
          <w:iCs/>
        </w:rPr>
        <w:t>r</w:t>
      </w:r>
      <w:r w:rsidRPr="00C14263">
        <w:rPr>
          <w:i/>
          <w:iCs/>
        </w:rPr>
        <w:t>nell University</w:t>
      </w:r>
      <w:r w:rsidRPr="00C30976">
        <w:t>)</w:t>
      </w:r>
      <w:r w:rsidRPr="00C30976">
        <w:rPr>
          <w:lang w:eastAsia="fr-FR" w:bidi="fr-FR"/>
        </w:rPr>
        <w:t xml:space="preserve"> en 1995 trouve son origine dans le vote de résol</w:t>
      </w:r>
      <w:r w:rsidRPr="00C30976">
        <w:rPr>
          <w:lang w:eastAsia="fr-FR" w:bidi="fr-FR"/>
        </w:rPr>
        <w:t>u</w:t>
      </w:r>
      <w:r w:rsidRPr="00C30976">
        <w:rPr>
          <w:lang w:eastAsia="fr-FR" w:bidi="fr-FR"/>
        </w:rPr>
        <w:t>tions non contraignantes par les deux assemblées. Elles étaient accomp</w:t>
      </w:r>
      <w:r w:rsidRPr="00C30976">
        <w:rPr>
          <w:lang w:eastAsia="fr-FR" w:bidi="fr-FR"/>
        </w:rPr>
        <w:t>a</w:t>
      </w:r>
      <w:r w:rsidRPr="00C30976">
        <w:rPr>
          <w:lang w:eastAsia="fr-FR" w:bidi="fr-FR"/>
        </w:rPr>
        <w:t>gnées de la menace - assez hypothétique - d’aller plus loin, en coupant le f</w:t>
      </w:r>
      <w:r w:rsidRPr="00C30976">
        <w:rPr>
          <w:lang w:eastAsia="fr-FR" w:bidi="fr-FR"/>
        </w:rPr>
        <w:t>i</w:t>
      </w:r>
      <w:r w:rsidRPr="00C30976">
        <w:rPr>
          <w:lang w:eastAsia="fr-FR" w:bidi="fr-FR"/>
        </w:rPr>
        <w:t>nancement du service des visas par exemple</w:t>
      </w:r>
      <w:r w:rsidRPr="00C30976">
        <w:t> ;</w:t>
      </w:r>
      <w:r w:rsidRPr="00C30976">
        <w:rPr>
          <w:lang w:eastAsia="fr-FR" w:bidi="fr-FR"/>
        </w:rPr>
        <w:t xml:space="preserve"> l’Administration Clinton a jugé nécessaire de suivre l’avis des élus et de laisser venir Lee, ce qui a d</w:t>
      </w:r>
      <w:r w:rsidRPr="00C30976">
        <w:rPr>
          <w:lang w:eastAsia="fr-FR" w:bidi="fr-FR"/>
        </w:rPr>
        <w:t>é</w:t>
      </w:r>
      <w:r w:rsidRPr="00C30976">
        <w:rPr>
          <w:lang w:eastAsia="fr-FR" w:bidi="fr-FR"/>
        </w:rPr>
        <w:t>clenché une tempête diplomatique avec la Chine. Trois ans plus tôt, à l’été 1992, aiguillonné par les images diffusées dans les médias, le Congrès d</w:t>
      </w:r>
      <w:r w:rsidRPr="00C30976">
        <w:rPr>
          <w:lang w:eastAsia="fr-FR" w:bidi="fr-FR"/>
        </w:rPr>
        <w:t>é</w:t>
      </w:r>
      <w:r w:rsidRPr="00C30976">
        <w:rPr>
          <w:lang w:eastAsia="fr-FR" w:bidi="fr-FR"/>
        </w:rPr>
        <w:t xml:space="preserve">mocrate a voté une résolution non contraignante pour demander que </w:t>
      </w:r>
      <w:r w:rsidRPr="00C30976">
        <w:t xml:space="preserve">l’ONU </w:t>
      </w:r>
      <w:r w:rsidRPr="00C30976">
        <w:rPr>
          <w:lang w:eastAsia="fr-FR" w:bidi="fr-FR"/>
        </w:rPr>
        <w:t>assure la sécurité des convois humanitaires en Somalie</w:t>
      </w:r>
      <w:r w:rsidRPr="00C30976">
        <w:t> ;</w:t>
      </w:r>
      <w:r w:rsidRPr="00C30976">
        <w:rPr>
          <w:lang w:eastAsia="fr-FR" w:bidi="fr-FR"/>
        </w:rPr>
        <w:t xml:space="preserve"> cette initiative a incité George Bush à envoyer 28</w:t>
      </w:r>
      <w:r>
        <w:rPr>
          <w:lang w:eastAsia="fr-FR" w:bidi="fr-FR"/>
        </w:rPr>
        <w:t> </w:t>
      </w:r>
      <w:r w:rsidRPr="00C30976">
        <w:rPr>
          <w:lang w:eastAsia="fr-FR" w:bidi="fr-FR"/>
        </w:rPr>
        <w:t>000 GI’s en d</w:t>
      </w:r>
      <w:r w:rsidRPr="00C30976">
        <w:rPr>
          <w:lang w:eastAsia="fr-FR" w:bidi="fr-FR"/>
        </w:rPr>
        <w:t>é</w:t>
      </w:r>
      <w:r w:rsidRPr="00C30976">
        <w:rPr>
          <w:lang w:eastAsia="fr-FR" w:bidi="fr-FR"/>
        </w:rPr>
        <w:t>cembre</w:t>
      </w:r>
      <w:r>
        <w:t xml:space="preserve"> [266] </w:t>
      </w:r>
      <w:r w:rsidRPr="00C30976">
        <w:rPr>
          <w:lang w:eastAsia="fr-FR" w:bidi="fr-FR"/>
        </w:rPr>
        <w:t>pour faire garder les acheminements de nourrit</w:t>
      </w:r>
      <w:r w:rsidRPr="00C30976">
        <w:rPr>
          <w:lang w:eastAsia="fr-FR" w:bidi="fr-FR"/>
        </w:rPr>
        <w:t>u</w:t>
      </w:r>
      <w:r w:rsidRPr="00C30976">
        <w:rPr>
          <w:lang w:eastAsia="fr-FR" w:bidi="fr-FR"/>
        </w:rPr>
        <w:t>re</w:t>
      </w:r>
      <w:r>
        <w:rPr>
          <w:lang w:eastAsia="fr-FR" w:bidi="fr-FR"/>
        </w:rPr>
        <w:t> </w:t>
      </w:r>
      <w:r>
        <w:rPr>
          <w:rStyle w:val="Appelnotedebasdep"/>
          <w:lang w:eastAsia="fr-FR" w:bidi="fr-FR"/>
        </w:rPr>
        <w:footnoteReference w:id="533"/>
      </w:r>
      <w:r w:rsidRPr="00C30976">
        <w:t>.</w:t>
      </w:r>
      <w:r w:rsidRPr="00C30976">
        <w:rPr>
          <w:lang w:eastAsia="fr-FR" w:bidi="fr-FR"/>
        </w:rPr>
        <w:t xml:space="preserve"> Deux jours avant les accords de Dayton, qui mettent fin à la guerre en Bosnie et offrent un règlement politique du conflit en ex-Yougoslavie, la Cha</w:t>
      </w:r>
      <w:r w:rsidRPr="00C30976">
        <w:rPr>
          <w:lang w:eastAsia="fr-FR" w:bidi="fr-FR"/>
        </w:rPr>
        <w:t>m</w:t>
      </w:r>
      <w:r w:rsidRPr="00C30976">
        <w:rPr>
          <w:lang w:eastAsia="fr-FR" w:bidi="fr-FR"/>
        </w:rPr>
        <w:t>bre des représentants a voté (315 contre 103) une résolution non contraignante refusant le déploiement de troupes américaines en Bo</w:t>
      </w:r>
      <w:r w:rsidRPr="00C30976">
        <w:rPr>
          <w:lang w:eastAsia="fr-FR" w:bidi="fr-FR"/>
        </w:rPr>
        <w:t>s</w:t>
      </w:r>
      <w:r w:rsidRPr="00C30976">
        <w:rPr>
          <w:lang w:eastAsia="fr-FR" w:bidi="fr-FR"/>
        </w:rPr>
        <w:t>nie, ce qui a envoyé un signal fort en direction de la Maison-Blanche indiquant que le prés</w:t>
      </w:r>
      <w:r w:rsidRPr="00C30976">
        <w:rPr>
          <w:lang w:eastAsia="fr-FR" w:bidi="fr-FR"/>
        </w:rPr>
        <w:t>i</w:t>
      </w:r>
      <w:r w:rsidRPr="00C30976">
        <w:rPr>
          <w:lang w:eastAsia="fr-FR" w:bidi="fr-FR"/>
        </w:rPr>
        <w:t>dent ne pouvait s’engager trop loin en termes d’envoi de troupes pour le maintien de la paix. Mais bien souvent, a</w:t>
      </w:r>
      <w:r w:rsidRPr="00C30976">
        <w:rPr>
          <w:lang w:eastAsia="fr-FR" w:bidi="fr-FR"/>
        </w:rPr>
        <w:t>l</w:t>
      </w:r>
      <w:r w:rsidRPr="00C30976">
        <w:rPr>
          <w:lang w:eastAsia="fr-FR" w:bidi="fr-FR"/>
        </w:rPr>
        <w:t>ler jusqu’au vote d’une résolution non contraignante voire d’une loi substantielle n’est pas nécessaire</w:t>
      </w:r>
      <w:r w:rsidRPr="00C30976">
        <w:t> :</w:t>
      </w:r>
      <w:r w:rsidRPr="00C30976">
        <w:rPr>
          <w:lang w:eastAsia="fr-FR" w:bidi="fr-FR"/>
        </w:rPr>
        <w:t xml:space="preserve"> la menace suffit, s’il ne s’agit que de réorienter l’action de l’Exécutif qui préfère anticiper et nég</w:t>
      </w:r>
      <w:r w:rsidRPr="00C30976">
        <w:rPr>
          <w:lang w:eastAsia="fr-FR" w:bidi="fr-FR"/>
        </w:rPr>
        <w:t>o</w:t>
      </w:r>
      <w:r w:rsidRPr="00C30976">
        <w:rPr>
          <w:lang w:eastAsia="fr-FR" w:bidi="fr-FR"/>
        </w:rPr>
        <w:t>cier plutôt que de se voir contraint à un certain type d’action.</w:t>
      </w:r>
    </w:p>
    <w:p w14:paraId="3FBD7AD7" w14:textId="77777777" w:rsidR="0039793A" w:rsidRPr="00C30976" w:rsidRDefault="0039793A" w:rsidP="0039793A">
      <w:pPr>
        <w:spacing w:before="120" w:after="120"/>
        <w:jc w:val="both"/>
      </w:pPr>
      <w:r w:rsidRPr="00C30976">
        <w:rPr>
          <w:lang w:eastAsia="fr-FR" w:bidi="fr-FR"/>
        </w:rPr>
        <w:t>Cela rejoint d’ailleurs une autre voie d’influence indirecte des pa</w:t>
      </w:r>
      <w:r w:rsidRPr="00C30976">
        <w:rPr>
          <w:lang w:eastAsia="fr-FR" w:bidi="fr-FR"/>
        </w:rPr>
        <w:t>r</w:t>
      </w:r>
      <w:r w:rsidRPr="00C30976">
        <w:rPr>
          <w:lang w:eastAsia="fr-FR" w:bidi="fr-FR"/>
        </w:rPr>
        <w:t>lementaires</w:t>
      </w:r>
      <w:r w:rsidRPr="00C30976">
        <w:t> :</w:t>
      </w:r>
      <w:r w:rsidRPr="00C30976">
        <w:rPr>
          <w:lang w:eastAsia="fr-FR" w:bidi="fr-FR"/>
        </w:rPr>
        <w:t xml:space="preserve"> leur pouvoir tribun</w:t>
      </w:r>
      <w:r w:rsidRPr="00C30976">
        <w:rPr>
          <w:lang w:eastAsia="fr-FR" w:bidi="fr-FR"/>
        </w:rPr>
        <w:t>i</w:t>
      </w:r>
      <w:r w:rsidRPr="00C30976">
        <w:rPr>
          <w:lang w:eastAsia="fr-FR" w:bidi="fr-FR"/>
        </w:rPr>
        <w:t>tien, l’impact médiatique dont ils peuvent user comme d’une arme pour faire pression sur l’Exécutif. C’est l’un des instruments les plus util</w:t>
      </w:r>
      <w:r w:rsidRPr="00C30976">
        <w:rPr>
          <w:lang w:eastAsia="fr-FR" w:bidi="fr-FR"/>
        </w:rPr>
        <w:t>i</w:t>
      </w:r>
      <w:r w:rsidRPr="00C30976">
        <w:rPr>
          <w:lang w:eastAsia="fr-FR" w:bidi="fr-FR"/>
        </w:rPr>
        <w:t xml:space="preserve">sés par le lobby africain-américain </w:t>
      </w:r>
      <w:r w:rsidRPr="00C30976">
        <w:t>(</w:t>
      </w:r>
      <w:r w:rsidRPr="00C14263">
        <w:rPr>
          <w:i/>
          <w:iCs/>
        </w:rPr>
        <w:t>Congressional Black Caucus</w:t>
      </w:r>
      <w:r w:rsidRPr="00C30976">
        <w:t>)</w:t>
      </w:r>
      <w:r w:rsidRPr="00C30976">
        <w:rPr>
          <w:lang w:eastAsia="fr-FR" w:bidi="fr-FR"/>
        </w:rPr>
        <w:t xml:space="preserve"> dans ses pressions en faveur d’une intervention à Haïti dans les années 1990-1994, non sans su</w:t>
      </w:r>
      <w:r w:rsidRPr="00C30976">
        <w:rPr>
          <w:lang w:eastAsia="fr-FR" w:bidi="fr-FR"/>
        </w:rPr>
        <w:t>c</w:t>
      </w:r>
      <w:r w:rsidRPr="00C30976">
        <w:rPr>
          <w:lang w:eastAsia="fr-FR" w:bidi="fr-FR"/>
        </w:rPr>
        <w:t>cès. Il s’agit de fixer les termes du débat pour l’opinion publique et l’élite</w:t>
      </w:r>
      <w:r w:rsidRPr="00C30976">
        <w:t> :</w:t>
      </w:r>
      <w:r w:rsidRPr="00C30976">
        <w:rPr>
          <w:lang w:eastAsia="fr-FR" w:bidi="fr-FR"/>
        </w:rPr>
        <w:t xml:space="preserve"> ainsi le sénateur John McCain, au moment de l’intervention au Kosovo, s’est-il fait inviter par toutes les télévisions importantes, r</w:t>
      </w:r>
      <w:r w:rsidRPr="00C30976">
        <w:rPr>
          <w:lang w:eastAsia="fr-FR" w:bidi="fr-FR"/>
        </w:rPr>
        <w:t>é</w:t>
      </w:r>
      <w:r w:rsidRPr="00C30976">
        <w:rPr>
          <w:lang w:eastAsia="fr-FR" w:bidi="fr-FR"/>
        </w:rPr>
        <w:t>ussissant à incarner aux yeux de l’opinion une version déterminée et responsable du leadership américain, poussant le président Clinton à prendre position.</w:t>
      </w:r>
    </w:p>
    <w:p w14:paraId="631E6F68" w14:textId="77777777" w:rsidR="0039793A" w:rsidRPr="00C30976" w:rsidRDefault="0039793A" w:rsidP="0039793A">
      <w:pPr>
        <w:spacing w:before="120" w:after="120"/>
        <w:jc w:val="both"/>
      </w:pPr>
      <w:r w:rsidRPr="00C30976">
        <w:rPr>
          <w:lang w:eastAsia="fr-FR" w:bidi="fr-FR"/>
        </w:rPr>
        <w:t>Cette méthode d’influence par l’intermédiaire des médias et de l’opinion publique rejoint d’ailleurs la pratique ancienne des auditions publiques (</w:t>
      </w:r>
      <w:r w:rsidRPr="00C14263">
        <w:rPr>
          <w:i/>
          <w:iCs/>
        </w:rPr>
        <w:t>hearings</w:t>
      </w:r>
      <w:r w:rsidRPr="00C30976">
        <w:rPr>
          <w:lang w:eastAsia="fr-FR" w:bidi="fr-FR"/>
        </w:rPr>
        <w:t>), que les leaders des assemblées ont décidé de téléviser dans les années 1970, pour tenter de rattraper l’avantage m</w:t>
      </w:r>
      <w:r w:rsidRPr="00C30976">
        <w:rPr>
          <w:lang w:eastAsia="fr-FR" w:bidi="fr-FR"/>
        </w:rPr>
        <w:t>é</w:t>
      </w:r>
      <w:r w:rsidRPr="00C30976">
        <w:rPr>
          <w:lang w:eastAsia="fr-FR" w:bidi="fr-FR"/>
        </w:rPr>
        <w:t>diatique de la Maison-Blanche</w:t>
      </w:r>
      <w:r>
        <w:rPr>
          <w:lang w:eastAsia="fr-FR" w:bidi="fr-FR"/>
        </w:rPr>
        <w:t> </w:t>
      </w:r>
      <w:r>
        <w:rPr>
          <w:rStyle w:val="Appelnotedebasdep"/>
          <w:lang w:eastAsia="fr-FR" w:bidi="fr-FR"/>
        </w:rPr>
        <w:footnoteReference w:id="534"/>
      </w:r>
      <w:r w:rsidRPr="00C30976">
        <w:rPr>
          <w:lang w:eastAsia="fr-FR" w:bidi="fr-FR"/>
        </w:rPr>
        <w:t>. Dans les derniers mois de 1990, les aud</w:t>
      </w:r>
      <w:r w:rsidRPr="00C30976">
        <w:rPr>
          <w:lang w:eastAsia="fr-FR" w:bidi="fr-FR"/>
        </w:rPr>
        <w:t>i</w:t>
      </w:r>
      <w:r w:rsidRPr="00C30976">
        <w:rPr>
          <w:lang w:eastAsia="fr-FR" w:bidi="fr-FR"/>
        </w:rPr>
        <w:t>tions concernant la guerre du Golfe ont reçu une attention notable de la part du public, et même au- delà, la Chambre les utilisant pour signifier à l’Allemagne et le Japon qu’ils devaient assumer une part plus importante du fardeau de la sécurité internationale en général, et de l’opération en cours, en particulier</w:t>
      </w:r>
      <w:r>
        <w:rPr>
          <w:lang w:eastAsia="fr-FR" w:bidi="fr-FR"/>
        </w:rPr>
        <w:t> </w:t>
      </w:r>
      <w:r>
        <w:rPr>
          <w:rStyle w:val="Appelnotedebasdep"/>
          <w:lang w:eastAsia="fr-FR" w:bidi="fr-FR"/>
        </w:rPr>
        <w:footnoteReference w:id="535"/>
      </w:r>
      <w:r w:rsidRPr="00C30976">
        <w:rPr>
          <w:lang w:eastAsia="fr-FR" w:bidi="fr-FR"/>
        </w:rPr>
        <w:t>.</w:t>
      </w:r>
    </w:p>
    <w:p w14:paraId="21A4D8CD" w14:textId="77777777" w:rsidR="0039793A" w:rsidRPr="00C30976" w:rsidRDefault="0039793A" w:rsidP="0039793A">
      <w:pPr>
        <w:spacing w:before="120" w:after="120"/>
        <w:jc w:val="both"/>
      </w:pPr>
      <w:r>
        <w:t>[267]</w:t>
      </w:r>
    </w:p>
    <w:p w14:paraId="4C1DF927" w14:textId="77777777" w:rsidR="0039793A" w:rsidRPr="00C30976" w:rsidRDefault="0039793A" w:rsidP="0039793A">
      <w:pPr>
        <w:spacing w:before="120" w:after="120"/>
        <w:jc w:val="both"/>
      </w:pPr>
      <w:r w:rsidRPr="00C30976">
        <w:rPr>
          <w:lang w:eastAsia="fr-FR" w:bidi="fr-FR"/>
        </w:rPr>
        <w:t>Plus généralement, dans la réaffirmation des pouvoirs du Congrès en politique étrangère depuis les années 1970, l’attention portée à l’information - des élus, de l’opinion publique - a tenu une place e</w:t>
      </w:r>
      <w:r w:rsidRPr="00C30976">
        <w:rPr>
          <w:lang w:eastAsia="fr-FR" w:bidi="fr-FR"/>
        </w:rPr>
        <w:t>s</w:t>
      </w:r>
      <w:r w:rsidRPr="00C30976">
        <w:rPr>
          <w:lang w:eastAsia="fr-FR" w:bidi="fr-FR"/>
        </w:rPr>
        <w:t>sentielle. Le simple fait, pour l’Exécutif, de d</w:t>
      </w:r>
      <w:r w:rsidRPr="00C30976">
        <w:rPr>
          <w:lang w:eastAsia="fr-FR" w:bidi="fr-FR"/>
        </w:rPr>
        <w:t>e</w:t>
      </w:r>
      <w:r w:rsidRPr="00C30976">
        <w:rPr>
          <w:lang w:eastAsia="fr-FR" w:bidi="fr-FR"/>
        </w:rPr>
        <w:t>voir présenter ses plans, de les soumettre aux élus, et d’agir ainsi dans une plus grande transp</w:t>
      </w:r>
      <w:r w:rsidRPr="00C30976">
        <w:rPr>
          <w:lang w:eastAsia="fr-FR" w:bidi="fr-FR"/>
        </w:rPr>
        <w:t>a</w:t>
      </w:r>
      <w:r w:rsidRPr="00C30976">
        <w:rPr>
          <w:lang w:eastAsia="fr-FR" w:bidi="fr-FR"/>
        </w:rPr>
        <w:t>rence, amène une retenue dans l’action.</w:t>
      </w:r>
    </w:p>
    <w:p w14:paraId="34EC2E5A" w14:textId="77777777" w:rsidR="0039793A" w:rsidRPr="00C30976" w:rsidRDefault="0039793A" w:rsidP="0039793A">
      <w:pPr>
        <w:spacing w:before="120" w:after="120"/>
        <w:jc w:val="both"/>
      </w:pPr>
      <w:r w:rsidRPr="00C30976">
        <w:rPr>
          <w:lang w:eastAsia="fr-FR" w:bidi="fr-FR"/>
        </w:rPr>
        <w:t>C’est le cas par exemple pour les accords exéc</w:t>
      </w:r>
      <w:r w:rsidRPr="00C30976">
        <w:rPr>
          <w:lang w:eastAsia="fr-FR" w:bidi="fr-FR"/>
        </w:rPr>
        <w:t>u</w:t>
      </w:r>
      <w:r w:rsidRPr="00C30976">
        <w:rPr>
          <w:lang w:eastAsia="fr-FR" w:bidi="fr-FR"/>
        </w:rPr>
        <w:t>tifs</w:t>
      </w:r>
      <w:r w:rsidRPr="00C30976">
        <w:t> :</w:t>
      </w:r>
      <w:r w:rsidRPr="00C30976">
        <w:rPr>
          <w:lang w:eastAsia="fr-FR" w:bidi="fr-FR"/>
        </w:rPr>
        <w:t xml:space="preserve"> en imposant l’obligation de les porter à la connaissance des commissions comp</w:t>
      </w:r>
      <w:r w:rsidRPr="00C30976">
        <w:rPr>
          <w:lang w:eastAsia="fr-FR" w:bidi="fr-FR"/>
        </w:rPr>
        <w:t>é</w:t>
      </w:r>
      <w:r w:rsidRPr="00C30976">
        <w:rPr>
          <w:lang w:eastAsia="fr-FR" w:bidi="fr-FR"/>
        </w:rPr>
        <w:t>tentes du Congrès, la loi Case-Zablocki de 1972 a conduit l’Exécutif à porter relativement plus d’attention aux préoccupations du Congrès dans les engagements conclus avec d’autres pays, même si 20</w:t>
      </w:r>
      <w:r>
        <w:rPr>
          <w:lang w:eastAsia="fr-FR" w:bidi="fr-FR"/>
        </w:rPr>
        <w:t>%</w:t>
      </w:r>
      <w:r w:rsidRPr="00C30976">
        <w:rPr>
          <w:lang w:eastAsia="fr-FR" w:bidi="fr-FR"/>
        </w:rPr>
        <w:t xml:space="preserve"> des a</w:t>
      </w:r>
      <w:r w:rsidRPr="00C30976">
        <w:rPr>
          <w:lang w:eastAsia="fr-FR" w:bidi="fr-FR"/>
        </w:rPr>
        <w:t>c</w:t>
      </w:r>
      <w:r w:rsidRPr="00C30976">
        <w:rPr>
          <w:lang w:eastAsia="fr-FR" w:bidi="fr-FR"/>
        </w:rPr>
        <w:t xml:space="preserve">cords exécutifs ne sont toujours </w:t>
      </w:r>
      <w:r>
        <w:rPr>
          <w:lang w:eastAsia="fr-FR" w:bidi="fr-FR"/>
        </w:rPr>
        <w:t>pas déclarés au Congrès à temps </w:t>
      </w:r>
      <w:r>
        <w:rPr>
          <w:rStyle w:val="Appelnotedebasdep"/>
          <w:lang w:eastAsia="fr-FR" w:bidi="fr-FR"/>
        </w:rPr>
        <w:footnoteReference w:id="536"/>
      </w:r>
      <w:r w:rsidRPr="00C30976">
        <w:rPr>
          <w:lang w:eastAsia="fr-FR" w:bidi="fr-FR"/>
        </w:rPr>
        <w:t>.</w:t>
      </w:r>
    </w:p>
    <w:p w14:paraId="63BAFCB9" w14:textId="77777777" w:rsidR="0039793A" w:rsidRPr="00C30976" w:rsidRDefault="0039793A" w:rsidP="0039793A">
      <w:pPr>
        <w:spacing w:before="120" w:after="120"/>
        <w:jc w:val="both"/>
      </w:pPr>
      <w:r w:rsidRPr="00C30976">
        <w:rPr>
          <w:lang w:eastAsia="fr-FR" w:bidi="fr-FR"/>
        </w:rPr>
        <w:t>Il en va de même pour les exportations d’armes et les activités de renseignement. Suite à l’augmentation des ventes d’armes américaines au début des années 1970 conformément à la doctrine Nixon, le Congrès a voulu contrôler ces ventes par le moyen d’un veto législatif par lequel il pouvait bloquer toute exportation à la majorité simple. D</w:t>
      </w:r>
      <w:r w:rsidRPr="00C30976">
        <w:rPr>
          <w:lang w:eastAsia="fr-FR" w:bidi="fr-FR"/>
        </w:rPr>
        <w:t>e</w:t>
      </w:r>
      <w:r w:rsidRPr="00C30976">
        <w:rPr>
          <w:lang w:eastAsia="fr-FR" w:bidi="fr-FR"/>
        </w:rPr>
        <w:t xml:space="preserve">puis, en raison de l’arrêt </w:t>
      </w:r>
      <w:r w:rsidRPr="00C30976">
        <w:rPr>
          <w:rStyle w:val="Corpsdutexte28ptItaliqueEspacement0pt"/>
        </w:rPr>
        <w:t xml:space="preserve">INS vs. </w:t>
      </w:r>
      <w:r w:rsidRPr="00C14263">
        <w:rPr>
          <w:i/>
          <w:iCs/>
        </w:rPr>
        <w:t>Chahdha</w:t>
      </w:r>
      <w:r w:rsidRPr="00C30976">
        <w:rPr>
          <w:lang w:eastAsia="fr-FR" w:bidi="fr-FR"/>
        </w:rPr>
        <w:t xml:space="preserve"> de 1983, il faut en théorie rassembler une majorité des deux tiers. En fait, l’essentiel est que l’Exécutif se préo</w:t>
      </w:r>
      <w:r w:rsidRPr="00C30976">
        <w:rPr>
          <w:lang w:eastAsia="fr-FR" w:bidi="fr-FR"/>
        </w:rPr>
        <w:t>c</w:t>
      </w:r>
      <w:r w:rsidRPr="00C30976">
        <w:rPr>
          <w:lang w:eastAsia="fr-FR" w:bidi="fr-FR"/>
        </w:rPr>
        <w:t>cupe de l’opinion des élus, puisqu’il doit les mettre au courant avant de faire face, au Congrès, à un vote sur ces que</w:t>
      </w:r>
      <w:r w:rsidRPr="00C30976">
        <w:rPr>
          <w:lang w:eastAsia="fr-FR" w:bidi="fr-FR"/>
        </w:rPr>
        <w:t>s</w:t>
      </w:r>
      <w:r w:rsidRPr="00C30976">
        <w:rPr>
          <w:lang w:eastAsia="fr-FR" w:bidi="fr-FR"/>
        </w:rPr>
        <w:t>tions</w:t>
      </w:r>
      <w:r w:rsidRPr="00C30976">
        <w:t> ;</w:t>
      </w:r>
      <w:r w:rsidRPr="00C30976">
        <w:rPr>
          <w:lang w:eastAsia="fr-FR" w:bidi="fr-FR"/>
        </w:rPr>
        <w:t xml:space="preserve"> ainsi sont-ils associés en amont aux grandes décisions d’exportation.</w:t>
      </w:r>
    </w:p>
    <w:p w14:paraId="177E30BB" w14:textId="77777777" w:rsidR="0039793A" w:rsidRPr="00C30976" w:rsidRDefault="0039793A" w:rsidP="0039793A">
      <w:pPr>
        <w:spacing w:before="120" w:after="120"/>
        <w:jc w:val="both"/>
      </w:pPr>
      <w:r w:rsidRPr="00C30976">
        <w:rPr>
          <w:lang w:eastAsia="fr-FR" w:bidi="fr-FR"/>
        </w:rPr>
        <w:t>Quant à l’amendement Hughes-Ryan de 1974 sur les activités de renseignement</w:t>
      </w:r>
      <w:r>
        <w:rPr>
          <w:lang w:eastAsia="fr-FR" w:bidi="fr-FR"/>
        </w:rPr>
        <w:t> </w:t>
      </w:r>
      <w:r>
        <w:rPr>
          <w:rStyle w:val="Appelnotedebasdep"/>
          <w:lang w:eastAsia="fr-FR" w:bidi="fr-FR"/>
        </w:rPr>
        <w:footnoteReference w:id="537"/>
      </w:r>
      <w:r w:rsidRPr="00C30976">
        <w:rPr>
          <w:lang w:eastAsia="fr-FR" w:bidi="fr-FR"/>
        </w:rPr>
        <w:t>, modifié en 1980, il restreint la latitude d’action a</w:t>
      </w:r>
      <w:r w:rsidRPr="00C30976">
        <w:rPr>
          <w:lang w:eastAsia="fr-FR" w:bidi="fr-FR"/>
        </w:rPr>
        <w:t>u</w:t>
      </w:r>
      <w:r w:rsidRPr="00C30976">
        <w:rPr>
          <w:lang w:eastAsia="fr-FR" w:bidi="fr-FR"/>
        </w:rPr>
        <w:t>tonome des services secrets à travers l’obligation d’information du président et des deux commissions législatives concernées - l’omission de cette dernière clause par l’Exécutif l’exposant à un scandale majeur comme Reagan l’a appris lors du minage des ports nicaraguayens en 1984 et à l’occasion de l’Iran- Contr</w:t>
      </w:r>
      <w:r w:rsidRPr="00C30976">
        <w:rPr>
          <w:lang w:eastAsia="fr-FR" w:bidi="fr-FR"/>
        </w:rPr>
        <w:t>a</w:t>
      </w:r>
      <w:r w:rsidRPr="00C30976">
        <w:rPr>
          <w:lang w:eastAsia="fr-FR" w:bidi="fr-FR"/>
        </w:rPr>
        <w:t>gate en 1985-1986</w:t>
      </w:r>
      <w:r>
        <w:rPr>
          <w:lang w:eastAsia="fr-FR" w:bidi="fr-FR"/>
        </w:rPr>
        <w:t> </w:t>
      </w:r>
      <w:r>
        <w:rPr>
          <w:rStyle w:val="Appelnotedebasdep"/>
          <w:lang w:eastAsia="fr-FR" w:bidi="fr-FR"/>
        </w:rPr>
        <w:footnoteReference w:id="538"/>
      </w:r>
      <w:r w:rsidRPr="00C30976">
        <w:rPr>
          <w:lang w:eastAsia="fr-FR" w:bidi="fr-FR"/>
        </w:rPr>
        <w:t>.</w:t>
      </w:r>
    </w:p>
    <w:p w14:paraId="5F204282" w14:textId="77777777" w:rsidR="0039793A" w:rsidRPr="00C30976" w:rsidRDefault="0039793A" w:rsidP="0039793A">
      <w:pPr>
        <w:spacing w:before="120" w:after="120"/>
        <w:jc w:val="both"/>
      </w:pPr>
      <w:r>
        <w:t>[268]</w:t>
      </w:r>
    </w:p>
    <w:p w14:paraId="73A4677D" w14:textId="77777777" w:rsidR="0039793A" w:rsidRPr="00C30976" w:rsidRDefault="0039793A" w:rsidP="0039793A">
      <w:pPr>
        <w:spacing w:before="120" w:after="120"/>
        <w:jc w:val="both"/>
      </w:pPr>
      <w:r w:rsidRPr="00C30976">
        <w:rPr>
          <w:lang w:eastAsia="fr-FR" w:bidi="fr-FR"/>
        </w:rPr>
        <w:t>Cette arme que représente l’information a pe</w:t>
      </w:r>
      <w:r w:rsidRPr="00C30976">
        <w:rPr>
          <w:lang w:eastAsia="fr-FR" w:bidi="fr-FR"/>
        </w:rPr>
        <w:t>r</w:t>
      </w:r>
      <w:r w:rsidRPr="00C30976">
        <w:rPr>
          <w:lang w:eastAsia="fr-FR" w:bidi="fr-FR"/>
        </w:rPr>
        <w:t>mis au Congrès, dans ces domaines, non pas vra</w:t>
      </w:r>
      <w:r w:rsidRPr="00C30976">
        <w:rPr>
          <w:lang w:eastAsia="fr-FR" w:bidi="fr-FR"/>
        </w:rPr>
        <w:t>i</w:t>
      </w:r>
      <w:r w:rsidRPr="00C30976">
        <w:rPr>
          <w:lang w:eastAsia="fr-FR" w:bidi="fr-FR"/>
        </w:rPr>
        <w:t>ment de reprendre l’initiative — ce n’est pas là son rôle -, mais d’accroître sa surveillance de l’Exécutif, en pl</w:t>
      </w:r>
      <w:r w:rsidRPr="00C30976">
        <w:rPr>
          <w:lang w:eastAsia="fr-FR" w:bidi="fr-FR"/>
        </w:rPr>
        <w:t>a</w:t>
      </w:r>
      <w:r w:rsidRPr="00C30976">
        <w:rPr>
          <w:lang w:eastAsia="fr-FR" w:bidi="fr-FR"/>
        </w:rPr>
        <w:t>çant celui-ci devant ses responsabilités. Deux autres mécanismes, ut</w:t>
      </w:r>
      <w:r w:rsidRPr="00C30976">
        <w:rPr>
          <w:lang w:eastAsia="fr-FR" w:bidi="fr-FR"/>
        </w:rPr>
        <w:t>i</w:t>
      </w:r>
      <w:r w:rsidRPr="00C30976">
        <w:rPr>
          <w:lang w:eastAsia="fr-FR" w:bidi="fr-FR"/>
        </w:rPr>
        <w:t>lisés de plus en plus souvent après la guerre froide, participent de cette tactique</w:t>
      </w:r>
      <w:r w:rsidRPr="00C30976">
        <w:t> :</w:t>
      </w:r>
      <w:r w:rsidRPr="00C30976">
        <w:rPr>
          <w:lang w:eastAsia="fr-FR" w:bidi="fr-FR"/>
        </w:rPr>
        <w:t xml:space="preserve"> les rapports et la conditionnalité.</w:t>
      </w:r>
    </w:p>
    <w:p w14:paraId="052326B1" w14:textId="77777777" w:rsidR="0039793A" w:rsidRPr="00C30976" w:rsidRDefault="0039793A" w:rsidP="0039793A">
      <w:pPr>
        <w:spacing w:before="120" w:after="120"/>
        <w:jc w:val="both"/>
      </w:pPr>
      <w:r w:rsidRPr="00C30976">
        <w:rPr>
          <w:lang w:eastAsia="fr-FR" w:bidi="fr-FR"/>
        </w:rPr>
        <w:t>Le Congrès peut imposer à l’Exécutif de produ</w:t>
      </w:r>
      <w:r w:rsidRPr="00C30976">
        <w:rPr>
          <w:lang w:eastAsia="fr-FR" w:bidi="fr-FR"/>
        </w:rPr>
        <w:t>i</w:t>
      </w:r>
      <w:r w:rsidRPr="00C30976">
        <w:rPr>
          <w:lang w:eastAsia="fr-FR" w:bidi="fr-FR"/>
        </w:rPr>
        <w:t>re des rapports sur les sujets qu’il souhaite partic</w:t>
      </w:r>
      <w:r w:rsidRPr="00C30976">
        <w:rPr>
          <w:lang w:eastAsia="fr-FR" w:bidi="fr-FR"/>
        </w:rPr>
        <w:t>u</w:t>
      </w:r>
      <w:r w:rsidRPr="00C30976">
        <w:rPr>
          <w:lang w:eastAsia="fr-FR" w:bidi="fr-FR"/>
        </w:rPr>
        <w:t>lièrement surveiller, comme les droits de la perso</w:t>
      </w:r>
      <w:r w:rsidRPr="00C30976">
        <w:rPr>
          <w:lang w:eastAsia="fr-FR" w:bidi="fr-FR"/>
        </w:rPr>
        <w:t>n</w:t>
      </w:r>
      <w:r w:rsidRPr="00C30976">
        <w:rPr>
          <w:lang w:eastAsia="fr-FR" w:bidi="fr-FR"/>
        </w:rPr>
        <w:t xml:space="preserve">ne, le trafic international de drogue, la prolifération des armes de destruction massive, le terrorisme, la défense des intérêts américains à </w:t>
      </w:r>
      <w:r w:rsidRPr="00C30976">
        <w:t xml:space="preserve">l’OMC </w:t>
      </w:r>
      <w:r w:rsidRPr="00C30976">
        <w:rPr>
          <w:lang w:eastAsia="fr-FR" w:bidi="fr-FR"/>
        </w:rPr>
        <w:t>ou encore les restrictions à l’importation dans d’autres pays. Ces rapports peuvent être périodiques — général</w:t>
      </w:r>
      <w:r w:rsidRPr="00C30976">
        <w:rPr>
          <w:lang w:eastAsia="fr-FR" w:bidi="fr-FR"/>
        </w:rPr>
        <w:t>e</w:t>
      </w:r>
      <w:r w:rsidRPr="00C30976">
        <w:rPr>
          <w:lang w:eastAsia="fr-FR" w:bidi="fr-FR"/>
        </w:rPr>
        <w:t>ment annuels - ou bien spécifiques, ponctuels</w:t>
      </w:r>
      <w:r w:rsidRPr="00C30976">
        <w:t> ;</w:t>
      </w:r>
      <w:r w:rsidRPr="00C30976">
        <w:rPr>
          <w:lang w:eastAsia="fr-FR" w:bidi="fr-FR"/>
        </w:rPr>
        <w:t xml:space="preserve"> ils se rapprochent des notif</w:t>
      </w:r>
      <w:r w:rsidRPr="00C30976">
        <w:rPr>
          <w:lang w:eastAsia="fr-FR" w:bidi="fr-FR"/>
        </w:rPr>
        <w:t>i</w:t>
      </w:r>
      <w:r w:rsidRPr="00C30976">
        <w:rPr>
          <w:lang w:eastAsia="fr-FR" w:bidi="fr-FR"/>
        </w:rPr>
        <w:t>cations obligatoires déjà mentionnées, comme celles concernant les export</w:t>
      </w:r>
      <w:r w:rsidRPr="00C30976">
        <w:rPr>
          <w:lang w:eastAsia="fr-FR" w:bidi="fr-FR"/>
        </w:rPr>
        <w:t>a</w:t>
      </w:r>
      <w:r w:rsidRPr="00C30976">
        <w:rPr>
          <w:lang w:eastAsia="fr-FR" w:bidi="fr-FR"/>
        </w:rPr>
        <w:t>tions d’armement</w:t>
      </w:r>
      <w:r>
        <w:rPr>
          <w:lang w:eastAsia="fr-FR" w:bidi="fr-FR"/>
        </w:rPr>
        <w:t> </w:t>
      </w:r>
      <w:r>
        <w:rPr>
          <w:rStyle w:val="Appelnotedebasdep"/>
          <w:lang w:eastAsia="fr-FR" w:bidi="fr-FR"/>
        </w:rPr>
        <w:footnoteReference w:id="539"/>
      </w:r>
      <w:r>
        <w:rPr>
          <w:lang w:eastAsia="fr-FR" w:bidi="fr-FR"/>
        </w:rPr>
        <w:t>.</w:t>
      </w:r>
      <w:r w:rsidRPr="00C30976">
        <w:rPr>
          <w:lang w:eastAsia="fr-FR" w:bidi="fr-FR"/>
        </w:rPr>
        <w:t xml:space="preserve"> Bien souvent, c’est un moyen commode pour montrer aux électeurs que leurs pr</w:t>
      </w:r>
      <w:r w:rsidRPr="00C30976">
        <w:rPr>
          <w:lang w:eastAsia="fr-FR" w:bidi="fr-FR"/>
        </w:rPr>
        <w:t>é</w:t>
      </w:r>
      <w:r w:rsidRPr="00C30976">
        <w:rPr>
          <w:lang w:eastAsia="fr-FR" w:bidi="fr-FR"/>
        </w:rPr>
        <w:t>occupations ont été prises en compte, les rapports n’ayant d’autre but que d’informer.</w:t>
      </w:r>
    </w:p>
    <w:p w14:paraId="30900694" w14:textId="77777777" w:rsidR="0039793A" w:rsidRPr="00C30976" w:rsidRDefault="0039793A" w:rsidP="0039793A">
      <w:pPr>
        <w:spacing w:before="120" w:after="120"/>
        <w:jc w:val="both"/>
      </w:pPr>
      <w:r w:rsidRPr="00C30976">
        <w:rPr>
          <w:lang w:eastAsia="fr-FR" w:bidi="fr-FR"/>
        </w:rPr>
        <w:t>Dans d’autres cas, le Congrès peut, par exemple, subordonner ce</w:t>
      </w:r>
      <w:r w:rsidRPr="00C30976">
        <w:rPr>
          <w:lang w:eastAsia="fr-FR" w:bidi="fr-FR"/>
        </w:rPr>
        <w:t>r</w:t>
      </w:r>
      <w:r w:rsidRPr="00C30976">
        <w:rPr>
          <w:lang w:eastAsia="fr-FR" w:bidi="fr-FR"/>
        </w:rPr>
        <w:t xml:space="preserve">taines actions des </w:t>
      </w:r>
      <w:r>
        <w:rPr>
          <w:lang w:eastAsia="fr-FR" w:bidi="fr-FR"/>
        </w:rPr>
        <w:t>État</w:t>
      </w:r>
      <w:r w:rsidRPr="00C30976">
        <w:rPr>
          <w:lang w:eastAsia="fr-FR" w:bidi="fr-FR"/>
        </w:rPr>
        <w:t>s-Unis co</w:t>
      </w:r>
      <w:r w:rsidRPr="00C30976">
        <w:rPr>
          <w:lang w:eastAsia="fr-FR" w:bidi="fr-FR"/>
        </w:rPr>
        <w:t>m</w:t>
      </w:r>
      <w:r w:rsidRPr="00C30976">
        <w:rPr>
          <w:lang w:eastAsia="fr-FR" w:bidi="fr-FR"/>
        </w:rPr>
        <w:t>me l’assistance militaire ou l’aide au développement aux conclusions d’un rapport commandé, par exe</w:t>
      </w:r>
      <w:r w:rsidRPr="00C30976">
        <w:rPr>
          <w:lang w:eastAsia="fr-FR" w:bidi="fr-FR"/>
        </w:rPr>
        <w:t>m</w:t>
      </w:r>
      <w:r w:rsidRPr="00C30976">
        <w:rPr>
          <w:lang w:eastAsia="fr-FR" w:bidi="fr-FR"/>
        </w:rPr>
        <w:t>ple, au Département d’</w:t>
      </w:r>
      <w:r>
        <w:rPr>
          <w:lang w:eastAsia="fr-FR" w:bidi="fr-FR"/>
        </w:rPr>
        <w:t>État</w:t>
      </w:r>
      <w:r w:rsidRPr="00C30976">
        <w:rPr>
          <w:lang w:eastAsia="fr-FR" w:bidi="fr-FR"/>
        </w:rPr>
        <w:t>. C’est le cas en matière de prolifération balistique ou de trafic de drogue</w:t>
      </w:r>
      <w:r w:rsidRPr="00C30976">
        <w:t> :</w:t>
      </w:r>
      <w:r w:rsidRPr="00C30976">
        <w:rPr>
          <w:lang w:eastAsia="fr-FR" w:bidi="fr-FR"/>
        </w:rPr>
        <w:t xml:space="preserve"> si un pays est mal </w:t>
      </w:r>
      <w:r w:rsidRPr="00C30976">
        <w:t>« </w:t>
      </w:r>
      <w:r w:rsidRPr="00C30976">
        <w:rPr>
          <w:lang w:eastAsia="fr-FR" w:bidi="fr-FR"/>
        </w:rPr>
        <w:t>noté</w:t>
      </w:r>
      <w:r w:rsidRPr="00C30976">
        <w:t> »</w:t>
      </w:r>
      <w:r w:rsidRPr="00C30976">
        <w:rPr>
          <w:lang w:eastAsia="fr-FR" w:bidi="fr-FR"/>
        </w:rPr>
        <w:t xml:space="preserve"> par le Département d’</w:t>
      </w:r>
      <w:r>
        <w:rPr>
          <w:lang w:eastAsia="fr-FR" w:bidi="fr-FR"/>
        </w:rPr>
        <w:t>État</w:t>
      </w:r>
      <w:r w:rsidRPr="00C30976">
        <w:rPr>
          <w:lang w:eastAsia="fr-FR" w:bidi="fr-FR"/>
        </w:rPr>
        <w:t xml:space="preserve">, il perdra automatiquement ses </w:t>
      </w:r>
      <w:r w:rsidRPr="00C30976">
        <w:t>« </w:t>
      </w:r>
      <w:r w:rsidRPr="00C30976">
        <w:rPr>
          <w:lang w:eastAsia="fr-FR" w:bidi="fr-FR"/>
        </w:rPr>
        <w:t>droits</w:t>
      </w:r>
      <w:r w:rsidRPr="00C30976">
        <w:t> »</w:t>
      </w:r>
      <w:r w:rsidRPr="00C30976">
        <w:rPr>
          <w:lang w:eastAsia="fr-FR" w:bidi="fr-FR"/>
        </w:rPr>
        <w:t xml:space="preserve"> à ce</w:t>
      </w:r>
      <w:r w:rsidRPr="00C30976">
        <w:rPr>
          <w:lang w:eastAsia="fr-FR" w:bidi="fr-FR"/>
        </w:rPr>
        <w:t>r</w:t>
      </w:r>
      <w:r w:rsidRPr="00C30976">
        <w:rPr>
          <w:lang w:eastAsia="fr-FR" w:bidi="fr-FR"/>
        </w:rPr>
        <w:t>tains types d’assistance et d’échanges avec l’Amérique. Ce qui, bien évidemment, pose un problème à l’Exécutif, notamment au Départ</w:t>
      </w:r>
      <w:r w:rsidRPr="00C30976">
        <w:rPr>
          <w:lang w:eastAsia="fr-FR" w:bidi="fr-FR"/>
        </w:rPr>
        <w:t>e</w:t>
      </w:r>
      <w:r w:rsidRPr="00C30976">
        <w:rPr>
          <w:lang w:eastAsia="fr-FR" w:bidi="fr-FR"/>
        </w:rPr>
        <w:t>ment d’</w:t>
      </w:r>
      <w:r>
        <w:rPr>
          <w:lang w:eastAsia="fr-FR" w:bidi="fr-FR"/>
        </w:rPr>
        <w:t>État</w:t>
      </w:r>
      <w:r w:rsidRPr="00C30976">
        <w:t> :</w:t>
      </w:r>
      <w:r w:rsidRPr="00C30976">
        <w:rPr>
          <w:lang w:eastAsia="fr-FR" w:bidi="fr-FR"/>
        </w:rPr>
        <w:t xml:space="preserve"> jusqu’où pousser l’honnêteté des rapports, sachant qu’une trop grande sévérité déclenchera des sanctions qui pourront mettre en péril, au nom d’un seul dossier, l’ensemble de la relation bilatérale, et donc obérer d’autres objectifs</w:t>
      </w:r>
      <w:r w:rsidRPr="00C30976">
        <w:t> ?</w:t>
      </w:r>
      <w:r w:rsidRPr="00C30976">
        <w:rPr>
          <w:lang w:eastAsia="fr-FR" w:bidi="fr-FR"/>
        </w:rPr>
        <w:t xml:space="preserve"> Une variante de ce m</w:t>
      </w:r>
      <w:r w:rsidRPr="00C30976">
        <w:rPr>
          <w:lang w:eastAsia="fr-FR" w:bidi="fr-FR"/>
        </w:rPr>
        <w:t>é</w:t>
      </w:r>
      <w:r w:rsidRPr="00C30976">
        <w:rPr>
          <w:lang w:eastAsia="fr-FR" w:bidi="fr-FR"/>
        </w:rPr>
        <w:t xml:space="preserve">canisme est le vote sur la </w:t>
      </w:r>
      <w:r w:rsidRPr="00C30976">
        <w:t>« </w:t>
      </w:r>
      <w:r w:rsidRPr="00C30976">
        <w:rPr>
          <w:lang w:eastAsia="fr-FR" w:bidi="fr-FR"/>
        </w:rPr>
        <w:t>certification</w:t>
      </w:r>
      <w:r w:rsidRPr="00C30976">
        <w:t> »</w:t>
      </w:r>
      <w:r w:rsidRPr="00C30976">
        <w:rPr>
          <w:lang w:eastAsia="fr-FR" w:bidi="fr-FR"/>
        </w:rPr>
        <w:t xml:space="preserve"> d’un pays, principalement en matière de narcotiques</w:t>
      </w:r>
      <w:r w:rsidRPr="00C30976">
        <w:t> :</w:t>
      </w:r>
      <w:r w:rsidRPr="00C30976">
        <w:rPr>
          <w:lang w:eastAsia="fr-FR" w:bidi="fr-FR"/>
        </w:rPr>
        <w:t xml:space="preserve"> suivant que le pays obtient ou non son </w:t>
      </w:r>
      <w:r w:rsidRPr="00C30976">
        <w:t>« </w:t>
      </w:r>
      <w:r w:rsidRPr="00C30976">
        <w:rPr>
          <w:lang w:eastAsia="fr-FR" w:bidi="fr-FR"/>
        </w:rPr>
        <w:t>certificat de bonne conduite</w:t>
      </w:r>
      <w:r w:rsidRPr="00C30976">
        <w:t> »</w:t>
      </w:r>
      <w:r w:rsidRPr="00C30976">
        <w:rPr>
          <w:lang w:eastAsia="fr-FR" w:bidi="fr-FR"/>
        </w:rPr>
        <w:t>, il pourra prétendre ou non à des rel</w:t>
      </w:r>
      <w:r w:rsidRPr="00C30976">
        <w:rPr>
          <w:lang w:eastAsia="fr-FR" w:bidi="fr-FR"/>
        </w:rPr>
        <w:t>a</w:t>
      </w:r>
      <w:r w:rsidRPr="00C30976">
        <w:rPr>
          <w:lang w:eastAsia="fr-FR" w:bidi="fr-FR"/>
        </w:rPr>
        <w:t>tions privilégiées ou dégradées avec Washington. Le double problème est que cette conduite est vue comme éminemment ethnocentrique et arrogante vis-à-vis du monde ex</w:t>
      </w:r>
      <w:r>
        <w:rPr>
          <w:lang w:eastAsia="fr-FR" w:bidi="fr-FR"/>
        </w:rPr>
        <w:t>té</w:t>
      </w:r>
      <w:r w:rsidRPr="00C30976">
        <w:rPr>
          <w:lang w:eastAsia="fr-FR" w:bidi="fr-FR"/>
        </w:rPr>
        <w:t>rieur,</w:t>
      </w:r>
      <w:r>
        <w:t xml:space="preserve"> [269]</w:t>
      </w:r>
      <w:r w:rsidRPr="00C30976">
        <w:rPr>
          <w:lang w:eastAsia="fr-FR" w:bidi="fr-FR"/>
        </w:rPr>
        <w:t xml:space="preserve"> et que les </w:t>
      </w:r>
      <w:r w:rsidRPr="00C30976">
        <w:t>« </w:t>
      </w:r>
      <w:r w:rsidRPr="00C30976">
        <w:rPr>
          <w:lang w:eastAsia="fr-FR" w:bidi="fr-FR"/>
        </w:rPr>
        <w:t>listes no</w:t>
      </w:r>
      <w:r w:rsidRPr="00C30976">
        <w:rPr>
          <w:lang w:eastAsia="fr-FR" w:bidi="fr-FR"/>
        </w:rPr>
        <w:t>i</w:t>
      </w:r>
      <w:r w:rsidRPr="00C30976">
        <w:rPr>
          <w:lang w:eastAsia="fr-FR" w:bidi="fr-FR"/>
        </w:rPr>
        <w:t>res</w:t>
      </w:r>
      <w:r w:rsidRPr="00C30976">
        <w:t> »</w:t>
      </w:r>
      <w:r w:rsidRPr="00C30976">
        <w:rPr>
          <w:lang w:eastAsia="fr-FR" w:bidi="fr-FR"/>
        </w:rPr>
        <w:t xml:space="preserve"> ainsi établies reflètent su</w:t>
      </w:r>
      <w:r w:rsidRPr="00C30976">
        <w:rPr>
          <w:lang w:eastAsia="fr-FR" w:bidi="fr-FR"/>
        </w:rPr>
        <w:t>r</w:t>
      </w:r>
      <w:r w:rsidRPr="00C30976">
        <w:rPr>
          <w:lang w:eastAsia="fr-FR" w:bidi="fr-FR"/>
        </w:rPr>
        <w:t>tout la carte des alliés et ennemis de Washington, ou encore ses luttes intestines. Parmi la trentaine de pays notés, seuls les ennemis trad</w:t>
      </w:r>
      <w:r w:rsidRPr="00C30976">
        <w:rPr>
          <w:lang w:eastAsia="fr-FR" w:bidi="fr-FR"/>
        </w:rPr>
        <w:t>i</w:t>
      </w:r>
      <w:r w:rsidRPr="00C30976">
        <w:rPr>
          <w:lang w:eastAsia="fr-FR" w:bidi="fr-FR"/>
        </w:rPr>
        <w:t>tionnels de l’Amérique et les pays avec lesquels elle entretient peu de relations sont vraiment stigmatisés, alors que certains pays produ</w:t>
      </w:r>
      <w:r w:rsidRPr="00C30976">
        <w:rPr>
          <w:lang w:eastAsia="fr-FR" w:bidi="fr-FR"/>
        </w:rPr>
        <w:t>c</w:t>
      </w:r>
      <w:r w:rsidRPr="00C30976">
        <w:rPr>
          <w:lang w:eastAsia="fr-FR" w:bidi="fr-FR"/>
        </w:rPr>
        <w:t>teurs ou relais comme le Mexique se voient systématiquement accorder des bu</w:t>
      </w:r>
      <w:r w:rsidRPr="00C30976">
        <w:rPr>
          <w:lang w:eastAsia="fr-FR" w:bidi="fr-FR"/>
        </w:rPr>
        <w:t>l</w:t>
      </w:r>
      <w:r w:rsidRPr="00C30976">
        <w:rPr>
          <w:lang w:eastAsia="fr-FR" w:bidi="fr-FR"/>
        </w:rPr>
        <w:t>letins indulgents</w:t>
      </w:r>
      <w:r>
        <w:rPr>
          <w:lang w:eastAsia="fr-FR" w:bidi="fr-FR"/>
        </w:rPr>
        <w:t> </w:t>
      </w:r>
      <w:r>
        <w:rPr>
          <w:rStyle w:val="Appelnotedebasdep"/>
          <w:lang w:eastAsia="fr-FR" w:bidi="fr-FR"/>
        </w:rPr>
        <w:footnoteReference w:id="540"/>
      </w:r>
      <w:r>
        <w:rPr>
          <w:lang w:eastAsia="fr-FR" w:bidi="fr-FR"/>
        </w:rPr>
        <w:t>.</w:t>
      </w:r>
      <w:r w:rsidRPr="00C30976">
        <w:rPr>
          <w:lang w:eastAsia="fr-FR" w:bidi="fr-FR"/>
        </w:rPr>
        <w:t xml:space="preserve"> D’autres pays, enfin, sont sacrifiés sur l’autel des marchandages entre Exécutif et Législatif</w:t>
      </w:r>
      <w:r>
        <w:rPr>
          <w:lang w:eastAsia="fr-FR" w:bidi="fr-FR"/>
        </w:rPr>
        <w:t> </w:t>
      </w:r>
      <w:r>
        <w:rPr>
          <w:rStyle w:val="Appelnotedebasdep"/>
          <w:lang w:eastAsia="fr-FR" w:bidi="fr-FR"/>
        </w:rPr>
        <w:footnoteReference w:id="541"/>
      </w:r>
      <w:r w:rsidRPr="00C30976">
        <w:rPr>
          <w:lang w:eastAsia="fr-FR" w:bidi="fr-FR"/>
        </w:rPr>
        <w:t>. Après la guerre froide, le Congrès a mult</w:t>
      </w:r>
      <w:r w:rsidRPr="00C30976">
        <w:rPr>
          <w:lang w:eastAsia="fr-FR" w:bidi="fr-FR"/>
        </w:rPr>
        <w:t>i</w:t>
      </w:r>
      <w:r w:rsidRPr="00C30976">
        <w:rPr>
          <w:lang w:eastAsia="fr-FR" w:bidi="fr-FR"/>
        </w:rPr>
        <w:t>plié les mécanismes de ce type, ass</w:t>
      </w:r>
      <w:r w:rsidRPr="00C30976">
        <w:rPr>
          <w:lang w:eastAsia="fr-FR" w:bidi="fr-FR"/>
        </w:rPr>
        <w:t>o</w:t>
      </w:r>
      <w:r w:rsidRPr="00C30976">
        <w:rPr>
          <w:lang w:eastAsia="fr-FR" w:bidi="fr-FR"/>
        </w:rPr>
        <w:t>ciant l’évaluation d’autres pays sur certains dossiers et l’application de sanctions automatiques, ce qui lui a permis de s’affirmer par ra</w:t>
      </w:r>
      <w:r w:rsidRPr="00C30976">
        <w:rPr>
          <w:lang w:eastAsia="fr-FR" w:bidi="fr-FR"/>
        </w:rPr>
        <w:t>p</w:t>
      </w:r>
      <w:r w:rsidRPr="00C30976">
        <w:rPr>
          <w:lang w:eastAsia="fr-FR" w:bidi="fr-FR"/>
        </w:rPr>
        <w:t>port à l’Exécutif dans les relations avec l’étranger.</w:t>
      </w:r>
    </w:p>
    <w:p w14:paraId="20593109" w14:textId="77777777" w:rsidR="0039793A" w:rsidRDefault="0039793A" w:rsidP="0039793A">
      <w:pPr>
        <w:spacing w:before="120" w:after="120"/>
        <w:jc w:val="both"/>
        <w:rPr>
          <w:lang w:eastAsia="fr-FR" w:bidi="fr-FR"/>
        </w:rPr>
      </w:pPr>
    </w:p>
    <w:p w14:paraId="18BAF4DF" w14:textId="77777777" w:rsidR="0039793A" w:rsidRPr="00817345" w:rsidRDefault="0039793A" w:rsidP="0039793A">
      <w:pPr>
        <w:pStyle w:val="b"/>
      </w:pPr>
      <w:r w:rsidRPr="00817345">
        <w:rPr>
          <w:lang w:eastAsia="fr-FR" w:bidi="fr-FR"/>
        </w:rPr>
        <w:t>La législation procédurale</w:t>
      </w:r>
    </w:p>
    <w:p w14:paraId="5750D73E" w14:textId="77777777" w:rsidR="0039793A" w:rsidRDefault="0039793A" w:rsidP="0039793A">
      <w:pPr>
        <w:spacing w:before="120" w:after="120"/>
        <w:jc w:val="both"/>
        <w:rPr>
          <w:lang w:eastAsia="fr-FR" w:bidi="fr-FR"/>
        </w:rPr>
      </w:pPr>
    </w:p>
    <w:p w14:paraId="535E4342" w14:textId="77777777" w:rsidR="0039793A" w:rsidRPr="00C30976" w:rsidRDefault="0039793A" w:rsidP="0039793A">
      <w:pPr>
        <w:spacing w:before="120" w:after="120"/>
        <w:jc w:val="both"/>
      </w:pPr>
      <w:r w:rsidRPr="00C30976">
        <w:rPr>
          <w:lang w:eastAsia="fr-FR" w:bidi="fr-FR"/>
        </w:rPr>
        <w:t xml:space="preserve">Un dernier mécanisme d’influence dont peuvent se servir les élus est ce que James Lindsay appelle la </w:t>
      </w:r>
      <w:r w:rsidRPr="00C30976">
        <w:t>« </w:t>
      </w:r>
      <w:r w:rsidRPr="00C30976">
        <w:rPr>
          <w:lang w:eastAsia="fr-FR" w:bidi="fr-FR"/>
        </w:rPr>
        <w:t>législation procédurale</w:t>
      </w:r>
      <w:r>
        <w:rPr>
          <w:lang w:eastAsia="fr-FR" w:bidi="fr-FR"/>
        </w:rPr>
        <w:t> </w:t>
      </w:r>
      <w:r>
        <w:rPr>
          <w:rStyle w:val="Appelnotedebasdep"/>
          <w:lang w:eastAsia="fr-FR" w:bidi="fr-FR"/>
        </w:rPr>
        <w:footnoteReference w:id="542"/>
      </w:r>
      <w:r w:rsidRPr="00C30976">
        <w:t> »</w:t>
      </w:r>
      <w:r w:rsidRPr="00C30976">
        <w:rPr>
          <w:lang w:eastAsia="fr-FR" w:bidi="fr-FR"/>
        </w:rPr>
        <w:t xml:space="preserve"> et ui consiste à modifier les structures administratives qui gèrent la pol</w:t>
      </w:r>
      <w:r w:rsidRPr="00C30976">
        <w:rPr>
          <w:lang w:eastAsia="fr-FR" w:bidi="fr-FR"/>
        </w:rPr>
        <w:t>i</w:t>
      </w:r>
      <w:r w:rsidRPr="00C30976">
        <w:rPr>
          <w:lang w:eastAsia="fr-FR" w:bidi="fr-FR"/>
        </w:rPr>
        <w:t xml:space="preserve">tique étrangère afin d’en infléchir les priorités, partant du principe que dans la </w:t>
      </w:r>
      <w:r w:rsidRPr="00C30976">
        <w:t>« </w:t>
      </w:r>
      <w:r w:rsidRPr="00C30976">
        <w:rPr>
          <w:lang w:eastAsia="fr-FR" w:bidi="fr-FR"/>
        </w:rPr>
        <w:t>jungle bureaucr</w:t>
      </w:r>
      <w:r w:rsidRPr="00C30976">
        <w:rPr>
          <w:lang w:eastAsia="fr-FR" w:bidi="fr-FR"/>
        </w:rPr>
        <w:t>a</w:t>
      </w:r>
      <w:r w:rsidRPr="00C30976">
        <w:rPr>
          <w:lang w:eastAsia="fr-FR" w:bidi="fr-FR"/>
        </w:rPr>
        <w:t>tique</w:t>
      </w:r>
      <w:r w:rsidRPr="00C30976">
        <w:t> »</w:t>
      </w:r>
      <w:r w:rsidRPr="00C30976">
        <w:rPr>
          <w:lang w:eastAsia="fr-FR" w:bidi="fr-FR"/>
        </w:rPr>
        <w:t xml:space="preserve"> de Washington, un dossier ou un thème qui n’est pas défendu par un responsable n’est tout simpl</w:t>
      </w:r>
      <w:r w:rsidRPr="00C30976">
        <w:rPr>
          <w:lang w:eastAsia="fr-FR" w:bidi="fr-FR"/>
        </w:rPr>
        <w:t>e</w:t>
      </w:r>
      <w:r w:rsidRPr="00C30976">
        <w:rPr>
          <w:lang w:eastAsia="fr-FR" w:bidi="fr-FR"/>
        </w:rPr>
        <w:t>ment pas défendu. L’exemple le plus souvent cité, la création par le Congrès du poste de repr</w:t>
      </w:r>
      <w:r w:rsidRPr="00C30976">
        <w:rPr>
          <w:lang w:eastAsia="fr-FR" w:bidi="fr-FR"/>
        </w:rPr>
        <w:t>é</w:t>
      </w:r>
      <w:r w:rsidRPr="00C30976">
        <w:rPr>
          <w:lang w:eastAsia="fr-FR" w:bidi="fr-FR"/>
        </w:rPr>
        <w:t xml:space="preserve">sentant spécial pour le commerce extérieur </w:t>
      </w:r>
      <w:r w:rsidRPr="00C92B40">
        <w:rPr>
          <w:lang w:eastAsia="fr-FR" w:bidi="fr-FR"/>
        </w:rPr>
        <w:t>(</w:t>
      </w:r>
      <w:r w:rsidRPr="00C92B40">
        <w:rPr>
          <w:caps/>
          <w:lang w:eastAsia="fr-FR" w:bidi="fr-FR"/>
        </w:rPr>
        <w:t>ustr</w:t>
      </w:r>
      <w:r w:rsidRPr="00C92B40">
        <w:rPr>
          <w:lang w:eastAsia="fr-FR" w:bidi="fr-FR"/>
        </w:rPr>
        <w:t>)</w:t>
      </w:r>
      <w:r w:rsidRPr="00B423FA">
        <w:rPr>
          <w:smallCaps/>
        </w:rPr>
        <w:t xml:space="preserve"> </w:t>
      </w:r>
      <w:r w:rsidRPr="00C30976">
        <w:rPr>
          <w:lang w:eastAsia="fr-FR" w:bidi="fr-FR"/>
        </w:rPr>
        <w:t>en 1962, remanié en 1974</w:t>
      </w:r>
      <w:r>
        <w:rPr>
          <w:lang w:eastAsia="fr-FR" w:bidi="fr-FR"/>
        </w:rPr>
        <w:t> </w:t>
      </w:r>
      <w:r>
        <w:rPr>
          <w:rStyle w:val="Appelnotedebasdep"/>
          <w:lang w:eastAsia="fr-FR" w:bidi="fr-FR"/>
        </w:rPr>
        <w:footnoteReference w:id="543"/>
      </w:r>
      <w:r w:rsidRPr="00C30976">
        <w:rPr>
          <w:lang w:eastAsia="fr-FR" w:bidi="fr-FR"/>
        </w:rPr>
        <w:t>, est probant</w:t>
      </w:r>
      <w:r w:rsidRPr="00C30976">
        <w:t> :</w:t>
      </w:r>
      <w:r w:rsidRPr="00C30976">
        <w:rPr>
          <w:lang w:eastAsia="fr-FR" w:bidi="fr-FR"/>
        </w:rPr>
        <w:t xml:space="preserve"> non </w:t>
      </w:r>
      <w:r w:rsidRPr="00B423FA">
        <w:rPr>
          <w:color w:val="000000"/>
          <w:sz w:val="24"/>
          <w:lang w:val="fr-FR" w:eastAsia="fr-FR" w:bidi="fr-FR"/>
        </w:rPr>
        <w:t>se</w:t>
      </w:r>
      <w:r w:rsidRPr="00B423FA">
        <w:rPr>
          <w:color w:val="000000"/>
          <w:sz w:val="24"/>
          <w:lang w:val="fr-FR" w:eastAsia="fr-FR" w:bidi="fr-FR"/>
        </w:rPr>
        <w:t>u</w:t>
      </w:r>
      <w:r w:rsidRPr="00B423FA">
        <w:rPr>
          <w:color w:val="000000"/>
          <w:sz w:val="24"/>
          <w:lang w:val="fr-FR" w:eastAsia="fr-FR" w:bidi="fr-FR"/>
        </w:rPr>
        <w:t>lement</w:t>
      </w:r>
      <w:r w:rsidRPr="00C92B40">
        <w:rPr>
          <w:lang w:eastAsia="fr-FR" w:bidi="fr-FR"/>
        </w:rPr>
        <w:t xml:space="preserve"> l’</w:t>
      </w:r>
      <w:r w:rsidRPr="00C92B40">
        <w:rPr>
          <w:caps/>
          <w:lang w:eastAsia="fr-FR" w:bidi="fr-FR"/>
        </w:rPr>
        <w:t>ustr</w:t>
      </w:r>
      <w:r w:rsidRPr="00C30976">
        <w:rPr>
          <w:rStyle w:val="Corpsdutexte285ptPetitesmajuscules"/>
        </w:rPr>
        <w:t xml:space="preserve"> </w:t>
      </w:r>
      <w:r w:rsidRPr="00C30976">
        <w:rPr>
          <w:lang w:eastAsia="fr-FR" w:bidi="fr-FR"/>
        </w:rPr>
        <w:t>s’est bel et bien focalisé, avec effic</w:t>
      </w:r>
      <w:r w:rsidRPr="00C30976">
        <w:rPr>
          <w:lang w:eastAsia="fr-FR" w:bidi="fr-FR"/>
        </w:rPr>
        <w:t>a</w:t>
      </w:r>
      <w:r w:rsidRPr="00C30976">
        <w:rPr>
          <w:lang w:eastAsia="fr-FR" w:bidi="fr-FR"/>
        </w:rPr>
        <w:t>cité, sur sa mission d’ouverture des marchés ext</w:t>
      </w:r>
      <w:r w:rsidRPr="00C30976">
        <w:rPr>
          <w:lang w:eastAsia="fr-FR" w:bidi="fr-FR"/>
        </w:rPr>
        <w:t>é</w:t>
      </w:r>
      <w:r w:rsidRPr="00C30976">
        <w:rPr>
          <w:lang w:eastAsia="fr-FR" w:bidi="fr-FR"/>
        </w:rPr>
        <w:t>rieurs, mais cette administration compte parmi</w:t>
      </w:r>
      <w:r>
        <w:t xml:space="preserve"> [270] </w:t>
      </w:r>
      <w:r w:rsidRPr="00C30976">
        <w:rPr>
          <w:lang w:eastAsia="fr-FR" w:bidi="fr-FR"/>
        </w:rPr>
        <w:t>celles qui sont les plus attentives aux sollicitations des parleme</w:t>
      </w:r>
      <w:r w:rsidRPr="00C30976">
        <w:rPr>
          <w:lang w:eastAsia="fr-FR" w:bidi="fr-FR"/>
        </w:rPr>
        <w:t>n</w:t>
      </w:r>
      <w:r>
        <w:rPr>
          <w:lang w:eastAsia="fr-FR" w:bidi="fr-FR"/>
        </w:rPr>
        <w:t>taires </w:t>
      </w:r>
      <w:r>
        <w:rPr>
          <w:rStyle w:val="Appelnotedebasdep"/>
          <w:lang w:eastAsia="fr-FR" w:bidi="fr-FR"/>
        </w:rPr>
        <w:footnoteReference w:id="544"/>
      </w:r>
      <w:r w:rsidRPr="00C30976">
        <w:rPr>
          <w:lang w:eastAsia="fr-FR" w:bidi="fr-FR"/>
        </w:rPr>
        <w:t>. En 1993, soucieux de ne pas laisser trop de latitude à l’Administration Cli</w:t>
      </w:r>
      <w:r w:rsidRPr="00C30976">
        <w:rPr>
          <w:lang w:eastAsia="fr-FR" w:bidi="fr-FR"/>
        </w:rPr>
        <w:t>n</w:t>
      </w:r>
      <w:r w:rsidRPr="00C30976">
        <w:rPr>
          <w:lang w:eastAsia="fr-FR" w:bidi="fr-FR"/>
        </w:rPr>
        <w:t>ton en matière d’opérations de maintien de la paix, le Congrès refuse la demande de l’Administration d’assouplir les conditions dans lesquelles le prés</w:t>
      </w:r>
      <w:r w:rsidRPr="00C30976">
        <w:rPr>
          <w:lang w:eastAsia="fr-FR" w:bidi="fr-FR"/>
        </w:rPr>
        <w:t>i</w:t>
      </w:r>
      <w:r w:rsidRPr="00C30976">
        <w:rPr>
          <w:lang w:eastAsia="fr-FR" w:bidi="fr-FR"/>
        </w:rPr>
        <w:t>dent peut avoir recours à la Garde nationale et aux réserves — indispensables pour les opérations milita</w:t>
      </w:r>
      <w:r w:rsidRPr="00C30976">
        <w:rPr>
          <w:lang w:eastAsia="fr-FR" w:bidi="fr-FR"/>
        </w:rPr>
        <w:t>i</w:t>
      </w:r>
      <w:r w:rsidRPr="00C30976">
        <w:rPr>
          <w:lang w:eastAsia="fr-FR" w:bidi="fr-FR"/>
        </w:rPr>
        <w:t>res extérieures d’envergure - notamment en ref</w:t>
      </w:r>
      <w:r w:rsidRPr="00C30976">
        <w:rPr>
          <w:lang w:eastAsia="fr-FR" w:bidi="fr-FR"/>
        </w:rPr>
        <w:t>u</w:t>
      </w:r>
      <w:r w:rsidRPr="00C30976">
        <w:rPr>
          <w:lang w:eastAsia="fr-FR" w:bidi="fr-FR"/>
        </w:rPr>
        <w:t>sant de le dispenser de déclarer au préalable l’état d’urgence nationale. Cette disposition pr</w:t>
      </w:r>
      <w:r w:rsidRPr="00C30976">
        <w:rPr>
          <w:lang w:eastAsia="fr-FR" w:bidi="fr-FR"/>
        </w:rPr>
        <w:t>o</w:t>
      </w:r>
      <w:r w:rsidRPr="00C30976">
        <w:rPr>
          <w:lang w:eastAsia="fr-FR" w:bidi="fr-FR"/>
        </w:rPr>
        <w:t>cédurale limite la marge de manœuvre du président et infléchit sa p</w:t>
      </w:r>
      <w:r w:rsidRPr="00C30976">
        <w:rPr>
          <w:lang w:eastAsia="fr-FR" w:bidi="fr-FR"/>
        </w:rPr>
        <w:t>o</w:t>
      </w:r>
      <w:r w:rsidRPr="00C30976">
        <w:rPr>
          <w:lang w:eastAsia="fr-FR" w:bidi="fr-FR"/>
        </w:rPr>
        <w:t>litique en l’empêchant d’avoir recours plus facilement aux interve</w:t>
      </w:r>
      <w:r w:rsidRPr="00C30976">
        <w:rPr>
          <w:lang w:eastAsia="fr-FR" w:bidi="fr-FR"/>
        </w:rPr>
        <w:t>n</w:t>
      </w:r>
      <w:r w:rsidRPr="00C30976">
        <w:rPr>
          <w:lang w:eastAsia="fr-FR" w:bidi="fr-FR"/>
        </w:rPr>
        <w:t>tions militaires ext</w:t>
      </w:r>
      <w:r w:rsidRPr="00C30976">
        <w:rPr>
          <w:lang w:eastAsia="fr-FR" w:bidi="fr-FR"/>
        </w:rPr>
        <w:t>é</w:t>
      </w:r>
      <w:r w:rsidRPr="00C30976">
        <w:rPr>
          <w:lang w:eastAsia="fr-FR" w:bidi="fr-FR"/>
        </w:rPr>
        <w:t>rieures</w:t>
      </w:r>
      <w:r>
        <w:rPr>
          <w:lang w:eastAsia="fr-FR" w:bidi="fr-FR"/>
        </w:rPr>
        <w:t> </w:t>
      </w:r>
      <w:r>
        <w:rPr>
          <w:rStyle w:val="Appelnotedebasdep"/>
          <w:lang w:eastAsia="fr-FR" w:bidi="fr-FR"/>
        </w:rPr>
        <w:footnoteReference w:id="545"/>
      </w:r>
      <w:r w:rsidRPr="00C30976">
        <w:rPr>
          <w:lang w:eastAsia="fr-FR" w:bidi="fr-FR"/>
        </w:rPr>
        <w:t>.</w:t>
      </w:r>
    </w:p>
    <w:p w14:paraId="62471DBB" w14:textId="77777777" w:rsidR="0039793A" w:rsidRDefault="0039793A" w:rsidP="0039793A">
      <w:pPr>
        <w:spacing w:before="120" w:after="120"/>
        <w:jc w:val="both"/>
        <w:rPr>
          <w:lang w:eastAsia="fr-FR" w:bidi="fr-FR"/>
        </w:rPr>
      </w:pPr>
    </w:p>
    <w:p w14:paraId="5D4C7835" w14:textId="77777777" w:rsidR="0039793A" w:rsidRPr="00303D06" w:rsidRDefault="0039793A" w:rsidP="0039793A">
      <w:pPr>
        <w:pStyle w:val="planche"/>
      </w:pPr>
      <w:bookmarkStart w:id="35" w:name="Pol_EU_pt_3_chap_08_2"/>
      <w:r w:rsidRPr="00303D06">
        <w:rPr>
          <w:lang w:eastAsia="fr-FR" w:bidi="fr-FR"/>
        </w:rPr>
        <w:t>L</w:t>
      </w:r>
      <w:r>
        <w:rPr>
          <w:lang w:eastAsia="fr-FR" w:bidi="fr-FR"/>
        </w:rPr>
        <w:t>’</w:t>
      </w:r>
      <w:r w:rsidRPr="00303D06">
        <w:rPr>
          <w:lang w:eastAsia="fr-FR" w:bidi="fr-FR"/>
        </w:rPr>
        <w:t>organisation du Congrès</w:t>
      </w:r>
    </w:p>
    <w:bookmarkEnd w:id="35"/>
    <w:p w14:paraId="59AC6AF6" w14:textId="77777777" w:rsidR="0039793A" w:rsidRDefault="0039793A" w:rsidP="0039793A">
      <w:pPr>
        <w:spacing w:before="120" w:after="120"/>
        <w:jc w:val="both"/>
        <w:rPr>
          <w:lang w:eastAsia="fr-FR" w:bidi="fr-FR"/>
        </w:rPr>
      </w:pPr>
    </w:p>
    <w:p w14:paraId="469033D0"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520813D" w14:textId="77777777" w:rsidR="0039793A" w:rsidRDefault="0039793A" w:rsidP="0039793A">
      <w:pPr>
        <w:spacing w:before="120" w:after="120"/>
        <w:jc w:val="both"/>
        <w:rPr>
          <w:lang w:eastAsia="fr-FR" w:bidi="fr-FR"/>
        </w:rPr>
      </w:pPr>
      <w:r w:rsidRPr="00C30976">
        <w:rPr>
          <w:lang w:eastAsia="fr-FR" w:bidi="fr-FR"/>
        </w:rPr>
        <w:t>L’autorité dont jouit le président en politique étrangère face au Congrès, en dépit des pouvoirs confiés à ce dernier, s’explique d’un côté par l’unité d’action dont le président dispose face aux 535 parl</w:t>
      </w:r>
      <w:r w:rsidRPr="00C30976">
        <w:rPr>
          <w:lang w:eastAsia="fr-FR" w:bidi="fr-FR"/>
        </w:rPr>
        <w:t>e</w:t>
      </w:r>
      <w:r w:rsidRPr="00C30976">
        <w:rPr>
          <w:lang w:eastAsia="fr-FR" w:bidi="fr-FR"/>
        </w:rPr>
        <w:t>mentaires qui forment le Congrès</w:t>
      </w:r>
      <w:r w:rsidRPr="00C30976">
        <w:t> :</w:t>
      </w:r>
      <w:r w:rsidRPr="00C30976">
        <w:rPr>
          <w:lang w:eastAsia="fr-FR" w:bidi="fr-FR"/>
        </w:rPr>
        <w:t xml:space="preserve"> 100 sénateurs, à raison de deux sénateurs par État, et 435 représentants, chacun élu dans une circon</w:t>
      </w:r>
      <w:r w:rsidRPr="00C30976">
        <w:rPr>
          <w:lang w:eastAsia="fr-FR" w:bidi="fr-FR"/>
        </w:rPr>
        <w:t>s</w:t>
      </w:r>
      <w:r w:rsidRPr="00C30976">
        <w:rPr>
          <w:lang w:eastAsia="fr-FR" w:bidi="fr-FR"/>
        </w:rPr>
        <w:t>cription de taille démographique égale. Elle s’explique d’un autre côté par les conditions d’élection des parlementa</w:t>
      </w:r>
      <w:r w:rsidRPr="00C30976">
        <w:rPr>
          <w:lang w:eastAsia="fr-FR" w:bidi="fr-FR"/>
        </w:rPr>
        <w:t>i</w:t>
      </w:r>
      <w:r w:rsidRPr="00C30976">
        <w:rPr>
          <w:lang w:eastAsia="fr-FR" w:bidi="fr-FR"/>
        </w:rPr>
        <w:t>res, la courte échéance de leurs mandats, leurs div</w:t>
      </w:r>
      <w:r w:rsidRPr="00C30976">
        <w:rPr>
          <w:lang w:eastAsia="fr-FR" w:bidi="fr-FR"/>
        </w:rPr>
        <w:t>i</w:t>
      </w:r>
      <w:r w:rsidRPr="00C30976">
        <w:rPr>
          <w:lang w:eastAsia="fr-FR" w:bidi="fr-FR"/>
        </w:rPr>
        <w:t>sions partisanes et idéologiques et leurs conditions d’exercice du pouvoir qui n’encouragent ni la con</w:t>
      </w:r>
      <w:r w:rsidRPr="00C30976">
        <w:rPr>
          <w:lang w:eastAsia="fr-FR" w:bidi="fr-FR"/>
        </w:rPr>
        <w:t>s</w:t>
      </w:r>
      <w:r w:rsidRPr="00C30976">
        <w:rPr>
          <w:lang w:eastAsia="fr-FR" w:bidi="fr-FR"/>
        </w:rPr>
        <w:t>tance, ni la cohérence face à un Exécutif qui fait figure de chevau-léger. Ces facteurs expliquent également les problèmes généraux posés à la d</w:t>
      </w:r>
      <w:r w:rsidRPr="00C30976">
        <w:rPr>
          <w:lang w:eastAsia="fr-FR" w:bidi="fr-FR"/>
        </w:rPr>
        <w:t>i</w:t>
      </w:r>
      <w:r w:rsidRPr="00C30976">
        <w:rPr>
          <w:lang w:eastAsia="fr-FR" w:bidi="fr-FR"/>
        </w:rPr>
        <w:t>plomatie américaine par l’influence qu’y exerce le Législatif</w:t>
      </w:r>
      <w:r w:rsidRPr="00C30976">
        <w:t> :</w:t>
      </w:r>
      <w:r w:rsidRPr="00C30976">
        <w:rPr>
          <w:lang w:eastAsia="fr-FR" w:bidi="fr-FR"/>
        </w:rPr>
        <w:t xml:space="preserve"> bloc</w:t>
      </w:r>
      <w:r w:rsidRPr="00C30976">
        <w:rPr>
          <w:lang w:eastAsia="fr-FR" w:bidi="fr-FR"/>
        </w:rPr>
        <w:t>a</w:t>
      </w:r>
      <w:r w:rsidRPr="00C30976">
        <w:rPr>
          <w:lang w:eastAsia="fr-FR" w:bidi="fr-FR"/>
        </w:rPr>
        <w:t>ges, incohérences et polarisation exce</w:t>
      </w:r>
      <w:r w:rsidRPr="00C30976">
        <w:rPr>
          <w:lang w:eastAsia="fr-FR" w:bidi="fr-FR"/>
        </w:rPr>
        <w:t>s</w:t>
      </w:r>
      <w:r w:rsidRPr="00C30976">
        <w:rPr>
          <w:lang w:eastAsia="fr-FR" w:bidi="fr-FR"/>
        </w:rPr>
        <w:t>sive. Là encore cependant, ces difficultés sont sans doute inséparables de la recherche d’une certaine démocratie en politique étrangère.</w:t>
      </w:r>
    </w:p>
    <w:p w14:paraId="6B0AD05B" w14:textId="77777777" w:rsidR="0039793A" w:rsidRPr="00C30976" w:rsidRDefault="0039793A" w:rsidP="0039793A">
      <w:pPr>
        <w:spacing w:before="120" w:after="120"/>
        <w:jc w:val="both"/>
      </w:pPr>
    </w:p>
    <w:p w14:paraId="18E8330A" w14:textId="77777777" w:rsidR="0039793A" w:rsidRDefault="0039793A" w:rsidP="0039793A">
      <w:pPr>
        <w:pStyle w:val="a"/>
      </w:pPr>
      <w:r w:rsidRPr="00C30976">
        <w:t>L’influe</w:t>
      </w:r>
      <w:r>
        <w:t>nce du processus de désignation</w:t>
      </w:r>
      <w:r>
        <w:br/>
      </w:r>
      <w:r w:rsidRPr="00C30976">
        <w:t>des pa</w:t>
      </w:r>
      <w:r w:rsidRPr="00C30976">
        <w:t>r</w:t>
      </w:r>
      <w:r w:rsidRPr="00C30976">
        <w:t>lementaires</w:t>
      </w:r>
    </w:p>
    <w:p w14:paraId="1EFAC367" w14:textId="77777777" w:rsidR="0039793A" w:rsidRPr="00C30976" w:rsidRDefault="0039793A" w:rsidP="0039793A">
      <w:pPr>
        <w:spacing w:before="120" w:after="120"/>
        <w:jc w:val="both"/>
      </w:pPr>
    </w:p>
    <w:p w14:paraId="152705CF" w14:textId="77777777" w:rsidR="0039793A" w:rsidRPr="00C30976" w:rsidRDefault="0039793A" w:rsidP="0039793A">
      <w:pPr>
        <w:spacing w:before="120" w:after="120"/>
        <w:jc w:val="both"/>
      </w:pPr>
      <w:r w:rsidRPr="00C30976">
        <w:rPr>
          <w:lang w:eastAsia="fr-FR" w:bidi="fr-FR"/>
        </w:rPr>
        <w:t>La sujétion électorale des membres du Congrès sert souvent d’explication à leur inaptitude à gérer de façon suivie et responsable les affaires intern</w:t>
      </w:r>
      <w:r w:rsidRPr="00C30976">
        <w:rPr>
          <w:lang w:eastAsia="fr-FR" w:bidi="fr-FR"/>
        </w:rPr>
        <w:t>a</w:t>
      </w:r>
      <w:r w:rsidRPr="00C30976">
        <w:rPr>
          <w:lang w:eastAsia="fr-FR" w:bidi="fr-FR"/>
        </w:rPr>
        <w:t>tionales</w:t>
      </w:r>
      <w:r w:rsidRPr="00C30976">
        <w:t> :</w:t>
      </w:r>
      <w:r w:rsidRPr="00C30976">
        <w:rPr>
          <w:lang w:eastAsia="fr-FR" w:bidi="fr-FR"/>
        </w:rPr>
        <w:t xml:space="preserve"> les représentants, en campagne</w:t>
      </w:r>
      <w:r>
        <w:t xml:space="preserve"> [271] </w:t>
      </w:r>
      <w:r w:rsidRPr="00C30976">
        <w:rPr>
          <w:lang w:eastAsia="fr-FR" w:bidi="fr-FR"/>
        </w:rPr>
        <w:t>quasi permanente, sont soumis à leur électorat tous les deux ans</w:t>
      </w:r>
      <w:r w:rsidRPr="00C30976">
        <w:t> ;</w:t>
      </w:r>
      <w:r w:rsidRPr="00C30976">
        <w:rPr>
          <w:lang w:eastAsia="fr-FR" w:bidi="fr-FR"/>
        </w:rPr>
        <w:t xml:space="preserve"> la situation est certes meilleure pour les sénateurs, en campagne tous les six ans. Cela ne doit pas occulter le fait que le Congrès a compté de brillants responsables de politique étrangère, notamment des sén</w:t>
      </w:r>
      <w:r w:rsidRPr="00C30976">
        <w:rPr>
          <w:lang w:eastAsia="fr-FR" w:bidi="fr-FR"/>
        </w:rPr>
        <w:t>a</w:t>
      </w:r>
      <w:r w:rsidRPr="00C30976">
        <w:rPr>
          <w:lang w:eastAsia="fr-FR" w:bidi="fr-FR"/>
        </w:rPr>
        <w:t>teurs consciencieux et très compétents. De surcroît, le taux de rééle</w:t>
      </w:r>
      <w:r w:rsidRPr="00C30976">
        <w:rPr>
          <w:lang w:eastAsia="fr-FR" w:bidi="fr-FR"/>
        </w:rPr>
        <w:t>c</w:t>
      </w:r>
      <w:r w:rsidRPr="00C30976">
        <w:rPr>
          <w:lang w:eastAsia="fr-FR" w:bidi="fr-FR"/>
        </w:rPr>
        <w:t>tion est généralement de 90</w:t>
      </w:r>
      <w:r>
        <w:rPr>
          <w:lang w:eastAsia="fr-FR" w:bidi="fr-FR"/>
        </w:rPr>
        <w:t>%</w:t>
      </w:r>
      <w:r w:rsidRPr="00C30976">
        <w:t> :</w:t>
      </w:r>
      <w:r w:rsidRPr="00C30976">
        <w:rPr>
          <w:lang w:eastAsia="fr-FR" w:bidi="fr-FR"/>
        </w:rPr>
        <w:t xml:space="preserve"> aussi, une fois gagné, un siège n’est certes pas garanti, mais relativement f</w:t>
      </w:r>
      <w:r w:rsidRPr="00C30976">
        <w:rPr>
          <w:lang w:eastAsia="fr-FR" w:bidi="fr-FR"/>
        </w:rPr>
        <w:t>a</w:t>
      </w:r>
      <w:r w:rsidRPr="00C30976">
        <w:rPr>
          <w:lang w:eastAsia="fr-FR" w:bidi="fr-FR"/>
        </w:rPr>
        <w:t>cile à conserver. Il n’en reste pas moins que le m</w:t>
      </w:r>
      <w:r w:rsidRPr="00C30976">
        <w:rPr>
          <w:lang w:eastAsia="fr-FR" w:bidi="fr-FR"/>
        </w:rPr>
        <w:t>o</w:t>
      </w:r>
      <w:r w:rsidRPr="00C30976">
        <w:rPr>
          <w:lang w:eastAsia="fr-FR" w:bidi="fr-FR"/>
        </w:rPr>
        <w:t>de d’élection des parlementaires tout comme l’organisation du travail au Congrès ne font pas de lui un organe idéal pour gérer la politique étrangère. L’élection des parlementaires est très largement empreinte de localisme</w:t>
      </w:r>
      <w:r w:rsidRPr="00C30976">
        <w:t> :</w:t>
      </w:r>
      <w:r w:rsidRPr="00C30976">
        <w:rPr>
          <w:lang w:eastAsia="fr-FR" w:bidi="fr-FR"/>
        </w:rPr>
        <w:t xml:space="preserve"> les sujets de débats nati</w:t>
      </w:r>
      <w:r w:rsidRPr="00C30976">
        <w:rPr>
          <w:lang w:eastAsia="fr-FR" w:bidi="fr-FR"/>
        </w:rPr>
        <w:t>o</w:t>
      </w:r>
      <w:r w:rsidRPr="00C30976">
        <w:rPr>
          <w:lang w:eastAsia="fr-FR" w:bidi="fr-FR"/>
        </w:rPr>
        <w:t>naux ne sont certes pas absents, mais c’est la circonscription (ou, pour le sén</w:t>
      </w:r>
      <w:r w:rsidRPr="00C30976">
        <w:rPr>
          <w:lang w:eastAsia="fr-FR" w:bidi="fr-FR"/>
        </w:rPr>
        <w:t>a</w:t>
      </w:r>
      <w:r w:rsidRPr="00C30976">
        <w:rPr>
          <w:lang w:eastAsia="fr-FR" w:bidi="fr-FR"/>
        </w:rPr>
        <w:t>teur, l’État) qui compte avant tout, avec ses problématiques particuli</w:t>
      </w:r>
      <w:r w:rsidRPr="00C30976">
        <w:rPr>
          <w:lang w:eastAsia="fr-FR" w:bidi="fr-FR"/>
        </w:rPr>
        <w:t>è</w:t>
      </w:r>
      <w:r w:rsidRPr="00C30976">
        <w:rPr>
          <w:lang w:eastAsia="fr-FR" w:bidi="fr-FR"/>
        </w:rPr>
        <w:t>res. L’élu est bien l’élu de la nation dans son entier, mais il doit en priorité défendre les intérêts de sa circonscription, et c’est sur ce crit</w:t>
      </w:r>
      <w:r w:rsidRPr="00C30976">
        <w:rPr>
          <w:lang w:eastAsia="fr-FR" w:bidi="fr-FR"/>
        </w:rPr>
        <w:t>è</w:t>
      </w:r>
      <w:r w:rsidRPr="00C30976">
        <w:rPr>
          <w:lang w:eastAsia="fr-FR" w:bidi="fr-FR"/>
        </w:rPr>
        <w:t>re qu’il est jugé.</w:t>
      </w:r>
    </w:p>
    <w:p w14:paraId="1516A34E" w14:textId="77777777" w:rsidR="0039793A" w:rsidRPr="00C30976" w:rsidRDefault="0039793A" w:rsidP="0039793A">
      <w:pPr>
        <w:spacing w:before="120" w:after="120"/>
        <w:jc w:val="both"/>
      </w:pPr>
      <w:r w:rsidRPr="00C30976">
        <w:rPr>
          <w:lang w:eastAsia="fr-FR" w:bidi="fr-FR"/>
        </w:rPr>
        <w:t>Avant l’homogénéisation des deux partis surv</w:t>
      </w:r>
      <w:r w:rsidRPr="00C30976">
        <w:rPr>
          <w:lang w:eastAsia="fr-FR" w:bidi="fr-FR"/>
        </w:rPr>
        <w:t>e</w:t>
      </w:r>
      <w:r w:rsidRPr="00C30976">
        <w:rPr>
          <w:lang w:eastAsia="fr-FR" w:bidi="fr-FR"/>
        </w:rPr>
        <w:t>nue dans les années 1980-2000, être démocrate ou républicain pouvait revêtir des signif</w:t>
      </w:r>
      <w:r w:rsidRPr="00C30976">
        <w:rPr>
          <w:lang w:eastAsia="fr-FR" w:bidi="fr-FR"/>
        </w:rPr>
        <w:t>i</w:t>
      </w:r>
      <w:r w:rsidRPr="00C30976">
        <w:rPr>
          <w:lang w:eastAsia="fr-FR" w:bidi="fr-FR"/>
        </w:rPr>
        <w:t>cations très différentes, voire radicalement opposées, en termes de v</w:t>
      </w:r>
      <w:r w:rsidRPr="00C30976">
        <w:rPr>
          <w:lang w:eastAsia="fr-FR" w:bidi="fr-FR"/>
        </w:rPr>
        <w:t>o</w:t>
      </w:r>
      <w:r w:rsidRPr="00C30976">
        <w:rPr>
          <w:lang w:eastAsia="fr-FR" w:bidi="fr-FR"/>
        </w:rPr>
        <w:t xml:space="preserve">te sur la politique étrangère, selon qu’on était élu en Nouvelle-Angleterre ou dans le Sud profond. Les candidats se déterminent d’après ce qu’ils perçoivent de </w:t>
      </w:r>
      <w:r w:rsidRPr="00241E6D">
        <w:rPr>
          <w:i/>
          <w:iCs/>
        </w:rPr>
        <w:t>leur</w:t>
      </w:r>
      <w:r w:rsidRPr="00C30976">
        <w:t xml:space="preserve"> </w:t>
      </w:r>
      <w:r w:rsidRPr="00C30976">
        <w:rPr>
          <w:lang w:eastAsia="fr-FR" w:bidi="fr-FR"/>
        </w:rPr>
        <w:t>opinion publique, avec des poss</w:t>
      </w:r>
      <w:r w:rsidRPr="00C30976">
        <w:rPr>
          <w:lang w:eastAsia="fr-FR" w:bidi="fr-FR"/>
        </w:rPr>
        <w:t>i</w:t>
      </w:r>
      <w:r w:rsidRPr="00C30976">
        <w:rPr>
          <w:lang w:eastAsia="fr-FR" w:bidi="fr-FR"/>
        </w:rPr>
        <w:t>bilités de distorsion et parfois des prises de position tranchées qui re</w:t>
      </w:r>
      <w:r w:rsidRPr="00C30976">
        <w:rPr>
          <w:lang w:eastAsia="fr-FR" w:bidi="fr-FR"/>
        </w:rPr>
        <w:t>n</w:t>
      </w:r>
      <w:r w:rsidRPr="00C30976">
        <w:rPr>
          <w:lang w:eastAsia="fr-FR" w:bidi="fr-FR"/>
        </w:rPr>
        <w:t>dent le travail des assemblées difficile. Reflétant en cela l’opinion p</w:t>
      </w:r>
      <w:r w:rsidRPr="00C30976">
        <w:rPr>
          <w:lang w:eastAsia="fr-FR" w:bidi="fr-FR"/>
        </w:rPr>
        <w:t>u</w:t>
      </w:r>
      <w:r w:rsidRPr="00C30976">
        <w:rPr>
          <w:lang w:eastAsia="fr-FR" w:bidi="fr-FR"/>
        </w:rPr>
        <w:t>blique, à la fin de la guerre froide et au cours des années suivantes, les candidats se sont très largement détournés des affaires étrangères, d</w:t>
      </w:r>
      <w:r w:rsidRPr="00C30976">
        <w:rPr>
          <w:lang w:eastAsia="fr-FR" w:bidi="fr-FR"/>
        </w:rPr>
        <w:t>e</w:t>
      </w:r>
      <w:r w:rsidRPr="00C30976">
        <w:rPr>
          <w:lang w:eastAsia="fr-FR" w:bidi="fr-FR"/>
        </w:rPr>
        <w:t>venues mineures dans l’ordre des priorités politiques au regard de la prégnance des problèmes économiques intérieurs. En outre, nombre d’entre eux ont mal interprété cette tenda</w:t>
      </w:r>
      <w:r w:rsidRPr="00C30976">
        <w:rPr>
          <w:lang w:eastAsia="fr-FR" w:bidi="fr-FR"/>
        </w:rPr>
        <w:t>n</w:t>
      </w:r>
      <w:r w:rsidRPr="00C30976">
        <w:rPr>
          <w:lang w:eastAsia="fr-FR" w:bidi="fr-FR"/>
        </w:rPr>
        <w:t>ce à l’introversion de l’opinion publique, parfois délibérément, pour y voir la volonté d’en finir avec l’internationalisme et le multilatéralisme, ce qui n’était pas nécessairement le cas. Dans ces cond</w:t>
      </w:r>
      <w:r w:rsidRPr="00C30976">
        <w:rPr>
          <w:lang w:eastAsia="fr-FR" w:bidi="fr-FR"/>
        </w:rPr>
        <w:t>i</w:t>
      </w:r>
      <w:r w:rsidRPr="00C30976">
        <w:rPr>
          <w:lang w:eastAsia="fr-FR" w:bidi="fr-FR"/>
        </w:rPr>
        <w:t>tions, on comprend qu’après la guerre froide, le Congrès n’ait pas montré beaucoup de considér</w:t>
      </w:r>
      <w:r w:rsidRPr="00C30976">
        <w:rPr>
          <w:lang w:eastAsia="fr-FR" w:bidi="fr-FR"/>
        </w:rPr>
        <w:t>a</w:t>
      </w:r>
      <w:r w:rsidRPr="00C30976">
        <w:rPr>
          <w:lang w:eastAsia="fr-FR" w:bidi="fr-FR"/>
        </w:rPr>
        <w:t>tion pour la politique étrangère qui était synonyme, aux yeux des élus, d’ennuis électoraux potentiels, mais en aucun cas de gisement de voix. Sauf bien sûr lorsqu’il s’agissait de satisfaire les attentes de sections particulières de l’électorat, groupes d’intérêts économiques ou ethn</w:t>
      </w:r>
      <w:r w:rsidRPr="00C30976">
        <w:rPr>
          <w:lang w:eastAsia="fr-FR" w:bidi="fr-FR"/>
        </w:rPr>
        <w:t>i</w:t>
      </w:r>
      <w:r w:rsidRPr="00C30976">
        <w:rPr>
          <w:lang w:eastAsia="fr-FR" w:bidi="fr-FR"/>
        </w:rPr>
        <w:t>ques notamment.</w:t>
      </w:r>
    </w:p>
    <w:p w14:paraId="2083974B" w14:textId="77777777" w:rsidR="0039793A" w:rsidRDefault="0039793A" w:rsidP="0039793A">
      <w:pPr>
        <w:spacing w:before="120" w:after="120"/>
        <w:jc w:val="both"/>
      </w:pPr>
      <w:r>
        <w:t>[272]</w:t>
      </w:r>
    </w:p>
    <w:p w14:paraId="734FD54F" w14:textId="77777777" w:rsidR="0039793A" w:rsidRPr="00C30976" w:rsidRDefault="0039793A" w:rsidP="0039793A">
      <w:pPr>
        <w:spacing w:before="120" w:after="120"/>
        <w:jc w:val="both"/>
      </w:pPr>
      <w:r w:rsidRPr="00C30976">
        <w:rPr>
          <w:lang w:eastAsia="fr-FR" w:bidi="fr-FR"/>
        </w:rPr>
        <w:t>Cette rétrogradation se lit dans un choix esse</w:t>
      </w:r>
      <w:r w:rsidRPr="00C30976">
        <w:rPr>
          <w:lang w:eastAsia="fr-FR" w:bidi="fr-FR"/>
        </w:rPr>
        <w:t>n</w:t>
      </w:r>
      <w:r w:rsidRPr="00C30976">
        <w:rPr>
          <w:lang w:eastAsia="fr-FR" w:bidi="fr-FR"/>
        </w:rPr>
        <w:t xml:space="preserve">tiel que font les élus à leur arrivée au Congrès, celui des commissions dans lesquelles ils siégeront. Fin 1994, à la Chambre, le président de la Chambre </w:t>
      </w:r>
      <w:r>
        <w:t>(</w:t>
      </w:r>
      <w:r w:rsidRPr="005062B2">
        <w:rPr>
          <w:i/>
          <w:iCs/>
        </w:rPr>
        <w:t>Spe</w:t>
      </w:r>
      <w:r w:rsidRPr="005062B2">
        <w:rPr>
          <w:i/>
          <w:iCs/>
        </w:rPr>
        <w:t>a</w:t>
      </w:r>
      <w:r w:rsidRPr="005062B2">
        <w:rPr>
          <w:i/>
          <w:iCs/>
        </w:rPr>
        <w:t>ker</w:t>
      </w:r>
      <w:r w:rsidRPr="00C30976">
        <w:t>),</w:t>
      </w:r>
      <w:r w:rsidRPr="00C30976">
        <w:rPr>
          <w:lang w:eastAsia="fr-FR" w:bidi="fr-FR"/>
        </w:rPr>
        <w:t xml:space="preserve"> Newt Gingrich, a décidé de ne plus cla</w:t>
      </w:r>
      <w:r w:rsidRPr="00C30976">
        <w:rPr>
          <w:lang w:eastAsia="fr-FR" w:bidi="fr-FR"/>
        </w:rPr>
        <w:t>s</w:t>
      </w:r>
      <w:r w:rsidRPr="00C30976">
        <w:rPr>
          <w:lang w:eastAsia="fr-FR" w:bidi="fr-FR"/>
        </w:rPr>
        <w:t>ser la commission des Affaires internationales pa</w:t>
      </w:r>
      <w:r w:rsidRPr="00C30976">
        <w:rPr>
          <w:lang w:eastAsia="fr-FR" w:bidi="fr-FR"/>
        </w:rPr>
        <w:t>r</w:t>
      </w:r>
      <w:r w:rsidRPr="00C30976">
        <w:rPr>
          <w:lang w:eastAsia="fr-FR" w:bidi="fr-FR"/>
        </w:rPr>
        <w:t xml:space="preserve">mi les </w:t>
      </w:r>
      <w:r w:rsidRPr="00C30976">
        <w:t>« </w:t>
      </w:r>
      <w:r w:rsidRPr="00C30976">
        <w:rPr>
          <w:lang w:eastAsia="fr-FR" w:bidi="fr-FR"/>
        </w:rPr>
        <w:t>commissions majeures</w:t>
      </w:r>
      <w:r w:rsidRPr="00C30976">
        <w:t> »</w:t>
      </w:r>
      <w:r w:rsidRPr="00C30976">
        <w:rPr>
          <w:lang w:eastAsia="fr-FR" w:bidi="fr-FR"/>
        </w:rPr>
        <w:t>. En effet, sachant qu’on ne peut siéger qu’à deux commissions maje</w:t>
      </w:r>
      <w:r w:rsidRPr="00C30976">
        <w:rPr>
          <w:lang w:eastAsia="fr-FR" w:bidi="fr-FR"/>
        </w:rPr>
        <w:t>u</w:t>
      </w:r>
      <w:r w:rsidRPr="00C30976">
        <w:rPr>
          <w:lang w:eastAsia="fr-FR" w:bidi="fr-FR"/>
        </w:rPr>
        <w:t>res à la fois, il devenait difficile de trouver des ca</w:t>
      </w:r>
      <w:r w:rsidRPr="00C30976">
        <w:rPr>
          <w:lang w:eastAsia="fr-FR" w:bidi="fr-FR"/>
        </w:rPr>
        <w:t>n</w:t>
      </w:r>
      <w:r w:rsidRPr="00C30976">
        <w:rPr>
          <w:lang w:eastAsia="fr-FR" w:bidi="fr-FR"/>
        </w:rPr>
        <w:t>didats. D’ailleurs, pour la présidence des quatre grandes commissions des Affaires étrangères, il ne s’est pas soucié de renverser les règles d’ancienneté comme il l’a fait ailleurs, si bien que leurs prés</w:t>
      </w:r>
      <w:r w:rsidRPr="00C30976">
        <w:rPr>
          <w:lang w:eastAsia="fr-FR" w:bidi="fr-FR"/>
        </w:rPr>
        <w:t>i</w:t>
      </w:r>
      <w:r w:rsidRPr="00C30976">
        <w:rPr>
          <w:lang w:eastAsia="fr-FR" w:bidi="fr-FR"/>
        </w:rPr>
        <w:t>dents affichaient, en 1999, une moyenne d’âge de 80 ans. Ceci reflète à la fois le désintérêt des no</w:t>
      </w:r>
      <w:r w:rsidRPr="00C30976">
        <w:rPr>
          <w:lang w:eastAsia="fr-FR" w:bidi="fr-FR"/>
        </w:rPr>
        <w:t>u</w:t>
      </w:r>
      <w:r w:rsidRPr="00C30976">
        <w:rPr>
          <w:lang w:eastAsia="fr-FR" w:bidi="fr-FR"/>
        </w:rPr>
        <w:t>veaux élus pour les relations internationales après la guerre froide et la faible attractivité structurelle d’une commission qui rapporte moins de pouvoir et d’argent qu’auparavant</w:t>
      </w:r>
      <w:r>
        <w:rPr>
          <w:lang w:eastAsia="fr-FR" w:bidi="fr-FR"/>
        </w:rPr>
        <w:t> </w:t>
      </w:r>
      <w:r>
        <w:rPr>
          <w:rStyle w:val="Appelnotedebasdep"/>
          <w:lang w:eastAsia="fr-FR" w:bidi="fr-FR"/>
        </w:rPr>
        <w:footnoteReference w:id="546"/>
      </w:r>
      <w:r>
        <w:rPr>
          <w:lang w:eastAsia="fr-FR" w:bidi="fr-FR"/>
        </w:rPr>
        <w:t>.</w:t>
      </w:r>
    </w:p>
    <w:p w14:paraId="58B73953" w14:textId="77777777" w:rsidR="0039793A" w:rsidRPr="00C30976" w:rsidRDefault="0039793A" w:rsidP="0039793A">
      <w:pPr>
        <w:spacing w:before="120" w:after="120"/>
        <w:jc w:val="both"/>
      </w:pPr>
      <w:r w:rsidRPr="00C30976">
        <w:rPr>
          <w:lang w:eastAsia="fr-FR" w:bidi="fr-FR"/>
        </w:rPr>
        <w:t>Il faut dire que le phénomène d’éloignement vis-à-vis des affaires internationales a été exacerbé lors de l’élection de ce 104</w:t>
      </w:r>
      <w:r w:rsidRPr="00C30976">
        <w:rPr>
          <w:vertAlign w:val="superscript"/>
          <w:lang w:eastAsia="fr-FR" w:bidi="fr-FR"/>
        </w:rPr>
        <w:t>e</w:t>
      </w:r>
      <w:r w:rsidRPr="00C30976">
        <w:rPr>
          <w:lang w:eastAsia="fr-FR" w:bidi="fr-FR"/>
        </w:rPr>
        <w:t xml:space="preserve"> Congrès en 1994, avec l’arrivée de la seconde </w:t>
      </w:r>
      <w:r w:rsidRPr="00C30976">
        <w:t>« </w:t>
      </w:r>
      <w:r w:rsidRPr="00C30976">
        <w:rPr>
          <w:lang w:eastAsia="fr-FR" w:bidi="fr-FR"/>
        </w:rPr>
        <w:t>révolution conservatrice</w:t>
      </w:r>
      <w:r>
        <w:rPr>
          <w:lang w:eastAsia="fr-FR" w:bidi="fr-FR"/>
        </w:rPr>
        <w:t> </w:t>
      </w:r>
      <w:r>
        <w:rPr>
          <w:rStyle w:val="Appelnotedebasdep"/>
          <w:lang w:eastAsia="fr-FR" w:bidi="fr-FR"/>
        </w:rPr>
        <w:footnoteReference w:id="547"/>
      </w:r>
      <w:r w:rsidRPr="00C30976">
        <w:t> » :</w:t>
      </w:r>
      <w:r w:rsidRPr="00C30976">
        <w:rPr>
          <w:lang w:eastAsia="fr-FR" w:bidi="fr-FR"/>
        </w:rPr>
        <w:t xml:space="preserve"> 73 des 87 nouveaux représentants élus étaient républicains, et plus de la moitié d’entre eux étaient âgés de moins de 45 ans (contre 17% des réélus). Ce qui comptait pour ces nouveaux parlementaires, c’était de s’attaquer au déficit budgétaire et à la bureaucratie fédérale</w:t>
      </w:r>
      <w:r w:rsidRPr="00C30976">
        <w:t> ;</w:t>
      </w:r>
      <w:r w:rsidRPr="00C30976">
        <w:rPr>
          <w:lang w:eastAsia="fr-FR" w:bidi="fr-FR"/>
        </w:rPr>
        <w:t xml:space="preserve"> l’importance qu’ils accordaient à la diplomatie était quasi nulle, et ce</w:t>
      </w:r>
      <w:r w:rsidRPr="00C30976">
        <w:rPr>
          <w:lang w:eastAsia="fr-FR" w:bidi="fr-FR"/>
        </w:rPr>
        <w:t>l</w:t>
      </w:r>
      <w:r w:rsidRPr="00C30976">
        <w:rPr>
          <w:lang w:eastAsia="fr-FR" w:bidi="fr-FR"/>
        </w:rPr>
        <w:t>le-ci était liée, dans leur esprit, à la prés</w:t>
      </w:r>
      <w:r w:rsidRPr="00C30976">
        <w:rPr>
          <w:lang w:eastAsia="fr-FR" w:bidi="fr-FR"/>
        </w:rPr>
        <w:t>i</w:t>
      </w:r>
      <w:r w:rsidRPr="00C30976">
        <w:rPr>
          <w:lang w:eastAsia="fr-FR" w:bidi="fr-FR"/>
        </w:rPr>
        <w:t>dence Clinton qu’il fallait combattre. Ce qui explique que le budget du Département d’</w:t>
      </w:r>
      <w:r>
        <w:rPr>
          <w:lang w:eastAsia="fr-FR" w:bidi="fr-FR"/>
        </w:rPr>
        <w:t>État</w:t>
      </w:r>
      <w:r w:rsidRPr="00C30976">
        <w:rPr>
          <w:lang w:eastAsia="fr-FR" w:bidi="fr-FR"/>
        </w:rPr>
        <w:t xml:space="preserve"> et de l’aide au développement, n</w:t>
      </w:r>
      <w:r w:rsidRPr="00C30976">
        <w:rPr>
          <w:lang w:eastAsia="fr-FR" w:bidi="fr-FR"/>
        </w:rPr>
        <w:t>o</w:t>
      </w:r>
      <w:r w:rsidRPr="00C30976">
        <w:rPr>
          <w:lang w:eastAsia="fr-FR" w:bidi="fr-FR"/>
        </w:rPr>
        <w:t>tamment, aient été les premières cibles de leurs coupes budgétaires, et qu’ils aient plus que jamais aliéné les a</w:t>
      </w:r>
      <w:r w:rsidRPr="00C30976">
        <w:rPr>
          <w:lang w:eastAsia="fr-FR" w:bidi="fr-FR"/>
        </w:rPr>
        <w:t>f</w:t>
      </w:r>
      <w:r w:rsidRPr="00C30976">
        <w:rPr>
          <w:lang w:eastAsia="fr-FR" w:bidi="fr-FR"/>
        </w:rPr>
        <w:t>faires étrangères à des considérations int</w:t>
      </w:r>
      <w:r w:rsidRPr="00C30976">
        <w:rPr>
          <w:lang w:eastAsia="fr-FR" w:bidi="fr-FR"/>
        </w:rPr>
        <w:t>é</w:t>
      </w:r>
      <w:r w:rsidRPr="00C30976">
        <w:rPr>
          <w:lang w:eastAsia="fr-FR" w:bidi="fr-FR"/>
        </w:rPr>
        <w:t>rieures, politiciennes ou idéologiques. Ce renouvellement, faisant suite à des guerres, appa</w:t>
      </w:r>
      <w:r w:rsidRPr="00C30976">
        <w:rPr>
          <w:lang w:eastAsia="fr-FR" w:bidi="fr-FR"/>
        </w:rPr>
        <w:t>r</w:t>
      </w:r>
      <w:r w:rsidRPr="00C30976">
        <w:rPr>
          <w:lang w:eastAsia="fr-FR" w:bidi="fr-FR"/>
        </w:rPr>
        <w:t>tient à la tradition, comme le fait remarquer Jeremy Rosner</w:t>
      </w:r>
      <w:r>
        <w:rPr>
          <w:lang w:eastAsia="fr-FR" w:bidi="fr-FR"/>
        </w:rPr>
        <w:t> </w:t>
      </w:r>
      <w:r>
        <w:rPr>
          <w:rStyle w:val="Appelnotedebasdep"/>
          <w:lang w:eastAsia="fr-FR" w:bidi="fr-FR"/>
        </w:rPr>
        <w:footnoteReference w:id="548"/>
      </w:r>
      <w:r w:rsidRPr="00C30976">
        <w:t> :</w:t>
      </w:r>
      <w:r>
        <w:rPr>
          <w:lang w:eastAsia="fr-FR" w:bidi="fr-FR"/>
        </w:rPr>
        <w:t xml:space="preserve"> ci</w:t>
      </w:r>
      <w:r>
        <w:rPr>
          <w:lang w:eastAsia="fr-FR" w:bidi="fr-FR"/>
        </w:rPr>
        <w:t>n</w:t>
      </w:r>
      <w:r w:rsidRPr="00C30976">
        <w:rPr>
          <w:lang w:eastAsia="fr-FR" w:bidi="fr-FR"/>
        </w:rPr>
        <w:t>quante</w:t>
      </w:r>
      <w:r>
        <w:t xml:space="preserve"> [273]</w:t>
      </w:r>
      <w:r w:rsidRPr="00C30976">
        <w:rPr>
          <w:lang w:eastAsia="fr-FR" w:bidi="fr-FR"/>
        </w:rPr>
        <w:t xml:space="preserve"> nouveaux membres sont entrés au Sénat et 353 no</w:t>
      </w:r>
      <w:r w:rsidRPr="00C30976">
        <w:rPr>
          <w:lang w:eastAsia="fr-FR" w:bidi="fr-FR"/>
        </w:rPr>
        <w:t>u</w:t>
      </w:r>
      <w:r w:rsidRPr="00C30976">
        <w:rPr>
          <w:lang w:eastAsia="fr-FR" w:bidi="fr-FR"/>
        </w:rPr>
        <w:t>veaux représentants à la Chambre au cours des cinq élections des a</w:t>
      </w:r>
      <w:r w:rsidRPr="00C30976">
        <w:rPr>
          <w:lang w:eastAsia="fr-FR" w:bidi="fr-FR"/>
        </w:rPr>
        <w:t>n</w:t>
      </w:r>
      <w:r w:rsidRPr="00C30976">
        <w:rPr>
          <w:lang w:eastAsia="fr-FR" w:bidi="fr-FR"/>
        </w:rPr>
        <w:t>nées 1990. Tout</w:t>
      </w:r>
      <w:r w:rsidRPr="00C30976">
        <w:rPr>
          <w:lang w:eastAsia="fr-FR" w:bidi="fr-FR"/>
        </w:rPr>
        <w:t>e</w:t>
      </w:r>
      <w:r w:rsidRPr="00C30976">
        <w:rPr>
          <w:lang w:eastAsia="fr-FR" w:bidi="fr-FR"/>
        </w:rPr>
        <w:t>fois, ce renouvellement a fait fondre une génération d’élus expérimentés, sensibilisés aux questions i</w:t>
      </w:r>
      <w:r w:rsidRPr="00C30976">
        <w:rPr>
          <w:lang w:eastAsia="fr-FR" w:bidi="fr-FR"/>
        </w:rPr>
        <w:t>n</w:t>
      </w:r>
      <w:r w:rsidRPr="00C30976">
        <w:rPr>
          <w:lang w:eastAsia="fr-FR" w:bidi="fr-FR"/>
        </w:rPr>
        <w:t>ternationales par la guerre froide, les crises qu’ils avaient vécues, le service militaire que la pl</w:t>
      </w:r>
      <w:r w:rsidRPr="00C30976">
        <w:rPr>
          <w:lang w:eastAsia="fr-FR" w:bidi="fr-FR"/>
        </w:rPr>
        <w:t>u</w:t>
      </w:r>
      <w:r w:rsidRPr="00C30976">
        <w:rPr>
          <w:lang w:eastAsia="fr-FR" w:bidi="fr-FR"/>
        </w:rPr>
        <w:t>part d’entre eux avaient dû faire, lequel, suspendu en 1973, n’a pas touché les nouveaux élus. Ainsi, à la Chambre des représentants, les anciens combattants étaient plus de 75</w:t>
      </w:r>
      <w:r>
        <w:rPr>
          <w:lang w:eastAsia="fr-FR" w:bidi="fr-FR"/>
        </w:rPr>
        <w:t>%</w:t>
      </w:r>
      <w:r w:rsidRPr="00C30976">
        <w:rPr>
          <w:lang w:eastAsia="fr-FR" w:bidi="fr-FR"/>
        </w:rPr>
        <w:t xml:space="preserve"> en 1971, tandis qu’ils n’en représentent plus que 25</w:t>
      </w:r>
      <w:r>
        <w:rPr>
          <w:lang w:eastAsia="fr-FR" w:bidi="fr-FR"/>
        </w:rPr>
        <w:t>%</w:t>
      </w:r>
      <w:r w:rsidRPr="00C30976">
        <w:rPr>
          <w:lang w:eastAsia="fr-FR" w:bidi="fr-FR"/>
        </w:rPr>
        <w:t xml:space="preserve"> à la fin des années 1990</w:t>
      </w:r>
      <w:r>
        <w:rPr>
          <w:lang w:eastAsia="fr-FR" w:bidi="fr-FR"/>
        </w:rPr>
        <w:t> </w:t>
      </w:r>
      <w:r>
        <w:rPr>
          <w:rStyle w:val="Appelnotedebasdep"/>
          <w:lang w:eastAsia="fr-FR" w:bidi="fr-FR"/>
        </w:rPr>
        <w:footnoteReference w:id="549"/>
      </w:r>
      <w:r>
        <w:rPr>
          <w:lang w:eastAsia="fr-FR" w:bidi="fr-FR"/>
        </w:rPr>
        <w:t>.</w:t>
      </w:r>
      <w:r w:rsidRPr="00C30976">
        <w:rPr>
          <w:lang w:eastAsia="fr-FR" w:bidi="fr-FR"/>
        </w:rPr>
        <w:t xml:space="preserve"> À des repo</w:t>
      </w:r>
      <w:r w:rsidRPr="00C30976">
        <w:rPr>
          <w:lang w:eastAsia="fr-FR" w:bidi="fr-FR"/>
        </w:rPr>
        <w:t>r</w:t>
      </w:r>
      <w:r w:rsidRPr="00C30976">
        <w:rPr>
          <w:lang w:eastAsia="fr-FR" w:bidi="fr-FR"/>
        </w:rPr>
        <w:t xml:space="preserve">ters qui, le questionnant sur son refus de débloquer des fonds pour le </w:t>
      </w:r>
      <w:r w:rsidRPr="00C30976">
        <w:t xml:space="preserve">FMI </w:t>
      </w:r>
      <w:r w:rsidRPr="00C30976">
        <w:rPr>
          <w:lang w:eastAsia="fr-FR" w:bidi="fr-FR"/>
        </w:rPr>
        <w:t>en 1998, s’étonnaient de son manque de connaissance des affa</w:t>
      </w:r>
      <w:r w:rsidRPr="00C30976">
        <w:rPr>
          <w:lang w:eastAsia="fr-FR" w:bidi="fr-FR"/>
        </w:rPr>
        <w:t>i</w:t>
      </w:r>
      <w:r w:rsidRPr="00C30976">
        <w:rPr>
          <w:lang w:eastAsia="fr-FR" w:bidi="fr-FR"/>
        </w:rPr>
        <w:t>res internationales et de ce qu’il n’ait jamais quitté les États-Unis d</w:t>
      </w:r>
      <w:r w:rsidRPr="00C30976">
        <w:rPr>
          <w:lang w:eastAsia="fr-FR" w:bidi="fr-FR"/>
        </w:rPr>
        <w:t>e</w:t>
      </w:r>
      <w:r w:rsidRPr="00C30976">
        <w:rPr>
          <w:lang w:eastAsia="fr-FR" w:bidi="fr-FR"/>
        </w:rPr>
        <w:t>puis sa première élection en 1986, Richard Armey, leader de la maj</w:t>
      </w:r>
      <w:r w:rsidRPr="00C30976">
        <w:rPr>
          <w:lang w:eastAsia="fr-FR" w:bidi="fr-FR"/>
        </w:rPr>
        <w:t>o</w:t>
      </w:r>
      <w:r w:rsidRPr="00C30976">
        <w:rPr>
          <w:lang w:eastAsia="fr-FR" w:bidi="fr-FR"/>
        </w:rPr>
        <w:t>rité r</w:t>
      </w:r>
      <w:r w:rsidRPr="00C30976">
        <w:rPr>
          <w:lang w:eastAsia="fr-FR" w:bidi="fr-FR"/>
        </w:rPr>
        <w:t>é</w:t>
      </w:r>
      <w:r w:rsidRPr="00C30976">
        <w:rPr>
          <w:lang w:eastAsia="fr-FR" w:bidi="fr-FR"/>
        </w:rPr>
        <w:t>publicaine à la Chambre, répondait</w:t>
      </w:r>
      <w:r w:rsidRPr="00C30976">
        <w:t> :</w:t>
      </w:r>
      <w:r w:rsidRPr="00C30976">
        <w:rPr>
          <w:lang w:eastAsia="fr-FR" w:bidi="fr-FR"/>
        </w:rPr>
        <w:t xml:space="preserve"> </w:t>
      </w:r>
      <w:r w:rsidRPr="00C30976">
        <w:t>« </w:t>
      </w:r>
      <w:r w:rsidRPr="00C30976">
        <w:rPr>
          <w:lang w:eastAsia="fr-FR" w:bidi="fr-FR"/>
        </w:rPr>
        <w:t>j’ai déjà été en Europe</w:t>
      </w:r>
      <w:r w:rsidRPr="00C30976">
        <w:t> :</w:t>
      </w:r>
      <w:r w:rsidRPr="00C30976">
        <w:rPr>
          <w:lang w:eastAsia="fr-FR" w:bidi="fr-FR"/>
        </w:rPr>
        <w:t xml:space="preserve"> je n’ai donc pas besoin d’y retourner</w:t>
      </w:r>
      <w:r w:rsidRPr="00C30976">
        <w:t> »</w:t>
      </w:r>
      <w:r w:rsidRPr="00C30976">
        <w:rPr>
          <w:lang w:eastAsia="fr-FR" w:bidi="fr-FR"/>
        </w:rPr>
        <w:t xml:space="preserve"> (ajoutant qu’il en allait de m</w:t>
      </w:r>
      <w:r w:rsidRPr="00C30976">
        <w:rPr>
          <w:lang w:eastAsia="fr-FR" w:bidi="fr-FR"/>
        </w:rPr>
        <w:t>ê</w:t>
      </w:r>
      <w:r w:rsidRPr="00C30976">
        <w:rPr>
          <w:lang w:eastAsia="fr-FR" w:bidi="fr-FR"/>
        </w:rPr>
        <w:t>me pour l’Asie)</w:t>
      </w:r>
      <w:r>
        <w:rPr>
          <w:lang w:eastAsia="fr-FR" w:bidi="fr-FR"/>
        </w:rPr>
        <w:t> </w:t>
      </w:r>
      <w:r>
        <w:rPr>
          <w:rStyle w:val="Appelnotedebasdep"/>
          <w:lang w:eastAsia="fr-FR" w:bidi="fr-FR"/>
        </w:rPr>
        <w:footnoteReference w:id="550"/>
      </w:r>
      <w:r w:rsidRPr="00C30976">
        <w:rPr>
          <w:lang w:eastAsia="fr-FR" w:bidi="fr-FR"/>
        </w:rPr>
        <w:t>.</w:t>
      </w:r>
    </w:p>
    <w:p w14:paraId="081F0849" w14:textId="77777777" w:rsidR="0039793A" w:rsidRPr="00C30976" w:rsidRDefault="0039793A" w:rsidP="0039793A">
      <w:pPr>
        <w:spacing w:before="120" w:after="120"/>
        <w:jc w:val="both"/>
      </w:pPr>
      <w:r w:rsidRPr="00C30976">
        <w:rPr>
          <w:lang w:eastAsia="fr-FR" w:bidi="fr-FR"/>
        </w:rPr>
        <w:t>L’intérêt des parlementaires pour la politique étrangère peut c</w:t>
      </w:r>
      <w:r w:rsidRPr="00C30976">
        <w:rPr>
          <w:lang w:eastAsia="fr-FR" w:bidi="fr-FR"/>
        </w:rPr>
        <w:t>e</w:t>
      </w:r>
      <w:r w:rsidRPr="00C30976">
        <w:rPr>
          <w:lang w:eastAsia="fr-FR" w:bidi="fr-FR"/>
        </w:rPr>
        <w:t>pendant provenir de préoccup</w:t>
      </w:r>
      <w:r w:rsidRPr="00C30976">
        <w:rPr>
          <w:lang w:eastAsia="fr-FR" w:bidi="fr-FR"/>
        </w:rPr>
        <w:t>a</w:t>
      </w:r>
      <w:r w:rsidRPr="00C30976">
        <w:rPr>
          <w:lang w:eastAsia="fr-FR" w:bidi="fr-FR"/>
        </w:rPr>
        <w:t xml:space="preserve">tions particulières de leur électorat ou des lobbies qui les soutiennent. </w:t>
      </w:r>
      <w:r>
        <w:rPr>
          <w:lang w:eastAsia="fr-FR" w:bidi="fr-FR"/>
        </w:rPr>
        <w:t>À</w:t>
      </w:r>
      <w:r w:rsidRPr="00C30976">
        <w:rPr>
          <w:lang w:eastAsia="fr-FR" w:bidi="fr-FR"/>
        </w:rPr>
        <w:t xml:space="preserve"> cet égard, le rassemblement d’élus des deux partis dans un </w:t>
      </w:r>
      <w:r w:rsidRPr="00C30976">
        <w:t>« </w:t>
      </w:r>
      <w:r w:rsidRPr="00C30976">
        <w:rPr>
          <w:lang w:eastAsia="fr-FR" w:bidi="fr-FR"/>
        </w:rPr>
        <w:t>caucus</w:t>
      </w:r>
      <w:r w:rsidRPr="00C30976">
        <w:t> »</w:t>
      </w:r>
      <w:r w:rsidRPr="00C30976">
        <w:rPr>
          <w:lang w:eastAsia="fr-FR" w:bidi="fr-FR"/>
        </w:rPr>
        <w:t xml:space="preserve"> (groupe de parlementaires part</w:t>
      </w:r>
      <w:r w:rsidRPr="00C30976">
        <w:rPr>
          <w:lang w:eastAsia="fr-FR" w:bidi="fr-FR"/>
        </w:rPr>
        <w:t>a</w:t>
      </w:r>
      <w:r w:rsidRPr="00C30976">
        <w:rPr>
          <w:lang w:eastAsia="fr-FR" w:bidi="fr-FR"/>
        </w:rPr>
        <w:t>geant un intérêt précis et généralement une approche particulière du dossier en question) permet parfois de susciter l’intérêt pour des pr</w:t>
      </w:r>
      <w:r w:rsidRPr="00C30976">
        <w:rPr>
          <w:lang w:eastAsia="fr-FR" w:bidi="fr-FR"/>
        </w:rPr>
        <w:t>o</w:t>
      </w:r>
      <w:r w:rsidRPr="00C30976">
        <w:rPr>
          <w:lang w:eastAsia="fr-FR" w:bidi="fr-FR"/>
        </w:rPr>
        <w:t>blèmes particuliers</w:t>
      </w:r>
      <w:r w:rsidRPr="00C30976">
        <w:t> :</w:t>
      </w:r>
      <w:r w:rsidRPr="00C30976">
        <w:rPr>
          <w:lang w:eastAsia="fr-FR" w:bidi="fr-FR"/>
        </w:rPr>
        <w:t xml:space="preserve"> ainsi les </w:t>
      </w:r>
      <w:r w:rsidRPr="00835740">
        <w:rPr>
          <w:i/>
          <w:iCs/>
        </w:rPr>
        <w:t>caucuses</w:t>
      </w:r>
      <w:r w:rsidRPr="00C30976">
        <w:rPr>
          <w:lang w:eastAsia="fr-FR" w:bidi="fr-FR"/>
        </w:rPr>
        <w:t xml:space="preserve"> ethniques (comme le </w:t>
      </w:r>
      <w:r w:rsidRPr="00835740">
        <w:rPr>
          <w:i/>
          <w:iCs/>
        </w:rPr>
        <w:t>Congre</w:t>
      </w:r>
      <w:r w:rsidRPr="00835740">
        <w:rPr>
          <w:i/>
          <w:iCs/>
        </w:rPr>
        <w:t>s</w:t>
      </w:r>
      <w:r w:rsidRPr="00835740">
        <w:rPr>
          <w:i/>
          <w:iCs/>
        </w:rPr>
        <w:t>sional Black Caucus</w:t>
      </w:r>
      <w:r w:rsidRPr="00C30976">
        <w:t>)</w:t>
      </w:r>
      <w:r w:rsidRPr="00C30976">
        <w:rPr>
          <w:lang w:eastAsia="fr-FR" w:bidi="fr-FR"/>
        </w:rPr>
        <w:t xml:space="preserve"> ou encore le caucus des droits de la pe</w:t>
      </w:r>
      <w:r w:rsidRPr="00C30976">
        <w:rPr>
          <w:lang w:eastAsia="fr-FR" w:bidi="fr-FR"/>
        </w:rPr>
        <w:t>r</w:t>
      </w:r>
      <w:r w:rsidRPr="00C30976">
        <w:rPr>
          <w:lang w:eastAsia="fr-FR" w:bidi="fr-FR"/>
        </w:rPr>
        <w:t>sonne et le caucus des questions spatiales peuvent disposer d’une influence p</w:t>
      </w:r>
      <w:r w:rsidRPr="00C30976">
        <w:rPr>
          <w:lang w:eastAsia="fr-FR" w:bidi="fr-FR"/>
        </w:rPr>
        <w:t>o</w:t>
      </w:r>
      <w:r w:rsidRPr="00C30976">
        <w:rPr>
          <w:lang w:eastAsia="fr-FR" w:bidi="fr-FR"/>
        </w:rPr>
        <w:t>litique forte, qui engendre une lecture plus responsable des questions i</w:t>
      </w:r>
      <w:r w:rsidRPr="00C30976">
        <w:rPr>
          <w:lang w:eastAsia="fr-FR" w:bidi="fr-FR"/>
        </w:rPr>
        <w:t>n</w:t>
      </w:r>
      <w:r w:rsidRPr="00C30976">
        <w:rPr>
          <w:lang w:eastAsia="fr-FR" w:bidi="fr-FR"/>
        </w:rPr>
        <w:t>ternationales. A moins, comme cela arrive souvent, que le prisme de ces dossiers particuliers ne soit exclusif et ne fausse la vision du mo</w:t>
      </w:r>
      <w:r w:rsidRPr="00C30976">
        <w:rPr>
          <w:lang w:eastAsia="fr-FR" w:bidi="fr-FR"/>
        </w:rPr>
        <w:t>n</w:t>
      </w:r>
      <w:r w:rsidRPr="00C30976">
        <w:rPr>
          <w:lang w:eastAsia="fr-FR" w:bidi="fr-FR"/>
        </w:rPr>
        <w:t>de extérieur qu’ont ces parlementaires</w:t>
      </w:r>
      <w:r w:rsidRPr="00C30976">
        <w:t> :</w:t>
      </w:r>
      <w:r w:rsidRPr="00C30976">
        <w:rPr>
          <w:lang w:eastAsia="fr-FR" w:bidi="fr-FR"/>
        </w:rPr>
        <w:t xml:space="preserve"> il n’est pas rare</w:t>
      </w:r>
      <w:r>
        <w:t xml:space="preserve"> [274] </w:t>
      </w:r>
      <w:r w:rsidRPr="00C30976">
        <w:rPr>
          <w:lang w:eastAsia="fr-FR" w:bidi="fr-FR"/>
        </w:rPr>
        <w:t>qu’un élu ou un groupe d’élus, souvent travaillé par un lobby, pèse de tout son poids en faveur, ou à l’encontre, d’une mesure, sans se soucier d’autres considérations internationales, quitte à menacer la crédibilité ou la cohérence de la diplomatie amér</w:t>
      </w:r>
      <w:r w:rsidRPr="00C30976">
        <w:rPr>
          <w:lang w:eastAsia="fr-FR" w:bidi="fr-FR"/>
        </w:rPr>
        <w:t>i</w:t>
      </w:r>
      <w:r w:rsidRPr="00C30976">
        <w:rPr>
          <w:lang w:eastAsia="fr-FR" w:bidi="fr-FR"/>
        </w:rPr>
        <w:t>caine.</w:t>
      </w:r>
    </w:p>
    <w:p w14:paraId="298D97E9" w14:textId="77777777" w:rsidR="0039793A" w:rsidRDefault="0039793A" w:rsidP="0039793A">
      <w:pPr>
        <w:spacing w:before="120" w:after="120"/>
        <w:jc w:val="both"/>
        <w:rPr>
          <w:lang w:eastAsia="fr-FR" w:bidi="fr-FR"/>
        </w:rPr>
      </w:pPr>
    </w:p>
    <w:p w14:paraId="380992BF" w14:textId="77777777" w:rsidR="0039793A" w:rsidRPr="00C30976" w:rsidRDefault="0039793A" w:rsidP="0039793A">
      <w:pPr>
        <w:pStyle w:val="a"/>
      </w:pPr>
      <w:r w:rsidRPr="00C30976">
        <w:t>L’incidence de l’organisation du travail au Congrès</w:t>
      </w:r>
    </w:p>
    <w:p w14:paraId="624F7FB4" w14:textId="77777777" w:rsidR="0039793A" w:rsidRDefault="0039793A" w:rsidP="0039793A">
      <w:pPr>
        <w:spacing w:before="120" w:after="120"/>
        <w:jc w:val="both"/>
        <w:rPr>
          <w:lang w:eastAsia="fr-FR" w:bidi="fr-FR"/>
        </w:rPr>
      </w:pPr>
    </w:p>
    <w:p w14:paraId="1EE2FFD3" w14:textId="77777777" w:rsidR="0039793A" w:rsidRPr="00C30976" w:rsidRDefault="0039793A" w:rsidP="0039793A">
      <w:pPr>
        <w:spacing w:before="120" w:after="120"/>
        <w:jc w:val="both"/>
      </w:pPr>
      <w:r w:rsidRPr="00C30976">
        <w:rPr>
          <w:lang w:eastAsia="fr-FR" w:bidi="fr-FR"/>
        </w:rPr>
        <w:t>Pour comprendre ce phénomène, il faut analyser l’organisation du pouvoir dans les deux assemblées et son évolution récente. Deux pri</w:t>
      </w:r>
      <w:r w:rsidRPr="00C30976">
        <w:rPr>
          <w:lang w:eastAsia="fr-FR" w:bidi="fr-FR"/>
        </w:rPr>
        <w:t>n</w:t>
      </w:r>
      <w:r w:rsidRPr="00C30976">
        <w:rPr>
          <w:lang w:eastAsia="fr-FR" w:bidi="fr-FR"/>
        </w:rPr>
        <w:t>cipes s’affrontent ici, qui posent deux séries de probl</w:t>
      </w:r>
      <w:r w:rsidRPr="00C30976">
        <w:rPr>
          <w:lang w:eastAsia="fr-FR" w:bidi="fr-FR"/>
        </w:rPr>
        <w:t>è</w:t>
      </w:r>
      <w:r w:rsidRPr="00C30976">
        <w:rPr>
          <w:lang w:eastAsia="fr-FR" w:bidi="fr-FR"/>
        </w:rPr>
        <w:t>mes distincts en matière de politique étrangère</w:t>
      </w:r>
      <w:r w:rsidRPr="00C30976">
        <w:t> :</w:t>
      </w:r>
      <w:r w:rsidRPr="00C30976">
        <w:rPr>
          <w:lang w:eastAsia="fr-FR" w:bidi="fr-FR"/>
        </w:rPr>
        <w:t xml:space="preserve"> la diffusion du pouvoir et l’esprit pa</w:t>
      </w:r>
      <w:r w:rsidRPr="00C30976">
        <w:rPr>
          <w:lang w:eastAsia="fr-FR" w:bidi="fr-FR"/>
        </w:rPr>
        <w:t>r</w:t>
      </w:r>
      <w:r w:rsidRPr="00C30976">
        <w:rPr>
          <w:lang w:eastAsia="fr-FR" w:bidi="fr-FR"/>
        </w:rPr>
        <w:t>tisan.</w:t>
      </w:r>
    </w:p>
    <w:p w14:paraId="057CF68E" w14:textId="77777777" w:rsidR="0039793A" w:rsidRPr="00C30976" w:rsidRDefault="0039793A" w:rsidP="0039793A">
      <w:pPr>
        <w:spacing w:before="120" w:after="120"/>
        <w:jc w:val="both"/>
      </w:pPr>
      <w:r w:rsidRPr="00C30976">
        <w:rPr>
          <w:lang w:eastAsia="fr-FR" w:bidi="fr-FR"/>
        </w:rPr>
        <w:t>Le caractère très local des élections, incomparablement plus pr</w:t>
      </w:r>
      <w:r w:rsidRPr="00C30976">
        <w:rPr>
          <w:lang w:eastAsia="fr-FR" w:bidi="fr-FR"/>
        </w:rPr>
        <w:t>o</w:t>
      </w:r>
      <w:r w:rsidRPr="00C30976">
        <w:rPr>
          <w:lang w:eastAsia="fr-FR" w:bidi="fr-FR"/>
        </w:rPr>
        <w:t>noncé que dans les autres systèmes parlementaires, amène une attitude bien plus indépendante des élus au Congrès</w:t>
      </w:r>
      <w:r w:rsidRPr="00C30976">
        <w:t> :</w:t>
      </w:r>
      <w:r w:rsidRPr="00C30976">
        <w:rPr>
          <w:lang w:eastAsia="fr-FR" w:bidi="fr-FR"/>
        </w:rPr>
        <w:t xml:space="preserve"> puisqu’ils ne répo</w:t>
      </w:r>
      <w:r w:rsidRPr="00C30976">
        <w:rPr>
          <w:lang w:eastAsia="fr-FR" w:bidi="fr-FR"/>
        </w:rPr>
        <w:t>n</w:t>
      </w:r>
      <w:r w:rsidRPr="00C30976">
        <w:rPr>
          <w:lang w:eastAsia="fr-FR" w:bidi="fr-FR"/>
        </w:rPr>
        <w:t>dent qu’à leurs électeurs, mieux vaut pour les élus braver les consignes de leur parti — qui souvent ne leur apporte que peu de ressources fina</w:t>
      </w:r>
      <w:r w:rsidRPr="00C30976">
        <w:rPr>
          <w:lang w:eastAsia="fr-FR" w:bidi="fr-FR"/>
        </w:rPr>
        <w:t>n</w:t>
      </w:r>
      <w:r w:rsidRPr="00C30976">
        <w:rPr>
          <w:lang w:eastAsia="fr-FR" w:bidi="fr-FR"/>
        </w:rPr>
        <w:t>cières et logistiques lors des campagnes électorales — que l’opinion de leur circonscription ou de leurs bai</w:t>
      </w:r>
      <w:r w:rsidRPr="00C30976">
        <w:rPr>
          <w:lang w:eastAsia="fr-FR" w:bidi="fr-FR"/>
        </w:rPr>
        <w:t>l</w:t>
      </w:r>
      <w:r w:rsidRPr="00C30976">
        <w:rPr>
          <w:lang w:eastAsia="fr-FR" w:bidi="fr-FR"/>
        </w:rPr>
        <w:t xml:space="preserve">leurs de fonds privés. L’exemple le plus manifeste en est le </w:t>
      </w:r>
      <w:r w:rsidRPr="002633C0">
        <w:rPr>
          <w:i/>
          <w:iCs/>
        </w:rPr>
        <w:t>pork-barrel spending</w:t>
      </w:r>
      <w:r w:rsidRPr="00C30976">
        <w:t> :</w:t>
      </w:r>
      <w:r w:rsidRPr="00C30976">
        <w:rPr>
          <w:lang w:eastAsia="fr-FR" w:bidi="fr-FR"/>
        </w:rPr>
        <w:t xml:space="preserve"> il s’agit de dépenses </w:t>
      </w:r>
      <w:r w:rsidRPr="00C30976">
        <w:t>« </w:t>
      </w:r>
      <w:r w:rsidRPr="00C30976">
        <w:rPr>
          <w:lang w:eastAsia="fr-FR" w:bidi="fr-FR"/>
        </w:rPr>
        <w:t>électoralistes</w:t>
      </w:r>
      <w:r>
        <w:rPr>
          <w:lang w:eastAsia="fr-FR" w:bidi="fr-FR"/>
        </w:rPr>
        <w:t> </w:t>
      </w:r>
      <w:r>
        <w:rPr>
          <w:rStyle w:val="Appelnotedebasdep"/>
          <w:lang w:eastAsia="fr-FR" w:bidi="fr-FR"/>
        </w:rPr>
        <w:footnoteReference w:id="551"/>
      </w:r>
      <w:r w:rsidRPr="00C30976">
        <w:t> »</w:t>
      </w:r>
      <w:r w:rsidRPr="00C30976">
        <w:rPr>
          <w:lang w:eastAsia="fr-FR" w:bidi="fr-FR"/>
        </w:rPr>
        <w:t xml:space="preserve"> bénéficiant à une circonscription do</w:t>
      </w:r>
      <w:r w:rsidRPr="00C30976">
        <w:rPr>
          <w:lang w:eastAsia="fr-FR" w:bidi="fr-FR"/>
        </w:rPr>
        <w:t>n</w:t>
      </w:r>
      <w:r w:rsidRPr="00C30976">
        <w:rPr>
          <w:lang w:eastAsia="fr-FR" w:bidi="fr-FR"/>
        </w:rPr>
        <w:t xml:space="preserve">née où l’on veut influencer le cours des élections. Elles prennent souvent la forme d’amendements - des cavaliers législatifs, </w:t>
      </w:r>
      <w:r w:rsidRPr="002633C0">
        <w:rPr>
          <w:i/>
          <w:iCs/>
        </w:rPr>
        <w:t>riders</w:t>
      </w:r>
      <w:r w:rsidRPr="00C30976">
        <w:rPr>
          <w:lang w:eastAsia="fr-FR" w:bidi="fr-FR"/>
        </w:rPr>
        <w:t xml:space="preserve"> - attachés à de grands projets de loi et sont parfois obtenues par ma</w:t>
      </w:r>
      <w:r w:rsidRPr="00C30976">
        <w:rPr>
          <w:lang w:eastAsia="fr-FR" w:bidi="fr-FR"/>
        </w:rPr>
        <w:t>r</w:t>
      </w:r>
      <w:r w:rsidRPr="00C30976">
        <w:rPr>
          <w:lang w:eastAsia="fr-FR" w:bidi="fr-FR"/>
        </w:rPr>
        <w:t>cha</w:t>
      </w:r>
      <w:r w:rsidRPr="00C30976">
        <w:rPr>
          <w:lang w:eastAsia="fr-FR" w:bidi="fr-FR"/>
        </w:rPr>
        <w:t>n</w:t>
      </w:r>
      <w:r w:rsidRPr="00C30976">
        <w:rPr>
          <w:lang w:eastAsia="fr-FR" w:bidi="fr-FR"/>
        </w:rPr>
        <w:t>dage sur d’autres décisions où un soutien est nécessaire. Il faut dire que la répart</w:t>
      </w:r>
      <w:r w:rsidRPr="00C30976">
        <w:rPr>
          <w:lang w:eastAsia="fr-FR" w:bidi="fr-FR"/>
        </w:rPr>
        <w:t>i</w:t>
      </w:r>
      <w:r w:rsidRPr="00C30976">
        <w:rPr>
          <w:lang w:eastAsia="fr-FR" w:bidi="fr-FR"/>
        </w:rPr>
        <w:t xml:space="preserve">tion du travail législatif confère à presque tous les élus, notamment aux sénateurs, sinon un pouvoir significatif, du moins un pouvoir de blocage dont ils savent user. Ainsi en est-il de l’interdiction faite à </w:t>
      </w:r>
      <w:r>
        <w:rPr>
          <w:lang w:eastAsia="fr-FR" w:bidi="fr-FR"/>
        </w:rPr>
        <w:t>l’</w:t>
      </w:r>
      <w:r w:rsidRPr="003314EE">
        <w:rPr>
          <w:caps/>
        </w:rPr>
        <w:t>usaid</w:t>
      </w:r>
      <w:r w:rsidRPr="00C30976">
        <w:rPr>
          <w:rStyle w:val="Corpsdutexte285ptPetitesmajuscules"/>
        </w:rPr>
        <w:t xml:space="preserve"> </w:t>
      </w:r>
      <w:r w:rsidRPr="00C30976">
        <w:rPr>
          <w:lang w:eastAsia="fr-FR" w:bidi="fr-FR"/>
        </w:rPr>
        <w:t>de participer à la reconstruction d’habitations en Bosnie-Herzégovine</w:t>
      </w:r>
      <w:r w:rsidRPr="00C30976">
        <w:t> :</w:t>
      </w:r>
      <w:r w:rsidRPr="00C30976">
        <w:rPr>
          <w:lang w:eastAsia="fr-FR" w:bidi="fr-FR"/>
        </w:rPr>
        <w:t xml:space="preserve"> elle faisait suite au vote d’un amendement proposé par Robert Livingston qui craignait que cette participation puisse lui être reprochée par les associations de sans- abri dans son État de Louisiane. L’incidence des considérations éle</w:t>
      </w:r>
      <w:r w:rsidRPr="00C30976">
        <w:rPr>
          <w:lang w:eastAsia="fr-FR" w:bidi="fr-FR"/>
        </w:rPr>
        <w:t>c</w:t>
      </w:r>
      <w:r w:rsidRPr="00C30976">
        <w:rPr>
          <w:lang w:eastAsia="fr-FR" w:bidi="fr-FR"/>
        </w:rPr>
        <w:t>torales apparemment trivi</w:t>
      </w:r>
      <w:r w:rsidRPr="00C30976">
        <w:rPr>
          <w:lang w:eastAsia="fr-FR" w:bidi="fr-FR"/>
        </w:rPr>
        <w:t>a</w:t>
      </w:r>
      <w:r w:rsidRPr="00C30976">
        <w:rPr>
          <w:lang w:eastAsia="fr-FR" w:bidi="fr-FR"/>
        </w:rPr>
        <w:t>les de certains élus sur l’action extérieure des États-Unis est parfois mal ressentie à l’étranger.</w:t>
      </w:r>
    </w:p>
    <w:p w14:paraId="260B6234" w14:textId="77777777" w:rsidR="0039793A" w:rsidRDefault="0039793A" w:rsidP="0039793A">
      <w:pPr>
        <w:spacing w:before="120" w:after="120"/>
        <w:jc w:val="both"/>
      </w:pPr>
    </w:p>
    <w:p w14:paraId="1DC33CB6" w14:textId="77777777" w:rsidR="0039793A" w:rsidRPr="00C30976" w:rsidRDefault="0039793A" w:rsidP="0039793A">
      <w:pPr>
        <w:spacing w:before="120" w:after="120"/>
        <w:jc w:val="both"/>
      </w:pPr>
      <w:r>
        <w:t>[275]</w:t>
      </w:r>
    </w:p>
    <w:p w14:paraId="65FCC118" w14:textId="77777777" w:rsidR="0039793A" w:rsidRPr="00C30976" w:rsidRDefault="0039793A" w:rsidP="0039793A">
      <w:pPr>
        <w:spacing w:before="120" w:after="120"/>
        <w:jc w:val="both"/>
      </w:pPr>
      <w:r w:rsidRPr="00C30976">
        <w:rPr>
          <w:lang w:eastAsia="fr-FR" w:bidi="fr-FR"/>
        </w:rPr>
        <w:t>Cette diffusion du pouvoir au Congrès remonte au début des a</w:t>
      </w:r>
      <w:r w:rsidRPr="00C30976">
        <w:rPr>
          <w:lang w:eastAsia="fr-FR" w:bidi="fr-FR"/>
        </w:rPr>
        <w:t>n</w:t>
      </w:r>
      <w:r w:rsidRPr="00C30976">
        <w:rPr>
          <w:lang w:eastAsia="fr-FR" w:bidi="fr-FR"/>
        </w:rPr>
        <w:t>nées 1970, lorsque diverses mesures de réorganisation interne ont a</w:t>
      </w:r>
      <w:r w:rsidRPr="00C30976">
        <w:rPr>
          <w:lang w:eastAsia="fr-FR" w:bidi="fr-FR"/>
        </w:rPr>
        <w:t>f</w:t>
      </w:r>
      <w:r w:rsidRPr="00C30976">
        <w:rPr>
          <w:lang w:eastAsia="fr-FR" w:bidi="fr-FR"/>
        </w:rPr>
        <w:t>faibli l’autorité des grandes commissions traditionnelles et de leurs pr</w:t>
      </w:r>
      <w:r w:rsidRPr="00C30976">
        <w:rPr>
          <w:lang w:eastAsia="fr-FR" w:bidi="fr-FR"/>
        </w:rPr>
        <w:t>é</w:t>
      </w:r>
      <w:r w:rsidRPr="00C30976">
        <w:rPr>
          <w:lang w:eastAsia="fr-FR" w:bidi="fr-FR"/>
        </w:rPr>
        <w:t>sidents qui bénéficiaient systématiquement de la règle d’ancienneté. Auparavant, l’Administration pouvait négocier avec ces quelques présidents tout-puissants, notamment celui de la commission des Relations extérieures du Sénat, en étant sûre que les votes su</w:t>
      </w:r>
      <w:r w:rsidRPr="00C30976">
        <w:rPr>
          <w:lang w:eastAsia="fr-FR" w:bidi="fr-FR"/>
        </w:rPr>
        <w:t>i</w:t>
      </w:r>
      <w:r w:rsidRPr="00C30976">
        <w:rPr>
          <w:lang w:eastAsia="fr-FR" w:bidi="fr-FR"/>
        </w:rPr>
        <w:t>vraient. À présent, le nombre d’interlocuteurs a grimpé en flèche, et cette dém</w:t>
      </w:r>
      <w:r w:rsidRPr="00C30976">
        <w:rPr>
          <w:lang w:eastAsia="fr-FR" w:bidi="fr-FR"/>
        </w:rPr>
        <w:t>o</w:t>
      </w:r>
      <w:r w:rsidRPr="00C30976">
        <w:rPr>
          <w:lang w:eastAsia="fr-FR" w:bidi="fr-FR"/>
        </w:rPr>
        <w:t>cratisation a rendu le processus de négociation bien plus complexe, de même qu’il a multiplié les occ</w:t>
      </w:r>
      <w:r w:rsidRPr="00C30976">
        <w:rPr>
          <w:lang w:eastAsia="fr-FR" w:bidi="fr-FR"/>
        </w:rPr>
        <w:t>a</w:t>
      </w:r>
      <w:r w:rsidRPr="00C30976">
        <w:rPr>
          <w:lang w:eastAsia="fr-FR" w:bidi="fr-FR"/>
        </w:rPr>
        <w:t>sions d’influence pour les lobbies. L’essentiel du travail du Congrès continue à se faire en commi</w:t>
      </w:r>
      <w:r w:rsidRPr="00C30976">
        <w:rPr>
          <w:lang w:eastAsia="fr-FR" w:bidi="fr-FR"/>
        </w:rPr>
        <w:t>s</w:t>
      </w:r>
      <w:r w:rsidRPr="00C30976">
        <w:rPr>
          <w:lang w:eastAsia="fr-FR" w:bidi="fr-FR"/>
        </w:rPr>
        <w:t>sion, pour les affaires étrangères. Pas moins de 15 voire 16 des 20 commissions permanentes et 37 sous-commissions ont leur mot à dire, selon les dossiers, à la Chambre</w:t>
      </w:r>
      <w:r w:rsidRPr="00C30976">
        <w:t> ;</w:t>
      </w:r>
      <w:r w:rsidRPr="00C30976">
        <w:rPr>
          <w:lang w:eastAsia="fr-FR" w:bidi="fr-FR"/>
        </w:rPr>
        <w:t xml:space="preserve"> il en va de même pour 11 des 20 commissions permanentes et 34 sous-commissions au S</w:t>
      </w:r>
      <w:r w:rsidRPr="00C30976">
        <w:rPr>
          <w:lang w:eastAsia="fr-FR" w:bidi="fr-FR"/>
        </w:rPr>
        <w:t>é</w:t>
      </w:r>
      <w:r w:rsidRPr="00C30976">
        <w:rPr>
          <w:lang w:eastAsia="fr-FR" w:bidi="fr-FR"/>
        </w:rPr>
        <w:t>nat</w:t>
      </w:r>
      <w:r>
        <w:rPr>
          <w:lang w:eastAsia="fr-FR" w:bidi="fr-FR"/>
        </w:rPr>
        <w:t> </w:t>
      </w:r>
      <w:r>
        <w:rPr>
          <w:rStyle w:val="Appelnotedebasdep"/>
          <w:lang w:eastAsia="fr-FR" w:bidi="fr-FR"/>
        </w:rPr>
        <w:footnoteReference w:id="552"/>
      </w:r>
      <w:r w:rsidRPr="00C30976">
        <w:rPr>
          <w:lang w:eastAsia="fr-FR" w:bidi="fr-FR"/>
        </w:rPr>
        <w:t>. Bien sûr, certaines sont plus importantes que d’autres. La commission des Relations extérieures du Sénat et la commission des Relations internationales</w:t>
      </w:r>
      <w:r>
        <w:rPr>
          <w:lang w:eastAsia="fr-FR" w:bidi="fr-FR"/>
        </w:rPr>
        <w:t> </w:t>
      </w:r>
      <w:r>
        <w:rPr>
          <w:rStyle w:val="Appelnotedebasdep"/>
          <w:lang w:eastAsia="fr-FR" w:bidi="fr-FR"/>
        </w:rPr>
        <w:footnoteReference w:id="553"/>
      </w:r>
      <w:r w:rsidRPr="00C30976">
        <w:rPr>
          <w:lang w:eastAsia="fr-FR" w:bidi="fr-FR"/>
        </w:rPr>
        <w:t xml:space="preserve"> de la Chambre ont connu un certain d</w:t>
      </w:r>
      <w:r w:rsidRPr="00C30976">
        <w:rPr>
          <w:lang w:eastAsia="fr-FR" w:bidi="fr-FR"/>
        </w:rPr>
        <w:t>é</w:t>
      </w:r>
      <w:r w:rsidRPr="00C30976">
        <w:rPr>
          <w:lang w:eastAsia="fr-FR" w:bidi="fr-FR"/>
        </w:rPr>
        <w:t>clin au cours des dernières années, tandis que la commission des Fo</w:t>
      </w:r>
      <w:r w:rsidRPr="00C30976">
        <w:rPr>
          <w:lang w:eastAsia="fr-FR" w:bidi="fr-FR"/>
        </w:rPr>
        <w:t>r</w:t>
      </w:r>
      <w:r w:rsidRPr="00C30976">
        <w:rPr>
          <w:lang w:eastAsia="fr-FR" w:bidi="fr-FR"/>
        </w:rPr>
        <w:t>ces armées du Sénat et celle sur la Sécurité nationale</w:t>
      </w:r>
      <w:r>
        <w:rPr>
          <w:lang w:eastAsia="fr-FR" w:bidi="fr-FR"/>
        </w:rPr>
        <w:t> </w:t>
      </w:r>
      <w:r>
        <w:rPr>
          <w:rStyle w:val="Appelnotedebasdep"/>
          <w:lang w:eastAsia="fr-FR" w:bidi="fr-FR"/>
        </w:rPr>
        <w:footnoteReference w:id="554"/>
      </w:r>
      <w:r w:rsidRPr="00C30976">
        <w:rPr>
          <w:lang w:eastAsia="fr-FR" w:bidi="fr-FR"/>
        </w:rPr>
        <w:t xml:space="preserve"> de la Cha</w:t>
      </w:r>
      <w:r w:rsidRPr="00C30976">
        <w:rPr>
          <w:lang w:eastAsia="fr-FR" w:bidi="fr-FR"/>
        </w:rPr>
        <w:t>m</w:t>
      </w:r>
      <w:r w:rsidRPr="00C30976">
        <w:rPr>
          <w:lang w:eastAsia="fr-FR" w:bidi="fr-FR"/>
        </w:rPr>
        <w:t>bre ont gagné en i</w:t>
      </w:r>
      <w:r w:rsidRPr="00C30976">
        <w:rPr>
          <w:lang w:eastAsia="fr-FR" w:bidi="fr-FR"/>
        </w:rPr>
        <w:t>m</w:t>
      </w:r>
      <w:r w:rsidRPr="00C30976">
        <w:rPr>
          <w:lang w:eastAsia="fr-FR" w:bidi="fr-FR"/>
        </w:rPr>
        <w:t>portance (parallèlement d’ailleurs à l’ascension du Pentagone dans l'Exéc</w:t>
      </w:r>
      <w:r w:rsidRPr="00C30976">
        <w:rPr>
          <w:lang w:eastAsia="fr-FR" w:bidi="fr-FR"/>
        </w:rPr>
        <w:t>u</w:t>
      </w:r>
      <w:r w:rsidRPr="00C30976">
        <w:rPr>
          <w:lang w:eastAsia="fr-FR" w:bidi="fr-FR"/>
        </w:rPr>
        <w:t>tif)</w:t>
      </w:r>
      <w:r>
        <w:rPr>
          <w:lang w:eastAsia="fr-FR" w:bidi="fr-FR"/>
        </w:rPr>
        <w:t>.</w:t>
      </w:r>
    </w:p>
    <w:p w14:paraId="2C88B1A7" w14:textId="77777777" w:rsidR="0039793A" w:rsidRPr="00C30976" w:rsidRDefault="0039793A" w:rsidP="0039793A">
      <w:pPr>
        <w:spacing w:before="120" w:after="120"/>
        <w:jc w:val="both"/>
      </w:pPr>
      <w:r w:rsidRPr="00C30976">
        <w:rPr>
          <w:lang w:eastAsia="fr-FR" w:bidi="fr-FR"/>
        </w:rPr>
        <w:t>Toutefois, le grand changement provient des commissions des A</w:t>
      </w:r>
      <w:r w:rsidRPr="00C30976">
        <w:rPr>
          <w:lang w:eastAsia="fr-FR" w:bidi="fr-FR"/>
        </w:rPr>
        <w:t>p</w:t>
      </w:r>
      <w:r w:rsidRPr="00C30976">
        <w:rPr>
          <w:lang w:eastAsia="fr-FR" w:bidi="fr-FR"/>
        </w:rPr>
        <w:t>propriations dans chaque Chambre et de leurs sous- commissions sp</w:t>
      </w:r>
      <w:r w:rsidRPr="00C30976">
        <w:rPr>
          <w:lang w:eastAsia="fr-FR" w:bidi="fr-FR"/>
        </w:rPr>
        <w:t>é</w:t>
      </w:r>
      <w:r w:rsidRPr="00C30976">
        <w:rPr>
          <w:lang w:eastAsia="fr-FR" w:bidi="fr-FR"/>
        </w:rPr>
        <w:t>cialisées dans les Affaires étrangères et militaires qui se sont imposées comme des interlocuteurs incontourn</w:t>
      </w:r>
      <w:r w:rsidRPr="00C30976">
        <w:rPr>
          <w:lang w:eastAsia="fr-FR" w:bidi="fr-FR"/>
        </w:rPr>
        <w:t>a</w:t>
      </w:r>
      <w:r w:rsidRPr="00C30976">
        <w:rPr>
          <w:lang w:eastAsia="fr-FR" w:bidi="fr-FR"/>
        </w:rPr>
        <w:t>bles. Cela s’explique à la fois par les blocages persistants observés dans les deux grandes commi</w:t>
      </w:r>
      <w:r w:rsidRPr="00C30976">
        <w:rPr>
          <w:lang w:eastAsia="fr-FR" w:bidi="fr-FR"/>
        </w:rPr>
        <w:t>s</w:t>
      </w:r>
      <w:r w:rsidRPr="00C30976">
        <w:rPr>
          <w:lang w:eastAsia="fr-FR" w:bidi="fr-FR"/>
        </w:rPr>
        <w:t>sions chargées des affaires étrangères, et par le pouvoir d’autoriser ou non les dépenses que détie</w:t>
      </w:r>
      <w:r w:rsidRPr="00C30976">
        <w:rPr>
          <w:lang w:eastAsia="fr-FR" w:bidi="fr-FR"/>
        </w:rPr>
        <w:t>n</w:t>
      </w:r>
      <w:r w:rsidRPr="00C30976">
        <w:rPr>
          <w:lang w:eastAsia="fr-FR" w:bidi="fr-FR"/>
        </w:rPr>
        <w:t>nent les commissions des Appropriations. D’un point de vue bureaucratique, leur fonctionnement est aussi plus efficace</w:t>
      </w:r>
      <w:r w:rsidRPr="00C30976">
        <w:t> :</w:t>
      </w:r>
      <w:r w:rsidRPr="00C30976">
        <w:rPr>
          <w:lang w:eastAsia="fr-FR" w:bidi="fr-FR"/>
        </w:rPr>
        <w:t xml:space="preserve"> ainsi la sous-commission des Appropriations pour les affa</w:t>
      </w:r>
      <w:r w:rsidRPr="00C30976">
        <w:rPr>
          <w:lang w:eastAsia="fr-FR" w:bidi="fr-FR"/>
        </w:rPr>
        <w:t>i</w:t>
      </w:r>
      <w:r w:rsidRPr="00C30976">
        <w:rPr>
          <w:lang w:eastAsia="fr-FR" w:bidi="fr-FR"/>
        </w:rPr>
        <w:t>res étrangères ne compte que cinq assistants (</w:t>
      </w:r>
      <w:r w:rsidRPr="0061267F">
        <w:rPr>
          <w:i/>
          <w:iCs/>
        </w:rPr>
        <w:t>staffers</w:t>
      </w:r>
      <w:r w:rsidRPr="00C30976">
        <w:rPr>
          <w:lang w:eastAsia="fr-FR" w:bidi="fr-FR"/>
        </w:rPr>
        <w:t>), qui finalement peuvent peser davantage que les seize assistants de la commission</w:t>
      </w:r>
      <w:r>
        <w:t xml:space="preserve"> [276] </w:t>
      </w:r>
      <w:r w:rsidRPr="00C30976">
        <w:rPr>
          <w:lang w:eastAsia="fr-FR" w:bidi="fr-FR"/>
        </w:rPr>
        <w:t>des Relations internationales. D’autant qu’il est plus facile, pour l’Administration et les autres élus, de négocier avec des parlementa</w:t>
      </w:r>
      <w:r w:rsidRPr="00C30976">
        <w:rPr>
          <w:lang w:eastAsia="fr-FR" w:bidi="fr-FR"/>
        </w:rPr>
        <w:t>i</w:t>
      </w:r>
      <w:r w:rsidRPr="00C30976">
        <w:rPr>
          <w:lang w:eastAsia="fr-FR" w:bidi="fr-FR"/>
        </w:rPr>
        <w:t>res qui autorisent d’autres dépenses que celles des seules affaires étrangères</w:t>
      </w:r>
      <w:r w:rsidRPr="00C30976">
        <w:t> :</w:t>
      </w:r>
      <w:r w:rsidRPr="00C30976">
        <w:rPr>
          <w:lang w:eastAsia="fr-FR" w:bidi="fr-FR"/>
        </w:rPr>
        <w:t xml:space="preserve"> il est en effet possible de négocier sur une plus grande échelle. Un exemple parmi de nombreux autres permet d’éclairer ce pouvoir de certains élus au Congrès et leur individualisme</w:t>
      </w:r>
      <w:r w:rsidRPr="00C30976">
        <w:t> :</w:t>
      </w:r>
      <w:r w:rsidRPr="00C30976">
        <w:rPr>
          <w:lang w:eastAsia="fr-FR" w:bidi="fr-FR"/>
        </w:rPr>
        <w:t xml:space="preserve"> Judd Gregg (républicain du New Hampshire) est président d’une sous-commission des Appropriations du Sénat chargée notamment des a</w:t>
      </w:r>
      <w:r w:rsidRPr="00C30976">
        <w:rPr>
          <w:lang w:eastAsia="fr-FR" w:bidi="fr-FR"/>
        </w:rPr>
        <w:t>f</w:t>
      </w:r>
      <w:r w:rsidRPr="00C30976">
        <w:rPr>
          <w:lang w:eastAsia="fr-FR" w:bidi="fr-FR"/>
        </w:rPr>
        <w:t>faires étrangères (</w:t>
      </w:r>
      <w:r w:rsidRPr="0061267F">
        <w:rPr>
          <w:i/>
          <w:iCs/>
        </w:rPr>
        <w:t>Commerce, Justice, State, and</w:t>
      </w:r>
      <w:r>
        <w:rPr>
          <w:i/>
          <w:iCs/>
        </w:rPr>
        <w:t xml:space="preserve"> </w:t>
      </w:r>
      <w:r w:rsidRPr="0061267F">
        <w:rPr>
          <w:i/>
          <w:iCs/>
        </w:rPr>
        <w:t>Jud</w:t>
      </w:r>
      <w:r>
        <w:rPr>
          <w:i/>
          <w:iCs/>
        </w:rPr>
        <w:t>i</w:t>
      </w:r>
      <w:r w:rsidRPr="0061267F">
        <w:rPr>
          <w:i/>
          <w:iCs/>
        </w:rPr>
        <w:t>ciary</w:t>
      </w:r>
      <w:r w:rsidRPr="00C30976">
        <w:rPr>
          <w:lang w:eastAsia="fr-FR" w:bidi="fr-FR"/>
        </w:rPr>
        <w:t>) lors du 106</w:t>
      </w:r>
      <w:r w:rsidRPr="00C30976">
        <w:rPr>
          <w:vertAlign w:val="superscript"/>
          <w:lang w:eastAsia="fr-FR" w:bidi="fr-FR"/>
        </w:rPr>
        <w:t>e</w:t>
      </w:r>
      <w:r w:rsidRPr="00C30976">
        <w:rPr>
          <w:lang w:eastAsia="fr-FR" w:bidi="fr-FR"/>
        </w:rPr>
        <w:t xml:space="preserve"> et du 107</w:t>
      </w:r>
      <w:r w:rsidRPr="00C30976">
        <w:rPr>
          <w:vertAlign w:val="superscript"/>
          <w:lang w:eastAsia="fr-FR" w:bidi="fr-FR"/>
        </w:rPr>
        <w:t>e</w:t>
      </w:r>
      <w:r w:rsidRPr="00C30976">
        <w:rPr>
          <w:lang w:eastAsia="fr-FR" w:bidi="fr-FR"/>
        </w:rPr>
        <w:t xml:space="preserve"> Congrès. Le 19 mai 2000, il décide d’empêcher le D</w:t>
      </w:r>
      <w:r w:rsidRPr="00C30976">
        <w:rPr>
          <w:lang w:eastAsia="fr-FR" w:bidi="fr-FR"/>
        </w:rPr>
        <w:t>é</w:t>
      </w:r>
      <w:r w:rsidRPr="00C30976">
        <w:rPr>
          <w:lang w:eastAsia="fr-FR" w:bidi="fr-FR"/>
        </w:rPr>
        <w:t>partement d’</w:t>
      </w:r>
      <w:r>
        <w:rPr>
          <w:lang w:eastAsia="fr-FR" w:bidi="fr-FR"/>
        </w:rPr>
        <w:t>État</w:t>
      </w:r>
      <w:r w:rsidRPr="00C30976">
        <w:rPr>
          <w:lang w:eastAsia="fr-FR" w:bidi="fr-FR"/>
        </w:rPr>
        <w:t xml:space="preserve"> de transférer 368 millions de dollars à </w:t>
      </w:r>
      <w:r w:rsidRPr="00C30976">
        <w:t xml:space="preserve">l’ONU </w:t>
      </w:r>
      <w:r w:rsidRPr="00C30976">
        <w:rPr>
          <w:lang w:eastAsia="fr-FR" w:bidi="fr-FR"/>
        </w:rPr>
        <w:t>pour r</w:t>
      </w:r>
      <w:r w:rsidRPr="00C30976">
        <w:rPr>
          <w:lang w:eastAsia="fr-FR" w:bidi="fr-FR"/>
        </w:rPr>
        <w:t>é</w:t>
      </w:r>
      <w:r w:rsidRPr="00C30976">
        <w:rPr>
          <w:lang w:eastAsia="fr-FR" w:bidi="fr-FR"/>
        </w:rPr>
        <w:t>gler, comme les États-Unis s’y sont engagés, une partie des frais de plusieurs opérations de maintien de la paix en cours</w:t>
      </w:r>
      <w:r w:rsidRPr="00C30976">
        <w:t> :</w:t>
      </w:r>
      <w:r w:rsidRPr="00C30976">
        <w:rPr>
          <w:lang w:eastAsia="fr-FR" w:bidi="fr-FR"/>
        </w:rPr>
        <w:t xml:space="preserve"> Sierra Leone, Congo, Timor, Kosovo</w:t>
      </w:r>
      <w:r>
        <w:rPr>
          <w:lang w:eastAsia="fr-FR" w:bidi="fr-FR"/>
        </w:rPr>
        <w:t> </w:t>
      </w:r>
      <w:r>
        <w:rPr>
          <w:rStyle w:val="Appelnotedebasdep"/>
          <w:lang w:eastAsia="fr-FR" w:bidi="fr-FR"/>
        </w:rPr>
        <w:footnoteReference w:id="555"/>
      </w:r>
      <w:r w:rsidRPr="00C30976">
        <w:rPr>
          <w:lang w:eastAsia="fr-FR" w:bidi="fr-FR"/>
        </w:rPr>
        <w:t>. Judd Gregg s’oppose à l’opération en Sie</w:t>
      </w:r>
      <w:r w:rsidRPr="00C30976">
        <w:rPr>
          <w:lang w:eastAsia="fr-FR" w:bidi="fr-FR"/>
        </w:rPr>
        <w:t>r</w:t>
      </w:r>
      <w:r w:rsidRPr="00C30976">
        <w:rPr>
          <w:lang w:eastAsia="fr-FR" w:bidi="fr-FR"/>
        </w:rPr>
        <w:t>ra Leone</w:t>
      </w:r>
      <w:r>
        <w:rPr>
          <w:lang w:eastAsia="fr-FR" w:bidi="fr-FR"/>
        </w:rPr>
        <w:t> </w:t>
      </w:r>
      <w:r>
        <w:rPr>
          <w:rStyle w:val="Appelnotedebasdep"/>
          <w:lang w:eastAsia="fr-FR" w:bidi="fr-FR"/>
        </w:rPr>
        <w:footnoteReference w:id="556"/>
      </w:r>
      <w:r w:rsidRPr="00C30976">
        <w:rPr>
          <w:lang w:eastAsia="fr-FR" w:bidi="fr-FR"/>
        </w:rPr>
        <w:t xml:space="preserve"> qu’il trouve immorale en raison du plan de paix de juillet 1999 qui accorde l’amnistie aux sanguinaires rebelles du </w:t>
      </w:r>
      <w:r w:rsidRPr="00C30976">
        <w:t xml:space="preserve">RUF </w:t>
      </w:r>
      <w:r w:rsidRPr="00C30976">
        <w:rPr>
          <w:lang w:eastAsia="fr-FR" w:bidi="fr-FR"/>
        </w:rPr>
        <w:t>et pr</w:t>
      </w:r>
      <w:r w:rsidRPr="00C30976">
        <w:rPr>
          <w:lang w:eastAsia="fr-FR" w:bidi="fr-FR"/>
        </w:rPr>
        <w:t>é</w:t>
      </w:r>
      <w:r w:rsidRPr="00C30976">
        <w:rPr>
          <w:lang w:eastAsia="fr-FR" w:bidi="fr-FR"/>
        </w:rPr>
        <w:t>voit un partage du pouvoir et des ressources en diamants à l’avenir. Plus généralement, c’est le moyen d’exprimer son irritation à l’Administration Clinton vis-à-vis de cette prolifération d’opérations multilatérales à l</w:t>
      </w:r>
      <w:r w:rsidRPr="00C30976">
        <w:rPr>
          <w:lang w:eastAsia="fr-FR" w:bidi="fr-FR"/>
        </w:rPr>
        <w:t>a</w:t>
      </w:r>
      <w:r w:rsidRPr="00C30976">
        <w:rPr>
          <w:lang w:eastAsia="fr-FR" w:bidi="fr-FR"/>
        </w:rPr>
        <w:t>quelle il s’oppose idéologiquement. Sur place, en Sierra Leone, l’argent fait vite défaut et de sérieux problèmes logist</w:t>
      </w:r>
      <w:r w:rsidRPr="00C30976">
        <w:rPr>
          <w:lang w:eastAsia="fr-FR" w:bidi="fr-FR"/>
        </w:rPr>
        <w:t>i</w:t>
      </w:r>
      <w:r w:rsidRPr="00C30976">
        <w:rPr>
          <w:lang w:eastAsia="fr-FR" w:bidi="fr-FR"/>
        </w:rPr>
        <w:t>ques se profilent pour les casques bleus du Nigeria, d’Inde, du Ghana, de même qu’au Kosovo, où les factures d’eau et d’électricité, et les salaires des policiers ne peuvent être payés. Une dizaine de jours plus tard, Judd Gregg débloque 40 millions de dollars pour le Kosovo, puis il libère 50 millions de dollars pour la Sierra Leone le 7 juin 2000 en échange d’une concession de l’Administration Clinton</w:t>
      </w:r>
      <w:r>
        <w:rPr>
          <w:lang w:eastAsia="fr-FR" w:bidi="fr-FR"/>
        </w:rPr>
        <w:t> </w:t>
      </w:r>
      <w:r>
        <w:rPr>
          <w:rStyle w:val="Appelnotedebasdep"/>
          <w:lang w:eastAsia="fr-FR" w:bidi="fr-FR"/>
        </w:rPr>
        <w:footnoteReference w:id="557"/>
      </w:r>
      <w:r w:rsidRPr="00C30976">
        <w:rPr>
          <w:lang w:eastAsia="fr-FR" w:bidi="fr-FR"/>
        </w:rPr>
        <w:t>. Assur</w:t>
      </w:r>
      <w:r w:rsidRPr="00C30976">
        <w:rPr>
          <w:lang w:eastAsia="fr-FR" w:bidi="fr-FR"/>
        </w:rPr>
        <w:t>é</w:t>
      </w:r>
      <w:r w:rsidRPr="00C30976">
        <w:rPr>
          <w:lang w:eastAsia="fr-FR" w:bidi="fr-FR"/>
        </w:rPr>
        <w:t>ment, l’Administration n’a plus l</w:t>
      </w:r>
      <w:r>
        <w:rPr>
          <w:lang w:eastAsia="fr-FR" w:bidi="fr-FR"/>
        </w:rPr>
        <w:t>es mains aussi libres qu’aupara</w:t>
      </w:r>
      <w:r w:rsidRPr="00C30976">
        <w:rPr>
          <w:lang w:eastAsia="fr-FR" w:bidi="fr-FR"/>
        </w:rPr>
        <w:t>vant,</w:t>
      </w:r>
      <w:r>
        <w:t xml:space="preserve"> [277]</w:t>
      </w:r>
      <w:r w:rsidRPr="00C30976">
        <w:rPr>
          <w:lang w:eastAsia="fr-FR" w:bidi="fr-FR"/>
        </w:rPr>
        <w:t xml:space="preserve"> notamment pour une application éventuelle de l’accord de L</w:t>
      </w:r>
      <w:r w:rsidRPr="00C30976">
        <w:rPr>
          <w:lang w:eastAsia="fr-FR" w:bidi="fr-FR"/>
        </w:rPr>
        <w:t>o</w:t>
      </w:r>
      <w:r w:rsidRPr="00C30976">
        <w:rPr>
          <w:lang w:eastAsia="fr-FR" w:bidi="fr-FR"/>
        </w:rPr>
        <w:t>mé</w:t>
      </w:r>
      <w:r w:rsidRPr="00C30976">
        <w:t> ;</w:t>
      </w:r>
      <w:r w:rsidRPr="00C30976">
        <w:rPr>
          <w:lang w:eastAsia="fr-FR" w:bidi="fr-FR"/>
        </w:rPr>
        <w:t xml:space="preserve"> d’autant que le sénateur retient l’argent indéfiniment, y co</w:t>
      </w:r>
      <w:r w:rsidRPr="00C30976">
        <w:rPr>
          <w:lang w:eastAsia="fr-FR" w:bidi="fr-FR"/>
        </w:rPr>
        <w:t>m</w:t>
      </w:r>
      <w:r w:rsidRPr="00C30976">
        <w:rPr>
          <w:lang w:eastAsia="fr-FR" w:bidi="fr-FR"/>
        </w:rPr>
        <w:t>pris sous l’Administration Bush, empêchant l’Amérique de soutenir la pr</w:t>
      </w:r>
      <w:r w:rsidRPr="00C30976">
        <w:rPr>
          <w:lang w:eastAsia="fr-FR" w:bidi="fr-FR"/>
        </w:rPr>
        <w:t>é</w:t>
      </w:r>
      <w:r w:rsidRPr="00C30976">
        <w:rPr>
          <w:lang w:eastAsia="fr-FR" w:bidi="fr-FR"/>
        </w:rPr>
        <w:t>sence militaire britannique en Sierra Leone en 2000 et 2001.</w:t>
      </w:r>
    </w:p>
    <w:p w14:paraId="131417C8" w14:textId="77777777" w:rsidR="0039793A" w:rsidRPr="00C30976" w:rsidRDefault="0039793A" w:rsidP="0039793A">
      <w:pPr>
        <w:spacing w:before="120" w:after="120"/>
        <w:jc w:val="both"/>
      </w:pPr>
      <w:r w:rsidRPr="00C30976">
        <w:rPr>
          <w:lang w:eastAsia="fr-FR" w:bidi="fr-FR"/>
        </w:rPr>
        <w:t>Malgré l’ascension de la commission des A</w:t>
      </w:r>
      <w:r w:rsidRPr="00C30976">
        <w:rPr>
          <w:lang w:eastAsia="fr-FR" w:bidi="fr-FR"/>
        </w:rPr>
        <w:t>p</w:t>
      </w:r>
      <w:r w:rsidRPr="00C30976">
        <w:rPr>
          <w:lang w:eastAsia="fr-FR" w:bidi="fr-FR"/>
        </w:rPr>
        <w:t>propriations dans les dossiers de politique étrangère, celle des Relations extérieures du S</w:t>
      </w:r>
      <w:r w:rsidRPr="00C30976">
        <w:rPr>
          <w:lang w:eastAsia="fr-FR" w:bidi="fr-FR"/>
        </w:rPr>
        <w:t>é</w:t>
      </w:r>
      <w:r w:rsidRPr="00C30976">
        <w:rPr>
          <w:lang w:eastAsia="fr-FR" w:bidi="fr-FR"/>
        </w:rPr>
        <w:t>nat a conservé un grand pouvoir, puisqu’il lui revient d’examiner en premier les traités et les nominations de politique étrangère faites par le président. C’est donc un pouvoir de blocage qui échoit automat</w:t>
      </w:r>
      <w:r w:rsidRPr="00C30976">
        <w:rPr>
          <w:lang w:eastAsia="fr-FR" w:bidi="fr-FR"/>
        </w:rPr>
        <w:t>i</w:t>
      </w:r>
      <w:r w:rsidRPr="00C30976">
        <w:rPr>
          <w:lang w:eastAsia="fr-FR" w:bidi="fr-FR"/>
        </w:rPr>
        <w:t>quement à cette commission et à son président. D’ailleurs, le républ</w:t>
      </w:r>
      <w:r w:rsidRPr="00C30976">
        <w:rPr>
          <w:lang w:eastAsia="fr-FR" w:bidi="fr-FR"/>
        </w:rPr>
        <w:t>i</w:t>
      </w:r>
      <w:r w:rsidRPr="00C30976">
        <w:rPr>
          <w:lang w:eastAsia="fr-FR" w:bidi="fr-FR"/>
        </w:rPr>
        <w:t>cain souverainiste et très conservateur Jesse Helms a adopté (lors de sa pr</w:t>
      </w:r>
      <w:r w:rsidRPr="00C30976">
        <w:rPr>
          <w:lang w:eastAsia="fr-FR" w:bidi="fr-FR"/>
        </w:rPr>
        <w:t>é</w:t>
      </w:r>
      <w:r w:rsidRPr="00C30976">
        <w:rPr>
          <w:lang w:eastAsia="fr-FR" w:bidi="fr-FR"/>
        </w:rPr>
        <w:t>sidence, de 1995 à 2002) une attitude très agressive envers l’Administration et finalement peu soucieuse de l’intérêt national. Dès la première année, il a cessé toute activité pendant quatre mois (n</w:t>
      </w:r>
      <w:r w:rsidRPr="00C30976">
        <w:rPr>
          <w:lang w:eastAsia="fr-FR" w:bidi="fr-FR"/>
        </w:rPr>
        <w:t>o</w:t>
      </w:r>
      <w:r w:rsidRPr="00C30976">
        <w:rPr>
          <w:lang w:eastAsia="fr-FR" w:bidi="fr-FR"/>
        </w:rPr>
        <w:t>tamment de confirmation des hauts responsables, pr</w:t>
      </w:r>
      <w:r w:rsidRPr="00C30976">
        <w:rPr>
          <w:lang w:eastAsia="fr-FR" w:bidi="fr-FR"/>
        </w:rPr>
        <w:t>i</w:t>
      </w:r>
      <w:r w:rsidRPr="00C30976">
        <w:rPr>
          <w:lang w:eastAsia="fr-FR" w:bidi="fr-FR"/>
        </w:rPr>
        <w:t>vant par exemple la Chine, le Pakistan, l’Indonésie et bien d’autres pays d’ambassadeur) pour essayer de forcer la main de la Maison-Blanche sur la réo</w:t>
      </w:r>
      <w:r w:rsidRPr="00C30976">
        <w:rPr>
          <w:lang w:eastAsia="fr-FR" w:bidi="fr-FR"/>
        </w:rPr>
        <w:t>r</w:t>
      </w:r>
      <w:r w:rsidRPr="00C30976">
        <w:rPr>
          <w:lang w:eastAsia="fr-FR" w:bidi="fr-FR"/>
        </w:rPr>
        <w:t>ganisation du Département d’</w:t>
      </w:r>
      <w:r>
        <w:rPr>
          <w:lang w:eastAsia="fr-FR" w:bidi="fr-FR"/>
        </w:rPr>
        <w:t>État</w:t>
      </w:r>
      <w:r w:rsidRPr="00C30976">
        <w:rPr>
          <w:lang w:eastAsia="fr-FR" w:bidi="fr-FR"/>
        </w:rPr>
        <w:t xml:space="preserve"> - tentative de </w:t>
      </w:r>
      <w:r w:rsidRPr="00C30976">
        <w:t>« </w:t>
      </w:r>
      <w:r w:rsidRPr="00C30976">
        <w:rPr>
          <w:lang w:eastAsia="fr-FR" w:bidi="fr-FR"/>
        </w:rPr>
        <w:t>législation procédurale</w:t>
      </w:r>
      <w:r w:rsidRPr="00C30976">
        <w:t> »</w:t>
      </w:r>
      <w:r w:rsidRPr="00C30976">
        <w:rPr>
          <w:lang w:eastAsia="fr-FR" w:bidi="fr-FR"/>
        </w:rPr>
        <w:t xml:space="preserve"> typique visant à réduire l’influence de trois agences de contrôle des arm</w:t>
      </w:r>
      <w:r w:rsidRPr="00C30976">
        <w:rPr>
          <w:lang w:eastAsia="fr-FR" w:bidi="fr-FR"/>
        </w:rPr>
        <w:t>e</w:t>
      </w:r>
      <w:r w:rsidRPr="00C30976">
        <w:rPr>
          <w:lang w:eastAsia="fr-FR" w:bidi="fr-FR"/>
        </w:rPr>
        <w:t xml:space="preserve">ments </w:t>
      </w:r>
      <w:r w:rsidRPr="00C30976">
        <w:t xml:space="preserve">(ACDA), </w:t>
      </w:r>
      <w:r w:rsidRPr="00C30976">
        <w:rPr>
          <w:lang w:eastAsia="fr-FR" w:bidi="fr-FR"/>
        </w:rPr>
        <w:t xml:space="preserve">d’aide au développement </w:t>
      </w:r>
      <w:r w:rsidRPr="00C30976">
        <w:t xml:space="preserve">(USAID) </w:t>
      </w:r>
      <w:r w:rsidRPr="00C30976">
        <w:rPr>
          <w:lang w:eastAsia="fr-FR" w:bidi="fr-FR"/>
        </w:rPr>
        <w:t xml:space="preserve">et d’information extérieure </w:t>
      </w:r>
      <w:r w:rsidRPr="00C30976">
        <w:t>(USIA)</w:t>
      </w:r>
      <w:r>
        <w:rPr>
          <w:lang w:eastAsia="fr-FR" w:bidi="fr-FR"/>
        </w:rPr>
        <w:t> </w:t>
      </w:r>
      <w:r>
        <w:rPr>
          <w:rStyle w:val="Appelnotedebasdep"/>
          <w:lang w:eastAsia="fr-FR" w:bidi="fr-FR"/>
        </w:rPr>
        <w:footnoteReference w:id="558"/>
      </w:r>
      <w:r w:rsidRPr="00C30976">
        <w:t>.</w:t>
      </w:r>
    </w:p>
    <w:p w14:paraId="04E10B68" w14:textId="77777777" w:rsidR="0039793A" w:rsidRPr="00C30976" w:rsidRDefault="0039793A" w:rsidP="0039793A">
      <w:pPr>
        <w:spacing w:before="120" w:after="120"/>
        <w:jc w:val="both"/>
      </w:pPr>
      <w:r w:rsidRPr="00C30976">
        <w:rPr>
          <w:lang w:eastAsia="fr-FR" w:bidi="fr-FR"/>
        </w:rPr>
        <w:t>De plus en plus, le mode d’influence du Congrès sur la politique étrangère fait sentir ses effets sur les relations bilatérales que l’Amérique entretient avec d’autres pays, les focalisant sur certains sujets au détriment d’échanges pouvant être jugés plus pr</w:t>
      </w:r>
      <w:r w:rsidRPr="00C30976">
        <w:rPr>
          <w:lang w:eastAsia="fr-FR" w:bidi="fr-FR"/>
        </w:rPr>
        <w:t>o</w:t>
      </w:r>
      <w:r w:rsidRPr="00C30976">
        <w:rPr>
          <w:lang w:eastAsia="fr-FR" w:bidi="fr-FR"/>
        </w:rPr>
        <w:t>ductifs, plus positifs, plus sereins. On a pu consid</w:t>
      </w:r>
      <w:r w:rsidRPr="00C30976">
        <w:rPr>
          <w:lang w:eastAsia="fr-FR" w:bidi="fr-FR"/>
        </w:rPr>
        <w:t>é</w:t>
      </w:r>
      <w:r w:rsidRPr="00C30976">
        <w:rPr>
          <w:lang w:eastAsia="fr-FR" w:bidi="fr-FR"/>
        </w:rPr>
        <w:t>rer que la pratique des rapports, des sanctions et des certifications, avec les débats qui les accomp</w:t>
      </w:r>
      <w:r w:rsidRPr="00C30976">
        <w:rPr>
          <w:lang w:eastAsia="fr-FR" w:bidi="fr-FR"/>
        </w:rPr>
        <w:t>a</w:t>
      </w:r>
      <w:r w:rsidRPr="00C30976">
        <w:rPr>
          <w:lang w:eastAsia="fr-FR" w:bidi="fr-FR"/>
        </w:rPr>
        <w:t>gnent au Congrès, amène une perversion dans les rel</w:t>
      </w:r>
      <w:r w:rsidRPr="00C30976">
        <w:rPr>
          <w:lang w:eastAsia="fr-FR" w:bidi="fr-FR"/>
        </w:rPr>
        <w:t>a</w:t>
      </w:r>
      <w:r w:rsidRPr="00C30976">
        <w:rPr>
          <w:lang w:eastAsia="fr-FR" w:bidi="fr-FR"/>
        </w:rPr>
        <w:t>tions avec d’autres pays qui ne passent plus que par la question de la drogue ou de la prolifération. Les relations des États-Unis avec l’Amérique lat</w:t>
      </w:r>
      <w:r w:rsidRPr="00C30976">
        <w:rPr>
          <w:lang w:eastAsia="fr-FR" w:bidi="fr-FR"/>
        </w:rPr>
        <w:t>i</w:t>
      </w:r>
      <w:r w:rsidRPr="00C30976">
        <w:rPr>
          <w:lang w:eastAsia="fr-FR" w:bidi="fr-FR"/>
        </w:rPr>
        <w:t>ne, par exemple, sont souvent l’otage d’une seule question et d’une seule procédure, la certification de lutte contre les narcotiques mise en place par les parl</w:t>
      </w:r>
      <w:r w:rsidRPr="00C30976">
        <w:rPr>
          <w:lang w:eastAsia="fr-FR" w:bidi="fr-FR"/>
        </w:rPr>
        <w:t>e</w:t>
      </w:r>
      <w:r w:rsidRPr="00C30976">
        <w:rPr>
          <w:lang w:eastAsia="fr-FR" w:bidi="fr-FR"/>
        </w:rPr>
        <w:t>mentaires pour montrer qu’ils menaient eux aussi une guerre</w:t>
      </w:r>
      <w:r>
        <w:t xml:space="preserve"> [278] </w:t>
      </w:r>
      <w:r w:rsidRPr="00C30976">
        <w:rPr>
          <w:lang w:eastAsia="fr-FR" w:bidi="fr-FR"/>
        </w:rPr>
        <w:t>contre la drogue</w:t>
      </w:r>
      <w:r>
        <w:rPr>
          <w:lang w:eastAsia="fr-FR" w:bidi="fr-FR"/>
        </w:rPr>
        <w:t> </w:t>
      </w:r>
      <w:r>
        <w:rPr>
          <w:rStyle w:val="Appelnotedebasdep"/>
          <w:lang w:eastAsia="fr-FR" w:bidi="fr-FR"/>
        </w:rPr>
        <w:footnoteReference w:id="559"/>
      </w:r>
      <w:r w:rsidRPr="00C30976">
        <w:rPr>
          <w:lang w:eastAsia="fr-FR" w:bidi="fr-FR"/>
        </w:rPr>
        <w:t>. De la même façon, c’est au</w:t>
      </w:r>
      <w:r w:rsidRPr="00C30976">
        <w:rPr>
          <w:lang w:eastAsia="fr-FR" w:bidi="fr-FR"/>
        </w:rPr>
        <w:t>s</w:t>
      </w:r>
      <w:r w:rsidRPr="00C30976">
        <w:rPr>
          <w:lang w:eastAsia="fr-FR" w:bidi="fr-FR"/>
        </w:rPr>
        <w:t>si pour répondre à des pressions intérieures que les élus tiennent des a</w:t>
      </w:r>
      <w:r w:rsidRPr="00C30976">
        <w:rPr>
          <w:lang w:eastAsia="fr-FR" w:bidi="fr-FR"/>
        </w:rPr>
        <w:t>u</w:t>
      </w:r>
      <w:r w:rsidRPr="00C30976">
        <w:rPr>
          <w:lang w:eastAsia="fr-FR" w:bidi="fr-FR"/>
        </w:rPr>
        <w:t>ditions publiques sur la question des libertés religieuses dans le mo</w:t>
      </w:r>
      <w:r w:rsidRPr="00C30976">
        <w:rPr>
          <w:lang w:eastAsia="fr-FR" w:bidi="fr-FR"/>
        </w:rPr>
        <w:t>n</w:t>
      </w:r>
      <w:r w:rsidRPr="00C30976">
        <w:rPr>
          <w:lang w:eastAsia="fr-FR" w:bidi="fr-FR"/>
        </w:rPr>
        <w:t>de, notamment en Allemagne et en France concernant l’Église de scientologie, et d</w:t>
      </w:r>
      <w:r w:rsidRPr="00C30976">
        <w:rPr>
          <w:lang w:eastAsia="fr-FR" w:bidi="fr-FR"/>
        </w:rPr>
        <w:t>e</w:t>
      </w:r>
      <w:r w:rsidRPr="00C30976">
        <w:rPr>
          <w:lang w:eastAsia="fr-FR" w:bidi="fr-FR"/>
        </w:rPr>
        <w:t>mandent à l’Administration d’exercer des pressions. Dans le même esprit, les conditions imposées à l’aide à la Russie e</w:t>
      </w:r>
      <w:r w:rsidRPr="00C30976">
        <w:rPr>
          <w:lang w:eastAsia="fr-FR" w:bidi="fr-FR"/>
        </w:rPr>
        <w:t>x</w:t>
      </w:r>
      <w:r w:rsidRPr="00C30976">
        <w:rPr>
          <w:lang w:eastAsia="fr-FR" w:bidi="fr-FR"/>
        </w:rPr>
        <w:t>pliquent que l’aide américaine ait été des plus réduites</w:t>
      </w:r>
      <w:r w:rsidRPr="00C30976">
        <w:t> :</w:t>
      </w:r>
      <w:r w:rsidRPr="00C30976">
        <w:rPr>
          <w:lang w:eastAsia="fr-FR" w:bidi="fr-FR"/>
        </w:rPr>
        <w:t xml:space="preserve"> sur les 6,5 milliards de dollars d’aide directe fournie aux pays de l’ex-URSS e</w:t>
      </w:r>
      <w:r w:rsidRPr="00C30976">
        <w:rPr>
          <w:lang w:eastAsia="fr-FR" w:bidi="fr-FR"/>
        </w:rPr>
        <w:t>n</w:t>
      </w:r>
      <w:r w:rsidRPr="00C30976">
        <w:rPr>
          <w:lang w:eastAsia="fr-FR" w:bidi="fr-FR"/>
        </w:rPr>
        <w:t>tre 1992 et 1999, 40</w:t>
      </w:r>
      <w:r>
        <w:rPr>
          <w:lang w:eastAsia="fr-FR" w:bidi="fr-FR"/>
        </w:rPr>
        <w:t>%</w:t>
      </w:r>
      <w:r w:rsidRPr="00C30976">
        <w:rPr>
          <w:lang w:eastAsia="fr-FR" w:bidi="fr-FR"/>
        </w:rPr>
        <w:t xml:space="preserve"> seulement sont allés à la Russie (proportion tombée jusqu’à 15</w:t>
      </w:r>
      <w:r>
        <w:rPr>
          <w:lang w:eastAsia="fr-FR" w:bidi="fr-FR"/>
        </w:rPr>
        <w:t>%</w:t>
      </w:r>
      <w:r w:rsidRPr="00C30976">
        <w:rPr>
          <w:lang w:eastAsia="fr-FR" w:bidi="fr-FR"/>
        </w:rPr>
        <w:t xml:space="preserve"> en 1997). Tandis que le lobby pro-israélien, </w:t>
      </w:r>
      <w:r>
        <w:t>l’AI</w:t>
      </w:r>
      <w:r w:rsidRPr="00C30976">
        <w:t xml:space="preserve">PAC, </w:t>
      </w:r>
      <w:r w:rsidRPr="00C30976">
        <w:rPr>
          <w:lang w:eastAsia="fr-FR" w:bidi="fr-FR"/>
        </w:rPr>
        <w:t>a réussi à imposer une cond</w:t>
      </w:r>
      <w:r w:rsidRPr="00C30976">
        <w:rPr>
          <w:lang w:eastAsia="fr-FR" w:bidi="fr-FR"/>
        </w:rPr>
        <w:t>i</w:t>
      </w:r>
      <w:r w:rsidRPr="00C30976">
        <w:rPr>
          <w:lang w:eastAsia="fr-FR" w:bidi="fr-FR"/>
        </w:rPr>
        <w:t>tionnalité en matière de non-prolifération balistique et nucléaire, par crainte de l’Iran, la coalition chr</w:t>
      </w:r>
      <w:r w:rsidRPr="00C30976">
        <w:rPr>
          <w:lang w:eastAsia="fr-FR" w:bidi="fr-FR"/>
        </w:rPr>
        <w:t>é</w:t>
      </w:r>
      <w:r w:rsidRPr="00C30976">
        <w:rPr>
          <w:lang w:eastAsia="fr-FR" w:bidi="fr-FR"/>
        </w:rPr>
        <w:t>tienne a obtenu du Congrès qu’il force le président à certifier qu’une loi votée en 1997 par la Douma sur les libertés religieuses, et visant à protéger l’Église orthodoxe des prosélytismes étrangers, n’était pas appliquée ni dans la lettre ni dans l’esprit, faute de quoi l’aide serait interrompue</w:t>
      </w:r>
      <w:r>
        <w:rPr>
          <w:lang w:eastAsia="fr-FR" w:bidi="fr-FR"/>
        </w:rPr>
        <w:t> </w:t>
      </w:r>
      <w:r>
        <w:rPr>
          <w:rStyle w:val="Appelnotedebasdep"/>
          <w:lang w:eastAsia="fr-FR" w:bidi="fr-FR"/>
        </w:rPr>
        <w:footnoteReference w:id="560"/>
      </w:r>
      <w:r w:rsidRPr="00C30976">
        <w:rPr>
          <w:lang w:eastAsia="fr-FR" w:bidi="fr-FR"/>
        </w:rPr>
        <w:t>. Plus généralement, les pressions et les luttes int</w:t>
      </w:r>
      <w:r w:rsidRPr="00C30976">
        <w:rPr>
          <w:lang w:eastAsia="fr-FR" w:bidi="fr-FR"/>
        </w:rPr>
        <w:t>é</w:t>
      </w:r>
      <w:r w:rsidRPr="00C30976">
        <w:rPr>
          <w:lang w:eastAsia="fr-FR" w:bidi="fr-FR"/>
        </w:rPr>
        <w:t>rieures prennent de plus en plus souvent le pas sur des considérations diplomatiques. C’est le cas de la loi de sanction Helms-Burton de 1996, que le prés</w:t>
      </w:r>
      <w:r w:rsidRPr="00C30976">
        <w:rPr>
          <w:lang w:eastAsia="fr-FR" w:bidi="fr-FR"/>
        </w:rPr>
        <w:t>i</w:t>
      </w:r>
      <w:r w:rsidRPr="00C30976">
        <w:rPr>
          <w:lang w:eastAsia="fr-FR" w:bidi="fr-FR"/>
        </w:rPr>
        <w:t>dent Clinton a décidé de soutenir pour empêcher les élus républicains d’obtenir un avantage électoral décisif en Floride, quitte à mettre en péril les rel</w:t>
      </w:r>
      <w:r w:rsidRPr="00C30976">
        <w:rPr>
          <w:lang w:eastAsia="fr-FR" w:bidi="fr-FR"/>
        </w:rPr>
        <w:t>a</w:t>
      </w:r>
      <w:r w:rsidRPr="00C30976">
        <w:rPr>
          <w:lang w:eastAsia="fr-FR" w:bidi="fr-FR"/>
        </w:rPr>
        <w:t>tions avec le Canada et l’Europe</w:t>
      </w:r>
      <w:r>
        <w:rPr>
          <w:lang w:eastAsia="fr-FR" w:bidi="fr-FR"/>
        </w:rPr>
        <w:t> </w:t>
      </w:r>
      <w:r>
        <w:rPr>
          <w:rStyle w:val="Appelnotedebasdep"/>
          <w:lang w:eastAsia="fr-FR" w:bidi="fr-FR"/>
        </w:rPr>
        <w:footnoteReference w:id="561"/>
      </w:r>
      <w:r w:rsidRPr="00C30976">
        <w:rPr>
          <w:lang w:eastAsia="fr-FR" w:bidi="fr-FR"/>
        </w:rPr>
        <w:t>.</w:t>
      </w:r>
    </w:p>
    <w:p w14:paraId="487F4DA7" w14:textId="77777777" w:rsidR="0039793A" w:rsidRPr="00C30976" w:rsidRDefault="0039793A" w:rsidP="0039793A">
      <w:pPr>
        <w:spacing w:before="120" w:after="120"/>
        <w:jc w:val="both"/>
      </w:pPr>
      <w:r w:rsidRPr="00C30976">
        <w:rPr>
          <w:lang w:eastAsia="fr-FR" w:bidi="fr-FR"/>
        </w:rPr>
        <w:t>Un dernier cas de diffusion du pouvoir au Congrès est celui de la flibuste (</w:t>
      </w:r>
      <w:r w:rsidRPr="00BF6E85">
        <w:rPr>
          <w:i/>
          <w:iCs/>
        </w:rPr>
        <w:t>filibustering</w:t>
      </w:r>
      <w:r w:rsidRPr="00C30976">
        <w:t>),</w:t>
      </w:r>
      <w:r w:rsidRPr="00C30976">
        <w:rPr>
          <w:lang w:eastAsia="fr-FR" w:bidi="fr-FR"/>
        </w:rPr>
        <w:t xml:space="preserve"> qui existe au Sénat uniquement. On ne coupe pas la parole d’un sénateur, </w:t>
      </w:r>
      <w:r w:rsidRPr="00C30976">
        <w:t xml:space="preserve">à </w:t>
      </w:r>
      <w:r w:rsidRPr="00C30976">
        <w:rPr>
          <w:lang w:eastAsia="fr-FR" w:bidi="fr-FR"/>
        </w:rPr>
        <w:t>moins d’un vote aux 3/5</w:t>
      </w:r>
      <w:r w:rsidRPr="00C30976">
        <w:rPr>
          <w:vertAlign w:val="superscript"/>
          <w:lang w:eastAsia="fr-FR" w:bidi="fr-FR"/>
        </w:rPr>
        <w:t xml:space="preserve">e </w:t>
      </w:r>
      <w:r w:rsidRPr="00C30976">
        <w:rPr>
          <w:lang w:eastAsia="fr-FR" w:bidi="fr-FR"/>
        </w:rPr>
        <w:t>(d</w:t>
      </w:r>
      <w:r w:rsidRPr="00C30976">
        <w:rPr>
          <w:lang w:eastAsia="fr-FR" w:bidi="fr-FR"/>
        </w:rPr>
        <w:t>e</w:t>
      </w:r>
      <w:r w:rsidRPr="00C30976">
        <w:rPr>
          <w:lang w:eastAsia="fr-FR" w:bidi="fr-FR"/>
        </w:rPr>
        <w:t>puis 1975, car auparavant, il fallait un vote aux 2/3)</w:t>
      </w:r>
      <w:r w:rsidRPr="00C30976">
        <w:t> :</w:t>
      </w:r>
      <w:r w:rsidRPr="00C30976">
        <w:rPr>
          <w:lang w:eastAsia="fr-FR" w:bidi="fr-FR"/>
        </w:rPr>
        <w:t xml:space="preserve"> ainsi un ou plusieurs sén</w:t>
      </w:r>
      <w:r w:rsidRPr="00C30976">
        <w:rPr>
          <w:lang w:eastAsia="fr-FR" w:bidi="fr-FR"/>
        </w:rPr>
        <w:t>a</w:t>
      </w:r>
      <w:r w:rsidRPr="00C30976">
        <w:rPr>
          <w:lang w:eastAsia="fr-FR" w:bidi="fr-FR"/>
        </w:rPr>
        <w:t>teurs peuvent-ils indéfiniment bloquer la discussion et le vote d’une loi en parlant sans s’arrêter, par exemple en lisant en boucle la const</w:t>
      </w:r>
      <w:r w:rsidRPr="00C30976">
        <w:rPr>
          <w:lang w:eastAsia="fr-FR" w:bidi="fr-FR"/>
        </w:rPr>
        <w:t>i</w:t>
      </w:r>
      <w:r w:rsidRPr="00C30976">
        <w:rPr>
          <w:lang w:eastAsia="fr-FR" w:bidi="fr-FR"/>
        </w:rPr>
        <w:t>tution des États-Unis. Lors du 103</w:t>
      </w:r>
      <w:r w:rsidRPr="00C30976">
        <w:rPr>
          <w:vertAlign w:val="superscript"/>
          <w:lang w:eastAsia="fr-FR" w:bidi="fr-FR"/>
        </w:rPr>
        <w:t>e</w:t>
      </w:r>
      <w:r w:rsidRPr="00C30976">
        <w:rPr>
          <w:lang w:eastAsia="fr-FR" w:bidi="fr-FR"/>
        </w:rPr>
        <w:t xml:space="preserve"> Congrès par exemple, une petite minorité conservatrice de républicains a, de cette façon, fait obstru</w:t>
      </w:r>
      <w:r w:rsidRPr="00C30976">
        <w:rPr>
          <w:lang w:eastAsia="fr-FR" w:bidi="fr-FR"/>
        </w:rPr>
        <w:t>c</w:t>
      </w:r>
      <w:r w:rsidRPr="00C30976">
        <w:rPr>
          <w:lang w:eastAsia="fr-FR" w:bidi="fr-FR"/>
        </w:rPr>
        <w:t xml:space="preserve">tion </w:t>
      </w:r>
      <w:r w:rsidRPr="00C30976">
        <w:t xml:space="preserve">à </w:t>
      </w:r>
      <w:r w:rsidRPr="00C30976">
        <w:rPr>
          <w:lang w:eastAsia="fr-FR" w:bidi="fr-FR"/>
        </w:rPr>
        <w:t>la confirmation de Sam Brown co</w:t>
      </w:r>
      <w:r w:rsidRPr="00C30976">
        <w:rPr>
          <w:lang w:eastAsia="fr-FR" w:bidi="fr-FR"/>
        </w:rPr>
        <w:t>m</w:t>
      </w:r>
      <w:r w:rsidRPr="00C30976">
        <w:rPr>
          <w:lang w:eastAsia="fr-FR" w:bidi="fr-FR"/>
        </w:rPr>
        <w:t xml:space="preserve">me ambassadeur </w:t>
      </w:r>
      <w:r w:rsidRPr="00C30976">
        <w:t xml:space="preserve">à </w:t>
      </w:r>
      <w:r w:rsidRPr="00C30976">
        <w:rPr>
          <w:lang w:eastAsia="fr-FR" w:bidi="fr-FR"/>
        </w:rPr>
        <w:t xml:space="preserve">la </w:t>
      </w:r>
      <w:r w:rsidRPr="00C30976">
        <w:t xml:space="preserve">CSCE, </w:t>
      </w:r>
      <w:r w:rsidRPr="00C30976">
        <w:rPr>
          <w:lang w:eastAsia="fr-FR" w:bidi="fr-FR"/>
        </w:rPr>
        <w:t>en raison de son</w:t>
      </w:r>
      <w:r>
        <w:t xml:space="preserve"> [279] </w:t>
      </w:r>
      <w:r w:rsidRPr="00C30976">
        <w:rPr>
          <w:lang w:eastAsia="fr-FR" w:bidi="fr-FR"/>
        </w:rPr>
        <w:t>rôle, plus de vingt ans auparavant, dans les m</w:t>
      </w:r>
      <w:r w:rsidRPr="00C30976">
        <w:rPr>
          <w:lang w:eastAsia="fr-FR" w:bidi="fr-FR"/>
        </w:rPr>
        <w:t>a</w:t>
      </w:r>
      <w:r w:rsidRPr="00C30976">
        <w:rPr>
          <w:lang w:eastAsia="fr-FR" w:bidi="fr-FR"/>
        </w:rPr>
        <w:t>nifestations contre la guerre du Vietnam. Cette configuration n’est pas très fréquente, mais montre l’importance cruciale des marges de maj</w:t>
      </w:r>
      <w:r w:rsidRPr="00C30976">
        <w:rPr>
          <w:lang w:eastAsia="fr-FR" w:bidi="fr-FR"/>
        </w:rPr>
        <w:t>o</w:t>
      </w:r>
      <w:r w:rsidRPr="00C30976">
        <w:rPr>
          <w:lang w:eastAsia="fr-FR" w:bidi="fr-FR"/>
        </w:rPr>
        <w:t>rité pour le parti d</w:t>
      </w:r>
      <w:r w:rsidRPr="00C30976">
        <w:rPr>
          <w:lang w:eastAsia="fr-FR" w:bidi="fr-FR"/>
        </w:rPr>
        <w:t>o</w:t>
      </w:r>
      <w:r w:rsidRPr="00C30976">
        <w:rPr>
          <w:lang w:eastAsia="fr-FR" w:bidi="fr-FR"/>
        </w:rPr>
        <w:t>minant. À partir de 60 sénateurs (3/5</w:t>
      </w:r>
      <w:r w:rsidRPr="00C30976">
        <w:rPr>
          <w:vertAlign w:val="superscript"/>
          <w:lang w:eastAsia="fr-FR" w:bidi="fr-FR"/>
        </w:rPr>
        <w:t>e</w:t>
      </w:r>
      <w:r w:rsidRPr="00C30976">
        <w:rPr>
          <w:lang w:eastAsia="fr-FR" w:bidi="fr-FR"/>
        </w:rPr>
        <w:t xml:space="preserve">), ce parti dispose d’une majorité </w:t>
      </w:r>
      <w:r w:rsidRPr="00C30976">
        <w:t>« </w:t>
      </w:r>
      <w:r w:rsidRPr="00C30976">
        <w:rPr>
          <w:lang w:eastAsia="fr-FR" w:bidi="fr-FR"/>
        </w:rPr>
        <w:t>antiflibuste</w:t>
      </w:r>
      <w:r w:rsidRPr="00C30976">
        <w:t> »</w:t>
      </w:r>
      <w:r w:rsidRPr="00C30976">
        <w:rPr>
          <w:lang w:eastAsia="fr-FR" w:bidi="fr-FR"/>
        </w:rPr>
        <w:t xml:space="preserve"> qui lui permet, s’il est uni, de faire passer n’importe quelle loi sans souci de la minorité</w:t>
      </w:r>
      <w:r w:rsidRPr="00C30976">
        <w:t> ;</w:t>
      </w:r>
      <w:r w:rsidRPr="00C30976">
        <w:rPr>
          <w:lang w:eastAsia="fr-FR" w:bidi="fr-FR"/>
        </w:rPr>
        <w:t xml:space="preserve"> à partir de 67 sén</w:t>
      </w:r>
      <w:r w:rsidRPr="00C30976">
        <w:rPr>
          <w:lang w:eastAsia="fr-FR" w:bidi="fr-FR"/>
        </w:rPr>
        <w:t>a</w:t>
      </w:r>
      <w:r w:rsidRPr="00C30976">
        <w:rPr>
          <w:lang w:eastAsia="fr-FR" w:bidi="fr-FR"/>
        </w:rPr>
        <w:t>teurs (2/3), d’une majorité apte à ratifier seule les traités</w:t>
      </w:r>
      <w:r w:rsidRPr="00C30976">
        <w:t> ;</w:t>
      </w:r>
      <w:r w:rsidRPr="00C30976">
        <w:rPr>
          <w:lang w:eastAsia="fr-FR" w:bidi="fr-FR"/>
        </w:rPr>
        <w:t xml:space="preserve"> et s’il dispose égal</w:t>
      </w:r>
      <w:r w:rsidRPr="00C30976">
        <w:rPr>
          <w:lang w:eastAsia="fr-FR" w:bidi="fr-FR"/>
        </w:rPr>
        <w:t>e</w:t>
      </w:r>
      <w:r w:rsidRPr="00C30976">
        <w:rPr>
          <w:lang w:eastAsia="fr-FR" w:bidi="fr-FR"/>
        </w:rPr>
        <w:t>ment d’une majorité des 2/3 à la Chambre, il peut outrepasser le veto du président et gagner, s’il est uni, un pouvoir d</w:t>
      </w:r>
      <w:r w:rsidRPr="00C30976">
        <w:rPr>
          <w:lang w:eastAsia="fr-FR" w:bidi="fr-FR"/>
        </w:rPr>
        <w:t>o</w:t>
      </w:r>
      <w:r w:rsidRPr="00C30976">
        <w:rPr>
          <w:lang w:eastAsia="fr-FR" w:bidi="fr-FR"/>
        </w:rPr>
        <w:t>minant - ce qui ne s’est encore jamais vu.</w:t>
      </w:r>
    </w:p>
    <w:p w14:paraId="56D2D456" w14:textId="77777777" w:rsidR="0039793A" w:rsidRDefault="0039793A" w:rsidP="0039793A">
      <w:pPr>
        <w:spacing w:before="120" w:after="120"/>
        <w:jc w:val="both"/>
        <w:rPr>
          <w:lang w:eastAsia="fr-FR" w:bidi="fr-FR"/>
        </w:rPr>
      </w:pPr>
    </w:p>
    <w:p w14:paraId="7128CAD2" w14:textId="77777777" w:rsidR="0039793A" w:rsidRPr="00C30976" w:rsidRDefault="0039793A" w:rsidP="0039793A">
      <w:pPr>
        <w:pStyle w:val="a"/>
      </w:pPr>
      <w:r w:rsidRPr="00C30976">
        <w:t>L’incidence de la structure partisane</w:t>
      </w:r>
      <w:r>
        <w:br/>
      </w:r>
      <w:r w:rsidRPr="00C30976">
        <w:t>sur la politique étrangère</w:t>
      </w:r>
    </w:p>
    <w:p w14:paraId="44F9C37D" w14:textId="77777777" w:rsidR="0039793A" w:rsidRDefault="0039793A" w:rsidP="0039793A">
      <w:pPr>
        <w:spacing w:before="120" w:after="120"/>
        <w:jc w:val="both"/>
        <w:rPr>
          <w:lang w:eastAsia="fr-FR" w:bidi="fr-FR"/>
        </w:rPr>
      </w:pPr>
    </w:p>
    <w:p w14:paraId="3CCD6D26" w14:textId="77777777" w:rsidR="0039793A" w:rsidRPr="00C30976" w:rsidRDefault="0039793A" w:rsidP="0039793A">
      <w:pPr>
        <w:spacing w:before="120" w:after="120"/>
        <w:jc w:val="both"/>
      </w:pPr>
      <w:r w:rsidRPr="00C30976">
        <w:rPr>
          <w:lang w:eastAsia="fr-FR" w:bidi="fr-FR"/>
        </w:rPr>
        <w:t>Ceci conduit naturellement à poser la question de l’unité de parti et de ses effets néfastes sur la cohérence de la politique étrangère amér</w:t>
      </w:r>
      <w:r w:rsidRPr="00C30976">
        <w:rPr>
          <w:lang w:eastAsia="fr-FR" w:bidi="fr-FR"/>
        </w:rPr>
        <w:t>i</w:t>
      </w:r>
      <w:r w:rsidRPr="00C30976">
        <w:rPr>
          <w:lang w:eastAsia="fr-FR" w:bidi="fr-FR"/>
        </w:rPr>
        <w:t>caine</w:t>
      </w:r>
      <w:r w:rsidRPr="00C30976">
        <w:t> :</w:t>
      </w:r>
      <w:r w:rsidRPr="00C30976">
        <w:rPr>
          <w:lang w:eastAsia="fr-FR" w:bidi="fr-FR"/>
        </w:rPr>
        <w:t xml:space="preserve"> celle-ci, dans l’imaginaire américain, ne devrait-elle pas to</w:t>
      </w:r>
      <w:r w:rsidRPr="00C30976">
        <w:rPr>
          <w:lang w:eastAsia="fr-FR" w:bidi="fr-FR"/>
        </w:rPr>
        <w:t>u</w:t>
      </w:r>
      <w:r w:rsidRPr="00C30976">
        <w:rPr>
          <w:lang w:eastAsia="fr-FR" w:bidi="fr-FR"/>
        </w:rPr>
        <w:t>jours faire l’objet d’un consensus bipartisan, comme durant l’âge d’or de la guerre froide</w:t>
      </w:r>
      <w:r w:rsidRPr="00C30976">
        <w:t> ?</w:t>
      </w:r>
      <w:r w:rsidRPr="00C30976">
        <w:rPr>
          <w:lang w:eastAsia="fr-FR" w:bidi="fr-FR"/>
        </w:rPr>
        <w:t xml:space="preserve"> Or, c’est exactement l’inverse qui s’est produit à partir des années 1970, et plus nettement encore après la guerre fro</w:t>
      </w:r>
      <w:r w:rsidRPr="00C30976">
        <w:rPr>
          <w:lang w:eastAsia="fr-FR" w:bidi="fr-FR"/>
        </w:rPr>
        <w:t>i</w:t>
      </w:r>
      <w:r w:rsidRPr="00C30976">
        <w:rPr>
          <w:lang w:eastAsia="fr-FR" w:bidi="fr-FR"/>
        </w:rPr>
        <w:t>de</w:t>
      </w:r>
      <w:r w:rsidRPr="00C30976">
        <w:t> :</w:t>
      </w:r>
      <w:r w:rsidRPr="00C30976">
        <w:rPr>
          <w:lang w:eastAsia="fr-FR" w:bidi="fr-FR"/>
        </w:rPr>
        <w:t xml:space="preserve"> la politique étrangère a connu une phase de normalisation, d’alignement sur le fon</w:t>
      </w:r>
      <w:r w:rsidRPr="00C30976">
        <w:rPr>
          <w:lang w:eastAsia="fr-FR" w:bidi="fr-FR"/>
        </w:rPr>
        <w:t>c</w:t>
      </w:r>
      <w:r w:rsidRPr="00C30976">
        <w:rPr>
          <w:lang w:eastAsia="fr-FR" w:bidi="fr-FR"/>
        </w:rPr>
        <w:t>tionnement des affaires intérieures marqué par le primat des considérations politiciennes, et parfois même par une subordination à ces dossiers intérieurs</w:t>
      </w:r>
      <w:r>
        <w:rPr>
          <w:lang w:eastAsia="fr-FR" w:bidi="fr-FR"/>
        </w:rPr>
        <w:t> </w:t>
      </w:r>
      <w:r>
        <w:rPr>
          <w:rStyle w:val="Appelnotedebasdep"/>
          <w:lang w:eastAsia="fr-FR" w:bidi="fr-FR"/>
        </w:rPr>
        <w:footnoteReference w:id="562"/>
      </w:r>
      <w:r w:rsidRPr="00C30976">
        <w:t>.</w:t>
      </w:r>
      <w:r w:rsidRPr="00C30976">
        <w:rPr>
          <w:lang w:eastAsia="fr-FR" w:bidi="fr-FR"/>
        </w:rPr>
        <w:t xml:space="preserve"> Deux facteurs expliquent ce</w:t>
      </w:r>
      <w:r w:rsidRPr="00C30976">
        <w:rPr>
          <w:lang w:eastAsia="fr-FR" w:bidi="fr-FR"/>
        </w:rPr>
        <w:t>t</w:t>
      </w:r>
      <w:r w:rsidRPr="00C30976">
        <w:rPr>
          <w:lang w:eastAsia="fr-FR" w:bidi="fr-FR"/>
        </w:rPr>
        <w:t>te évolution</w:t>
      </w:r>
      <w:r w:rsidRPr="00C30976">
        <w:t> :</w:t>
      </w:r>
      <w:r w:rsidRPr="00C30976">
        <w:rPr>
          <w:lang w:eastAsia="fr-FR" w:bidi="fr-FR"/>
        </w:rPr>
        <w:t xml:space="preserve"> d’une part la disparition de la menace communiste qui imposait une sorte de retenue aux élus et d’autre part, la montée générale de l’unité partisane depuis les années 1970-1980, particuli</w:t>
      </w:r>
      <w:r w:rsidRPr="00C30976">
        <w:rPr>
          <w:lang w:eastAsia="fr-FR" w:bidi="fr-FR"/>
        </w:rPr>
        <w:t>è</w:t>
      </w:r>
      <w:r w:rsidRPr="00C30976">
        <w:rPr>
          <w:lang w:eastAsia="fr-FR" w:bidi="fr-FR"/>
        </w:rPr>
        <w:t>rement nette chez les républicains depuis la fin des années 1980. L’unité pa</w:t>
      </w:r>
      <w:r w:rsidRPr="00C30976">
        <w:rPr>
          <w:lang w:eastAsia="fr-FR" w:bidi="fr-FR"/>
        </w:rPr>
        <w:t>r</w:t>
      </w:r>
      <w:r w:rsidRPr="00C30976">
        <w:rPr>
          <w:lang w:eastAsia="fr-FR" w:bidi="fr-FR"/>
        </w:rPr>
        <w:t xml:space="preserve">tisane, à partir de 1994, a atteint des taux record depuis le début du siècle, contrastant avec la grande atomisation politique des années </w:t>
      </w:r>
      <w:r>
        <w:rPr>
          <w:lang w:eastAsia="fr-FR" w:bidi="fr-FR"/>
        </w:rPr>
        <w:t>1</w:t>
      </w:r>
      <w:r w:rsidRPr="00C30976">
        <w:rPr>
          <w:lang w:eastAsia="fr-FR" w:bidi="fr-FR"/>
        </w:rPr>
        <w:t>960 et 1970. Cette situation s’est atténuée à la suite du 11 septembre 2001, le consensus en politique étrangère refaisant son a</w:t>
      </w:r>
      <w:r w:rsidRPr="00C30976">
        <w:rPr>
          <w:lang w:eastAsia="fr-FR" w:bidi="fr-FR"/>
        </w:rPr>
        <w:t>p</w:t>
      </w:r>
      <w:r w:rsidRPr="00C30976">
        <w:rPr>
          <w:lang w:eastAsia="fr-FR" w:bidi="fr-FR"/>
        </w:rPr>
        <w:t>par</w:t>
      </w:r>
      <w:r w:rsidRPr="00C30976">
        <w:rPr>
          <w:lang w:eastAsia="fr-FR" w:bidi="fr-FR"/>
        </w:rPr>
        <w:t>i</w:t>
      </w:r>
      <w:r w:rsidRPr="00C30976">
        <w:rPr>
          <w:lang w:eastAsia="fr-FR" w:bidi="fr-FR"/>
        </w:rPr>
        <w:t>tion pour plusieurs années, au bénéfice de George W. Bush.</w:t>
      </w:r>
    </w:p>
    <w:p w14:paraId="2FE1235F" w14:textId="77777777" w:rsidR="0039793A" w:rsidRPr="00C30976" w:rsidRDefault="0039793A" w:rsidP="0039793A">
      <w:pPr>
        <w:spacing w:before="120" w:after="120"/>
        <w:jc w:val="both"/>
      </w:pPr>
      <w:r>
        <w:t>[280]</w:t>
      </w:r>
    </w:p>
    <w:p w14:paraId="6B16C1CF" w14:textId="77777777" w:rsidR="0039793A" w:rsidRPr="00C30976" w:rsidRDefault="0039793A" w:rsidP="0039793A">
      <w:pPr>
        <w:spacing w:before="120" w:after="120"/>
        <w:jc w:val="both"/>
      </w:pPr>
      <w:r w:rsidRPr="00C30976">
        <w:rPr>
          <w:lang w:eastAsia="fr-FR" w:bidi="fr-FR"/>
        </w:rPr>
        <w:t>On a vu quelles étaient les incitations qu’avaient les élus à ne se préoccuper que de leur électorat, à voter en se souciant uniquement de leur district (ou de leur conscience) en tout individualisme.</w:t>
      </w:r>
    </w:p>
    <w:p w14:paraId="63161B48" w14:textId="77777777" w:rsidR="0039793A" w:rsidRPr="00C30976" w:rsidRDefault="0039793A" w:rsidP="0039793A">
      <w:pPr>
        <w:spacing w:before="120" w:after="120"/>
        <w:jc w:val="both"/>
      </w:pPr>
      <w:r w:rsidRPr="00C30976">
        <w:rPr>
          <w:lang w:eastAsia="fr-FR" w:bidi="fr-FR"/>
        </w:rPr>
        <w:t>Pour maintenir l’unité dans ses rangs, le parti dispose du soutien électoral, en argent et en logist</w:t>
      </w:r>
      <w:r w:rsidRPr="00C30976">
        <w:rPr>
          <w:lang w:eastAsia="fr-FR" w:bidi="fr-FR"/>
        </w:rPr>
        <w:t>i</w:t>
      </w:r>
      <w:r w:rsidRPr="00C30976">
        <w:rPr>
          <w:lang w:eastAsia="fr-FR" w:bidi="fr-FR"/>
        </w:rPr>
        <w:t>que, qui n’est cependant pas toujours déterminant, notamment pour les sénateurs dont l’organisation de campagne est souvent très indépendante de leur parti. Il y a également le fait que les structures des partis au niveau des États restent très i</w:t>
      </w:r>
      <w:r w:rsidRPr="00C30976">
        <w:rPr>
          <w:lang w:eastAsia="fr-FR" w:bidi="fr-FR"/>
        </w:rPr>
        <w:t>m</w:t>
      </w:r>
      <w:r w:rsidRPr="00C30976">
        <w:rPr>
          <w:lang w:eastAsia="fr-FR" w:bidi="fr-FR"/>
        </w:rPr>
        <w:t>portantes et se soucient peu des votes de leur élu à Washington. Ces moyens de pression ne sont donc pas d’une efficacité absolue. En r</w:t>
      </w:r>
      <w:r w:rsidRPr="00C30976">
        <w:rPr>
          <w:lang w:eastAsia="fr-FR" w:bidi="fr-FR"/>
        </w:rPr>
        <w:t>e</w:t>
      </w:r>
      <w:r w:rsidRPr="00C30976">
        <w:rPr>
          <w:lang w:eastAsia="fr-FR" w:bidi="fr-FR"/>
        </w:rPr>
        <w:t>vanche, au Congrès, les chefs des deux partis détiennent des instr</w:t>
      </w:r>
      <w:r w:rsidRPr="00C30976">
        <w:rPr>
          <w:lang w:eastAsia="fr-FR" w:bidi="fr-FR"/>
        </w:rPr>
        <w:t>u</w:t>
      </w:r>
      <w:r w:rsidRPr="00C30976">
        <w:rPr>
          <w:lang w:eastAsia="fr-FR" w:bidi="fr-FR"/>
        </w:rPr>
        <w:t>ments de coe</w:t>
      </w:r>
      <w:r w:rsidRPr="00C30976">
        <w:rPr>
          <w:lang w:eastAsia="fr-FR" w:bidi="fr-FR"/>
        </w:rPr>
        <w:t>r</w:t>
      </w:r>
      <w:r w:rsidRPr="00C30976">
        <w:rPr>
          <w:lang w:eastAsia="fr-FR" w:bidi="fr-FR"/>
        </w:rPr>
        <w:t>cition.</w:t>
      </w:r>
    </w:p>
    <w:p w14:paraId="62218760" w14:textId="77777777" w:rsidR="0039793A" w:rsidRPr="00C30976" w:rsidRDefault="0039793A" w:rsidP="0039793A">
      <w:pPr>
        <w:spacing w:before="120" w:after="120"/>
        <w:jc w:val="both"/>
      </w:pPr>
      <w:r w:rsidRPr="00C30976">
        <w:rPr>
          <w:lang w:eastAsia="fr-FR" w:bidi="fr-FR"/>
        </w:rPr>
        <w:t>Le leadership du parti majoritaire à la Chambre se compose du très puissant président de la Cha</w:t>
      </w:r>
      <w:r w:rsidRPr="00C30976">
        <w:rPr>
          <w:lang w:eastAsia="fr-FR" w:bidi="fr-FR"/>
        </w:rPr>
        <w:t>m</w:t>
      </w:r>
      <w:r w:rsidRPr="00C30976">
        <w:rPr>
          <w:lang w:eastAsia="fr-FR" w:bidi="fr-FR"/>
        </w:rPr>
        <w:t xml:space="preserve">bre </w:t>
      </w:r>
      <w:r w:rsidRPr="00C30976">
        <w:t>(</w:t>
      </w:r>
      <w:r w:rsidRPr="00B040CB">
        <w:rPr>
          <w:i/>
          <w:iCs/>
        </w:rPr>
        <w:t>Speaker</w:t>
      </w:r>
      <w:r w:rsidRPr="00C30976">
        <w:t>),</w:t>
      </w:r>
      <w:r w:rsidRPr="00C30976">
        <w:rPr>
          <w:lang w:eastAsia="fr-FR" w:bidi="fr-FR"/>
        </w:rPr>
        <w:t xml:space="preserve"> du chef de la majorité </w:t>
      </w:r>
      <w:r w:rsidRPr="00C30976">
        <w:t>(</w:t>
      </w:r>
      <w:r w:rsidRPr="00B040CB">
        <w:rPr>
          <w:i/>
          <w:iCs/>
        </w:rPr>
        <w:t>Whip</w:t>
      </w:r>
      <w:r w:rsidRPr="00C30976">
        <w:t>,</w:t>
      </w:r>
      <w:r w:rsidRPr="00C30976">
        <w:rPr>
          <w:lang w:eastAsia="fr-FR" w:bidi="fr-FR"/>
        </w:rPr>
        <w:t xml:space="preserve"> chef de file ou fouet, c’est-à-dire celui qui doit tenter de faire rentrer dans le rang les élus indociles) et enfin du secrétaire du parti </w:t>
      </w:r>
      <w:r w:rsidRPr="00C30976">
        <w:t>(</w:t>
      </w:r>
      <w:r w:rsidRPr="00B040CB">
        <w:rPr>
          <w:i/>
          <w:iCs/>
        </w:rPr>
        <w:t>Conf</w:t>
      </w:r>
      <w:r>
        <w:rPr>
          <w:i/>
          <w:iCs/>
        </w:rPr>
        <w:t>e</w:t>
      </w:r>
      <w:r w:rsidRPr="00B040CB">
        <w:rPr>
          <w:i/>
          <w:iCs/>
        </w:rPr>
        <w:t>rence chair</w:t>
      </w:r>
      <w:r w:rsidRPr="00C30976">
        <w:t>).</w:t>
      </w:r>
      <w:r w:rsidRPr="00C30976">
        <w:rPr>
          <w:lang w:eastAsia="fr-FR" w:bidi="fr-FR"/>
        </w:rPr>
        <w:t xml:space="preserve"> Il en va de même pour le parti minoritaire (en d</w:t>
      </w:r>
      <w:r w:rsidRPr="00C30976">
        <w:rPr>
          <w:lang w:eastAsia="fr-FR" w:bidi="fr-FR"/>
        </w:rPr>
        <w:t>e</w:t>
      </w:r>
      <w:r w:rsidRPr="00C30976">
        <w:rPr>
          <w:lang w:eastAsia="fr-FR" w:bidi="fr-FR"/>
        </w:rPr>
        <w:t xml:space="preserve">hors du </w:t>
      </w:r>
      <w:r w:rsidRPr="00C30976">
        <w:t>Speaker</w:t>
      </w:r>
      <w:r w:rsidRPr="00C30976">
        <w:rPr>
          <w:lang w:eastAsia="fr-FR" w:bidi="fr-FR"/>
        </w:rPr>
        <w:t xml:space="preserve"> bien entendu). Au Sénat, la composition du leader</w:t>
      </w:r>
      <w:r w:rsidRPr="00C30976">
        <w:rPr>
          <w:lang w:eastAsia="fr-FR" w:bidi="fr-FR"/>
        </w:rPr>
        <w:t>s</w:t>
      </w:r>
      <w:r w:rsidRPr="00C30976">
        <w:rPr>
          <w:lang w:eastAsia="fr-FR" w:bidi="fr-FR"/>
        </w:rPr>
        <w:t>hip est le même</w:t>
      </w:r>
      <w:r w:rsidRPr="00C30976">
        <w:t> ;</w:t>
      </w:r>
      <w:r w:rsidRPr="00C30976">
        <w:rPr>
          <w:lang w:eastAsia="fr-FR" w:bidi="fr-FR"/>
        </w:rPr>
        <w:t xml:space="preserve"> il n’y a pas de présidence pa</w:t>
      </w:r>
      <w:r w:rsidRPr="00C30976">
        <w:rPr>
          <w:lang w:eastAsia="fr-FR" w:bidi="fr-FR"/>
        </w:rPr>
        <w:t>r</w:t>
      </w:r>
      <w:r w:rsidRPr="00C30976">
        <w:rPr>
          <w:lang w:eastAsia="fr-FR" w:bidi="fr-FR"/>
        </w:rPr>
        <w:t>tisane car c’est au vice-président des États-Unis que revient ce rôle de droit. Le membre le plus puissant du Sénat est donc le chef de la majorité. Le leader</w:t>
      </w:r>
      <w:r w:rsidRPr="00C30976">
        <w:rPr>
          <w:lang w:eastAsia="fr-FR" w:bidi="fr-FR"/>
        </w:rPr>
        <w:t>s</w:t>
      </w:r>
      <w:r w:rsidRPr="00C30976">
        <w:rPr>
          <w:lang w:eastAsia="fr-FR" w:bidi="fr-FR"/>
        </w:rPr>
        <w:t>hip du parti majoritaire à la Chambre contrôle le calendrier des débats, le temps de discussion de chaque partie d’un texte, décide quels ame</w:t>
      </w:r>
      <w:r w:rsidRPr="00C30976">
        <w:rPr>
          <w:lang w:eastAsia="fr-FR" w:bidi="fr-FR"/>
        </w:rPr>
        <w:t>n</w:t>
      </w:r>
      <w:r w:rsidRPr="00C30976">
        <w:rPr>
          <w:lang w:eastAsia="fr-FR" w:bidi="fr-FR"/>
        </w:rPr>
        <w:t xml:space="preserve">dements seront discutés, et détient donc la clé de tout ce qui se passe au Congrès. La situation est beaucoup plus aléatoire au Sénat, où le chef de la majorité n’a qu’un contrôle relatif de l’ordre du jour. En effet, les sénateurs peuvent plus librement proposer des amendements qui seront discutés en séance. Plus important, le </w:t>
      </w:r>
      <w:r w:rsidRPr="00C30976">
        <w:t>Speaker</w:t>
      </w:r>
      <w:r w:rsidRPr="00C30976">
        <w:rPr>
          <w:lang w:eastAsia="fr-FR" w:bidi="fr-FR"/>
        </w:rPr>
        <w:t xml:space="preserve"> et ses coll</w:t>
      </w:r>
      <w:r w:rsidRPr="00C30976">
        <w:rPr>
          <w:lang w:eastAsia="fr-FR" w:bidi="fr-FR"/>
        </w:rPr>
        <w:t>è</w:t>
      </w:r>
      <w:r w:rsidRPr="00C30976">
        <w:rPr>
          <w:lang w:eastAsia="fr-FR" w:bidi="fr-FR"/>
        </w:rPr>
        <w:t>gues détiennent la clé essentielle des nominations aux commissions et sous-commissions, de même que celle de l’accès aux ressources en assistants, secrétariat (</w:t>
      </w:r>
      <w:r w:rsidRPr="00F463F8">
        <w:rPr>
          <w:i/>
          <w:iCs/>
        </w:rPr>
        <w:t>staff</w:t>
      </w:r>
      <w:r w:rsidRPr="00C30976">
        <w:t>)</w:t>
      </w:r>
      <w:r w:rsidRPr="00C30976">
        <w:rPr>
          <w:lang w:eastAsia="fr-FR" w:bidi="fr-FR"/>
        </w:rPr>
        <w:t xml:space="preserve"> et en argent</w:t>
      </w:r>
      <w:r>
        <w:rPr>
          <w:lang w:eastAsia="fr-FR" w:bidi="fr-FR"/>
        </w:rPr>
        <w:t> </w:t>
      </w:r>
      <w:r>
        <w:rPr>
          <w:rStyle w:val="Appelnotedebasdep"/>
          <w:lang w:eastAsia="fr-FR" w:bidi="fr-FR"/>
        </w:rPr>
        <w:footnoteReference w:id="563"/>
      </w:r>
      <w:r w:rsidRPr="00C30976">
        <w:t> ;</w:t>
      </w:r>
      <w:r w:rsidRPr="00C30976">
        <w:rPr>
          <w:lang w:eastAsia="fr-FR" w:bidi="fr-FR"/>
        </w:rPr>
        <w:t xml:space="preserve"> de quoi inciter les élus à les respecter.</w:t>
      </w:r>
    </w:p>
    <w:p w14:paraId="3B534F22" w14:textId="77777777" w:rsidR="0039793A" w:rsidRPr="00C30976" w:rsidRDefault="0039793A" w:rsidP="0039793A">
      <w:pPr>
        <w:spacing w:before="120" w:after="120"/>
        <w:jc w:val="both"/>
      </w:pPr>
      <w:r w:rsidRPr="00C30976">
        <w:rPr>
          <w:lang w:eastAsia="fr-FR" w:bidi="fr-FR"/>
        </w:rPr>
        <w:t>Il faut surtout prendre en compte un phénomène historique qui vient appuyer les progrès de l’unité partisane dans les deux chambres</w:t>
      </w:r>
      <w:r w:rsidRPr="00C30976">
        <w:t> :</w:t>
      </w:r>
      <w:r w:rsidRPr="00C30976">
        <w:rPr>
          <w:lang w:eastAsia="fr-FR" w:bidi="fr-FR"/>
        </w:rPr>
        <w:t xml:space="preserve"> l’homogénéisation idéologique des partis (les Am</w:t>
      </w:r>
      <w:r w:rsidRPr="00C30976">
        <w:rPr>
          <w:lang w:eastAsia="fr-FR" w:bidi="fr-FR"/>
        </w:rPr>
        <w:t>é</w:t>
      </w:r>
      <w:r w:rsidRPr="00C30976">
        <w:rPr>
          <w:lang w:eastAsia="fr-FR" w:bidi="fr-FR"/>
        </w:rPr>
        <w:t xml:space="preserve">ricains désignent par </w:t>
      </w:r>
      <w:r w:rsidRPr="00C30976">
        <w:t>« </w:t>
      </w:r>
      <w:r w:rsidRPr="00C30976">
        <w:rPr>
          <w:lang w:eastAsia="fr-FR" w:bidi="fr-FR"/>
        </w:rPr>
        <w:t>idéologie</w:t>
      </w:r>
      <w:r w:rsidRPr="00C30976">
        <w:t> »</w:t>
      </w:r>
      <w:r w:rsidRPr="00C30976">
        <w:rPr>
          <w:lang w:eastAsia="fr-FR" w:bidi="fr-FR"/>
        </w:rPr>
        <w:t xml:space="preserve"> l’opposition</w:t>
      </w:r>
      <w:r>
        <w:t xml:space="preserve"> [281]</w:t>
      </w:r>
      <w:r>
        <w:rPr>
          <w:lang w:eastAsia="fr-FR" w:bidi="fr-FR"/>
        </w:rPr>
        <w:t xml:space="preserve"> conserva</w:t>
      </w:r>
      <w:r w:rsidRPr="00C30976">
        <w:rPr>
          <w:lang w:eastAsia="fr-FR" w:bidi="fr-FR"/>
        </w:rPr>
        <w:t>teurs/libéraux</w:t>
      </w:r>
      <w:r>
        <w:rPr>
          <w:lang w:eastAsia="fr-FR" w:bidi="fr-FR"/>
        </w:rPr>
        <w:t> </w:t>
      </w:r>
      <w:r>
        <w:rPr>
          <w:rStyle w:val="Appelnotedebasdep"/>
          <w:lang w:eastAsia="fr-FR" w:bidi="fr-FR"/>
        </w:rPr>
        <w:footnoteReference w:id="564"/>
      </w:r>
      <w:r w:rsidRPr="00C30976">
        <w:rPr>
          <w:lang w:eastAsia="fr-FR" w:bidi="fr-FR"/>
        </w:rPr>
        <w:t xml:space="preserve"> qui, comme on le sait, a lon</w:t>
      </w:r>
      <w:r w:rsidRPr="00C30976">
        <w:rPr>
          <w:lang w:eastAsia="fr-FR" w:bidi="fr-FR"/>
        </w:rPr>
        <w:t>g</w:t>
      </w:r>
      <w:r w:rsidRPr="00C30976">
        <w:rPr>
          <w:lang w:eastAsia="fr-FR" w:bidi="fr-FR"/>
        </w:rPr>
        <w:t>temps transcendé les frontières de parti). Pour des raisons de géographie électorale — les républicains conquérant presque totalement le Sud autrefois d</w:t>
      </w:r>
      <w:r w:rsidRPr="00C30976">
        <w:rPr>
          <w:lang w:eastAsia="fr-FR" w:bidi="fr-FR"/>
        </w:rPr>
        <w:t>é</w:t>
      </w:r>
      <w:r w:rsidRPr="00C30976">
        <w:rPr>
          <w:lang w:eastAsia="fr-FR" w:bidi="fr-FR"/>
        </w:rPr>
        <w:t>tenu par les démocrates, tandis que les démocrates renforcent leurs pos</w:t>
      </w:r>
      <w:r w:rsidRPr="00C30976">
        <w:rPr>
          <w:lang w:eastAsia="fr-FR" w:bidi="fr-FR"/>
        </w:rPr>
        <w:t>i</w:t>
      </w:r>
      <w:r w:rsidRPr="00C30976">
        <w:rPr>
          <w:lang w:eastAsia="fr-FR" w:bidi="fr-FR"/>
        </w:rPr>
        <w:t>tions dans le Nord-Est et sur les deux côtes — les conservateurs sont de plus en plus souvent rép</w:t>
      </w:r>
      <w:r w:rsidRPr="00C30976">
        <w:rPr>
          <w:lang w:eastAsia="fr-FR" w:bidi="fr-FR"/>
        </w:rPr>
        <w:t>u</w:t>
      </w:r>
      <w:r w:rsidRPr="00C30976">
        <w:rPr>
          <w:lang w:eastAsia="fr-FR" w:bidi="fr-FR"/>
        </w:rPr>
        <w:t>blicains et les libéraux de plus en plus souvent démocrates. Cette pol</w:t>
      </w:r>
      <w:r w:rsidRPr="00C30976">
        <w:rPr>
          <w:lang w:eastAsia="fr-FR" w:bidi="fr-FR"/>
        </w:rPr>
        <w:t>a</w:t>
      </w:r>
      <w:r w:rsidRPr="00C30976">
        <w:rPr>
          <w:lang w:eastAsia="fr-FR" w:bidi="fr-FR"/>
        </w:rPr>
        <w:t>risation partisane des tendances idéologiques a exacerbé les luttes e</w:t>
      </w:r>
      <w:r w:rsidRPr="00C30976">
        <w:rPr>
          <w:lang w:eastAsia="fr-FR" w:bidi="fr-FR"/>
        </w:rPr>
        <w:t>n</w:t>
      </w:r>
      <w:r w:rsidRPr="00C30976">
        <w:rPr>
          <w:lang w:eastAsia="fr-FR" w:bidi="fr-FR"/>
        </w:rPr>
        <w:t>tre démocrates et républicains, re</w:t>
      </w:r>
      <w:r w:rsidRPr="00C30976">
        <w:rPr>
          <w:lang w:eastAsia="fr-FR" w:bidi="fr-FR"/>
        </w:rPr>
        <w:t>n</w:t>
      </w:r>
      <w:r w:rsidRPr="00C30976">
        <w:rPr>
          <w:lang w:eastAsia="fr-FR" w:bidi="fr-FR"/>
        </w:rPr>
        <w:t xml:space="preserve">dant les compromis plus difficiles. La </w:t>
      </w:r>
      <w:r w:rsidRPr="00C30976">
        <w:t>« </w:t>
      </w:r>
      <w:r w:rsidRPr="00C30976">
        <w:rPr>
          <w:lang w:eastAsia="fr-FR" w:bidi="fr-FR"/>
        </w:rPr>
        <w:t>cohabitation</w:t>
      </w:r>
      <w:r w:rsidRPr="00C30976">
        <w:t> »</w:t>
      </w:r>
      <w:r w:rsidRPr="00C30976">
        <w:rPr>
          <w:lang w:eastAsia="fr-FR" w:bidi="fr-FR"/>
        </w:rPr>
        <w:t xml:space="preserve"> qui a repris en 1994 pour s’achever provisoir</w:t>
      </w:r>
      <w:r w:rsidRPr="00C30976">
        <w:rPr>
          <w:lang w:eastAsia="fr-FR" w:bidi="fr-FR"/>
        </w:rPr>
        <w:t>e</w:t>
      </w:r>
      <w:r w:rsidRPr="00C30976">
        <w:rPr>
          <w:lang w:eastAsia="fr-FR" w:bidi="fr-FR"/>
        </w:rPr>
        <w:t>ment fin 2002 n’a fait qu’empirer les choses, la haine des conserv</w:t>
      </w:r>
      <w:r w:rsidRPr="00C30976">
        <w:rPr>
          <w:lang w:eastAsia="fr-FR" w:bidi="fr-FR"/>
        </w:rPr>
        <w:t>a</w:t>
      </w:r>
      <w:r w:rsidRPr="00C30976">
        <w:rPr>
          <w:lang w:eastAsia="fr-FR" w:bidi="fr-FR"/>
        </w:rPr>
        <w:t>teurs pour B. Clinton poussant le parti r</w:t>
      </w:r>
      <w:r w:rsidRPr="00C30976">
        <w:rPr>
          <w:lang w:eastAsia="fr-FR" w:bidi="fr-FR"/>
        </w:rPr>
        <w:t>é</w:t>
      </w:r>
      <w:r w:rsidRPr="00C30976">
        <w:rPr>
          <w:lang w:eastAsia="fr-FR" w:bidi="fr-FR"/>
        </w:rPr>
        <w:t>publicain à une radicalisation qui s’est fait sentir, notamment, en politique étrangère. Ainsi, Newt Gingrich, Bob Dole (chef de la maj</w:t>
      </w:r>
      <w:r w:rsidRPr="00C30976">
        <w:rPr>
          <w:lang w:eastAsia="fr-FR" w:bidi="fr-FR"/>
        </w:rPr>
        <w:t>o</w:t>
      </w:r>
      <w:r w:rsidRPr="00C30976">
        <w:rPr>
          <w:lang w:eastAsia="fr-FR" w:bidi="fr-FR"/>
        </w:rPr>
        <w:t>rité au Sénat) et Jesse Helms se sont servis des affaires étrangères pour tenter de décrédibiliser le pr</w:t>
      </w:r>
      <w:r w:rsidRPr="00C30976">
        <w:rPr>
          <w:lang w:eastAsia="fr-FR" w:bidi="fr-FR"/>
        </w:rPr>
        <w:t>é</w:t>
      </w:r>
      <w:r w:rsidRPr="00C30976">
        <w:rPr>
          <w:lang w:eastAsia="fr-FR" w:bidi="fr-FR"/>
        </w:rPr>
        <w:t>sident</w:t>
      </w:r>
      <w:r w:rsidRPr="00C30976">
        <w:t> :</w:t>
      </w:r>
      <w:r w:rsidRPr="00C30976">
        <w:rPr>
          <w:lang w:eastAsia="fr-FR" w:bidi="fr-FR"/>
        </w:rPr>
        <w:t xml:space="preserve"> par tous les moyens, il fa</w:t>
      </w:r>
      <w:r w:rsidRPr="00C30976">
        <w:rPr>
          <w:lang w:eastAsia="fr-FR" w:bidi="fr-FR"/>
        </w:rPr>
        <w:t>l</w:t>
      </w:r>
      <w:r w:rsidRPr="00C30976">
        <w:rPr>
          <w:lang w:eastAsia="fr-FR" w:bidi="fr-FR"/>
        </w:rPr>
        <w:t>lait empêcher sa réélection fin 1996. Ces deux années du 104</w:t>
      </w:r>
      <w:r w:rsidRPr="00C30976">
        <w:rPr>
          <w:vertAlign w:val="superscript"/>
          <w:lang w:eastAsia="fr-FR" w:bidi="fr-FR"/>
        </w:rPr>
        <w:t>e</w:t>
      </w:r>
      <w:r w:rsidRPr="00C30976">
        <w:rPr>
          <w:lang w:eastAsia="fr-FR" w:bidi="fr-FR"/>
        </w:rPr>
        <w:t xml:space="preserve"> Congrès (1995-1996) sont marquées par un affrontement brutal entre le Législatif et l’Exécutif en politique étra</w:t>
      </w:r>
      <w:r w:rsidRPr="00C30976">
        <w:rPr>
          <w:lang w:eastAsia="fr-FR" w:bidi="fr-FR"/>
        </w:rPr>
        <w:t>n</w:t>
      </w:r>
      <w:r w:rsidRPr="00C30976">
        <w:rPr>
          <w:lang w:eastAsia="fr-FR" w:bidi="fr-FR"/>
        </w:rPr>
        <w:t>gère</w:t>
      </w:r>
      <w:r>
        <w:rPr>
          <w:lang w:eastAsia="fr-FR" w:bidi="fr-FR"/>
        </w:rPr>
        <w:t> </w:t>
      </w:r>
      <w:r>
        <w:rPr>
          <w:rStyle w:val="Appelnotedebasdep"/>
          <w:lang w:eastAsia="fr-FR" w:bidi="fr-FR"/>
        </w:rPr>
        <w:footnoteReference w:id="565"/>
      </w:r>
      <w:r w:rsidRPr="00C30976">
        <w:rPr>
          <w:lang w:eastAsia="fr-FR" w:bidi="fr-FR"/>
        </w:rPr>
        <w:t>. Mais le parti r</w:t>
      </w:r>
      <w:r w:rsidRPr="00C30976">
        <w:rPr>
          <w:lang w:eastAsia="fr-FR" w:bidi="fr-FR"/>
        </w:rPr>
        <w:t>é</w:t>
      </w:r>
      <w:r w:rsidRPr="00C30976">
        <w:rPr>
          <w:lang w:eastAsia="fr-FR" w:bidi="fr-FR"/>
        </w:rPr>
        <w:t>publicain manque d’expérience législative, et commet beaucoup d’erreurs, en part</w:t>
      </w:r>
      <w:r w:rsidRPr="00C30976">
        <w:rPr>
          <w:lang w:eastAsia="fr-FR" w:bidi="fr-FR"/>
        </w:rPr>
        <w:t>i</w:t>
      </w:r>
      <w:r w:rsidRPr="00C30976">
        <w:rPr>
          <w:lang w:eastAsia="fr-FR" w:bidi="fr-FR"/>
        </w:rPr>
        <w:t>culier dans la lutte sur le budget</w:t>
      </w:r>
      <w:r w:rsidRPr="00C30976">
        <w:t> ;</w:t>
      </w:r>
      <w:r w:rsidRPr="00C30976">
        <w:rPr>
          <w:lang w:eastAsia="fr-FR" w:bidi="fr-FR"/>
        </w:rPr>
        <w:t xml:space="preserve"> devant les excès de Newt Gingrich, la cote du président remonte et il est réélu en n</w:t>
      </w:r>
      <w:r w:rsidRPr="00C30976">
        <w:rPr>
          <w:lang w:eastAsia="fr-FR" w:bidi="fr-FR"/>
        </w:rPr>
        <w:t>o</w:t>
      </w:r>
      <w:r w:rsidRPr="00C30976">
        <w:rPr>
          <w:lang w:eastAsia="fr-FR" w:bidi="fr-FR"/>
        </w:rPr>
        <w:t>vembre 1996. S’ouvrent alors deux années (105</w:t>
      </w:r>
      <w:r w:rsidRPr="00C30976">
        <w:rPr>
          <w:vertAlign w:val="superscript"/>
          <w:lang w:eastAsia="fr-FR" w:bidi="fr-FR"/>
        </w:rPr>
        <w:t>e</w:t>
      </w:r>
      <w:r w:rsidRPr="00C30976">
        <w:rPr>
          <w:lang w:eastAsia="fr-FR" w:bidi="fr-FR"/>
        </w:rPr>
        <w:t xml:space="preserve"> Congrès, 1997-1998) un peu plus calmes. Le parti républicain est to</w:t>
      </w:r>
      <w:r w:rsidRPr="00C30976">
        <w:rPr>
          <w:lang w:eastAsia="fr-FR" w:bidi="fr-FR"/>
        </w:rPr>
        <w:t>u</w:t>
      </w:r>
      <w:r w:rsidRPr="00C30976">
        <w:rPr>
          <w:lang w:eastAsia="fr-FR" w:bidi="fr-FR"/>
        </w:rPr>
        <w:t xml:space="preserve">jours majoritaire mais il est affaibli par les luttes intestines qui ont marqué la réélection de Newt Gingrich au poste de </w:t>
      </w:r>
      <w:r w:rsidRPr="00C30976">
        <w:t>Speaker</w:t>
      </w:r>
      <w:r w:rsidRPr="00C30976">
        <w:rPr>
          <w:lang w:eastAsia="fr-FR" w:bidi="fr-FR"/>
        </w:rPr>
        <w:t>, suite à des problèmes d’ordre éthique (il était accusé d’avoir accepté des contributions f</w:t>
      </w:r>
      <w:r w:rsidRPr="00C30976">
        <w:rPr>
          <w:lang w:eastAsia="fr-FR" w:bidi="fr-FR"/>
        </w:rPr>
        <w:t>i</w:t>
      </w:r>
      <w:r w:rsidRPr="00C30976">
        <w:rPr>
          <w:lang w:eastAsia="fr-FR" w:bidi="fr-FR"/>
        </w:rPr>
        <w:t>nancières illégales). Si les rapports entre Exécutif et Législatif sont plus pragm</w:t>
      </w:r>
      <w:r w:rsidRPr="00C30976">
        <w:rPr>
          <w:lang w:eastAsia="fr-FR" w:bidi="fr-FR"/>
        </w:rPr>
        <w:t>a</w:t>
      </w:r>
      <w:r w:rsidRPr="00C30976">
        <w:rPr>
          <w:lang w:eastAsia="fr-FR" w:bidi="fr-FR"/>
        </w:rPr>
        <w:t xml:space="preserve">tiques, il reste que les conservateurs sont de plus en plus irrités par la tactique de </w:t>
      </w:r>
      <w:r w:rsidRPr="00C30976">
        <w:t>« </w:t>
      </w:r>
      <w:r w:rsidRPr="00C30976">
        <w:rPr>
          <w:lang w:eastAsia="fr-FR" w:bidi="fr-FR"/>
        </w:rPr>
        <w:t>triangulation</w:t>
      </w:r>
      <w:r w:rsidRPr="00C30976">
        <w:t> »</w:t>
      </w:r>
      <w:r w:rsidRPr="00C30976">
        <w:rPr>
          <w:lang w:eastAsia="fr-FR" w:bidi="fr-FR"/>
        </w:rPr>
        <w:t xml:space="preserve"> du président, consistant à adopter la mo</w:t>
      </w:r>
      <w:r w:rsidRPr="00C30976">
        <w:rPr>
          <w:lang w:eastAsia="fr-FR" w:bidi="fr-FR"/>
        </w:rPr>
        <w:t>i</w:t>
      </w:r>
      <w:r w:rsidRPr="00C30976">
        <w:rPr>
          <w:lang w:eastAsia="fr-FR" w:bidi="fr-FR"/>
        </w:rPr>
        <w:t>tié des thèmes les plus populaires des</w:t>
      </w:r>
      <w:r>
        <w:t xml:space="preserve"> [282] </w:t>
      </w:r>
      <w:r w:rsidRPr="00C30976">
        <w:rPr>
          <w:lang w:eastAsia="fr-FR" w:bidi="fr-FR"/>
        </w:rPr>
        <w:t>républicains (réforme de l’aide sociale, durci</w:t>
      </w:r>
      <w:r w:rsidRPr="00C30976">
        <w:rPr>
          <w:lang w:eastAsia="fr-FR" w:bidi="fr-FR"/>
        </w:rPr>
        <w:t>s</w:t>
      </w:r>
      <w:r w:rsidRPr="00C30976">
        <w:rPr>
          <w:lang w:eastAsia="fr-FR" w:bidi="fr-FR"/>
        </w:rPr>
        <w:t>sement de l’embargo envers Cuba, etc.), et de les dénoncer comme extrémistes pour la mo</w:t>
      </w:r>
      <w:r w:rsidRPr="00C30976">
        <w:rPr>
          <w:lang w:eastAsia="fr-FR" w:bidi="fr-FR"/>
        </w:rPr>
        <w:t>i</w:t>
      </w:r>
      <w:r w:rsidRPr="00C30976">
        <w:rPr>
          <w:lang w:eastAsia="fr-FR" w:bidi="fr-FR"/>
        </w:rPr>
        <w:t>tié resta</w:t>
      </w:r>
      <w:r w:rsidRPr="00C30976">
        <w:rPr>
          <w:lang w:eastAsia="fr-FR" w:bidi="fr-FR"/>
        </w:rPr>
        <w:t>n</w:t>
      </w:r>
      <w:r w:rsidRPr="00C30976">
        <w:rPr>
          <w:lang w:eastAsia="fr-FR" w:bidi="fr-FR"/>
        </w:rPr>
        <w:t>te. Cette usurpation de programme et d’identité amène peu à peu le renforcement d’une attitude de mépris personnel pour le prés</w:t>
      </w:r>
      <w:r w:rsidRPr="00C30976">
        <w:rPr>
          <w:lang w:eastAsia="fr-FR" w:bidi="fr-FR"/>
        </w:rPr>
        <w:t>i</w:t>
      </w:r>
      <w:r w:rsidRPr="00C30976">
        <w:rPr>
          <w:lang w:eastAsia="fr-FR" w:bidi="fr-FR"/>
        </w:rPr>
        <w:t>dent</w:t>
      </w:r>
      <w:r w:rsidRPr="00C30976">
        <w:t> :</w:t>
      </w:r>
      <w:r w:rsidRPr="00C30976">
        <w:rPr>
          <w:lang w:eastAsia="fr-FR" w:bidi="fr-FR"/>
        </w:rPr>
        <w:t xml:space="preserve"> puisqu’ils ne peuvent pas s’en prendre à ses idées - ce sont les leurs - les républicains s’en prennent à sa personne. Ils lui dénient sa légitimité et considèrent sa pr</w:t>
      </w:r>
      <w:r w:rsidRPr="00C30976">
        <w:rPr>
          <w:lang w:eastAsia="fr-FR" w:bidi="fr-FR"/>
        </w:rPr>
        <w:t>é</w:t>
      </w:r>
      <w:r w:rsidRPr="00C30976">
        <w:rPr>
          <w:lang w:eastAsia="fr-FR" w:bidi="fr-FR"/>
        </w:rPr>
        <w:t>sence à la Maison-Blanche comme une absurdité morale. Cette attitude, qui rend les compromis e</w:t>
      </w:r>
      <w:r w:rsidRPr="00C30976">
        <w:rPr>
          <w:lang w:eastAsia="fr-FR" w:bidi="fr-FR"/>
        </w:rPr>
        <w:t>n</w:t>
      </w:r>
      <w:r w:rsidRPr="00C30976">
        <w:rPr>
          <w:lang w:eastAsia="fr-FR" w:bidi="fr-FR"/>
        </w:rPr>
        <w:t>core plus difficiles, va être portée à son point d’orgue avec l’affaire Lewinsky qui éclate en ja</w:t>
      </w:r>
      <w:r w:rsidRPr="00C30976">
        <w:rPr>
          <w:lang w:eastAsia="fr-FR" w:bidi="fr-FR"/>
        </w:rPr>
        <w:t>n</w:t>
      </w:r>
      <w:r w:rsidRPr="00C30976">
        <w:rPr>
          <w:lang w:eastAsia="fr-FR" w:bidi="fr-FR"/>
        </w:rPr>
        <w:t>vier 1998, et dont les dégâts en politique étrangère côté Exécutif sont sensibles. Mal gérée par les le</w:t>
      </w:r>
      <w:r w:rsidRPr="00C30976">
        <w:rPr>
          <w:lang w:eastAsia="fr-FR" w:bidi="fr-FR"/>
        </w:rPr>
        <w:t>a</w:t>
      </w:r>
      <w:r w:rsidRPr="00C30976">
        <w:rPr>
          <w:lang w:eastAsia="fr-FR" w:bidi="fr-FR"/>
        </w:rPr>
        <w:t xml:space="preserve">ders conservateurs du parti républicain </w:t>
      </w:r>
      <w:r>
        <w:rPr>
          <w:lang w:eastAsia="fr-FR" w:bidi="fr-FR"/>
        </w:rPr>
        <w:t>—</w:t>
      </w:r>
      <w:r w:rsidRPr="00C30976">
        <w:rPr>
          <w:lang w:eastAsia="fr-FR" w:bidi="fr-FR"/>
        </w:rPr>
        <w:t>, les Am</w:t>
      </w:r>
      <w:r w:rsidRPr="00C30976">
        <w:rPr>
          <w:lang w:eastAsia="fr-FR" w:bidi="fr-FR"/>
        </w:rPr>
        <w:t>é</w:t>
      </w:r>
      <w:r w:rsidRPr="00C30976">
        <w:rPr>
          <w:lang w:eastAsia="fr-FR" w:bidi="fr-FR"/>
        </w:rPr>
        <w:t>ricains ne souhaitent pas le départ de B. Clinton et le soutiennent dans les sondages à mesure qu’ils condamnent l’attitude du procureur Kenneth Starr —, l’affaire L</w:t>
      </w:r>
      <w:r w:rsidRPr="00C30976">
        <w:rPr>
          <w:lang w:eastAsia="fr-FR" w:bidi="fr-FR"/>
        </w:rPr>
        <w:t>e</w:t>
      </w:r>
      <w:r w:rsidRPr="00C30976">
        <w:rPr>
          <w:lang w:eastAsia="fr-FR" w:bidi="fr-FR"/>
        </w:rPr>
        <w:t>winsky tourne à la confusion. Trois jours après les résultats médiocres de l’élection du 106</w:t>
      </w:r>
      <w:r w:rsidRPr="00C30976">
        <w:rPr>
          <w:vertAlign w:val="superscript"/>
          <w:lang w:eastAsia="fr-FR" w:bidi="fr-FR"/>
        </w:rPr>
        <w:t>e</w:t>
      </w:r>
      <w:r w:rsidRPr="00C30976">
        <w:rPr>
          <w:lang w:eastAsia="fr-FR" w:bidi="fr-FR"/>
        </w:rPr>
        <w:t xml:space="preserve"> Congrès (1999- 2000), où le parti républicain voit ses marges de majorité se réduire, Newt Gi</w:t>
      </w:r>
      <w:r w:rsidRPr="00C30976">
        <w:rPr>
          <w:lang w:eastAsia="fr-FR" w:bidi="fr-FR"/>
        </w:rPr>
        <w:t>n</w:t>
      </w:r>
      <w:r w:rsidRPr="00C30976">
        <w:rPr>
          <w:lang w:eastAsia="fr-FR" w:bidi="fr-FR"/>
        </w:rPr>
        <w:t xml:space="preserve">grich démissionne de son poste de </w:t>
      </w:r>
      <w:r w:rsidRPr="009C4F7E">
        <w:rPr>
          <w:i/>
          <w:iCs/>
        </w:rPr>
        <w:t>Speaker</w:t>
      </w:r>
      <w:r w:rsidRPr="00C30976">
        <w:rPr>
          <w:lang w:eastAsia="fr-FR" w:bidi="fr-FR"/>
        </w:rPr>
        <w:t xml:space="preserve"> et, après quelques péripéties, est remplacé par un inconnu plus pragmatique que lui, Dennis Hastert. Au terme de la phase processuelle de la procédure de dest</w:t>
      </w:r>
      <w:r w:rsidRPr="00C30976">
        <w:rPr>
          <w:lang w:eastAsia="fr-FR" w:bidi="fr-FR"/>
        </w:rPr>
        <w:t>i</w:t>
      </w:r>
      <w:r w:rsidRPr="00C30976">
        <w:rPr>
          <w:lang w:eastAsia="fr-FR" w:bidi="fr-FR"/>
        </w:rPr>
        <w:t>tution (février 1999), la Chambre retourne à son travail quotidien, renonçant à l’ambition des deux précédentes législatures de diriger la politique du pays et sa d</w:t>
      </w:r>
      <w:r w:rsidRPr="00C30976">
        <w:rPr>
          <w:lang w:eastAsia="fr-FR" w:bidi="fr-FR"/>
        </w:rPr>
        <w:t>i</w:t>
      </w:r>
      <w:r w:rsidRPr="00C30976">
        <w:rPr>
          <w:lang w:eastAsia="fr-FR" w:bidi="fr-FR"/>
        </w:rPr>
        <w:t>plomatie. La confrontation entre l’Exécutif et le Législatif se poursuit sur un ton acrimonieux. Peu à peu, à mesure qu’approchent les éle</w:t>
      </w:r>
      <w:r w:rsidRPr="00C30976">
        <w:rPr>
          <w:lang w:eastAsia="fr-FR" w:bidi="fr-FR"/>
        </w:rPr>
        <w:t>c</w:t>
      </w:r>
      <w:r w:rsidRPr="00C30976">
        <w:rPr>
          <w:lang w:eastAsia="fr-FR" w:bidi="fr-FR"/>
        </w:rPr>
        <w:t>tions, l’Administration perd de plus en plus de poids et ne peut plus reprendre l’initiative en polit</w:t>
      </w:r>
      <w:r w:rsidRPr="00C30976">
        <w:rPr>
          <w:lang w:eastAsia="fr-FR" w:bidi="fr-FR"/>
        </w:rPr>
        <w:t>i</w:t>
      </w:r>
      <w:r w:rsidRPr="00C30976">
        <w:rPr>
          <w:lang w:eastAsia="fr-FR" w:bidi="fr-FR"/>
        </w:rPr>
        <w:t>que étrangère au Congrès. Lorsque George W. Bush est déclaré élu par la Cour suprême</w:t>
      </w:r>
      <w:r>
        <w:rPr>
          <w:lang w:eastAsia="fr-FR" w:bidi="fr-FR"/>
        </w:rPr>
        <w:t> </w:t>
      </w:r>
      <w:r>
        <w:rPr>
          <w:rStyle w:val="Appelnotedebasdep"/>
          <w:lang w:eastAsia="fr-FR" w:bidi="fr-FR"/>
        </w:rPr>
        <w:footnoteReference w:id="566"/>
      </w:r>
      <w:r w:rsidRPr="00C30976">
        <w:rPr>
          <w:lang w:eastAsia="fr-FR" w:bidi="fr-FR"/>
        </w:rPr>
        <w:t xml:space="preserve"> en d</w:t>
      </w:r>
      <w:r w:rsidRPr="00C30976">
        <w:rPr>
          <w:lang w:eastAsia="fr-FR" w:bidi="fr-FR"/>
        </w:rPr>
        <w:t>é</w:t>
      </w:r>
      <w:r w:rsidRPr="00C30976">
        <w:rPr>
          <w:lang w:eastAsia="fr-FR" w:bidi="fr-FR"/>
        </w:rPr>
        <w:t>cembre 2000, il hérite d’un Congrès républicain. Ce Congrès bascule dans le camp démocrate lorsque, six mois plus tard en juin 2001, le sénateur</w:t>
      </w:r>
      <w:r>
        <w:t xml:space="preserve"> [283] </w:t>
      </w:r>
      <w:r w:rsidRPr="00C30976">
        <w:rPr>
          <w:lang w:eastAsia="fr-FR" w:bidi="fr-FR"/>
        </w:rPr>
        <w:t>républicain James Jeffords choisit de devenir indépendant et de voter avec les démocrates. D’ailleurs, jusqu’au 11 septembre, Bush pe</w:t>
      </w:r>
      <w:r w:rsidRPr="00C30976">
        <w:rPr>
          <w:lang w:eastAsia="fr-FR" w:bidi="fr-FR"/>
        </w:rPr>
        <w:t>i</w:t>
      </w:r>
      <w:r w:rsidRPr="00C30976">
        <w:rPr>
          <w:lang w:eastAsia="fr-FR" w:bidi="fr-FR"/>
        </w:rPr>
        <w:t>ne à obtenir ce qu’il souhaite en politique étrangère. À la suite des attentats du 11 septembre, en revanche, un consensus bipartisan se dessine en politique étra</w:t>
      </w:r>
      <w:r w:rsidRPr="00C30976">
        <w:rPr>
          <w:lang w:eastAsia="fr-FR" w:bidi="fr-FR"/>
        </w:rPr>
        <w:t>n</w:t>
      </w:r>
      <w:r w:rsidRPr="00C30976">
        <w:rPr>
          <w:lang w:eastAsia="fr-FR" w:bidi="fr-FR"/>
        </w:rPr>
        <w:t>gère et permet une réponse unie du Congrès sur l’Afghanistan, la législation antiterroriste et l’Irak. Les républ</w:t>
      </w:r>
      <w:r w:rsidRPr="00C30976">
        <w:rPr>
          <w:lang w:eastAsia="fr-FR" w:bidi="fr-FR"/>
        </w:rPr>
        <w:t>i</w:t>
      </w:r>
      <w:r w:rsidRPr="00C30976">
        <w:rPr>
          <w:lang w:eastAsia="fr-FR" w:bidi="fr-FR"/>
        </w:rPr>
        <w:t>cains reprennent de justesse le contrôle du Congrès aux élections de mi-mandat de nove</w:t>
      </w:r>
      <w:r w:rsidRPr="00C30976">
        <w:rPr>
          <w:lang w:eastAsia="fr-FR" w:bidi="fr-FR"/>
        </w:rPr>
        <w:t>m</w:t>
      </w:r>
      <w:r w:rsidRPr="00C30976">
        <w:rPr>
          <w:lang w:eastAsia="fr-FR" w:bidi="fr-FR"/>
        </w:rPr>
        <w:t>bre 2002, ce qui permet à George W. Bush d’avancer son programme de politique étrangère avec une relative a</w:t>
      </w:r>
      <w:r w:rsidRPr="00C30976">
        <w:rPr>
          <w:lang w:eastAsia="fr-FR" w:bidi="fr-FR"/>
        </w:rPr>
        <w:t>i</w:t>
      </w:r>
      <w:r w:rsidRPr="00C30976">
        <w:rPr>
          <w:lang w:eastAsia="fr-FR" w:bidi="fr-FR"/>
        </w:rPr>
        <w:t>sance.</w:t>
      </w:r>
    </w:p>
    <w:p w14:paraId="060F9C5A" w14:textId="77777777" w:rsidR="0039793A" w:rsidRPr="00C30976" w:rsidRDefault="0039793A" w:rsidP="0039793A">
      <w:pPr>
        <w:spacing w:before="120" w:after="120"/>
        <w:jc w:val="both"/>
      </w:pPr>
      <w:r w:rsidRPr="00C30976">
        <w:rPr>
          <w:lang w:eastAsia="fr-FR" w:bidi="fr-FR"/>
        </w:rPr>
        <w:t>Il reste que les effets de la discipline de parti, de l’esprit partisan sont ambigus</w:t>
      </w:r>
      <w:r w:rsidRPr="00C30976">
        <w:t> :</w:t>
      </w:r>
      <w:r w:rsidRPr="00C30976">
        <w:rPr>
          <w:lang w:eastAsia="fr-FR" w:bidi="fr-FR"/>
        </w:rPr>
        <w:t xml:space="preserve"> celui-ci réduit l’individualisme et l’imprévisibilité des élus, mais dans le même temps il fait résolument entrer les affaires étrangères dans le champ des luttes int</w:t>
      </w:r>
      <w:r w:rsidRPr="00C30976">
        <w:rPr>
          <w:lang w:eastAsia="fr-FR" w:bidi="fr-FR"/>
        </w:rPr>
        <w:t>é</w:t>
      </w:r>
      <w:r w:rsidRPr="00C30976">
        <w:rPr>
          <w:lang w:eastAsia="fr-FR" w:bidi="fr-FR"/>
        </w:rPr>
        <w:t>rieures et des marchandages politiciens. On ne peut cependant faire porter au seul Congrès le bl</w:t>
      </w:r>
      <w:r w:rsidRPr="00C30976">
        <w:rPr>
          <w:lang w:eastAsia="fr-FR" w:bidi="fr-FR"/>
        </w:rPr>
        <w:t>â</w:t>
      </w:r>
      <w:r w:rsidRPr="00C30976">
        <w:rPr>
          <w:lang w:eastAsia="fr-FR" w:bidi="fr-FR"/>
        </w:rPr>
        <w:t>me de l’incohérence de la politique étrangère et de l’irrespect des a</w:t>
      </w:r>
      <w:r w:rsidRPr="00C30976">
        <w:rPr>
          <w:lang w:eastAsia="fr-FR" w:bidi="fr-FR"/>
        </w:rPr>
        <w:t>u</w:t>
      </w:r>
      <w:r w:rsidRPr="00C30976">
        <w:rPr>
          <w:lang w:eastAsia="fr-FR" w:bidi="fr-FR"/>
        </w:rPr>
        <w:t>tres acteurs internationaux. En e</w:t>
      </w:r>
      <w:r w:rsidRPr="00C30976">
        <w:rPr>
          <w:lang w:eastAsia="fr-FR" w:bidi="fr-FR"/>
        </w:rPr>
        <w:t>f</w:t>
      </w:r>
      <w:r w:rsidRPr="00C30976">
        <w:rPr>
          <w:lang w:eastAsia="fr-FR" w:bidi="fr-FR"/>
        </w:rPr>
        <w:t>fet, dans le blocage structurel entre les deux branches du pouvoir, un élément peut changer les ch</w:t>
      </w:r>
      <w:r w:rsidRPr="00C30976">
        <w:rPr>
          <w:lang w:eastAsia="fr-FR" w:bidi="fr-FR"/>
        </w:rPr>
        <w:t>o</w:t>
      </w:r>
      <w:r w:rsidRPr="00C30976">
        <w:rPr>
          <w:lang w:eastAsia="fr-FR" w:bidi="fr-FR"/>
        </w:rPr>
        <w:t>ses, particulièrement en politique étrangère</w:t>
      </w:r>
      <w:r w:rsidRPr="00C30976">
        <w:t> :</w:t>
      </w:r>
      <w:r w:rsidRPr="00C30976">
        <w:rPr>
          <w:lang w:eastAsia="fr-FR" w:bidi="fr-FR"/>
        </w:rPr>
        <w:t xml:space="preserve"> le le</w:t>
      </w:r>
      <w:r w:rsidRPr="00C30976">
        <w:rPr>
          <w:lang w:eastAsia="fr-FR" w:bidi="fr-FR"/>
        </w:rPr>
        <w:t>a</w:t>
      </w:r>
      <w:r w:rsidRPr="00C30976">
        <w:rPr>
          <w:lang w:eastAsia="fr-FR" w:bidi="fr-FR"/>
        </w:rPr>
        <w:t xml:space="preserve">dership présidentiel, même en cas de </w:t>
      </w:r>
      <w:r w:rsidRPr="00C30976">
        <w:t>« </w:t>
      </w:r>
      <w:r w:rsidRPr="00C30976">
        <w:rPr>
          <w:lang w:eastAsia="fr-FR" w:bidi="fr-FR"/>
        </w:rPr>
        <w:t>gouvernement divisé</w:t>
      </w:r>
      <w:r w:rsidRPr="00C30976">
        <w:t> »</w:t>
      </w:r>
      <w:r w:rsidRPr="00C30976">
        <w:rPr>
          <w:lang w:eastAsia="fr-FR" w:bidi="fr-FR"/>
        </w:rPr>
        <w:t>. Cette importance du le</w:t>
      </w:r>
      <w:r w:rsidRPr="00C30976">
        <w:rPr>
          <w:lang w:eastAsia="fr-FR" w:bidi="fr-FR"/>
        </w:rPr>
        <w:t>a</w:t>
      </w:r>
      <w:r w:rsidRPr="00C30976">
        <w:rPr>
          <w:lang w:eastAsia="fr-FR" w:bidi="fr-FR"/>
        </w:rPr>
        <w:t>dership présidentiel est illustrée par deux exemples de vote aux résu</w:t>
      </w:r>
      <w:r w:rsidRPr="00C30976">
        <w:rPr>
          <w:lang w:eastAsia="fr-FR" w:bidi="fr-FR"/>
        </w:rPr>
        <w:t>l</w:t>
      </w:r>
      <w:r w:rsidRPr="00C30976">
        <w:rPr>
          <w:lang w:eastAsia="fr-FR" w:bidi="fr-FR"/>
        </w:rPr>
        <w:t>tats inverses</w:t>
      </w:r>
      <w:r w:rsidRPr="00C30976">
        <w:t> :</w:t>
      </w:r>
      <w:r w:rsidRPr="00C30976">
        <w:rPr>
          <w:lang w:eastAsia="fr-FR" w:bidi="fr-FR"/>
        </w:rPr>
        <w:t xml:space="preserve"> l’approbation do</w:t>
      </w:r>
      <w:r w:rsidRPr="00C30976">
        <w:rPr>
          <w:lang w:eastAsia="fr-FR" w:bidi="fr-FR"/>
        </w:rPr>
        <w:t>n</w:t>
      </w:r>
      <w:r w:rsidRPr="00C30976">
        <w:rPr>
          <w:lang w:eastAsia="fr-FR" w:bidi="fr-FR"/>
        </w:rPr>
        <w:t xml:space="preserve">née par le Congrès à l’élargissement de </w:t>
      </w:r>
      <w:r w:rsidRPr="00C30976">
        <w:t xml:space="preserve">l'OTAN </w:t>
      </w:r>
      <w:r w:rsidRPr="00C30976">
        <w:rPr>
          <w:lang w:eastAsia="fr-FR" w:bidi="fr-FR"/>
        </w:rPr>
        <w:t xml:space="preserve">d’une part (30 avril 1998) et le rejet du </w:t>
      </w:r>
      <w:r w:rsidRPr="00C30976">
        <w:t xml:space="preserve">TICE </w:t>
      </w:r>
      <w:r w:rsidRPr="00C30976">
        <w:rPr>
          <w:lang w:eastAsia="fr-FR" w:bidi="fr-FR"/>
        </w:rPr>
        <w:t>l’année su</w:t>
      </w:r>
      <w:r w:rsidRPr="00C30976">
        <w:rPr>
          <w:lang w:eastAsia="fr-FR" w:bidi="fr-FR"/>
        </w:rPr>
        <w:t>i</w:t>
      </w:r>
      <w:r w:rsidRPr="00C30976">
        <w:rPr>
          <w:lang w:eastAsia="fr-FR" w:bidi="fr-FR"/>
        </w:rPr>
        <w:t>vante d’autre part (13 octobre 1999). Dans le premier cas, le président Clinton et ses grands subordonnés, notamment Madeleine A</w:t>
      </w:r>
      <w:r w:rsidRPr="00C30976">
        <w:rPr>
          <w:lang w:eastAsia="fr-FR" w:bidi="fr-FR"/>
        </w:rPr>
        <w:t>l</w:t>
      </w:r>
      <w:r w:rsidRPr="00C30976">
        <w:rPr>
          <w:lang w:eastAsia="fr-FR" w:bidi="fr-FR"/>
        </w:rPr>
        <w:t>bright, se sont investis très tôt et personnellement dans le dossier, intégrant et informant les parleme</w:t>
      </w:r>
      <w:r w:rsidRPr="00C30976">
        <w:rPr>
          <w:lang w:eastAsia="fr-FR" w:bidi="fr-FR"/>
        </w:rPr>
        <w:t>n</w:t>
      </w:r>
      <w:r w:rsidRPr="00C30976">
        <w:rPr>
          <w:lang w:eastAsia="fr-FR" w:bidi="fr-FR"/>
        </w:rPr>
        <w:t>taires clés, montant une campagne concertée et efficace auprès des parlementaires et de l’opinion publique (nota</w:t>
      </w:r>
      <w:r w:rsidRPr="00C30976">
        <w:rPr>
          <w:lang w:eastAsia="fr-FR" w:bidi="fr-FR"/>
        </w:rPr>
        <w:t>m</w:t>
      </w:r>
      <w:r w:rsidRPr="00C30976">
        <w:rPr>
          <w:lang w:eastAsia="fr-FR" w:bidi="fr-FR"/>
        </w:rPr>
        <w:t>ment en minimisant le coût de l’élargissement), aboutissant à un vote favorable des 4/5</w:t>
      </w:r>
      <w:r w:rsidRPr="00C30976">
        <w:rPr>
          <w:vertAlign w:val="superscript"/>
          <w:lang w:eastAsia="fr-FR" w:bidi="fr-FR"/>
        </w:rPr>
        <w:t>e</w:t>
      </w:r>
      <w:r w:rsidRPr="00C30976">
        <w:rPr>
          <w:lang w:eastAsia="fr-FR" w:bidi="fr-FR"/>
        </w:rPr>
        <w:t>. Dans le second cas, le leadership préside</w:t>
      </w:r>
      <w:r w:rsidRPr="00C30976">
        <w:rPr>
          <w:lang w:eastAsia="fr-FR" w:bidi="fr-FR"/>
        </w:rPr>
        <w:t>n</w:t>
      </w:r>
      <w:r w:rsidRPr="00C30976">
        <w:rPr>
          <w:lang w:eastAsia="fr-FR" w:bidi="fr-FR"/>
        </w:rPr>
        <w:t>tiel a été hésitant, tardif, et maladroit, préférant s’appuyer sur des autorités e</w:t>
      </w:r>
      <w:r w:rsidRPr="00C30976">
        <w:rPr>
          <w:lang w:eastAsia="fr-FR" w:bidi="fr-FR"/>
        </w:rPr>
        <w:t>x</w:t>
      </w:r>
      <w:r w:rsidRPr="00C30976">
        <w:rPr>
          <w:lang w:eastAsia="fr-FR" w:bidi="fr-FR"/>
        </w:rPr>
        <w:t>térieures (témoign</w:t>
      </w:r>
      <w:r w:rsidRPr="00C30976">
        <w:rPr>
          <w:lang w:eastAsia="fr-FR" w:bidi="fr-FR"/>
        </w:rPr>
        <w:t>a</w:t>
      </w:r>
      <w:r w:rsidRPr="00C30976">
        <w:rPr>
          <w:lang w:eastAsia="fr-FR" w:bidi="fr-FR"/>
        </w:rPr>
        <w:t>ges de spécialistes et d’autorités morales, opinion publique favorable) plutôt que de convaincre un à un, par une stratégie concertée, les sénateurs réticents. Bill Clinton ne s’est pas investi pe</w:t>
      </w:r>
      <w:r w:rsidRPr="00C30976">
        <w:rPr>
          <w:lang w:eastAsia="fr-FR" w:bidi="fr-FR"/>
        </w:rPr>
        <w:t>r</w:t>
      </w:r>
      <w:r w:rsidRPr="00C30976">
        <w:rPr>
          <w:lang w:eastAsia="fr-FR" w:bidi="fr-FR"/>
        </w:rPr>
        <w:t>sonnellement, n’a chargé ni un haut responsable de son Administr</w:t>
      </w:r>
      <w:r w:rsidRPr="00C30976">
        <w:rPr>
          <w:lang w:eastAsia="fr-FR" w:bidi="fr-FR"/>
        </w:rPr>
        <w:t>a</w:t>
      </w:r>
      <w:r w:rsidRPr="00C30976">
        <w:rPr>
          <w:lang w:eastAsia="fr-FR" w:bidi="fr-FR"/>
        </w:rPr>
        <w:t>tion de faire ce lobbying, ni un sénateur républicain favorable au traité de convaincre son parti. Il a sous- estimé la détermination et l’habileté des républicains unilatéralistes qui ont accepté un vote en voyant l’état d’impréparation</w:t>
      </w:r>
      <w:r>
        <w:rPr>
          <w:lang w:eastAsia="fr-FR" w:bidi="fr-FR"/>
        </w:rPr>
        <w:t xml:space="preserve"> </w:t>
      </w:r>
      <w:r>
        <w:t xml:space="preserve">[284] </w:t>
      </w:r>
      <w:r w:rsidRPr="00C30976">
        <w:rPr>
          <w:lang w:eastAsia="fr-FR" w:bidi="fr-FR"/>
        </w:rPr>
        <w:t>du camp démocrate, lui faisant finalement mo</w:t>
      </w:r>
      <w:r w:rsidRPr="00C30976">
        <w:rPr>
          <w:lang w:eastAsia="fr-FR" w:bidi="fr-FR"/>
        </w:rPr>
        <w:t>r</w:t>
      </w:r>
      <w:r w:rsidRPr="00C30976">
        <w:rPr>
          <w:lang w:eastAsia="fr-FR" w:bidi="fr-FR"/>
        </w:rPr>
        <w:t>dre la poussière par un vote de 48 voix en faveur du traité (contre 51), très loin de la maj</w:t>
      </w:r>
      <w:r w:rsidRPr="00C30976">
        <w:rPr>
          <w:lang w:eastAsia="fr-FR" w:bidi="fr-FR"/>
        </w:rPr>
        <w:t>o</w:t>
      </w:r>
      <w:r w:rsidRPr="00C30976">
        <w:rPr>
          <w:lang w:eastAsia="fr-FR" w:bidi="fr-FR"/>
        </w:rPr>
        <w:t>rité des 2/3 nécessaire</w:t>
      </w:r>
      <w:r>
        <w:rPr>
          <w:lang w:eastAsia="fr-FR" w:bidi="fr-FR"/>
        </w:rPr>
        <w:t> </w:t>
      </w:r>
      <w:r>
        <w:rPr>
          <w:rStyle w:val="Appelnotedebasdep"/>
          <w:lang w:eastAsia="fr-FR" w:bidi="fr-FR"/>
        </w:rPr>
        <w:footnoteReference w:id="567"/>
      </w:r>
      <w:r>
        <w:rPr>
          <w:lang w:eastAsia="fr-FR" w:bidi="fr-FR"/>
        </w:rPr>
        <w:t>.</w:t>
      </w:r>
    </w:p>
    <w:p w14:paraId="1FEDE9BC" w14:textId="77777777" w:rsidR="0039793A" w:rsidRPr="00C30976" w:rsidRDefault="0039793A" w:rsidP="0039793A">
      <w:pPr>
        <w:pStyle w:val="c"/>
      </w:pPr>
      <w:r w:rsidRPr="00C30976">
        <w:t>*</w:t>
      </w:r>
    </w:p>
    <w:p w14:paraId="052C9E41" w14:textId="77777777" w:rsidR="0039793A" w:rsidRPr="00C30976" w:rsidRDefault="0039793A" w:rsidP="0039793A">
      <w:pPr>
        <w:spacing w:before="120" w:after="120"/>
        <w:jc w:val="both"/>
      </w:pPr>
      <w:r w:rsidRPr="00C30976">
        <w:rPr>
          <w:lang w:eastAsia="fr-FR" w:bidi="fr-FR"/>
        </w:rPr>
        <w:t>Sans investissement dans ce travail de persu</w:t>
      </w:r>
      <w:r w:rsidRPr="00C30976">
        <w:rPr>
          <w:lang w:eastAsia="fr-FR" w:bidi="fr-FR"/>
        </w:rPr>
        <w:t>a</w:t>
      </w:r>
      <w:r w:rsidRPr="00C30976">
        <w:rPr>
          <w:lang w:eastAsia="fr-FR" w:bidi="fr-FR"/>
        </w:rPr>
        <w:t>sion et de lobbying, de conquête de l’esprit des élus et d’attention permanente, l’Exécutif ne peut attendre du Législatif que des blocages. Et qui d’autre que le président peut représenter et défendre l’intérêt national</w:t>
      </w:r>
      <w:r w:rsidRPr="00C30976">
        <w:t> ?</w:t>
      </w:r>
      <w:r w:rsidRPr="00C30976">
        <w:rPr>
          <w:lang w:eastAsia="fr-FR" w:bidi="fr-FR"/>
        </w:rPr>
        <w:t xml:space="preserve"> Pour prendre l’exemple de l’Administration Clinton, il est incontestable que la ha</w:t>
      </w:r>
      <w:r w:rsidRPr="00C30976">
        <w:rPr>
          <w:lang w:eastAsia="fr-FR" w:bidi="fr-FR"/>
        </w:rPr>
        <w:t>i</w:t>
      </w:r>
      <w:r w:rsidRPr="00C30976">
        <w:rPr>
          <w:lang w:eastAsia="fr-FR" w:bidi="fr-FR"/>
        </w:rPr>
        <w:t>ne des républicains a privé le président de son leadership. Néanmoins, le président a-t-il toujours tout mis en oeuvre pour s’assurer d’être suivi, su</w:t>
      </w:r>
      <w:r w:rsidRPr="00C30976">
        <w:rPr>
          <w:lang w:eastAsia="fr-FR" w:bidi="fr-FR"/>
        </w:rPr>
        <w:t>r</w:t>
      </w:r>
      <w:r w:rsidRPr="00C30976">
        <w:rPr>
          <w:lang w:eastAsia="fr-FR" w:bidi="fr-FR"/>
        </w:rPr>
        <w:t xml:space="preserve">tout quand les intérêts internationaux de l’Amérique étaient en jeu, ou a-t-il lui aussi intégré la politique étrangère </w:t>
      </w:r>
      <w:r w:rsidRPr="00C30976">
        <w:t xml:space="preserve">à </w:t>
      </w:r>
      <w:r w:rsidRPr="00C30976">
        <w:rPr>
          <w:lang w:eastAsia="fr-FR" w:bidi="fr-FR"/>
        </w:rPr>
        <w:t>son jeu de pouvoir</w:t>
      </w:r>
      <w:r w:rsidRPr="00C30976">
        <w:t> ?</w:t>
      </w:r>
      <w:r w:rsidRPr="00C30976">
        <w:rPr>
          <w:lang w:eastAsia="fr-FR" w:bidi="fr-FR"/>
        </w:rPr>
        <w:t xml:space="preserve"> Aussi, les incohérences et inepties de la politique étrangère américaine ne relèvent-elles pas de la seule respo</w:t>
      </w:r>
      <w:r w:rsidRPr="00C30976">
        <w:rPr>
          <w:lang w:eastAsia="fr-FR" w:bidi="fr-FR"/>
        </w:rPr>
        <w:t>n</w:t>
      </w:r>
      <w:r w:rsidRPr="00C30976">
        <w:rPr>
          <w:lang w:eastAsia="fr-FR" w:bidi="fr-FR"/>
        </w:rPr>
        <w:t>sabilité du Congrès</w:t>
      </w:r>
      <w:r w:rsidRPr="00C30976">
        <w:t> :</w:t>
      </w:r>
      <w:r w:rsidRPr="00C30976">
        <w:rPr>
          <w:lang w:eastAsia="fr-FR" w:bidi="fr-FR"/>
        </w:rPr>
        <w:t xml:space="preserve"> cette dernière est, </w:t>
      </w:r>
      <w:r w:rsidRPr="00C30976">
        <w:t xml:space="preserve">à </w:t>
      </w:r>
      <w:r w:rsidRPr="00C30976">
        <w:rPr>
          <w:lang w:eastAsia="fr-FR" w:bidi="fr-FR"/>
        </w:rPr>
        <w:t>l’image du pouvoir, disputée, et surtout partagée.</w:t>
      </w:r>
    </w:p>
    <w:p w14:paraId="1BBFC5A2" w14:textId="77777777" w:rsidR="0039793A" w:rsidRDefault="0039793A" w:rsidP="0039793A">
      <w:pPr>
        <w:pStyle w:val="p"/>
      </w:pPr>
      <w:r w:rsidRPr="00C30976">
        <w:br w:type="page"/>
      </w:r>
      <w:r>
        <w:t>[285]</w:t>
      </w:r>
    </w:p>
    <w:p w14:paraId="270D9D29" w14:textId="77777777" w:rsidR="0039793A" w:rsidRPr="00E07116" w:rsidRDefault="0039793A" w:rsidP="0039793A">
      <w:pPr>
        <w:jc w:val="both"/>
      </w:pPr>
    </w:p>
    <w:p w14:paraId="50530868" w14:textId="77777777" w:rsidR="0039793A" w:rsidRDefault="0039793A" w:rsidP="0039793A">
      <w:pPr>
        <w:jc w:val="both"/>
      </w:pPr>
    </w:p>
    <w:p w14:paraId="1C7667CF" w14:textId="77777777" w:rsidR="0039793A" w:rsidRPr="00E07116" w:rsidRDefault="0039793A" w:rsidP="0039793A">
      <w:pPr>
        <w:jc w:val="both"/>
      </w:pPr>
    </w:p>
    <w:p w14:paraId="05792481" w14:textId="77777777" w:rsidR="0039793A" w:rsidRPr="00642210" w:rsidRDefault="0039793A" w:rsidP="0039793A">
      <w:pPr>
        <w:spacing w:after="120"/>
        <w:jc w:val="center"/>
      </w:pPr>
      <w:bookmarkStart w:id="36" w:name="Pol_EU_pt_3_chap_09"/>
      <w:r w:rsidRPr="00642210">
        <w:rPr>
          <w:b/>
        </w:rPr>
        <w:t>La politique étrangère des «États-Unis.</w:t>
      </w:r>
      <w:r w:rsidRPr="00642210">
        <w:rPr>
          <w:b/>
        </w:rPr>
        <w:br/>
      </w:r>
      <w:r w:rsidRPr="00642210">
        <w:rPr>
          <w:i/>
        </w:rPr>
        <w:t>Fondements, acteurs, formulation</w:t>
      </w:r>
    </w:p>
    <w:p w14:paraId="137A141A" w14:textId="77777777" w:rsidR="0039793A" w:rsidRPr="00384B20" w:rsidRDefault="0039793A" w:rsidP="0039793A">
      <w:pPr>
        <w:spacing w:after="120"/>
        <w:ind w:firstLine="0"/>
        <w:jc w:val="center"/>
        <w:rPr>
          <w:color w:val="000080"/>
          <w:sz w:val="24"/>
        </w:rPr>
      </w:pPr>
      <w:r>
        <w:rPr>
          <w:color w:val="000080"/>
          <w:sz w:val="24"/>
        </w:rPr>
        <w:t>TROISIÈME PARTIE</w:t>
      </w:r>
    </w:p>
    <w:p w14:paraId="4D61D581" w14:textId="77777777" w:rsidR="0039793A" w:rsidRPr="00384B20" w:rsidRDefault="0039793A" w:rsidP="0039793A">
      <w:pPr>
        <w:pStyle w:val="Titreniveau1"/>
      </w:pPr>
      <w:r w:rsidRPr="00384B20">
        <w:t xml:space="preserve">Chapitre </w:t>
      </w:r>
      <w:r>
        <w:t>9</w:t>
      </w:r>
    </w:p>
    <w:p w14:paraId="3D488836" w14:textId="77777777" w:rsidR="0039793A" w:rsidRPr="00E07116" w:rsidRDefault="0039793A" w:rsidP="0039793A">
      <w:pPr>
        <w:pStyle w:val="Titreniveau2"/>
      </w:pPr>
      <w:r>
        <w:t>LE RÔLE DE L’OPINION</w:t>
      </w:r>
      <w:r>
        <w:br/>
        <w:t>PUBLIQUE</w:t>
      </w:r>
    </w:p>
    <w:bookmarkEnd w:id="36"/>
    <w:p w14:paraId="229E4AFF" w14:textId="77777777" w:rsidR="0039793A" w:rsidRPr="00E07116" w:rsidRDefault="0039793A" w:rsidP="0039793A">
      <w:pPr>
        <w:jc w:val="both"/>
        <w:rPr>
          <w:szCs w:val="36"/>
        </w:rPr>
      </w:pPr>
    </w:p>
    <w:p w14:paraId="2DAFE823" w14:textId="77777777" w:rsidR="0039793A" w:rsidRPr="00E07116" w:rsidRDefault="0039793A" w:rsidP="0039793A">
      <w:pPr>
        <w:jc w:val="both"/>
      </w:pPr>
    </w:p>
    <w:p w14:paraId="506955D7" w14:textId="77777777" w:rsidR="0039793A" w:rsidRPr="00E07116" w:rsidRDefault="0039793A" w:rsidP="0039793A">
      <w:pPr>
        <w:jc w:val="both"/>
      </w:pPr>
    </w:p>
    <w:p w14:paraId="740EEBC0" w14:textId="77777777" w:rsidR="0039793A" w:rsidRPr="00E07116" w:rsidRDefault="0039793A" w:rsidP="0039793A">
      <w:pPr>
        <w:jc w:val="both"/>
      </w:pPr>
    </w:p>
    <w:p w14:paraId="7B770BFF" w14:textId="77777777" w:rsidR="0039793A" w:rsidRPr="00E07116" w:rsidRDefault="0039793A" w:rsidP="0039793A">
      <w:pPr>
        <w:jc w:val="both"/>
      </w:pPr>
    </w:p>
    <w:p w14:paraId="21144188"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122B6AE" w14:textId="77777777" w:rsidR="0039793A" w:rsidRPr="00C30976" w:rsidRDefault="0039793A" w:rsidP="0039793A">
      <w:pPr>
        <w:spacing w:before="120" w:after="120"/>
        <w:jc w:val="both"/>
      </w:pPr>
      <w:r w:rsidRPr="00C30976">
        <w:rPr>
          <w:lang w:eastAsia="fr-FR" w:bidi="fr-FR"/>
        </w:rPr>
        <w:t xml:space="preserve">L’Amérique étant une démocratie, l’action du président et celle du Congrès s’inscrivent toutes deux dans les limites fixées par le peuple. Mais comme le note Daniel Sabbagh, le président et le Congrès </w:t>
      </w:r>
      <w:r w:rsidRPr="00C30976">
        <w:t>« </w:t>
      </w:r>
      <w:r w:rsidRPr="00C30976">
        <w:rPr>
          <w:lang w:eastAsia="fr-FR" w:bidi="fr-FR"/>
        </w:rPr>
        <w:t>disposent, à l’intérieur de ces limites, d’une marge de manœuvre d’autant plus grande que la population américaine demeure relativ</w:t>
      </w:r>
      <w:r w:rsidRPr="00C30976">
        <w:rPr>
          <w:lang w:eastAsia="fr-FR" w:bidi="fr-FR"/>
        </w:rPr>
        <w:t>e</w:t>
      </w:r>
      <w:r w:rsidRPr="00C30976">
        <w:rPr>
          <w:lang w:eastAsia="fr-FR" w:bidi="fr-FR"/>
        </w:rPr>
        <w:t>ment peu informée des événements internationaux. En so</w:t>
      </w:r>
      <w:r w:rsidRPr="00C30976">
        <w:rPr>
          <w:lang w:eastAsia="fr-FR" w:bidi="fr-FR"/>
        </w:rPr>
        <w:t>m</w:t>
      </w:r>
      <w:r w:rsidRPr="00C30976">
        <w:rPr>
          <w:lang w:eastAsia="fr-FR" w:bidi="fr-FR"/>
        </w:rPr>
        <w:t>me, l’opinion publique, lors des élections et éve</w:t>
      </w:r>
      <w:r w:rsidRPr="00C30976">
        <w:rPr>
          <w:lang w:eastAsia="fr-FR" w:bidi="fr-FR"/>
        </w:rPr>
        <w:t>n</w:t>
      </w:r>
      <w:r w:rsidRPr="00C30976">
        <w:rPr>
          <w:lang w:eastAsia="fr-FR" w:bidi="fr-FR"/>
        </w:rPr>
        <w:t xml:space="preserve">tuellement à travers les sondages, définit les contours de l’ensemble des positions </w:t>
      </w:r>
      <w:r w:rsidRPr="00550DD2">
        <w:rPr>
          <w:i/>
          <w:iCs/>
        </w:rPr>
        <w:t>souten</w:t>
      </w:r>
      <w:r w:rsidRPr="00550DD2">
        <w:rPr>
          <w:i/>
          <w:iCs/>
        </w:rPr>
        <w:t>a</w:t>
      </w:r>
      <w:r w:rsidRPr="00550DD2">
        <w:rPr>
          <w:i/>
          <w:iCs/>
        </w:rPr>
        <w:t>bles</w:t>
      </w:r>
      <w:r w:rsidRPr="00C30976">
        <w:t>,</w:t>
      </w:r>
      <w:r w:rsidRPr="00C30976">
        <w:rPr>
          <w:lang w:eastAsia="fr-FR" w:bidi="fr-FR"/>
        </w:rPr>
        <w:t xml:space="preserve"> mais [...] ne détermine pas le contenu spécifique des positions effect</w:t>
      </w:r>
      <w:r w:rsidRPr="00C30976">
        <w:rPr>
          <w:lang w:eastAsia="fr-FR" w:bidi="fr-FR"/>
        </w:rPr>
        <w:t>i</w:t>
      </w:r>
      <w:r w:rsidRPr="00C30976">
        <w:rPr>
          <w:lang w:eastAsia="fr-FR" w:bidi="fr-FR"/>
        </w:rPr>
        <w:t xml:space="preserve">vement </w:t>
      </w:r>
      <w:r w:rsidRPr="00550DD2">
        <w:rPr>
          <w:i/>
          <w:iCs/>
        </w:rPr>
        <w:t>soutenues</w:t>
      </w:r>
      <w:r w:rsidRPr="00C30976">
        <w:rPr>
          <w:lang w:eastAsia="fr-FR" w:bidi="fr-FR"/>
        </w:rPr>
        <w:t xml:space="preserve"> [...], pas plus que leur degré </w:t>
      </w:r>
      <w:r>
        <w:t>d</w:t>
      </w:r>
      <w:r w:rsidRPr="00C30976">
        <w:t>'</w:t>
      </w:r>
      <w:r w:rsidRPr="00550DD2">
        <w:rPr>
          <w:i/>
          <w:iCs/>
        </w:rPr>
        <w:t>engagement</w:t>
      </w:r>
      <w:r w:rsidRPr="00C30976">
        <w:rPr>
          <w:lang w:eastAsia="fr-FR" w:bidi="fr-FR"/>
        </w:rPr>
        <w:t xml:space="preserve"> — facteur qui s’avère souvent décisif</w:t>
      </w:r>
      <w:r>
        <w:rPr>
          <w:lang w:eastAsia="fr-FR" w:bidi="fr-FR"/>
        </w:rPr>
        <w:t> </w:t>
      </w:r>
      <w:r>
        <w:rPr>
          <w:rStyle w:val="Appelnotedebasdep"/>
          <w:lang w:eastAsia="fr-FR" w:bidi="fr-FR"/>
        </w:rPr>
        <w:footnoteReference w:id="568"/>
      </w:r>
      <w:r w:rsidRPr="00C30976">
        <w:t> »</w:t>
      </w:r>
      <w:r w:rsidRPr="00C30976">
        <w:rPr>
          <w:lang w:eastAsia="fr-FR" w:bidi="fr-FR"/>
        </w:rPr>
        <w:t>. Autrement dit, l’opinion p</w:t>
      </w:r>
      <w:r w:rsidRPr="00C30976">
        <w:rPr>
          <w:lang w:eastAsia="fr-FR" w:bidi="fr-FR"/>
        </w:rPr>
        <w:t>u</w:t>
      </w:r>
      <w:r w:rsidRPr="00C30976">
        <w:rPr>
          <w:lang w:eastAsia="fr-FR" w:bidi="fr-FR"/>
        </w:rPr>
        <w:t>bl</w:t>
      </w:r>
      <w:r w:rsidRPr="00C30976">
        <w:rPr>
          <w:lang w:eastAsia="fr-FR" w:bidi="fr-FR"/>
        </w:rPr>
        <w:t>i</w:t>
      </w:r>
      <w:r w:rsidRPr="00C30976">
        <w:rPr>
          <w:lang w:eastAsia="fr-FR" w:bidi="fr-FR"/>
        </w:rPr>
        <w:t>que influence la politique étrangère américaine de façon indirecte</w:t>
      </w:r>
      <w:r w:rsidRPr="00C30976">
        <w:t> :</w:t>
      </w:r>
      <w:r w:rsidRPr="00C30976">
        <w:rPr>
          <w:lang w:eastAsia="fr-FR" w:bidi="fr-FR"/>
        </w:rPr>
        <w:t xml:space="preserve"> </w:t>
      </w:r>
      <w:r w:rsidRPr="00C30976">
        <w:t>c’est l’ensemb</w:t>
      </w:r>
      <w:r w:rsidRPr="00C30976">
        <w:rPr>
          <w:lang w:eastAsia="fr-FR" w:bidi="fr-FR"/>
        </w:rPr>
        <w:t>le des préférences et des valeurs pr</w:t>
      </w:r>
      <w:r>
        <w:rPr>
          <w:lang w:eastAsia="fr-FR" w:bidi="fr-FR"/>
        </w:rPr>
        <w:t>opres au peuple am</w:t>
      </w:r>
      <w:r>
        <w:rPr>
          <w:lang w:eastAsia="fr-FR" w:bidi="fr-FR"/>
        </w:rPr>
        <w:t>é</w:t>
      </w:r>
      <w:r>
        <w:rPr>
          <w:lang w:eastAsia="fr-FR" w:bidi="fr-FR"/>
        </w:rPr>
        <w:t>ricain qui s’</w:t>
      </w:r>
      <w:r w:rsidRPr="00C30976">
        <w:rPr>
          <w:lang w:eastAsia="fr-FR" w:bidi="fr-FR"/>
        </w:rPr>
        <w:t xml:space="preserve">y, </w:t>
      </w:r>
      <w:r w:rsidRPr="00C30976">
        <w:t>exprime</w:t>
      </w:r>
      <w:r w:rsidRPr="00C30976">
        <w:rPr>
          <w:lang w:eastAsia="fr-FR" w:bidi="fr-FR"/>
        </w:rPr>
        <w:t>. Autrement dit, le premier mode d'influe</w:t>
      </w:r>
      <w:r w:rsidRPr="00C30976">
        <w:rPr>
          <w:lang w:eastAsia="fr-FR" w:bidi="fr-FR"/>
        </w:rPr>
        <w:t>n</w:t>
      </w:r>
      <w:r w:rsidRPr="00C30976">
        <w:rPr>
          <w:lang w:eastAsia="fr-FR" w:bidi="fr-FR"/>
        </w:rPr>
        <w:t xml:space="preserve">ce de </w:t>
      </w:r>
      <w:r>
        <w:rPr>
          <w:lang w:eastAsia="fr-FR" w:bidi="fr-FR"/>
        </w:rPr>
        <w:t>l’opinion</w:t>
      </w:r>
      <w:r w:rsidRPr="00C30976">
        <w:rPr>
          <w:lang w:eastAsia="fr-FR" w:bidi="fr-FR"/>
        </w:rPr>
        <w:t xml:space="preserve"> publique sur la politique étrangère américaine est ind</w:t>
      </w:r>
      <w:r w:rsidRPr="00C30976">
        <w:rPr>
          <w:lang w:eastAsia="fr-FR" w:bidi="fr-FR"/>
        </w:rPr>
        <w:t>i</w:t>
      </w:r>
      <w:r w:rsidRPr="00C30976">
        <w:rPr>
          <w:lang w:eastAsia="fr-FR" w:bidi="fr-FR"/>
        </w:rPr>
        <w:t>rect</w:t>
      </w:r>
      <w:r w:rsidRPr="00C30976">
        <w:t> :</w:t>
      </w:r>
      <w:r w:rsidRPr="00C30976">
        <w:rPr>
          <w:lang w:eastAsia="fr-FR" w:bidi="fr-FR"/>
        </w:rPr>
        <w:t xml:space="preserve"> c’est l’ensemble des préférences et des valeurs propres au peuple</w:t>
      </w:r>
      <w:r>
        <w:rPr>
          <w:lang w:eastAsia="fr-FR" w:bidi="fr-FR"/>
        </w:rPr>
        <w:t xml:space="preserve"> am</w:t>
      </w:r>
      <w:r>
        <w:rPr>
          <w:lang w:eastAsia="fr-FR" w:bidi="fr-FR"/>
        </w:rPr>
        <w:t>é</w:t>
      </w:r>
      <w:r>
        <w:rPr>
          <w:lang w:eastAsia="fr-FR" w:bidi="fr-FR"/>
        </w:rPr>
        <w:t xml:space="preserve">ricain </w:t>
      </w:r>
      <w:r w:rsidRPr="00C30976">
        <w:rPr>
          <w:lang w:eastAsia="fr-FR" w:bidi="fr-FR"/>
        </w:rPr>
        <w:t>qui s'y exprime. Le président doit prendre en com</w:t>
      </w:r>
      <w:r w:rsidRPr="00C30976">
        <w:rPr>
          <w:lang w:eastAsia="fr-FR" w:bidi="fr-FR"/>
        </w:rPr>
        <w:t>p</w:t>
      </w:r>
      <w:r>
        <w:rPr>
          <w:lang w:eastAsia="fr-FR" w:bidi="fr-FR"/>
        </w:rPr>
        <w:t xml:space="preserve">te l’humeur du pays, tout </w:t>
      </w:r>
      <w:r w:rsidRPr="00C30976">
        <w:rPr>
          <w:lang w:eastAsia="fr-FR" w:bidi="fr-FR"/>
        </w:rPr>
        <w:t>comme les sénateurs et représentants qui s’efforcent de refléter ce qu’ils perço</w:t>
      </w:r>
      <w:r w:rsidRPr="00C30976">
        <w:rPr>
          <w:lang w:eastAsia="fr-FR" w:bidi="fr-FR"/>
        </w:rPr>
        <w:t>i</w:t>
      </w:r>
      <w:r w:rsidRPr="00C30976">
        <w:rPr>
          <w:lang w:eastAsia="fr-FR" w:bidi="fr-FR"/>
        </w:rPr>
        <w:t>vent dans leurs État</w:t>
      </w:r>
      <w:r>
        <w:t xml:space="preserve"> [286] </w:t>
      </w:r>
      <w:r w:rsidRPr="00C30976">
        <w:rPr>
          <w:lang w:eastAsia="fr-FR" w:bidi="fr-FR"/>
        </w:rPr>
        <w:t>ou circonscriptions. On a vu ce phénomène jouer à la fin des a</w:t>
      </w:r>
      <w:r w:rsidRPr="00C30976">
        <w:rPr>
          <w:lang w:eastAsia="fr-FR" w:bidi="fr-FR"/>
        </w:rPr>
        <w:t>n</w:t>
      </w:r>
      <w:r w:rsidRPr="00C30976">
        <w:rPr>
          <w:lang w:eastAsia="fr-FR" w:bidi="fr-FR"/>
        </w:rPr>
        <w:t>nées I960 et au début des années 1970</w:t>
      </w:r>
      <w:r w:rsidRPr="00C30976">
        <w:t> :</w:t>
      </w:r>
      <w:r w:rsidRPr="00C30976">
        <w:rPr>
          <w:lang w:eastAsia="fr-FR" w:bidi="fr-FR"/>
        </w:rPr>
        <w:t xml:space="preserve"> l’humeur de l’opinion publ</w:t>
      </w:r>
      <w:r w:rsidRPr="00C30976">
        <w:rPr>
          <w:lang w:eastAsia="fr-FR" w:bidi="fr-FR"/>
        </w:rPr>
        <w:t>i</w:t>
      </w:r>
      <w:r w:rsidRPr="00C30976">
        <w:rPr>
          <w:lang w:eastAsia="fr-FR" w:bidi="fr-FR"/>
        </w:rPr>
        <w:t>que était de plus en plus à l’introversion, voire à l’isolationnisme, et à la baisse des budgets de d</w:t>
      </w:r>
      <w:r w:rsidRPr="00C30976">
        <w:rPr>
          <w:lang w:eastAsia="fr-FR" w:bidi="fr-FR"/>
        </w:rPr>
        <w:t>é</w:t>
      </w:r>
      <w:r w:rsidRPr="00C30976">
        <w:rPr>
          <w:lang w:eastAsia="fr-FR" w:bidi="fr-FR"/>
        </w:rPr>
        <w:t>fense, en raison de l’enlisement au Vietnam et, plus tard, de la crise économique et de l’affaire du Watergate. La politique étrangère m</w:t>
      </w:r>
      <w:r w:rsidRPr="00C30976">
        <w:rPr>
          <w:lang w:eastAsia="fr-FR" w:bidi="fr-FR"/>
        </w:rPr>
        <w:t>e</w:t>
      </w:r>
      <w:r w:rsidRPr="00C30976">
        <w:rPr>
          <w:lang w:eastAsia="fr-FR" w:bidi="fr-FR"/>
        </w:rPr>
        <w:t>née par Nixon et Kissinger a donc reflété cette évolution, faisant bai</w:t>
      </w:r>
      <w:r w:rsidRPr="00C30976">
        <w:rPr>
          <w:lang w:eastAsia="fr-FR" w:bidi="fr-FR"/>
        </w:rPr>
        <w:t>s</w:t>
      </w:r>
      <w:r w:rsidRPr="00C30976">
        <w:rPr>
          <w:lang w:eastAsia="fr-FR" w:bidi="fr-FR"/>
        </w:rPr>
        <w:t xml:space="preserve">ser la tension avec </w:t>
      </w:r>
      <w:r w:rsidRPr="00C30976">
        <w:t xml:space="preserve">l’URSS </w:t>
      </w:r>
      <w:r w:rsidRPr="00C30976">
        <w:rPr>
          <w:lang w:eastAsia="fr-FR" w:bidi="fr-FR"/>
        </w:rPr>
        <w:t xml:space="preserve">(détente, </w:t>
      </w:r>
      <w:r w:rsidRPr="002E02B0">
        <w:rPr>
          <w:i/>
          <w:iCs/>
        </w:rPr>
        <w:t>linkage</w:t>
      </w:r>
      <w:r w:rsidRPr="00C30976">
        <w:t>,</w:t>
      </w:r>
      <w:r w:rsidRPr="00C30976">
        <w:rPr>
          <w:lang w:eastAsia="fr-FR" w:bidi="fr-FR"/>
        </w:rPr>
        <w:t xml:space="preserve"> accords de contrôle des armements), et réduisant les engagements américains directs à sout</w:t>
      </w:r>
      <w:r w:rsidRPr="00C30976">
        <w:rPr>
          <w:lang w:eastAsia="fr-FR" w:bidi="fr-FR"/>
        </w:rPr>
        <w:t>e</w:t>
      </w:r>
      <w:r w:rsidRPr="00C30976">
        <w:rPr>
          <w:lang w:eastAsia="fr-FR" w:bidi="fr-FR"/>
        </w:rPr>
        <w:t>nir des pays menacés par Moscou (doctrine Nixon). Au contra</w:t>
      </w:r>
      <w:r w:rsidRPr="00C30976">
        <w:rPr>
          <w:lang w:eastAsia="fr-FR" w:bidi="fr-FR"/>
        </w:rPr>
        <w:t>i</w:t>
      </w:r>
      <w:r w:rsidRPr="00C30976">
        <w:rPr>
          <w:lang w:eastAsia="fr-FR" w:bidi="fr-FR"/>
        </w:rPr>
        <w:t>re, Jimmy Carter en 1980, et Ronald Reagan à sa suite, ont répondu à une certaine inquiétude et à une demande d’affirmation plus grande des États-Unis dans la guerre froide de la part de l’opinion publ</w:t>
      </w:r>
      <w:r w:rsidRPr="00C30976">
        <w:rPr>
          <w:lang w:eastAsia="fr-FR" w:bidi="fr-FR"/>
        </w:rPr>
        <w:t>i</w:t>
      </w:r>
      <w:r w:rsidRPr="00C30976">
        <w:rPr>
          <w:lang w:eastAsia="fr-FR" w:bidi="fr-FR"/>
        </w:rPr>
        <w:t>que par une hausse des budgets de défense et un durcissement diplomatique. L’opinion publique offre une grande marge de manœuvre aux déc</w:t>
      </w:r>
      <w:r w:rsidRPr="00C30976">
        <w:rPr>
          <w:lang w:eastAsia="fr-FR" w:bidi="fr-FR"/>
        </w:rPr>
        <w:t>i</w:t>
      </w:r>
      <w:r w:rsidRPr="00C30976">
        <w:rPr>
          <w:lang w:eastAsia="fr-FR" w:bidi="fr-FR"/>
        </w:rPr>
        <w:t>deurs</w:t>
      </w:r>
      <w:r w:rsidRPr="00C30976">
        <w:t> :</w:t>
      </w:r>
      <w:r w:rsidRPr="00C30976">
        <w:rPr>
          <w:lang w:eastAsia="fr-FR" w:bidi="fr-FR"/>
        </w:rPr>
        <w:t xml:space="preserve"> en effet, peu attentive, l’opinion est également susceptible d’être manœuvrée. C’est le propre du leader</w:t>
      </w:r>
      <w:r w:rsidRPr="00C30976">
        <w:rPr>
          <w:lang w:eastAsia="fr-FR" w:bidi="fr-FR"/>
        </w:rPr>
        <w:t>s</w:t>
      </w:r>
      <w:r w:rsidRPr="00C30976">
        <w:rPr>
          <w:lang w:eastAsia="fr-FR" w:bidi="fr-FR"/>
        </w:rPr>
        <w:t>hip présidentiel que de pouvoir peu à peu guider l’opinion pour l’amener à soutenir les polit</w:t>
      </w:r>
      <w:r w:rsidRPr="00C30976">
        <w:rPr>
          <w:lang w:eastAsia="fr-FR" w:bidi="fr-FR"/>
        </w:rPr>
        <w:t>i</w:t>
      </w:r>
      <w:r w:rsidRPr="00C30976">
        <w:rPr>
          <w:lang w:eastAsia="fr-FR" w:bidi="fr-FR"/>
        </w:rPr>
        <w:t>ques gouvernementales</w:t>
      </w:r>
      <w:r>
        <w:rPr>
          <w:lang w:eastAsia="fr-FR" w:bidi="fr-FR"/>
        </w:rPr>
        <w:t> </w:t>
      </w:r>
      <w:r>
        <w:rPr>
          <w:rStyle w:val="Appelnotedebasdep"/>
          <w:lang w:eastAsia="fr-FR" w:bidi="fr-FR"/>
        </w:rPr>
        <w:footnoteReference w:id="569"/>
      </w:r>
      <w:r>
        <w:rPr>
          <w:lang w:eastAsia="fr-FR" w:bidi="fr-FR"/>
        </w:rPr>
        <w:t>.</w:t>
      </w:r>
    </w:p>
    <w:p w14:paraId="4BC6F47F" w14:textId="77777777" w:rsidR="0039793A" w:rsidRDefault="0039793A" w:rsidP="0039793A">
      <w:pPr>
        <w:spacing w:before="120" w:after="120"/>
        <w:jc w:val="both"/>
        <w:rPr>
          <w:lang w:eastAsia="fr-FR" w:bidi="fr-FR"/>
        </w:rPr>
      </w:pPr>
      <w:r>
        <w:rPr>
          <w:lang w:eastAsia="fr-FR" w:bidi="fr-FR"/>
        </w:rPr>
        <w:br w:type="page"/>
      </w:r>
    </w:p>
    <w:p w14:paraId="2A9E8A53" w14:textId="77777777" w:rsidR="0039793A" w:rsidRPr="002E02B0" w:rsidRDefault="0039793A" w:rsidP="0039793A">
      <w:pPr>
        <w:pStyle w:val="planche"/>
      </w:pPr>
      <w:bookmarkStart w:id="37" w:name="Pol_EU_pt_3_chap_09_1"/>
      <w:r w:rsidRPr="002E02B0">
        <w:rPr>
          <w:lang w:eastAsia="fr-FR" w:bidi="fr-FR"/>
        </w:rPr>
        <w:t>La perception du monde</w:t>
      </w:r>
      <w:r w:rsidRPr="002E02B0">
        <w:rPr>
          <w:lang w:eastAsia="fr-FR" w:bidi="fr-FR"/>
        </w:rPr>
        <w:br/>
        <w:t>par l’opinion publique américaine</w:t>
      </w:r>
    </w:p>
    <w:bookmarkEnd w:id="37"/>
    <w:p w14:paraId="1F2D51FE" w14:textId="77777777" w:rsidR="0039793A" w:rsidRDefault="0039793A" w:rsidP="0039793A">
      <w:pPr>
        <w:spacing w:before="120" w:after="120"/>
        <w:jc w:val="both"/>
        <w:rPr>
          <w:lang w:eastAsia="fr-FR" w:bidi="fr-FR"/>
        </w:rPr>
      </w:pPr>
    </w:p>
    <w:p w14:paraId="28AF4DD3"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6849553E" w14:textId="77777777" w:rsidR="0039793A" w:rsidRPr="00C30976" w:rsidRDefault="0039793A" w:rsidP="0039793A">
      <w:pPr>
        <w:spacing w:before="120" w:after="120"/>
        <w:jc w:val="both"/>
      </w:pPr>
      <w:r w:rsidRPr="00C30976">
        <w:rPr>
          <w:lang w:eastAsia="fr-FR" w:bidi="fr-FR"/>
        </w:rPr>
        <w:t>Le débat sur le mythe de l’isolationnisme</w:t>
      </w:r>
      <w:r>
        <w:rPr>
          <w:lang w:eastAsia="fr-FR" w:bidi="fr-FR"/>
        </w:rPr>
        <w:t> </w:t>
      </w:r>
      <w:r>
        <w:rPr>
          <w:rStyle w:val="Appelnotedebasdep"/>
          <w:lang w:eastAsia="fr-FR" w:bidi="fr-FR"/>
        </w:rPr>
        <w:footnoteReference w:id="570"/>
      </w:r>
      <w:r w:rsidRPr="00C30976">
        <w:rPr>
          <w:lang w:eastAsia="fr-FR" w:bidi="fr-FR"/>
        </w:rPr>
        <w:t xml:space="preserve"> fournit une excelle</w:t>
      </w:r>
      <w:r w:rsidRPr="00C30976">
        <w:rPr>
          <w:lang w:eastAsia="fr-FR" w:bidi="fr-FR"/>
        </w:rPr>
        <w:t>n</w:t>
      </w:r>
      <w:r w:rsidRPr="00C30976">
        <w:rPr>
          <w:lang w:eastAsia="fr-FR" w:bidi="fr-FR"/>
        </w:rPr>
        <w:t>te clé pour l’étude de l’opinion publique américaine après la guerre fro</w:t>
      </w:r>
      <w:r w:rsidRPr="00C30976">
        <w:rPr>
          <w:lang w:eastAsia="fr-FR" w:bidi="fr-FR"/>
        </w:rPr>
        <w:t>i</w:t>
      </w:r>
      <w:r w:rsidRPr="00C30976">
        <w:rPr>
          <w:lang w:eastAsia="fr-FR" w:bidi="fr-FR"/>
        </w:rPr>
        <w:t>de. Durant la dernière décennie (1991-2001), la grande crainte des dirigeants américains et de nombreux pays</w:t>
      </w:r>
      <w:r>
        <w:t xml:space="preserve"> [287] </w:t>
      </w:r>
      <w:r w:rsidRPr="00C30976">
        <w:rPr>
          <w:lang w:eastAsia="fr-FR" w:bidi="fr-FR"/>
        </w:rPr>
        <w:t>alliés, parfois tran</w:t>
      </w:r>
      <w:r w:rsidRPr="00C30976">
        <w:rPr>
          <w:lang w:eastAsia="fr-FR" w:bidi="fr-FR"/>
        </w:rPr>
        <w:t>s</w:t>
      </w:r>
      <w:r w:rsidRPr="00C30976">
        <w:rPr>
          <w:lang w:eastAsia="fr-FR" w:bidi="fr-FR"/>
        </w:rPr>
        <w:t>formée en croyance, a été ce</w:t>
      </w:r>
      <w:r w:rsidRPr="00C30976">
        <w:rPr>
          <w:lang w:eastAsia="fr-FR" w:bidi="fr-FR"/>
        </w:rPr>
        <w:t>l</w:t>
      </w:r>
      <w:r w:rsidRPr="00C30976">
        <w:rPr>
          <w:lang w:eastAsia="fr-FR" w:bidi="fr-FR"/>
        </w:rPr>
        <w:t xml:space="preserve">le d’un repli de l’Amérique sur elle-même suite à la victoire contre </w:t>
      </w:r>
      <w:r w:rsidRPr="00C30976">
        <w:t xml:space="preserve">l’URSS, </w:t>
      </w:r>
      <w:r w:rsidRPr="00C30976">
        <w:rPr>
          <w:lang w:eastAsia="fr-FR" w:bidi="fr-FR"/>
        </w:rPr>
        <w:t>et du refus de l’opinion p</w:t>
      </w:r>
      <w:r w:rsidRPr="00C30976">
        <w:rPr>
          <w:lang w:eastAsia="fr-FR" w:bidi="fr-FR"/>
        </w:rPr>
        <w:t>u</w:t>
      </w:r>
      <w:r w:rsidRPr="00C30976">
        <w:rPr>
          <w:lang w:eastAsia="fr-FR" w:bidi="fr-FR"/>
        </w:rPr>
        <w:t>blique de fournir le soutien nécessaire et durable à la stabilité intern</w:t>
      </w:r>
      <w:r w:rsidRPr="00C30976">
        <w:rPr>
          <w:lang w:eastAsia="fr-FR" w:bidi="fr-FR"/>
        </w:rPr>
        <w:t>a</w:t>
      </w:r>
      <w:r w:rsidRPr="00C30976">
        <w:rPr>
          <w:lang w:eastAsia="fr-FR" w:bidi="fr-FR"/>
        </w:rPr>
        <w:t>tionale. Après le 11 septembre, elle s’est transfo</w:t>
      </w:r>
      <w:r w:rsidRPr="00C30976">
        <w:rPr>
          <w:lang w:eastAsia="fr-FR" w:bidi="fr-FR"/>
        </w:rPr>
        <w:t>r</w:t>
      </w:r>
      <w:r w:rsidRPr="00C30976">
        <w:rPr>
          <w:lang w:eastAsia="fr-FR" w:bidi="fr-FR"/>
        </w:rPr>
        <w:t xml:space="preserve">mée en crainte de voir l’Amérique se replier sur son territoire national. Ces craintes n’étaient pas sans fondement tant la mobilisation des Américains a constitué une difficulté majeure pour les présidents au cours du </w:t>
      </w:r>
      <w:r w:rsidRPr="00C30976">
        <w:t>XX</w:t>
      </w:r>
      <w:r w:rsidRPr="00C30976">
        <w:rPr>
          <w:vertAlign w:val="superscript"/>
        </w:rPr>
        <w:t>e</w:t>
      </w:r>
      <w:r w:rsidRPr="00C30976">
        <w:t xml:space="preserve"> </w:t>
      </w:r>
      <w:r w:rsidRPr="00C30976">
        <w:rPr>
          <w:lang w:eastAsia="fr-FR" w:bidi="fr-FR"/>
        </w:rPr>
        <w:t>siècle. La chute de Woodrow Wilson face aux isolatio</w:t>
      </w:r>
      <w:r w:rsidRPr="00C30976">
        <w:rPr>
          <w:lang w:eastAsia="fr-FR" w:bidi="fr-FR"/>
        </w:rPr>
        <w:t>n</w:t>
      </w:r>
      <w:r w:rsidRPr="00C30976">
        <w:rPr>
          <w:lang w:eastAsia="fr-FR" w:bidi="fr-FR"/>
        </w:rPr>
        <w:t xml:space="preserve">nistes en 1920, la lutte de Franklin D. Roosevelt contre le comité </w:t>
      </w:r>
      <w:r w:rsidRPr="001F5FBC">
        <w:rPr>
          <w:i/>
          <w:iCs/>
        </w:rPr>
        <w:t>America First</w:t>
      </w:r>
      <w:r>
        <w:rPr>
          <w:lang w:eastAsia="fr-FR" w:bidi="fr-FR"/>
        </w:rPr>
        <w:t xml:space="preserve"> en 1940-</w:t>
      </w:r>
      <w:r w:rsidRPr="00C30976">
        <w:rPr>
          <w:lang w:eastAsia="fr-FR" w:bidi="fr-FR"/>
        </w:rPr>
        <w:t>1941</w:t>
      </w:r>
      <w:r>
        <w:rPr>
          <w:lang w:eastAsia="fr-FR" w:bidi="fr-FR"/>
        </w:rPr>
        <w:t> </w:t>
      </w:r>
      <w:r>
        <w:rPr>
          <w:rStyle w:val="Appelnotedebasdep"/>
          <w:lang w:eastAsia="fr-FR" w:bidi="fr-FR"/>
        </w:rPr>
        <w:footnoteReference w:id="571"/>
      </w:r>
      <w:r>
        <w:rPr>
          <w:lang w:eastAsia="fr-FR" w:bidi="fr-FR"/>
        </w:rPr>
        <w:t>,</w:t>
      </w:r>
      <w:r w:rsidRPr="00C30976">
        <w:rPr>
          <w:lang w:eastAsia="fr-FR" w:bidi="fr-FR"/>
        </w:rPr>
        <w:t xml:space="preserve"> la re-mobilisation de l’opinion publ</w:t>
      </w:r>
      <w:r w:rsidRPr="00C30976">
        <w:rPr>
          <w:lang w:eastAsia="fr-FR" w:bidi="fr-FR"/>
        </w:rPr>
        <w:t>i</w:t>
      </w:r>
      <w:r w:rsidRPr="00C30976">
        <w:rPr>
          <w:lang w:eastAsia="fr-FR" w:bidi="fr-FR"/>
        </w:rPr>
        <w:t>que américaine par Harry Truman à partir de 1947 avec la peur du communisme attestent de la persistance d’un courant d’opinion déf</w:t>
      </w:r>
      <w:r w:rsidRPr="00C30976">
        <w:rPr>
          <w:lang w:eastAsia="fr-FR" w:bidi="fr-FR"/>
        </w:rPr>
        <w:t>a</w:t>
      </w:r>
      <w:r w:rsidRPr="00C30976">
        <w:rPr>
          <w:lang w:eastAsia="fr-FR" w:bidi="fr-FR"/>
        </w:rPr>
        <w:t>vorable à l’engagement des fo</w:t>
      </w:r>
      <w:r w:rsidRPr="00C30976">
        <w:rPr>
          <w:lang w:eastAsia="fr-FR" w:bidi="fr-FR"/>
        </w:rPr>
        <w:t>r</w:t>
      </w:r>
      <w:r w:rsidRPr="00C30976">
        <w:rPr>
          <w:lang w:eastAsia="fr-FR" w:bidi="fr-FR"/>
        </w:rPr>
        <w:t>ces armées américaines à l’extérieur pour le maintien de l’ordre mondial - même si ce courant, dominant de 1920 à 1940, se margin</w:t>
      </w:r>
      <w:r w:rsidRPr="00C30976">
        <w:rPr>
          <w:lang w:eastAsia="fr-FR" w:bidi="fr-FR"/>
        </w:rPr>
        <w:t>a</w:t>
      </w:r>
      <w:r w:rsidRPr="00C30976">
        <w:rPr>
          <w:lang w:eastAsia="fr-FR" w:bidi="fr-FR"/>
        </w:rPr>
        <w:t>lise durant la gue</w:t>
      </w:r>
      <w:r w:rsidRPr="00C30976">
        <w:rPr>
          <w:lang w:eastAsia="fr-FR" w:bidi="fr-FR"/>
        </w:rPr>
        <w:t>r</w:t>
      </w:r>
      <w:r w:rsidRPr="00C30976">
        <w:rPr>
          <w:lang w:eastAsia="fr-FR" w:bidi="fr-FR"/>
        </w:rPr>
        <w:t>re froide. Or, la crainte d’un retour à l’isolationnisme après la chute du camp communi</w:t>
      </w:r>
      <w:r w:rsidRPr="00C30976">
        <w:rPr>
          <w:lang w:eastAsia="fr-FR" w:bidi="fr-FR"/>
        </w:rPr>
        <w:t>s</w:t>
      </w:r>
      <w:r w:rsidRPr="00C30976">
        <w:rPr>
          <w:lang w:eastAsia="fr-FR" w:bidi="fr-FR"/>
        </w:rPr>
        <w:t>te a été démentie par les faits, pour l’essentiel</w:t>
      </w:r>
      <w:r w:rsidRPr="00C30976">
        <w:t> ;</w:t>
      </w:r>
      <w:r w:rsidRPr="00C30976">
        <w:rPr>
          <w:lang w:eastAsia="fr-FR" w:bidi="fr-FR"/>
        </w:rPr>
        <w:t xml:space="preserve"> et après le 11 septembre 2001, elle est apparue plus théorique encore</w:t>
      </w:r>
      <w:r>
        <w:rPr>
          <w:lang w:eastAsia="fr-FR" w:bidi="fr-FR"/>
        </w:rPr>
        <w:t> </w:t>
      </w:r>
      <w:r>
        <w:rPr>
          <w:rStyle w:val="Appelnotedebasdep"/>
          <w:lang w:eastAsia="fr-FR" w:bidi="fr-FR"/>
        </w:rPr>
        <w:footnoteReference w:id="572"/>
      </w:r>
      <w:r w:rsidRPr="00C30976">
        <w:rPr>
          <w:lang w:eastAsia="fr-FR" w:bidi="fr-FR"/>
        </w:rPr>
        <w:t>.</w:t>
      </w:r>
    </w:p>
    <w:p w14:paraId="60581133" w14:textId="77777777" w:rsidR="0039793A" w:rsidRDefault="0039793A" w:rsidP="0039793A">
      <w:pPr>
        <w:spacing w:before="120" w:after="120"/>
        <w:jc w:val="both"/>
        <w:rPr>
          <w:lang w:eastAsia="fr-FR" w:bidi="fr-FR"/>
        </w:rPr>
      </w:pPr>
    </w:p>
    <w:p w14:paraId="2D98BE06" w14:textId="77777777" w:rsidR="0039793A" w:rsidRPr="00C30976" w:rsidRDefault="0039793A" w:rsidP="0039793A">
      <w:pPr>
        <w:pStyle w:val="a"/>
      </w:pPr>
      <w:r w:rsidRPr="00C30976">
        <w:t>L’apparent isolationnisme de l’opinion publique</w:t>
      </w:r>
    </w:p>
    <w:p w14:paraId="57BEC69E" w14:textId="77777777" w:rsidR="0039793A" w:rsidRDefault="0039793A" w:rsidP="0039793A">
      <w:pPr>
        <w:spacing w:before="120" w:after="120"/>
        <w:jc w:val="both"/>
        <w:rPr>
          <w:lang w:eastAsia="fr-FR" w:bidi="fr-FR"/>
        </w:rPr>
      </w:pPr>
    </w:p>
    <w:p w14:paraId="4CD67E74" w14:textId="77777777" w:rsidR="0039793A" w:rsidRPr="00C30976" w:rsidRDefault="0039793A" w:rsidP="0039793A">
      <w:pPr>
        <w:spacing w:before="120" w:after="120"/>
        <w:jc w:val="both"/>
      </w:pPr>
      <w:r w:rsidRPr="00C30976">
        <w:rPr>
          <w:lang w:eastAsia="fr-FR" w:bidi="fr-FR"/>
        </w:rPr>
        <w:t>Au cours des années 1990 et 2000, il y a eu une méprise de grande ampleur au sujet de l’opinion publique que beaucoup, à commencer par les élites, les décideurs et les médias, ont jugé à tort isol</w:t>
      </w:r>
      <w:r w:rsidRPr="00C30976">
        <w:rPr>
          <w:lang w:eastAsia="fr-FR" w:bidi="fr-FR"/>
        </w:rPr>
        <w:t>a</w:t>
      </w:r>
      <w:r w:rsidRPr="00C30976">
        <w:rPr>
          <w:lang w:eastAsia="fr-FR" w:bidi="fr-FR"/>
        </w:rPr>
        <w:t>tionniste, jalouse de la souveraineté américaine et fondamentalement hostile au multilatéralisme.</w:t>
      </w:r>
    </w:p>
    <w:p w14:paraId="5BBE06EC" w14:textId="77777777" w:rsidR="0039793A" w:rsidRDefault="0039793A" w:rsidP="0039793A">
      <w:pPr>
        <w:spacing w:before="120" w:after="120"/>
        <w:jc w:val="both"/>
        <w:rPr>
          <w:lang w:eastAsia="fr-FR" w:bidi="fr-FR"/>
        </w:rPr>
      </w:pPr>
    </w:p>
    <w:p w14:paraId="241C8352" w14:textId="77777777" w:rsidR="0039793A" w:rsidRPr="00C30976" w:rsidRDefault="0039793A" w:rsidP="0039793A">
      <w:pPr>
        <w:pStyle w:val="b"/>
      </w:pPr>
      <w:r>
        <w:rPr>
          <w:lang w:eastAsia="fr-FR" w:bidi="fr-FR"/>
        </w:rPr>
        <w:t>U</w:t>
      </w:r>
      <w:r w:rsidRPr="00C30976">
        <w:rPr>
          <w:lang w:eastAsia="fr-FR" w:bidi="fr-FR"/>
        </w:rPr>
        <w:t>ne perception erronée des élites</w:t>
      </w:r>
    </w:p>
    <w:p w14:paraId="74E6B6BB" w14:textId="77777777" w:rsidR="0039793A" w:rsidRDefault="0039793A" w:rsidP="0039793A">
      <w:pPr>
        <w:spacing w:before="120" w:after="120"/>
        <w:jc w:val="both"/>
        <w:rPr>
          <w:lang w:eastAsia="fr-FR" w:bidi="fr-FR"/>
        </w:rPr>
      </w:pPr>
    </w:p>
    <w:p w14:paraId="51FD0AE2" w14:textId="77777777" w:rsidR="0039793A" w:rsidRPr="00C30976" w:rsidRDefault="0039793A" w:rsidP="0039793A">
      <w:pPr>
        <w:spacing w:before="120" w:after="120"/>
        <w:jc w:val="both"/>
      </w:pPr>
      <w:r w:rsidRPr="00C30976">
        <w:rPr>
          <w:lang w:eastAsia="fr-FR" w:bidi="fr-FR"/>
        </w:rPr>
        <w:t>Si l’on demande à des décideurs des années 1990 d’évoquer l’état de l’opinion publique amér</w:t>
      </w:r>
      <w:r w:rsidRPr="00C30976">
        <w:rPr>
          <w:lang w:eastAsia="fr-FR" w:bidi="fr-FR"/>
        </w:rPr>
        <w:t>i</w:t>
      </w:r>
      <w:r w:rsidRPr="00C30976">
        <w:rPr>
          <w:lang w:eastAsia="fr-FR" w:bidi="fr-FR"/>
        </w:rPr>
        <w:t>caine sur les affaires internationales, il y a toute chance qu’ils la décrivent comme frileuse, isolationniste, unil</w:t>
      </w:r>
      <w:r w:rsidRPr="00C30976">
        <w:rPr>
          <w:lang w:eastAsia="fr-FR" w:bidi="fr-FR"/>
        </w:rPr>
        <w:t>a</w:t>
      </w:r>
      <w:r w:rsidRPr="00C30976">
        <w:rPr>
          <w:lang w:eastAsia="fr-FR" w:bidi="fr-FR"/>
        </w:rPr>
        <w:t>téraliste, et soucieuse de ne pas trop dépenser pour l’étranger. Or, ce</w:t>
      </w:r>
      <w:r w:rsidRPr="00C30976">
        <w:rPr>
          <w:lang w:eastAsia="fr-FR" w:bidi="fr-FR"/>
        </w:rPr>
        <w:t>t</w:t>
      </w:r>
      <w:r w:rsidRPr="00C30976">
        <w:rPr>
          <w:lang w:eastAsia="fr-FR" w:bidi="fr-FR"/>
        </w:rPr>
        <w:t>te réponse stéré</w:t>
      </w:r>
      <w:r w:rsidRPr="00C30976">
        <w:rPr>
          <w:lang w:eastAsia="fr-FR" w:bidi="fr-FR"/>
        </w:rPr>
        <w:t>o</w:t>
      </w:r>
      <w:r w:rsidRPr="00C30976">
        <w:rPr>
          <w:lang w:eastAsia="fr-FR" w:bidi="fr-FR"/>
        </w:rPr>
        <w:t>typée constitue une</w:t>
      </w:r>
      <w:r>
        <w:t xml:space="preserve"> [288] </w:t>
      </w:r>
      <w:r w:rsidRPr="00C30976">
        <w:rPr>
          <w:lang w:eastAsia="fr-FR" w:bidi="fr-FR"/>
        </w:rPr>
        <w:t>erreur d’appréciation. C’est ce qu’ont mis en évidence des chercheurs de l’Université du Mar</w:t>
      </w:r>
      <w:r w:rsidRPr="00C30976">
        <w:rPr>
          <w:lang w:eastAsia="fr-FR" w:bidi="fr-FR"/>
        </w:rPr>
        <w:t>y</w:t>
      </w:r>
      <w:r w:rsidRPr="00C30976">
        <w:rPr>
          <w:lang w:eastAsia="fr-FR" w:bidi="fr-FR"/>
        </w:rPr>
        <w:t>land sous la direction de Steven Kull et I.M. Destler</w:t>
      </w:r>
      <w:r>
        <w:rPr>
          <w:lang w:eastAsia="fr-FR" w:bidi="fr-FR"/>
        </w:rPr>
        <w:t> </w:t>
      </w:r>
      <w:r>
        <w:rPr>
          <w:rStyle w:val="Appelnotedebasdep"/>
          <w:lang w:eastAsia="fr-FR" w:bidi="fr-FR"/>
        </w:rPr>
        <w:footnoteReference w:id="573"/>
      </w:r>
      <w:r>
        <w:rPr>
          <w:lang w:eastAsia="fr-FR" w:bidi="fr-FR"/>
        </w:rPr>
        <w:t>.</w:t>
      </w:r>
    </w:p>
    <w:p w14:paraId="7397701E" w14:textId="77777777" w:rsidR="0039793A" w:rsidRPr="00C30976" w:rsidRDefault="0039793A" w:rsidP="0039793A">
      <w:pPr>
        <w:spacing w:before="120" w:after="120"/>
        <w:jc w:val="both"/>
      </w:pPr>
      <w:r w:rsidRPr="00C30976">
        <w:rPr>
          <w:lang w:eastAsia="fr-FR" w:bidi="fr-FR"/>
        </w:rPr>
        <w:t>Les trois quarts des élites pensent qu’une maj</w:t>
      </w:r>
      <w:r w:rsidRPr="00C30976">
        <w:rPr>
          <w:lang w:eastAsia="fr-FR" w:bidi="fr-FR"/>
        </w:rPr>
        <w:t>o</w:t>
      </w:r>
      <w:r w:rsidRPr="00C30976">
        <w:rPr>
          <w:lang w:eastAsia="fr-FR" w:bidi="fr-FR"/>
        </w:rPr>
        <w:t>rité d’Américains souhaite se désengager de la pol</w:t>
      </w:r>
      <w:r w:rsidRPr="00C30976">
        <w:rPr>
          <w:lang w:eastAsia="fr-FR" w:bidi="fr-FR"/>
        </w:rPr>
        <w:t>i</w:t>
      </w:r>
      <w:r w:rsidRPr="00C30976">
        <w:rPr>
          <w:lang w:eastAsia="fr-FR" w:bidi="fr-FR"/>
        </w:rPr>
        <w:t>tique mondiale</w:t>
      </w:r>
      <w:r w:rsidRPr="00C30976">
        <w:t> ;</w:t>
      </w:r>
      <w:r w:rsidRPr="00C30976">
        <w:rPr>
          <w:lang w:eastAsia="fr-FR" w:bidi="fr-FR"/>
        </w:rPr>
        <w:t xml:space="preserve"> ces élites s’imaginent mener une politique internationaliste à contre- courant de l’opinion générale, et moins de 10</w:t>
      </w:r>
      <w:r>
        <w:rPr>
          <w:lang w:eastAsia="fr-FR" w:bidi="fr-FR"/>
        </w:rPr>
        <w:t>%</w:t>
      </w:r>
      <w:r w:rsidRPr="00C30976">
        <w:rPr>
          <w:lang w:eastAsia="fr-FR" w:bidi="fr-FR"/>
        </w:rPr>
        <w:t xml:space="preserve"> d’entre elles pensent que le p</w:t>
      </w:r>
      <w:r w:rsidRPr="00C30976">
        <w:rPr>
          <w:lang w:eastAsia="fr-FR" w:bidi="fr-FR"/>
        </w:rPr>
        <w:t>u</w:t>
      </w:r>
      <w:r w:rsidRPr="00C30976">
        <w:rPr>
          <w:lang w:eastAsia="fr-FR" w:bidi="fr-FR"/>
        </w:rPr>
        <w:t>blic américain soutient le multil</w:t>
      </w:r>
      <w:r w:rsidRPr="00C30976">
        <w:rPr>
          <w:lang w:eastAsia="fr-FR" w:bidi="fr-FR"/>
        </w:rPr>
        <w:t>a</w:t>
      </w:r>
      <w:r w:rsidRPr="00C30976">
        <w:rPr>
          <w:lang w:eastAsia="fr-FR" w:bidi="fr-FR"/>
        </w:rPr>
        <w:t>téralisme. Or les résultats réels sont inverses</w:t>
      </w:r>
      <w:r w:rsidRPr="00C30976">
        <w:t> :</w:t>
      </w:r>
      <w:r w:rsidRPr="00C30976">
        <w:rPr>
          <w:lang w:eastAsia="fr-FR" w:bidi="fr-FR"/>
        </w:rPr>
        <w:t xml:space="preserve"> en moyenne, de 1990 à 2002, 65</w:t>
      </w:r>
      <w:r>
        <w:rPr>
          <w:lang w:eastAsia="fr-FR" w:bidi="fr-FR"/>
        </w:rPr>
        <w:t>%</w:t>
      </w:r>
      <w:r w:rsidRPr="00C30976">
        <w:rPr>
          <w:lang w:eastAsia="fr-FR" w:bidi="fr-FR"/>
        </w:rPr>
        <w:t xml:space="preserve"> des Américains ont so</w:t>
      </w:r>
      <w:r w:rsidRPr="00C30976">
        <w:rPr>
          <w:lang w:eastAsia="fr-FR" w:bidi="fr-FR"/>
        </w:rPr>
        <w:t>u</w:t>
      </w:r>
      <w:r w:rsidRPr="00C30976">
        <w:rPr>
          <w:lang w:eastAsia="fr-FR" w:bidi="fr-FR"/>
        </w:rPr>
        <w:t>haité prendre une part active dans les affaires du monde contre 29</w:t>
      </w:r>
      <w:r>
        <w:rPr>
          <w:lang w:eastAsia="fr-FR" w:bidi="fr-FR"/>
        </w:rPr>
        <w:t>%</w:t>
      </w:r>
      <w:r w:rsidRPr="00C30976">
        <w:rPr>
          <w:lang w:eastAsia="fr-FR" w:bidi="fr-FR"/>
        </w:rPr>
        <w:t xml:space="preserve"> en faveur d’un désengagement. Quant au multilatéralisme, il bénéficie d’un soutien massif dans l’opinion publique, de 70 à 75</w:t>
      </w:r>
      <w:r>
        <w:rPr>
          <w:lang w:eastAsia="fr-FR" w:bidi="fr-FR"/>
        </w:rPr>
        <w:t>%</w:t>
      </w:r>
      <w:r w:rsidRPr="00C30976">
        <w:rPr>
          <w:lang w:eastAsia="fr-FR" w:bidi="fr-FR"/>
        </w:rPr>
        <w:t xml:space="preserve"> env</w:t>
      </w:r>
      <w:r w:rsidRPr="00C30976">
        <w:rPr>
          <w:lang w:eastAsia="fr-FR" w:bidi="fr-FR"/>
        </w:rPr>
        <w:t>i</w:t>
      </w:r>
      <w:r w:rsidRPr="00C30976">
        <w:rPr>
          <w:lang w:eastAsia="fr-FR" w:bidi="fr-FR"/>
        </w:rPr>
        <w:t>ron</w:t>
      </w:r>
      <w:r>
        <w:rPr>
          <w:rStyle w:val="Appelnotedebasdep"/>
          <w:lang w:eastAsia="fr-FR" w:bidi="fr-FR"/>
        </w:rPr>
        <w:footnoteReference w:id="574"/>
      </w:r>
      <w:r w:rsidRPr="00C30976">
        <w:t>.</w:t>
      </w:r>
      <w:r w:rsidRPr="00C30976">
        <w:rPr>
          <w:lang w:eastAsia="fr-FR" w:bidi="fr-FR"/>
        </w:rPr>
        <w:t xml:space="preserve"> De semblables méprises s’observent sur pre</w:t>
      </w:r>
      <w:r w:rsidRPr="00C30976">
        <w:rPr>
          <w:lang w:eastAsia="fr-FR" w:bidi="fr-FR"/>
        </w:rPr>
        <w:t>s</w:t>
      </w:r>
      <w:r w:rsidRPr="00C30976">
        <w:rPr>
          <w:lang w:eastAsia="fr-FR" w:bidi="fr-FR"/>
        </w:rPr>
        <w:t>que tous les autres sujets, à commencer par la pe</w:t>
      </w:r>
      <w:r w:rsidRPr="00C30976">
        <w:rPr>
          <w:lang w:eastAsia="fr-FR" w:bidi="fr-FR"/>
        </w:rPr>
        <w:t>r</w:t>
      </w:r>
      <w:r w:rsidRPr="00C30976">
        <w:rPr>
          <w:lang w:eastAsia="fr-FR" w:bidi="fr-FR"/>
        </w:rPr>
        <w:t xml:space="preserve">ception de </w:t>
      </w:r>
      <w:r w:rsidRPr="00C30976">
        <w:t xml:space="preserve">l’ONU </w:t>
      </w:r>
      <w:r w:rsidRPr="00C30976">
        <w:rPr>
          <w:lang w:eastAsia="fr-FR" w:bidi="fr-FR"/>
        </w:rPr>
        <w:t>dont les élites s’imaginent que le public la méprise et s’en méfie fondamentalement.</w:t>
      </w:r>
    </w:p>
    <w:p w14:paraId="13B51DF2" w14:textId="77777777" w:rsidR="0039793A" w:rsidRPr="00C30976" w:rsidRDefault="0039793A" w:rsidP="0039793A">
      <w:pPr>
        <w:spacing w:before="120" w:after="120"/>
        <w:jc w:val="both"/>
      </w:pPr>
      <w:r w:rsidRPr="00C30976">
        <w:rPr>
          <w:lang w:eastAsia="fr-FR" w:bidi="fr-FR"/>
        </w:rPr>
        <w:t>Tel n’est pourtant pas le cas. En décembre 1995, tandis que la rh</w:t>
      </w:r>
      <w:r w:rsidRPr="00C30976">
        <w:rPr>
          <w:lang w:eastAsia="fr-FR" w:bidi="fr-FR"/>
        </w:rPr>
        <w:t>é</w:t>
      </w:r>
      <w:r w:rsidRPr="00C30976">
        <w:rPr>
          <w:lang w:eastAsia="fr-FR" w:bidi="fr-FR"/>
        </w:rPr>
        <w:t>torique républicaine anti-onusienne au Congrès atteint son paroxysme, 82</w:t>
      </w:r>
      <w:r>
        <w:rPr>
          <w:lang w:eastAsia="fr-FR" w:bidi="fr-FR"/>
        </w:rPr>
        <w:t>%</w:t>
      </w:r>
      <w:r w:rsidRPr="00C30976">
        <w:rPr>
          <w:lang w:eastAsia="fr-FR" w:bidi="fr-FR"/>
        </w:rPr>
        <w:t xml:space="preserve"> des Am</w:t>
      </w:r>
      <w:r w:rsidRPr="00C30976">
        <w:rPr>
          <w:lang w:eastAsia="fr-FR" w:bidi="fr-FR"/>
        </w:rPr>
        <w:t>é</w:t>
      </w:r>
      <w:r w:rsidRPr="00C30976">
        <w:rPr>
          <w:lang w:eastAsia="fr-FR" w:bidi="fr-FR"/>
        </w:rPr>
        <w:t xml:space="preserve">ricains pensent qu’il est important que les États-Unis soient un membre actif de </w:t>
      </w:r>
      <w:r w:rsidRPr="00C30976">
        <w:t xml:space="preserve">l’ONU, </w:t>
      </w:r>
      <w:r w:rsidRPr="00C30976">
        <w:rPr>
          <w:lang w:eastAsia="fr-FR" w:bidi="fr-FR"/>
        </w:rPr>
        <w:t>et en 1998, 77</w:t>
      </w:r>
      <w:r>
        <w:rPr>
          <w:lang w:eastAsia="fr-FR" w:bidi="fr-FR"/>
        </w:rPr>
        <w:t>%</w:t>
      </w:r>
      <w:r w:rsidRPr="00C30976">
        <w:rPr>
          <w:lang w:eastAsia="fr-FR" w:bidi="fr-FR"/>
        </w:rPr>
        <w:t xml:space="preserve"> souhaitent voir régler au plus vite la question des dettes américaines à </w:t>
      </w:r>
      <w:r w:rsidRPr="00C30976">
        <w:t>l’ONU</w:t>
      </w:r>
      <w:r>
        <w:rPr>
          <w:lang w:eastAsia="fr-FR" w:bidi="fr-FR"/>
        </w:rPr>
        <w:t> </w:t>
      </w:r>
      <w:r>
        <w:rPr>
          <w:rStyle w:val="Appelnotedebasdep"/>
          <w:lang w:eastAsia="fr-FR" w:bidi="fr-FR"/>
        </w:rPr>
        <w:footnoteReference w:id="575"/>
      </w:r>
      <w:r w:rsidRPr="00C30976">
        <w:rPr>
          <w:lang w:eastAsia="fr-FR" w:bidi="fr-FR"/>
        </w:rPr>
        <w:t>. De la même m</w:t>
      </w:r>
      <w:r w:rsidRPr="00C30976">
        <w:rPr>
          <w:lang w:eastAsia="fr-FR" w:bidi="fr-FR"/>
        </w:rPr>
        <w:t>a</w:t>
      </w:r>
      <w:r w:rsidRPr="00C30976">
        <w:rPr>
          <w:lang w:eastAsia="fr-FR" w:bidi="fr-FR"/>
        </w:rPr>
        <w:t xml:space="preserve">nière, le soutien à </w:t>
      </w:r>
      <w:r w:rsidRPr="00C30976">
        <w:t xml:space="preserve">l’OTAN </w:t>
      </w:r>
      <w:r w:rsidRPr="00C30976">
        <w:rPr>
          <w:lang w:eastAsia="fr-FR" w:bidi="fr-FR"/>
        </w:rPr>
        <w:t>est, en décembre 1995, de 76</w:t>
      </w:r>
      <w:r>
        <w:rPr>
          <w:lang w:eastAsia="fr-FR" w:bidi="fr-FR"/>
        </w:rPr>
        <w:t>%</w:t>
      </w:r>
      <w:r w:rsidRPr="00C30976">
        <w:rPr>
          <w:lang w:eastAsia="fr-FR" w:bidi="fr-FR"/>
        </w:rPr>
        <w:t xml:space="preserve">, alors que les élites pensaient que </w:t>
      </w:r>
      <w:r w:rsidRPr="00C30976">
        <w:t>l’OTA</w:t>
      </w:r>
      <w:r>
        <w:t>N</w:t>
      </w:r>
      <w:r w:rsidRPr="00C30976">
        <w:t xml:space="preserve"> </w:t>
      </w:r>
      <w:r w:rsidRPr="00C30976">
        <w:rPr>
          <w:lang w:eastAsia="fr-FR" w:bidi="fr-FR"/>
        </w:rPr>
        <w:t xml:space="preserve">était beaucoup plus populaire que </w:t>
      </w:r>
      <w:r w:rsidRPr="00C30976">
        <w:t xml:space="preserve">l’ONU. </w:t>
      </w:r>
      <w:r w:rsidRPr="00C30976">
        <w:rPr>
          <w:lang w:eastAsia="fr-FR" w:bidi="fr-FR"/>
        </w:rPr>
        <w:t>Les élites multiplient ainsi les erreurs de pe</w:t>
      </w:r>
      <w:r w:rsidRPr="00C30976">
        <w:rPr>
          <w:lang w:eastAsia="fr-FR" w:bidi="fr-FR"/>
        </w:rPr>
        <w:t>r</w:t>
      </w:r>
      <w:r w:rsidRPr="00C30976">
        <w:rPr>
          <w:lang w:eastAsia="fr-FR" w:bidi="fr-FR"/>
        </w:rPr>
        <w:t>ception. Il en va de même pour l’aide publique au développement</w:t>
      </w:r>
      <w:r w:rsidRPr="00C30976">
        <w:t> :</w:t>
      </w:r>
      <w:r w:rsidRPr="00C30976">
        <w:rPr>
          <w:lang w:eastAsia="fr-FR" w:bidi="fr-FR"/>
        </w:rPr>
        <w:t xml:space="preserve"> sept parl</w:t>
      </w:r>
      <w:r w:rsidRPr="00C30976">
        <w:rPr>
          <w:lang w:eastAsia="fr-FR" w:bidi="fr-FR"/>
        </w:rPr>
        <w:t>e</w:t>
      </w:r>
      <w:r w:rsidRPr="00C30976">
        <w:rPr>
          <w:lang w:eastAsia="fr-FR" w:bidi="fr-FR"/>
        </w:rPr>
        <w:t>mentaires ou assistants parlementaires sur dix estiment qu’une majorité d’Américains est, par principe, opposée à l’aide p</w:t>
      </w:r>
      <w:r w:rsidRPr="00C30976">
        <w:rPr>
          <w:lang w:eastAsia="fr-FR" w:bidi="fr-FR"/>
        </w:rPr>
        <w:t>u</w:t>
      </w:r>
      <w:r w:rsidRPr="00C30976">
        <w:rPr>
          <w:lang w:eastAsia="fr-FR" w:bidi="fr-FR"/>
        </w:rPr>
        <w:t>blique au dév</w:t>
      </w:r>
      <w:r w:rsidRPr="00C30976">
        <w:rPr>
          <w:lang w:eastAsia="fr-FR" w:bidi="fr-FR"/>
        </w:rPr>
        <w:t>e</w:t>
      </w:r>
      <w:r w:rsidRPr="00C30976">
        <w:rPr>
          <w:lang w:eastAsia="fr-FR" w:bidi="fr-FR"/>
        </w:rPr>
        <w:t>loppement (et la supprimerait) alors qu’en réalité ils ne sont que 8</w:t>
      </w:r>
      <w:r>
        <w:rPr>
          <w:lang w:eastAsia="fr-FR" w:bidi="fr-FR"/>
        </w:rPr>
        <w:t>%</w:t>
      </w:r>
      <w:r w:rsidRPr="00C30976">
        <w:rPr>
          <w:lang w:eastAsia="fr-FR" w:bidi="fr-FR"/>
        </w:rPr>
        <w:t>.</w:t>
      </w:r>
    </w:p>
    <w:p w14:paraId="264A87E2" w14:textId="77777777" w:rsidR="0039793A" w:rsidRDefault="0039793A" w:rsidP="0039793A">
      <w:pPr>
        <w:spacing w:before="120" w:after="120"/>
        <w:jc w:val="both"/>
      </w:pPr>
      <w:r>
        <w:t>[289]</w:t>
      </w:r>
    </w:p>
    <w:p w14:paraId="144BC112" w14:textId="77777777" w:rsidR="0039793A" w:rsidRDefault="0039793A" w:rsidP="0039793A">
      <w:pPr>
        <w:spacing w:before="120" w:after="120"/>
        <w:jc w:val="both"/>
      </w:pPr>
    </w:p>
    <w:p w14:paraId="393A8C75" w14:textId="77777777" w:rsidR="0039793A" w:rsidRPr="00A71E26" w:rsidRDefault="0039793A" w:rsidP="0039793A">
      <w:pPr>
        <w:pStyle w:val="b"/>
      </w:pPr>
      <w:r w:rsidRPr="00A71E26">
        <w:rPr>
          <w:lang w:eastAsia="fr-FR" w:bidi="fr-FR"/>
        </w:rPr>
        <w:t>Les fondements de la méprise des élites</w:t>
      </w:r>
    </w:p>
    <w:p w14:paraId="162B31D5" w14:textId="77777777" w:rsidR="0039793A" w:rsidRDefault="0039793A" w:rsidP="0039793A">
      <w:pPr>
        <w:spacing w:before="120" w:after="120"/>
        <w:jc w:val="both"/>
        <w:rPr>
          <w:lang w:eastAsia="fr-FR" w:bidi="fr-FR"/>
        </w:rPr>
      </w:pPr>
    </w:p>
    <w:p w14:paraId="12237D3E" w14:textId="77777777" w:rsidR="0039793A" w:rsidRPr="00C30976" w:rsidRDefault="0039793A" w:rsidP="0039793A">
      <w:pPr>
        <w:spacing w:before="120" w:after="120"/>
        <w:jc w:val="both"/>
      </w:pPr>
      <w:r w:rsidRPr="00C30976">
        <w:rPr>
          <w:lang w:eastAsia="fr-FR" w:bidi="fr-FR"/>
        </w:rPr>
        <w:t>Une méprise aussi grande de la part des élites pose deux questions, l’une sur ses origines, l’autre sur ses conséquences, c’est- à-dire sur l’articulation entre opinion publique et décision politique. Co</w:t>
      </w:r>
      <w:r w:rsidRPr="00C30976">
        <w:rPr>
          <w:lang w:eastAsia="fr-FR" w:bidi="fr-FR"/>
        </w:rPr>
        <w:t>m</w:t>
      </w:r>
      <w:r w:rsidRPr="00C30976">
        <w:rPr>
          <w:lang w:eastAsia="fr-FR" w:bidi="fr-FR"/>
        </w:rPr>
        <w:t>ment les décideurs américains ont-ils pu se tromper sur l’état de l’opinion publique</w:t>
      </w:r>
      <w:r w:rsidRPr="00C30976">
        <w:t> ?</w:t>
      </w:r>
      <w:r w:rsidRPr="00C30976">
        <w:rPr>
          <w:lang w:eastAsia="fr-FR" w:bidi="fr-FR"/>
        </w:rPr>
        <w:t xml:space="preserve"> Comment ont-ils pu ignorer ainsi les souhaits des éle</w:t>
      </w:r>
      <w:r w:rsidRPr="00C30976">
        <w:rPr>
          <w:lang w:eastAsia="fr-FR" w:bidi="fr-FR"/>
        </w:rPr>
        <w:t>c</w:t>
      </w:r>
      <w:r w:rsidRPr="00C30976">
        <w:rPr>
          <w:lang w:eastAsia="fr-FR" w:bidi="fr-FR"/>
        </w:rPr>
        <w:t>teurs</w:t>
      </w:r>
      <w:r w:rsidRPr="00C30976">
        <w:t> ?</w:t>
      </w:r>
      <w:r w:rsidRPr="00C30976">
        <w:rPr>
          <w:lang w:eastAsia="fr-FR" w:bidi="fr-FR"/>
        </w:rPr>
        <w:t xml:space="preserve"> Cette méprise a occulté trois phénomènes complexes</w:t>
      </w:r>
      <w:r w:rsidRPr="00C30976">
        <w:t> :</w:t>
      </w:r>
      <w:r w:rsidRPr="00C30976">
        <w:rPr>
          <w:lang w:eastAsia="fr-FR" w:bidi="fr-FR"/>
        </w:rPr>
        <w:t xml:space="preserve"> la mo</w:t>
      </w:r>
      <w:r w:rsidRPr="00C30976">
        <w:rPr>
          <w:lang w:eastAsia="fr-FR" w:bidi="fr-FR"/>
        </w:rPr>
        <w:t>n</w:t>
      </w:r>
      <w:r w:rsidRPr="00C30976">
        <w:rPr>
          <w:lang w:eastAsia="fr-FR" w:bidi="fr-FR"/>
        </w:rPr>
        <w:t>tée en puissance d’une minorité bruyante, is</w:t>
      </w:r>
      <w:r w:rsidRPr="00C30976">
        <w:rPr>
          <w:lang w:eastAsia="fr-FR" w:bidi="fr-FR"/>
        </w:rPr>
        <w:t>o</w:t>
      </w:r>
      <w:r w:rsidRPr="00C30976">
        <w:rPr>
          <w:lang w:eastAsia="fr-FR" w:bidi="fr-FR"/>
        </w:rPr>
        <w:t>lationniste ou du moins unilatéraliste, une introve</w:t>
      </w:r>
      <w:r w:rsidRPr="00C30976">
        <w:rPr>
          <w:lang w:eastAsia="fr-FR" w:bidi="fr-FR"/>
        </w:rPr>
        <w:t>r</w:t>
      </w:r>
      <w:r w:rsidRPr="00C30976">
        <w:rPr>
          <w:lang w:eastAsia="fr-FR" w:bidi="fr-FR"/>
        </w:rPr>
        <w:t>sion incontestable de l’Amérique qui s’est traduite non pas par l’isolationnisme, mais par une sorte d’éloignement et de douce négligence des dossiers internationaux, et un détournement, par certains républicains, de cette humeur d’introversion à des fins partisanes.</w:t>
      </w:r>
    </w:p>
    <w:p w14:paraId="76886439" w14:textId="77777777" w:rsidR="0039793A" w:rsidRPr="00C30976" w:rsidRDefault="0039793A" w:rsidP="0039793A">
      <w:pPr>
        <w:spacing w:before="120" w:after="120"/>
        <w:jc w:val="both"/>
      </w:pPr>
      <w:r w:rsidRPr="00C30976">
        <w:rPr>
          <w:lang w:eastAsia="fr-FR" w:bidi="fr-FR"/>
        </w:rPr>
        <w:t>D’abord, les parlementaires ne font jamais réal</w:t>
      </w:r>
      <w:r w:rsidRPr="00C30976">
        <w:rPr>
          <w:lang w:eastAsia="fr-FR" w:bidi="fr-FR"/>
        </w:rPr>
        <w:t>i</w:t>
      </w:r>
      <w:r w:rsidRPr="00C30976">
        <w:rPr>
          <w:lang w:eastAsia="fr-FR" w:bidi="fr-FR"/>
        </w:rPr>
        <w:t>ser de sondages sur les questions internationales, ils estiment que leurs contacts avec les administrés et leur correspondance suffisent à les tenir informés</w:t>
      </w:r>
      <w:r>
        <w:rPr>
          <w:lang w:eastAsia="fr-FR" w:bidi="fr-FR"/>
        </w:rPr>
        <w:t> </w:t>
      </w:r>
      <w:r>
        <w:rPr>
          <w:rStyle w:val="Appelnotedebasdep"/>
          <w:lang w:eastAsia="fr-FR" w:bidi="fr-FR"/>
        </w:rPr>
        <w:footnoteReference w:id="576"/>
      </w:r>
      <w:r>
        <w:rPr>
          <w:lang w:eastAsia="fr-FR" w:bidi="fr-FR"/>
        </w:rPr>
        <w:t>.</w:t>
      </w:r>
      <w:r w:rsidRPr="00C30976">
        <w:rPr>
          <w:lang w:eastAsia="fr-FR" w:bidi="fr-FR"/>
        </w:rPr>
        <w:t xml:space="preserve"> Leur défiance vis-à-vis des sondages est très forte, parce que eux-mêmes les manipulent à des fins p</w:t>
      </w:r>
      <w:r w:rsidRPr="00C30976">
        <w:rPr>
          <w:lang w:eastAsia="fr-FR" w:bidi="fr-FR"/>
        </w:rPr>
        <w:t>o</w:t>
      </w:r>
      <w:r w:rsidRPr="00C30976">
        <w:rPr>
          <w:lang w:eastAsia="fr-FR" w:bidi="fr-FR"/>
        </w:rPr>
        <w:t>liticiennes. Ils préfèrent croire les lettres qu’ils reçoivent, les articles de journaux, et plus général</w:t>
      </w:r>
      <w:r w:rsidRPr="00C30976">
        <w:rPr>
          <w:lang w:eastAsia="fr-FR" w:bidi="fr-FR"/>
        </w:rPr>
        <w:t>e</w:t>
      </w:r>
      <w:r w:rsidRPr="00C30976">
        <w:rPr>
          <w:lang w:eastAsia="fr-FR" w:bidi="fr-FR"/>
        </w:rPr>
        <w:t>ment l’opinion dominante, plutôt que des enquêtes d’opinion systématiques qu’ils accusent en outre de n’être pas valides dans le cas spécifique de leur district. Cependant ce mode d’information - certains le reconnai</w:t>
      </w:r>
      <w:r w:rsidRPr="00C30976">
        <w:rPr>
          <w:lang w:eastAsia="fr-FR" w:bidi="fr-FR"/>
        </w:rPr>
        <w:t>s</w:t>
      </w:r>
      <w:r w:rsidRPr="00C30976">
        <w:rPr>
          <w:lang w:eastAsia="fr-FR" w:bidi="fr-FR"/>
        </w:rPr>
        <w:t xml:space="preserve">sent volontiers - les rend plus sensibles aux </w:t>
      </w:r>
      <w:r w:rsidRPr="00C30976">
        <w:t>« </w:t>
      </w:r>
      <w:r w:rsidRPr="00C30976">
        <w:rPr>
          <w:lang w:eastAsia="fr-FR" w:bidi="fr-FR"/>
        </w:rPr>
        <w:t>minorités bruyantes</w:t>
      </w:r>
      <w:r w:rsidRPr="00C30976">
        <w:t> »</w:t>
      </w:r>
      <w:r w:rsidRPr="00C30976">
        <w:rPr>
          <w:lang w:eastAsia="fr-FR" w:bidi="fr-FR"/>
        </w:rPr>
        <w:t xml:space="preserve"> (qui sont en principe toujours opposées à l’engagement) qu’aux vœux de la majorité silencieuse. Les électeurs écrivent rarement pour sout</w:t>
      </w:r>
      <w:r w:rsidRPr="00C30976">
        <w:rPr>
          <w:lang w:eastAsia="fr-FR" w:bidi="fr-FR"/>
        </w:rPr>
        <w:t>e</w:t>
      </w:r>
      <w:r w:rsidRPr="00C30976">
        <w:rPr>
          <w:lang w:eastAsia="fr-FR" w:bidi="fr-FR"/>
        </w:rPr>
        <w:t>nir l’internationalisme, mais to</w:t>
      </w:r>
      <w:r w:rsidRPr="00C30976">
        <w:rPr>
          <w:lang w:eastAsia="fr-FR" w:bidi="fr-FR"/>
        </w:rPr>
        <w:t>u</w:t>
      </w:r>
      <w:r w:rsidRPr="00C30976">
        <w:rPr>
          <w:lang w:eastAsia="fr-FR" w:bidi="fr-FR"/>
        </w:rPr>
        <w:t>jours pour le critiquer. Finalement, l’agitation e</w:t>
      </w:r>
      <w:r w:rsidRPr="00C30976">
        <w:rPr>
          <w:lang w:eastAsia="fr-FR" w:bidi="fr-FR"/>
        </w:rPr>
        <w:t>x</w:t>
      </w:r>
      <w:r w:rsidRPr="00C30976">
        <w:rPr>
          <w:lang w:eastAsia="fr-FR" w:bidi="fr-FR"/>
        </w:rPr>
        <w:t>trémiste et parfois violente, très médiatisée, de quelques groupes</w:t>
      </w:r>
      <w:r>
        <w:rPr>
          <w:lang w:eastAsia="fr-FR" w:bidi="fr-FR"/>
        </w:rPr>
        <w:t> </w:t>
      </w:r>
      <w:r>
        <w:rPr>
          <w:rStyle w:val="Appelnotedebasdep"/>
          <w:lang w:eastAsia="fr-FR" w:bidi="fr-FR"/>
        </w:rPr>
        <w:footnoteReference w:id="577"/>
      </w:r>
      <w:r w:rsidRPr="00C30976">
        <w:rPr>
          <w:lang w:eastAsia="fr-FR" w:bidi="fr-FR"/>
        </w:rPr>
        <w:t xml:space="preserve"> fait présupposer aux parlementaires l’existence d’un co</w:t>
      </w:r>
      <w:r w:rsidRPr="00C30976">
        <w:rPr>
          <w:lang w:eastAsia="fr-FR" w:bidi="fr-FR"/>
        </w:rPr>
        <w:t>u</w:t>
      </w:r>
      <w:r w:rsidRPr="00C30976">
        <w:rPr>
          <w:lang w:eastAsia="fr-FR" w:bidi="fr-FR"/>
        </w:rPr>
        <w:t>rant plus modéré et plus diffus, mais toujours anti-onusien. Or, s’il y a bien une aile extrémiste, il n’y a pas d’aile modérée is</w:t>
      </w:r>
      <w:r w:rsidRPr="00C30976">
        <w:rPr>
          <w:lang w:eastAsia="fr-FR" w:bidi="fr-FR"/>
        </w:rPr>
        <w:t>o</w:t>
      </w:r>
      <w:r w:rsidRPr="00C30976">
        <w:rPr>
          <w:lang w:eastAsia="fr-FR" w:bidi="fr-FR"/>
        </w:rPr>
        <w:t>lationniste et anti-ONU. Le problème, c’est que le Congrès et les médias travaillent largement en ci</w:t>
      </w:r>
      <w:r w:rsidRPr="00C30976">
        <w:rPr>
          <w:lang w:eastAsia="fr-FR" w:bidi="fr-FR"/>
        </w:rPr>
        <w:t>r</w:t>
      </w:r>
      <w:r w:rsidRPr="00C30976">
        <w:rPr>
          <w:lang w:eastAsia="fr-FR" w:bidi="fr-FR"/>
        </w:rPr>
        <w:t>cuit fermé pour ce qui est de l’opinion et de façon quasi syllogistique</w:t>
      </w:r>
      <w:r w:rsidRPr="00C30976">
        <w:t> :</w:t>
      </w:r>
      <w:r w:rsidRPr="00C30976">
        <w:rPr>
          <w:lang w:eastAsia="fr-FR" w:bidi="fr-FR"/>
        </w:rPr>
        <w:t xml:space="preserve"> tout d’abord les journalistes constatent que les</w:t>
      </w:r>
      <w:r>
        <w:t xml:space="preserve"> [290] </w:t>
      </w:r>
      <w:r w:rsidRPr="00C30976">
        <w:rPr>
          <w:lang w:eastAsia="fr-FR" w:bidi="fr-FR"/>
        </w:rPr>
        <w:t>représentants sont de moins en moins internati</w:t>
      </w:r>
      <w:r w:rsidRPr="00C30976">
        <w:rPr>
          <w:lang w:eastAsia="fr-FR" w:bidi="fr-FR"/>
        </w:rPr>
        <w:t>o</w:t>
      </w:r>
      <w:r w:rsidRPr="00C30976">
        <w:rPr>
          <w:lang w:eastAsia="fr-FR" w:bidi="fr-FR"/>
        </w:rPr>
        <w:t>nalistes. Ensuite ceux-ci, soumis à la loi du suffrage biennal, ne peuvent pas se tromper sur l’opinion même si en réalité, ils tirent largement leurs i</w:t>
      </w:r>
      <w:r w:rsidRPr="00C30976">
        <w:rPr>
          <w:lang w:eastAsia="fr-FR" w:bidi="fr-FR"/>
        </w:rPr>
        <w:t>m</w:t>
      </w:r>
      <w:r w:rsidRPr="00C30976">
        <w:rPr>
          <w:lang w:eastAsia="fr-FR" w:bidi="fr-FR"/>
        </w:rPr>
        <w:t>pressions de la lecture des journaux. Les journali</w:t>
      </w:r>
      <w:r w:rsidRPr="00C30976">
        <w:rPr>
          <w:lang w:eastAsia="fr-FR" w:bidi="fr-FR"/>
        </w:rPr>
        <w:t>s</w:t>
      </w:r>
      <w:r w:rsidRPr="00C30976">
        <w:rPr>
          <w:lang w:eastAsia="fr-FR" w:bidi="fr-FR"/>
        </w:rPr>
        <w:t>tes, du reste, se contentent souvent d’illustrer l’opinion commune</w:t>
      </w:r>
      <w:r w:rsidRPr="00C30976">
        <w:t> ;</w:t>
      </w:r>
      <w:r w:rsidRPr="00C30976">
        <w:rPr>
          <w:lang w:eastAsia="fr-FR" w:bidi="fr-FR"/>
        </w:rPr>
        <w:t xml:space="preserve"> Kull et Destler citent un art</w:t>
      </w:r>
      <w:r w:rsidRPr="00C30976">
        <w:rPr>
          <w:lang w:eastAsia="fr-FR" w:bidi="fr-FR"/>
        </w:rPr>
        <w:t>i</w:t>
      </w:r>
      <w:r w:rsidRPr="00C30976">
        <w:rPr>
          <w:lang w:eastAsia="fr-FR" w:bidi="fr-FR"/>
        </w:rPr>
        <w:t xml:space="preserve">cle de terrain du </w:t>
      </w:r>
      <w:r w:rsidRPr="008C7141">
        <w:rPr>
          <w:i/>
          <w:iCs/>
        </w:rPr>
        <w:t xml:space="preserve">Wall Street Journal </w:t>
      </w:r>
      <w:r w:rsidRPr="00C30976">
        <w:rPr>
          <w:lang w:eastAsia="fr-FR" w:bidi="fr-FR"/>
        </w:rPr>
        <w:t>qui, parce qu’il en présuppose l’existence, parvient à évoquer et illustrer l’isolationnisme, tout en citant en fin d’article un sondage en sens inverse</w:t>
      </w:r>
      <w:r>
        <w:rPr>
          <w:lang w:eastAsia="fr-FR" w:bidi="fr-FR"/>
        </w:rPr>
        <w:t> </w:t>
      </w:r>
      <w:r>
        <w:rPr>
          <w:rStyle w:val="Appelnotedebasdep"/>
          <w:lang w:eastAsia="fr-FR" w:bidi="fr-FR"/>
        </w:rPr>
        <w:footnoteReference w:id="578"/>
      </w:r>
      <w:r w:rsidRPr="00C30976">
        <w:rPr>
          <w:lang w:eastAsia="fr-FR" w:bidi="fr-FR"/>
        </w:rPr>
        <w:t>. Enfin les agences de l’Exécutif utilisent le Congrès comme boussole - jugée infaillible — de l’opinion publ</w:t>
      </w:r>
      <w:r w:rsidRPr="00C30976">
        <w:rPr>
          <w:lang w:eastAsia="fr-FR" w:bidi="fr-FR"/>
        </w:rPr>
        <w:t>i</w:t>
      </w:r>
      <w:r w:rsidRPr="00C30976">
        <w:rPr>
          <w:lang w:eastAsia="fr-FR" w:bidi="fr-FR"/>
        </w:rPr>
        <w:t>que, ce qui renforce la méprise générale.</w:t>
      </w:r>
    </w:p>
    <w:p w14:paraId="6979E174" w14:textId="77777777" w:rsidR="0039793A" w:rsidRPr="00C30976" w:rsidRDefault="0039793A" w:rsidP="0039793A">
      <w:pPr>
        <w:spacing w:before="120" w:after="120"/>
        <w:jc w:val="both"/>
      </w:pPr>
      <w:r w:rsidRPr="00C30976">
        <w:rPr>
          <w:lang w:eastAsia="fr-FR" w:bidi="fr-FR"/>
        </w:rPr>
        <w:t>Ensuite, cette influence d’une minorité bruyante authentiquement isolationniste (et le plus souvent unilatéraliste), renforcée et amplifiée par des effets d’inertie, ne serait aussi puissante si elle ne bénéf</w:t>
      </w:r>
      <w:r w:rsidRPr="00C30976">
        <w:rPr>
          <w:lang w:eastAsia="fr-FR" w:bidi="fr-FR"/>
        </w:rPr>
        <w:t>i</w:t>
      </w:r>
      <w:r w:rsidRPr="00C30976">
        <w:rPr>
          <w:lang w:eastAsia="fr-FR" w:bidi="fr-FR"/>
        </w:rPr>
        <w:t>ciait pas de la large apathie de la majorité de l’opinion</w:t>
      </w:r>
      <w:r w:rsidRPr="00C30976">
        <w:t> :</w:t>
      </w:r>
      <w:r w:rsidRPr="00C30976">
        <w:rPr>
          <w:lang w:eastAsia="fr-FR" w:bidi="fr-FR"/>
        </w:rPr>
        <w:t xml:space="preserve"> c’est là le second phénomène à prendre en compte. En effet, si l’attachement </w:t>
      </w:r>
      <w:r w:rsidRPr="008C7141">
        <w:rPr>
          <w:i/>
          <w:iCs/>
        </w:rPr>
        <w:t>nominal</w:t>
      </w:r>
      <w:r w:rsidRPr="00C30976">
        <w:rPr>
          <w:lang w:eastAsia="fr-FR" w:bidi="fr-FR"/>
        </w:rPr>
        <w:t xml:space="preserve"> des Américains à l’internationalisme et au multilatér</w:t>
      </w:r>
      <w:r w:rsidRPr="00C30976">
        <w:rPr>
          <w:lang w:eastAsia="fr-FR" w:bidi="fr-FR"/>
        </w:rPr>
        <w:t>a</w:t>
      </w:r>
      <w:r w:rsidRPr="00C30976">
        <w:rPr>
          <w:lang w:eastAsia="fr-FR" w:bidi="fr-FR"/>
        </w:rPr>
        <w:t>lisme n’a pas faibli après la guerre froide, en reva</w:t>
      </w:r>
      <w:r w:rsidRPr="00C30976">
        <w:rPr>
          <w:lang w:eastAsia="fr-FR" w:bidi="fr-FR"/>
        </w:rPr>
        <w:t>n</w:t>
      </w:r>
      <w:r w:rsidRPr="00C30976">
        <w:rPr>
          <w:lang w:eastAsia="fr-FR" w:bidi="fr-FR"/>
        </w:rPr>
        <w:t>che l</w:t>
      </w:r>
      <w:r w:rsidRPr="00C30976">
        <w:t>'intensité</w:t>
      </w:r>
      <w:r w:rsidRPr="00C30976">
        <w:rPr>
          <w:lang w:eastAsia="fr-FR" w:bidi="fr-FR"/>
        </w:rPr>
        <w:t xml:space="preserve"> de cet attachement a incontestabl</w:t>
      </w:r>
      <w:r w:rsidRPr="00C30976">
        <w:rPr>
          <w:lang w:eastAsia="fr-FR" w:bidi="fr-FR"/>
        </w:rPr>
        <w:t>e</w:t>
      </w:r>
      <w:r w:rsidRPr="00C30976">
        <w:rPr>
          <w:lang w:eastAsia="fr-FR" w:bidi="fr-FR"/>
        </w:rPr>
        <w:t>ment décliné. Très vite après la chute du mur de Berlin et la guerre du Golfe au début des années 1990, les affaires étrangères ont reculé dans l’ordre des priorités politiques aux yeux des Amér</w:t>
      </w:r>
      <w:r w:rsidRPr="00C30976">
        <w:rPr>
          <w:lang w:eastAsia="fr-FR" w:bidi="fr-FR"/>
        </w:rPr>
        <w:t>i</w:t>
      </w:r>
      <w:r w:rsidRPr="00C30976">
        <w:rPr>
          <w:lang w:eastAsia="fr-FR" w:bidi="fr-FR"/>
        </w:rPr>
        <w:t>cains, occupant depuis lors un rang très bas sans que le contenu de leurs opinions change. C’est sur l’interprétation de l’élection de Cli</w:t>
      </w:r>
      <w:r w:rsidRPr="00C30976">
        <w:rPr>
          <w:lang w:eastAsia="fr-FR" w:bidi="fr-FR"/>
        </w:rPr>
        <w:t>n</w:t>
      </w:r>
      <w:r w:rsidRPr="00C30976">
        <w:rPr>
          <w:lang w:eastAsia="fr-FR" w:bidi="fr-FR"/>
        </w:rPr>
        <w:t>ton en 1992 que s’est jouée largement l’erreur de perception conce</w:t>
      </w:r>
      <w:r w:rsidRPr="00C30976">
        <w:rPr>
          <w:lang w:eastAsia="fr-FR" w:bidi="fr-FR"/>
        </w:rPr>
        <w:t>r</w:t>
      </w:r>
      <w:r w:rsidRPr="00C30976">
        <w:rPr>
          <w:lang w:eastAsia="fr-FR" w:bidi="fr-FR"/>
        </w:rPr>
        <w:t>nant l’isolationnisme</w:t>
      </w:r>
      <w:r w:rsidRPr="00C30976">
        <w:t> :</w:t>
      </w:r>
      <w:r w:rsidRPr="00C30976">
        <w:rPr>
          <w:lang w:eastAsia="fr-FR" w:bidi="fr-FR"/>
        </w:rPr>
        <w:t xml:space="preserve"> d’un vote indiquant le souhait de voir le prés</w:t>
      </w:r>
      <w:r w:rsidRPr="00C30976">
        <w:rPr>
          <w:lang w:eastAsia="fr-FR" w:bidi="fr-FR"/>
        </w:rPr>
        <w:t>i</w:t>
      </w:r>
      <w:r w:rsidRPr="00C30976">
        <w:rPr>
          <w:lang w:eastAsia="fr-FR" w:bidi="fr-FR"/>
        </w:rPr>
        <w:t>dent se préoccuper davantage des problèmes économiques intérieurs, les élites ont abusivement conclu à un retour du public à l’isolationnisme. En fait, il s’agissait bien plutôt d’introversion, d’éloignement vis-à-vis du monde</w:t>
      </w:r>
      <w:r>
        <w:rPr>
          <w:lang w:eastAsia="fr-FR" w:bidi="fr-FR"/>
        </w:rPr>
        <w:t> </w:t>
      </w:r>
      <w:r>
        <w:rPr>
          <w:rStyle w:val="Appelnotedebasdep"/>
          <w:lang w:eastAsia="fr-FR" w:bidi="fr-FR"/>
        </w:rPr>
        <w:footnoteReference w:id="579"/>
      </w:r>
      <w:r w:rsidRPr="00C30976">
        <w:rPr>
          <w:lang w:eastAsia="fr-FR" w:bidi="fr-FR"/>
        </w:rPr>
        <w:t>. De cette introversion, on peut trouver des indices multiples</w:t>
      </w:r>
      <w:r w:rsidRPr="00C30976">
        <w:t> :</w:t>
      </w:r>
      <w:r w:rsidRPr="00C30976">
        <w:rPr>
          <w:lang w:eastAsia="fr-FR" w:bidi="fr-FR"/>
        </w:rPr>
        <w:t xml:space="preserve"> le Chicago Council on Foreign Rel</w:t>
      </w:r>
      <w:r w:rsidRPr="00C30976">
        <w:rPr>
          <w:lang w:eastAsia="fr-FR" w:bidi="fr-FR"/>
        </w:rPr>
        <w:t>a</w:t>
      </w:r>
      <w:r w:rsidRPr="00C30976">
        <w:rPr>
          <w:lang w:eastAsia="fr-FR" w:bidi="fr-FR"/>
        </w:rPr>
        <w:t>tions, par exemple, propose tous les quatre ans une étude de l’opinion publique américaine sur les a</w:t>
      </w:r>
      <w:r w:rsidRPr="00C30976">
        <w:rPr>
          <w:lang w:eastAsia="fr-FR" w:bidi="fr-FR"/>
        </w:rPr>
        <w:t>f</w:t>
      </w:r>
      <w:r w:rsidRPr="00C30976">
        <w:rPr>
          <w:lang w:eastAsia="fr-FR" w:bidi="fr-FR"/>
        </w:rPr>
        <w:t>faires extérieures</w:t>
      </w:r>
      <w:r>
        <w:rPr>
          <w:lang w:eastAsia="fr-FR" w:bidi="fr-FR"/>
        </w:rPr>
        <w:t> </w:t>
      </w:r>
      <w:r>
        <w:rPr>
          <w:rStyle w:val="Appelnotedebasdep"/>
          <w:lang w:eastAsia="fr-FR" w:bidi="fr-FR"/>
        </w:rPr>
        <w:footnoteReference w:id="580"/>
      </w:r>
      <w:r w:rsidRPr="00C30976">
        <w:rPr>
          <w:lang w:eastAsia="fr-FR" w:bidi="fr-FR"/>
        </w:rPr>
        <w:t>. Le pource</w:t>
      </w:r>
      <w:r>
        <w:rPr>
          <w:lang w:eastAsia="fr-FR" w:bidi="fr-FR"/>
        </w:rPr>
        <w:t>ntage d’Américains qui se décla</w:t>
      </w:r>
      <w:r w:rsidRPr="00C30976">
        <w:rPr>
          <w:lang w:eastAsia="fr-FR" w:bidi="fr-FR"/>
        </w:rPr>
        <w:t>rent</w:t>
      </w:r>
      <w:r>
        <w:t xml:space="preserve"> [291]</w:t>
      </w:r>
      <w:r w:rsidRPr="00C30976">
        <w:rPr>
          <w:lang w:eastAsia="fr-FR" w:bidi="fr-FR"/>
        </w:rPr>
        <w:t xml:space="preserve"> </w:t>
      </w:r>
      <w:r w:rsidRPr="00C30976">
        <w:t>« </w:t>
      </w:r>
      <w:r w:rsidRPr="00C30976">
        <w:rPr>
          <w:lang w:eastAsia="fr-FR" w:bidi="fr-FR"/>
        </w:rPr>
        <w:t>très intéressés</w:t>
      </w:r>
      <w:r w:rsidRPr="00C30976">
        <w:t> »</w:t>
      </w:r>
      <w:r w:rsidRPr="00C30976">
        <w:rPr>
          <w:lang w:eastAsia="fr-FR" w:bidi="fr-FR"/>
        </w:rPr>
        <w:t xml:space="preserve"> par les nouve</w:t>
      </w:r>
      <w:r w:rsidRPr="00C30976">
        <w:rPr>
          <w:lang w:eastAsia="fr-FR" w:bidi="fr-FR"/>
        </w:rPr>
        <w:t>l</w:t>
      </w:r>
      <w:r w:rsidRPr="00C30976">
        <w:rPr>
          <w:lang w:eastAsia="fr-FR" w:bidi="fr-FR"/>
        </w:rPr>
        <w:t>les conce</w:t>
      </w:r>
      <w:r w:rsidRPr="00C30976">
        <w:rPr>
          <w:lang w:eastAsia="fr-FR" w:bidi="fr-FR"/>
        </w:rPr>
        <w:t>r</w:t>
      </w:r>
      <w:r w:rsidRPr="00C30976">
        <w:rPr>
          <w:lang w:eastAsia="fr-FR" w:bidi="fr-FR"/>
        </w:rPr>
        <w:t xml:space="preserve">nant d’autres pays a chuté régulièrement, de 1990 </w:t>
      </w:r>
      <w:r w:rsidRPr="00C30976">
        <w:t xml:space="preserve">à </w:t>
      </w:r>
      <w:r w:rsidRPr="00C30976">
        <w:rPr>
          <w:lang w:eastAsia="fr-FR" w:bidi="fr-FR"/>
        </w:rPr>
        <w:t xml:space="preserve">1998, de 36 </w:t>
      </w:r>
      <w:r w:rsidRPr="00C30976">
        <w:t xml:space="preserve">à </w:t>
      </w:r>
      <w:r w:rsidRPr="00C30976">
        <w:rPr>
          <w:lang w:eastAsia="fr-FR" w:bidi="fr-FR"/>
        </w:rPr>
        <w:t>29</w:t>
      </w:r>
      <w:r>
        <w:rPr>
          <w:lang w:eastAsia="fr-FR" w:bidi="fr-FR"/>
        </w:rPr>
        <w:t>%</w:t>
      </w:r>
      <w:r w:rsidRPr="00C30976">
        <w:rPr>
          <w:lang w:eastAsia="fr-FR" w:bidi="fr-FR"/>
        </w:rPr>
        <w:t xml:space="preserve"> (pour r</w:t>
      </w:r>
      <w:r w:rsidRPr="00C30976">
        <w:rPr>
          <w:lang w:eastAsia="fr-FR" w:bidi="fr-FR"/>
        </w:rPr>
        <w:t>e</w:t>
      </w:r>
      <w:r w:rsidRPr="00C30976">
        <w:rPr>
          <w:lang w:eastAsia="fr-FR" w:bidi="fr-FR"/>
        </w:rPr>
        <w:t xml:space="preserve">monter, toutefois, </w:t>
      </w:r>
      <w:r w:rsidRPr="00C30976">
        <w:t xml:space="preserve">à </w:t>
      </w:r>
      <w:r w:rsidRPr="00C30976">
        <w:rPr>
          <w:lang w:eastAsia="fr-FR" w:bidi="fr-FR"/>
        </w:rPr>
        <w:t>42</w:t>
      </w:r>
      <w:r>
        <w:rPr>
          <w:lang w:eastAsia="fr-FR" w:bidi="fr-FR"/>
        </w:rPr>
        <w:t>%</w:t>
      </w:r>
      <w:r w:rsidRPr="00C30976">
        <w:rPr>
          <w:lang w:eastAsia="fr-FR" w:bidi="fr-FR"/>
        </w:rPr>
        <w:t xml:space="preserve"> en 2002)</w:t>
      </w:r>
      <w:r w:rsidRPr="00C30976">
        <w:t> ;</w:t>
      </w:r>
      <w:r w:rsidRPr="00C30976">
        <w:rPr>
          <w:lang w:eastAsia="fr-FR" w:bidi="fr-FR"/>
        </w:rPr>
        <w:t xml:space="preserve"> quant </w:t>
      </w:r>
      <w:r w:rsidRPr="00C30976">
        <w:t xml:space="preserve">à </w:t>
      </w:r>
      <w:r w:rsidRPr="00C30976">
        <w:rPr>
          <w:lang w:eastAsia="fr-FR" w:bidi="fr-FR"/>
        </w:rPr>
        <w:t xml:space="preserve">ceux qui se déclarent </w:t>
      </w:r>
      <w:r w:rsidRPr="00C30976">
        <w:t>« </w:t>
      </w:r>
      <w:r w:rsidRPr="00C30976">
        <w:rPr>
          <w:lang w:eastAsia="fr-FR" w:bidi="fr-FR"/>
        </w:rPr>
        <w:t>très int</w:t>
      </w:r>
      <w:r w:rsidRPr="00C30976">
        <w:rPr>
          <w:lang w:eastAsia="fr-FR" w:bidi="fr-FR"/>
        </w:rPr>
        <w:t>é</w:t>
      </w:r>
      <w:r w:rsidRPr="00C30976">
        <w:rPr>
          <w:lang w:eastAsia="fr-FR" w:bidi="fr-FR"/>
        </w:rPr>
        <w:t>ressés</w:t>
      </w:r>
      <w:r w:rsidRPr="00C30976">
        <w:t> »</w:t>
      </w:r>
      <w:r w:rsidRPr="00C30976">
        <w:rPr>
          <w:lang w:eastAsia="fr-FR" w:bidi="fr-FR"/>
        </w:rPr>
        <w:t xml:space="preserve"> par les nouvelles qui concernent les relations entre l’Amérique et d’autres pays, leur nombre a chuté tout aussi régulièr</w:t>
      </w:r>
      <w:r w:rsidRPr="00C30976">
        <w:rPr>
          <w:lang w:eastAsia="fr-FR" w:bidi="fr-FR"/>
        </w:rPr>
        <w:t>e</w:t>
      </w:r>
      <w:r w:rsidRPr="00C30976">
        <w:rPr>
          <w:lang w:eastAsia="fr-FR" w:bidi="fr-FR"/>
        </w:rPr>
        <w:t xml:space="preserve">ment de 53 </w:t>
      </w:r>
      <w:r w:rsidRPr="00C30976">
        <w:t xml:space="preserve">à </w:t>
      </w:r>
      <w:r w:rsidRPr="00C30976">
        <w:rPr>
          <w:lang w:eastAsia="fr-FR" w:bidi="fr-FR"/>
        </w:rPr>
        <w:t>45</w:t>
      </w:r>
      <w:r>
        <w:rPr>
          <w:lang w:eastAsia="fr-FR" w:bidi="fr-FR"/>
        </w:rPr>
        <w:t>%</w:t>
      </w:r>
      <w:r w:rsidRPr="00C30976">
        <w:rPr>
          <w:lang w:eastAsia="fr-FR" w:bidi="fr-FR"/>
        </w:rPr>
        <w:t xml:space="preserve"> (pour remonter </w:t>
      </w:r>
      <w:r w:rsidRPr="00C30976">
        <w:t xml:space="preserve">à </w:t>
      </w:r>
      <w:r w:rsidRPr="00C30976">
        <w:rPr>
          <w:lang w:eastAsia="fr-FR" w:bidi="fr-FR"/>
        </w:rPr>
        <w:t>62</w:t>
      </w:r>
      <w:r>
        <w:rPr>
          <w:lang w:eastAsia="fr-FR" w:bidi="fr-FR"/>
        </w:rPr>
        <w:t>%</w:t>
      </w:r>
      <w:r w:rsidRPr="00C30976">
        <w:rPr>
          <w:lang w:eastAsia="fr-FR" w:bidi="fr-FR"/>
        </w:rPr>
        <w:t xml:space="preserve"> après le 11 septembre 2001)</w:t>
      </w:r>
      <w:r>
        <w:rPr>
          <w:lang w:eastAsia="fr-FR" w:bidi="fr-FR"/>
        </w:rPr>
        <w:t> </w:t>
      </w:r>
      <w:r>
        <w:rPr>
          <w:rStyle w:val="Appelnotedebasdep"/>
          <w:lang w:eastAsia="fr-FR" w:bidi="fr-FR"/>
        </w:rPr>
        <w:footnoteReference w:id="581"/>
      </w:r>
      <w:r w:rsidRPr="00C30976">
        <w:rPr>
          <w:lang w:eastAsia="fr-FR" w:bidi="fr-FR"/>
        </w:rPr>
        <w:t xml:space="preserve">. Par principe, toute opinion publique tend </w:t>
      </w:r>
      <w:r w:rsidRPr="00C30976">
        <w:t xml:space="preserve">à </w:t>
      </w:r>
      <w:r w:rsidRPr="00C30976">
        <w:rPr>
          <w:lang w:eastAsia="fr-FR" w:bidi="fr-FR"/>
        </w:rPr>
        <w:t>prêter plus d’attention aux nouvelles internationales lorsqu’elles risquent de l’affecter</w:t>
      </w:r>
      <w:r>
        <w:rPr>
          <w:lang w:eastAsia="fr-FR" w:bidi="fr-FR"/>
        </w:rPr>
        <w:t> </w:t>
      </w:r>
      <w:r>
        <w:rPr>
          <w:rStyle w:val="Appelnotedebasdep"/>
          <w:lang w:eastAsia="fr-FR" w:bidi="fr-FR"/>
        </w:rPr>
        <w:footnoteReference w:id="582"/>
      </w:r>
      <w:r w:rsidRPr="00C30976">
        <w:rPr>
          <w:lang w:eastAsia="fr-FR" w:bidi="fr-FR"/>
        </w:rPr>
        <w:t>. Dans un contexte global de désintérêt de l’opinion p</w:t>
      </w:r>
      <w:r w:rsidRPr="00C30976">
        <w:rPr>
          <w:lang w:eastAsia="fr-FR" w:bidi="fr-FR"/>
        </w:rPr>
        <w:t>u</w:t>
      </w:r>
      <w:r w:rsidRPr="00C30976">
        <w:rPr>
          <w:lang w:eastAsia="fr-FR" w:bidi="fr-FR"/>
        </w:rPr>
        <w:t>blique et de baisse modérée de toutes les grandes catégories (y co</w:t>
      </w:r>
      <w:r w:rsidRPr="00C30976">
        <w:rPr>
          <w:lang w:eastAsia="fr-FR" w:bidi="fr-FR"/>
        </w:rPr>
        <w:t>m</w:t>
      </w:r>
      <w:r w:rsidRPr="00C30976">
        <w:rPr>
          <w:lang w:eastAsia="fr-FR" w:bidi="fr-FR"/>
        </w:rPr>
        <w:t xml:space="preserve">pris les problèmes auxquels le pays fait face, comme le chômage ou l’éducation), la part des </w:t>
      </w:r>
      <w:r w:rsidRPr="00C30976">
        <w:t>« </w:t>
      </w:r>
      <w:r w:rsidRPr="00C30976">
        <w:rPr>
          <w:lang w:eastAsia="fr-FR" w:bidi="fr-FR"/>
        </w:rPr>
        <w:t>problèmes internationaux</w:t>
      </w:r>
      <w:r w:rsidRPr="00C30976">
        <w:t> »</w:t>
      </w:r>
      <w:r w:rsidRPr="00C30976">
        <w:rPr>
          <w:lang w:eastAsia="fr-FR" w:bidi="fr-FR"/>
        </w:rPr>
        <w:t xml:space="preserve"> chute de 16,8</w:t>
      </w:r>
      <w:r>
        <w:rPr>
          <w:lang w:eastAsia="fr-FR" w:bidi="fr-FR"/>
        </w:rPr>
        <w:t>%</w:t>
      </w:r>
      <w:r w:rsidRPr="00C30976">
        <w:rPr>
          <w:lang w:eastAsia="fr-FR" w:bidi="fr-FR"/>
        </w:rPr>
        <w:t xml:space="preserve"> en 1990 </w:t>
      </w:r>
      <w:r w:rsidRPr="00C30976">
        <w:t xml:space="preserve">à </w:t>
      </w:r>
      <w:r w:rsidRPr="00C30976">
        <w:rPr>
          <w:lang w:eastAsia="fr-FR" w:bidi="fr-FR"/>
        </w:rPr>
        <w:t>7,3</w:t>
      </w:r>
      <w:r>
        <w:rPr>
          <w:lang w:eastAsia="fr-FR" w:bidi="fr-FR"/>
        </w:rPr>
        <w:t>%</w:t>
      </w:r>
      <w:r w:rsidRPr="00C30976">
        <w:rPr>
          <w:lang w:eastAsia="fr-FR" w:bidi="fr-FR"/>
        </w:rPr>
        <w:t xml:space="preserve"> en 1998, ce qui la place nettement en dernière pos</w:t>
      </w:r>
      <w:r w:rsidRPr="00C30976">
        <w:rPr>
          <w:lang w:eastAsia="fr-FR" w:bidi="fr-FR"/>
        </w:rPr>
        <w:t>i</w:t>
      </w:r>
      <w:r w:rsidRPr="00C30976">
        <w:rPr>
          <w:lang w:eastAsia="fr-FR" w:bidi="fr-FR"/>
        </w:rPr>
        <w:t>tion, tombant en dessous de son plus bas niveau de 1978</w:t>
      </w:r>
      <w:r>
        <w:rPr>
          <w:lang w:eastAsia="fr-FR" w:bidi="fr-FR"/>
        </w:rPr>
        <w:t> </w:t>
      </w:r>
      <w:r>
        <w:rPr>
          <w:rStyle w:val="Appelnotedebasdep"/>
          <w:lang w:eastAsia="fr-FR" w:bidi="fr-FR"/>
        </w:rPr>
        <w:footnoteReference w:id="583"/>
      </w:r>
      <w:r w:rsidRPr="00C30976">
        <w:rPr>
          <w:lang w:eastAsia="fr-FR" w:bidi="fr-FR"/>
        </w:rPr>
        <w:t>. La r</w:t>
      </w:r>
      <w:r w:rsidRPr="00C30976">
        <w:rPr>
          <w:lang w:eastAsia="fr-FR" w:bidi="fr-FR"/>
        </w:rPr>
        <w:t>e</w:t>
      </w:r>
      <w:r w:rsidRPr="00C30976">
        <w:rPr>
          <w:lang w:eastAsia="fr-FR" w:bidi="fr-FR"/>
        </w:rPr>
        <w:t>montée après le 11 se</w:t>
      </w:r>
      <w:r w:rsidRPr="00C30976">
        <w:rPr>
          <w:lang w:eastAsia="fr-FR" w:bidi="fr-FR"/>
        </w:rPr>
        <w:t>p</w:t>
      </w:r>
      <w:r w:rsidRPr="00C30976">
        <w:rPr>
          <w:lang w:eastAsia="fr-FR" w:bidi="fr-FR"/>
        </w:rPr>
        <w:t>tembre n’en est que plus spectaculaire. Cette perte de poids des affaires extérieures dans l’ordre des priorités polit</w:t>
      </w:r>
      <w:r w:rsidRPr="00C30976">
        <w:rPr>
          <w:lang w:eastAsia="fr-FR" w:bidi="fr-FR"/>
        </w:rPr>
        <w:t>i</w:t>
      </w:r>
      <w:r w:rsidRPr="00C30976">
        <w:rPr>
          <w:lang w:eastAsia="fr-FR" w:bidi="fr-FR"/>
        </w:rPr>
        <w:t xml:space="preserve">ques s’est accompagnée très naturellement </w:t>
      </w:r>
      <w:r w:rsidRPr="00C30976">
        <w:t xml:space="preserve">à </w:t>
      </w:r>
      <w:r w:rsidRPr="00C30976">
        <w:rPr>
          <w:lang w:eastAsia="fr-FR" w:bidi="fr-FR"/>
        </w:rPr>
        <w:t>la fois d’une frilosité élector</w:t>
      </w:r>
      <w:r w:rsidRPr="00C30976">
        <w:rPr>
          <w:lang w:eastAsia="fr-FR" w:bidi="fr-FR"/>
        </w:rPr>
        <w:t>a</w:t>
      </w:r>
      <w:r w:rsidRPr="00C30976">
        <w:rPr>
          <w:lang w:eastAsia="fr-FR" w:bidi="fr-FR"/>
        </w:rPr>
        <w:t xml:space="preserve">le des responsables concernant ces dossiers extérieurs et d’une réticence </w:t>
      </w:r>
      <w:r w:rsidRPr="00C30976">
        <w:t xml:space="preserve">à </w:t>
      </w:r>
      <w:r w:rsidRPr="00C30976">
        <w:rPr>
          <w:lang w:eastAsia="fr-FR" w:bidi="fr-FR"/>
        </w:rPr>
        <w:t>dégager des moyens pour les a</w:t>
      </w:r>
      <w:r w:rsidRPr="00C30976">
        <w:rPr>
          <w:lang w:eastAsia="fr-FR" w:bidi="fr-FR"/>
        </w:rPr>
        <w:t>f</w:t>
      </w:r>
      <w:r w:rsidRPr="00C30976">
        <w:rPr>
          <w:lang w:eastAsia="fr-FR" w:bidi="fr-FR"/>
        </w:rPr>
        <w:t>faires étrangères. D’une part, si les électeurs ne se déterminent plus significativement en fon</w:t>
      </w:r>
      <w:r w:rsidRPr="00C30976">
        <w:rPr>
          <w:lang w:eastAsia="fr-FR" w:bidi="fr-FR"/>
        </w:rPr>
        <w:t>c</w:t>
      </w:r>
      <w:r w:rsidRPr="00C30976">
        <w:rPr>
          <w:lang w:eastAsia="fr-FR" w:bidi="fr-FR"/>
        </w:rPr>
        <w:t>tion de la politique étrang</w:t>
      </w:r>
      <w:r w:rsidRPr="00C30976">
        <w:rPr>
          <w:lang w:eastAsia="fr-FR" w:bidi="fr-FR"/>
        </w:rPr>
        <w:t>è</w:t>
      </w:r>
      <w:r w:rsidRPr="00C30976">
        <w:rPr>
          <w:lang w:eastAsia="fr-FR" w:bidi="fr-FR"/>
        </w:rPr>
        <w:t>re, alors la volonté de la majorité peut être durablement ignorée sans sanction</w:t>
      </w:r>
      <w:r w:rsidRPr="00C30976">
        <w:t> :</w:t>
      </w:r>
      <w:r w:rsidRPr="00C30976">
        <w:rPr>
          <w:lang w:eastAsia="fr-FR" w:bidi="fr-FR"/>
        </w:rPr>
        <w:t xml:space="preserve"> il d</w:t>
      </w:r>
      <w:r w:rsidRPr="00C30976">
        <w:rPr>
          <w:lang w:eastAsia="fr-FR" w:bidi="fr-FR"/>
        </w:rPr>
        <w:t>e</w:t>
      </w:r>
      <w:r w:rsidRPr="00C30976">
        <w:rPr>
          <w:lang w:eastAsia="fr-FR" w:bidi="fr-FR"/>
        </w:rPr>
        <w:t>vient plus rentable d’écouter la petite minorité qui, elle, se déterminera en fonction de ces que</w:t>
      </w:r>
      <w:r w:rsidRPr="00C30976">
        <w:rPr>
          <w:lang w:eastAsia="fr-FR" w:bidi="fr-FR"/>
        </w:rPr>
        <w:t>s</w:t>
      </w:r>
      <w:r w:rsidRPr="00C30976">
        <w:rPr>
          <w:lang w:eastAsia="fr-FR" w:bidi="fr-FR"/>
        </w:rPr>
        <w:t>tions</w:t>
      </w:r>
      <w:r>
        <w:rPr>
          <w:lang w:eastAsia="fr-FR" w:bidi="fr-FR"/>
        </w:rPr>
        <w:t> </w:t>
      </w:r>
      <w:r>
        <w:rPr>
          <w:rStyle w:val="Appelnotedebasdep"/>
          <w:lang w:eastAsia="fr-FR" w:bidi="fr-FR"/>
        </w:rPr>
        <w:footnoteReference w:id="584"/>
      </w:r>
      <w:r w:rsidRPr="00C30976">
        <w:rPr>
          <w:lang w:eastAsia="fr-FR" w:bidi="fr-FR"/>
        </w:rPr>
        <w:t>. Après tout, le souci des politiciens est de minimiser le risque électoral</w:t>
      </w:r>
      <w:r w:rsidRPr="00C30976">
        <w:t> ;</w:t>
      </w:r>
      <w:r w:rsidRPr="00C30976">
        <w:rPr>
          <w:lang w:eastAsia="fr-FR" w:bidi="fr-FR"/>
        </w:rPr>
        <w:t xml:space="preserve"> or une politique d’engagement actif sur les affaires ext</w:t>
      </w:r>
      <w:r w:rsidRPr="00C30976">
        <w:rPr>
          <w:lang w:eastAsia="fr-FR" w:bidi="fr-FR"/>
        </w:rPr>
        <w:t>é</w:t>
      </w:r>
      <w:r w:rsidRPr="00C30976">
        <w:rPr>
          <w:lang w:eastAsia="fr-FR" w:bidi="fr-FR"/>
        </w:rPr>
        <w:t>rieures rapporte peu de votes mais peut en coûter beaucoup</w:t>
      </w:r>
      <w:r>
        <w:rPr>
          <w:lang w:eastAsia="fr-FR" w:bidi="fr-FR"/>
        </w:rPr>
        <w:t> </w:t>
      </w:r>
      <w:r>
        <w:rPr>
          <w:rStyle w:val="Appelnotedebasdep"/>
          <w:lang w:eastAsia="fr-FR" w:bidi="fr-FR"/>
        </w:rPr>
        <w:footnoteReference w:id="585"/>
      </w:r>
      <w:r w:rsidRPr="00C30976">
        <w:rPr>
          <w:lang w:eastAsia="fr-FR" w:bidi="fr-FR"/>
        </w:rPr>
        <w:t>. Après le 11 septembre 2001, la pression de l’opinion publique s’est mome</w:t>
      </w:r>
      <w:r w:rsidRPr="00C30976">
        <w:rPr>
          <w:lang w:eastAsia="fr-FR" w:bidi="fr-FR"/>
        </w:rPr>
        <w:t>n</w:t>
      </w:r>
      <w:r w:rsidRPr="00C30976">
        <w:rPr>
          <w:lang w:eastAsia="fr-FR" w:bidi="fr-FR"/>
        </w:rPr>
        <w:t>tanément relâchée, du fait du sentiment d’urgence dans la lutte inte</w:t>
      </w:r>
      <w:r w:rsidRPr="00C30976">
        <w:rPr>
          <w:lang w:eastAsia="fr-FR" w:bidi="fr-FR"/>
        </w:rPr>
        <w:t>r</w:t>
      </w:r>
      <w:r w:rsidRPr="00C30976">
        <w:rPr>
          <w:lang w:eastAsia="fr-FR" w:bidi="fr-FR"/>
        </w:rPr>
        <w:t>nationale contre le terrorisme</w:t>
      </w:r>
      <w:r w:rsidRPr="00C30976">
        <w:t> ;</w:t>
      </w:r>
      <w:r w:rsidRPr="00C30976">
        <w:rPr>
          <w:lang w:eastAsia="fr-FR" w:bidi="fr-FR"/>
        </w:rPr>
        <w:t xml:space="preserve"> mais</w:t>
      </w:r>
      <w:r>
        <w:t xml:space="preserve"> [292] </w:t>
      </w:r>
      <w:r w:rsidRPr="00C30976">
        <w:rPr>
          <w:lang w:eastAsia="fr-FR" w:bidi="fr-FR"/>
        </w:rPr>
        <w:t>à l</w:t>
      </w:r>
      <w:r>
        <w:rPr>
          <w:lang w:eastAsia="fr-FR" w:bidi="fr-FR"/>
        </w:rPr>
        <w:t>ong terme la circonspe</w:t>
      </w:r>
      <w:r>
        <w:rPr>
          <w:lang w:eastAsia="fr-FR" w:bidi="fr-FR"/>
        </w:rPr>
        <w:t>c</w:t>
      </w:r>
      <w:r>
        <w:rPr>
          <w:lang w:eastAsia="fr-FR" w:bidi="fr-FR"/>
        </w:rPr>
        <w:t>tion à l’é</w:t>
      </w:r>
      <w:r w:rsidRPr="00C30976">
        <w:rPr>
          <w:lang w:eastAsia="fr-FR" w:bidi="fr-FR"/>
        </w:rPr>
        <w:t>gard des actions extérieures inutiles demeure, comme en t</w:t>
      </w:r>
      <w:r w:rsidRPr="00C30976">
        <w:rPr>
          <w:lang w:eastAsia="fr-FR" w:bidi="fr-FR"/>
        </w:rPr>
        <w:t>é</w:t>
      </w:r>
      <w:r w:rsidRPr="00C30976">
        <w:rPr>
          <w:lang w:eastAsia="fr-FR" w:bidi="fr-FR"/>
        </w:rPr>
        <w:t>moigne le scepticisme de la population américaine avant la deuxième guerre contre l’Irak en 2003, alors que le soutien général à la lutte contre le terr</w:t>
      </w:r>
      <w:r w:rsidRPr="00C30976">
        <w:rPr>
          <w:lang w:eastAsia="fr-FR" w:bidi="fr-FR"/>
        </w:rPr>
        <w:t>o</w:t>
      </w:r>
      <w:r w:rsidRPr="00C30976">
        <w:rPr>
          <w:lang w:eastAsia="fr-FR" w:bidi="fr-FR"/>
        </w:rPr>
        <w:t>risme reste très élevé</w:t>
      </w:r>
      <w:r>
        <w:rPr>
          <w:lang w:eastAsia="fr-FR" w:bidi="fr-FR"/>
        </w:rPr>
        <w:t> </w:t>
      </w:r>
      <w:r>
        <w:rPr>
          <w:rStyle w:val="Appelnotedebasdep"/>
          <w:lang w:eastAsia="fr-FR" w:bidi="fr-FR"/>
        </w:rPr>
        <w:footnoteReference w:id="586"/>
      </w:r>
      <w:r>
        <w:rPr>
          <w:lang w:eastAsia="fr-FR" w:bidi="fr-FR"/>
        </w:rPr>
        <w:t>.</w:t>
      </w:r>
      <w:r w:rsidRPr="00C30976">
        <w:rPr>
          <w:lang w:eastAsia="fr-FR" w:bidi="fr-FR"/>
        </w:rPr>
        <w:t xml:space="preserve"> D’autre part, cette tiédeur du public à défendre ses opinions de politique étrangère et son internati</w:t>
      </w:r>
      <w:r w:rsidRPr="00C30976">
        <w:rPr>
          <w:lang w:eastAsia="fr-FR" w:bidi="fr-FR"/>
        </w:rPr>
        <w:t>o</w:t>
      </w:r>
      <w:r w:rsidRPr="00C30976">
        <w:rPr>
          <w:lang w:eastAsia="fr-FR" w:bidi="fr-FR"/>
        </w:rPr>
        <w:t>nalisme a eu pour effet de rendre les budgets consacrés à la diplomatie plus vulnérables aux attaques de la minorité isolationniste ou unilat</w:t>
      </w:r>
      <w:r w:rsidRPr="00C30976">
        <w:rPr>
          <w:lang w:eastAsia="fr-FR" w:bidi="fr-FR"/>
        </w:rPr>
        <w:t>é</w:t>
      </w:r>
      <w:r w:rsidRPr="00C30976">
        <w:rPr>
          <w:lang w:eastAsia="fr-FR" w:bidi="fr-FR"/>
        </w:rPr>
        <w:t>raliste — ou simplement d’élus peu so</w:t>
      </w:r>
      <w:r w:rsidRPr="00C30976">
        <w:rPr>
          <w:lang w:eastAsia="fr-FR" w:bidi="fr-FR"/>
        </w:rPr>
        <w:t>u</w:t>
      </w:r>
      <w:r w:rsidRPr="00C30976">
        <w:rPr>
          <w:lang w:eastAsia="fr-FR" w:bidi="fr-FR"/>
        </w:rPr>
        <w:t>cieux d’affaires étrangères et désireux de montrer leur efficacité à réduire les dépenses de Washin</w:t>
      </w:r>
      <w:r w:rsidRPr="00C30976">
        <w:rPr>
          <w:lang w:eastAsia="fr-FR" w:bidi="fr-FR"/>
        </w:rPr>
        <w:t>g</w:t>
      </w:r>
      <w:r w:rsidRPr="00C30976">
        <w:rPr>
          <w:lang w:eastAsia="fr-FR" w:bidi="fr-FR"/>
        </w:rPr>
        <w:t>ton. En effet, dans le contexte de r</w:t>
      </w:r>
      <w:r w:rsidRPr="00C30976">
        <w:rPr>
          <w:lang w:eastAsia="fr-FR" w:bidi="fr-FR"/>
        </w:rPr>
        <w:t>i</w:t>
      </w:r>
      <w:r w:rsidRPr="00C30976">
        <w:rPr>
          <w:lang w:eastAsia="fr-FR" w:bidi="fr-FR"/>
        </w:rPr>
        <w:t xml:space="preserve">gueur budgétaire et de tyrannie du </w:t>
      </w:r>
      <w:r w:rsidRPr="00C30976">
        <w:t>« </w:t>
      </w:r>
      <w:r w:rsidRPr="00C30976">
        <w:rPr>
          <w:lang w:eastAsia="fr-FR" w:bidi="fr-FR"/>
        </w:rPr>
        <w:t>budget équilibré</w:t>
      </w:r>
      <w:r w:rsidRPr="00C30976">
        <w:t> »</w:t>
      </w:r>
      <w:r w:rsidRPr="00C30976">
        <w:rPr>
          <w:lang w:eastAsia="fr-FR" w:bidi="fr-FR"/>
        </w:rPr>
        <w:t xml:space="preserve"> qui a marqué la plus grande partie des années 1990, ces attaques n’ont pas manqué</w:t>
      </w:r>
      <w:r w:rsidRPr="00C30976">
        <w:t> :</w:t>
      </w:r>
      <w:r w:rsidRPr="00C30976">
        <w:rPr>
          <w:lang w:eastAsia="fr-FR" w:bidi="fr-FR"/>
        </w:rPr>
        <w:t xml:space="preserve"> il s’est trouvé peu de parleme</w:t>
      </w:r>
      <w:r w:rsidRPr="00C30976">
        <w:rPr>
          <w:lang w:eastAsia="fr-FR" w:bidi="fr-FR"/>
        </w:rPr>
        <w:t>n</w:t>
      </w:r>
      <w:r w:rsidRPr="00C30976">
        <w:rPr>
          <w:lang w:eastAsia="fr-FR" w:bidi="fr-FR"/>
        </w:rPr>
        <w:t>taires pour défendre le budget du D</w:t>
      </w:r>
      <w:r w:rsidRPr="00C30976">
        <w:rPr>
          <w:lang w:eastAsia="fr-FR" w:bidi="fr-FR"/>
        </w:rPr>
        <w:t>é</w:t>
      </w:r>
      <w:r w:rsidRPr="00C30976">
        <w:rPr>
          <w:lang w:eastAsia="fr-FR" w:bidi="fr-FR"/>
        </w:rPr>
        <w:t>partement d’</w:t>
      </w:r>
      <w:r>
        <w:rPr>
          <w:lang w:eastAsia="fr-FR" w:bidi="fr-FR"/>
        </w:rPr>
        <w:t>État</w:t>
      </w:r>
      <w:r w:rsidRPr="00C30976">
        <w:rPr>
          <w:lang w:eastAsia="fr-FR" w:bidi="fr-FR"/>
        </w:rPr>
        <w:t xml:space="preserve"> ou de l’Agence pour le développement inte</w:t>
      </w:r>
      <w:r w:rsidRPr="00C30976">
        <w:rPr>
          <w:lang w:eastAsia="fr-FR" w:bidi="fr-FR"/>
        </w:rPr>
        <w:t>r</w:t>
      </w:r>
      <w:r w:rsidRPr="00C30976">
        <w:rPr>
          <w:lang w:eastAsia="fr-FR" w:bidi="fr-FR"/>
        </w:rPr>
        <w:t>national - simplement parce que peu d’électeurs le leur reprocheraient dans leur circonscription. Mais pl</w:t>
      </w:r>
      <w:r w:rsidRPr="00C30976">
        <w:rPr>
          <w:lang w:eastAsia="fr-FR" w:bidi="fr-FR"/>
        </w:rPr>
        <w:t>u</w:t>
      </w:r>
      <w:r w:rsidRPr="00C30976">
        <w:rPr>
          <w:lang w:eastAsia="fr-FR" w:bidi="fr-FR"/>
        </w:rPr>
        <w:t>tôt qu’une distorsion des opinions d’un public qui n’était pas prêt à les défendre, il y a en fait eu un phénomène volontaire, délibéré, des r</w:t>
      </w:r>
      <w:r w:rsidRPr="00C30976">
        <w:rPr>
          <w:lang w:eastAsia="fr-FR" w:bidi="fr-FR"/>
        </w:rPr>
        <w:t>é</w:t>
      </w:r>
      <w:r w:rsidRPr="00C30976">
        <w:rPr>
          <w:lang w:eastAsia="fr-FR" w:bidi="fr-FR"/>
        </w:rPr>
        <w:t>publicains conservateurs.</w:t>
      </w:r>
    </w:p>
    <w:p w14:paraId="03CB1E00" w14:textId="77777777" w:rsidR="0039793A" w:rsidRPr="00C30976" w:rsidRDefault="0039793A" w:rsidP="0039793A">
      <w:pPr>
        <w:spacing w:before="120" w:after="120"/>
        <w:jc w:val="both"/>
      </w:pPr>
      <w:r w:rsidRPr="00C30976">
        <w:rPr>
          <w:lang w:eastAsia="fr-FR" w:bidi="fr-FR"/>
        </w:rPr>
        <w:t xml:space="preserve">Enfin, le troisième phénomène qu’on pourrait appeler le </w:t>
      </w:r>
      <w:r w:rsidRPr="00C30976">
        <w:t>« </w:t>
      </w:r>
      <w:r w:rsidRPr="00C30976">
        <w:rPr>
          <w:lang w:eastAsia="fr-FR" w:bidi="fr-FR"/>
        </w:rPr>
        <w:t>hold-up</w:t>
      </w:r>
      <w:r w:rsidRPr="00C30976">
        <w:t> »</w:t>
      </w:r>
      <w:r w:rsidRPr="00C30976">
        <w:rPr>
          <w:lang w:eastAsia="fr-FR" w:bidi="fr-FR"/>
        </w:rPr>
        <w:t xml:space="preserve"> de l’opinion est le détourn</w:t>
      </w:r>
      <w:r w:rsidRPr="00C30976">
        <w:rPr>
          <w:lang w:eastAsia="fr-FR" w:bidi="fr-FR"/>
        </w:rPr>
        <w:t>e</w:t>
      </w:r>
      <w:r w:rsidRPr="00C30976">
        <w:rPr>
          <w:lang w:eastAsia="fr-FR" w:bidi="fr-FR"/>
        </w:rPr>
        <w:t>ment prémédité, par l’un des courants républicains, de la vague d’introversion du public, vers une pol</w:t>
      </w:r>
      <w:r w:rsidRPr="00C30976">
        <w:rPr>
          <w:lang w:eastAsia="fr-FR" w:bidi="fr-FR"/>
        </w:rPr>
        <w:t>i</w:t>
      </w:r>
      <w:r w:rsidRPr="00C30976">
        <w:rPr>
          <w:lang w:eastAsia="fr-FR" w:bidi="fr-FR"/>
        </w:rPr>
        <w:t>tique jalouse de la souveraineté nationale et viscéralement hostile au mult</w:t>
      </w:r>
      <w:r w:rsidRPr="00C30976">
        <w:rPr>
          <w:lang w:eastAsia="fr-FR" w:bidi="fr-FR"/>
        </w:rPr>
        <w:t>i</w:t>
      </w:r>
      <w:r w:rsidRPr="00C30976">
        <w:rPr>
          <w:lang w:eastAsia="fr-FR" w:bidi="fr-FR"/>
        </w:rPr>
        <w:t>latéralisme. C’est là une te</w:t>
      </w:r>
      <w:r w:rsidRPr="00C30976">
        <w:rPr>
          <w:lang w:eastAsia="fr-FR" w:bidi="fr-FR"/>
        </w:rPr>
        <w:t>n</w:t>
      </w:r>
      <w:r w:rsidRPr="00C30976">
        <w:rPr>
          <w:lang w:eastAsia="fr-FR" w:bidi="fr-FR"/>
        </w:rPr>
        <w:t>dance, symbolisée par le président de la Chambre des représentants, Newt Gingrich, mais surtout par le prés</w:t>
      </w:r>
      <w:r w:rsidRPr="00C30976">
        <w:rPr>
          <w:lang w:eastAsia="fr-FR" w:bidi="fr-FR"/>
        </w:rPr>
        <w:t>i</w:t>
      </w:r>
      <w:r w:rsidRPr="00C30976">
        <w:rPr>
          <w:lang w:eastAsia="fr-FR" w:bidi="fr-FR"/>
        </w:rPr>
        <w:t>dent de la commission des Relations ext</w:t>
      </w:r>
      <w:r w:rsidRPr="00C30976">
        <w:rPr>
          <w:lang w:eastAsia="fr-FR" w:bidi="fr-FR"/>
        </w:rPr>
        <w:t>é</w:t>
      </w:r>
      <w:r w:rsidRPr="00C30976">
        <w:rPr>
          <w:lang w:eastAsia="fr-FR" w:bidi="fr-FR"/>
        </w:rPr>
        <w:t>rieures du Sénat (1994-2002) Jesse Helms, qui est d’ailleurs venue marquer en partie la politique étrangère de George W. Bush. Cette politique a pa</w:t>
      </w:r>
      <w:r w:rsidRPr="00C30976">
        <w:rPr>
          <w:lang w:eastAsia="fr-FR" w:bidi="fr-FR"/>
        </w:rPr>
        <w:t>r</w:t>
      </w:r>
      <w:r w:rsidRPr="00C30976">
        <w:rPr>
          <w:lang w:eastAsia="fr-FR" w:bidi="fr-FR"/>
        </w:rPr>
        <w:t>fois été qualifiée d’isolationniste ou plus précis</w:t>
      </w:r>
      <w:r w:rsidRPr="00C30976">
        <w:rPr>
          <w:lang w:eastAsia="fr-FR" w:bidi="fr-FR"/>
        </w:rPr>
        <w:t>é</w:t>
      </w:r>
      <w:r w:rsidRPr="00C30976">
        <w:rPr>
          <w:lang w:eastAsia="fr-FR" w:bidi="fr-FR"/>
        </w:rPr>
        <w:t xml:space="preserve">ment de </w:t>
      </w:r>
      <w:r w:rsidRPr="00C30976">
        <w:t>« </w:t>
      </w:r>
      <w:r w:rsidRPr="00C30976">
        <w:rPr>
          <w:lang w:eastAsia="fr-FR" w:bidi="fr-FR"/>
        </w:rPr>
        <w:t>néo-isolationniste</w:t>
      </w:r>
      <w:r>
        <w:rPr>
          <w:lang w:eastAsia="fr-FR" w:bidi="fr-FR"/>
        </w:rPr>
        <w:t> </w:t>
      </w:r>
      <w:r>
        <w:rPr>
          <w:rStyle w:val="Appelnotedebasdep"/>
          <w:lang w:eastAsia="fr-FR" w:bidi="fr-FR"/>
        </w:rPr>
        <w:footnoteReference w:id="587"/>
      </w:r>
      <w:r w:rsidRPr="00C30976">
        <w:t> »</w:t>
      </w:r>
      <w:r w:rsidRPr="00C30976">
        <w:rPr>
          <w:lang w:eastAsia="fr-FR" w:bidi="fr-FR"/>
        </w:rPr>
        <w:t>. Ce n’est pas tout à fait exact. D’un côté, il y a certaines impulsions con</w:t>
      </w:r>
      <w:r w:rsidRPr="00C30976">
        <w:rPr>
          <w:lang w:eastAsia="fr-FR" w:bidi="fr-FR"/>
        </w:rPr>
        <w:t>s</w:t>
      </w:r>
      <w:r w:rsidRPr="00C30976">
        <w:rPr>
          <w:lang w:eastAsia="fr-FR" w:bidi="fr-FR"/>
        </w:rPr>
        <w:t>titut</w:t>
      </w:r>
      <w:r w:rsidRPr="00C30976">
        <w:rPr>
          <w:lang w:eastAsia="fr-FR" w:bidi="fr-FR"/>
        </w:rPr>
        <w:t>i</w:t>
      </w:r>
      <w:r w:rsidRPr="00C30976">
        <w:rPr>
          <w:lang w:eastAsia="fr-FR" w:bidi="fr-FR"/>
        </w:rPr>
        <w:t>ves de l’isolationnisme</w:t>
      </w:r>
      <w:r w:rsidRPr="00C30976">
        <w:t> :</w:t>
      </w:r>
      <w:r w:rsidRPr="00C30976">
        <w:rPr>
          <w:lang w:eastAsia="fr-FR" w:bidi="fr-FR"/>
        </w:rPr>
        <w:t xml:space="preserve"> l’idée que les </w:t>
      </w:r>
      <w:r>
        <w:rPr>
          <w:lang w:eastAsia="fr-FR" w:bidi="fr-FR"/>
        </w:rPr>
        <w:t>État</w:t>
      </w:r>
      <w:r w:rsidRPr="00C30976">
        <w:rPr>
          <w:lang w:eastAsia="fr-FR" w:bidi="fr-FR"/>
        </w:rPr>
        <w:t>s-Unis n’ont pas à s’occuper de tous les pr</w:t>
      </w:r>
      <w:r w:rsidRPr="00C30976">
        <w:rPr>
          <w:lang w:eastAsia="fr-FR" w:bidi="fr-FR"/>
        </w:rPr>
        <w:t>o</w:t>
      </w:r>
      <w:r>
        <w:rPr>
          <w:lang w:eastAsia="fr-FR" w:bidi="fr-FR"/>
        </w:rPr>
        <w:t>blèmes du monde et que les enga</w:t>
      </w:r>
      <w:r w:rsidRPr="00C30976">
        <w:rPr>
          <w:lang w:eastAsia="fr-FR" w:bidi="fr-FR"/>
        </w:rPr>
        <w:t>gements</w:t>
      </w:r>
      <w:r>
        <w:t xml:space="preserve"> [293]</w:t>
      </w:r>
      <w:r w:rsidRPr="00C30976">
        <w:rPr>
          <w:lang w:eastAsia="fr-FR" w:bidi="fr-FR"/>
        </w:rPr>
        <w:t xml:space="preserve"> contraignants et les organisations inte</w:t>
      </w:r>
      <w:r w:rsidRPr="00C30976">
        <w:rPr>
          <w:lang w:eastAsia="fr-FR" w:bidi="fr-FR"/>
        </w:rPr>
        <w:t>r</w:t>
      </w:r>
      <w:r w:rsidRPr="00C30976">
        <w:rPr>
          <w:lang w:eastAsia="fr-FR" w:bidi="fr-FR"/>
        </w:rPr>
        <w:t>nationales sont un frein à l’indépendance et à la souveraineté américaine. De l’autre côté, ce néo-isolationnisme ne vise aucunement un retrait du monde, un retour des soldats américains en Amér</w:t>
      </w:r>
      <w:r w:rsidRPr="00C30976">
        <w:rPr>
          <w:lang w:eastAsia="fr-FR" w:bidi="fr-FR"/>
        </w:rPr>
        <w:t>i</w:t>
      </w:r>
      <w:r w:rsidRPr="00C30976">
        <w:rPr>
          <w:lang w:eastAsia="fr-FR" w:bidi="fr-FR"/>
        </w:rPr>
        <w:t>que, ou encore une dénonciation des traités avec les pays alliés. Le néo-isolationnisme, en effet, est une modalité différente d’internationalisme plutôt qu’une négation pure et simple de cet internationalisme. C’est un type de p</w:t>
      </w:r>
      <w:r w:rsidRPr="00C30976">
        <w:rPr>
          <w:lang w:eastAsia="fr-FR" w:bidi="fr-FR"/>
        </w:rPr>
        <w:t>o</w:t>
      </w:r>
      <w:r w:rsidRPr="00C30976">
        <w:rPr>
          <w:lang w:eastAsia="fr-FR" w:bidi="fr-FR"/>
        </w:rPr>
        <w:t>litique étrangère qui affirme résolument le primat des intérêts de l’Amérique et le m</w:t>
      </w:r>
      <w:r w:rsidRPr="00C30976">
        <w:rPr>
          <w:lang w:eastAsia="fr-FR" w:bidi="fr-FR"/>
        </w:rPr>
        <w:t>é</w:t>
      </w:r>
      <w:r w:rsidRPr="00C30976">
        <w:rPr>
          <w:lang w:eastAsia="fr-FR" w:bidi="fr-FR"/>
        </w:rPr>
        <w:t>pris des organisations internationales et des prat</w:t>
      </w:r>
      <w:r w:rsidRPr="00C30976">
        <w:rPr>
          <w:lang w:eastAsia="fr-FR" w:bidi="fr-FR"/>
        </w:rPr>
        <w:t>i</w:t>
      </w:r>
      <w:r w:rsidRPr="00C30976">
        <w:rPr>
          <w:lang w:eastAsia="fr-FR" w:bidi="fr-FR"/>
        </w:rPr>
        <w:t>ques courantes du multilatér</w:t>
      </w:r>
      <w:r w:rsidRPr="00C30976">
        <w:rPr>
          <w:lang w:eastAsia="fr-FR" w:bidi="fr-FR"/>
        </w:rPr>
        <w:t>a</w:t>
      </w:r>
      <w:r w:rsidRPr="00C30976">
        <w:rPr>
          <w:lang w:eastAsia="fr-FR" w:bidi="fr-FR"/>
        </w:rPr>
        <w:t>lisme, une politique qui préfère que les États-Unis agissent seuls parce que c’est là ce qui correspond le mieux aux attentes d’un certain électorat nationaliste, militariste, parfois xénophobe et réfra</w:t>
      </w:r>
      <w:r w:rsidRPr="00C30976">
        <w:rPr>
          <w:lang w:eastAsia="fr-FR" w:bidi="fr-FR"/>
        </w:rPr>
        <w:t>c</w:t>
      </w:r>
      <w:r w:rsidRPr="00C30976">
        <w:rPr>
          <w:lang w:eastAsia="fr-FR" w:bidi="fr-FR"/>
        </w:rPr>
        <w:t>taire à toute supranationalité.</w:t>
      </w:r>
    </w:p>
    <w:p w14:paraId="224A86F8" w14:textId="77777777" w:rsidR="0039793A" w:rsidRPr="00C30976" w:rsidRDefault="0039793A" w:rsidP="0039793A">
      <w:pPr>
        <w:spacing w:before="120" w:after="120"/>
        <w:jc w:val="both"/>
      </w:pPr>
      <w:r w:rsidRPr="00C30976">
        <w:rPr>
          <w:lang w:eastAsia="fr-FR" w:bidi="fr-FR"/>
        </w:rPr>
        <w:t>L’unilatéralisme n’est donc pas soluble dans l’isolationnisme, m</w:t>
      </w:r>
      <w:r w:rsidRPr="00C30976">
        <w:rPr>
          <w:lang w:eastAsia="fr-FR" w:bidi="fr-FR"/>
        </w:rPr>
        <w:t>ê</w:t>
      </w:r>
      <w:r w:rsidRPr="00C30976">
        <w:rPr>
          <w:lang w:eastAsia="fr-FR" w:bidi="fr-FR"/>
        </w:rPr>
        <w:t>me si incontestablement certaines des pulsions à l’origine de la trad</w:t>
      </w:r>
      <w:r w:rsidRPr="00C30976">
        <w:rPr>
          <w:lang w:eastAsia="fr-FR" w:bidi="fr-FR"/>
        </w:rPr>
        <w:t>i</w:t>
      </w:r>
      <w:r w:rsidRPr="00C30976">
        <w:rPr>
          <w:lang w:eastAsia="fr-FR" w:bidi="fr-FR"/>
        </w:rPr>
        <w:t>tion isol</w:t>
      </w:r>
      <w:r w:rsidRPr="00C30976">
        <w:rPr>
          <w:lang w:eastAsia="fr-FR" w:bidi="fr-FR"/>
        </w:rPr>
        <w:t>a</w:t>
      </w:r>
      <w:r w:rsidRPr="00C30976">
        <w:rPr>
          <w:lang w:eastAsia="fr-FR" w:bidi="fr-FR"/>
        </w:rPr>
        <w:t>tionniste se retrouvent dans ce courant qui a réussi à s’imposer à la faveur de la baisse d’intérêt général pour les affaires extérieures. L’opinion publique américaine depuis la guerre froide n’a donc pas abandonné son internationalisme et a finalement peu évolué. Seulement, le mouvement d’introversion qu’elle a connu, cet élo</w:t>
      </w:r>
      <w:r w:rsidRPr="00C30976">
        <w:rPr>
          <w:lang w:eastAsia="fr-FR" w:bidi="fr-FR"/>
        </w:rPr>
        <w:t>i</w:t>
      </w:r>
      <w:r w:rsidRPr="00C30976">
        <w:rPr>
          <w:lang w:eastAsia="fr-FR" w:bidi="fr-FR"/>
        </w:rPr>
        <w:t>gnement, ce désintérêt relatif pour les affaires internationales a laissé le champ libre à certains courants qui ne la reflétaient que partiell</w:t>
      </w:r>
      <w:r w:rsidRPr="00C30976">
        <w:rPr>
          <w:lang w:eastAsia="fr-FR" w:bidi="fr-FR"/>
        </w:rPr>
        <w:t>e</w:t>
      </w:r>
      <w:r w:rsidRPr="00C30976">
        <w:rPr>
          <w:lang w:eastAsia="fr-FR" w:bidi="fr-FR"/>
        </w:rPr>
        <w:t>ment et qui se sont imposés, soit par défaut, soit délibérément, se m</w:t>
      </w:r>
      <w:r w:rsidRPr="00C30976">
        <w:rPr>
          <w:lang w:eastAsia="fr-FR" w:bidi="fr-FR"/>
        </w:rPr>
        <w:t>a</w:t>
      </w:r>
      <w:r w:rsidRPr="00C30976">
        <w:rPr>
          <w:lang w:eastAsia="fr-FR" w:bidi="fr-FR"/>
        </w:rPr>
        <w:t>nifestant surtout dans la politique menée par le Congrès puis, à partir de 2001, par George W. Bush.</w:t>
      </w:r>
    </w:p>
    <w:p w14:paraId="2028AEF0" w14:textId="77777777" w:rsidR="0039793A" w:rsidRDefault="0039793A" w:rsidP="0039793A">
      <w:pPr>
        <w:spacing w:before="120" w:after="120"/>
        <w:jc w:val="both"/>
        <w:rPr>
          <w:lang w:eastAsia="fr-FR" w:bidi="fr-FR"/>
        </w:rPr>
      </w:pPr>
    </w:p>
    <w:p w14:paraId="53CBF4AB" w14:textId="77777777" w:rsidR="0039793A" w:rsidRPr="00E65AD9" w:rsidRDefault="0039793A" w:rsidP="0039793A">
      <w:pPr>
        <w:pStyle w:val="b"/>
      </w:pPr>
      <w:r w:rsidRPr="00E65AD9">
        <w:rPr>
          <w:lang w:eastAsia="fr-FR" w:bidi="fr-FR"/>
        </w:rPr>
        <w:t>Les effets du 11 septembre 2001</w:t>
      </w:r>
    </w:p>
    <w:p w14:paraId="527628E6" w14:textId="77777777" w:rsidR="0039793A" w:rsidRDefault="0039793A" w:rsidP="0039793A">
      <w:pPr>
        <w:spacing w:before="120" w:after="120"/>
        <w:jc w:val="both"/>
        <w:rPr>
          <w:lang w:eastAsia="fr-FR" w:bidi="fr-FR"/>
        </w:rPr>
      </w:pPr>
    </w:p>
    <w:p w14:paraId="1A0BE529" w14:textId="77777777" w:rsidR="0039793A" w:rsidRPr="00C30976" w:rsidRDefault="0039793A" w:rsidP="0039793A">
      <w:pPr>
        <w:spacing w:before="120" w:after="120"/>
        <w:jc w:val="both"/>
      </w:pPr>
      <w:r w:rsidRPr="00C30976">
        <w:rPr>
          <w:lang w:eastAsia="fr-FR" w:bidi="fr-FR"/>
        </w:rPr>
        <w:t>Quelle a été la réaction de l’opinion publique américaine au 11 septembre 2001, et par contr</w:t>
      </w:r>
      <w:r w:rsidRPr="00C30976">
        <w:rPr>
          <w:lang w:eastAsia="fr-FR" w:bidi="fr-FR"/>
        </w:rPr>
        <w:t>e</w:t>
      </w:r>
      <w:r w:rsidRPr="00C30976">
        <w:rPr>
          <w:lang w:eastAsia="fr-FR" w:bidi="fr-FR"/>
        </w:rPr>
        <w:t>coup l’impact de cette réaction sur la politique étrangère des États-Unis</w:t>
      </w:r>
      <w:r w:rsidRPr="00C30976">
        <w:t> ?</w:t>
      </w:r>
      <w:r w:rsidRPr="00C30976">
        <w:rPr>
          <w:lang w:eastAsia="fr-FR" w:bidi="fr-FR"/>
        </w:rPr>
        <w:t xml:space="preserve"> L’effet le plus net des attentats du 11 septembre a été de renforcer dur</w:t>
      </w:r>
      <w:r w:rsidRPr="00C30976">
        <w:rPr>
          <w:lang w:eastAsia="fr-FR" w:bidi="fr-FR"/>
        </w:rPr>
        <w:t>a</w:t>
      </w:r>
      <w:r w:rsidRPr="00C30976">
        <w:rPr>
          <w:lang w:eastAsia="fr-FR" w:bidi="fr-FR"/>
        </w:rPr>
        <w:t>blement l’attention du public sur les affaires étra</w:t>
      </w:r>
      <w:r w:rsidRPr="00C30976">
        <w:rPr>
          <w:lang w:eastAsia="fr-FR" w:bidi="fr-FR"/>
        </w:rPr>
        <w:t>n</w:t>
      </w:r>
      <w:r w:rsidRPr="00C30976">
        <w:rPr>
          <w:lang w:eastAsia="fr-FR" w:bidi="fr-FR"/>
        </w:rPr>
        <w:t>gères, du fait de la menace terroriste. Alors que les problèmes internationaux étaient tombés au dernier rang des préocc</w:t>
      </w:r>
      <w:r w:rsidRPr="00C30976">
        <w:rPr>
          <w:lang w:eastAsia="fr-FR" w:bidi="fr-FR"/>
        </w:rPr>
        <w:t>u</w:t>
      </w:r>
      <w:r w:rsidRPr="00C30976">
        <w:rPr>
          <w:lang w:eastAsia="fr-FR" w:bidi="fr-FR"/>
        </w:rPr>
        <w:t>pations des Américains, de 16,8</w:t>
      </w:r>
      <w:r>
        <w:rPr>
          <w:lang w:eastAsia="fr-FR" w:bidi="fr-FR"/>
        </w:rPr>
        <w:t>%</w:t>
      </w:r>
      <w:r w:rsidRPr="00C30976">
        <w:rPr>
          <w:lang w:eastAsia="fr-FR" w:bidi="fr-FR"/>
        </w:rPr>
        <w:t xml:space="preserve"> en 1990 à 7,3</w:t>
      </w:r>
      <w:r>
        <w:rPr>
          <w:lang w:eastAsia="fr-FR" w:bidi="fr-FR"/>
        </w:rPr>
        <w:t>%</w:t>
      </w:r>
      <w:r w:rsidRPr="00C30976">
        <w:rPr>
          <w:lang w:eastAsia="fr-FR" w:bidi="fr-FR"/>
        </w:rPr>
        <w:t xml:space="preserve"> en 1998, se situant ainsi en dessous de leur bas niveau de 1978, le terrorisme les fait r</w:t>
      </w:r>
      <w:r w:rsidRPr="00C30976">
        <w:rPr>
          <w:lang w:eastAsia="fr-FR" w:bidi="fr-FR"/>
        </w:rPr>
        <w:t>e</w:t>
      </w:r>
      <w:r w:rsidRPr="00C30976">
        <w:rPr>
          <w:lang w:eastAsia="fr-FR" w:bidi="fr-FR"/>
        </w:rPr>
        <w:t>monter soudainement à 41</w:t>
      </w:r>
      <w:r>
        <w:rPr>
          <w:lang w:eastAsia="fr-FR" w:bidi="fr-FR"/>
        </w:rPr>
        <w:t>% </w:t>
      </w:r>
      <w:r>
        <w:rPr>
          <w:rStyle w:val="Appelnotedebasdep"/>
          <w:lang w:eastAsia="fr-FR" w:bidi="fr-FR"/>
        </w:rPr>
        <w:footnoteReference w:id="588"/>
      </w:r>
      <w:r w:rsidRPr="00C30976">
        <w:t>.</w:t>
      </w:r>
      <w:r w:rsidRPr="00C30976">
        <w:rPr>
          <w:lang w:eastAsia="fr-FR" w:bidi="fr-FR"/>
        </w:rPr>
        <w:t xml:space="preserve"> Le terrorisme d</w:t>
      </w:r>
      <w:r w:rsidRPr="00C30976">
        <w:rPr>
          <w:lang w:eastAsia="fr-FR" w:bidi="fr-FR"/>
        </w:rPr>
        <w:t>e</w:t>
      </w:r>
      <w:r w:rsidRPr="00C30976">
        <w:rPr>
          <w:lang w:eastAsia="fr-FR" w:bidi="fr-FR"/>
        </w:rPr>
        <w:t>vient pour les</w:t>
      </w:r>
      <w:r>
        <w:t xml:space="preserve"> [294] </w:t>
      </w:r>
      <w:r w:rsidRPr="00C30976">
        <w:rPr>
          <w:lang w:eastAsia="fr-FR" w:bidi="fr-FR"/>
        </w:rPr>
        <w:t>Américains le défi central du pays, cité avant les problèmes économ</w:t>
      </w:r>
      <w:r w:rsidRPr="00C30976">
        <w:rPr>
          <w:lang w:eastAsia="fr-FR" w:bidi="fr-FR"/>
        </w:rPr>
        <w:t>i</w:t>
      </w:r>
      <w:r w:rsidRPr="00C30976">
        <w:rPr>
          <w:lang w:eastAsia="fr-FR" w:bidi="fr-FR"/>
        </w:rPr>
        <w:t>ques et de société, auparavant considérés comme prioritaires par l’opinion publ</w:t>
      </w:r>
      <w:r w:rsidRPr="00C30976">
        <w:rPr>
          <w:lang w:eastAsia="fr-FR" w:bidi="fr-FR"/>
        </w:rPr>
        <w:t>i</w:t>
      </w:r>
      <w:r w:rsidRPr="00C30976">
        <w:rPr>
          <w:lang w:eastAsia="fr-FR" w:bidi="fr-FR"/>
        </w:rPr>
        <w:t>que. Dans la foulée, les problèmes au Moyen Orient et les armes de destruction massives remontent dans l’ordre des priorités. L’internationalisme retrouve alors ses niveaux records de 1948 et de 1956</w:t>
      </w:r>
      <w:r w:rsidRPr="00C30976">
        <w:t> :</w:t>
      </w:r>
      <w:r w:rsidRPr="00C30976">
        <w:rPr>
          <w:lang w:eastAsia="fr-FR" w:bidi="fr-FR"/>
        </w:rPr>
        <w:t xml:space="preserve"> en 2002, 71</w:t>
      </w:r>
      <w:r>
        <w:rPr>
          <w:lang w:eastAsia="fr-FR" w:bidi="fr-FR"/>
        </w:rPr>
        <w:t>%</w:t>
      </w:r>
      <w:r w:rsidRPr="00C30976">
        <w:rPr>
          <w:lang w:eastAsia="fr-FR" w:bidi="fr-FR"/>
        </w:rPr>
        <w:t xml:space="preserve"> des Américains estiment que les États-Unis do</w:t>
      </w:r>
      <w:r w:rsidRPr="00C30976">
        <w:rPr>
          <w:lang w:eastAsia="fr-FR" w:bidi="fr-FR"/>
        </w:rPr>
        <w:t>i</w:t>
      </w:r>
      <w:r w:rsidRPr="00C30976">
        <w:rPr>
          <w:lang w:eastAsia="fr-FR" w:bidi="fr-FR"/>
        </w:rPr>
        <w:t>vent prendre une part active dans les pr</w:t>
      </w:r>
      <w:r w:rsidRPr="00C30976">
        <w:rPr>
          <w:lang w:eastAsia="fr-FR" w:bidi="fr-FR"/>
        </w:rPr>
        <w:t>o</w:t>
      </w:r>
      <w:r w:rsidRPr="00C30976">
        <w:rPr>
          <w:lang w:eastAsia="fr-FR" w:bidi="fr-FR"/>
        </w:rPr>
        <w:t>blèmes du mon</w:t>
      </w:r>
      <w:r>
        <w:rPr>
          <w:lang w:eastAsia="fr-FR" w:bidi="fr-FR"/>
        </w:rPr>
        <w:t>de plutôt que de s’en distancer </w:t>
      </w:r>
      <w:r>
        <w:rPr>
          <w:rStyle w:val="Appelnotedebasdep"/>
          <w:lang w:eastAsia="fr-FR" w:bidi="fr-FR"/>
        </w:rPr>
        <w:footnoteReference w:id="589"/>
      </w:r>
      <w:r w:rsidRPr="00C30976">
        <w:rPr>
          <w:lang w:eastAsia="fr-FR" w:bidi="fr-FR"/>
        </w:rPr>
        <w:t>. L’isolationnisme est bien au point le plus bas j</w:t>
      </w:r>
      <w:r w:rsidRPr="00C30976">
        <w:rPr>
          <w:lang w:eastAsia="fr-FR" w:bidi="fr-FR"/>
        </w:rPr>
        <w:t>a</w:t>
      </w:r>
      <w:r w:rsidRPr="00C30976">
        <w:rPr>
          <w:lang w:eastAsia="fr-FR" w:bidi="fr-FR"/>
        </w:rPr>
        <w:t>mais connu depuis la seconde guerre mondiale. Toutefois, l’opinion publique américaine demeure massivement multilatéraliste, et préfère de très loin voir les États-Unis agir de concert avec les autres pays. Si pour 34</w:t>
      </w:r>
      <w:r>
        <w:rPr>
          <w:lang w:eastAsia="fr-FR" w:bidi="fr-FR"/>
        </w:rPr>
        <w:t>%</w:t>
      </w:r>
      <w:r w:rsidRPr="00C30976">
        <w:rPr>
          <w:lang w:eastAsia="fr-FR" w:bidi="fr-FR"/>
        </w:rPr>
        <w:t xml:space="preserve"> des Américains, la leçon du 11 septembre 2001 est que l’Amérique doit agir dava</w:t>
      </w:r>
      <w:r w:rsidRPr="00C30976">
        <w:rPr>
          <w:lang w:eastAsia="fr-FR" w:bidi="fr-FR"/>
        </w:rPr>
        <w:t>n</w:t>
      </w:r>
      <w:r w:rsidRPr="00C30976">
        <w:rPr>
          <w:lang w:eastAsia="fr-FR" w:bidi="fr-FR"/>
        </w:rPr>
        <w:t>tage par elle-même pour lutter contre le terrorisme, pour 6l</w:t>
      </w:r>
      <w:r>
        <w:rPr>
          <w:lang w:eastAsia="fr-FR" w:bidi="fr-FR"/>
        </w:rPr>
        <w:t>%</w:t>
      </w:r>
      <w:r w:rsidRPr="00C30976">
        <w:rPr>
          <w:lang w:eastAsia="fr-FR" w:bidi="fr-FR"/>
        </w:rPr>
        <w:t xml:space="preserve"> d’entre eux, l’Amérique doit agir dava</w:t>
      </w:r>
      <w:r w:rsidRPr="00C30976">
        <w:rPr>
          <w:lang w:eastAsia="fr-FR" w:bidi="fr-FR"/>
        </w:rPr>
        <w:t>n</w:t>
      </w:r>
      <w:r w:rsidRPr="00C30976">
        <w:rPr>
          <w:lang w:eastAsia="fr-FR" w:bidi="fr-FR"/>
        </w:rPr>
        <w:t>tage avec d’autres pays. Pour 57</w:t>
      </w:r>
      <w:r>
        <w:rPr>
          <w:lang w:eastAsia="fr-FR" w:bidi="fr-FR"/>
        </w:rPr>
        <w:t>%</w:t>
      </w:r>
      <w:r w:rsidRPr="00C30976">
        <w:rPr>
          <w:lang w:eastAsia="fr-FR" w:bidi="fr-FR"/>
        </w:rPr>
        <w:t xml:space="preserve"> des sondés, renforcer les Nations unies d</w:t>
      </w:r>
      <w:r w:rsidRPr="00C30976">
        <w:rPr>
          <w:lang w:eastAsia="fr-FR" w:bidi="fr-FR"/>
        </w:rPr>
        <w:t>e</w:t>
      </w:r>
      <w:r w:rsidRPr="00C30976">
        <w:rPr>
          <w:lang w:eastAsia="fr-FR" w:bidi="fr-FR"/>
        </w:rPr>
        <w:t xml:space="preserve">vrait être un objectif </w:t>
      </w:r>
      <w:r w:rsidRPr="00C30976">
        <w:t>« </w:t>
      </w:r>
      <w:r w:rsidRPr="00C30976">
        <w:rPr>
          <w:lang w:eastAsia="fr-FR" w:bidi="fr-FR"/>
        </w:rPr>
        <w:t>très important</w:t>
      </w:r>
      <w:r w:rsidRPr="00C30976">
        <w:t> »</w:t>
      </w:r>
      <w:r w:rsidRPr="00C30976">
        <w:rPr>
          <w:lang w:eastAsia="fr-FR" w:bidi="fr-FR"/>
        </w:rPr>
        <w:t xml:space="preserve"> de l’Amérique, contre 45</w:t>
      </w:r>
      <w:r>
        <w:rPr>
          <w:lang w:eastAsia="fr-FR" w:bidi="fr-FR"/>
        </w:rPr>
        <w:t>%</w:t>
      </w:r>
      <w:r w:rsidRPr="00C30976">
        <w:rPr>
          <w:lang w:eastAsia="fr-FR" w:bidi="fr-FR"/>
        </w:rPr>
        <w:t xml:space="preserve"> en 1998</w:t>
      </w:r>
      <w:r>
        <w:rPr>
          <w:lang w:eastAsia="fr-FR" w:bidi="fr-FR"/>
        </w:rPr>
        <w:t> </w:t>
      </w:r>
      <w:r>
        <w:rPr>
          <w:rStyle w:val="Appelnotedebasdep"/>
          <w:lang w:eastAsia="fr-FR" w:bidi="fr-FR"/>
        </w:rPr>
        <w:footnoteReference w:id="590"/>
      </w:r>
      <w:r w:rsidRPr="00C30976">
        <w:rPr>
          <w:lang w:eastAsia="fr-FR" w:bidi="fr-FR"/>
        </w:rPr>
        <w:t>. Enfin, les Américains après le 11 septembre continuent à so</w:t>
      </w:r>
      <w:r w:rsidRPr="00C30976">
        <w:rPr>
          <w:lang w:eastAsia="fr-FR" w:bidi="fr-FR"/>
        </w:rPr>
        <w:t>u</w:t>
      </w:r>
      <w:r w:rsidRPr="00C30976">
        <w:rPr>
          <w:lang w:eastAsia="fr-FR" w:bidi="fr-FR"/>
        </w:rPr>
        <w:t>tenir les accords internationaux rejetés par l’Administration Bush</w:t>
      </w:r>
      <w:r w:rsidRPr="00C30976">
        <w:t> :</w:t>
      </w:r>
      <w:r w:rsidRPr="00C30976">
        <w:rPr>
          <w:lang w:eastAsia="fr-FR" w:bidi="fr-FR"/>
        </w:rPr>
        <w:t xml:space="preserve"> 81</w:t>
      </w:r>
      <w:r>
        <w:rPr>
          <w:lang w:eastAsia="fr-FR" w:bidi="fr-FR"/>
        </w:rPr>
        <w:t>%</w:t>
      </w:r>
      <w:r w:rsidRPr="00C30976">
        <w:rPr>
          <w:lang w:eastAsia="fr-FR" w:bidi="fr-FR"/>
        </w:rPr>
        <w:t xml:space="preserve"> pour le </w:t>
      </w:r>
      <w:r w:rsidRPr="00C30976">
        <w:t xml:space="preserve">TICE, </w:t>
      </w:r>
      <w:r w:rsidRPr="00C30976">
        <w:rPr>
          <w:lang w:eastAsia="fr-FR" w:bidi="fr-FR"/>
        </w:rPr>
        <w:t>75</w:t>
      </w:r>
      <w:r>
        <w:rPr>
          <w:lang w:eastAsia="fr-FR" w:bidi="fr-FR"/>
        </w:rPr>
        <w:t>%</w:t>
      </w:r>
      <w:r w:rsidRPr="00C30976">
        <w:rPr>
          <w:lang w:eastAsia="fr-FR" w:bidi="fr-FR"/>
        </w:rPr>
        <w:t xml:space="preserve"> pour le traité d’interdiction des mines ant</w:t>
      </w:r>
      <w:r w:rsidRPr="00C30976">
        <w:rPr>
          <w:lang w:eastAsia="fr-FR" w:bidi="fr-FR"/>
        </w:rPr>
        <w:t>i</w:t>
      </w:r>
      <w:r w:rsidRPr="00C30976">
        <w:rPr>
          <w:lang w:eastAsia="fr-FR" w:bidi="fr-FR"/>
        </w:rPr>
        <w:t>personnel, 71</w:t>
      </w:r>
      <w:r>
        <w:rPr>
          <w:lang w:eastAsia="fr-FR" w:bidi="fr-FR"/>
        </w:rPr>
        <w:t>%</w:t>
      </w:r>
      <w:r w:rsidRPr="00C30976">
        <w:rPr>
          <w:lang w:eastAsia="fr-FR" w:bidi="fr-FR"/>
        </w:rPr>
        <w:t xml:space="preserve"> pour la Cour pénale internati</w:t>
      </w:r>
      <w:r w:rsidRPr="00C30976">
        <w:rPr>
          <w:lang w:eastAsia="fr-FR" w:bidi="fr-FR"/>
        </w:rPr>
        <w:t>o</w:t>
      </w:r>
      <w:r w:rsidRPr="00C30976">
        <w:rPr>
          <w:lang w:eastAsia="fr-FR" w:bidi="fr-FR"/>
        </w:rPr>
        <w:t>nale et 64</w:t>
      </w:r>
      <w:r>
        <w:rPr>
          <w:lang w:eastAsia="fr-FR" w:bidi="fr-FR"/>
        </w:rPr>
        <w:t>%</w:t>
      </w:r>
      <w:r w:rsidRPr="00C30976">
        <w:rPr>
          <w:lang w:eastAsia="fr-FR" w:bidi="fr-FR"/>
        </w:rPr>
        <w:t xml:space="preserve"> pour l’accord de Kyoto. En raison de cette onde de choc, et alors que Geo</w:t>
      </w:r>
      <w:r w:rsidRPr="00C30976">
        <w:rPr>
          <w:lang w:eastAsia="fr-FR" w:bidi="fr-FR"/>
        </w:rPr>
        <w:t>r</w:t>
      </w:r>
      <w:r w:rsidRPr="00C30976">
        <w:rPr>
          <w:lang w:eastAsia="fr-FR" w:bidi="fr-FR"/>
        </w:rPr>
        <w:t>ge W. Bush était entré en fonction sur un programme de polit</w:t>
      </w:r>
      <w:r w:rsidRPr="00C30976">
        <w:rPr>
          <w:lang w:eastAsia="fr-FR" w:bidi="fr-FR"/>
        </w:rPr>
        <w:t>i</w:t>
      </w:r>
      <w:r w:rsidRPr="00C30976">
        <w:rPr>
          <w:lang w:eastAsia="fr-FR" w:bidi="fr-FR"/>
        </w:rPr>
        <w:t xml:space="preserve">que étrangère modeste et méfiant, insistant sur </w:t>
      </w:r>
      <w:r w:rsidRPr="00C30976">
        <w:t>« </w:t>
      </w:r>
      <w:r w:rsidRPr="00C30976">
        <w:rPr>
          <w:lang w:eastAsia="fr-FR" w:bidi="fr-FR"/>
        </w:rPr>
        <w:t>l’humilité</w:t>
      </w:r>
      <w:r w:rsidRPr="00C30976">
        <w:t> »</w:t>
      </w:r>
      <w:r w:rsidRPr="00C30976">
        <w:rPr>
          <w:lang w:eastAsia="fr-FR" w:bidi="fr-FR"/>
        </w:rPr>
        <w:t xml:space="preserve"> nécessaire de l’Amérique et sur sa liberté d’action, l’opinion publique a porté le pr</w:t>
      </w:r>
      <w:r w:rsidRPr="00C30976">
        <w:rPr>
          <w:lang w:eastAsia="fr-FR" w:bidi="fr-FR"/>
        </w:rPr>
        <w:t>é</w:t>
      </w:r>
      <w:r w:rsidRPr="00C30976">
        <w:rPr>
          <w:lang w:eastAsia="fr-FR" w:bidi="fr-FR"/>
        </w:rPr>
        <w:t>s</w:t>
      </w:r>
      <w:r w:rsidRPr="00C30976">
        <w:rPr>
          <w:lang w:eastAsia="fr-FR" w:bidi="fr-FR"/>
        </w:rPr>
        <w:t>i</w:t>
      </w:r>
      <w:r w:rsidRPr="00C30976">
        <w:rPr>
          <w:lang w:eastAsia="fr-FR" w:bidi="fr-FR"/>
        </w:rPr>
        <w:t>dent dans sa lutte contre le terrorisme. Ceci lui a permis de conduire un programme cher au cœur des conservateurs et néo-conservateurs</w:t>
      </w:r>
      <w:r w:rsidRPr="00C30976">
        <w:t> :</w:t>
      </w:r>
      <w:r w:rsidRPr="00C30976">
        <w:rPr>
          <w:lang w:eastAsia="fr-FR" w:bidi="fr-FR"/>
        </w:rPr>
        <w:t xml:space="preserve"> le budget de la défense est marqué par une augmentation rapide, avec un objectif de 500 milliards de dollars en 2010, sans pour autant que cette augmentation ne serve la lutte contre le terrorisme.</w:t>
      </w:r>
    </w:p>
    <w:p w14:paraId="5563150F" w14:textId="77777777" w:rsidR="0039793A" w:rsidRPr="00C30976" w:rsidRDefault="0039793A" w:rsidP="0039793A">
      <w:pPr>
        <w:spacing w:before="120" w:after="120"/>
        <w:jc w:val="both"/>
      </w:pPr>
      <w:r w:rsidRPr="00C30976">
        <w:rPr>
          <w:lang w:eastAsia="fr-FR" w:bidi="fr-FR"/>
        </w:rPr>
        <w:t>Aussi, si l’opinion publique américaine fixe le cadre général dans lequel s’exerce la politique étrangère américaine, la marge de manœ</w:t>
      </w:r>
      <w:r w:rsidRPr="00C30976">
        <w:rPr>
          <w:lang w:eastAsia="fr-FR" w:bidi="fr-FR"/>
        </w:rPr>
        <w:t>u</w:t>
      </w:r>
      <w:r w:rsidRPr="00C30976">
        <w:rPr>
          <w:lang w:eastAsia="fr-FR" w:bidi="fr-FR"/>
        </w:rPr>
        <w:t>vre prés</w:t>
      </w:r>
      <w:r w:rsidRPr="00C30976">
        <w:rPr>
          <w:lang w:eastAsia="fr-FR" w:bidi="fr-FR"/>
        </w:rPr>
        <w:t>i</w:t>
      </w:r>
      <w:r w:rsidRPr="00C30976">
        <w:rPr>
          <w:lang w:eastAsia="fr-FR" w:bidi="fr-FR"/>
        </w:rPr>
        <w:t>dentielle est-elle, à l’évidence, vaste. Ce bilan se vérifie d’autant mieux qu’on a décrit jusque-là l’opinion publique comme un bloc alors qu’elle est en réalité parcourue par des clivages profonds, tant géographiques et sociaux que</w:t>
      </w:r>
      <w:r>
        <w:t xml:space="preserve"> [295] </w:t>
      </w:r>
      <w:r w:rsidRPr="00C30976">
        <w:rPr>
          <w:lang w:eastAsia="fr-FR" w:bidi="fr-FR"/>
        </w:rPr>
        <w:t>culturels</w:t>
      </w:r>
      <w:r w:rsidRPr="00C30976">
        <w:t> ;</w:t>
      </w:r>
      <w:r w:rsidRPr="00C30976">
        <w:rPr>
          <w:lang w:eastAsia="fr-FR" w:bidi="fr-FR"/>
        </w:rPr>
        <w:t xml:space="preserve"> et ce kaléidoscope n évolué que le</w:t>
      </w:r>
      <w:r w:rsidRPr="00C30976">
        <w:rPr>
          <w:lang w:eastAsia="fr-FR" w:bidi="fr-FR"/>
        </w:rPr>
        <w:t>n</w:t>
      </w:r>
      <w:r w:rsidRPr="00C30976">
        <w:rPr>
          <w:lang w:eastAsia="fr-FR" w:bidi="fr-FR"/>
        </w:rPr>
        <w:t>tement, concourant à expliquer la stabilité de l’opinion publique dans son ensemble vis-à-vis de la politique étra</w:t>
      </w:r>
      <w:r w:rsidRPr="00C30976">
        <w:rPr>
          <w:lang w:eastAsia="fr-FR" w:bidi="fr-FR"/>
        </w:rPr>
        <w:t>n</w:t>
      </w:r>
      <w:r w:rsidRPr="00C30976">
        <w:rPr>
          <w:lang w:eastAsia="fr-FR" w:bidi="fr-FR"/>
        </w:rPr>
        <w:t>gère.</w:t>
      </w:r>
    </w:p>
    <w:p w14:paraId="552BBF02" w14:textId="77777777" w:rsidR="0039793A" w:rsidRDefault="0039793A" w:rsidP="0039793A">
      <w:pPr>
        <w:spacing w:before="120" w:after="120"/>
        <w:jc w:val="both"/>
        <w:rPr>
          <w:lang w:eastAsia="fr-FR" w:bidi="fr-FR"/>
        </w:rPr>
      </w:pPr>
    </w:p>
    <w:p w14:paraId="0A4B9269" w14:textId="77777777" w:rsidR="0039793A" w:rsidRDefault="0039793A" w:rsidP="0039793A">
      <w:pPr>
        <w:spacing w:before="120" w:after="120"/>
        <w:jc w:val="both"/>
        <w:rPr>
          <w:lang w:eastAsia="fr-FR" w:bidi="fr-FR"/>
        </w:rPr>
      </w:pPr>
    </w:p>
    <w:p w14:paraId="103C8217" w14:textId="77777777" w:rsidR="0039793A" w:rsidRPr="00C30976" w:rsidRDefault="0039793A" w:rsidP="0039793A">
      <w:pPr>
        <w:pStyle w:val="a"/>
      </w:pPr>
      <w:r w:rsidRPr="00C30976">
        <w:t>Les clivages de l’opinion publique américaine</w:t>
      </w:r>
    </w:p>
    <w:p w14:paraId="7C576BD1" w14:textId="77777777" w:rsidR="0039793A" w:rsidRDefault="0039793A" w:rsidP="0039793A">
      <w:pPr>
        <w:spacing w:before="120" w:after="120"/>
        <w:jc w:val="both"/>
        <w:rPr>
          <w:lang w:eastAsia="fr-FR" w:bidi="fr-FR"/>
        </w:rPr>
      </w:pPr>
    </w:p>
    <w:p w14:paraId="40D02B5C" w14:textId="77777777" w:rsidR="0039793A" w:rsidRPr="00C30976" w:rsidRDefault="0039793A" w:rsidP="0039793A">
      <w:pPr>
        <w:spacing w:before="120" w:after="120"/>
        <w:jc w:val="both"/>
      </w:pPr>
      <w:r w:rsidRPr="00C30976">
        <w:rPr>
          <w:lang w:eastAsia="fr-FR" w:bidi="fr-FR"/>
        </w:rPr>
        <w:t>L’opinion publique, même si elle finit par e</w:t>
      </w:r>
      <w:r w:rsidRPr="00C30976">
        <w:rPr>
          <w:lang w:eastAsia="fr-FR" w:bidi="fr-FR"/>
        </w:rPr>
        <w:t>x</w:t>
      </w:r>
      <w:r w:rsidRPr="00C30976">
        <w:rPr>
          <w:lang w:eastAsia="fr-FR" w:bidi="fr-FR"/>
        </w:rPr>
        <w:t>primer de grandes tendances qui vont finir par i</w:t>
      </w:r>
      <w:r w:rsidRPr="00C30976">
        <w:rPr>
          <w:lang w:eastAsia="fr-FR" w:bidi="fr-FR"/>
        </w:rPr>
        <w:t>n</w:t>
      </w:r>
      <w:r w:rsidRPr="00C30976">
        <w:rPr>
          <w:lang w:eastAsia="fr-FR" w:bidi="fr-FR"/>
        </w:rPr>
        <w:t>fluencer la formulation de la politique étrangère, ne forme pas un ensemble complètement homogène. Ce kaléidoscope se compose d’un certain nombre de clivages qui en fo</w:t>
      </w:r>
      <w:r w:rsidRPr="00C30976">
        <w:rPr>
          <w:lang w:eastAsia="fr-FR" w:bidi="fr-FR"/>
        </w:rPr>
        <w:t>n</w:t>
      </w:r>
      <w:r w:rsidRPr="00C30976">
        <w:rPr>
          <w:lang w:eastAsia="fr-FR" w:bidi="fr-FR"/>
        </w:rPr>
        <w:t>dent la spécificité.</w:t>
      </w:r>
    </w:p>
    <w:p w14:paraId="0D1C3AC6" w14:textId="77777777" w:rsidR="0039793A" w:rsidRDefault="0039793A" w:rsidP="0039793A">
      <w:pPr>
        <w:spacing w:before="120" w:after="120"/>
        <w:jc w:val="both"/>
        <w:rPr>
          <w:lang w:eastAsia="fr-FR" w:bidi="fr-FR"/>
        </w:rPr>
      </w:pPr>
    </w:p>
    <w:p w14:paraId="0F0762F3" w14:textId="77777777" w:rsidR="0039793A" w:rsidRPr="00BC1869" w:rsidRDefault="0039793A" w:rsidP="0039793A">
      <w:pPr>
        <w:pStyle w:val="b"/>
      </w:pPr>
      <w:r w:rsidRPr="00BC1869">
        <w:rPr>
          <w:lang w:eastAsia="fr-FR" w:bidi="fr-FR"/>
        </w:rPr>
        <w:t>Les clivages sociaux</w:t>
      </w:r>
    </w:p>
    <w:p w14:paraId="296BAD6A" w14:textId="77777777" w:rsidR="0039793A" w:rsidRDefault="0039793A" w:rsidP="0039793A">
      <w:pPr>
        <w:spacing w:before="120" w:after="120"/>
        <w:jc w:val="both"/>
        <w:rPr>
          <w:lang w:eastAsia="fr-FR" w:bidi="fr-FR"/>
        </w:rPr>
      </w:pPr>
    </w:p>
    <w:p w14:paraId="22E88AA2" w14:textId="77777777" w:rsidR="0039793A" w:rsidRPr="00C30976" w:rsidRDefault="0039793A" w:rsidP="0039793A">
      <w:pPr>
        <w:spacing w:before="120" w:after="120"/>
        <w:jc w:val="both"/>
      </w:pPr>
      <w:r w:rsidRPr="00C30976">
        <w:rPr>
          <w:lang w:eastAsia="fr-FR" w:bidi="fr-FR"/>
        </w:rPr>
        <w:t>Premier clivage, entre les élites et l’opinion p</w:t>
      </w:r>
      <w:r w:rsidRPr="00C30976">
        <w:rPr>
          <w:lang w:eastAsia="fr-FR" w:bidi="fr-FR"/>
        </w:rPr>
        <w:t>u</w:t>
      </w:r>
      <w:r w:rsidRPr="00C30976">
        <w:rPr>
          <w:lang w:eastAsia="fr-FR" w:bidi="fr-FR"/>
        </w:rPr>
        <w:t>blique en général. Le Chicago Council on Foreign Relations s’est intéressé dès 1974 aux différences d’opinion entre les deux groupes, et il ressort que la fin de la guerre froide et le 11 septembre 2001 ont amené r</w:t>
      </w:r>
      <w:r>
        <w:rPr>
          <w:lang w:eastAsia="fr-FR" w:bidi="fr-FR"/>
        </w:rPr>
        <w:t>elativement peu de changements </w:t>
      </w:r>
      <w:r>
        <w:rPr>
          <w:rStyle w:val="Appelnotedebasdep"/>
          <w:lang w:eastAsia="fr-FR" w:bidi="fr-FR"/>
        </w:rPr>
        <w:footnoteReference w:id="591"/>
      </w:r>
      <w:r w:rsidRPr="00C30976">
        <w:rPr>
          <w:lang w:eastAsia="fr-FR" w:bidi="fr-FR"/>
        </w:rPr>
        <w:t>.</w:t>
      </w:r>
    </w:p>
    <w:p w14:paraId="4E1B3B7F" w14:textId="77777777" w:rsidR="0039793A" w:rsidRPr="00C30976" w:rsidRDefault="0039793A" w:rsidP="0039793A">
      <w:pPr>
        <w:spacing w:before="120" w:after="120"/>
        <w:jc w:val="both"/>
      </w:pPr>
      <w:r w:rsidRPr="00C30976">
        <w:rPr>
          <w:lang w:eastAsia="fr-FR" w:bidi="fr-FR"/>
        </w:rPr>
        <w:t>Les élites au sens du Chicago Council on Foreign Relations fo</w:t>
      </w:r>
      <w:r w:rsidRPr="00C30976">
        <w:rPr>
          <w:lang w:eastAsia="fr-FR" w:bidi="fr-FR"/>
        </w:rPr>
        <w:t>r</w:t>
      </w:r>
      <w:r w:rsidRPr="00C30976">
        <w:rPr>
          <w:lang w:eastAsia="fr-FR" w:bidi="fr-FR"/>
        </w:rPr>
        <w:t>ment une sorte d’opinion écla</w:t>
      </w:r>
      <w:r w:rsidRPr="00C30976">
        <w:rPr>
          <w:lang w:eastAsia="fr-FR" w:bidi="fr-FR"/>
        </w:rPr>
        <w:t>i</w:t>
      </w:r>
      <w:r w:rsidRPr="00C30976">
        <w:rPr>
          <w:lang w:eastAsia="fr-FR" w:bidi="fr-FR"/>
        </w:rPr>
        <w:t>rée</w:t>
      </w:r>
      <w:r w:rsidRPr="00C30976">
        <w:t> :</w:t>
      </w:r>
      <w:r w:rsidRPr="00C30976">
        <w:rPr>
          <w:lang w:eastAsia="fr-FR" w:bidi="fr-FR"/>
        </w:rPr>
        <w:t xml:space="preserve"> ce sont des décideurs du monde politique, entrepreneurial, médiatique et universitaire ayant une ce</w:t>
      </w:r>
      <w:r w:rsidRPr="00C30976">
        <w:rPr>
          <w:lang w:eastAsia="fr-FR" w:bidi="fr-FR"/>
        </w:rPr>
        <w:t>r</w:t>
      </w:r>
      <w:r w:rsidRPr="00C30976">
        <w:rPr>
          <w:lang w:eastAsia="fr-FR" w:bidi="fr-FR"/>
        </w:rPr>
        <w:t>taine connaissance, voire une pratique, des affa</w:t>
      </w:r>
      <w:r w:rsidRPr="00C30976">
        <w:rPr>
          <w:lang w:eastAsia="fr-FR" w:bidi="fr-FR"/>
        </w:rPr>
        <w:t>i</w:t>
      </w:r>
      <w:r w:rsidRPr="00C30976">
        <w:rPr>
          <w:lang w:eastAsia="fr-FR" w:bidi="fr-FR"/>
        </w:rPr>
        <w:t>res internationales. Cette culture générale et ce bagage culturel fondent leur internation</w:t>
      </w:r>
      <w:r w:rsidRPr="00C30976">
        <w:rPr>
          <w:lang w:eastAsia="fr-FR" w:bidi="fr-FR"/>
        </w:rPr>
        <w:t>a</w:t>
      </w:r>
      <w:r w:rsidRPr="00C30976">
        <w:rPr>
          <w:lang w:eastAsia="fr-FR" w:bidi="fr-FR"/>
        </w:rPr>
        <w:t>lisme quasi systématique (98</w:t>
      </w:r>
      <w:r>
        <w:rPr>
          <w:lang w:eastAsia="fr-FR" w:bidi="fr-FR"/>
        </w:rPr>
        <w:t>%</w:t>
      </w:r>
      <w:r w:rsidRPr="00C30976">
        <w:rPr>
          <w:lang w:eastAsia="fr-FR" w:bidi="fr-FR"/>
        </w:rPr>
        <w:t xml:space="preserve"> puis 96</w:t>
      </w:r>
      <w:r>
        <w:rPr>
          <w:lang w:eastAsia="fr-FR" w:bidi="fr-FR"/>
        </w:rPr>
        <w:t>%</w:t>
      </w:r>
      <w:r w:rsidRPr="00C30976">
        <w:rPr>
          <w:lang w:eastAsia="fr-FR" w:bidi="fr-FR"/>
        </w:rPr>
        <w:t xml:space="preserve"> et à nouveau 96</w:t>
      </w:r>
      <w:r>
        <w:rPr>
          <w:lang w:eastAsia="fr-FR" w:bidi="fr-FR"/>
        </w:rPr>
        <w:t>%</w:t>
      </w:r>
      <w:r w:rsidRPr="00C30976">
        <w:rPr>
          <w:lang w:eastAsia="fr-FR" w:bidi="fr-FR"/>
        </w:rPr>
        <w:t xml:space="preserve"> lors des enquêtes de 1994, 1998 et 2002). À l’inverse, le grand public est gl</w:t>
      </w:r>
      <w:r w:rsidRPr="00C30976">
        <w:rPr>
          <w:lang w:eastAsia="fr-FR" w:bidi="fr-FR"/>
        </w:rPr>
        <w:t>o</w:t>
      </w:r>
      <w:r w:rsidRPr="00C30976">
        <w:rPr>
          <w:lang w:eastAsia="fr-FR" w:bidi="fr-FR"/>
        </w:rPr>
        <w:t>balement plus tou</w:t>
      </w:r>
      <w:r w:rsidRPr="00C30976">
        <w:rPr>
          <w:lang w:eastAsia="fr-FR" w:bidi="fr-FR"/>
        </w:rPr>
        <w:t>r</w:t>
      </w:r>
      <w:r w:rsidRPr="00C30976">
        <w:rPr>
          <w:lang w:eastAsia="fr-FR" w:bidi="fr-FR"/>
        </w:rPr>
        <w:t>né vers les affaires intérieures, et son attention se porte vers les menaces et les problèmes internati</w:t>
      </w:r>
      <w:r w:rsidRPr="00C30976">
        <w:rPr>
          <w:lang w:eastAsia="fr-FR" w:bidi="fr-FR"/>
        </w:rPr>
        <w:t>o</w:t>
      </w:r>
      <w:r w:rsidRPr="00C30976">
        <w:rPr>
          <w:lang w:eastAsia="fr-FR" w:bidi="fr-FR"/>
        </w:rPr>
        <w:t>naux susceptibles de l’influencer à court terme. Vagues d’immigration, épidémies, concu</w:t>
      </w:r>
      <w:r w:rsidRPr="00C30976">
        <w:rPr>
          <w:lang w:eastAsia="fr-FR" w:bidi="fr-FR"/>
        </w:rPr>
        <w:t>r</w:t>
      </w:r>
      <w:r w:rsidRPr="00C30976">
        <w:rPr>
          <w:lang w:eastAsia="fr-FR" w:bidi="fr-FR"/>
        </w:rPr>
        <w:t>rence commerciale, terrorisme</w:t>
      </w:r>
      <w:r w:rsidRPr="00C30976">
        <w:t> :</w:t>
      </w:r>
      <w:r w:rsidRPr="00C30976">
        <w:rPr>
          <w:lang w:eastAsia="fr-FR" w:bidi="fr-FR"/>
        </w:rPr>
        <w:t xml:space="preserve"> ces menaces sont perçues comme cr</w:t>
      </w:r>
      <w:r w:rsidRPr="00C30976">
        <w:rPr>
          <w:lang w:eastAsia="fr-FR" w:bidi="fr-FR"/>
        </w:rPr>
        <w:t>i</w:t>
      </w:r>
      <w:r w:rsidRPr="00C30976">
        <w:rPr>
          <w:lang w:eastAsia="fr-FR" w:bidi="fr-FR"/>
        </w:rPr>
        <w:t>tiques par une proportion bien supérieure du public que des élites (la différence allant de 24 à 40 points). Depuis la fin de la guerre froide, les p</w:t>
      </w:r>
      <w:r w:rsidRPr="00C30976">
        <w:rPr>
          <w:lang w:eastAsia="fr-FR" w:bidi="fr-FR"/>
        </w:rPr>
        <w:t>o</w:t>
      </w:r>
      <w:r w:rsidRPr="00C30976">
        <w:rPr>
          <w:lang w:eastAsia="fr-FR" w:bidi="fr-FR"/>
        </w:rPr>
        <w:t>litiques internationales ayant pour objet de protéger l’Amérique de ces menaces (tels la réduction de l’immigration, la lutte contre la drogue, le renforcement des barrières douanières, la lutte contre le te</w:t>
      </w:r>
      <w:r w:rsidRPr="00C30976">
        <w:rPr>
          <w:lang w:eastAsia="fr-FR" w:bidi="fr-FR"/>
        </w:rPr>
        <w:t>r</w:t>
      </w:r>
      <w:r w:rsidRPr="00C30976">
        <w:rPr>
          <w:lang w:eastAsia="fr-FR" w:bidi="fr-FR"/>
        </w:rPr>
        <w:t>rorisme) font l’objet de perceptions de plus en plus divergentes par le public et les élites, le public les soutenant massivement et les élites apparaissant plus partagées - sauf, on s’en doute, sur la question du terrorisme. Pour les</w:t>
      </w:r>
      <w:r>
        <w:t xml:space="preserve"> [296] </w:t>
      </w:r>
      <w:r w:rsidRPr="00C30976">
        <w:rPr>
          <w:lang w:eastAsia="fr-FR" w:bidi="fr-FR"/>
        </w:rPr>
        <w:t>autres différences entre le grand public et les élites, les choses sont floues</w:t>
      </w:r>
      <w:r w:rsidRPr="00C30976">
        <w:t> :</w:t>
      </w:r>
      <w:r w:rsidRPr="00C30976">
        <w:rPr>
          <w:lang w:eastAsia="fr-FR" w:bidi="fr-FR"/>
        </w:rPr>
        <w:t xml:space="preserve"> le premier groupe semble plus host</w:t>
      </w:r>
      <w:r w:rsidRPr="00C30976">
        <w:rPr>
          <w:lang w:eastAsia="fr-FR" w:bidi="fr-FR"/>
        </w:rPr>
        <w:t>i</w:t>
      </w:r>
      <w:r w:rsidRPr="00C30976">
        <w:rPr>
          <w:lang w:eastAsia="fr-FR" w:bidi="fr-FR"/>
        </w:rPr>
        <w:t>le à l’aide au développ</w:t>
      </w:r>
      <w:r w:rsidRPr="00C30976">
        <w:rPr>
          <w:lang w:eastAsia="fr-FR" w:bidi="fr-FR"/>
        </w:rPr>
        <w:t>e</w:t>
      </w:r>
      <w:r w:rsidRPr="00C30976">
        <w:rPr>
          <w:lang w:eastAsia="fr-FR" w:bidi="fr-FR"/>
        </w:rPr>
        <w:t>ment, mais Kull et Destler ont démontré, nous l’avons vu, que les erreurs de perception (que ne corrige pas le Chic</w:t>
      </w:r>
      <w:r w:rsidRPr="00C30976">
        <w:rPr>
          <w:lang w:eastAsia="fr-FR" w:bidi="fr-FR"/>
        </w:rPr>
        <w:t>a</w:t>
      </w:r>
      <w:r w:rsidRPr="00C30976">
        <w:rPr>
          <w:lang w:eastAsia="fr-FR" w:bidi="fr-FR"/>
        </w:rPr>
        <w:t>go Council on Foreign Relations dans ses enquêtes) jouaient un rôle décisif</w:t>
      </w:r>
      <w:r>
        <w:rPr>
          <w:lang w:eastAsia="fr-FR" w:bidi="fr-FR"/>
        </w:rPr>
        <w:t> </w:t>
      </w:r>
      <w:r>
        <w:rPr>
          <w:rStyle w:val="Appelnotedebasdep"/>
          <w:lang w:eastAsia="fr-FR" w:bidi="fr-FR"/>
        </w:rPr>
        <w:footnoteReference w:id="592"/>
      </w:r>
      <w:r w:rsidRPr="00C30976">
        <w:rPr>
          <w:lang w:eastAsia="fr-FR" w:bidi="fr-FR"/>
        </w:rPr>
        <w:t>. Le grand p</w:t>
      </w:r>
      <w:r w:rsidRPr="00C30976">
        <w:rPr>
          <w:lang w:eastAsia="fr-FR" w:bidi="fr-FR"/>
        </w:rPr>
        <w:t>u</w:t>
      </w:r>
      <w:r w:rsidRPr="00C30976">
        <w:rPr>
          <w:lang w:eastAsia="fr-FR" w:bidi="fr-FR"/>
        </w:rPr>
        <w:t>blic est également moins enclin à envoyer des troupes sur des théâtres extérieurs. Par exemple, en 2002, seuls 36</w:t>
      </w:r>
      <w:r>
        <w:rPr>
          <w:lang w:eastAsia="fr-FR" w:bidi="fr-FR"/>
        </w:rPr>
        <w:t>%</w:t>
      </w:r>
      <w:r w:rsidRPr="00C30976">
        <w:rPr>
          <w:lang w:eastAsia="fr-FR" w:bidi="fr-FR"/>
        </w:rPr>
        <w:t xml:space="preserve"> des Américains soutiennent l’emploi des fo</w:t>
      </w:r>
      <w:r w:rsidRPr="00C30976">
        <w:rPr>
          <w:lang w:eastAsia="fr-FR" w:bidi="fr-FR"/>
        </w:rPr>
        <w:t>r</w:t>
      </w:r>
      <w:r w:rsidRPr="00C30976">
        <w:rPr>
          <w:lang w:eastAsia="fr-FR" w:bidi="fr-FR"/>
        </w:rPr>
        <w:t>ces armées en cas d’invasion de la Corée du Sud par la Corée du Nord, contre 80</w:t>
      </w:r>
      <w:r>
        <w:rPr>
          <w:lang w:eastAsia="fr-FR" w:bidi="fr-FR"/>
        </w:rPr>
        <w:t>%</w:t>
      </w:r>
      <w:r w:rsidRPr="00C30976">
        <w:rPr>
          <w:lang w:eastAsia="fr-FR" w:bidi="fr-FR"/>
        </w:rPr>
        <w:t xml:space="preserve"> des élites</w:t>
      </w:r>
      <w:r>
        <w:rPr>
          <w:lang w:eastAsia="fr-FR" w:bidi="fr-FR"/>
        </w:rPr>
        <w:t> </w:t>
      </w:r>
      <w:r>
        <w:rPr>
          <w:rStyle w:val="Appelnotedebasdep"/>
          <w:lang w:eastAsia="fr-FR" w:bidi="fr-FR"/>
        </w:rPr>
        <w:footnoteReference w:id="593"/>
      </w:r>
      <w:r w:rsidRPr="00C30976">
        <w:t> ;</w:t>
      </w:r>
      <w:r w:rsidRPr="00C30976">
        <w:rPr>
          <w:lang w:eastAsia="fr-FR" w:bidi="fr-FR"/>
        </w:rPr>
        <w:t xml:space="preserve"> mais en cas de guerre r</w:t>
      </w:r>
      <w:r w:rsidRPr="00C30976">
        <w:rPr>
          <w:lang w:eastAsia="fr-FR" w:bidi="fr-FR"/>
        </w:rPr>
        <w:t>é</w:t>
      </w:r>
      <w:r w:rsidRPr="00C30976">
        <w:rPr>
          <w:lang w:eastAsia="fr-FR" w:bidi="fr-FR"/>
        </w:rPr>
        <w:t>elle, nul doute que l’effet d’union sacrée jouerait à plein, comme — à des d</w:t>
      </w:r>
      <w:r w:rsidRPr="00C30976">
        <w:rPr>
          <w:lang w:eastAsia="fr-FR" w:bidi="fr-FR"/>
        </w:rPr>
        <w:t>e</w:t>
      </w:r>
      <w:r w:rsidRPr="00C30976">
        <w:rPr>
          <w:lang w:eastAsia="fr-FR" w:bidi="fr-FR"/>
        </w:rPr>
        <w:t xml:space="preserve">grés divers </w:t>
      </w:r>
      <w:r>
        <w:rPr>
          <w:lang w:eastAsia="fr-FR" w:bidi="fr-FR"/>
        </w:rPr>
        <w:t>—</w:t>
      </w:r>
      <w:r w:rsidRPr="00C30976">
        <w:rPr>
          <w:lang w:eastAsia="fr-FR" w:bidi="fr-FR"/>
        </w:rPr>
        <w:t xml:space="preserve"> pour chaque intervention extérieure de l’Amérique. Le président dispose ainsi d’une marge de manœuvre réelle, qui e</w:t>
      </w:r>
      <w:r w:rsidRPr="00C30976">
        <w:rPr>
          <w:lang w:eastAsia="fr-FR" w:bidi="fr-FR"/>
        </w:rPr>
        <w:t>x</w:t>
      </w:r>
      <w:r w:rsidRPr="00C30976">
        <w:rPr>
          <w:lang w:eastAsia="fr-FR" w:bidi="fr-FR"/>
        </w:rPr>
        <w:t>plique que l’opinion publique soit un enjeu, un facteur qu’il est poss</w:t>
      </w:r>
      <w:r w:rsidRPr="00C30976">
        <w:rPr>
          <w:lang w:eastAsia="fr-FR" w:bidi="fr-FR"/>
        </w:rPr>
        <w:t>i</w:t>
      </w:r>
      <w:r w:rsidRPr="00C30976">
        <w:rPr>
          <w:lang w:eastAsia="fr-FR" w:bidi="fr-FR"/>
        </w:rPr>
        <w:t>ble de modifier, plutôt qu’une contrainte rigide.</w:t>
      </w:r>
    </w:p>
    <w:p w14:paraId="05C65E64" w14:textId="77777777" w:rsidR="0039793A" w:rsidRPr="00C30976" w:rsidRDefault="0039793A" w:rsidP="0039793A">
      <w:pPr>
        <w:spacing w:before="120" w:after="120"/>
        <w:jc w:val="both"/>
      </w:pPr>
      <w:r w:rsidRPr="00C30976">
        <w:rPr>
          <w:lang w:eastAsia="fr-FR" w:bidi="fr-FR"/>
        </w:rPr>
        <w:t>Ces différences se retrouvent sans surprise dans un autre clivage, reposant sur le niveau d’études, les Américains les mieux éduqués et les plus riches soutenant plus massivement l’internationalisme que leurs compatriotes moins dotés. De multiples autres clivages existent. Le premier est évidemment idé</w:t>
      </w:r>
      <w:r w:rsidRPr="00C30976">
        <w:rPr>
          <w:lang w:eastAsia="fr-FR" w:bidi="fr-FR"/>
        </w:rPr>
        <w:t>o</w:t>
      </w:r>
      <w:r w:rsidRPr="00C30976">
        <w:rPr>
          <w:lang w:eastAsia="fr-FR" w:bidi="fr-FR"/>
        </w:rPr>
        <w:t>logique et politique</w:t>
      </w:r>
      <w:r w:rsidRPr="00C30976">
        <w:t> :</w:t>
      </w:r>
      <w:r w:rsidRPr="00C30976">
        <w:rPr>
          <w:lang w:eastAsia="fr-FR" w:bidi="fr-FR"/>
        </w:rPr>
        <w:t xml:space="preserve"> conservateurs contre libéraux, césure qui recouvre en partie l’opposition républ</w:t>
      </w:r>
      <w:r w:rsidRPr="00C30976">
        <w:rPr>
          <w:lang w:eastAsia="fr-FR" w:bidi="fr-FR"/>
        </w:rPr>
        <w:t>i</w:t>
      </w:r>
      <w:r w:rsidRPr="00C30976">
        <w:rPr>
          <w:lang w:eastAsia="fr-FR" w:bidi="fr-FR"/>
        </w:rPr>
        <w:t>cains-démocrates, les premiers étant plus susceptibles d’être unilatér</w:t>
      </w:r>
      <w:r w:rsidRPr="00C30976">
        <w:rPr>
          <w:lang w:eastAsia="fr-FR" w:bidi="fr-FR"/>
        </w:rPr>
        <w:t>a</w:t>
      </w:r>
      <w:r w:rsidRPr="00C30976">
        <w:rPr>
          <w:lang w:eastAsia="fr-FR" w:bidi="fr-FR"/>
        </w:rPr>
        <w:t>listes, les seconds plus susceptibles de soutenir la coopération intern</w:t>
      </w:r>
      <w:r w:rsidRPr="00C30976">
        <w:rPr>
          <w:lang w:eastAsia="fr-FR" w:bidi="fr-FR"/>
        </w:rPr>
        <w:t>a</w:t>
      </w:r>
      <w:r w:rsidRPr="00C30976">
        <w:rPr>
          <w:lang w:eastAsia="fr-FR" w:bidi="fr-FR"/>
        </w:rPr>
        <w:t>tionale, les traités, l’aide au développement, etc. En janvier 2003, 75</w:t>
      </w:r>
      <w:r>
        <w:rPr>
          <w:lang w:eastAsia="fr-FR" w:bidi="fr-FR"/>
        </w:rPr>
        <w:t>%</w:t>
      </w:r>
      <w:r w:rsidRPr="00C30976">
        <w:rPr>
          <w:lang w:eastAsia="fr-FR" w:bidi="fr-FR"/>
        </w:rPr>
        <w:t xml:space="preserve"> des républicains soutiennent une invasion de l’Irak, contre 39</w:t>
      </w:r>
      <w:r>
        <w:rPr>
          <w:lang w:eastAsia="fr-FR" w:bidi="fr-FR"/>
        </w:rPr>
        <w:t>%</w:t>
      </w:r>
      <w:r w:rsidRPr="00C30976">
        <w:rPr>
          <w:lang w:eastAsia="fr-FR" w:bidi="fr-FR"/>
        </w:rPr>
        <w:t xml:space="preserve"> se</w:t>
      </w:r>
      <w:r w:rsidRPr="00C30976">
        <w:rPr>
          <w:lang w:eastAsia="fr-FR" w:bidi="fr-FR"/>
        </w:rPr>
        <w:t>u</w:t>
      </w:r>
      <w:r w:rsidRPr="00C30976">
        <w:rPr>
          <w:lang w:eastAsia="fr-FR" w:bidi="fr-FR"/>
        </w:rPr>
        <w:t>lement des démocrates - et 68</w:t>
      </w:r>
      <w:r>
        <w:rPr>
          <w:lang w:eastAsia="fr-FR" w:bidi="fr-FR"/>
        </w:rPr>
        <w:t>%</w:t>
      </w:r>
      <w:r w:rsidRPr="00C30976">
        <w:rPr>
          <w:lang w:eastAsia="fr-FR" w:bidi="fr-FR"/>
        </w:rPr>
        <w:t xml:space="preserve"> des conservateurs contre 36</w:t>
      </w:r>
      <w:r>
        <w:rPr>
          <w:lang w:eastAsia="fr-FR" w:bidi="fr-FR"/>
        </w:rPr>
        <w:t>%</w:t>
      </w:r>
      <w:r w:rsidRPr="00C30976">
        <w:rPr>
          <w:lang w:eastAsia="fr-FR" w:bidi="fr-FR"/>
        </w:rPr>
        <w:t xml:space="preserve"> des l</w:t>
      </w:r>
      <w:r w:rsidRPr="00C30976">
        <w:rPr>
          <w:lang w:eastAsia="fr-FR" w:bidi="fr-FR"/>
        </w:rPr>
        <w:t>i</w:t>
      </w:r>
      <w:r w:rsidRPr="00C30976">
        <w:rPr>
          <w:lang w:eastAsia="fr-FR" w:bidi="fr-FR"/>
        </w:rPr>
        <w:t>béraux</w:t>
      </w:r>
      <w:r>
        <w:rPr>
          <w:lang w:eastAsia="fr-FR" w:bidi="fr-FR"/>
        </w:rPr>
        <w:t> </w:t>
      </w:r>
      <w:r>
        <w:rPr>
          <w:rStyle w:val="Appelnotedebasdep"/>
          <w:lang w:eastAsia="fr-FR" w:bidi="fr-FR"/>
        </w:rPr>
        <w:footnoteReference w:id="594"/>
      </w:r>
      <w:r w:rsidRPr="00C30976">
        <w:rPr>
          <w:lang w:eastAsia="fr-FR" w:bidi="fr-FR"/>
        </w:rPr>
        <w:t>.</w:t>
      </w:r>
    </w:p>
    <w:p w14:paraId="261FE158" w14:textId="77777777" w:rsidR="0039793A" w:rsidRPr="00C30976" w:rsidRDefault="0039793A" w:rsidP="0039793A">
      <w:pPr>
        <w:spacing w:before="120" w:after="120"/>
        <w:jc w:val="both"/>
      </w:pPr>
      <w:r w:rsidRPr="00C30976">
        <w:rPr>
          <w:lang w:eastAsia="fr-FR" w:bidi="fr-FR"/>
        </w:rPr>
        <w:t>Les clivages jouent aussi selon le sexe, le groupe ethnique et la profession. Généralement, ces de</w:t>
      </w:r>
      <w:r w:rsidRPr="00C30976">
        <w:rPr>
          <w:lang w:eastAsia="fr-FR" w:bidi="fr-FR"/>
        </w:rPr>
        <w:t>r</w:t>
      </w:r>
      <w:r w:rsidRPr="00C30976">
        <w:rPr>
          <w:lang w:eastAsia="fr-FR" w:bidi="fr-FR"/>
        </w:rPr>
        <w:t>niers critères jouent pour certains dossiers seul</w:t>
      </w:r>
      <w:r w:rsidRPr="00C30976">
        <w:rPr>
          <w:lang w:eastAsia="fr-FR" w:bidi="fr-FR"/>
        </w:rPr>
        <w:t>e</w:t>
      </w:r>
      <w:r w:rsidRPr="00C30976">
        <w:rPr>
          <w:lang w:eastAsia="fr-FR" w:bidi="fr-FR"/>
        </w:rPr>
        <w:t>ment. Ainsi pour les différences hommes- femmes, c’est surtout sur l’emploi de la force que s’observent les divergences, qui restent modérées. En janvier 1991, peu avant l’expiration de l’ultimatum du Conseil de sécurité des Nations unies, 54</w:t>
      </w:r>
      <w:r>
        <w:rPr>
          <w:lang w:eastAsia="fr-FR" w:bidi="fr-FR"/>
        </w:rPr>
        <w:t>%</w:t>
      </w:r>
      <w:r w:rsidRPr="00C30976">
        <w:rPr>
          <w:lang w:eastAsia="fr-FR" w:bidi="fr-FR"/>
        </w:rPr>
        <w:t xml:space="preserve"> des fe</w:t>
      </w:r>
      <w:r w:rsidRPr="00C30976">
        <w:rPr>
          <w:lang w:eastAsia="fr-FR" w:bidi="fr-FR"/>
        </w:rPr>
        <w:t>m</w:t>
      </w:r>
      <w:r w:rsidRPr="00C30976">
        <w:rPr>
          <w:lang w:eastAsia="fr-FR" w:bidi="fr-FR"/>
        </w:rPr>
        <w:t xml:space="preserve">mes soutenaient l’entrée en guerre des </w:t>
      </w:r>
      <w:r>
        <w:rPr>
          <w:lang w:eastAsia="fr-FR" w:bidi="fr-FR"/>
        </w:rPr>
        <w:t>État</w:t>
      </w:r>
      <w:r w:rsidRPr="00C30976">
        <w:rPr>
          <w:lang w:eastAsia="fr-FR" w:bidi="fr-FR"/>
        </w:rPr>
        <w:t>s-Unis si l’Irak ne se ret</w:t>
      </w:r>
      <w:r w:rsidRPr="00C30976">
        <w:rPr>
          <w:lang w:eastAsia="fr-FR" w:bidi="fr-FR"/>
        </w:rPr>
        <w:t>i</w:t>
      </w:r>
      <w:r w:rsidRPr="00C30976">
        <w:rPr>
          <w:lang w:eastAsia="fr-FR" w:bidi="fr-FR"/>
        </w:rPr>
        <w:t>rait pas du Koweït, contre 73</w:t>
      </w:r>
      <w:r>
        <w:rPr>
          <w:lang w:eastAsia="fr-FR" w:bidi="fr-FR"/>
        </w:rPr>
        <w:t>%</w:t>
      </w:r>
      <w:r w:rsidRPr="00C30976">
        <w:rPr>
          <w:lang w:eastAsia="fr-FR" w:bidi="fr-FR"/>
        </w:rPr>
        <w:t xml:space="preserve"> des</w:t>
      </w:r>
      <w:r>
        <w:t xml:space="preserve"> [297] </w:t>
      </w:r>
      <w:r w:rsidRPr="00C30976">
        <w:rPr>
          <w:lang w:eastAsia="fr-FR" w:bidi="fr-FR"/>
        </w:rPr>
        <w:t>hommes</w:t>
      </w:r>
      <w:r>
        <w:rPr>
          <w:lang w:eastAsia="fr-FR" w:bidi="fr-FR"/>
        </w:rPr>
        <w:t> </w:t>
      </w:r>
      <w:r>
        <w:rPr>
          <w:rStyle w:val="Appelnotedebasdep"/>
          <w:lang w:eastAsia="fr-FR" w:bidi="fr-FR"/>
        </w:rPr>
        <w:footnoteReference w:id="595"/>
      </w:r>
      <w:r w:rsidRPr="00C30976">
        <w:rPr>
          <w:lang w:eastAsia="fr-FR" w:bidi="fr-FR"/>
        </w:rPr>
        <w:t>. De la même façon, en janvier 2003, 51</w:t>
      </w:r>
      <w:r>
        <w:rPr>
          <w:lang w:eastAsia="fr-FR" w:bidi="fr-FR"/>
        </w:rPr>
        <w:t>%</w:t>
      </w:r>
      <w:r w:rsidRPr="00C30976">
        <w:rPr>
          <w:lang w:eastAsia="fr-FR" w:bidi="fr-FR"/>
        </w:rPr>
        <w:t xml:space="preserve"> des fe</w:t>
      </w:r>
      <w:r w:rsidRPr="00C30976">
        <w:rPr>
          <w:lang w:eastAsia="fr-FR" w:bidi="fr-FR"/>
        </w:rPr>
        <w:t>m</w:t>
      </w:r>
      <w:r w:rsidRPr="00C30976">
        <w:rPr>
          <w:lang w:eastAsia="fr-FR" w:bidi="fr-FR"/>
        </w:rPr>
        <w:t>mes soutenaient une invasion de l’Irak, contre 59</w:t>
      </w:r>
      <w:r>
        <w:rPr>
          <w:lang w:eastAsia="fr-FR" w:bidi="fr-FR"/>
        </w:rPr>
        <w:t>%</w:t>
      </w:r>
      <w:r w:rsidRPr="00C30976">
        <w:rPr>
          <w:lang w:eastAsia="fr-FR" w:bidi="fr-FR"/>
        </w:rPr>
        <w:t xml:space="preserve"> des hommes</w:t>
      </w:r>
      <w:r>
        <w:rPr>
          <w:lang w:eastAsia="fr-FR" w:bidi="fr-FR"/>
        </w:rPr>
        <w:t> </w:t>
      </w:r>
      <w:r>
        <w:rPr>
          <w:rStyle w:val="Appelnotedebasdep"/>
          <w:lang w:eastAsia="fr-FR" w:bidi="fr-FR"/>
        </w:rPr>
        <w:footnoteReference w:id="596"/>
      </w:r>
      <w:r w:rsidRPr="00C30976">
        <w:rPr>
          <w:lang w:eastAsia="fr-FR" w:bidi="fr-FR"/>
        </w:rPr>
        <w:t>.</w:t>
      </w:r>
    </w:p>
    <w:p w14:paraId="3014BD98" w14:textId="77777777" w:rsidR="0039793A" w:rsidRPr="00C30976" w:rsidRDefault="0039793A" w:rsidP="0039793A">
      <w:pPr>
        <w:spacing w:before="120" w:after="120"/>
        <w:jc w:val="both"/>
      </w:pPr>
      <w:r w:rsidRPr="00C30976">
        <w:rPr>
          <w:lang w:eastAsia="fr-FR" w:bidi="fr-FR"/>
        </w:rPr>
        <w:t>Sur le même dossier, les différences entre gro</w:t>
      </w:r>
      <w:r w:rsidRPr="00C30976">
        <w:rPr>
          <w:lang w:eastAsia="fr-FR" w:bidi="fr-FR"/>
        </w:rPr>
        <w:t>u</w:t>
      </w:r>
      <w:r w:rsidRPr="00C30976">
        <w:rPr>
          <w:lang w:eastAsia="fr-FR" w:bidi="fr-FR"/>
        </w:rPr>
        <w:t>pes ethniques font apparaître certaines divergences nettes</w:t>
      </w:r>
      <w:r w:rsidRPr="00C30976">
        <w:t> :</w:t>
      </w:r>
      <w:r w:rsidRPr="00C30976">
        <w:rPr>
          <w:lang w:eastAsia="fr-FR" w:bidi="fr-FR"/>
        </w:rPr>
        <w:t xml:space="preserve"> les Blancs et les Hispaniques soutiennent l’invasion à 58 et 60</w:t>
      </w:r>
      <w:r>
        <w:rPr>
          <w:lang w:eastAsia="fr-FR" w:bidi="fr-FR"/>
        </w:rPr>
        <w:t>%</w:t>
      </w:r>
      <w:r w:rsidRPr="00C30976">
        <w:rPr>
          <w:lang w:eastAsia="fr-FR" w:bidi="fr-FR"/>
        </w:rPr>
        <w:t>, tandis que les Africains-Américains la rejettent à 56</w:t>
      </w:r>
      <w:r>
        <w:rPr>
          <w:lang w:eastAsia="fr-FR" w:bidi="fr-FR"/>
        </w:rPr>
        <w:t>% </w:t>
      </w:r>
      <w:r>
        <w:rPr>
          <w:rStyle w:val="Appelnotedebasdep"/>
          <w:lang w:eastAsia="fr-FR" w:bidi="fr-FR"/>
        </w:rPr>
        <w:footnoteReference w:id="597"/>
      </w:r>
      <w:r w:rsidRPr="00C30976">
        <w:rPr>
          <w:lang w:eastAsia="fr-FR" w:bidi="fr-FR"/>
        </w:rPr>
        <w:t>. Ces clivages ethniques sont plus pr</w:t>
      </w:r>
      <w:r w:rsidRPr="00C30976">
        <w:rPr>
          <w:lang w:eastAsia="fr-FR" w:bidi="fr-FR"/>
        </w:rPr>
        <w:t>o</w:t>
      </w:r>
      <w:r w:rsidRPr="00C30976">
        <w:rPr>
          <w:lang w:eastAsia="fr-FR" w:bidi="fr-FR"/>
        </w:rPr>
        <w:t>noncés, bien sûr, lorsque les dossiers en cause intéressent la région d’origine des groupes ethniques</w:t>
      </w:r>
      <w:r w:rsidRPr="00C30976">
        <w:t> :</w:t>
      </w:r>
      <w:r w:rsidRPr="00C30976">
        <w:rPr>
          <w:lang w:eastAsia="fr-FR" w:bidi="fr-FR"/>
        </w:rPr>
        <w:t xml:space="preserve"> ainsi en est-il de l’expansion de </w:t>
      </w:r>
      <w:r w:rsidRPr="00C30976">
        <w:t xml:space="preserve">l’OTAN </w:t>
      </w:r>
      <w:r w:rsidRPr="00C30976">
        <w:rPr>
          <w:lang w:eastAsia="fr-FR" w:bidi="fr-FR"/>
        </w:rPr>
        <w:t>pour les Polonais-Américains, de la que</w:t>
      </w:r>
      <w:r w:rsidRPr="00C30976">
        <w:rPr>
          <w:lang w:eastAsia="fr-FR" w:bidi="fr-FR"/>
        </w:rPr>
        <w:t>s</w:t>
      </w:r>
      <w:r w:rsidRPr="00C30976">
        <w:rPr>
          <w:lang w:eastAsia="fr-FR" w:bidi="fr-FR"/>
        </w:rPr>
        <w:t>tion du Haut-Karabakh pour les Arméniens-Américains, de l’Afrique du Sud et d’Haïti pour les Africains-Américains. Toutefois, si chaque groupe va développer un intérêt commun prononcé pour ces dossiers, à l’interne, les positions ne sont pas forcément convergentes. En témoignent les clivages sociaux dans la communauté cubaine-américaine autour de l’embargo contre l’île (les plus anciens immigrants, souvent riches, le soutiennent</w:t>
      </w:r>
      <w:r w:rsidRPr="00C30976">
        <w:t> ;</w:t>
      </w:r>
      <w:r w:rsidRPr="00C30976">
        <w:rPr>
          <w:lang w:eastAsia="fr-FR" w:bidi="fr-FR"/>
        </w:rPr>
        <w:t xml:space="preserve"> les i</w:t>
      </w:r>
      <w:r w:rsidRPr="00C30976">
        <w:rPr>
          <w:lang w:eastAsia="fr-FR" w:bidi="fr-FR"/>
        </w:rPr>
        <w:t>m</w:t>
      </w:r>
      <w:r w:rsidRPr="00C30976">
        <w:rPr>
          <w:lang w:eastAsia="fr-FR" w:bidi="fr-FR"/>
        </w:rPr>
        <w:t>migrants récents, qui ont encore des liens forts avec Cuba, le contestent), ou encore les clivages religieux et idéolog</w:t>
      </w:r>
      <w:r w:rsidRPr="00C30976">
        <w:rPr>
          <w:lang w:eastAsia="fr-FR" w:bidi="fr-FR"/>
        </w:rPr>
        <w:t>i</w:t>
      </w:r>
      <w:r w:rsidRPr="00C30976">
        <w:rPr>
          <w:lang w:eastAsia="fr-FR" w:bidi="fr-FR"/>
        </w:rPr>
        <w:t>ques dans la communauté juive-américaine autour de la politique d’implantation des colonies juives.</w:t>
      </w:r>
    </w:p>
    <w:p w14:paraId="26BA34C8" w14:textId="77777777" w:rsidR="0039793A" w:rsidRPr="00C30976" w:rsidRDefault="0039793A" w:rsidP="0039793A">
      <w:pPr>
        <w:spacing w:before="120" w:after="120"/>
        <w:jc w:val="both"/>
      </w:pPr>
      <w:r w:rsidRPr="00C30976">
        <w:rPr>
          <w:lang w:eastAsia="fr-FR" w:bidi="fr-FR"/>
        </w:rPr>
        <w:t>Enfin la profession, ou plus précisément le type d’emploi, déterm</w:t>
      </w:r>
      <w:r w:rsidRPr="00C30976">
        <w:rPr>
          <w:lang w:eastAsia="fr-FR" w:bidi="fr-FR"/>
        </w:rPr>
        <w:t>i</w:t>
      </w:r>
      <w:r w:rsidRPr="00C30976">
        <w:rPr>
          <w:lang w:eastAsia="fr-FR" w:bidi="fr-FR"/>
        </w:rPr>
        <w:t>ne bien souvent l’attitude vis-à-vis du libre-échange</w:t>
      </w:r>
      <w:r w:rsidRPr="00C30976">
        <w:t> :</w:t>
      </w:r>
      <w:r w:rsidRPr="00C30976">
        <w:rPr>
          <w:lang w:eastAsia="fr-FR" w:bidi="fr-FR"/>
        </w:rPr>
        <w:t xml:space="preserve"> les cols bleus sont bien plus méfiants des politiques commerciales libérales et de la mondialisation en général que les cols blancs. L’attitude des Amér</w:t>
      </w:r>
      <w:r w:rsidRPr="00C30976">
        <w:rPr>
          <w:lang w:eastAsia="fr-FR" w:bidi="fr-FR"/>
        </w:rPr>
        <w:t>i</w:t>
      </w:r>
      <w:r w:rsidRPr="00C30976">
        <w:rPr>
          <w:lang w:eastAsia="fr-FR" w:bidi="fr-FR"/>
        </w:rPr>
        <w:t>cains vis-à-vis de la mondialisation est en effet contrastée</w:t>
      </w:r>
      <w:r w:rsidRPr="00C30976">
        <w:t> :</w:t>
      </w:r>
      <w:r w:rsidRPr="00C30976">
        <w:rPr>
          <w:lang w:eastAsia="fr-FR" w:bidi="fr-FR"/>
        </w:rPr>
        <w:t xml:space="preserve"> on a so</w:t>
      </w:r>
      <w:r w:rsidRPr="00C30976">
        <w:rPr>
          <w:lang w:eastAsia="fr-FR" w:bidi="fr-FR"/>
        </w:rPr>
        <w:t>u</w:t>
      </w:r>
      <w:r w:rsidRPr="00C30976">
        <w:rPr>
          <w:lang w:eastAsia="fr-FR" w:bidi="fr-FR"/>
        </w:rPr>
        <w:t>vent voulu interpréter comme un autre signe d’isolationnisme les te</w:t>
      </w:r>
      <w:r w:rsidRPr="00C30976">
        <w:rPr>
          <w:lang w:eastAsia="fr-FR" w:bidi="fr-FR"/>
        </w:rPr>
        <w:t>n</w:t>
      </w:r>
      <w:r w:rsidRPr="00C30976">
        <w:rPr>
          <w:lang w:eastAsia="fr-FR" w:bidi="fr-FR"/>
        </w:rPr>
        <w:t>dances protectionnistes qui se sont exprimées notamment au début de la décennie 1990 puis en 2002. En fait, si le protectionnisme a bien acco</w:t>
      </w:r>
      <w:r w:rsidRPr="00C30976">
        <w:rPr>
          <w:lang w:eastAsia="fr-FR" w:bidi="fr-FR"/>
        </w:rPr>
        <w:t>m</w:t>
      </w:r>
      <w:r w:rsidRPr="00C30976">
        <w:rPr>
          <w:lang w:eastAsia="fr-FR" w:bidi="fr-FR"/>
        </w:rPr>
        <w:t>pagné la politique isolationniste de l’entre-deux-guerres (avec comme point d’orgue le tarif Smoot-Hawley de 1930, qui fait remo</w:t>
      </w:r>
      <w:r w:rsidRPr="00C30976">
        <w:rPr>
          <w:lang w:eastAsia="fr-FR" w:bidi="fr-FR"/>
        </w:rPr>
        <w:t>n</w:t>
      </w:r>
      <w:r w:rsidRPr="00C30976">
        <w:rPr>
          <w:lang w:eastAsia="fr-FR" w:bidi="fr-FR"/>
        </w:rPr>
        <w:t>ter subitement les droits de douanes), l’isolationnisme au sens strict a un sens politique et non commercial. D’ailleurs les tendances amér</w:t>
      </w:r>
      <w:r w:rsidRPr="00C30976">
        <w:rPr>
          <w:lang w:eastAsia="fr-FR" w:bidi="fr-FR"/>
        </w:rPr>
        <w:t>i</w:t>
      </w:r>
      <w:r w:rsidRPr="00C30976">
        <w:rPr>
          <w:lang w:eastAsia="fr-FR" w:bidi="fr-FR"/>
        </w:rPr>
        <w:t>caines à l’unilat</w:t>
      </w:r>
      <w:r>
        <w:rPr>
          <w:lang w:eastAsia="fr-FR" w:bidi="fr-FR"/>
        </w:rPr>
        <w:t>éralisme et à une politique com</w:t>
      </w:r>
      <w:r w:rsidRPr="00C30976">
        <w:rPr>
          <w:lang w:eastAsia="fr-FR" w:bidi="fr-FR"/>
        </w:rPr>
        <w:t>merciale</w:t>
      </w:r>
      <w:r>
        <w:t xml:space="preserve"> [298]</w:t>
      </w:r>
      <w:r w:rsidRPr="00C30976">
        <w:rPr>
          <w:lang w:eastAsia="fr-FR" w:bidi="fr-FR"/>
        </w:rPr>
        <w:t xml:space="preserve"> agress</w:t>
      </w:r>
      <w:r w:rsidRPr="00C30976">
        <w:rPr>
          <w:lang w:eastAsia="fr-FR" w:bidi="fr-FR"/>
        </w:rPr>
        <w:t>i</w:t>
      </w:r>
      <w:r w:rsidRPr="00C30976">
        <w:rPr>
          <w:lang w:eastAsia="fr-FR" w:bidi="fr-FR"/>
        </w:rPr>
        <w:t xml:space="preserve">ve remontent aux années </w:t>
      </w:r>
      <w:r w:rsidRPr="00C30976">
        <w:t xml:space="preserve">1970 ; </w:t>
      </w:r>
      <w:r w:rsidRPr="00C30976">
        <w:rPr>
          <w:lang w:eastAsia="fr-FR" w:bidi="fr-FR"/>
        </w:rPr>
        <w:t>elles se sont tro</w:t>
      </w:r>
      <w:r w:rsidRPr="00C30976">
        <w:rPr>
          <w:lang w:eastAsia="fr-FR" w:bidi="fr-FR"/>
        </w:rPr>
        <w:t>u</w:t>
      </w:r>
      <w:r w:rsidRPr="00C30976">
        <w:rPr>
          <w:lang w:eastAsia="fr-FR" w:bidi="fr-FR"/>
        </w:rPr>
        <w:t>vées stimulées par le reflux des contraintes stratégiques suite à la ch</w:t>
      </w:r>
      <w:r w:rsidRPr="00C30976">
        <w:rPr>
          <w:lang w:eastAsia="fr-FR" w:bidi="fr-FR"/>
        </w:rPr>
        <w:t>u</w:t>
      </w:r>
      <w:r w:rsidRPr="00C30976">
        <w:rPr>
          <w:lang w:eastAsia="fr-FR" w:bidi="fr-FR"/>
        </w:rPr>
        <w:t>te de l’URSS et par les difficultés économiques des années 1989-1993, notamment la détéri</w:t>
      </w:r>
      <w:r w:rsidRPr="00C30976">
        <w:rPr>
          <w:lang w:eastAsia="fr-FR" w:bidi="fr-FR"/>
        </w:rPr>
        <w:t>o</w:t>
      </w:r>
      <w:r w:rsidRPr="00C30976">
        <w:rPr>
          <w:lang w:eastAsia="fr-FR" w:bidi="fr-FR"/>
        </w:rPr>
        <w:t>ration de la balance commerciale.</w:t>
      </w:r>
    </w:p>
    <w:p w14:paraId="508797D9" w14:textId="77777777" w:rsidR="0039793A" w:rsidRPr="00C30976" w:rsidRDefault="0039793A" w:rsidP="0039793A">
      <w:pPr>
        <w:spacing w:before="120" w:after="120"/>
        <w:jc w:val="both"/>
      </w:pPr>
      <w:r w:rsidRPr="00C30976">
        <w:rPr>
          <w:lang w:eastAsia="fr-FR" w:bidi="fr-FR"/>
        </w:rPr>
        <w:t>Au sujet de la mondialisation, le public américain est en fait part</w:t>
      </w:r>
      <w:r w:rsidRPr="00C30976">
        <w:rPr>
          <w:lang w:eastAsia="fr-FR" w:bidi="fr-FR"/>
        </w:rPr>
        <w:t>a</w:t>
      </w:r>
      <w:r w:rsidRPr="00C30976">
        <w:rPr>
          <w:lang w:eastAsia="fr-FR" w:bidi="fr-FR"/>
        </w:rPr>
        <w:t>gé. En 2002, 36</w:t>
      </w:r>
      <w:r>
        <w:rPr>
          <w:lang w:eastAsia="fr-FR" w:bidi="fr-FR"/>
        </w:rPr>
        <w:t>%</w:t>
      </w:r>
      <w:r w:rsidRPr="00C30976">
        <w:rPr>
          <w:lang w:eastAsia="fr-FR" w:bidi="fr-FR"/>
        </w:rPr>
        <w:t xml:space="preserve"> jugent le phénomène plutôt bon pour les États-Unis, 27</w:t>
      </w:r>
      <w:r>
        <w:rPr>
          <w:lang w:eastAsia="fr-FR" w:bidi="fr-FR"/>
        </w:rPr>
        <w:t>%</w:t>
      </w:r>
      <w:r w:rsidRPr="00C30976">
        <w:rPr>
          <w:lang w:eastAsia="fr-FR" w:bidi="fr-FR"/>
        </w:rPr>
        <w:t xml:space="preserve"> plutôt mauvais, 8</w:t>
      </w:r>
      <w:r>
        <w:rPr>
          <w:lang w:eastAsia="fr-FR" w:bidi="fr-FR"/>
        </w:rPr>
        <w:t>%</w:t>
      </w:r>
      <w:r w:rsidRPr="00C30976">
        <w:rPr>
          <w:lang w:eastAsia="fr-FR" w:bidi="fr-FR"/>
        </w:rPr>
        <w:t xml:space="preserve"> le jugent aussi bon que ma</w:t>
      </w:r>
      <w:r w:rsidRPr="00C30976">
        <w:rPr>
          <w:lang w:eastAsia="fr-FR" w:bidi="fr-FR"/>
        </w:rPr>
        <w:t>u</w:t>
      </w:r>
      <w:r w:rsidRPr="00C30976">
        <w:rPr>
          <w:lang w:eastAsia="fr-FR" w:bidi="fr-FR"/>
        </w:rPr>
        <w:t>vais et 9</w:t>
      </w:r>
      <w:r>
        <w:rPr>
          <w:lang w:eastAsia="fr-FR" w:bidi="fr-FR"/>
        </w:rPr>
        <w:t>%</w:t>
      </w:r>
      <w:r w:rsidRPr="00C30976">
        <w:rPr>
          <w:lang w:eastAsia="fr-FR" w:bidi="fr-FR"/>
        </w:rPr>
        <w:t xml:space="preserve"> n’ont pas d’avis</w:t>
      </w:r>
      <w:r>
        <w:rPr>
          <w:lang w:eastAsia="fr-FR" w:bidi="fr-FR"/>
        </w:rPr>
        <w:t> </w:t>
      </w:r>
      <w:r>
        <w:rPr>
          <w:rStyle w:val="Appelnotedebasdep"/>
          <w:lang w:eastAsia="fr-FR" w:bidi="fr-FR"/>
        </w:rPr>
        <w:footnoteReference w:id="598"/>
      </w:r>
      <w:r w:rsidRPr="00C30976">
        <w:rPr>
          <w:lang w:eastAsia="fr-FR" w:bidi="fr-FR"/>
        </w:rPr>
        <w:t>. En revanche, pour ce qui est de la libéralisation des échanges, les peurs ont globalement diminué</w:t>
      </w:r>
      <w:r w:rsidRPr="00C30976">
        <w:t> :</w:t>
      </w:r>
      <w:r w:rsidRPr="00C30976">
        <w:rPr>
          <w:lang w:eastAsia="fr-FR" w:bidi="fr-FR"/>
        </w:rPr>
        <w:t xml:space="preserve"> toujours supérieur à 53</w:t>
      </w:r>
      <w:r>
        <w:rPr>
          <w:lang w:eastAsia="fr-FR" w:bidi="fr-FR"/>
        </w:rPr>
        <w:t>%</w:t>
      </w:r>
      <w:r w:rsidRPr="00C30976">
        <w:rPr>
          <w:lang w:eastAsia="fr-FR" w:bidi="fr-FR"/>
        </w:rPr>
        <w:t xml:space="preserve"> jusqu’en 1990, le soutien à une hausse des tarifs douaniers (c’est-à-dire au protectionnisme) est tombé à 48</w:t>
      </w:r>
      <w:r>
        <w:rPr>
          <w:lang w:eastAsia="fr-FR" w:bidi="fr-FR"/>
        </w:rPr>
        <w:t>%</w:t>
      </w:r>
      <w:r w:rsidRPr="00C30976">
        <w:rPr>
          <w:lang w:eastAsia="fr-FR" w:bidi="fr-FR"/>
        </w:rPr>
        <w:t xml:space="preserve"> en 1994 et resté à ce n</w:t>
      </w:r>
      <w:r w:rsidRPr="00C30976">
        <w:rPr>
          <w:lang w:eastAsia="fr-FR" w:bidi="fr-FR"/>
        </w:rPr>
        <w:t>i</w:t>
      </w:r>
      <w:r w:rsidRPr="00C30976">
        <w:rPr>
          <w:lang w:eastAsia="fr-FR" w:bidi="fr-FR"/>
        </w:rPr>
        <w:t>veau depuis. Surtout, la peur d’une concurrence économique a nett</w:t>
      </w:r>
      <w:r w:rsidRPr="00C30976">
        <w:rPr>
          <w:lang w:eastAsia="fr-FR" w:bidi="fr-FR"/>
        </w:rPr>
        <w:t>e</w:t>
      </w:r>
      <w:r w:rsidRPr="00C30976">
        <w:rPr>
          <w:lang w:eastAsia="fr-FR" w:bidi="fr-FR"/>
        </w:rPr>
        <w:t>ment diminué une fois la confiance revenue et à la faveur du ralenti</w:t>
      </w:r>
      <w:r w:rsidRPr="00C30976">
        <w:rPr>
          <w:lang w:eastAsia="fr-FR" w:bidi="fr-FR"/>
        </w:rPr>
        <w:t>s</w:t>
      </w:r>
      <w:r w:rsidRPr="00C30976">
        <w:rPr>
          <w:lang w:eastAsia="fr-FR" w:bidi="fr-FR"/>
        </w:rPr>
        <w:t>sement économique en Europe et au Japon</w:t>
      </w:r>
      <w:r w:rsidRPr="00C30976">
        <w:t> :</w:t>
      </w:r>
      <w:r w:rsidRPr="00C30976">
        <w:rPr>
          <w:lang w:eastAsia="fr-FR" w:bidi="fr-FR"/>
        </w:rPr>
        <w:t xml:space="preserve"> en 1994, 62</w:t>
      </w:r>
      <w:r>
        <w:rPr>
          <w:lang w:eastAsia="fr-FR" w:bidi="fr-FR"/>
        </w:rPr>
        <w:t>%</w:t>
      </w:r>
      <w:r w:rsidRPr="00C30976">
        <w:rPr>
          <w:lang w:eastAsia="fr-FR" w:bidi="fr-FR"/>
        </w:rPr>
        <w:t xml:space="preserve"> des Amér</w:t>
      </w:r>
      <w:r w:rsidRPr="00C30976">
        <w:rPr>
          <w:lang w:eastAsia="fr-FR" w:bidi="fr-FR"/>
        </w:rPr>
        <w:t>i</w:t>
      </w:r>
      <w:r w:rsidRPr="00C30976">
        <w:rPr>
          <w:lang w:eastAsia="fr-FR" w:bidi="fr-FR"/>
        </w:rPr>
        <w:t>cains voyaient la concurrence économique japonaise comme une m</w:t>
      </w:r>
      <w:r w:rsidRPr="00C30976">
        <w:rPr>
          <w:lang w:eastAsia="fr-FR" w:bidi="fr-FR"/>
        </w:rPr>
        <w:t>e</w:t>
      </w:r>
      <w:r w:rsidRPr="00C30976">
        <w:rPr>
          <w:lang w:eastAsia="fr-FR" w:bidi="fr-FR"/>
        </w:rPr>
        <w:t>nace critique pour les intérêts vitaux du pays</w:t>
      </w:r>
      <w:r w:rsidRPr="00C30976">
        <w:t> ;</w:t>
      </w:r>
      <w:r w:rsidRPr="00C30976">
        <w:rPr>
          <w:lang w:eastAsia="fr-FR" w:bidi="fr-FR"/>
        </w:rPr>
        <w:t xml:space="preserve"> en 1998, ils n’étaient plus que 45</w:t>
      </w:r>
      <w:r>
        <w:rPr>
          <w:lang w:eastAsia="fr-FR" w:bidi="fr-FR"/>
        </w:rPr>
        <w:t>%</w:t>
      </w:r>
      <w:r w:rsidRPr="00C30976">
        <w:rPr>
          <w:lang w:eastAsia="fr-FR" w:bidi="fr-FR"/>
        </w:rPr>
        <w:t>, et seulement 29</w:t>
      </w:r>
      <w:r>
        <w:rPr>
          <w:lang w:eastAsia="fr-FR" w:bidi="fr-FR"/>
        </w:rPr>
        <w:t>%</w:t>
      </w:r>
      <w:r w:rsidRPr="00C30976">
        <w:rPr>
          <w:lang w:eastAsia="fr-FR" w:bidi="fr-FR"/>
        </w:rPr>
        <w:t xml:space="preserve"> en 2002.</w:t>
      </w:r>
    </w:p>
    <w:p w14:paraId="7CD94CB3" w14:textId="77777777" w:rsidR="0039793A" w:rsidRDefault="0039793A" w:rsidP="0039793A">
      <w:pPr>
        <w:spacing w:before="120" w:after="120"/>
        <w:jc w:val="both"/>
        <w:rPr>
          <w:lang w:eastAsia="fr-FR" w:bidi="fr-FR"/>
        </w:rPr>
      </w:pPr>
    </w:p>
    <w:p w14:paraId="37606C4F" w14:textId="77777777" w:rsidR="0039793A" w:rsidRPr="004544C4" w:rsidRDefault="0039793A" w:rsidP="0039793A">
      <w:pPr>
        <w:pStyle w:val="b"/>
      </w:pPr>
      <w:r w:rsidRPr="004544C4">
        <w:rPr>
          <w:lang w:eastAsia="fr-FR" w:bidi="fr-FR"/>
        </w:rPr>
        <w:t>Les clivages spatiaux</w:t>
      </w:r>
    </w:p>
    <w:p w14:paraId="0927E127" w14:textId="77777777" w:rsidR="0039793A" w:rsidRDefault="0039793A" w:rsidP="0039793A">
      <w:pPr>
        <w:spacing w:before="120" w:after="120"/>
        <w:jc w:val="both"/>
        <w:rPr>
          <w:lang w:eastAsia="fr-FR" w:bidi="fr-FR"/>
        </w:rPr>
      </w:pPr>
    </w:p>
    <w:p w14:paraId="59F54F76" w14:textId="77777777" w:rsidR="0039793A" w:rsidRPr="00C30976" w:rsidRDefault="0039793A" w:rsidP="0039793A">
      <w:pPr>
        <w:spacing w:before="120" w:after="120"/>
        <w:jc w:val="both"/>
      </w:pPr>
      <w:r w:rsidRPr="00C30976">
        <w:rPr>
          <w:lang w:eastAsia="fr-FR" w:bidi="fr-FR"/>
        </w:rPr>
        <w:t>Si les tendances protectionnistes ont pu se faire entendre, si l’on a évoqué à plusieurs reprises la peur de la mondialisation, c’est en ra</w:t>
      </w:r>
      <w:r w:rsidRPr="00C30976">
        <w:rPr>
          <w:lang w:eastAsia="fr-FR" w:bidi="fr-FR"/>
        </w:rPr>
        <w:t>i</w:t>
      </w:r>
      <w:r w:rsidRPr="00C30976">
        <w:rPr>
          <w:lang w:eastAsia="fr-FR" w:bidi="fr-FR"/>
        </w:rPr>
        <w:t>son du poids politique des cols bleus à travers leurs syndicats</w:t>
      </w:r>
      <w:r w:rsidRPr="00C30976">
        <w:t> :</w:t>
      </w:r>
      <w:r w:rsidRPr="00C30976">
        <w:rPr>
          <w:lang w:eastAsia="fr-FR" w:bidi="fr-FR"/>
        </w:rPr>
        <w:t xml:space="preserve"> en e</w:t>
      </w:r>
      <w:r w:rsidRPr="00C30976">
        <w:rPr>
          <w:lang w:eastAsia="fr-FR" w:bidi="fr-FR"/>
        </w:rPr>
        <w:t>f</w:t>
      </w:r>
      <w:r w:rsidRPr="00C30976">
        <w:rPr>
          <w:lang w:eastAsia="fr-FR" w:bidi="fr-FR"/>
        </w:rPr>
        <w:t>fet, ils forment l’un des piliers du parti démocrate et sont particuli</w:t>
      </w:r>
      <w:r w:rsidRPr="00C30976">
        <w:rPr>
          <w:lang w:eastAsia="fr-FR" w:bidi="fr-FR"/>
        </w:rPr>
        <w:t>è</w:t>
      </w:r>
      <w:r w:rsidRPr="00C30976">
        <w:rPr>
          <w:lang w:eastAsia="fr-FR" w:bidi="fr-FR"/>
        </w:rPr>
        <w:t>rement concentrés dans ce</w:t>
      </w:r>
      <w:r w:rsidRPr="00C30976">
        <w:rPr>
          <w:lang w:eastAsia="fr-FR" w:bidi="fr-FR"/>
        </w:rPr>
        <w:t>r</w:t>
      </w:r>
      <w:r w:rsidRPr="00C30976">
        <w:rPr>
          <w:lang w:eastAsia="fr-FR" w:bidi="fr-FR"/>
        </w:rPr>
        <w:t xml:space="preserve">taines circonscriptions de la </w:t>
      </w:r>
      <w:r w:rsidRPr="004544C4">
        <w:rPr>
          <w:i/>
          <w:iCs/>
        </w:rPr>
        <w:t>Rust Belt</w:t>
      </w:r>
      <w:r w:rsidRPr="00C30976">
        <w:rPr>
          <w:lang w:eastAsia="fr-FR" w:bidi="fr-FR"/>
        </w:rPr>
        <w:t xml:space="preserve">, la région industrielle traditionnelle du Nord-Est. Ce clivage régional (dit </w:t>
      </w:r>
      <w:r w:rsidRPr="004544C4">
        <w:rPr>
          <w:i/>
          <w:iCs/>
        </w:rPr>
        <w:t>sectional</w:t>
      </w:r>
      <w:r w:rsidRPr="00C30976">
        <w:rPr>
          <w:lang w:eastAsia="fr-FR" w:bidi="fr-FR"/>
        </w:rPr>
        <w:t xml:space="preserve"> en anglais, car les </w:t>
      </w:r>
      <w:r w:rsidRPr="00C30976">
        <w:t>« </w:t>
      </w:r>
      <w:r w:rsidRPr="00C30976">
        <w:rPr>
          <w:lang w:eastAsia="fr-FR" w:bidi="fr-FR"/>
        </w:rPr>
        <w:t>sections</w:t>
      </w:r>
      <w:r w:rsidRPr="00C30976">
        <w:t> »</w:t>
      </w:r>
      <w:r w:rsidRPr="00C30976">
        <w:rPr>
          <w:lang w:eastAsia="fr-FR" w:bidi="fr-FR"/>
        </w:rPr>
        <w:t xml:space="preserve"> sont les grandes unités régi</w:t>
      </w:r>
      <w:r w:rsidRPr="00C30976">
        <w:rPr>
          <w:lang w:eastAsia="fr-FR" w:bidi="fr-FR"/>
        </w:rPr>
        <w:t>o</w:t>
      </w:r>
      <w:r w:rsidRPr="00C30976">
        <w:rPr>
          <w:lang w:eastAsia="fr-FR" w:bidi="fr-FR"/>
        </w:rPr>
        <w:t>nales des États-Unis</w:t>
      </w:r>
      <w:r w:rsidRPr="00C30976">
        <w:t> :</w:t>
      </w:r>
      <w:r w:rsidRPr="00C30976">
        <w:rPr>
          <w:lang w:eastAsia="fr-FR" w:bidi="fr-FR"/>
        </w:rPr>
        <w:t xml:space="preserve"> Nord, Sud et Ouest) apparaît en effet comme l’un des plus importants dans l’analyse de l’opinion publique amér</w:t>
      </w:r>
      <w:r w:rsidRPr="00C30976">
        <w:rPr>
          <w:lang w:eastAsia="fr-FR" w:bidi="fr-FR"/>
        </w:rPr>
        <w:t>i</w:t>
      </w:r>
      <w:r w:rsidRPr="00C30976">
        <w:rPr>
          <w:lang w:eastAsia="fr-FR" w:bidi="fr-FR"/>
        </w:rPr>
        <w:t>caine vis- à-vis des affaires étrangères. Dans le dossier du protectio</w:t>
      </w:r>
      <w:r w:rsidRPr="00C30976">
        <w:rPr>
          <w:lang w:eastAsia="fr-FR" w:bidi="fr-FR"/>
        </w:rPr>
        <w:t>n</w:t>
      </w:r>
      <w:r w:rsidRPr="00C30976">
        <w:rPr>
          <w:lang w:eastAsia="fr-FR" w:bidi="fr-FR"/>
        </w:rPr>
        <w:t xml:space="preserve">nisme, par exemple, la </w:t>
      </w:r>
      <w:r w:rsidRPr="004544C4">
        <w:rPr>
          <w:i/>
          <w:iCs/>
        </w:rPr>
        <w:t>Rust Belt</w:t>
      </w:r>
      <w:r w:rsidRPr="00C30976">
        <w:rPr>
          <w:lang w:eastAsia="fr-FR" w:bidi="fr-FR"/>
        </w:rPr>
        <w:t xml:space="preserve"> ainsi que les États fédérés produ</w:t>
      </w:r>
      <w:r w:rsidRPr="00C30976">
        <w:rPr>
          <w:lang w:eastAsia="fr-FR" w:bidi="fr-FR"/>
        </w:rPr>
        <w:t>c</w:t>
      </w:r>
      <w:r w:rsidRPr="00C30976">
        <w:rPr>
          <w:lang w:eastAsia="fr-FR" w:bidi="fr-FR"/>
        </w:rPr>
        <w:t>teurs d’acier (Pennsylvanie, Virginie-Occidentale, Ohio), ont larg</w:t>
      </w:r>
      <w:r w:rsidRPr="00C30976">
        <w:rPr>
          <w:lang w:eastAsia="fr-FR" w:bidi="fr-FR"/>
        </w:rPr>
        <w:t>e</w:t>
      </w:r>
      <w:r w:rsidRPr="00C30976">
        <w:rPr>
          <w:lang w:eastAsia="fr-FR" w:bidi="fr-FR"/>
        </w:rPr>
        <w:t>ment compté dans la multiplication des propositions de lois prote</w:t>
      </w:r>
      <w:r w:rsidRPr="00C30976">
        <w:rPr>
          <w:lang w:eastAsia="fr-FR" w:bidi="fr-FR"/>
        </w:rPr>
        <w:t>c</w:t>
      </w:r>
      <w:r w:rsidRPr="00C30976">
        <w:rPr>
          <w:lang w:eastAsia="fr-FR" w:bidi="fr-FR"/>
        </w:rPr>
        <w:t>tionnistes et dans l’adoption au printemps 2002 de m</w:t>
      </w:r>
      <w:r w:rsidRPr="00C30976">
        <w:rPr>
          <w:lang w:eastAsia="fr-FR" w:bidi="fr-FR"/>
        </w:rPr>
        <w:t>e</w:t>
      </w:r>
      <w:r w:rsidRPr="00C30976">
        <w:rPr>
          <w:lang w:eastAsia="fr-FR" w:bidi="fr-FR"/>
        </w:rPr>
        <w:t>sures telles que la hausse des taxes douanières sur l’acier. A l’inverse, le Sud (anciens États de la Confédération) et le</w:t>
      </w:r>
      <w:r>
        <w:t xml:space="preserve"> [299] </w:t>
      </w:r>
      <w:r w:rsidRPr="00C30976">
        <w:rPr>
          <w:lang w:eastAsia="fr-FR" w:bidi="fr-FR"/>
        </w:rPr>
        <w:t>grand Ouest (à partir des mont</w:t>
      </w:r>
      <w:r w:rsidRPr="00C30976">
        <w:rPr>
          <w:lang w:eastAsia="fr-FR" w:bidi="fr-FR"/>
        </w:rPr>
        <w:t>a</w:t>
      </w:r>
      <w:r w:rsidRPr="00C30976">
        <w:rPr>
          <w:lang w:eastAsia="fr-FR" w:bidi="fr-FR"/>
        </w:rPr>
        <w:t xml:space="preserve">gnes Rocheuses) sont restés plutôt libre-échangistes. Dans le </w:t>
      </w:r>
      <w:r w:rsidRPr="005B19DF">
        <w:rPr>
          <w:i/>
          <w:iCs/>
        </w:rPr>
        <w:t>Mid-West</w:t>
      </w:r>
      <w:r w:rsidRPr="00C30976">
        <w:t>,</w:t>
      </w:r>
      <w:r w:rsidRPr="00C30976">
        <w:rPr>
          <w:lang w:eastAsia="fr-FR" w:bidi="fr-FR"/>
        </w:rPr>
        <w:t xml:space="preserve"> (centre agricole du pays) une évolution historique majeure est survenue pour les plaines agricoles</w:t>
      </w:r>
      <w:r w:rsidRPr="00C30976">
        <w:t> :</w:t>
      </w:r>
      <w:r w:rsidRPr="00C30976">
        <w:rPr>
          <w:lang w:eastAsia="fr-FR" w:bidi="fr-FR"/>
        </w:rPr>
        <w:t xml:space="preserve"> la croissance de leurs export</w:t>
      </w:r>
      <w:r w:rsidRPr="00C30976">
        <w:rPr>
          <w:lang w:eastAsia="fr-FR" w:bidi="fr-FR"/>
        </w:rPr>
        <w:t>a</w:t>
      </w:r>
      <w:r w:rsidRPr="00C30976">
        <w:rPr>
          <w:lang w:eastAsia="fr-FR" w:bidi="fr-FR"/>
        </w:rPr>
        <w:t>tions au cours des dernières décennies, dont elles dépendent de plus en plus, les a converties aux vertus du libre-échange et de l’ouverture sur l’extérieur. Aussi ces régions, qui avaient été les bastions de l’isolationnisme dans les années 1920 et 1930, ont-elles sensiblement modifié leur position politique</w:t>
      </w:r>
      <w:r w:rsidRPr="00C30976">
        <w:t> :</w:t>
      </w:r>
      <w:r w:rsidRPr="00C30976">
        <w:rPr>
          <w:lang w:eastAsia="fr-FR" w:bidi="fr-FR"/>
        </w:rPr>
        <w:t xml:space="preserve"> c’est l’un des mécanismes par le</w:t>
      </w:r>
      <w:r w:rsidRPr="00C30976">
        <w:rPr>
          <w:lang w:eastAsia="fr-FR" w:bidi="fr-FR"/>
        </w:rPr>
        <w:t>s</w:t>
      </w:r>
      <w:r w:rsidRPr="00C30976">
        <w:rPr>
          <w:lang w:eastAsia="fr-FR" w:bidi="fr-FR"/>
        </w:rPr>
        <w:t>quels la mondialisation a eu un effet vis</w:t>
      </w:r>
      <w:r w:rsidRPr="00C30976">
        <w:rPr>
          <w:lang w:eastAsia="fr-FR" w:bidi="fr-FR"/>
        </w:rPr>
        <w:t>i</w:t>
      </w:r>
      <w:r w:rsidRPr="00C30976">
        <w:rPr>
          <w:lang w:eastAsia="fr-FR" w:bidi="fr-FR"/>
        </w:rPr>
        <w:t>ble sur les attitudes de l’opinion publique américaine, dans le sens d’un internationalisme a</w:t>
      </w:r>
      <w:r w:rsidRPr="00C30976">
        <w:rPr>
          <w:lang w:eastAsia="fr-FR" w:bidi="fr-FR"/>
        </w:rPr>
        <w:t>c</w:t>
      </w:r>
      <w:r w:rsidRPr="00C30976">
        <w:rPr>
          <w:lang w:eastAsia="fr-FR" w:bidi="fr-FR"/>
        </w:rPr>
        <w:t>cru.</w:t>
      </w:r>
    </w:p>
    <w:p w14:paraId="32F647D9" w14:textId="77777777" w:rsidR="0039793A" w:rsidRPr="00C30976" w:rsidRDefault="0039793A" w:rsidP="0039793A">
      <w:pPr>
        <w:spacing w:before="120" w:after="120"/>
        <w:jc w:val="both"/>
      </w:pPr>
      <w:r w:rsidRPr="00C30976">
        <w:rPr>
          <w:lang w:eastAsia="fr-FR" w:bidi="fr-FR"/>
        </w:rPr>
        <w:t>Ce lien entre intérêts économiques et attitude politique rejoint les analyses de Peter Trubowitz qui attribue en effet au commerce et à l’impact écon</w:t>
      </w:r>
      <w:r w:rsidRPr="00C30976">
        <w:rPr>
          <w:lang w:eastAsia="fr-FR" w:bidi="fr-FR"/>
        </w:rPr>
        <w:t>o</w:t>
      </w:r>
      <w:r w:rsidRPr="00C30976">
        <w:rPr>
          <w:lang w:eastAsia="fr-FR" w:bidi="fr-FR"/>
        </w:rPr>
        <w:t>mique des affaires étrangères un rôle essentiel dans l’attitude changeante des régions vis-à-vis de l’étranger</w:t>
      </w:r>
      <w:r>
        <w:rPr>
          <w:lang w:eastAsia="fr-FR" w:bidi="fr-FR"/>
        </w:rPr>
        <w:t> </w:t>
      </w:r>
      <w:r>
        <w:rPr>
          <w:rStyle w:val="Appelnotedebasdep"/>
          <w:lang w:eastAsia="fr-FR" w:bidi="fr-FR"/>
        </w:rPr>
        <w:footnoteReference w:id="599"/>
      </w:r>
      <w:r>
        <w:rPr>
          <w:lang w:eastAsia="fr-FR" w:bidi="fr-FR"/>
        </w:rPr>
        <w:t>.</w:t>
      </w:r>
      <w:r w:rsidRPr="00C30976">
        <w:rPr>
          <w:lang w:eastAsia="fr-FR" w:bidi="fr-FR"/>
        </w:rPr>
        <w:t xml:space="preserve"> Ainsi la d</w:t>
      </w:r>
      <w:r w:rsidRPr="00C30976">
        <w:rPr>
          <w:lang w:eastAsia="fr-FR" w:bidi="fr-FR"/>
        </w:rPr>
        <w:t>é</w:t>
      </w:r>
      <w:r w:rsidRPr="00C30976">
        <w:rPr>
          <w:lang w:eastAsia="fr-FR" w:bidi="fr-FR"/>
        </w:rPr>
        <w:t>cennie 1890 voit s’affronter deux camps. Le premier, impérialiste, est centré sur le Nord-Est en plein essor industriel, et voit dans l’expansion vers l’Amérique latine et le Pacifique une promesse de débouchés nouveaux</w:t>
      </w:r>
      <w:r w:rsidRPr="00C30976">
        <w:t> ;</w:t>
      </w:r>
      <w:r w:rsidRPr="00C30976">
        <w:rPr>
          <w:lang w:eastAsia="fr-FR" w:bidi="fr-FR"/>
        </w:rPr>
        <w:t xml:space="preserve"> il soutient donc une affirmation diplomatique et militaire de l’Amérique. Le second, anti-impérialiste, s’organise à pa</w:t>
      </w:r>
      <w:r w:rsidRPr="00C30976">
        <w:rPr>
          <w:lang w:eastAsia="fr-FR" w:bidi="fr-FR"/>
        </w:rPr>
        <w:t>r</w:t>
      </w:r>
      <w:r w:rsidRPr="00C30976">
        <w:rPr>
          <w:lang w:eastAsia="fr-FR" w:bidi="fr-FR"/>
        </w:rPr>
        <w:t>tir du Sud démocrate agrarien et se méfie de politiques aventureuses qui pourraient contrarier la Grande-Bretagne, laquelle constitue un débouché commercial essentiel, sans rien lui rapporter. C’est final</w:t>
      </w:r>
      <w:r w:rsidRPr="00C30976">
        <w:rPr>
          <w:lang w:eastAsia="fr-FR" w:bidi="fr-FR"/>
        </w:rPr>
        <w:t>e</w:t>
      </w:r>
      <w:r w:rsidRPr="00C30976">
        <w:rPr>
          <w:lang w:eastAsia="fr-FR" w:bidi="fr-FR"/>
        </w:rPr>
        <w:t>ment le camp impérialiste qui l’emporte jusqu’aux années 1920, m</w:t>
      </w:r>
      <w:r w:rsidRPr="00C30976">
        <w:rPr>
          <w:lang w:eastAsia="fr-FR" w:bidi="fr-FR"/>
        </w:rPr>
        <w:t>o</w:t>
      </w:r>
      <w:r w:rsidRPr="00C30976">
        <w:rPr>
          <w:lang w:eastAsia="fr-FR" w:bidi="fr-FR"/>
        </w:rPr>
        <w:t xml:space="preserve">ment où l’Ouest </w:t>
      </w:r>
      <w:r w:rsidRPr="00C30976">
        <w:t>« </w:t>
      </w:r>
      <w:r w:rsidRPr="00C30976">
        <w:rPr>
          <w:lang w:eastAsia="fr-FR" w:bidi="fr-FR"/>
        </w:rPr>
        <w:t>nationaliste</w:t>
      </w:r>
      <w:r w:rsidRPr="00C30976">
        <w:t> »</w:t>
      </w:r>
      <w:r w:rsidRPr="00C30976">
        <w:rPr>
          <w:lang w:eastAsia="fr-FR" w:bidi="fr-FR"/>
        </w:rPr>
        <w:t>, et qui dépend presque exclusiv</w:t>
      </w:r>
      <w:r w:rsidRPr="00C30976">
        <w:rPr>
          <w:lang w:eastAsia="fr-FR" w:bidi="fr-FR"/>
        </w:rPr>
        <w:t>e</w:t>
      </w:r>
      <w:r w:rsidRPr="00C30976">
        <w:rPr>
          <w:lang w:eastAsia="fr-FR" w:bidi="fr-FR"/>
        </w:rPr>
        <w:t>ment du marché national, prévaut dans les débats. La décennie 1930 marque un renversement</w:t>
      </w:r>
      <w:r w:rsidRPr="00C30976">
        <w:t> :</w:t>
      </w:r>
      <w:r w:rsidRPr="00C30976">
        <w:rPr>
          <w:lang w:eastAsia="fr-FR" w:bidi="fr-FR"/>
        </w:rPr>
        <w:t xml:space="preserve"> peu à peu, c’est l’alliance du Nord et du Sud, qui ont le plus à gagner d’une réouverture globale du co</w:t>
      </w:r>
      <w:r w:rsidRPr="00C30976">
        <w:rPr>
          <w:lang w:eastAsia="fr-FR" w:bidi="fr-FR"/>
        </w:rPr>
        <w:t>m</w:t>
      </w:r>
      <w:r w:rsidRPr="00C30976">
        <w:rPr>
          <w:lang w:eastAsia="fr-FR" w:bidi="fr-FR"/>
        </w:rPr>
        <w:t>merce et donc d’une politique étrangère internati</w:t>
      </w:r>
      <w:r w:rsidRPr="00C30976">
        <w:rPr>
          <w:lang w:eastAsia="fr-FR" w:bidi="fr-FR"/>
        </w:rPr>
        <w:t>o</w:t>
      </w:r>
      <w:r w:rsidRPr="00C30976">
        <w:rPr>
          <w:lang w:eastAsia="fr-FR" w:bidi="fr-FR"/>
        </w:rPr>
        <w:t>naliste, qui vient à bout de l’isolationnisme de l’Ouest. Cette coalition forme la base de l’internationalisme libéral des années de guerre froide. Toutefois, l’un des piliers de cette coalition disparaît progressivement</w:t>
      </w:r>
      <w:r w:rsidRPr="00C30976">
        <w:t> :</w:t>
      </w:r>
      <w:r w:rsidRPr="00C30976">
        <w:rPr>
          <w:lang w:eastAsia="fr-FR" w:bidi="fr-FR"/>
        </w:rPr>
        <w:t xml:space="preserve"> le vieilliss</w:t>
      </w:r>
      <w:r w:rsidRPr="00C30976">
        <w:rPr>
          <w:lang w:eastAsia="fr-FR" w:bidi="fr-FR"/>
        </w:rPr>
        <w:t>e</w:t>
      </w:r>
      <w:r w:rsidRPr="00C30976">
        <w:rPr>
          <w:lang w:eastAsia="fr-FR" w:bidi="fr-FR"/>
        </w:rPr>
        <w:t xml:space="preserve">ment des industries de la </w:t>
      </w:r>
      <w:r w:rsidRPr="00D90EBC">
        <w:rPr>
          <w:i/>
          <w:iCs/>
        </w:rPr>
        <w:t>Rust Belt</w:t>
      </w:r>
      <w:r w:rsidRPr="00C30976">
        <w:t xml:space="preserve"> </w:t>
      </w:r>
      <w:r w:rsidRPr="00C30976">
        <w:rPr>
          <w:lang w:eastAsia="fr-FR" w:bidi="fr-FR"/>
        </w:rPr>
        <w:t xml:space="preserve">amène cette région à contester les coûts de la </w:t>
      </w:r>
      <w:r w:rsidRPr="00D90EBC">
        <w:rPr>
          <w:i/>
          <w:iCs/>
        </w:rPr>
        <w:t>pax americana</w:t>
      </w:r>
      <w:r w:rsidRPr="00C30976">
        <w:rPr>
          <w:lang w:eastAsia="fr-FR" w:bidi="fr-FR"/>
        </w:rPr>
        <w:t>, le poids des dépenses militaires nota</w:t>
      </w:r>
      <w:r w:rsidRPr="00C30976">
        <w:rPr>
          <w:lang w:eastAsia="fr-FR" w:bidi="fr-FR"/>
        </w:rPr>
        <w:t>m</w:t>
      </w:r>
      <w:r>
        <w:rPr>
          <w:lang w:eastAsia="fr-FR" w:bidi="fr-FR"/>
        </w:rPr>
        <w:t>ment, mais aussi le libre-</w:t>
      </w:r>
      <w:r w:rsidRPr="00C30976">
        <w:rPr>
          <w:lang w:eastAsia="fr-FR" w:bidi="fr-FR"/>
        </w:rPr>
        <w:t>échangisme qui, du fait de sa perte de co</w:t>
      </w:r>
      <w:r w:rsidRPr="00C30976">
        <w:rPr>
          <w:lang w:eastAsia="fr-FR" w:bidi="fr-FR"/>
        </w:rPr>
        <w:t>m</w:t>
      </w:r>
      <w:r>
        <w:rPr>
          <w:lang w:eastAsia="fr-FR" w:bidi="fr-FR"/>
        </w:rPr>
        <w:t>pétitivité, lui est à</w:t>
      </w:r>
      <w:r>
        <w:t xml:space="preserve"> [300] </w:t>
      </w:r>
      <w:r w:rsidRPr="00C30976">
        <w:rPr>
          <w:lang w:eastAsia="fr-FR" w:bidi="fr-FR"/>
        </w:rPr>
        <w:t>présent défavorable. À l’inverse, c’est une coal</w:t>
      </w:r>
      <w:r w:rsidRPr="00C30976">
        <w:rPr>
          <w:lang w:eastAsia="fr-FR" w:bidi="fr-FR"/>
        </w:rPr>
        <w:t>i</w:t>
      </w:r>
      <w:r w:rsidRPr="00C30976">
        <w:rPr>
          <w:lang w:eastAsia="fr-FR" w:bidi="fr-FR"/>
        </w:rPr>
        <w:t>tion entre le Sud et l’Ouest (dont les exportations de produits agricoles sont devenues essentielles), rassemblant les États nouvell</w:t>
      </w:r>
      <w:r w:rsidRPr="00C30976">
        <w:rPr>
          <w:lang w:eastAsia="fr-FR" w:bidi="fr-FR"/>
        </w:rPr>
        <w:t>e</w:t>
      </w:r>
      <w:r w:rsidRPr="00C30976">
        <w:rPr>
          <w:lang w:eastAsia="fr-FR" w:bidi="fr-FR"/>
        </w:rPr>
        <w:t>ment industrialisés et qui profitent le plus des dépenses militaires, qui soutient l’internationalisme et la libéralisation du commerce. La pol</w:t>
      </w:r>
      <w:r w:rsidRPr="00C30976">
        <w:rPr>
          <w:lang w:eastAsia="fr-FR" w:bidi="fr-FR"/>
        </w:rPr>
        <w:t>a</w:t>
      </w:r>
      <w:r w:rsidRPr="00C30976">
        <w:rPr>
          <w:lang w:eastAsia="fr-FR" w:bidi="fr-FR"/>
        </w:rPr>
        <w:t>risation du parti républicain sur le Sud et l’Ouest, accentuée au cours des a</w:t>
      </w:r>
      <w:r w:rsidRPr="00C30976">
        <w:rPr>
          <w:lang w:eastAsia="fr-FR" w:bidi="fr-FR"/>
        </w:rPr>
        <w:t>n</w:t>
      </w:r>
      <w:r w:rsidRPr="00C30976">
        <w:rPr>
          <w:lang w:eastAsia="fr-FR" w:bidi="fr-FR"/>
        </w:rPr>
        <w:t>nées 1990, amène à lire une opposition régionale en termes idéologiques, alors que son assise est simpl</w:t>
      </w:r>
      <w:r w:rsidRPr="00C30976">
        <w:rPr>
          <w:lang w:eastAsia="fr-FR" w:bidi="fr-FR"/>
        </w:rPr>
        <w:t>e</w:t>
      </w:r>
      <w:r w:rsidRPr="00C30976">
        <w:rPr>
          <w:lang w:eastAsia="fr-FR" w:bidi="fr-FR"/>
        </w:rPr>
        <w:t>ment économique.</w:t>
      </w:r>
    </w:p>
    <w:p w14:paraId="2D2F0B7A" w14:textId="77777777" w:rsidR="0039793A" w:rsidRPr="00C30976" w:rsidRDefault="0039793A" w:rsidP="0039793A">
      <w:pPr>
        <w:spacing w:before="120" w:after="120"/>
        <w:jc w:val="both"/>
      </w:pPr>
      <w:r w:rsidRPr="00C30976">
        <w:rPr>
          <w:lang w:eastAsia="fr-FR" w:bidi="fr-FR"/>
        </w:rPr>
        <w:t>Cette lecture matérialiste, de l’origine des diff</w:t>
      </w:r>
      <w:r w:rsidRPr="00C30976">
        <w:rPr>
          <w:lang w:eastAsia="fr-FR" w:bidi="fr-FR"/>
        </w:rPr>
        <w:t>é</w:t>
      </w:r>
      <w:r w:rsidRPr="00C30976">
        <w:rPr>
          <w:lang w:eastAsia="fr-FR" w:bidi="fr-FR"/>
        </w:rPr>
        <w:t>rences entre régions fondée sur la définition de l’intérêt national, est contestée par Michael Lind qui en trouve plutôt la source dans des cultures politiques diff</w:t>
      </w:r>
      <w:r w:rsidRPr="00C30976">
        <w:rPr>
          <w:lang w:eastAsia="fr-FR" w:bidi="fr-FR"/>
        </w:rPr>
        <w:t>é</w:t>
      </w:r>
      <w:r w:rsidRPr="00C30976">
        <w:rPr>
          <w:lang w:eastAsia="fr-FR" w:bidi="fr-FR"/>
        </w:rPr>
        <w:t>rentes</w:t>
      </w:r>
      <w:r>
        <w:rPr>
          <w:lang w:eastAsia="fr-FR" w:bidi="fr-FR"/>
        </w:rPr>
        <w:t> </w:t>
      </w:r>
      <w:r>
        <w:rPr>
          <w:rStyle w:val="Appelnotedebasdep"/>
          <w:lang w:eastAsia="fr-FR" w:bidi="fr-FR"/>
        </w:rPr>
        <w:footnoteReference w:id="600"/>
      </w:r>
      <w:r w:rsidRPr="00C30976">
        <w:t>.</w:t>
      </w:r>
    </w:p>
    <w:p w14:paraId="00D81147" w14:textId="77777777" w:rsidR="0039793A" w:rsidRPr="00C30976" w:rsidRDefault="0039793A" w:rsidP="0039793A">
      <w:pPr>
        <w:spacing w:before="120" w:after="120"/>
        <w:jc w:val="both"/>
      </w:pPr>
      <w:r w:rsidRPr="00C30976">
        <w:rPr>
          <w:lang w:eastAsia="fr-FR" w:bidi="fr-FR"/>
        </w:rPr>
        <w:t xml:space="preserve">La culture particulière de la Nouvelle-Angleterre (agrandie pour l’occasion </w:t>
      </w:r>
      <w:r>
        <w:rPr>
          <w:lang w:eastAsia="fr-FR" w:bidi="fr-FR"/>
        </w:rPr>
        <w:t>—</w:t>
      </w:r>
      <w:r w:rsidRPr="00C30976">
        <w:rPr>
          <w:lang w:eastAsia="fr-FR" w:bidi="fr-FR"/>
        </w:rPr>
        <w:t xml:space="preserve"> par une opération scie</w:t>
      </w:r>
      <w:r w:rsidRPr="00C30976">
        <w:rPr>
          <w:lang w:eastAsia="fr-FR" w:bidi="fr-FR"/>
        </w:rPr>
        <w:t>n</w:t>
      </w:r>
      <w:r w:rsidRPr="00C30976">
        <w:rPr>
          <w:lang w:eastAsia="fr-FR" w:bidi="fr-FR"/>
        </w:rPr>
        <w:t xml:space="preserve">tifique d’ailleurs contestable </w:t>
      </w:r>
      <w:r>
        <w:rPr>
          <w:lang w:eastAsia="fr-FR" w:bidi="fr-FR"/>
        </w:rPr>
        <w:t>—</w:t>
      </w:r>
      <w:r w:rsidRPr="00C30976">
        <w:rPr>
          <w:lang w:eastAsia="fr-FR" w:bidi="fr-FR"/>
        </w:rPr>
        <w:t xml:space="preserve"> aux États voisins et aux régions des grands lacs, des plaines du Nord et du Nord Pacifique) a généralement fourni les gros bataillons des représentants et sénateurs opposés à toutes les interventions extérie</w:t>
      </w:r>
      <w:r w:rsidRPr="00C30976">
        <w:rPr>
          <w:lang w:eastAsia="fr-FR" w:bidi="fr-FR"/>
        </w:rPr>
        <w:t>u</w:t>
      </w:r>
      <w:r w:rsidRPr="00C30976">
        <w:rPr>
          <w:lang w:eastAsia="fr-FR" w:bidi="fr-FR"/>
        </w:rPr>
        <w:t>res - à l’exception toutefois de la guerre contre l’Espagne de 1898 et de l’intervention au Kosovo - et à la croissance de l’outil militaire.</w:t>
      </w:r>
    </w:p>
    <w:p w14:paraId="7C1B8EFB" w14:textId="77777777" w:rsidR="0039793A" w:rsidRPr="00C30976" w:rsidRDefault="0039793A" w:rsidP="0039793A">
      <w:pPr>
        <w:spacing w:before="120" w:after="120"/>
        <w:jc w:val="both"/>
      </w:pPr>
      <w:r w:rsidRPr="00C30976">
        <w:rPr>
          <w:lang w:eastAsia="fr-FR" w:bidi="fr-FR"/>
        </w:rPr>
        <w:t>À l’inverse le Sud côtier et, dans une moindre mesure, le Sud mo</w:t>
      </w:r>
      <w:r w:rsidRPr="00C30976">
        <w:rPr>
          <w:lang w:eastAsia="fr-FR" w:bidi="fr-FR"/>
        </w:rPr>
        <w:t>n</w:t>
      </w:r>
      <w:r w:rsidRPr="00C30976">
        <w:rPr>
          <w:lang w:eastAsia="fr-FR" w:bidi="fr-FR"/>
        </w:rPr>
        <w:t>tagneux, colonisés par les Éco</w:t>
      </w:r>
      <w:r w:rsidRPr="00C30976">
        <w:rPr>
          <w:lang w:eastAsia="fr-FR" w:bidi="fr-FR"/>
        </w:rPr>
        <w:t>s</w:t>
      </w:r>
      <w:r w:rsidRPr="00C30976">
        <w:rPr>
          <w:lang w:eastAsia="fr-FR" w:bidi="fr-FR"/>
        </w:rPr>
        <w:t>sais-Irlandais (les protestants d’Ulster) notamment, ont été les bastions du bellicisme et les principales r</w:t>
      </w:r>
      <w:r w:rsidRPr="00C30976">
        <w:rPr>
          <w:lang w:eastAsia="fr-FR" w:bidi="fr-FR"/>
        </w:rPr>
        <w:t>é</w:t>
      </w:r>
      <w:r w:rsidRPr="00C30976">
        <w:rPr>
          <w:lang w:eastAsia="fr-FR" w:bidi="fr-FR"/>
        </w:rPr>
        <w:t xml:space="preserve">gions pourvoyeuses de soldats et d’officiers, comme c’est encore le cas aujourd’hui. L’identification croissante des républicains avec ce nouveau Sud </w:t>
      </w:r>
      <w:r w:rsidRPr="00C30976">
        <w:t>(</w:t>
      </w:r>
      <w:r w:rsidRPr="003762AE">
        <w:rPr>
          <w:i/>
          <w:iCs/>
        </w:rPr>
        <w:t>Solid South</w:t>
      </w:r>
      <w:r w:rsidRPr="00C30976">
        <w:rPr>
          <w:lang w:eastAsia="fr-FR" w:bidi="fr-FR"/>
        </w:rPr>
        <w:t xml:space="preserve">) coïncide avec l’image de plus en plus guerrière du </w:t>
      </w:r>
      <w:r w:rsidRPr="003762AE">
        <w:rPr>
          <w:i/>
          <w:iCs/>
        </w:rPr>
        <w:t>Grand Old</w:t>
      </w:r>
      <w:r>
        <w:rPr>
          <w:i/>
          <w:iCs/>
        </w:rPr>
        <w:t xml:space="preserve"> </w:t>
      </w:r>
      <w:r w:rsidRPr="003762AE">
        <w:rPr>
          <w:i/>
          <w:iCs/>
        </w:rPr>
        <w:t>Party</w:t>
      </w:r>
      <w:r w:rsidRPr="00C30976">
        <w:rPr>
          <w:lang w:eastAsia="fr-FR" w:bidi="fr-FR"/>
        </w:rPr>
        <w:t xml:space="preserve"> (parti républicain) après le passage de Ronald Reagan, Newt Gingrich et George W. Bush. D’ailleurs, les démocrates les plus conservateurs (tels que les </w:t>
      </w:r>
      <w:r w:rsidRPr="003762AE">
        <w:rPr>
          <w:i/>
          <w:iCs/>
        </w:rPr>
        <w:t>Reagan Democrats</w:t>
      </w:r>
      <w:r w:rsidRPr="00C30976">
        <w:rPr>
          <w:lang w:eastAsia="fr-FR" w:bidi="fr-FR"/>
        </w:rPr>
        <w:t xml:space="preserve"> et les </w:t>
      </w:r>
      <w:r w:rsidRPr="003762AE">
        <w:rPr>
          <w:i/>
          <w:iCs/>
        </w:rPr>
        <w:t>Jackson Democrats</w:t>
      </w:r>
      <w:r>
        <w:rPr>
          <w:lang w:eastAsia="fr-FR" w:bidi="fr-FR"/>
        </w:rPr>
        <w:t> </w:t>
      </w:r>
      <w:r>
        <w:rPr>
          <w:rStyle w:val="Appelnotedebasdep"/>
          <w:lang w:eastAsia="fr-FR" w:bidi="fr-FR"/>
        </w:rPr>
        <w:footnoteReference w:id="601"/>
      </w:r>
      <w:r w:rsidRPr="00C30976">
        <w:rPr>
          <w:lang w:eastAsia="fr-FR" w:bidi="fr-FR"/>
        </w:rPr>
        <w:t>) venaient largement de cette région, tout comme sept des dix sénateurs démocrates qui, se désolid</w:t>
      </w:r>
      <w:r w:rsidRPr="00C30976">
        <w:rPr>
          <w:lang w:eastAsia="fr-FR" w:bidi="fr-FR"/>
        </w:rPr>
        <w:t>a</w:t>
      </w:r>
      <w:r w:rsidRPr="00C30976">
        <w:rPr>
          <w:lang w:eastAsia="fr-FR" w:bidi="fr-FR"/>
        </w:rPr>
        <w:t>risant de leur parti, ont</w:t>
      </w:r>
      <w:r>
        <w:t xml:space="preserve"> [301] </w:t>
      </w:r>
      <w:r w:rsidRPr="00C30976">
        <w:rPr>
          <w:lang w:eastAsia="fr-FR" w:bidi="fr-FR"/>
        </w:rPr>
        <w:t>permis l’assentiment du Congrès à l’usage de la force contre l’Irak le 12 janvier 1991 (52 contre 47)</w:t>
      </w:r>
      <w:r>
        <w:rPr>
          <w:lang w:eastAsia="fr-FR" w:bidi="fr-FR"/>
        </w:rPr>
        <w:t> </w:t>
      </w:r>
      <w:r>
        <w:rPr>
          <w:rStyle w:val="Appelnotedebasdep"/>
          <w:lang w:eastAsia="fr-FR" w:bidi="fr-FR"/>
        </w:rPr>
        <w:footnoteReference w:id="602"/>
      </w:r>
      <w:r>
        <w:rPr>
          <w:lang w:eastAsia="fr-FR" w:bidi="fr-FR"/>
        </w:rPr>
        <w:t>.</w:t>
      </w:r>
    </w:p>
    <w:p w14:paraId="48492A3F" w14:textId="77777777" w:rsidR="0039793A" w:rsidRPr="00C30976" w:rsidRDefault="0039793A" w:rsidP="0039793A">
      <w:pPr>
        <w:spacing w:before="120" w:after="120"/>
        <w:jc w:val="both"/>
      </w:pPr>
      <w:r w:rsidRPr="00C30976">
        <w:rPr>
          <w:lang w:eastAsia="fr-FR" w:bidi="fr-FR"/>
        </w:rPr>
        <w:t>C’est en effet dans une sorte de culture politique régionale déte</w:t>
      </w:r>
      <w:r w:rsidRPr="00C30976">
        <w:rPr>
          <w:lang w:eastAsia="fr-FR" w:bidi="fr-FR"/>
        </w:rPr>
        <w:t>r</w:t>
      </w:r>
      <w:r w:rsidRPr="00C30976">
        <w:rPr>
          <w:lang w:eastAsia="fr-FR" w:bidi="fr-FR"/>
        </w:rPr>
        <w:t>ministe que Lind veut voir l’origine de ces attitudes divergentes en matière de politique étrangère</w:t>
      </w:r>
      <w:r w:rsidRPr="00C30976">
        <w:t> :</w:t>
      </w:r>
      <w:r w:rsidRPr="00C30976">
        <w:rPr>
          <w:lang w:eastAsia="fr-FR" w:bidi="fr-FR"/>
        </w:rPr>
        <w:t xml:space="preserve"> son analyse s’appuie sur les thèses ethno-régionalistes qui attribuent au premier groupe de colons (pur</w:t>
      </w:r>
      <w:r w:rsidRPr="00C30976">
        <w:rPr>
          <w:lang w:eastAsia="fr-FR" w:bidi="fr-FR"/>
        </w:rPr>
        <w:t>i</w:t>
      </w:r>
      <w:r w:rsidRPr="00C30976">
        <w:rPr>
          <w:lang w:eastAsia="fr-FR" w:bidi="fr-FR"/>
        </w:rPr>
        <w:t>tains d’Angleterre et de Hollande ou Ecossais-Irlandais) une influence décisive sur l’identité politique de la zone colonisée, leurs caractéri</w:t>
      </w:r>
      <w:r w:rsidRPr="00C30976">
        <w:rPr>
          <w:lang w:eastAsia="fr-FR" w:bidi="fr-FR"/>
        </w:rPr>
        <w:t>s</w:t>
      </w:r>
      <w:r w:rsidRPr="00C30976">
        <w:rPr>
          <w:lang w:eastAsia="fr-FR" w:bidi="fr-FR"/>
        </w:rPr>
        <w:t>tiques et leurs préférences sociopolit</w:t>
      </w:r>
      <w:r w:rsidRPr="00C30976">
        <w:rPr>
          <w:lang w:eastAsia="fr-FR" w:bidi="fr-FR"/>
        </w:rPr>
        <w:t>i</w:t>
      </w:r>
      <w:r w:rsidRPr="00C30976">
        <w:rPr>
          <w:lang w:eastAsia="fr-FR" w:bidi="fr-FR"/>
        </w:rPr>
        <w:t>ques se perpétuant quelles que soient les vagues d’immigration ult</w:t>
      </w:r>
      <w:r w:rsidRPr="00C30976">
        <w:rPr>
          <w:lang w:eastAsia="fr-FR" w:bidi="fr-FR"/>
        </w:rPr>
        <w:t>é</w:t>
      </w:r>
      <w:r w:rsidRPr="00C30976">
        <w:rPr>
          <w:lang w:eastAsia="fr-FR" w:bidi="fr-FR"/>
        </w:rPr>
        <w:t>rieures. On aurait, selon Lind, une culture puritaine, moraliste, antim</w:t>
      </w:r>
      <w:r w:rsidRPr="00C30976">
        <w:rPr>
          <w:lang w:eastAsia="fr-FR" w:bidi="fr-FR"/>
        </w:rPr>
        <w:t>i</w:t>
      </w:r>
      <w:r w:rsidRPr="00C30976">
        <w:rPr>
          <w:lang w:eastAsia="fr-FR" w:bidi="fr-FR"/>
        </w:rPr>
        <w:t>litariste voire pacifiste au Nord, à partir de la Nouvelle-Angleterre, et une culture de l’honneur, de l’indépendance, de la hiérarchie sociale et de la violence au Sud, bien plus susceptible d’appuyer les guerres e</w:t>
      </w:r>
      <w:r w:rsidRPr="00C30976">
        <w:rPr>
          <w:lang w:eastAsia="fr-FR" w:bidi="fr-FR"/>
        </w:rPr>
        <w:t>x</w:t>
      </w:r>
      <w:r w:rsidRPr="00C30976">
        <w:rPr>
          <w:lang w:eastAsia="fr-FR" w:bidi="fr-FR"/>
        </w:rPr>
        <w:t>térieures pour des raisons de prestige et d’honneur.</w:t>
      </w:r>
    </w:p>
    <w:p w14:paraId="39E68A07" w14:textId="77777777" w:rsidR="0039793A" w:rsidRPr="00C30976" w:rsidRDefault="0039793A" w:rsidP="0039793A">
      <w:pPr>
        <w:spacing w:before="120" w:after="120"/>
        <w:jc w:val="both"/>
      </w:pPr>
      <w:r w:rsidRPr="00C30976">
        <w:rPr>
          <w:lang w:eastAsia="fr-FR" w:bidi="fr-FR"/>
        </w:rPr>
        <w:t>Toutefois, cette explication ethno-régionaliste fondée sur l’idée d’un lien fixe, déterministe, entre un territoire, une ethnie et ses te</w:t>
      </w:r>
      <w:r w:rsidRPr="00C30976">
        <w:rPr>
          <w:lang w:eastAsia="fr-FR" w:bidi="fr-FR"/>
        </w:rPr>
        <w:t>n</w:t>
      </w:r>
      <w:r w:rsidRPr="00C30976">
        <w:rPr>
          <w:lang w:eastAsia="fr-FR" w:bidi="fr-FR"/>
        </w:rPr>
        <w:t>dances politiques, tombe sous les critiques adressées au culturali</w:t>
      </w:r>
      <w:r w:rsidRPr="00C30976">
        <w:rPr>
          <w:lang w:eastAsia="fr-FR" w:bidi="fr-FR"/>
        </w:rPr>
        <w:t>s</w:t>
      </w:r>
      <w:r w:rsidRPr="00C30976">
        <w:rPr>
          <w:lang w:eastAsia="fr-FR" w:bidi="fr-FR"/>
        </w:rPr>
        <w:t>me</w:t>
      </w:r>
      <w:r>
        <w:rPr>
          <w:lang w:eastAsia="fr-FR" w:bidi="fr-FR"/>
        </w:rPr>
        <w:t> </w:t>
      </w:r>
      <w:r>
        <w:rPr>
          <w:rStyle w:val="Appelnotedebasdep"/>
          <w:lang w:eastAsia="fr-FR" w:bidi="fr-FR"/>
        </w:rPr>
        <w:footnoteReference w:id="603"/>
      </w:r>
      <w:r>
        <w:rPr>
          <w:lang w:eastAsia="fr-FR" w:bidi="fr-FR"/>
        </w:rPr>
        <w:t>.</w:t>
      </w:r>
      <w:r w:rsidRPr="00C30976">
        <w:rPr>
          <w:lang w:eastAsia="fr-FR" w:bidi="fr-FR"/>
        </w:rPr>
        <w:t xml:space="preserve"> L’existence de cultures politiques différentes ayant un certain lien avec des dispositions personnelles (le sens de l’honneur) ou co</w:t>
      </w:r>
      <w:r w:rsidRPr="00C30976">
        <w:rPr>
          <w:lang w:eastAsia="fr-FR" w:bidi="fr-FR"/>
        </w:rPr>
        <w:t>l</w:t>
      </w:r>
      <w:r w:rsidRPr="00C30976">
        <w:rPr>
          <w:lang w:eastAsia="fr-FR" w:bidi="fr-FR"/>
        </w:rPr>
        <w:t>lectives (le respect de l’institution militaire, le nationalisme) est ind</w:t>
      </w:r>
      <w:r w:rsidRPr="00C30976">
        <w:rPr>
          <w:lang w:eastAsia="fr-FR" w:bidi="fr-FR"/>
        </w:rPr>
        <w:t>é</w:t>
      </w:r>
      <w:r w:rsidRPr="00C30976">
        <w:rPr>
          <w:lang w:eastAsia="fr-FR" w:bidi="fr-FR"/>
        </w:rPr>
        <w:t>niable - à condition toutefois de ne pas tracer des catégories intang</w:t>
      </w:r>
      <w:r w:rsidRPr="00C30976">
        <w:rPr>
          <w:lang w:eastAsia="fr-FR" w:bidi="fr-FR"/>
        </w:rPr>
        <w:t>i</w:t>
      </w:r>
      <w:r w:rsidRPr="00C30976">
        <w:rPr>
          <w:lang w:eastAsia="fr-FR" w:bidi="fr-FR"/>
        </w:rPr>
        <w:t>bles pour les populations concernées, mais seulement des caractéris</w:t>
      </w:r>
      <w:r w:rsidRPr="00C30976">
        <w:rPr>
          <w:lang w:eastAsia="fr-FR" w:bidi="fr-FR"/>
        </w:rPr>
        <w:t>a</w:t>
      </w:r>
      <w:r w:rsidRPr="00C30976">
        <w:rPr>
          <w:lang w:eastAsia="fr-FR" w:bidi="fr-FR"/>
        </w:rPr>
        <w:t>tions prov</w:t>
      </w:r>
      <w:r w:rsidRPr="00C30976">
        <w:rPr>
          <w:lang w:eastAsia="fr-FR" w:bidi="fr-FR"/>
        </w:rPr>
        <w:t>i</w:t>
      </w:r>
      <w:r w:rsidRPr="00C30976">
        <w:rPr>
          <w:lang w:eastAsia="fr-FR" w:bidi="fr-FR"/>
        </w:rPr>
        <w:t xml:space="preserve">soires, flexibles, des généralisations </w:t>
      </w:r>
      <w:r w:rsidRPr="00FA6863">
        <w:rPr>
          <w:i/>
          <w:iCs/>
        </w:rPr>
        <w:t>ex post</w:t>
      </w:r>
      <w:r w:rsidRPr="00C30976">
        <w:t>.</w:t>
      </w:r>
      <w:r w:rsidRPr="00C30976">
        <w:rPr>
          <w:lang w:eastAsia="fr-FR" w:bidi="fr-FR"/>
        </w:rPr>
        <w:t xml:space="preserve"> </w:t>
      </w:r>
      <w:r w:rsidRPr="00C30976">
        <w:t>« </w:t>
      </w:r>
      <w:r w:rsidRPr="00C30976">
        <w:rPr>
          <w:lang w:eastAsia="fr-FR" w:bidi="fr-FR"/>
        </w:rPr>
        <w:t>L’historien, écrit Serge Berstein, constate l’existence à un moment donné de l’histoire de pl</w:t>
      </w:r>
      <w:r w:rsidRPr="00C30976">
        <w:rPr>
          <w:lang w:eastAsia="fr-FR" w:bidi="fr-FR"/>
        </w:rPr>
        <w:t>u</w:t>
      </w:r>
      <w:r w:rsidRPr="00C30976">
        <w:rPr>
          <w:lang w:eastAsia="fr-FR" w:bidi="fr-FR"/>
        </w:rPr>
        <w:t>sieurs systèmes de représentations cohérents, rivaux entre eux, qui i</w:t>
      </w:r>
      <w:r w:rsidRPr="00C30976">
        <w:rPr>
          <w:lang w:eastAsia="fr-FR" w:bidi="fr-FR"/>
        </w:rPr>
        <w:t>m</w:t>
      </w:r>
      <w:r w:rsidRPr="00C30976">
        <w:rPr>
          <w:lang w:eastAsia="fr-FR" w:bidi="fr-FR"/>
        </w:rPr>
        <w:t>prègnent la vision que les hommes ont de la société, de la place qu’ils y tiennent, des problèmes de la dévolution du po</w:t>
      </w:r>
      <w:r w:rsidRPr="00C30976">
        <w:rPr>
          <w:lang w:eastAsia="fr-FR" w:bidi="fr-FR"/>
        </w:rPr>
        <w:t>u</w:t>
      </w:r>
      <w:r w:rsidRPr="00C30976">
        <w:rPr>
          <w:lang w:eastAsia="fr-FR" w:bidi="fr-FR"/>
        </w:rPr>
        <w:t>voir, systèmes qui motivent et expliquent leurs comportements polit</w:t>
      </w:r>
      <w:r w:rsidRPr="00C30976">
        <w:rPr>
          <w:lang w:eastAsia="fr-FR" w:bidi="fr-FR"/>
        </w:rPr>
        <w:t>i</w:t>
      </w:r>
      <w:r w:rsidRPr="00C30976">
        <w:rPr>
          <w:lang w:eastAsia="fr-FR" w:bidi="fr-FR"/>
        </w:rPr>
        <w:t>ques</w:t>
      </w:r>
      <w:r>
        <w:rPr>
          <w:lang w:eastAsia="fr-FR" w:bidi="fr-FR"/>
        </w:rPr>
        <w:t> </w:t>
      </w:r>
      <w:r>
        <w:rPr>
          <w:rStyle w:val="Appelnotedebasdep"/>
          <w:lang w:eastAsia="fr-FR" w:bidi="fr-FR"/>
        </w:rPr>
        <w:footnoteReference w:id="604"/>
      </w:r>
      <w:r w:rsidRPr="00C30976">
        <w:rPr>
          <w:lang w:eastAsia="fr-FR" w:bidi="fr-FR"/>
        </w:rPr>
        <w:t>.</w:t>
      </w:r>
      <w:r w:rsidRPr="00C30976">
        <w:t> »</w:t>
      </w:r>
      <w:r w:rsidRPr="00C30976">
        <w:rPr>
          <w:lang w:eastAsia="fr-FR" w:bidi="fr-FR"/>
        </w:rPr>
        <w:t xml:space="preserve"> C’est sans doute cette définition de la culture</w:t>
      </w:r>
      <w:r>
        <w:t xml:space="preserve"> [302] </w:t>
      </w:r>
      <w:r w:rsidRPr="00C30976">
        <w:rPr>
          <w:lang w:eastAsia="fr-FR" w:bidi="fr-FR"/>
        </w:rPr>
        <w:t>polit</w:t>
      </w:r>
      <w:r w:rsidRPr="00C30976">
        <w:rPr>
          <w:lang w:eastAsia="fr-FR" w:bidi="fr-FR"/>
        </w:rPr>
        <w:t>i</w:t>
      </w:r>
      <w:r w:rsidRPr="00C30976">
        <w:rPr>
          <w:lang w:eastAsia="fr-FR" w:bidi="fr-FR"/>
        </w:rPr>
        <w:t>que par les historiens français qui s’accorde le mieux avec le discours tenu sur la pol</w:t>
      </w:r>
      <w:r w:rsidRPr="00C30976">
        <w:rPr>
          <w:lang w:eastAsia="fr-FR" w:bidi="fr-FR"/>
        </w:rPr>
        <w:t>i</w:t>
      </w:r>
      <w:r w:rsidRPr="00C30976">
        <w:rPr>
          <w:lang w:eastAsia="fr-FR" w:bidi="fr-FR"/>
        </w:rPr>
        <w:t xml:space="preserve">tique étrangère par Michael Lind tout comme d’ailleurs par Walter Russell Mead et son ouvrage sur le </w:t>
      </w:r>
      <w:r w:rsidRPr="00C30976">
        <w:t>« </w:t>
      </w:r>
      <w:r w:rsidRPr="00C30976">
        <w:rPr>
          <w:lang w:eastAsia="fr-FR" w:bidi="fr-FR"/>
        </w:rPr>
        <w:t>jacksonisme</w:t>
      </w:r>
      <w:r w:rsidRPr="00C30976">
        <w:t> »</w:t>
      </w:r>
      <w:r w:rsidRPr="00C30976">
        <w:rPr>
          <w:lang w:eastAsia="fr-FR" w:bidi="fr-FR"/>
        </w:rPr>
        <w:t xml:space="preserve"> co</w:t>
      </w:r>
      <w:r w:rsidRPr="00C30976">
        <w:rPr>
          <w:lang w:eastAsia="fr-FR" w:bidi="fr-FR"/>
        </w:rPr>
        <w:t>m</w:t>
      </w:r>
      <w:r w:rsidRPr="00C30976">
        <w:rPr>
          <w:lang w:eastAsia="fr-FR" w:bidi="fr-FR"/>
        </w:rPr>
        <w:t>me école de politique étrangère, comme culture politique particulière combinant le sens de l’honneur, de l’indépendance, le goût des armes et le respect de l’institution militaire (mais sans base régionale part</w:t>
      </w:r>
      <w:r w:rsidRPr="00C30976">
        <w:rPr>
          <w:lang w:eastAsia="fr-FR" w:bidi="fr-FR"/>
        </w:rPr>
        <w:t>i</w:t>
      </w:r>
      <w:r w:rsidRPr="00C30976">
        <w:rPr>
          <w:lang w:eastAsia="fr-FR" w:bidi="fr-FR"/>
        </w:rPr>
        <w:t>culière)</w:t>
      </w:r>
      <w:r>
        <w:rPr>
          <w:lang w:eastAsia="fr-FR" w:bidi="fr-FR"/>
        </w:rPr>
        <w:t> </w:t>
      </w:r>
      <w:r>
        <w:rPr>
          <w:rStyle w:val="Appelnotedebasdep"/>
          <w:lang w:eastAsia="fr-FR" w:bidi="fr-FR"/>
        </w:rPr>
        <w:footnoteReference w:id="605"/>
      </w:r>
      <w:r w:rsidRPr="00C30976">
        <w:t>.</w:t>
      </w:r>
    </w:p>
    <w:p w14:paraId="5C4A11E5" w14:textId="77777777" w:rsidR="0039793A" w:rsidRDefault="0039793A" w:rsidP="0039793A">
      <w:pPr>
        <w:spacing w:before="120" w:after="120"/>
        <w:jc w:val="both"/>
        <w:rPr>
          <w:lang w:eastAsia="fr-FR" w:bidi="fr-FR"/>
        </w:rPr>
      </w:pPr>
    </w:p>
    <w:p w14:paraId="209D78DA" w14:textId="77777777" w:rsidR="0039793A" w:rsidRPr="002C472E" w:rsidRDefault="0039793A" w:rsidP="0039793A">
      <w:pPr>
        <w:pStyle w:val="b"/>
      </w:pPr>
      <w:r w:rsidRPr="002C472E">
        <w:rPr>
          <w:lang w:eastAsia="fr-FR" w:bidi="fr-FR"/>
        </w:rPr>
        <w:t>Des clivages régionaux aux clivages temporels</w:t>
      </w:r>
    </w:p>
    <w:p w14:paraId="543203EF" w14:textId="77777777" w:rsidR="0039793A" w:rsidRDefault="0039793A" w:rsidP="0039793A">
      <w:pPr>
        <w:spacing w:before="120" w:after="120"/>
        <w:jc w:val="both"/>
        <w:rPr>
          <w:lang w:eastAsia="fr-FR" w:bidi="fr-FR"/>
        </w:rPr>
      </w:pPr>
    </w:p>
    <w:p w14:paraId="1DCDBF45" w14:textId="77777777" w:rsidR="0039793A" w:rsidRPr="00C30976" w:rsidRDefault="0039793A" w:rsidP="0039793A">
      <w:pPr>
        <w:spacing w:before="120" w:after="120"/>
        <w:jc w:val="both"/>
      </w:pPr>
      <w:r w:rsidRPr="00C30976">
        <w:rPr>
          <w:lang w:eastAsia="fr-FR" w:bidi="fr-FR"/>
        </w:rPr>
        <w:t>En fait, si les clivages ethniques et régionaux comptent en polit</w:t>
      </w:r>
      <w:r w:rsidRPr="00C30976">
        <w:rPr>
          <w:lang w:eastAsia="fr-FR" w:bidi="fr-FR"/>
        </w:rPr>
        <w:t>i</w:t>
      </w:r>
      <w:r w:rsidRPr="00C30976">
        <w:rPr>
          <w:lang w:eastAsia="fr-FR" w:bidi="fr-FR"/>
        </w:rPr>
        <w:t>que étrangère, ils doivent sans doute être mis dans une perspective temporelle, comme le fait Peter Trubowitz. L’idée d’alternance entre vagues d’introversion et vagues d’extraversion dans le public amér</w:t>
      </w:r>
      <w:r w:rsidRPr="00C30976">
        <w:rPr>
          <w:lang w:eastAsia="fr-FR" w:bidi="fr-FR"/>
        </w:rPr>
        <w:t>i</w:t>
      </w:r>
      <w:r w:rsidRPr="00C30976">
        <w:rPr>
          <w:lang w:eastAsia="fr-FR" w:bidi="fr-FR"/>
        </w:rPr>
        <w:t>cain a été systématisée par Frank Klingberg</w:t>
      </w:r>
      <w:r>
        <w:rPr>
          <w:lang w:eastAsia="fr-FR" w:bidi="fr-FR"/>
        </w:rPr>
        <w:t> </w:t>
      </w:r>
      <w:r>
        <w:rPr>
          <w:rStyle w:val="Appelnotedebasdep"/>
          <w:lang w:eastAsia="fr-FR" w:bidi="fr-FR"/>
        </w:rPr>
        <w:footnoteReference w:id="606"/>
      </w:r>
      <w:r w:rsidRPr="00C30976">
        <w:t> :</w:t>
      </w:r>
      <w:r w:rsidRPr="00C30976">
        <w:rPr>
          <w:lang w:eastAsia="fr-FR" w:bidi="fr-FR"/>
        </w:rPr>
        <w:t xml:space="preserve"> elle permet non se</w:t>
      </w:r>
      <w:r w:rsidRPr="00C30976">
        <w:rPr>
          <w:lang w:eastAsia="fr-FR" w:bidi="fr-FR"/>
        </w:rPr>
        <w:t>u</w:t>
      </w:r>
      <w:r w:rsidRPr="00C30976">
        <w:rPr>
          <w:lang w:eastAsia="fr-FR" w:bidi="fr-FR"/>
        </w:rPr>
        <w:t>lement de dresser une classification des politiques étrangères, mais surtout de prendre la mesure de l’humeur de l’opinion publique am</w:t>
      </w:r>
      <w:r w:rsidRPr="00C30976">
        <w:rPr>
          <w:lang w:eastAsia="fr-FR" w:bidi="fr-FR"/>
        </w:rPr>
        <w:t>é</w:t>
      </w:r>
      <w:r w:rsidRPr="00C30976">
        <w:rPr>
          <w:lang w:eastAsia="fr-FR" w:bidi="fr-FR"/>
        </w:rPr>
        <w:t>ricaine vis-à-vis du reste du monde. De 1919 à 1940, incontestabl</w:t>
      </w:r>
      <w:r w:rsidRPr="00C30976">
        <w:rPr>
          <w:lang w:eastAsia="fr-FR" w:bidi="fr-FR"/>
        </w:rPr>
        <w:t>e</w:t>
      </w:r>
      <w:r w:rsidRPr="00C30976">
        <w:rPr>
          <w:lang w:eastAsia="fr-FR" w:bidi="fr-FR"/>
        </w:rPr>
        <w:t>ment, les Américains sont dans une phase d’introversion dont l’expression en politique ext</w:t>
      </w:r>
      <w:r w:rsidRPr="00C30976">
        <w:rPr>
          <w:lang w:eastAsia="fr-FR" w:bidi="fr-FR"/>
        </w:rPr>
        <w:t>é</w:t>
      </w:r>
      <w:r w:rsidRPr="00C30976">
        <w:rPr>
          <w:lang w:eastAsia="fr-FR" w:bidi="fr-FR"/>
        </w:rPr>
        <w:t>rieure est l’isolationnisme. De 1940 à 1966, ils sont dans une phase d’extraversion marquée par le consensus autour de l’endiguement des régimes totalitaires, notamment le co</w:t>
      </w:r>
      <w:r w:rsidRPr="00C30976">
        <w:rPr>
          <w:lang w:eastAsia="fr-FR" w:bidi="fr-FR"/>
        </w:rPr>
        <w:t>m</w:t>
      </w:r>
      <w:r w:rsidRPr="00C30976">
        <w:rPr>
          <w:lang w:eastAsia="fr-FR" w:bidi="fr-FR"/>
        </w:rPr>
        <w:t>munisme. La guerre du Vietnam vient rompre ce consensus et l’Amérique se renferme progressivement sur elle-même</w:t>
      </w:r>
      <w:r w:rsidRPr="00C30976">
        <w:t> :</w:t>
      </w:r>
      <w:r w:rsidRPr="00C30976">
        <w:rPr>
          <w:lang w:eastAsia="fr-FR" w:bidi="fr-FR"/>
        </w:rPr>
        <w:t xml:space="preserve"> les sympt</w:t>
      </w:r>
      <w:r w:rsidRPr="00C30976">
        <w:rPr>
          <w:lang w:eastAsia="fr-FR" w:bidi="fr-FR"/>
        </w:rPr>
        <w:t>ô</w:t>
      </w:r>
      <w:r w:rsidRPr="00C30976">
        <w:rPr>
          <w:lang w:eastAsia="fr-FR" w:bidi="fr-FR"/>
        </w:rPr>
        <w:t>mes en politique étrangère de cette phase d’introversion sont nota</w:t>
      </w:r>
      <w:r w:rsidRPr="00C30976">
        <w:rPr>
          <w:lang w:eastAsia="fr-FR" w:bidi="fr-FR"/>
        </w:rPr>
        <w:t>m</w:t>
      </w:r>
      <w:r w:rsidRPr="00C30976">
        <w:rPr>
          <w:lang w:eastAsia="fr-FR" w:bidi="fr-FR"/>
        </w:rPr>
        <w:t>ment la doctrine Nixon et la forte baisse du budget de la Défense — sans qu’il s’agisse là d’isolationnisme au sens strict. Klingberg ident</w:t>
      </w:r>
      <w:r w:rsidRPr="00C30976">
        <w:rPr>
          <w:lang w:eastAsia="fr-FR" w:bidi="fr-FR"/>
        </w:rPr>
        <w:t>i</w:t>
      </w:r>
      <w:r w:rsidRPr="00C30976">
        <w:rPr>
          <w:lang w:eastAsia="fr-FR" w:bidi="fr-FR"/>
        </w:rPr>
        <w:t>fie une phase d’extraversion à partir de 1986, dont on pourrait se d</w:t>
      </w:r>
      <w:r w:rsidRPr="00C30976">
        <w:rPr>
          <w:lang w:eastAsia="fr-FR" w:bidi="fr-FR"/>
        </w:rPr>
        <w:t>e</w:t>
      </w:r>
      <w:r w:rsidRPr="00C30976">
        <w:rPr>
          <w:lang w:eastAsia="fr-FR" w:bidi="fr-FR"/>
        </w:rPr>
        <w:t>mander si elle ne co</w:t>
      </w:r>
      <w:r w:rsidRPr="00C30976">
        <w:rPr>
          <w:lang w:eastAsia="fr-FR" w:bidi="fr-FR"/>
        </w:rPr>
        <w:t>m</w:t>
      </w:r>
      <w:r w:rsidRPr="00C30976">
        <w:rPr>
          <w:lang w:eastAsia="fr-FR" w:bidi="fr-FR"/>
        </w:rPr>
        <w:t>mence pas un peu plus tôt, dès 1980 pour s’achever en 1990-1991, au terme de la guerre froide. En effet, les a</w:t>
      </w:r>
      <w:r w:rsidRPr="00C30976">
        <w:rPr>
          <w:lang w:eastAsia="fr-FR" w:bidi="fr-FR"/>
        </w:rPr>
        <w:t>n</w:t>
      </w:r>
      <w:r w:rsidRPr="00C30976">
        <w:rPr>
          <w:lang w:eastAsia="fr-FR" w:bidi="fr-FR"/>
        </w:rPr>
        <w:t>nées 1989-1993 sont marquées par le d</w:t>
      </w:r>
      <w:r w:rsidRPr="00C30976">
        <w:rPr>
          <w:lang w:eastAsia="fr-FR" w:bidi="fr-FR"/>
        </w:rPr>
        <w:t>é</w:t>
      </w:r>
      <w:r w:rsidRPr="00C30976">
        <w:rPr>
          <w:lang w:eastAsia="fr-FR" w:bidi="fr-FR"/>
        </w:rPr>
        <w:t xml:space="preserve">bat sur le déclin des </w:t>
      </w:r>
      <w:r>
        <w:rPr>
          <w:lang w:eastAsia="fr-FR" w:bidi="fr-FR"/>
        </w:rPr>
        <w:t>État</w:t>
      </w:r>
      <w:r w:rsidRPr="00C30976">
        <w:rPr>
          <w:lang w:eastAsia="fr-FR" w:bidi="fr-FR"/>
        </w:rPr>
        <w:t>s-Unis et les problèmes économiques. La campagne de 1992 voit trio</w:t>
      </w:r>
      <w:r w:rsidRPr="00C30976">
        <w:rPr>
          <w:lang w:eastAsia="fr-FR" w:bidi="fr-FR"/>
        </w:rPr>
        <w:t>m</w:t>
      </w:r>
      <w:r w:rsidRPr="00C30976">
        <w:rPr>
          <w:lang w:eastAsia="fr-FR" w:bidi="fr-FR"/>
        </w:rPr>
        <w:t>pher les</w:t>
      </w:r>
      <w:r>
        <w:t xml:space="preserve"> [303] </w:t>
      </w:r>
      <w:r w:rsidRPr="00C30976">
        <w:rPr>
          <w:lang w:eastAsia="fr-FR" w:bidi="fr-FR"/>
        </w:rPr>
        <w:t>thèmes de politique intérieure</w:t>
      </w:r>
      <w:r w:rsidRPr="00C30976">
        <w:t> :</w:t>
      </w:r>
      <w:r w:rsidRPr="00C30976">
        <w:rPr>
          <w:lang w:eastAsia="fr-FR" w:bidi="fr-FR"/>
        </w:rPr>
        <w:t xml:space="preserve"> malgré un bilan positif en matière de relations internationales, George H. Bush n’est pas r</w:t>
      </w:r>
      <w:r w:rsidRPr="00C30976">
        <w:rPr>
          <w:lang w:eastAsia="fr-FR" w:bidi="fr-FR"/>
        </w:rPr>
        <w:t>é</w:t>
      </w:r>
      <w:r w:rsidRPr="00C30976">
        <w:rPr>
          <w:lang w:eastAsia="fr-FR" w:bidi="fr-FR"/>
        </w:rPr>
        <w:t>élu. Cette humeur d’introversion s’observe également dans la camp</w:t>
      </w:r>
      <w:r w:rsidRPr="00C30976">
        <w:rPr>
          <w:lang w:eastAsia="fr-FR" w:bidi="fr-FR"/>
        </w:rPr>
        <w:t>a</w:t>
      </w:r>
      <w:r w:rsidRPr="00C30976">
        <w:rPr>
          <w:lang w:eastAsia="fr-FR" w:bidi="fr-FR"/>
        </w:rPr>
        <w:t>gne de son fils George W. Bush qui annonce une politique étrangère humble et surtout défensive. Cependant le 11 septembre ouvre la voie à une ph</w:t>
      </w:r>
      <w:r w:rsidRPr="00C30976">
        <w:rPr>
          <w:lang w:eastAsia="fr-FR" w:bidi="fr-FR"/>
        </w:rPr>
        <w:t>a</w:t>
      </w:r>
      <w:r w:rsidRPr="00C30976">
        <w:rPr>
          <w:lang w:eastAsia="fr-FR" w:bidi="fr-FR"/>
        </w:rPr>
        <w:t>se d’extraversion quasiment impérialiste. Quoi qu’il en soit, le peuple américain ne s’est pas massivement détourné de ses respo</w:t>
      </w:r>
      <w:r w:rsidRPr="00C30976">
        <w:rPr>
          <w:lang w:eastAsia="fr-FR" w:bidi="fr-FR"/>
        </w:rPr>
        <w:t>n</w:t>
      </w:r>
      <w:r w:rsidRPr="00C30976">
        <w:rPr>
          <w:lang w:eastAsia="fr-FR" w:bidi="fr-FR"/>
        </w:rPr>
        <w:t xml:space="preserve">sabilités de première puissance après la chute de </w:t>
      </w:r>
      <w:r w:rsidRPr="00C30976">
        <w:t xml:space="preserve">l’URSS. </w:t>
      </w:r>
      <w:r w:rsidRPr="00C30976">
        <w:rPr>
          <w:lang w:eastAsia="fr-FR" w:bidi="fr-FR"/>
        </w:rPr>
        <w:t>L’opinion p</w:t>
      </w:r>
      <w:r w:rsidRPr="00C30976">
        <w:rPr>
          <w:lang w:eastAsia="fr-FR" w:bidi="fr-FR"/>
        </w:rPr>
        <w:t>u</w:t>
      </w:r>
      <w:r w:rsidRPr="00C30976">
        <w:rPr>
          <w:lang w:eastAsia="fr-FR" w:bidi="fr-FR"/>
        </w:rPr>
        <w:t>blique, parfois trahie dans un internationalisme qu’elle ne souhaitait pas défendre avec acharn</w:t>
      </w:r>
      <w:r w:rsidRPr="00C30976">
        <w:rPr>
          <w:lang w:eastAsia="fr-FR" w:bidi="fr-FR"/>
        </w:rPr>
        <w:t>e</w:t>
      </w:r>
      <w:r w:rsidRPr="00C30976">
        <w:rPr>
          <w:lang w:eastAsia="fr-FR" w:bidi="fr-FR"/>
        </w:rPr>
        <w:t>ment, a néanmoins marqué son attachement à la poursuite de l’aventure internationale commencée près d’un siècle plus tôt.</w:t>
      </w:r>
    </w:p>
    <w:p w14:paraId="792F6C91" w14:textId="77777777" w:rsidR="0039793A" w:rsidRDefault="0039793A" w:rsidP="0039793A">
      <w:pPr>
        <w:spacing w:before="120" w:after="120"/>
        <w:jc w:val="both"/>
        <w:rPr>
          <w:lang w:eastAsia="fr-FR" w:bidi="fr-FR"/>
        </w:rPr>
      </w:pPr>
    </w:p>
    <w:p w14:paraId="2B64E0DA" w14:textId="77777777" w:rsidR="0039793A" w:rsidRPr="004304C5" w:rsidRDefault="0039793A" w:rsidP="0039793A">
      <w:pPr>
        <w:pStyle w:val="planche"/>
      </w:pPr>
      <w:bookmarkStart w:id="38" w:name="Pol_EU_pt_3_chap_09_2"/>
      <w:r w:rsidRPr="004304C5">
        <w:rPr>
          <w:lang w:eastAsia="fr-FR" w:bidi="fr-FR"/>
        </w:rPr>
        <w:t>Un triangle d’influence réciproque</w:t>
      </w:r>
      <w:r w:rsidRPr="004304C5">
        <w:t> :</w:t>
      </w:r>
      <w:r>
        <w:rPr>
          <w:lang w:eastAsia="fr-FR" w:bidi="fr-FR"/>
        </w:rPr>
        <w:br/>
      </w:r>
      <w:r w:rsidRPr="004304C5">
        <w:rPr>
          <w:lang w:eastAsia="fr-FR" w:bidi="fr-FR"/>
        </w:rPr>
        <w:t>le président, l’opinion publ</w:t>
      </w:r>
      <w:r w:rsidRPr="004304C5">
        <w:rPr>
          <w:lang w:eastAsia="fr-FR" w:bidi="fr-FR"/>
        </w:rPr>
        <w:t>i</w:t>
      </w:r>
      <w:r w:rsidRPr="004304C5">
        <w:rPr>
          <w:lang w:eastAsia="fr-FR" w:bidi="fr-FR"/>
        </w:rPr>
        <w:t>que et les médias</w:t>
      </w:r>
    </w:p>
    <w:bookmarkEnd w:id="38"/>
    <w:p w14:paraId="5812CD81" w14:textId="77777777" w:rsidR="0039793A" w:rsidRDefault="0039793A" w:rsidP="0039793A">
      <w:pPr>
        <w:spacing w:before="120" w:after="120"/>
        <w:jc w:val="both"/>
        <w:rPr>
          <w:lang w:eastAsia="fr-FR" w:bidi="fr-FR"/>
        </w:rPr>
      </w:pPr>
    </w:p>
    <w:p w14:paraId="6462C48C"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3C1B2446" w14:textId="77777777" w:rsidR="0039793A" w:rsidRPr="00C30976" w:rsidRDefault="0039793A" w:rsidP="0039793A">
      <w:pPr>
        <w:spacing w:before="120" w:after="120"/>
        <w:jc w:val="both"/>
      </w:pPr>
      <w:r w:rsidRPr="00C30976">
        <w:rPr>
          <w:lang w:eastAsia="fr-FR" w:bidi="fr-FR"/>
        </w:rPr>
        <w:t>S’il est difficile de déterminer avec précision le rôle de l’opinion publique et des médias dans la formulation de la politique étrangère américaine, c’est que les relations avec l’Exécutif sont à double sens, et toujours relatives</w:t>
      </w:r>
      <w:r>
        <w:rPr>
          <w:lang w:eastAsia="fr-FR" w:bidi="fr-FR"/>
        </w:rPr>
        <w:t> </w:t>
      </w:r>
      <w:r>
        <w:rPr>
          <w:rStyle w:val="Appelnotedebasdep"/>
          <w:lang w:eastAsia="fr-FR" w:bidi="fr-FR"/>
        </w:rPr>
        <w:footnoteReference w:id="607"/>
      </w:r>
      <w:r>
        <w:rPr>
          <w:lang w:eastAsia="fr-FR" w:bidi="fr-FR"/>
        </w:rPr>
        <w:t>.</w:t>
      </w:r>
      <w:r w:rsidRPr="00C30976">
        <w:rPr>
          <w:lang w:eastAsia="fr-FR" w:bidi="fr-FR"/>
        </w:rPr>
        <w:t xml:space="preserve"> Les médias reflètent l’opinion publique, mais contribuent aussi à la fo</w:t>
      </w:r>
      <w:r w:rsidRPr="00C30976">
        <w:rPr>
          <w:lang w:eastAsia="fr-FR" w:bidi="fr-FR"/>
        </w:rPr>
        <w:t>r</w:t>
      </w:r>
      <w:r w:rsidRPr="00C30976">
        <w:rPr>
          <w:lang w:eastAsia="fr-FR" w:bidi="fr-FR"/>
        </w:rPr>
        <w:t xml:space="preserve">mer. Le président agit dans les limites de ce que l’opinion publique peut accepter, mais il détient aussi le pouvoir d’influencer cette opinion dans le sens qui lui convient, comme le montre l’exemple de l’entrée en guerre des États-Unis - notamment lors des deux guerres mondiales du </w:t>
      </w:r>
      <w:r w:rsidRPr="00C30976">
        <w:t>XX</w:t>
      </w:r>
      <w:r w:rsidRPr="00C30976">
        <w:rPr>
          <w:vertAlign w:val="superscript"/>
        </w:rPr>
        <w:t>e</w:t>
      </w:r>
      <w:r>
        <w:rPr>
          <w:vertAlign w:val="superscript"/>
        </w:rPr>
        <w:t xml:space="preserve"> </w:t>
      </w:r>
      <w:r w:rsidRPr="00C30976">
        <w:rPr>
          <w:lang w:eastAsia="fr-FR" w:bidi="fr-FR"/>
        </w:rPr>
        <w:t>siècle — et du travail par la présidence d’une opinion hésitante voire réticente. De même, le prés</w:t>
      </w:r>
      <w:r w:rsidRPr="00C30976">
        <w:rPr>
          <w:lang w:eastAsia="fr-FR" w:bidi="fr-FR"/>
        </w:rPr>
        <w:t>i</w:t>
      </w:r>
      <w:r w:rsidRPr="00C30976">
        <w:rPr>
          <w:lang w:eastAsia="fr-FR" w:bidi="fr-FR"/>
        </w:rPr>
        <w:t>dent peut faire passer ses messages aux médias et s’en servir comme de relais en direction de l’opinion, mais ceux-ci, parfois, contrarient ses plans, le critiquent et peuvent le forcer à modifier son approche d’un dossier de politique étrangère. Pour saisir l’importance des m</w:t>
      </w:r>
      <w:r w:rsidRPr="00C30976">
        <w:rPr>
          <w:lang w:eastAsia="fr-FR" w:bidi="fr-FR"/>
        </w:rPr>
        <w:t>é</w:t>
      </w:r>
      <w:r w:rsidRPr="00C30976">
        <w:rPr>
          <w:lang w:eastAsia="fr-FR" w:bidi="fr-FR"/>
        </w:rPr>
        <w:t>dias dans la politique étrangère des États-Unis, il convient donc de les replacer dans ce contexte d’influence réciproque avec</w:t>
      </w:r>
      <w:r>
        <w:t xml:space="preserve"> [304] </w:t>
      </w:r>
      <w:r w:rsidRPr="00C30976">
        <w:rPr>
          <w:lang w:eastAsia="fr-FR" w:bidi="fr-FR"/>
        </w:rPr>
        <w:t>la prés</w:t>
      </w:r>
      <w:r w:rsidRPr="00C30976">
        <w:rPr>
          <w:lang w:eastAsia="fr-FR" w:bidi="fr-FR"/>
        </w:rPr>
        <w:t>i</w:t>
      </w:r>
      <w:r w:rsidRPr="00C30976">
        <w:rPr>
          <w:lang w:eastAsia="fr-FR" w:bidi="fr-FR"/>
        </w:rPr>
        <w:t>dence et l’opinion publique américaine. Encore faut-il, dans un pr</w:t>
      </w:r>
      <w:r w:rsidRPr="00C30976">
        <w:rPr>
          <w:lang w:eastAsia="fr-FR" w:bidi="fr-FR"/>
        </w:rPr>
        <w:t>e</w:t>
      </w:r>
      <w:r w:rsidRPr="00C30976">
        <w:rPr>
          <w:lang w:eastAsia="fr-FR" w:bidi="fr-FR"/>
        </w:rPr>
        <w:t>mier temps, bien analyser la couverture des affaires internati</w:t>
      </w:r>
      <w:r w:rsidRPr="00C30976">
        <w:rPr>
          <w:lang w:eastAsia="fr-FR" w:bidi="fr-FR"/>
        </w:rPr>
        <w:t>o</w:t>
      </w:r>
      <w:r w:rsidRPr="00C30976">
        <w:rPr>
          <w:lang w:eastAsia="fr-FR" w:bidi="fr-FR"/>
        </w:rPr>
        <w:t>nales qu’ils offrent aux Américains.</w:t>
      </w:r>
    </w:p>
    <w:p w14:paraId="784B5D1B" w14:textId="77777777" w:rsidR="0039793A" w:rsidRDefault="0039793A" w:rsidP="0039793A">
      <w:pPr>
        <w:spacing w:before="120" w:after="120"/>
        <w:jc w:val="both"/>
        <w:rPr>
          <w:lang w:eastAsia="fr-FR" w:bidi="fr-FR"/>
        </w:rPr>
      </w:pPr>
    </w:p>
    <w:p w14:paraId="7E3FC02D" w14:textId="77777777" w:rsidR="0039793A" w:rsidRPr="00C30976" w:rsidRDefault="0039793A" w:rsidP="0039793A">
      <w:pPr>
        <w:pStyle w:val="a"/>
      </w:pPr>
      <w:r w:rsidRPr="00C30976">
        <w:t>La couverture médiatique contrastée</w:t>
      </w:r>
      <w:r>
        <w:br/>
      </w:r>
      <w:r w:rsidRPr="00C30976">
        <w:t>des affaires internationales</w:t>
      </w:r>
    </w:p>
    <w:p w14:paraId="6EBC89C9" w14:textId="77777777" w:rsidR="0039793A" w:rsidRDefault="0039793A" w:rsidP="0039793A">
      <w:pPr>
        <w:spacing w:before="120" w:after="120"/>
        <w:jc w:val="both"/>
        <w:rPr>
          <w:lang w:eastAsia="fr-FR" w:bidi="fr-FR"/>
        </w:rPr>
      </w:pPr>
    </w:p>
    <w:p w14:paraId="51FEE592" w14:textId="77777777" w:rsidR="0039793A" w:rsidRPr="00C30976" w:rsidRDefault="0039793A" w:rsidP="0039793A">
      <w:pPr>
        <w:spacing w:before="120" w:after="120"/>
        <w:jc w:val="both"/>
      </w:pPr>
      <w:r w:rsidRPr="00C30976">
        <w:rPr>
          <w:lang w:eastAsia="fr-FR" w:bidi="fr-FR"/>
        </w:rPr>
        <w:t>Les médias américains offrent à l’opinion publ</w:t>
      </w:r>
      <w:r w:rsidRPr="00C30976">
        <w:rPr>
          <w:lang w:eastAsia="fr-FR" w:bidi="fr-FR"/>
        </w:rPr>
        <w:t>i</w:t>
      </w:r>
      <w:r w:rsidRPr="00C30976">
        <w:rPr>
          <w:lang w:eastAsia="fr-FR" w:bidi="fr-FR"/>
        </w:rPr>
        <w:t>que une couverture très contrastée des affaires i</w:t>
      </w:r>
      <w:r w:rsidRPr="00C30976">
        <w:rPr>
          <w:lang w:eastAsia="fr-FR" w:bidi="fr-FR"/>
        </w:rPr>
        <w:t>n</w:t>
      </w:r>
      <w:r w:rsidRPr="00C30976">
        <w:rPr>
          <w:lang w:eastAsia="fr-FR" w:bidi="fr-FR"/>
        </w:rPr>
        <w:t>ternationales, parfois rigoureuse, souvent lacunaire.</w:t>
      </w:r>
    </w:p>
    <w:p w14:paraId="3AB9EE20" w14:textId="77777777" w:rsidR="0039793A" w:rsidRDefault="0039793A" w:rsidP="0039793A">
      <w:pPr>
        <w:spacing w:before="120" w:after="120"/>
        <w:jc w:val="both"/>
        <w:rPr>
          <w:lang w:eastAsia="fr-FR" w:bidi="fr-FR"/>
        </w:rPr>
      </w:pPr>
    </w:p>
    <w:p w14:paraId="09F12489" w14:textId="77777777" w:rsidR="0039793A" w:rsidRPr="004304C5" w:rsidRDefault="0039793A" w:rsidP="0039793A">
      <w:pPr>
        <w:pStyle w:val="b"/>
      </w:pPr>
      <w:r w:rsidRPr="004304C5">
        <w:rPr>
          <w:lang w:eastAsia="fr-FR" w:bidi="fr-FR"/>
        </w:rPr>
        <w:t>Une diffusion rigoureuse de l’information</w:t>
      </w:r>
    </w:p>
    <w:p w14:paraId="03134642" w14:textId="77777777" w:rsidR="0039793A" w:rsidRDefault="0039793A" w:rsidP="0039793A">
      <w:pPr>
        <w:spacing w:before="120" w:after="120"/>
        <w:jc w:val="both"/>
        <w:rPr>
          <w:lang w:eastAsia="fr-FR" w:bidi="fr-FR"/>
        </w:rPr>
      </w:pPr>
    </w:p>
    <w:p w14:paraId="157B0515" w14:textId="77777777" w:rsidR="0039793A" w:rsidRPr="00C30976" w:rsidRDefault="0039793A" w:rsidP="0039793A">
      <w:pPr>
        <w:spacing w:before="120" w:after="120"/>
        <w:jc w:val="both"/>
      </w:pPr>
      <w:r w:rsidRPr="00C30976">
        <w:rPr>
          <w:lang w:eastAsia="fr-FR" w:bidi="fr-FR"/>
        </w:rPr>
        <w:t>D’un côté, quelques grands journaux spécialisés, radios et chaînes de télévision présentent au public intéressé, notamment aux élites, une information rigoureuse et de très haute qualité sur les affaires du monde. Pour ce qui est de la radio et de la télévision, il s’agit esse</w:t>
      </w:r>
      <w:r w:rsidRPr="00C30976">
        <w:rPr>
          <w:lang w:eastAsia="fr-FR" w:bidi="fr-FR"/>
        </w:rPr>
        <w:t>n</w:t>
      </w:r>
      <w:r w:rsidRPr="00C30976">
        <w:rPr>
          <w:lang w:eastAsia="fr-FR" w:bidi="fr-FR"/>
        </w:rPr>
        <w:t>tiellement de structures dont l’organisation et le financement sont p</w:t>
      </w:r>
      <w:r w:rsidRPr="00C30976">
        <w:rPr>
          <w:lang w:eastAsia="fr-FR" w:bidi="fr-FR"/>
        </w:rPr>
        <w:t>u</w:t>
      </w:r>
      <w:r w:rsidRPr="00C30976">
        <w:rPr>
          <w:lang w:eastAsia="fr-FR" w:bidi="fr-FR"/>
        </w:rPr>
        <w:t>blics (des ressources additionnelles sont fournies par les aud</w:t>
      </w:r>
      <w:r w:rsidRPr="00C30976">
        <w:rPr>
          <w:lang w:eastAsia="fr-FR" w:bidi="fr-FR"/>
        </w:rPr>
        <w:t>i</w:t>
      </w:r>
      <w:r w:rsidRPr="00C30976">
        <w:rPr>
          <w:lang w:eastAsia="fr-FR" w:bidi="fr-FR"/>
        </w:rPr>
        <w:t>teurs et des fondations)</w:t>
      </w:r>
      <w:r w:rsidRPr="00C30976">
        <w:t> :</w:t>
      </w:r>
      <w:r w:rsidRPr="00C30976">
        <w:rPr>
          <w:lang w:eastAsia="fr-FR" w:bidi="fr-FR"/>
        </w:rPr>
        <w:t xml:space="preserve"> les radios </w:t>
      </w:r>
      <w:r w:rsidRPr="00C30976">
        <w:t xml:space="preserve">NPR </w:t>
      </w:r>
      <w:r w:rsidRPr="00C30976">
        <w:rPr>
          <w:lang w:eastAsia="fr-FR" w:bidi="fr-FR"/>
        </w:rPr>
        <w:t xml:space="preserve">et </w:t>
      </w:r>
      <w:r w:rsidRPr="00C30976">
        <w:t xml:space="preserve">C-SPAN, </w:t>
      </w:r>
      <w:r w:rsidRPr="00C30976">
        <w:rPr>
          <w:lang w:eastAsia="fr-FR" w:bidi="fr-FR"/>
        </w:rPr>
        <w:t>de même que les cha</w:t>
      </w:r>
      <w:r w:rsidRPr="00C30976">
        <w:rPr>
          <w:lang w:eastAsia="fr-FR" w:bidi="fr-FR"/>
        </w:rPr>
        <w:t>î</w:t>
      </w:r>
      <w:r w:rsidRPr="00C30976">
        <w:rPr>
          <w:lang w:eastAsia="fr-FR" w:bidi="fr-FR"/>
        </w:rPr>
        <w:t xml:space="preserve">nes de télévision </w:t>
      </w:r>
      <w:r w:rsidRPr="00C30976">
        <w:t xml:space="preserve">C-SPAN </w:t>
      </w:r>
      <w:r w:rsidRPr="00C30976">
        <w:rPr>
          <w:lang w:eastAsia="fr-FR" w:bidi="fr-FR"/>
        </w:rPr>
        <w:t xml:space="preserve">et </w:t>
      </w:r>
      <w:r w:rsidRPr="00C30976">
        <w:t xml:space="preserve">PBS. </w:t>
      </w:r>
      <w:r w:rsidRPr="00C30976">
        <w:rPr>
          <w:lang w:eastAsia="fr-FR" w:bidi="fr-FR"/>
        </w:rPr>
        <w:t>Pour ce</w:t>
      </w:r>
      <w:r>
        <w:rPr>
          <w:lang w:eastAsia="fr-FR" w:bidi="fr-FR"/>
        </w:rPr>
        <w:t xml:space="preserve"> </w:t>
      </w:r>
      <w:r w:rsidRPr="00C30976">
        <w:rPr>
          <w:lang w:eastAsia="fr-FR" w:bidi="fr-FR"/>
        </w:rPr>
        <w:t xml:space="preserve">qui est de la presse écrite, le </w:t>
      </w:r>
      <w:r w:rsidRPr="008D0AD0">
        <w:rPr>
          <w:i/>
          <w:iCs/>
        </w:rPr>
        <w:t>New York Times</w:t>
      </w:r>
      <w:r w:rsidRPr="00C30976">
        <w:rPr>
          <w:lang w:eastAsia="fr-FR" w:bidi="fr-FR"/>
        </w:rPr>
        <w:t xml:space="preserve"> est le symbole de cette information de qualité. Il convient aussi de citer le </w:t>
      </w:r>
      <w:r w:rsidRPr="008D0AD0">
        <w:rPr>
          <w:i/>
          <w:iCs/>
        </w:rPr>
        <w:t>Wall Street Journal</w:t>
      </w:r>
      <w:r w:rsidRPr="00C30976">
        <w:rPr>
          <w:lang w:eastAsia="fr-FR" w:bidi="fr-FR"/>
        </w:rPr>
        <w:t xml:space="preserve"> et le </w:t>
      </w:r>
      <w:r w:rsidRPr="008D0AD0">
        <w:rPr>
          <w:i/>
          <w:iCs/>
        </w:rPr>
        <w:t>Financial Times</w:t>
      </w:r>
      <w:r w:rsidRPr="00C30976">
        <w:rPr>
          <w:lang w:eastAsia="fr-FR" w:bidi="fr-FR"/>
        </w:rPr>
        <w:t>, qui ont tous une diffusion nation</w:t>
      </w:r>
      <w:r w:rsidRPr="00C30976">
        <w:rPr>
          <w:lang w:eastAsia="fr-FR" w:bidi="fr-FR"/>
        </w:rPr>
        <w:t>a</w:t>
      </w:r>
      <w:r w:rsidRPr="00C30976">
        <w:rPr>
          <w:lang w:eastAsia="fr-FR" w:bidi="fr-FR"/>
        </w:rPr>
        <w:t xml:space="preserve">le aux </w:t>
      </w:r>
      <w:r>
        <w:rPr>
          <w:lang w:eastAsia="fr-FR" w:bidi="fr-FR"/>
        </w:rPr>
        <w:t>État</w:t>
      </w:r>
      <w:r w:rsidRPr="00C30976">
        <w:rPr>
          <w:lang w:eastAsia="fr-FR" w:bidi="fr-FR"/>
        </w:rPr>
        <w:t>s-Unis, ainsi que certains journaux dont la diffusion est géogr</w:t>
      </w:r>
      <w:r w:rsidRPr="00C30976">
        <w:rPr>
          <w:lang w:eastAsia="fr-FR" w:bidi="fr-FR"/>
        </w:rPr>
        <w:t>a</w:t>
      </w:r>
      <w:r w:rsidRPr="00C30976">
        <w:rPr>
          <w:lang w:eastAsia="fr-FR" w:bidi="fr-FR"/>
        </w:rPr>
        <w:t xml:space="preserve">phiquement plus limitée, comme le </w:t>
      </w:r>
      <w:r w:rsidRPr="008D0AD0">
        <w:rPr>
          <w:i/>
          <w:iCs/>
        </w:rPr>
        <w:t>Washington Post</w:t>
      </w:r>
      <w:r w:rsidRPr="00C30976">
        <w:rPr>
          <w:lang w:eastAsia="fr-FR" w:bidi="fr-FR"/>
        </w:rPr>
        <w:t xml:space="preserve"> (auquel sa présence à Washington confère tout</w:t>
      </w:r>
      <w:r w:rsidRPr="00C30976">
        <w:rPr>
          <w:lang w:eastAsia="fr-FR" w:bidi="fr-FR"/>
        </w:rPr>
        <w:t>e</w:t>
      </w:r>
      <w:r w:rsidRPr="00C30976">
        <w:rPr>
          <w:lang w:eastAsia="fr-FR" w:bidi="fr-FR"/>
        </w:rPr>
        <w:t>fois un rôle particulier dans les affa</w:t>
      </w:r>
      <w:r w:rsidRPr="00C30976">
        <w:rPr>
          <w:lang w:eastAsia="fr-FR" w:bidi="fr-FR"/>
        </w:rPr>
        <w:t>i</w:t>
      </w:r>
      <w:r w:rsidRPr="00C30976">
        <w:rPr>
          <w:lang w:eastAsia="fr-FR" w:bidi="fr-FR"/>
        </w:rPr>
        <w:t xml:space="preserve">res publiques) ou le </w:t>
      </w:r>
      <w:r w:rsidRPr="008D0AD0">
        <w:rPr>
          <w:i/>
          <w:iCs/>
        </w:rPr>
        <w:t>Los Angeles Times</w:t>
      </w:r>
      <w:r w:rsidRPr="00C30976">
        <w:t>.</w:t>
      </w:r>
      <w:r w:rsidRPr="00C30976">
        <w:rPr>
          <w:lang w:eastAsia="fr-FR" w:bidi="fr-FR"/>
        </w:rPr>
        <w:t xml:space="preserve"> Tous offrent une bonne co</w:t>
      </w:r>
      <w:r w:rsidRPr="00C30976">
        <w:rPr>
          <w:lang w:eastAsia="fr-FR" w:bidi="fr-FR"/>
        </w:rPr>
        <w:t>u</w:t>
      </w:r>
      <w:r w:rsidRPr="00C30976">
        <w:rPr>
          <w:lang w:eastAsia="fr-FR" w:bidi="fr-FR"/>
        </w:rPr>
        <w:t xml:space="preserve">verture des affaires internationales. Le diplomate George Kennan, en 1948, affirmait déjà que </w:t>
      </w:r>
      <w:r w:rsidRPr="00C30976">
        <w:t>« </w:t>
      </w:r>
      <w:r w:rsidRPr="00C30976">
        <w:rPr>
          <w:lang w:eastAsia="fr-FR" w:bidi="fr-FR"/>
        </w:rPr>
        <w:t>98</w:t>
      </w:r>
      <w:r>
        <w:rPr>
          <w:lang w:eastAsia="fr-FR" w:bidi="fr-FR"/>
        </w:rPr>
        <w:t>%</w:t>
      </w:r>
      <w:r w:rsidRPr="00C30976">
        <w:rPr>
          <w:lang w:eastAsia="fr-FR" w:bidi="fr-FR"/>
        </w:rPr>
        <w:t xml:space="preserve"> des renseignements nécessaires pour se former un jugement sur les pr</w:t>
      </w:r>
      <w:r w:rsidRPr="00C30976">
        <w:rPr>
          <w:lang w:eastAsia="fr-FR" w:bidi="fr-FR"/>
        </w:rPr>
        <w:t>o</w:t>
      </w:r>
      <w:r w:rsidRPr="00C30976">
        <w:rPr>
          <w:lang w:eastAsia="fr-FR" w:bidi="fr-FR"/>
        </w:rPr>
        <w:t xml:space="preserve">blèmes de politique étrangère se trouvaient dans le </w:t>
      </w:r>
      <w:r w:rsidRPr="008D0AD0">
        <w:rPr>
          <w:i/>
          <w:iCs/>
        </w:rPr>
        <w:t>New York T</w:t>
      </w:r>
      <w:r w:rsidRPr="008D0AD0">
        <w:rPr>
          <w:i/>
          <w:iCs/>
        </w:rPr>
        <w:t>i</w:t>
      </w:r>
      <w:r w:rsidRPr="008D0AD0">
        <w:rPr>
          <w:i/>
          <w:iCs/>
        </w:rPr>
        <w:t>mes</w:t>
      </w:r>
      <w:r w:rsidRPr="00C30976">
        <w:t> »</w:t>
      </w:r>
      <w:r w:rsidRPr="00C30976">
        <w:rPr>
          <w:lang w:eastAsia="fr-FR" w:bidi="fr-FR"/>
        </w:rPr>
        <w:t>. L’économiste et homme polit</w:t>
      </w:r>
      <w:r w:rsidRPr="00C30976">
        <w:rPr>
          <w:lang w:eastAsia="fr-FR" w:bidi="fr-FR"/>
        </w:rPr>
        <w:t>i</w:t>
      </w:r>
      <w:r>
        <w:rPr>
          <w:lang w:eastAsia="fr-FR" w:bidi="fr-FR"/>
        </w:rPr>
        <w:t>que John Kenneth Gal</w:t>
      </w:r>
      <w:r w:rsidRPr="00C30976">
        <w:rPr>
          <w:lang w:eastAsia="fr-FR" w:bidi="fr-FR"/>
        </w:rPr>
        <w:t>braith allait même plus loin</w:t>
      </w:r>
      <w:r w:rsidRPr="00C30976">
        <w:t> :</w:t>
      </w:r>
      <w:r w:rsidRPr="00C30976">
        <w:rPr>
          <w:lang w:eastAsia="fr-FR" w:bidi="fr-FR"/>
        </w:rPr>
        <w:t xml:space="preserve"> </w:t>
      </w:r>
      <w:r w:rsidRPr="00C30976">
        <w:t>« </w:t>
      </w:r>
      <w:r w:rsidRPr="00C30976">
        <w:rPr>
          <w:lang w:eastAsia="fr-FR" w:bidi="fr-FR"/>
        </w:rPr>
        <w:t xml:space="preserve">Je n’ai jamais rien appris d’un document classifié que je n’ai trouvé plus tôt ou plus tard dans le </w:t>
      </w:r>
      <w:r w:rsidRPr="008D0AD0">
        <w:rPr>
          <w:i/>
          <w:iCs/>
        </w:rPr>
        <w:t>New York T</w:t>
      </w:r>
      <w:r w:rsidRPr="008D0AD0">
        <w:rPr>
          <w:i/>
          <w:iCs/>
        </w:rPr>
        <w:t>i</w:t>
      </w:r>
      <w:r w:rsidRPr="008D0AD0">
        <w:rPr>
          <w:i/>
          <w:iCs/>
        </w:rPr>
        <w:t>mes</w:t>
      </w:r>
      <w:r>
        <w:rPr>
          <w:lang w:eastAsia="fr-FR" w:bidi="fr-FR"/>
        </w:rPr>
        <w:t> </w:t>
      </w:r>
      <w:r>
        <w:rPr>
          <w:rStyle w:val="Appelnotedebasdep"/>
          <w:lang w:eastAsia="fr-FR" w:bidi="fr-FR"/>
        </w:rPr>
        <w:footnoteReference w:id="608"/>
      </w:r>
      <w:r w:rsidRPr="00C30976">
        <w:t> »</w:t>
      </w:r>
      <w:r w:rsidRPr="00C30976">
        <w:rPr>
          <w:lang w:eastAsia="fr-FR" w:bidi="fr-FR"/>
        </w:rPr>
        <w:t xml:space="preserve"> De fait, le </w:t>
      </w:r>
      <w:r w:rsidRPr="008D0AD0">
        <w:rPr>
          <w:i/>
          <w:iCs/>
        </w:rPr>
        <w:t>New York Times</w:t>
      </w:r>
      <w:r w:rsidRPr="00C30976">
        <w:rPr>
          <w:lang w:eastAsia="fr-FR" w:bidi="fr-FR"/>
        </w:rPr>
        <w:t xml:space="preserve"> et le </w:t>
      </w:r>
      <w:r w:rsidRPr="008D0AD0">
        <w:rPr>
          <w:i/>
          <w:iCs/>
        </w:rPr>
        <w:t>Washington Post</w:t>
      </w:r>
      <w:r w:rsidRPr="00C30976">
        <w:t xml:space="preserve"> </w:t>
      </w:r>
      <w:r w:rsidRPr="00C30976">
        <w:rPr>
          <w:lang w:eastAsia="fr-FR" w:bidi="fr-FR"/>
        </w:rPr>
        <w:t>représentent une lecture i</w:t>
      </w:r>
      <w:r w:rsidRPr="00C30976">
        <w:rPr>
          <w:lang w:eastAsia="fr-FR" w:bidi="fr-FR"/>
        </w:rPr>
        <w:t>n</w:t>
      </w:r>
      <w:r w:rsidRPr="00C30976">
        <w:rPr>
          <w:lang w:eastAsia="fr-FR" w:bidi="fr-FR"/>
        </w:rPr>
        <w:t>dispensable pour les diplomates et les parlementaires, et ils y font r</w:t>
      </w:r>
      <w:r w:rsidRPr="00C30976">
        <w:rPr>
          <w:lang w:eastAsia="fr-FR" w:bidi="fr-FR"/>
        </w:rPr>
        <w:t>é</w:t>
      </w:r>
      <w:r w:rsidRPr="00C30976">
        <w:rPr>
          <w:lang w:eastAsia="fr-FR" w:bidi="fr-FR"/>
        </w:rPr>
        <w:t>férence dans leurs débats. En effet, cette information solide et profe</w:t>
      </w:r>
      <w:r w:rsidRPr="00C30976">
        <w:rPr>
          <w:lang w:eastAsia="fr-FR" w:bidi="fr-FR"/>
        </w:rPr>
        <w:t>s</w:t>
      </w:r>
      <w:r w:rsidRPr="00C30976">
        <w:rPr>
          <w:lang w:eastAsia="fr-FR" w:bidi="fr-FR"/>
        </w:rPr>
        <w:t>sionnelle nourrit un débat d’idées en politique étrangère riche et de</w:t>
      </w:r>
      <w:r w:rsidRPr="00C30976">
        <w:rPr>
          <w:lang w:eastAsia="fr-FR" w:bidi="fr-FR"/>
        </w:rPr>
        <w:t>n</w:t>
      </w:r>
      <w:r w:rsidRPr="00C30976">
        <w:rPr>
          <w:lang w:eastAsia="fr-FR" w:bidi="fr-FR"/>
        </w:rPr>
        <w:t>se, qui passe notamment par les</w:t>
      </w:r>
      <w:r>
        <w:t xml:space="preserve"> [305] </w:t>
      </w:r>
      <w:r w:rsidRPr="00C30976">
        <w:rPr>
          <w:lang w:eastAsia="fr-FR" w:bidi="fr-FR"/>
        </w:rPr>
        <w:t>éditoriaux et les tribunes (app</w:t>
      </w:r>
      <w:r w:rsidRPr="00C30976">
        <w:rPr>
          <w:lang w:eastAsia="fr-FR" w:bidi="fr-FR"/>
        </w:rPr>
        <w:t>e</w:t>
      </w:r>
      <w:r w:rsidRPr="00C30976">
        <w:rPr>
          <w:lang w:eastAsia="fr-FR" w:bidi="fr-FR"/>
        </w:rPr>
        <w:t xml:space="preserve">lés </w:t>
      </w:r>
      <w:r w:rsidRPr="008D0AD0">
        <w:rPr>
          <w:i/>
          <w:iCs/>
        </w:rPr>
        <w:t>op-eds</w:t>
      </w:r>
      <w:r w:rsidRPr="00C30976">
        <w:t>,</w:t>
      </w:r>
      <w:r w:rsidRPr="00C30976">
        <w:rPr>
          <w:lang w:eastAsia="fr-FR" w:bidi="fr-FR"/>
        </w:rPr>
        <w:t xml:space="preserve"> car placés sur la page </w:t>
      </w:r>
      <w:r w:rsidRPr="00C30976">
        <w:t>opposée</w:t>
      </w:r>
      <w:r w:rsidRPr="00C30976">
        <w:rPr>
          <w:lang w:eastAsia="fr-FR" w:bidi="fr-FR"/>
        </w:rPr>
        <w:t xml:space="preserve"> à celle consacrée aux édit</w:t>
      </w:r>
      <w:r w:rsidRPr="00C30976">
        <w:rPr>
          <w:lang w:eastAsia="fr-FR" w:bidi="fr-FR"/>
        </w:rPr>
        <w:t>o</w:t>
      </w:r>
      <w:r w:rsidRPr="00C30976">
        <w:rPr>
          <w:lang w:eastAsia="fr-FR" w:bidi="fr-FR"/>
        </w:rPr>
        <w:t>riaux) offrant des points de vue variés sur les problèmes de politique étrangère du jour. L’ancien conseiller pour la Sécurité nationale et s</w:t>
      </w:r>
      <w:r w:rsidRPr="00C30976">
        <w:rPr>
          <w:lang w:eastAsia="fr-FR" w:bidi="fr-FR"/>
        </w:rPr>
        <w:t>e</w:t>
      </w:r>
      <w:r w:rsidRPr="00C30976">
        <w:rPr>
          <w:lang w:eastAsia="fr-FR" w:bidi="fr-FR"/>
        </w:rPr>
        <w:t>crétaire d’</w:t>
      </w:r>
      <w:r>
        <w:rPr>
          <w:lang w:eastAsia="fr-FR" w:bidi="fr-FR"/>
        </w:rPr>
        <w:t>État</w:t>
      </w:r>
      <w:r w:rsidRPr="00C30976">
        <w:rPr>
          <w:lang w:eastAsia="fr-FR" w:bidi="fr-FR"/>
        </w:rPr>
        <w:t xml:space="preserve"> Henry Kissi</w:t>
      </w:r>
      <w:r w:rsidRPr="00C30976">
        <w:rPr>
          <w:lang w:eastAsia="fr-FR" w:bidi="fr-FR"/>
        </w:rPr>
        <w:t>n</w:t>
      </w:r>
      <w:r w:rsidRPr="00C30976">
        <w:rPr>
          <w:lang w:eastAsia="fr-FR" w:bidi="fr-FR"/>
        </w:rPr>
        <w:t>ger, par exemple, conserve une certaine influence par ce biais. Cepe</w:t>
      </w:r>
      <w:r w:rsidRPr="00C30976">
        <w:rPr>
          <w:lang w:eastAsia="fr-FR" w:bidi="fr-FR"/>
        </w:rPr>
        <w:t>n</w:t>
      </w:r>
      <w:r w:rsidRPr="00C30976">
        <w:rPr>
          <w:lang w:eastAsia="fr-FR" w:bidi="fr-FR"/>
        </w:rPr>
        <w:t>dant, du fait de sa spécialisation, de son éloignement et de sa complexité, et des préférences de lecture des Am</w:t>
      </w:r>
      <w:r w:rsidRPr="00C30976">
        <w:rPr>
          <w:lang w:eastAsia="fr-FR" w:bidi="fr-FR"/>
        </w:rPr>
        <w:t>é</w:t>
      </w:r>
      <w:r w:rsidRPr="00C30976">
        <w:rPr>
          <w:lang w:eastAsia="fr-FR" w:bidi="fr-FR"/>
        </w:rPr>
        <w:t>ricains, ce type d’information ne se retrouve pas dans la majorité des médias qui n’offrent souvent qu’un traitement lacunaire des i</w:t>
      </w:r>
      <w:r w:rsidRPr="00C30976">
        <w:rPr>
          <w:lang w:eastAsia="fr-FR" w:bidi="fr-FR"/>
        </w:rPr>
        <w:t>n</w:t>
      </w:r>
      <w:r w:rsidRPr="00C30976">
        <w:rPr>
          <w:lang w:eastAsia="fr-FR" w:bidi="fr-FR"/>
        </w:rPr>
        <w:t>formations conce</w:t>
      </w:r>
      <w:r w:rsidRPr="00C30976">
        <w:rPr>
          <w:lang w:eastAsia="fr-FR" w:bidi="fr-FR"/>
        </w:rPr>
        <w:t>r</w:t>
      </w:r>
      <w:r w:rsidRPr="00C30976">
        <w:rPr>
          <w:lang w:eastAsia="fr-FR" w:bidi="fr-FR"/>
        </w:rPr>
        <w:t>nant les affaires étrangères.</w:t>
      </w:r>
    </w:p>
    <w:p w14:paraId="2B7EA577" w14:textId="77777777" w:rsidR="0039793A" w:rsidRDefault="0039793A" w:rsidP="0039793A">
      <w:pPr>
        <w:spacing w:before="120" w:after="120"/>
        <w:jc w:val="both"/>
        <w:rPr>
          <w:lang w:eastAsia="fr-FR" w:bidi="fr-FR"/>
        </w:rPr>
      </w:pPr>
    </w:p>
    <w:p w14:paraId="349E7E81" w14:textId="77777777" w:rsidR="0039793A" w:rsidRPr="008D0AD0" w:rsidRDefault="0039793A" w:rsidP="0039793A">
      <w:pPr>
        <w:pStyle w:val="b"/>
      </w:pPr>
      <w:r w:rsidRPr="008D0AD0">
        <w:rPr>
          <w:lang w:eastAsia="fr-FR" w:bidi="fr-FR"/>
        </w:rPr>
        <w:t>Un traitement lacunaire de l’information</w:t>
      </w:r>
    </w:p>
    <w:p w14:paraId="3F67DE26" w14:textId="77777777" w:rsidR="0039793A" w:rsidRDefault="0039793A" w:rsidP="0039793A">
      <w:pPr>
        <w:spacing w:before="120" w:after="120"/>
        <w:jc w:val="both"/>
        <w:rPr>
          <w:lang w:eastAsia="fr-FR" w:bidi="fr-FR"/>
        </w:rPr>
      </w:pPr>
    </w:p>
    <w:p w14:paraId="0EC235FE" w14:textId="77777777" w:rsidR="0039793A" w:rsidRPr="00C30976" w:rsidRDefault="0039793A" w:rsidP="0039793A">
      <w:pPr>
        <w:spacing w:before="120" w:after="120"/>
        <w:jc w:val="both"/>
      </w:pPr>
      <w:r w:rsidRPr="00C30976">
        <w:rPr>
          <w:lang w:eastAsia="fr-FR" w:bidi="fr-FR"/>
        </w:rPr>
        <w:t>D’un autre côté, les médias grand public, co</w:t>
      </w:r>
      <w:r w:rsidRPr="00C30976">
        <w:rPr>
          <w:lang w:eastAsia="fr-FR" w:bidi="fr-FR"/>
        </w:rPr>
        <w:t>m</w:t>
      </w:r>
      <w:r w:rsidRPr="00C30976">
        <w:rPr>
          <w:lang w:eastAsia="fr-FR" w:bidi="fr-FR"/>
        </w:rPr>
        <w:t xml:space="preserve">me </w:t>
      </w:r>
      <w:r w:rsidRPr="008621BC">
        <w:rPr>
          <w:i/>
          <w:iCs/>
        </w:rPr>
        <w:t>USA Today</w:t>
      </w:r>
      <w:r w:rsidRPr="00C30976">
        <w:t xml:space="preserve"> </w:t>
      </w:r>
      <w:r w:rsidRPr="00C30976">
        <w:rPr>
          <w:lang w:eastAsia="fr-FR" w:bidi="fr-FR"/>
        </w:rPr>
        <w:t>(seul journal populaire à diffusion nationale), les journaux locaux (comme les jou</w:t>
      </w:r>
      <w:r w:rsidRPr="00C30976">
        <w:rPr>
          <w:lang w:eastAsia="fr-FR" w:bidi="fr-FR"/>
        </w:rPr>
        <w:t>r</w:t>
      </w:r>
      <w:r w:rsidRPr="00C30976">
        <w:rPr>
          <w:lang w:eastAsia="fr-FR" w:bidi="fr-FR"/>
        </w:rPr>
        <w:t xml:space="preserve">naux </w:t>
      </w:r>
      <w:r w:rsidRPr="008621BC">
        <w:rPr>
          <w:i/>
          <w:iCs/>
        </w:rPr>
        <w:t>Sacramento Bee</w:t>
      </w:r>
      <w:r w:rsidRPr="00C30976">
        <w:t xml:space="preserve">, </w:t>
      </w:r>
      <w:r w:rsidRPr="008621BC">
        <w:rPr>
          <w:i/>
          <w:iCs/>
        </w:rPr>
        <w:t>Saint Louis Post-Dipatch</w:t>
      </w:r>
      <w:r w:rsidRPr="00C30976">
        <w:rPr>
          <w:lang w:eastAsia="fr-FR" w:bidi="fr-FR"/>
        </w:rPr>
        <w:t xml:space="preserve">, </w:t>
      </w:r>
      <w:r w:rsidRPr="008621BC">
        <w:rPr>
          <w:i/>
          <w:iCs/>
        </w:rPr>
        <w:t>Baltimore Sun</w:t>
      </w:r>
      <w:r w:rsidRPr="00C30976">
        <w:rPr>
          <w:lang w:eastAsia="fr-FR" w:bidi="fr-FR"/>
        </w:rPr>
        <w:t xml:space="preserve">, </w:t>
      </w:r>
      <w:r w:rsidRPr="008621BC">
        <w:rPr>
          <w:i/>
          <w:iCs/>
        </w:rPr>
        <w:t>San José Mercury News</w:t>
      </w:r>
      <w:r w:rsidRPr="00C30976">
        <w:t>),</w:t>
      </w:r>
      <w:r w:rsidRPr="00C30976">
        <w:rPr>
          <w:lang w:eastAsia="fr-FR" w:bidi="fr-FR"/>
        </w:rPr>
        <w:t xml:space="preserve"> et surtout les grands réseaux de télév</w:t>
      </w:r>
      <w:r w:rsidRPr="00C30976">
        <w:rPr>
          <w:lang w:eastAsia="fr-FR" w:bidi="fr-FR"/>
        </w:rPr>
        <w:t>i</w:t>
      </w:r>
      <w:r w:rsidRPr="00C30976">
        <w:rPr>
          <w:lang w:eastAsia="fr-FR" w:bidi="fr-FR"/>
        </w:rPr>
        <w:t xml:space="preserve">sion </w:t>
      </w:r>
      <w:r w:rsidRPr="00E64AE4">
        <w:rPr>
          <w:i/>
          <w:iCs/>
        </w:rPr>
        <w:t>(ABC, CBS, NBC</w:t>
      </w:r>
      <w:r w:rsidRPr="00C30976">
        <w:rPr>
          <w:lang w:eastAsia="fr-FR" w:bidi="fr-FR"/>
        </w:rPr>
        <w:t>) offrent une couverture sporadique, lacunaire, et g</w:t>
      </w:r>
      <w:r w:rsidRPr="00C30976">
        <w:rPr>
          <w:lang w:eastAsia="fr-FR" w:bidi="fr-FR"/>
        </w:rPr>
        <w:t>é</w:t>
      </w:r>
      <w:r w:rsidRPr="00C30976">
        <w:rPr>
          <w:lang w:eastAsia="fr-FR" w:bidi="fr-FR"/>
        </w:rPr>
        <w:t xml:space="preserve">néralement très mince des affaires internationales, sauf en cas de crise. Et les chaînes spécialisées en information continue </w:t>
      </w:r>
      <w:r>
        <w:rPr>
          <w:lang w:eastAsia="fr-FR" w:bidi="fr-FR"/>
        </w:rPr>
        <w:t>(</w:t>
      </w:r>
      <w:r w:rsidRPr="00E64AE4">
        <w:rPr>
          <w:lang w:eastAsia="fr-FR" w:bidi="fr-FR"/>
        </w:rPr>
        <w:t xml:space="preserve">Fox News, </w:t>
      </w:r>
      <w:r w:rsidRPr="00E64AE4">
        <w:t xml:space="preserve">CNN, CNN </w:t>
      </w:r>
      <w:r w:rsidRPr="00E64AE4">
        <w:rPr>
          <w:lang w:eastAsia="fr-FR" w:bidi="fr-FR"/>
        </w:rPr>
        <w:t>Headline News</w:t>
      </w:r>
      <w:r w:rsidRPr="00C30976">
        <w:rPr>
          <w:lang w:eastAsia="fr-FR" w:bidi="fr-FR"/>
        </w:rPr>
        <w:t xml:space="preserve"> - qu’il faut distinguer de </w:t>
      </w:r>
      <w:r w:rsidRPr="00E64AE4">
        <w:rPr>
          <w:i/>
          <w:iCs/>
        </w:rPr>
        <w:t xml:space="preserve">CNN </w:t>
      </w:r>
      <w:r w:rsidRPr="00C30976">
        <w:rPr>
          <w:lang w:eastAsia="fr-FR" w:bidi="fr-FR"/>
        </w:rPr>
        <w:t>Internati</w:t>
      </w:r>
      <w:r w:rsidRPr="00C30976">
        <w:rPr>
          <w:lang w:eastAsia="fr-FR" w:bidi="fr-FR"/>
        </w:rPr>
        <w:t>o</w:t>
      </w:r>
      <w:r w:rsidRPr="00C30976">
        <w:rPr>
          <w:lang w:eastAsia="fr-FR" w:bidi="fr-FR"/>
        </w:rPr>
        <w:t xml:space="preserve">nal diffusée à l’étranger — et </w:t>
      </w:r>
      <w:r w:rsidRPr="00E64AE4">
        <w:rPr>
          <w:i/>
          <w:iCs/>
        </w:rPr>
        <w:t>CNBC</w:t>
      </w:r>
      <w:r w:rsidRPr="00C30976">
        <w:rPr>
          <w:lang w:eastAsia="fr-FR" w:bidi="fr-FR"/>
        </w:rPr>
        <w:t>) sont bea</w:t>
      </w:r>
      <w:r w:rsidRPr="00C30976">
        <w:rPr>
          <w:lang w:eastAsia="fr-FR" w:bidi="fr-FR"/>
        </w:rPr>
        <w:t>u</w:t>
      </w:r>
      <w:r w:rsidRPr="00C30976">
        <w:rPr>
          <w:lang w:eastAsia="fr-FR" w:bidi="fr-FR"/>
        </w:rPr>
        <w:t>coup moins regardées que les grands réseaux — ce qui est moins vrai en temps de crise</w:t>
      </w:r>
      <w:r>
        <w:rPr>
          <w:lang w:eastAsia="fr-FR" w:bidi="fr-FR"/>
        </w:rPr>
        <w:t> </w:t>
      </w:r>
      <w:r>
        <w:rPr>
          <w:rStyle w:val="Appelnotedebasdep"/>
          <w:lang w:eastAsia="fr-FR" w:bidi="fr-FR"/>
        </w:rPr>
        <w:footnoteReference w:id="609"/>
      </w:r>
      <w:r w:rsidRPr="00C30976">
        <w:rPr>
          <w:lang w:eastAsia="fr-FR" w:bidi="fr-FR"/>
        </w:rPr>
        <w:t>. Or, la télévision est le principal vecteur d’information pour une maj</w:t>
      </w:r>
      <w:r w:rsidRPr="00C30976">
        <w:rPr>
          <w:lang w:eastAsia="fr-FR" w:bidi="fr-FR"/>
        </w:rPr>
        <w:t>o</w:t>
      </w:r>
      <w:r w:rsidRPr="00C30976">
        <w:rPr>
          <w:lang w:eastAsia="fr-FR" w:bidi="fr-FR"/>
        </w:rPr>
        <w:t>rité d’Américains</w:t>
      </w:r>
      <w:r>
        <w:rPr>
          <w:lang w:eastAsia="fr-FR" w:bidi="fr-FR"/>
        </w:rPr>
        <w:t> </w:t>
      </w:r>
      <w:r>
        <w:rPr>
          <w:rStyle w:val="Appelnotedebasdep"/>
          <w:lang w:eastAsia="fr-FR" w:bidi="fr-FR"/>
        </w:rPr>
        <w:footnoteReference w:id="610"/>
      </w:r>
      <w:r w:rsidRPr="00C30976">
        <w:rPr>
          <w:lang w:eastAsia="fr-FR" w:bidi="fr-FR"/>
        </w:rPr>
        <w:t>. Et dans un journal télév</w:t>
      </w:r>
      <w:r w:rsidRPr="00C30976">
        <w:rPr>
          <w:lang w:eastAsia="fr-FR" w:bidi="fr-FR"/>
        </w:rPr>
        <w:t>i</w:t>
      </w:r>
      <w:r w:rsidRPr="00C30976">
        <w:rPr>
          <w:lang w:eastAsia="fr-FR" w:bidi="fr-FR"/>
        </w:rPr>
        <w:t>sé de 22 minutes utiles (c’est-à- dire des minutes effectivement utilisées pour informer, hors public</w:t>
      </w:r>
      <w:r w:rsidRPr="00C30976">
        <w:rPr>
          <w:lang w:eastAsia="fr-FR" w:bidi="fr-FR"/>
        </w:rPr>
        <w:t>i</w:t>
      </w:r>
      <w:r w:rsidRPr="00C30976">
        <w:rPr>
          <w:lang w:eastAsia="fr-FR" w:bidi="fr-FR"/>
        </w:rPr>
        <w:t>té), chaque reportage fait environ 80 secondes et comporte 150 mots</w:t>
      </w:r>
      <w:r w:rsidRPr="00C30976">
        <w:t> :</w:t>
      </w:r>
      <w:r w:rsidRPr="00C30976">
        <w:rPr>
          <w:lang w:eastAsia="fr-FR" w:bidi="fr-FR"/>
        </w:rPr>
        <w:t xml:space="preserve"> comment rentrer sérieusement dans un dossier de politique étrangère en si peu de temps sans simplifier à outrance les probl</w:t>
      </w:r>
      <w:r w:rsidRPr="00C30976">
        <w:rPr>
          <w:lang w:eastAsia="fr-FR" w:bidi="fr-FR"/>
        </w:rPr>
        <w:t>è</w:t>
      </w:r>
      <w:r w:rsidRPr="00C30976">
        <w:rPr>
          <w:lang w:eastAsia="fr-FR" w:bidi="fr-FR"/>
        </w:rPr>
        <w:t>mes</w:t>
      </w:r>
      <w:r>
        <w:rPr>
          <w:lang w:eastAsia="fr-FR" w:bidi="fr-FR"/>
        </w:rPr>
        <w:t> </w:t>
      </w:r>
      <w:r>
        <w:rPr>
          <w:rStyle w:val="Appelnotedebasdep"/>
          <w:lang w:eastAsia="fr-FR" w:bidi="fr-FR"/>
        </w:rPr>
        <w:footnoteReference w:id="611"/>
      </w:r>
      <w:r w:rsidRPr="00C30976">
        <w:t> ?</w:t>
      </w:r>
      <w:r w:rsidRPr="00C30976">
        <w:rPr>
          <w:lang w:eastAsia="fr-FR" w:bidi="fr-FR"/>
        </w:rPr>
        <w:t xml:space="preserve"> Par exemple, </w:t>
      </w:r>
      <w:r w:rsidRPr="00E64AE4">
        <w:rPr>
          <w:i/>
          <w:iCs/>
        </w:rPr>
        <w:t>CNN</w:t>
      </w:r>
      <w:r w:rsidRPr="00C30976">
        <w:t xml:space="preserve"> </w:t>
      </w:r>
      <w:r w:rsidRPr="00C30976">
        <w:rPr>
          <w:lang w:eastAsia="fr-FR" w:bidi="fr-FR"/>
        </w:rPr>
        <w:t>propose chaque</w:t>
      </w:r>
      <w:r>
        <w:t xml:space="preserve"> [306] </w:t>
      </w:r>
      <w:r w:rsidRPr="00C30976">
        <w:rPr>
          <w:lang w:eastAsia="fr-FR" w:bidi="fr-FR"/>
        </w:rPr>
        <w:t>jour, au public américain, un tour du monde de l’actualité internationale en 60 s</w:t>
      </w:r>
      <w:r w:rsidRPr="00C30976">
        <w:rPr>
          <w:lang w:eastAsia="fr-FR" w:bidi="fr-FR"/>
        </w:rPr>
        <w:t>e</w:t>
      </w:r>
      <w:r w:rsidRPr="00C30976">
        <w:rPr>
          <w:lang w:eastAsia="fr-FR" w:bidi="fr-FR"/>
        </w:rPr>
        <w:t>condes. La télévision privilégie le sensationnel au détriment du s</w:t>
      </w:r>
      <w:r w:rsidRPr="00C30976">
        <w:rPr>
          <w:lang w:eastAsia="fr-FR" w:bidi="fr-FR"/>
        </w:rPr>
        <w:t>é</w:t>
      </w:r>
      <w:r w:rsidRPr="00C30976">
        <w:rPr>
          <w:lang w:eastAsia="fr-FR" w:bidi="fr-FR"/>
        </w:rPr>
        <w:t>rieux, le nouveau au détriment de la continuité, la critique et les a</w:t>
      </w:r>
      <w:r w:rsidRPr="00C30976">
        <w:rPr>
          <w:lang w:eastAsia="fr-FR" w:bidi="fr-FR"/>
        </w:rPr>
        <w:t>f</w:t>
      </w:r>
      <w:r w:rsidRPr="00C30976">
        <w:rPr>
          <w:lang w:eastAsia="fr-FR" w:bidi="fr-FR"/>
        </w:rPr>
        <w:t>frontements de personnalités au détriment de l’analyse des positions des acteurs concernés. Une évolution similaire marque la presse he</w:t>
      </w:r>
      <w:r w:rsidRPr="00C30976">
        <w:rPr>
          <w:lang w:eastAsia="fr-FR" w:bidi="fr-FR"/>
        </w:rPr>
        <w:t>b</w:t>
      </w:r>
      <w:r w:rsidRPr="00C30976">
        <w:rPr>
          <w:lang w:eastAsia="fr-FR" w:bidi="fr-FR"/>
        </w:rPr>
        <w:t>domadaire, qui couvre peu les affaires inte</w:t>
      </w:r>
      <w:r w:rsidRPr="00C30976">
        <w:rPr>
          <w:lang w:eastAsia="fr-FR" w:bidi="fr-FR"/>
        </w:rPr>
        <w:t>r</w:t>
      </w:r>
      <w:r w:rsidRPr="00C30976">
        <w:rPr>
          <w:lang w:eastAsia="fr-FR" w:bidi="fr-FR"/>
        </w:rPr>
        <w:t>nationales et privilégie les informations accroche</w:t>
      </w:r>
      <w:r w:rsidRPr="00C30976">
        <w:rPr>
          <w:lang w:eastAsia="fr-FR" w:bidi="fr-FR"/>
        </w:rPr>
        <w:t>u</w:t>
      </w:r>
      <w:r w:rsidRPr="00C30976">
        <w:rPr>
          <w:lang w:eastAsia="fr-FR" w:bidi="fr-FR"/>
        </w:rPr>
        <w:t xml:space="preserve">ses et vendeuses. Ainsi le 18 mai 1998, deux sujets étaient en compétition pour la couverture de </w:t>
      </w:r>
      <w:r w:rsidRPr="00315535">
        <w:rPr>
          <w:i/>
          <w:iCs/>
        </w:rPr>
        <w:t>Time</w:t>
      </w:r>
      <w:r w:rsidRPr="00C30976">
        <w:rPr>
          <w:lang w:eastAsia="fr-FR" w:bidi="fr-FR"/>
        </w:rPr>
        <w:t xml:space="preserve"> et de </w:t>
      </w:r>
      <w:r w:rsidRPr="00315535">
        <w:rPr>
          <w:i/>
          <w:iCs/>
        </w:rPr>
        <w:t>New</w:t>
      </w:r>
      <w:r w:rsidRPr="00315535">
        <w:rPr>
          <w:i/>
          <w:iCs/>
        </w:rPr>
        <w:t>s</w:t>
      </w:r>
      <w:r w:rsidRPr="00315535">
        <w:rPr>
          <w:i/>
          <w:iCs/>
        </w:rPr>
        <w:t>week</w:t>
      </w:r>
      <w:r w:rsidRPr="00C30976">
        <w:t> :</w:t>
      </w:r>
      <w:r w:rsidRPr="00C30976">
        <w:rPr>
          <w:lang w:eastAsia="fr-FR" w:bidi="fr-FR"/>
        </w:rPr>
        <w:t xml:space="preserve"> les essais nucléaires indiens et le décès de Frank Sin</w:t>
      </w:r>
      <w:r w:rsidRPr="00C30976">
        <w:rPr>
          <w:lang w:eastAsia="fr-FR" w:bidi="fr-FR"/>
        </w:rPr>
        <w:t>a</w:t>
      </w:r>
      <w:r w:rsidRPr="00C30976">
        <w:rPr>
          <w:lang w:eastAsia="fr-FR" w:bidi="fr-FR"/>
        </w:rPr>
        <w:t>tra</w:t>
      </w:r>
      <w:r w:rsidRPr="00C30976">
        <w:t> ;</w:t>
      </w:r>
      <w:r w:rsidRPr="00C30976">
        <w:rPr>
          <w:lang w:eastAsia="fr-FR" w:bidi="fr-FR"/>
        </w:rPr>
        <w:t xml:space="preserve"> dans le</w:t>
      </w:r>
      <w:r>
        <w:rPr>
          <w:lang w:eastAsia="fr-FR" w:bidi="fr-FR"/>
        </w:rPr>
        <w:t>s deux cas, Sinatra l’a emporté </w:t>
      </w:r>
      <w:r>
        <w:rPr>
          <w:rStyle w:val="Appelnotedebasdep"/>
          <w:lang w:eastAsia="fr-FR" w:bidi="fr-FR"/>
        </w:rPr>
        <w:footnoteReference w:id="612"/>
      </w:r>
      <w:r>
        <w:rPr>
          <w:lang w:eastAsia="fr-FR" w:bidi="fr-FR"/>
        </w:rPr>
        <w:t>.</w:t>
      </w:r>
      <w:r w:rsidRPr="00C30976">
        <w:rPr>
          <w:lang w:eastAsia="fr-FR" w:bidi="fr-FR"/>
        </w:rPr>
        <w:t xml:space="preserve"> De fait, qu’ils travai</w:t>
      </w:r>
      <w:r w:rsidRPr="00C30976">
        <w:rPr>
          <w:lang w:eastAsia="fr-FR" w:bidi="fr-FR"/>
        </w:rPr>
        <w:t>l</w:t>
      </w:r>
      <w:r w:rsidRPr="00C30976">
        <w:rPr>
          <w:lang w:eastAsia="fr-FR" w:bidi="fr-FR"/>
        </w:rPr>
        <w:t>lent pour la télévision ou pour la presse hebdomadaire, les correspondants perm</w:t>
      </w:r>
      <w:r w:rsidRPr="00C30976">
        <w:rPr>
          <w:lang w:eastAsia="fr-FR" w:bidi="fr-FR"/>
        </w:rPr>
        <w:t>a</w:t>
      </w:r>
      <w:r w:rsidRPr="00C30976">
        <w:rPr>
          <w:lang w:eastAsia="fr-FR" w:bidi="fr-FR"/>
        </w:rPr>
        <w:t>nents à l’étranger voient leur no</w:t>
      </w:r>
      <w:r w:rsidRPr="00C30976">
        <w:rPr>
          <w:lang w:eastAsia="fr-FR" w:bidi="fr-FR"/>
        </w:rPr>
        <w:t>m</w:t>
      </w:r>
      <w:r w:rsidRPr="00C30976">
        <w:rPr>
          <w:lang w:eastAsia="fr-FR" w:bidi="fr-FR"/>
        </w:rPr>
        <w:t>bre se réduire tandis qu’augmente celui des envoyés spéciaux, ponctuels, qui coûtent moins cher.</w:t>
      </w:r>
    </w:p>
    <w:p w14:paraId="4B9E111D" w14:textId="77777777" w:rsidR="0039793A" w:rsidRPr="00C30976" w:rsidRDefault="0039793A" w:rsidP="0039793A">
      <w:pPr>
        <w:spacing w:before="120" w:after="120"/>
        <w:jc w:val="both"/>
      </w:pPr>
      <w:r w:rsidRPr="00C30976">
        <w:rPr>
          <w:lang w:eastAsia="fr-FR" w:bidi="fr-FR"/>
        </w:rPr>
        <w:t>Dans l’ensemble, l’opinion publique américaine est mal informée en matière d’affaires internationales</w:t>
      </w:r>
      <w:r w:rsidRPr="00C30976">
        <w:t> ;</w:t>
      </w:r>
      <w:r w:rsidRPr="00C30976">
        <w:rPr>
          <w:lang w:eastAsia="fr-FR" w:bidi="fr-FR"/>
        </w:rPr>
        <w:t xml:space="preserve"> ainsi, en 1985, 28</w:t>
      </w:r>
      <w:r>
        <w:rPr>
          <w:lang w:eastAsia="fr-FR" w:bidi="fr-FR"/>
        </w:rPr>
        <w:t>%</w:t>
      </w:r>
      <w:r w:rsidRPr="00C30976">
        <w:rPr>
          <w:lang w:eastAsia="fr-FR" w:bidi="fr-FR"/>
        </w:rPr>
        <w:t xml:space="preserve"> des Amér</w:t>
      </w:r>
      <w:r w:rsidRPr="00C30976">
        <w:rPr>
          <w:lang w:eastAsia="fr-FR" w:bidi="fr-FR"/>
        </w:rPr>
        <w:t>i</w:t>
      </w:r>
      <w:r w:rsidRPr="00C30976">
        <w:rPr>
          <w:lang w:eastAsia="fr-FR" w:bidi="fr-FR"/>
        </w:rPr>
        <w:t xml:space="preserve">cains croyaient que </w:t>
      </w:r>
      <w:r w:rsidRPr="00C30976">
        <w:t xml:space="preserve">l’URSS </w:t>
      </w:r>
      <w:r w:rsidRPr="00C30976">
        <w:rPr>
          <w:lang w:eastAsia="fr-FR" w:bidi="fr-FR"/>
        </w:rPr>
        <w:t>et les États-Unis étaient ennemis d</w:t>
      </w:r>
      <w:r w:rsidRPr="00C30976">
        <w:rPr>
          <w:lang w:eastAsia="fr-FR" w:bidi="fr-FR"/>
        </w:rPr>
        <w:t>u</w:t>
      </w:r>
      <w:r w:rsidRPr="00C30976">
        <w:rPr>
          <w:lang w:eastAsia="fr-FR" w:bidi="fr-FR"/>
        </w:rPr>
        <w:t>rant la seconde guerre mondiale</w:t>
      </w:r>
      <w:r w:rsidRPr="00C30976">
        <w:t> ;</w:t>
      </w:r>
      <w:r w:rsidRPr="00C30976">
        <w:rPr>
          <w:lang w:eastAsia="fr-FR" w:bidi="fr-FR"/>
        </w:rPr>
        <w:t xml:space="preserve"> et 44</w:t>
      </w:r>
      <w:r>
        <w:rPr>
          <w:lang w:eastAsia="fr-FR" w:bidi="fr-FR"/>
        </w:rPr>
        <w:t>%</w:t>
      </w:r>
      <w:r w:rsidRPr="00C30976">
        <w:rPr>
          <w:lang w:eastAsia="fr-FR" w:bidi="fr-FR"/>
        </w:rPr>
        <w:t xml:space="preserve"> ne savaient pas qu’ils étaient a</w:t>
      </w:r>
      <w:r w:rsidRPr="00C30976">
        <w:rPr>
          <w:lang w:eastAsia="fr-FR" w:bidi="fr-FR"/>
        </w:rPr>
        <w:t>l</w:t>
      </w:r>
      <w:r w:rsidRPr="00C30976">
        <w:rPr>
          <w:lang w:eastAsia="fr-FR" w:bidi="fr-FR"/>
        </w:rPr>
        <w:t>liés</w:t>
      </w:r>
      <w:r>
        <w:rPr>
          <w:lang w:eastAsia="fr-FR" w:bidi="fr-FR"/>
        </w:rPr>
        <w:t> </w:t>
      </w:r>
      <w:r>
        <w:rPr>
          <w:rStyle w:val="Appelnotedebasdep"/>
          <w:lang w:eastAsia="fr-FR" w:bidi="fr-FR"/>
        </w:rPr>
        <w:footnoteReference w:id="613"/>
      </w:r>
      <w:r w:rsidRPr="00C30976">
        <w:rPr>
          <w:lang w:eastAsia="fr-FR" w:bidi="fr-FR"/>
        </w:rPr>
        <w:t>. Cela s’explique bien sûr par le manque d’intérêt du public pour ce monde extérieur, mais il est hors de doute que les médias po</w:t>
      </w:r>
      <w:r w:rsidRPr="00C30976">
        <w:rPr>
          <w:lang w:eastAsia="fr-FR" w:bidi="fr-FR"/>
        </w:rPr>
        <w:t>r</w:t>
      </w:r>
      <w:r w:rsidRPr="00C30976">
        <w:rPr>
          <w:lang w:eastAsia="fr-FR" w:bidi="fr-FR"/>
        </w:rPr>
        <w:t xml:space="preserve">tent aussi leur part de responsabilité, du fait de la course à l’audimat qui leur fait privilégier le sensationnel et le distrayant (l’information devient en fait de </w:t>
      </w:r>
      <w:r w:rsidRPr="00315535">
        <w:rPr>
          <w:i/>
          <w:iCs/>
          <w:lang w:eastAsia="fr-FR" w:bidi="fr-FR"/>
        </w:rPr>
        <w:t>l’</w:t>
      </w:r>
      <w:r w:rsidRPr="00315535">
        <w:rPr>
          <w:i/>
          <w:iCs/>
        </w:rPr>
        <w:t>infotainment</w:t>
      </w:r>
      <w:r w:rsidRPr="00C30976">
        <w:rPr>
          <w:lang w:eastAsia="fr-FR" w:bidi="fr-FR"/>
        </w:rPr>
        <w:t>, mélange d’information et de dive</w:t>
      </w:r>
      <w:r w:rsidRPr="00C30976">
        <w:rPr>
          <w:lang w:eastAsia="fr-FR" w:bidi="fr-FR"/>
        </w:rPr>
        <w:t>r</w:t>
      </w:r>
      <w:r w:rsidRPr="00C30976">
        <w:rPr>
          <w:lang w:eastAsia="fr-FR" w:bidi="fr-FR"/>
        </w:rPr>
        <w:t>tissement).</w:t>
      </w:r>
    </w:p>
    <w:p w14:paraId="0A035616" w14:textId="77777777" w:rsidR="0039793A" w:rsidRDefault="0039793A" w:rsidP="0039793A">
      <w:pPr>
        <w:spacing w:before="120" w:after="120"/>
        <w:jc w:val="both"/>
        <w:rPr>
          <w:lang w:eastAsia="fr-FR" w:bidi="fr-FR"/>
        </w:rPr>
      </w:pPr>
    </w:p>
    <w:p w14:paraId="3D0A4795" w14:textId="77777777" w:rsidR="0039793A" w:rsidRPr="00C30976" w:rsidRDefault="0039793A" w:rsidP="0039793A">
      <w:pPr>
        <w:pStyle w:val="a"/>
      </w:pPr>
      <w:r w:rsidRPr="00C30976">
        <w:t>Le rôle des médias dans la gestion présidentielle</w:t>
      </w:r>
      <w:r>
        <w:br/>
      </w:r>
      <w:r w:rsidRPr="00C30976">
        <w:t>de la politique étrangère</w:t>
      </w:r>
    </w:p>
    <w:p w14:paraId="4E6904CE" w14:textId="77777777" w:rsidR="0039793A" w:rsidRDefault="0039793A" w:rsidP="0039793A">
      <w:pPr>
        <w:spacing w:before="120" w:after="120"/>
        <w:jc w:val="both"/>
        <w:rPr>
          <w:lang w:eastAsia="fr-FR" w:bidi="fr-FR"/>
        </w:rPr>
      </w:pPr>
    </w:p>
    <w:p w14:paraId="2DEA3F55" w14:textId="77777777" w:rsidR="0039793A" w:rsidRPr="00C30976" w:rsidRDefault="0039793A" w:rsidP="0039793A">
      <w:pPr>
        <w:spacing w:before="120" w:after="120"/>
        <w:jc w:val="both"/>
      </w:pPr>
      <w:r w:rsidRPr="00C30976">
        <w:rPr>
          <w:lang w:eastAsia="fr-FR" w:bidi="fr-FR"/>
        </w:rPr>
        <w:t>L’impact de la télévision et des grands journaux sur l’Exécutif est réel en politique étrangère. D</w:t>
      </w:r>
      <w:r w:rsidRPr="00C30976">
        <w:rPr>
          <w:lang w:eastAsia="fr-FR" w:bidi="fr-FR"/>
        </w:rPr>
        <w:t>e</w:t>
      </w:r>
      <w:r w:rsidRPr="00C30976">
        <w:rPr>
          <w:lang w:eastAsia="fr-FR" w:bidi="fr-FR"/>
        </w:rPr>
        <w:t>puis la guerre du Vietnam, la couverture médiatique de la diplomatie américaine a souvent représenté une contrainte politique forte et une donnée déterminante pour le prés</w:t>
      </w:r>
      <w:r w:rsidRPr="00C30976">
        <w:rPr>
          <w:lang w:eastAsia="fr-FR" w:bidi="fr-FR"/>
        </w:rPr>
        <w:t>i</w:t>
      </w:r>
      <w:r w:rsidRPr="00C30976">
        <w:rPr>
          <w:lang w:eastAsia="fr-FR" w:bidi="fr-FR"/>
        </w:rPr>
        <w:t>dent, accélérant notamment l’urgence de ses décisions. Pour autant, ce dernier n’est pas sans atouts et dispose indéniablement de moyens pour imprimer sa marque à la couverture médiatique afin qu’elle serve ses desseins.</w:t>
      </w:r>
    </w:p>
    <w:p w14:paraId="0E8C7A52" w14:textId="77777777" w:rsidR="0039793A" w:rsidRDefault="0039793A" w:rsidP="0039793A">
      <w:pPr>
        <w:spacing w:before="120" w:after="120"/>
        <w:jc w:val="both"/>
      </w:pPr>
      <w:r>
        <w:t>[307]</w:t>
      </w:r>
    </w:p>
    <w:p w14:paraId="3E3D587B" w14:textId="77777777" w:rsidR="0039793A" w:rsidRPr="00C30976" w:rsidRDefault="0039793A" w:rsidP="0039793A">
      <w:pPr>
        <w:spacing w:before="120" w:after="120"/>
        <w:jc w:val="both"/>
      </w:pPr>
    </w:p>
    <w:p w14:paraId="52784578" w14:textId="77777777" w:rsidR="0039793A" w:rsidRPr="00D87DC5" w:rsidRDefault="0039793A" w:rsidP="0039793A">
      <w:pPr>
        <w:pStyle w:val="b"/>
      </w:pPr>
      <w:r w:rsidRPr="00D87DC5">
        <w:rPr>
          <w:lang w:eastAsia="fr-FR" w:bidi="fr-FR"/>
        </w:rPr>
        <w:t>Le poids déterminant des médias</w:t>
      </w:r>
    </w:p>
    <w:p w14:paraId="6B0DDDD0" w14:textId="77777777" w:rsidR="0039793A" w:rsidRDefault="0039793A" w:rsidP="0039793A">
      <w:pPr>
        <w:spacing w:before="120" w:after="120"/>
        <w:jc w:val="both"/>
        <w:rPr>
          <w:lang w:eastAsia="fr-FR" w:bidi="fr-FR"/>
        </w:rPr>
      </w:pPr>
    </w:p>
    <w:p w14:paraId="0E0370DF" w14:textId="77777777" w:rsidR="0039793A" w:rsidRPr="00C30976" w:rsidRDefault="0039793A" w:rsidP="0039793A">
      <w:pPr>
        <w:spacing w:before="120" w:after="120"/>
        <w:jc w:val="both"/>
      </w:pPr>
      <w:r w:rsidRPr="00C30976">
        <w:rPr>
          <w:lang w:eastAsia="fr-FR" w:bidi="fr-FR"/>
        </w:rPr>
        <w:t>Les médias ont, en matière de politique étrangère, un rôle déterm</w:t>
      </w:r>
      <w:r w:rsidRPr="00C30976">
        <w:rPr>
          <w:lang w:eastAsia="fr-FR" w:bidi="fr-FR"/>
        </w:rPr>
        <w:t>i</w:t>
      </w:r>
      <w:r w:rsidRPr="00C30976">
        <w:rPr>
          <w:lang w:eastAsia="fr-FR" w:bidi="fr-FR"/>
        </w:rPr>
        <w:t>nant à double titre, d’une part parce qu’ils viennent influencer dire</w:t>
      </w:r>
      <w:r w:rsidRPr="00C30976">
        <w:rPr>
          <w:lang w:eastAsia="fr-FR" w:bidi="fr-FR"/>
        </w:rPr>
        <w:t>c</w:t>
      </w:r>
      <w:r w:rsidRPr="00C30976">
        <w:rPr>
          <w:lang w:eastAsia="fr-FR" w:bidi="fr-FR"/>
        </w:rPr>
        <w:t>tement la posture présidentielle et d’autre part, parce que indirect</w:t>
      </w:r>
      <w:r w:rsidRPr="00C30976">
        <w:rPr>
          <w:lang w:eastAsia="fr-FR" w:bidi="fr-FR"/>
        </w:rPr>
        <w:t>e</w:t>
      </w:r>
      <w:r w:rsidRPr="00C30976">
        <w:rPr>
          <w:lang w:eastAsia="fr-FR" w:bidi="fr-FR"/>
        </w:rPr>
        <w:t>ment, ils vont attirer l’attention du public sur des événements do</w:t>
      </w:r>
      <w:r w:rsidRPr="00C30976">
        <w:rPr>
          <w:lang w:eastAsia="fr-FR" w:bidi="fr-FR"/>
        </w:rPr>
        <w:t>n</w:t>
      </w:r>
      <w:r w:rsidRPr="00C30976">
        <w:rPr>
          <w:lang w:eastAsia="fr-FR" w:bidi="fr-FR"/>
        </w:rPr>
        <w:t>nés</w:t>
      </w:r>
      <w:r>
        <w:rPr>
          <w:lang w:eastAsia="fr-FR" w:bidi="fr-FR"/>
        </w:rPr>
        <w:t> </w:t>
      </w:r>
      <w:r>
        <w:rPr>
          <w:rStyle w:val="Appelnotedebasdep"/>
          <w:lang w:eastAsia="fr-FR" w:bidi="fr-FR"/>
        </w:rPr>
        <w:footnoteReference w:id="614"/>
      </w:r>
      <w:r>
        <w:rPr>
          <w:lang w:eastAsia="fr-FR" w:bidi="fr-FR"/>
        </w:rPr>
        <w:t>.</w:t>
      </w:r>
    </w:p>
    <w:p w14:paraId="350DDBAD" w14:textId="77777777" w:rsidR="0039793A" w:rsidRPr="00C30976" w:rsidRDefault="0039793A" w:rsidP="0039793A">
      <w:pPr>
        <w:spacing w:before="120" w:after="120"/>
        <w:jc w:val="both"/>
      </w:pPr>
      <w:r w:rsidRPr="00C30976">
        <w:rPr>
          <w:lang w:eastAsia="fr-FR" w:bidi="fr-FR"/>
        </w:rPr>
        <w:t>C’est au moment où la guerre du Vietnam a commencé à s’enliser que les médias ont accentué la crise de crédibilité (</w:t>
      </w:r>
      <w:r w:rsidRPr="00D87DC5">
        <w:rPr>
          <w:i/>
          <w:iCs/>
        </w:rPr>
        <w:t>credibility gap</w:t>
      </w:r>
      <w:r w:rsidRPr="00C30976">
        <w:t>)</w:t>
      </w:r>
      <w:r w:rsidRPr="00C30976">
        <w:rPr>
          <w:lang w:eastAsia="fr-FR" w:bidi="fr-FR"/>
        </w:rPr>
        <w:t xml:space="preserve"> de l’Administration Johnson</w:t>
      </w:r>
      <w:r w:rsidRPr="00C30976">
        <w:t> :</w:t>
      </w:r>
      <w:r w:rsidRPr="00C30976">
        <w:rPr>
          <w:lang w:eastAsia="fr-FR" w:bidi="fr-FR"/>
        </w:rPr>
        <w:t xml:space="preserve"> cette dernière prétendait en effet que tout allait bien, sans mesurer les effets désastreux dans l’opinion des repo</w:t>
      </w:r>
      <w:r w:rsidRPr="00C30976">
        <w:rPr>
          <w:lang w:eastAsia="fr-FR" w:bidi="fr-FR"/>
        </w:rPr>
        <w:t>r</w:t>
      </w:r>
      <w:r w:rsidRPr="00C30976">
        <w:rPr>
          <w:lang w:eastAsia="fr-FR" w:bidi="fr-FR"/>
        </w:rPr>
        <w:t>tages quotidiens - et presque en direct — à l’heure du dîner, sur les combats qui se déroulaient dans la jungle vietn</w:t>
      </w:r>
      <w:r w:rsidRPr="00C30976">
        <w:rPr>
          <w:lang w:eastAsia="fr-FR" w:bidi="fr-FR"/>
        </w:rPr>
        <w:t>a</w:t>
      </w:r>
      <w:r w:rsidRPr="00C30976">
        <w:rPr>
          <w:lang w:eastAsia="fr-FR" w:bidi="fr-FR"/>
        </w:rPr>
        <w:t>mienne. Depuis lors, les présidents ont été mis en difficulté par les médias à maintes repr</w:t>
      </w:r>
      <w:r w:rsidRPr="00C30976">
        <w:rPr>
          <w:lang w:eastAsia="fr-FR" w:bidi="fr-FR"/>
        </w:rPr>
        <w:t>i</w:t>
      </w:r>
      <w:r w:rsidRPr="00C30976">
        <w:rPr>
          <w:lang w:eastAsia="fr-FR" w:bidi="fr-FR"/>
        </w:rPr>
        <w:t>ses, et so</w:t>
      </w:r>
      <w:r w:rsidRPr="00C30976">
        <w:rPr>
          <w:lang w:eastAsia="fr-FR" w:bidi="fr-FR"/>
        </w:rPr>
        <w:t>u</w:t>
      </w:r>
      <w:r w:rsidRPr="00C30976">
        <w:rPr>
          <w:lang w:eastAsia="fr-FR" w:bidi="fr-FR"/>
        </w:rPr>
        <w:t xml:space="preserve">vent davantage par des images que par des articles critiques. Ainsi, la photo du chef de la police de Saigon abattant froidement un rebelle Vietcong, le décompte quotidien par des présentateurs tels Ted Koppel (sur </w:t>
      </w:r>
      <w:r w:rsidRPr="00E92019">
        <w:rPr>
          <w:i/>
          <w:iCs/>
        </w:rPr>
        <w:t>ABC</w:t>
      </w:r>
      <w:r w:rsidRPr="00C30976">
        <w:rPr>
          <w:lang w:eastAsia="fr-FR" w:bidi="fr-FR"/>
        </w:rPr>
        <w:t xml:space="preserve">) et Walter Cronkite (sur </w:t>
      </w:r>
      <w:r w:rsidRPr="00E92019">
        <w:rPr>
          <w:i/>
          <w:iCs/>
        </w:rPr>
        <w:t>CBS</w:t>
      </w:r>
      <w:r w:rsidRPr="00C30976">
        <w:rPr>
          <w:lang w:eastAsia="fr-FR" w:bidi="fr-FR"/>
        </w:rPr>
        <w:t>) du nombre de jours de captivité des otages de l’ambassade américaine à Téhéran en 1980, la s</w:t>
      </w:r>
      <w:r w:rsidRPr="00C30976">
        <w:rPr>
          <w:lang w:eastAsia="fr-FR" w:bidi="fr-FR"/>
        </w:rPr>
        <w:t>é</w:t>
      </w:r>
      <w:r w:rsidRPr="00C30976">
        <w:rPr>
          <w:lang w:eastAsia="fr-FR" w:bidi="fr-FR"/>
        </w:rPr>
        <w:t xml:space="preserve">quence filmée du corps d’un </w:t>
      </w:r>
      <w:r w:rsidRPr="00C30976">
        <w:t xml:space="preserve">GI </w:t>
      </w:r>
      <w:r w:rsidRPr="00C30976">
        <w:rPr>
          <w:lang w:eastAsia="fr-FR" w:bidi="fr-FR"/>
        </w:rPr>
        <w:t>traîné dans les rues de Mogadiscio en 1993 constituent autant d’images fortes qui ont, toutes, causé un tort politique cons</w:t>
      </w:r>
      <w:r w:rsidRPr="00C30976">
        <w:rPr>
          <w:lang w:eastAsia="fr-FR" w:bidi="fr-FR"/>
        </w:rPr>
        <w:t>i</w:t>
      </w:r>
      <w:r w:rsidRPr="00C30976">
        <w:rPr>
          <w:lang w:eastAsia="fr-FR" w:bidi="fr-FR"/>
        </w:rPr>
        <w:t>dérable aux présidents américains dans l’opinion publique, les incitant successivement à accélérer le retrait du Vietnam, à lancer une opération — avo</w:t>
      </w:r>
      <w:r w:rsidRPr="00C30976">
        <w:rPr>
          <w:lang w:eastAsia="fr-FR" w:bidi="fr-FR"/>
        </w:rPr>
        <w:t>r</w:t>
      </w:r>
      <w:r w:rsidRPr="00C30976">
        <w:rPr>
          <w:lang w:eastAsia="fr-FR" w:bidi="fr-FR"/>
        </w:rPr>
        <w:t>tée - de libération des otages en Iran, à se retirer de Somalie puis à ne pas intervenir lors du génocide rwa</w:t>
      </w:r>
      <w:r w:rsidRPr="00C30976">
        <w:rPr>
          <w:lang w:eastAsia="fr-FR" w:bidi="fr-FR"/>
        </w:rPr>
        <w:t>n</w:t>
      </w:r>
      <w:r w:rsidRPr="00C30976">
        <w:rPr>
          <w:lang w:eastAsia="fr-FR" w:bidi="fr-FR"/>
        </w:rPr>
        <w:t>dais pour ne pas se retrouver dans la même situation. Inversement, bien des événements de p</w:t>
      </w:r>
      <w:r w:rsidRPr="00C30976">
        <w:rPr>
          <w:lang w:eastAsia="fr-FR" w:bidi="fr-FR"/>
        </w:rPr>
        <w:t>o</w:t>
      </w:r>
      <w:r w:rsidRPr="00C30976">
        <w:rPr>
          <w:lang w:eastAsia="fr-FR" w:bidi="fr-FR"/>
        </w:rPr>
        <w:t>litique étrangère ont rapporté au président un capital de sympathie immédiat et durable</w:t>
      </w:r>
      <w:r w:rsidRPr="00C30976">
        <w:t> :</w:t>
      </w:r>
      <w:r w:rsidRPr="00C30976">
        <w:rPr>
          <w:lang w:eastAsia="fr-FR" w:bidi="fr-FR"/>
        </w:rPr>
        <w:t xml:space="preserve"> non seulement des év</w:t>
      </w:r>
      <w:r w:rsidRPr="00C30976">
        <w:rPr>
          <w:lang w:eastAsia="fr-FR" w:bidi="fr-FR"/>
        </w:rPr>
        <w:t>é</w:t>
      </w:r>
      <w:r w:rsidRPr="00C30976">
        <w:rPr>
          <w:lang w:eastAsia="fr-FR" w:bidi="fr-FR"/>
        </w:rPr>
        <w:t>nements majeurs comme les guerres ou les attentats (après le 11 se</w:t>
      </w:r>
      <w:r w:rsidRPr="00C30976">
        <w:rPr>
          <w:lang w:eastAsia="fr-FR" w:bidi="fr-FR"/>
        </w:rPr>
        <w:t>p</w:t>
      </w:r>
      <w:r w:rsidRPr="00C30976">
        <w:rPr>
          <w:lang w:eastAsia="fr-FR" w:bidi="fr-FR"/>
        </w:rPr>
        <w:t>tembre, la popularité médiocre de George W. Bush atteint des niveaux presque inconnus, au-delà de 90</w:t>
      </w:r>
      <w:r>
        <w:rPr>
          <w:lang w:eastAsia="fr-FR" w:bidi="fr-FR"/>
        </w:rPr>
        <w:t>%</w:t>
      </w:r>
      <w:r w:rsidRPr="00C30976">
        <w:rPr>
          <w:lang w:eastAsia="fr-FR" w:bidi="fr-FR"/>
        </w:rPr>
        <w:t>, pendant de nombreux mois), mais également des interventions militaires (la popularité de Ronald Re</w:t>
      </w:r>
      <w:r w:rsidRPr="00C30976">
        <w:rPr>
          <w:lang w:eastAsia="fr-FR" w:bidi="fr-FR"/>
        </w:rPr>
        <w:t>a</w:t>
      </w:r>
      <w:r w:rsidRPr="00C30976">
        <w:rPr>
          <w:lang w:eastAsia="fr-FR" w:bidi="fr-FR"/>
        </w:rPr>
        <w:t>gan augme</w:t>
      </w:r>
      <w:r w:rsidRPr="00C30976">
        <w:rPr>
          <w:lang w:eastAsia="fr-FR" w:bidi="fr-FR"/>
        </w:rPr>
        <w:t>n</w:t>
      </w:r>
      <w:r w:rsidRPr="00C30976">
        <w:rPr>
          <w:lang w:eastAsia="fr-FR" w:bidi="fr-FR"/>
        </w:rPr>
        <w:t>te de 6 points après le raid contre la Libye, celle de Bill Clinton augmente de 7 points suite à l’attaque de l’Irak par des miss</w:t>
      </w:r>
      <w:r w:rsidRPr="00C30976">
        <w:rPr>
          <w:lang w:eastAsia="fr-FR" w:bidi="fr-FR"/>
        </w:rPr>
        <w:t>i</w:t>
      </w:r>
      <w:r w:rsidRPr="00C30976">
        <w:rPr>
          <w:lang w:eastAsia="fr-FR" w:bidi="fr-FR"/>
        </w:rPr>
        <w:t>les de croisière en juin 1993, et de 9 points suite à l’intervention en Haïti un an plus tard) et des sommets internationaux</w:t>
      </w:r>
      <w:r>
        <w:t xml:space="preserve"> [308] </w:t>
      </w:r>
      <w:r w:rsidRPr="00C30976">
        <w:rPr>
          <w:lang w:eastAsia="fr-FR" w:bidi="fr-FR"/>
        </w:rPr>
        <w:t>(l’image de Jimmy Carter progresse de 13 points après les accords de Camp David de septembre 1978)</w:t>
      </w:r>
      <w:r>
        <w:rPr>
          <w:lang w:eastAsia="fr-FR" w:bidi="fr-FR"/>
        </w:rPr>
        <w:t> </w:t>
      </w:r>
      <w:r>
        <w:rPr>
          <w:rStyle w:val="Appelnotedebasdep"/>
          <w:lang w:eastAsia="fr-FR" w:bidi="fr-FR"/>
        </w:rPr>
        <w:footnoteReference w:id="615"/>
      </w:r>
      <w:r w:rsidRPr="00C30976">
        <w:rPr>
          <w:lang w:eastAsia="fr-FR" w:bidi="fr-FR"/>
        </w:rPr>
        <w:t>.</w:t>
      </w:r>
    </w:p>
    <w:p w14:paraId="6FB14C51" w14:textId="77777777" w:rsidR="0039793A" w:rsidRPr="00C30976" w:rsidRDefault="0039793A" w:rsidP="0039793A">
      <w:pPr>
        <w:spacing w:before="120" w:after="120"/>
        <w:jc w:val="both"/>
      </w:pPr>
      <w:r w:rsidRPr="00C30976">
        <w:rPr>
          <w:lang w:eastAsia="fr-FR" w:bidi="fr-FR"/>
        </w:rPr>
        <w:t>Si les médias peuvent ainsi avoir un impact i</w:t>
      </w:r>
      <w:r w:rsidRPr="00C30976">
        <w:rPr>
          <w:lang w:eastAsia="fr-FR" w:bidi="fr-FR"/>
        </w:rPr>
        <w:t>m</w:t>
      </w:r>
      <w:r w:rsidRPr="00C30976">
        <w:rPr>
          <w:lang w:eastAsia="fr-FR" w:bidi="fr-FR"/>
        </w:rPr>
        <w:t>médiat et visible sur les politiques étrangères menées par le président, ils possèdent un a</w:t>
      </w:r>
      <w:r w:rsidRPr="00C30976">
        <w:rPr>
          <w:lang w:eastAsia="fr-FR" w:bidi="fr-FR"/>
        </w:rPr>
        <w:t>u</w:t>
      </w:r>
      <w:r w:rsidRPr="00C30976">
        <w:rPr>
          <w:lang w:eastAsia="fr-FR" w:bidi="fr-FR"/>
        </w:rPr>
        <w:t>tre pouvoir, de par leur faculté d’attirer l’attention générale sur ce</w:t>
      </w:r>
      <w:r w:rsidRPr="00C30976">
        <w:rPr>
          <w:lang w:eastAsia="fr-FR" w:bidi="fr-FR"/>
        </w:rPr>
        <w:t>r</w:t>
      </w:r>
      <w:r w:rsidRPr="00C30976">
        <w:rPr>
          <w:lang w:eastAsia="fr-FR" w:bidi="fr-FR"/>
        </w:rPr>
        <w:t xml:space="preserve">tains sujets internationaux plutôt que d’autres. Ils </w:t>
      </w:r>
      <w:r w:rsidRPr="00C30976">
        <w:t>« </w:t>
      </w:r>
      <w:r w:rsidRPr="00C30976">
        <w:rPr>
          <w:lang w:eastAsia="fr-FR" w:bidi="fr-FR"/>
        </w:rPr>
        <w:t>déterminent l’agenda</w:t>
      </w:r>
      <w:r w:rsidRPr="00C30976">
        <w:t> »</w:t>
      </w:r>
      <w:r w:rsidRPr="00C30976">
        <w:rPr>
          <w:lang w:eastAsia="fr-FR" w:bidi="fr-FR"/>
        </w:rPr>
        <w:t xml:space="preserve">, si l’on traduit littéralement l’expression américaine. Comme le dit Charles William Maynes, </w:t>
      </w:r>
      <w:r w:rsidRPr="00C30976">
        <w:t>« </w:t>
      </w:r>
      <w:r w:rsidRPr="00C30976">
        <w:rPr>
          <w:lang w:eastAsia="fr-FR" w:bidi="fr-FR"/>
        </w:rPr>
        <w:t xml:space="preserve">depuis la dislocation de </w:t>
      </w:r>
      <w:r w:rsidRPr="00C30976">
        <w:t xml:space="preserve">l’URSS, </w:t>
      </w:r>
      <w:r w:rsidRPr="00C30976">
        <w:rPr>
          <w:lang w:eastAsia="fr-FR" w:bidi="fr-FR"/>
        </w:rPr>
        <w:t>il est devenu clair pour tout observateur attentif qu’à Wa</w:t>
      </w:r>
      <w:r w:rsidRPr="00C30976">
        <w:rPr>
          <w:lang w:eastAsia="fr-FR" w:bidi="fr-FR"/>
        </w:rPr>
        <w:t>s</w:t>
      </w:r>
      <w:r w:rsidRPr="00C30976">
        <w:rPr>
          <w:lang w:eastAsia="fr-FR" w:bidi="fr-FR"/>
        </w:rPr>
        <w:t>hington, ceux qui décident réell</w:t>
      </w:r>
      <w:r w:rsidRPr="00C30976">
        <w:rPr>
          <w:lang w:eastAsia="fr-FR" w:bidi="fr-FR"/>
        </w:rPr>
        <w:t>e</w:t>
      </w:r>
      <w:r w:rsidRPr="00C30976">
        <w:rPr>
          <w:lang w:eastAsia="fr-FR" w:bidi="fr-FR"/>
        </w:rPr>
        <w:t>ment du sujet du jour ne se trouvent pas à la Maison- Blanche mais dans les salles de rédaction et les b</w:t>
      </w:r>
      <w:r w:rsidRPr="00C30976">
        <w:rPr>
          <w:lang w:eastAsia="fr-FR" w:bidi="fr-FR"/>
        </w:rPr>
        <w:t>u</w:t>
      </w:r>
      <w:r w:rsidRPr="00C30976">
        <w:rPr>
          <w:lang w:eastAsia="fr-FR" w:bidi="fr-FR"/>
        </w:rPr>
        <w:t>reaux des grands organes de presse</w:t>
      </w:r>
      <w:r>
        <w:rPr>
          <w:lang w:eastAsia="fr-FR" w:bidi="fr-FR"/>
        </w:rPr>
        <w:t> </w:t>
      </w:r>
      <w:r>
        <w:rPr>
          <w:rStyle w:val="Appelnotedebasdep"/>
          <w:lang w:eastAsia="fr-FR" w:bidi="fr-FR"/>
        </w:rPr>
        <w:footnoteReference w:id="616"/>
      </w:r>
      <w:r w:rsidRPr="00C30976">
        <w:t> »</w:t>
      </w:r>
      <w:r w:rsidRPr="00C30976">
        <w:rPr>
          <w:lang w:eastAsia="fr-FR" w:bidi="fr-FR"/>
        </w:rPr>
        <w:t>. En fixant l’attention de l’opinion publique sur telle r</w:t>
      </w:r>
      <w:r w:rsidRPr="00C30976">
        <w:rPr>
          <w:lang w:eastAsia="fr-FR" w:bidi="fr-FR"/>
        </w:rPr>
        <w:t>é</w:t>
      </w:r>
      <w:r w:rsidRPr="00C30976">
        <w:rPr>
          <w:lang w:eastAsia="fr-FR" w:bidi="fr-FR"/>
        </w:rPr>
        <w:t>gion ou tel problème, les médias contraignent le président à privilégier cette zone ou cet enjeu. Le ph</w:t>
      </w:r>
      <w:r w:rsidRPr="00C30976">
        <w:rPr>
          <w:lang w:eastAsia="fr-FR" w:bidi="fr-FR"/>
        </w:rPr>
        <w:t>é</w:t>
      </w:r>
      <w:r w:rsidRPr="00C30976">
        <w:rPr>
          <w:lang w:eastAsia="fr-FR" w:bidi="fr-FR"/>
        </w:rPr>
        <w:t>nomène aurait même connu une accélération récente avec les no</w:t>
      </w:r>
      <w:r w:rsidRPr="00C30976">
        <w:rPr>
          <w:lang w:eastAsia="fr-FR" w:bidi="fr-FR"/>
        </w:rPr>
        <w:t>u</w:t>
      </w:r>
      <w:r w:rsidRPr="00C30976">
        <w:rPr>
          <w:lang w:eastAsia="fr-FR" w:bidi="fr-FR"/>
        </w:rPr>
        <w:t xml:space="preserve">veaux médias, culminant dans « l’effet </w:t>
      </w:r>
      <w:r w:rsidRPr="00E92019">
        <w:rPr>
          <w:i/>
          <w:iCs/>
        </w:rPr>
        <w:t>CNN »</w:t>
      </w:r>
      <w:r w:rsidRPr="00C30976">
        <w:rPr>
          <w:lang w:eastAsia="fr-FR" w:bidi="fr-FR"/>
        </w:rPr>
        <w:t xml:space="preserve"> (perte de contrôle par les décideurs de leur pouvoir sur la politique étrangère), ce que conteste avec raison Warren Strobel</w:t>
      </w:r>
      <w:r>
        <w:rPr>
          <w:lang w:eastAsia="fr-FR" w:bidi="fr-FR"/>
        </w:rPr>
        <w:t> </w:t>
      </w:r>
      <w:r>
        <w:rPr>
          <w:rStyle w:val="Appelnotedebasdep"/>
          <w:lang w:eastAsia="fr-FR" w:bidi="fr-FR"/>
        </w:rPr>
        <w:footnoteReference w:id="617"/>
      </w:r>
      <w:r w:rsidRPr="00C30976">
        <w:rPr>
          <w:lang w:eastAsia="fr-FR" w:bidi="fr-FR"/>
        </w:rPr>
        <w:t>. Il reprend un exemple so</w:t>
      </w:r>
      <w:r w:rsidRPr="00C30976">
        <w:rPr>
          <w:lang w:eastAsia="fr-FR" w:bidi="fr-FR"/>
        </w:rPr>
        <w:t>u</w:t>
      </w:r>
      <w:r w:rsidRPr="00C30976">
        <w:rPr>
          <w:lang w:eastAsia="fr-FR" w:bidi="fr-FR"/>
        </w:rPr>
        <w:t>vent cité, celui des nombreux report</w:t>
      </w:r>
      <w:r w:rsidRPr="00C30976">
        <w:rPr>
          <w:lang w:eastAsia="fr-FR" w:bidi="fr-FR"/>
        </w:rPr>
        <w:t>a</w:t>
      </w:r>
      <w:r w:rsidRPr="00C30976">
        <w:rPr>
          <w:lang w:eastAsia="fr-FR" w:bidi="fr-FR"/>
        </w:rPr>
        <w:t>ges sur la Somalie en 1992 qui, selon l’opinion d</w:t>
      </w:r>
      <w:r w:rsidRPr="00C30976">
        <w:rPr>
          <w:lang w:eastAsia="fr-FR" w:bidi="fr-FR"/>
        </w:rPr>
        <w:t>o</w:t>
      </w:r>
      <w:r w:rsidRPr="00C30976">
        <w:rPr>
          <w:lang w:eastAsia="fr-FR" w:bidi="fr-FR"/>
        </w:rPr>
        <w:t>minante, auraient beaucoup compté dans la décision de George H. Bush d’envoyer de l’aide humanitaire puis des soldats américains dans ce pays. En fait, il démontre qu’il n’y a eu que quinze reportages sur les trois grands réseaux de télévision avant que George H. Bush décide au mois d’août de mettre en place un pont aérien. Il explique alors que c’est ce</w:t>
      </w:r>
      <w:r w:rsidRPr="00C30976">
        <w:rPr>
          <w:lang w:eastAsia="fr-FR" w:bidi="fr-FR"/>
        </w:rPr>
        <w:t>t</w:t>
      </w:r>
      <w:r w:rsidRPr="00C30976">
        <w:rPr>
          <w:lang w:eastAsia="fr-FR" w:bidi="fr-FR"/>
        </w:rPr>
        <w:t>te première décision qui a déclenché une explosion du nombre de reportages, qui a diminué jusqu’en décembre, moment d’une seconde décision du président, celle d’envoyer des so</w:t>
      </w:r>
      <w:r w:rsidRPr="00C30976">
        <w:rPr>
          <w:lang w:eastAsia="fr-FR" w:bidi="fr-FR"/>
        </w:rPr>
        <w:t>l</w:t>
      </w:r>
      <w:r w:rsidRPr="00C30976">
        <w:rPr>
          <w:lang w:eastAsia="fr-FR" w:bidi="fr-FR"/>
        </w:rPr>
        <w:t>dats. Le président Clinton, avant même la diffusion des images du GI traîné dans les rues de Mogadiscio, était décidé à retirer ses troupes de Somalie</w:t>
      </w:r>
      <w:r w:rsidRPr="00C30976">
        <w:t> :</w:t>
      </w:r>
      <w:r w:rsidRPr="00C30976">
        <w:rPr>
          <w:lang w:eastAsia="fr-FR" w:bidi="fr-FR"/>
        </w:rPr>
        <w:t xml:space="preserve"> les images n’ont pas eu l’effet décisif qu’on a cru, et n’ont fait qu’accélérer l’annonce du retrait. Il ne faut donc pas exagérer ce pouvoir des médias de choisir pour le président les dossiers dignes d’intérêt et ceux qui</w:t>
      </w:r>
      <w:r>
        <w:t xml:space="preserve"> [309] </w:t>
      </w:r>
      <w:r w:rsidRPr="00C30976">
        <w:rPr>
          <w:lang w:eastAsia="fr-FR" w:bidi="fr-FR"/>
        </w:rPr>
        <w:t>ne le sont pas. Comme le note James McCormick, les reportages sur la Bosnie de 1991 à 1995 et les que</w:t>
      </w:r>
      <w:r w:rsidRPr="00C30976">
        <w:rPr>
          <w:lang w:eastAsia="fr-FR" w:bidi="fr-FR"/>
        </w:rPr>
        <w:t>l</w:t>
      </w:r>
      <w:r w:rsidRPr="00C30976">
        <w:rPr>
          <w:lang w:eastAsia="fr-FR" w:bidi="fr-FR"/>
        </w:rPr>
        <w:t>ques images du génocide rwandais n’ont pas entraîné de décision pr</w:t>
      </w:r>
      <w:r w:rsidRPr="00C30976">
        <w:rPr>
          <w:lang w:eastAsia="fr-FR" w:bidi="fr-FR"/>
        </w:rPr>
        <w:t>é</w:t>
      </w:r>
      <w:r w:rsidRPr="00C30976">
        <w:rPr>
          <w:lang w:eastAsia="fr-FR" w:bidi="fr-FR"/>
        </w:rPr>
        <w:t>sidentielle d’intervention</w:t>
      </w:r>
      <w:r>
        <w:rPr>
          <w:lang w:eastAsia="fr-FR" w:bidi="fr-FR"/>
        </w:rPr>
        <w:t> </w:t>
      </w:r>
      <w:r>
        <w:rPr>
          <w:rStyle w:val="Appelnotedebasdep"/>
          <w:lang w:eastAsia="fr-FR" w:bidi="fr-FR"/>
        </w:rPr>
        <w:footnoteReference w:id="618"/>
      </w:r>
      <w:r>
        <w:rPr>
          <w:lang w:eastAsia="fr-FR" w:bidi="fr-FR"/>
        </w:rPr>
        <w:t>.</w:t>
      </w:r>
    </w:p>
    <w:p w14:paraId="7FC9C2C6" w14:textId="77777777" w:rsidR="0039793A" w:rsidRPr="00C30976" w:rsidRDefault="0039793A" w:rsidP="0039793A">
      <w:pPr>
        <w:spacing w:before="120" w:after="120"/>
        <w:jc w:val="both"/>
      </w:pPr>
      <w:r w:rsidRPr="00C30976">
        <w:rPr>
          <w:lang w:eastAsia="fr-FR" w:bidi="fr-FR"/>
        </w:rPr>
        <w:t xml:space="preserve">Là où il peut toutefois exister un « effet </w:t>
      </w:r>
      <w:r w:rsidRPr="00E92019">
        <w:rPr>
          <w:i/>
          <w:iCs/>
        </w:rPr>
        <w:t>CNN</w:t>
      </w:r>
      <w:r w:rsidRPr="00C30976">
        <w:rPr>
          <w:lang w:eastAsia="fr-FR" w:bidi="fr-FR"/>
        </w:rPr>
        <w:t> » palpable, c’est dans l’accélération du rythme des événements politiques, maintenant connus de m</w:t>
      </w:r>
      <w:r w:rsidRPr="00C30976">
        <w:rPr>
          <w:lang w:eastAsia="fr-FR" w:bidi="fr-FR"/>
        </w:rPr>
        <w:t>a</w:t>
      </w:r>
      <w:r w:rsidRPr="00C30976">
        <w:rPr>
          <w:lang w:eastAsia="fr-FR" w:bidi="fr-FR"/>
        </w:rPr>
        <w:t>nière uniformisée par les opinions publiques et tous les responsables internationaux. Ainsi, si la crise des missiles de Cuba s’était produite dans l’environnement médiatique de la dernière d</w:t>
      </w:r>
      <w:r w:rsidRPr="00C30976">
        <w:rPr>
          <w:lang w:eastAsia="fr-FR" w:bidi="fr-FR"/>
        </w:rPr>
        <w:t>é</w:t>
      </w:r>
      <w:r w:rsidRPr="00C30976">
        <w:rPr>
          <w:lang w:eastAsia="fr-FR" w:bidi="fr-FR"/>
        </w:rPr>
        <w:t>cennie, un satellite commercial les aurait peut- être d</w:t>
      </w:r>
      <w:r w:rsidRPr="00C30976">
        <w:rPr>
          <w:lang w:eastAsia="fr-FR" w:bidi="fr-FR"/>
        </w:rPr>
        <w:t>é</w:t>
      </w:r>
      <w:r w:rsidRPr="00C30976">
        <w:rPr>
          <w:lang w:eastAsia="fr-FR" w:bidi="fr-FR"/>
        </w:rPr>
        <w:t xml:space="preserve">couverts aussi vite que la </w:t>
      </w:r>
      <w:r w:rsidRPr="00C30976">
        <w:t>CIA ;</w:t>
      </w:r>
      <w:r w:rsidRPr="00C30976">
        <w:rPr>
          <w:lang w:eastAsia="fr-FR" w:bidi="fr-FR"/>
        </w:rPr>
        <w:t xml:space="preserve"> l’information aurait pu être diffusée dans un flash spécial de </w:t>
      </w:r>
      <w:r w:rsidRPr="00C30976">
        <w:rPr>
          <w:rStyle w:val="Corpsdutexte28ptItaliqueEspacement1pt"/>
        </w:rPr>
        <w:t>CNN,</w:t>
      </w:r>
      <w:r w:rsidRPr="00C30976">
        <w:t xml:space="preserve"> </w:t>
      </w:r>
      <w:r w:rsidRPr="00C30976">
        <w:rPr>
          <w:lang w:eastAsia="fr-FR" w:bidi="fr-FR"/>
        </w:rPr>
        <w:t>r</w:t>
      </w:r>
      <w:r w:rsidRPr="00C30976">
        <w:rPr>
          <w:lang w:eastAsia="fr-FR" w:bidi="fr-FR"/>
        </w:rPr>
        <w:t>e</w:t>
      </w:r>
      <w:r w:rsidRPr="00C30976">
        <w:rPr>
          <w:lang w:eastAsia="fr-FR" w:bidi="fr-FR"/>
        </w:rPr>
        <w:t>layé par Internet</w:t>
      </w:r>
      <w:r w:rsidRPr="00C30976">
        <w:t> ;</w:t>
      </w:r>
      <w:r w:rsidRPr="00C30976">
        <w:rPr>
          <w:lang w:eastAsia="fr-FR" w:bidi="fr-FR"/>
        </w:rPr>
        <w:t xml:space="preserve"> et le soir même sur </w:t>
      </w:r>
      <w:r w:rsidRPr="00CF531D">
        <w:rPr>
          <w:i/>
          <w:iCs/>
        </w:rPr>
        <w:t>Fox News</w:t>
      </w:r>
      <w:r w:rsidRPr="00C30976">
        <w:t>,</w:t>
      </w:r>
      <w:r w:rsidRPr="00C30976">
        <w:rPr>
          <w:lang w:eastAsia="fr-FR" w:bidi="fr-FR"/>
        </w:rPr>
        <w:t xml:space="preserve"> des sénateurs de l’opposition auraient exigé de savoir pourquoi Ke</w:t>
      </w:r>
      <w:r w:rsidRPr="00C30976">
        <w:rPr>
          <w:lang w:eastAsia="fr-FR" w:bidi="fr-FR"/>
        </w:rPr>
        <w:t>n</w:t>
      </w:r>
      <w:r w:rsidRPr="00C30976">
        <w:rPr>
          <w:lang w:eastAsia="fr-FR" w:bidi="fr-FR"/>
        </w:rPr>
        <w:t xml:space="preserve">nedy avait tenu la présence de ces missiles soviétiques secrète et l’auraient invité à bombarder les sites immédiatement. Or, au début des années </w:t>
      </w:r>
      <w:r>
        <w:rPr>
          <w:lang w:eastAsia="fr-FR" w:bidi="fr-FR"/>
        </w:rPr>
        <w:t>1</w:t>
      </w:r>
      <w:r w:rsidRPr="00C30976">
        <w:rPr>
          <w:lang w:eastAsia="fr-FR" w:bidi="fr-FR"/>
        </w:rPr>
        <w:t>960, Kennedy, lui, a disposé de six jours pour prendre sa décision. Avec le nouvel e</w:t>
      </w:r>
      <w:r w:rsidRPr="00C30976">
        <w:rPr>
          <w:lang w:eastAsia="fr-FR" w:bidi="fr-FR"/>
        </w:rPr>
        <w:t>n</w:t>
      </w:r>
      <w:r w:rsidRPr="00C30976">
        <w:rPr>
          <w:lang w:eastAsia="fr-FR" w:bidi="fr-FR"/>
        </w:rPr>
        <w:t>vironnement médiatique, le monde entier vit au même rythme, et le président américain doit s’y adapter</w:t>
      </w:r>
      <w:r w:rsidRPr="00C30976">
        <w:t> :</w:t>
      </w:r>
      <w:r w:rsidRPr="00C30976">
        <w:rPr>
          <w:lang w:eastAsia="fr-FR" w:bidi="fr-FR"/>
        </w:rPr>
        <w:t xml:space="preserve"> il a vu les deux tours du World Trade Ce</w:t>
      </w:r>
      <w:r w:rsidRPr="00C30976">
        <w:rPr>
          <w:lang w:eastAsia="fr-FR" w:bidi="fr-FR"/>
        </w:rPr>
        <w:t>n</w:t>
      </w:r>
      <w:r w:rsidRPr="00C30976">
        <w:rPr>
          <w:lang w:eastAsia="fr-FR" w:bidi="fr-FR"/>
        </w:rPr>
        <w:t>ter s’effondrer au même moment que les téléspect</w:t>
      </w:r>
      <w:r w:rsidRPr="00C30976">
        <w:rPr>
          <w:lang w:eastAsia="fr-FR" w:bidi="fr-FR"/>
        </w:rPr>
        <w:t>a</w:t>
      </w:r>
      <w:r w:rsidRPr="00C30976">
        <w:rPr>
          <w:lang w:eastAsia="fr-FR" w:bidi="fr-FR"/>
        </w:rPr>
        <w:t>teurs du monde entier.</w:t>
      </w:r>
    </w:p>
    <w:p w14:paraId="7A420FCD" w14:textId="77777777" w:rsidR="0039793A" w:rsidRPr="00C30976" w:rsidRDefault="0039793A" w:rsidP="0039793A">
      <w:pPr>
        <w:spacing w:before="120" w:after="120"/>
        <w:jc w:val="both"/>
      </w:pPr>
      <w:r w:rsidRPr="00C30976">
        <w:rPr>
          <w:lang w:eastAsia="fr-FR" w:bidi="fr-FR"/>
        </w:rPr>
        <w:t>Tout ceci explique l’attention particulière et permanente portée aux médias par l’Exécutif, lequel n’est certes pas sans atouts pour les i</w:t>
      </w:r>
      <w:r w:rsidRPr="00C30976">
        <w:rPr>
          <w:lang w:eastAsia="fr-FR" w:bidi="fr-FR"/>
        </w:rPr>
        <w:t>n</w:t>
      </w:r>
      <w:r w:rsidRPr="00C30976">
        <w:rPr>
          <w:lang w:eastAsia="fr-FR" w:bidi="fr-FR"/>
        </w:rPr>
        <w:t>fluencer vers ses intérêts propres, notamment en politique étrangère.</w:t>
      </w:r>
    </w:p>
    <w:p w14:paraId="53651EA3" w14:textId="77777777" w:rsidR="0039793A" w:rsidRDefault="0039793A" w:rsidP="0039793A">
      <w:pPr>
        <w:spacing w:before="120" w:after="120"/>
        <w:jc w:val="both"/>
        <w:rPr>
          <w:lang w:eastAsia="fr-FR" w:bidi="fr-FR"/>
        </w:rPr>
      </w:pPr>
    </w:p>
    <w:p w14:paraId="69553418" w14:textId="77777777" w:rsidR="0039793A" w:rsidRPr="00CF531D" w:rsidRDefault="0039793A" w:rsidP="0039793A">
      <w:pPr>
        <w:pStyle w:val="b"/>
      </w:pPr>
      <w:r w:rsidRPr="00CF531D">
        <w:rPr>
          <w:lang w:eastAsia="fr-FR" w:bidi="fr-FR"/>
        </w:rPr>
        <w:t>L’utilisation des médias</w:t>
      </w:r>
    </w:p>
    <w:p w14:paraId="04BC779B" w14:textId="77777777" w:rsidR="0039793A" w:rsidRDefault="0039793A" w:rsidP="0039793A">
      <w:pPr>
        <w:spacing w:before="120" w:after="120"/>
        <w:jc w:val="both"/>
        <w:rPr>
          <w:lang w:eastAsia="fr-FR" w:bidi="fr-FR"/>
        </w:rPr>
      </w:pPr>
    </w:p>
    <w:p w14:paraId="4D452496" w14:textId="77777777" w:rsidR="0039793A" w:rsidRPr="00C30976" w:rsidRDefault="0039793A" w:rsidP="0039793A">
      <w:pPr>
        <w:spacing w:before="120" w:after="120"/>
        <w:jc w:val="both"/>
      </w:pPr>
      <w:r w:rsidRPr="00C30976">
        <w:rPr>
          <w:lang w:eastAsia="fr-FR" w:bidi="fr-FR"/>
        </w:rPr>
        <w:t>Un quart de l’activité des rédacteurs du Dépa</w:t>
      </w:r>
      <w:r w:rsidRPr="00C30976">
        <w:rPr>
          <w:lang w:eastAsia="fr-FR" w:bidi="fr-FR"/>
        </w:rPr>
        <w:t>r</w:t>
      </w:r>
      <w:r w:rsidRPr="00C30976">
        <w:rPr>
          <w:lang w:eastAsia="fr-FR" w:bidi="fr-FR"/>
        </w:rPr>
        <w:t>tement d’</w:t>
      </w:r>
      <w:r>
        <w:rPr>
          <w:lang w:eastAsia="fr-FR" w:bidi="fr-FR"/>
        </w:rPr>
        <w:t>État</w:t>
      </w:r>
      <w:r w:rsidRPr="00C30976">
        <w:rPr>
          <w:lang w:eastAsia="fr-FR" w:bidi="fr-FR"/>
        </w:rPr>
        <w:t xml:space="preserve"> est consacré à la communication e</w:t>
      </w:r>
      <w:r w:rsidRPr="00C30976">
        <w:rPr>
          <w:lang w:eastAsia="fr-FR" w:bidi="fr-FR"/>
        </w:rPr>
        <w:t>x</w:t>
      </w:r>
      <w:r w:rsidRPr="00C30976">
        <w:rPr>
          <w:lang w:eastAsia="fr-FR" w:bidi="fr-FR"/>
        </w:rPr>
        <w:t>térieure, essentiellement à la presse. L’un des dire</w:t>
      </w:r>
      <w:r w:rsidRPr="00C30976">
        <w:rPr>
          <w:lang w:eastAsia="fr-FR" w:bidi="fr-FR"/>
        </w:rPr>
        <w:t>c</w:t>
      </w:r>
      <w:r w:rsidRPr="00C30976">
        <w:rPr>
          <w:lang w:eastAsia="fr-FR" w:bidi="fr-FR"/>
        </w:rPr>
        <w:t xml:space="preserve">teurs du </w:t>
      </w:r>
      <w:r w:rsidRPr="00CF531D">
        <w:rPr>
          <w:i/>
          <w:iCs/>
        </w:rPr>
        <w:t>Policy Planning Staff</w:t>
      </w:r>
      <w:r w:rsidRPr="00C30976">
        <w:t>,</w:t>
      </w:r>
      <w:r w:rsidRPr="00C30976">
        <w:rPr>
          <w:lang w:eastAsia="fr-FR" w:bidi="fr-FR"/>
        </w:rPr>
        <w:t xml:space="preserve"> l’organe d’analyse et de réflexion politique du Département d’</w:t>
      </w:r>
      <w:r>
        <w:rPr>
          <w:lang w:eastAsia="fr-FR" w:bidi="fr-FR"/>
        </w:rPr>
        <w:t>État</w:t>
      </w:r>
      <w:r w:rsidRPr="00C30976">
        <w:rPr>
          <w:lang w:eastAsia="fr-FR" w:bidi="fr-FR"/>
        </w:rPr>
        <w:t>, après la guerre froide, a reconnu passer jusqu’à la moitié de son temps à exposer la politique et la vision mondiale de l’Administration aux journalistes. Mieux enc</w:t>
      </w:r>
      <w:r w:rsidRPr="00C30976">
        <w:rPr>
          <w:lang w:eastAsia="fr-FR" w:bidi="fr-FR"/>
        </w:rPr>
        <w:t>o</w:t>
      </w:r>
      <w:r w:rsidRPr="00C30976">
        <w:rPr>
          <w:lang w:eastAsia="fr-FR" w:bidi="fr-FR"/>
        </w:rPr>
        <w:t>re, au cours de ses vingt premières s</w:t>
      </w:r>
      <w:r w:rsidRPr="00C30976">
        <w:rPr>
          <w:lang w:eastAsia="fr-FR" w:bidi="fr-FR"/>
        </w:rPr>
        <w:t>e</w:t>
      </w:r>
      <w:r w:rsidRPr="00C30976">
        <w:rPr>
          <w:lang w:eastAsia="fr-FR" w:bidi="fr-FR"/>
        </w:rPr>
        <w:t>maines de mandat, Madeleine Albright a quitté Washington vingt fois pour s’adresser directement au peuple américain et obtenir son soutien sur d</w:t>
      </w:r>
      <w:r w:rsidRPr="00C30976">
        <w:rPr>
          <w:lang w:eastAsia="fr-FR" w:bidi="fr-FR"/>
        </w:rPr>
        <w:t>i</w:t>
      </w:r>
      <w:r w:rsidRPr="00C30976">
        <w:rPr>
          <w:lang w:eastAsia="fr-FR" w:bidi="fr-FR"/>
        </w:rPr>
        <w:t xml:space="preserve">vers sujets tels que l’élargissement de </w:t>
      </w:r>
      <w:r w:rsidRPr="00C30976">
        <w:t xml:space="preserve">l’OTAN </w:t>
      </w:r>
      <w:r w:rsidRPr="00C30976">
        <w:rPr>
          <w:lang w:eastAsia="fr-FR" w:bidi="fr-FR"/>
        </w:rPr>
        <w:t>ou l’obtention par le pré</w:t>
      </w:r>
      <w:r>
        <w:rPr>
          <w:lang w:eastAsia="fr-FR" w:bidi="fr-FR"/>
        </w:rPr>
        <w:t>sident de l’autorité de négocia</w:t>
      </w:r>
      <w:r w:rsidRPr="00C30976">
        <w:rPr>
          <w:lang w:eastAsia="fr-FR" w:bidi="fr-FR"/>
        </w:rPr>
        <w:t>tion</w:t>
      </w:r>
      <w:r>
        <w:t xml:space="preserve"> [310]</w:t>
      </w:r>
      <w:r w:rsidRPr="00C30976">
        <w:rPr>
          <w:lang w:eastAsia="fr-FR" w:bidi="fr-FR"/>
        </w:rPr>
        <w:t xml:space="preserve"> commerciale accélérée </w:t>
      </w:r>
      <w:r w:rsidRPr="00C30976">
        <w:t>(</w:t>
      </w:r>
      <w:r w:rsidRPr="005B397F">
        <w:rPr>
          <w:i/>
          <w:iCs/>
        </w:rPr>
        <w:t>fast-track</w:t>
      </w:r>
      <w:r w:rsidRPr="00C30976">
        <w:t>).</w:t>
      </w:r>
      <w:r w:rsidRPr="00C30976">
        <w:rPr>
          <w:lang w:eastAsia="fr-FR" w:bidi="fr-FR"/>
        </w:rPr>
        <w:t xml:space="preserve"> La presse est en pa</w:t>
      </w:r>
      <w:r w:rsidRPr="00C30976">
        <w:rPr>
          <w:lang w:eastAsia="fr-FR" w:bidi="fr-FR"/>
        </w:rPr>
        <w:t>r</w:t>
      </w:r>
      <w:r w:rsidRPr="00C30976">
        <w:rPr>
          <w:lang w:eastAsia="fr-FR" w:bidi="fr-FR"/>
        </w:rPr>
        <w:t>tie manipulée par l’Administration et le Département d’</w:t>
      </w:r>
      <w:r>
        <w:rPr>
          <w:lang w:eastAsia="fr-FR" w:bidi="fr-FR"/>
        </w:rPr>
        <w:t>État</w:t>
      </w:r>
      <w:r w:rsidRPr="00C30976">
        <w:rPr>
          <w:lang w:eastAsia="fr-FR" w:bidi="fr-FR"/>
        </w:rPr>
        <w:t>, et répe</w:t>
      </w:r>
      <w:r w:rsidRPr="00C30976">
        <w:rPr>
          <w:lang w:eastAsia="fr-FR" w:bidi="fr-FR"/>
        </w:rPr>
        <w:t>r</w:t>
      </w:r>
      <w:r w:rsidRPr="00C30976">
        <w:rPr>
          <w:lang w:eastAsia="fr-FR" w:bidi="fr-FR"/>
        </w:rPr>
        <w:t>cute de bonne grâce la vision qu’ils offrent en échange d’un accès la</w:t>
      </w:r>
      <w:r w:rsidRPr="00C30976">
        <w:rPr>
          <w:lang w:eastAsia="fr-FR" w:bidi="fr-FR"/>
        </w:rPr>
        <w:t>r</w:t>
      </w:r>
      <w:r w:rsidRPr="00C30976">
        <w:rPr>
          <w:lang w:eastAsia="fr-FR" w:bidi="fr-FR"/>
        </w:rPr>
        <w:t>ge à l’information. Il existe par exemple, notamment au Département d’</w:t>
      </w:r>
      <w:r>
        <w:rPr>
          <w:lang w:eastAsia="fr-FR" w:bidi="fr-FR"/>
        </w:rPr>
        <w:t>État</w:t>
      </w:r>
      <w:r w:rsidRPr="00C30976">
        <w:rPr>
          <w:lang w:eastAsia="fr-FR" w:bidi="fr-FR"/>
        </w:rPr>
        <w:t xml:space="preserve"> et au Pentagone, une réunion appelée </w:t>
      </w:r>
      <w:r w:rsidRPr="005B397F">
        <w:rPr>
          <w:i/>
          <w:iCs/>
        </w:rPr>
        <w:t>backgrou</w:t>
      </w:r>
      <w:r w:rsidRPr="005B397F">
        <w:rPr>
          <w:i/>
          <w:iCs/>
        </w:rPr>
        <w:t>n</w:t>
      </w:r>
      <w:r w:rsidRPr="005B397F">
        <w:rPr>
          <w:i/>
          <w:iCs/>
        </w:rPr>
        <w:t>der</w:t>
      </w:r>
      <w:r w:rsidRPr="00C30976">
        <w:t>,</w:t>
      </w:r>
      <w:r w:rsidRPr="00C30976">
        <w:rPr>
          <w:lang w:eastAsia="fr-FR" w:bidi="fr-FR"/>
        </w:rPr>
        <w:t xml:space="preserve"> au cours de laquelle de hauts responsables fournissent des préc</w:t>
      </w:r>
      <w:r w:rsidRPr="00C30976">
        <w:rPr>
          <w:lang w:eastAsia="fr-FR" w:bidi="fr-FR"/>
        </w:rPr>
        <w:t>i</w:t>
      </w:r>
      <w:r w:rsidRPr="00C30976">
        <w:rPr>
          <w:lang w:eastAsia="fr-FR" w:bidi="fr-FR"/>
        </w:rPr>
        <w:t>sions et des commentaires, des éléments de contexte sur la s</w:t>
      </w:r>
      <w:r w:rsidRPr="00C30976">
        <w:rPr>
          <w:lang w:eastAsia="fr-FR" w:bidi="fr-FR"/>
        </w:rPr>
        <w:t>i</w:t>
      </w:r>
      <w:r w:rsidRPr="00C30976">
        <w:rPr>
          <w:lang w:eastAsia="fr-FR" w:bidi="fr-FR"/>
        </w:rPr>
        <w:t>tuation internationale. Ces informations sont off</w:t>
      </w:r>
      <w:r w:rsidRPr="00C30976">
        <w:rPr>
          <w:lang w:eastAsia="fr-FR" w:bidi="fr-FR"/>
        </w:rPr>
        <w:t>i</w:t>
      </w:r>
      <w:r w:rsidRPr="00C30976">
        <w:rPr>
          <w:lang w:eastAsia="fr-FR" w:bidi="fr-FR"/>
        </w:rPr>
        <w:t>cieuses</w:t>
      </w:r>
      <w:r w:rsidRPr="00C30976">
        <w:t> :</w:t>
      </w:r>
      <w:r w:rsidRPr="00C30976">
        <w:rPr>
          <w:lang w:eastAsia="fr-FR" w:bidi="fr-FR"/>
        </w:rPr>
        <w:t xml:space="preserve"> elles ne peuvent être exprimées officiellement, et leur auteur ne peut être cité, mais e</w:t>
      </w:r>
      <w:r w:rsidRPr="00C30976">
        <w:rPr>
          <w:lang w:eastAsia="fr-FR" w:bidi="fr-FR"/>
        </w:rPr>
        <w:t>l</w:t>
      </w:r>
      <w:r w:rsidRPr="00C30976">
        <w:rPr>
          <w:lang w:eastAsia="fr-FR" w:bidi="fr-FR"/>
        </w:rPr>
        <w:t>les orientent clairement dans le sens souhaité par la Maison-Blanche les analyses de la presse. C’est là l’origine de la source que les jou</w:t>
      </w:r>
      <w:r w:rsidRPr="00C30976">
        <w:rPr>
          <w:lang w:eastAsia="fr-FR" w:bidi="fr-FR"/>
        </w:rPr>
        <w:t>r</w:t>
      </w:r>
      <w:r w:rsidRPr="00C30976">
        <w:rPr>
          <w:lang w:eastAsia="fr-FR" w:bidi="fr-FR"/>
        </w:rPr>
        <w:t>naux amér</w:t>
      </w:r>
      <w:r w:rsidRPr="00C30976">
        <w:rPr>
          <w:lang w:eastAsia="fr-FR" w:bidi="fr-FR"/>
        </w:rPr>
        <w:t>i</w:t>
      </w:r>
      <w:r w:rsidRPr="00C30976">
        <w:rPr>
          <w:lang w:eastAsia="fr-FR" w:bidi="fr-FR"/>
        </w:rPr>
        <w:t xml:space="preserve">cains nomment </w:t>
      </w:r>
      <w:r w:rsidRPr="00C30976">
        <w:t>« </w:t>
      </w:r>
      <w:r w:rsidRPr="00C30976">
        <w:rPr>
          <w:lang w:eastAsia="fr-FR" w:bidi="fr-FR"/>
        </w:rPr>
        <w:t>hauts responsables ayant requis l’anonymat</w:t>
      </w:r>
      <w:r w:rsidRPr="00C30976">
        <w:t> »</w:t>
      </w:r>
      <w:r w:rsidRPr="00C30976">
        <w:rPr>
          <w:lang w:eastAsia="fr-FR" w:bidi="fr-FR"/>
        </w:rPr>
        <w:t xml:space="preserve"> et c’est une arme de propagande r</w:t>
      </w:r>
      <w:r w:rsidRPr="00C30976">
        <w:rPr>
          <w:lang w:eastAsia="fr-FR" w:bidi="fr-FR"/>
        </w:rPr>
        <w:t>e</w:t>
      </w:r>
      <w:r w:rsidRPr="00C30976">
        <w:rPr>
          <w:lang w:eastAsia="fr-FR" w:bidi="fr-FR"/>
        </w:rPr>
        <w:t>doutable.</w:t>
      </w:r>
    </w:p>
    <w:p w14:paraId="70997FEE" w14:textId="77777777" w:rsidR="0039793A" w:rsidRPr="00C30976" w:rsidRDefault="0039793A" w:rsidP="0039793A">
      <w:pPr>
        <w:spacing w:before="120" w:after="120"/>
        <w:jc w:val="both"/>
      </w:pPr>
      <w:r w:rsidRPr="00C30976">
        <w:rPr>
          <w:lang w:eastAsia="fr-FR" w:bidi="fr-FR"/>
        </w:rPr>
        <w:t>Le président lui-même dispose d’une couverture médiatique quot</w:t>
      </w:r>
      <w:r w:rsidRPr="00C30976">
        <w:rPr>
          <w:lang w:eastAsia="fr-FR" w:bidi="fr-FR"/>
        </w:rPr>
        <w:t>i</w:t>
      </w:r>
      <w:r w:rsidRPr="00C30976">
        <w:rPr>
          <w:lang w:eastAsia="fr-FR" w:bidi="fr-FR"/>
        </w:rPr>
        <w:t>dienne dont il sait user pour pr</w:t>
      </w:r>
      <w:r w:rsidRPr="00C30976">
        <w:rPr>
          <w:lang w:eastAsia="fr-FR" w:bidi="fr-FR"/>
        </w:rPr>
        <w:t>o</w:t>
      </w:r>
      <w:r w:rsidRPr="00C30976">
        <w:rPr>
          <w:lang w:eastAsia="fr-FR" w:bidi="fr-FR"/>
        </w:rPr>
        <w:t>mouvoir ses politiques. Bien souvent, ses décisions et interventions importantes, même à l’étranger, sont faites à temps pour être couvertes par les pr</w:t>
      </w:r>
      <w:r w:rsidRPr="00C30976">
        <w:rPr>
          <w:lang w:eastAsia="fr-FR" w:bidi="fr-FR"/>
        </w:rPr>
        <w:t>e</w:t>
      </w:r>
      <w:r w:rsidRPr="00C30976">
        <w:rPr>
          <w:lang w:eastAsia="fr-FR" w:bidi="fr-FR"/>
        </w:rPr>
        <w:t>miers journaux télévisés du soir, sur la côte Est. Ainsi, alors que l’intervention militaire en Afgh</w:t>
      </w:r>
      <w:r w:rsidRPr="00C30976">
        <w:rPr>
          <w:lang w:eastAsia="fr-FR" w:bidi="fr-FR"/>
        </w:rPr>
        <w:t>a</w:t>
      </w:r>
      <w:r w:rsidRPr="00C30976">
        <w:rPr>
          <w:lang w:eastAsia="fr-FR" w:bidi="fr-FR"/>
        </w:rPr>
        <w:t>nistan était en cours, et que le terrorisme occupait les esprits, le président George W. Bush a co</w:t>
      </w:r>
      <w:r w:rsidRPr="00C30976">
        <w:rPr>
          <w:lang w:eastAsia="fr-FR" w:bidi="fr-FR"/>
        </w:rPr>
        <w:t>m</w:t>
      </w:r>
      <w:r w:rsidRPr="00C30976">
        <w:rPr>
          <w:lang w:eastAsia="fr-FR" w:bidi="fr-FR"/>
        </w:rPr>
        <w:t>mencé à attirer l’attention de l’opinion publique américaine sur la question de l’Irak par ses di</w:t>
      </w:r>
      <w:r w:rsidRPr="00C30976">
        <w:rPr>
          <w:lang w:eastAsia="fr-FR" w:bidi="fr-FR"/>
        </w:rPr>
        <w:t>s</w:t>
      </w:r>
      <w:r w:rsidRPr="00C30976">
        <w:rPr>
          <w:lang w:eastAsia="fr-FR" w:bidi="fr-FR"/>
        </w:rPr>
        <w:t>cours, alors que rien dans l’actualité n’orientait les médias dans cette direction, ce qui lui a permis de définir les termes du débat. Plus enc</w:t>
      </w:r>
      <w:r w:rsidRPr="00C30976">
        <w:rPr>
          <w:lang w:eastAsia="fr-FR" w:bidi="fr-FR"/>
        </w:rPr>
        <w:t>o</w:t>
      </w:r>
      <w:r w:rsidRPr="00C30976">
        <w:rPr>
          <w:lang w:eastAsia="fr-FR" w:bidi="fr-FR"/>
        </w:rPr>
        <w:t>re, l’Administration au pouvoir sait utiliser la politique étrangère, et elle dispose d’un certain prestige (le président est commandant en chef des armées), pour diriger le débat public général. Lors des éle</w:t>
      </w:r>
      <w:r w:rsidRPr="00C30976">
        <w:rPr>
          <w:lang w:eastAsia="fr-FR" w:bidi="fr-FR"/>
        </w:rPr>
        <w:t>c</w:t>
      </w:r>
      <w:r w:rsidRPr="00C30976">
        <w:rPr>
          <w:lang w:eastAsia="fr-FR" w:bidi="fr-FR"/>
        </w:rPr>
        <w:t>tions de mi-mandat de 2002 (renouvelant la Chambre des représe</w:t>
      </w:r>
      <w:r w:rsidRPr="00C30976">
        <w:rPr>
          <w:lang w:eastAsia="fr-FR" w:bidi="fr-FR"/>
        </w:rPr>
        <w:t>n</w:t>
      </w:r>
      <w:r w:rsidRPr="00C30976">
        <w:rPr>
          <w:lang w:eastAsia="fr-FR" w:bidi="fr-FR"/>
        </w:rPr>
        <w:t>tants et un tiers du Sénat) par exemple, le président George W. Bush a volontairement placé l’Irak et la sécurité nationale au cœur de la ca</w:t>
      </w:r>
      <w:r w:rsidRPr="00C30976">
        <w:rPr>
          <w:lang w:eastAsia="fr-FR" w:bidi="fr-FR"/>
        </w:rPr>
        <w:t>m</w:t>
      </w:r>
      <w:r w:rsidRPr="00C30976">
        <w:rPr>
          <w:lang w:eastAsia="fr-FR" w:bidi="fr-FR"/>
        </w:rPr>
        <w:t>pagne, sachant que les démocrates ne pourraient le contester sur ce terrain. Si en politique étrangère les médias accordent généralement d</w:t>
      </w:r>
      <w:r w:rsidRPr="00C30976">
        <w:rPr>
          <w:lang w:eastAsia="fr-FR" w:bidi="fr-FR"/>
        </w:rPr>
        <w:t>a</w:t>
      </w:r>
      <w:r w:rsidRPr="00C30976">
        <w:rPr>
          <w:lang w:eastAsia="fr-FR" w:bidi="fr-FR"/>
        </w:rPr>
        <w:t>vantage de crédit à l’Administration qu’en politique intérieure, ce phénomène s’observe particulièrement bien lors des voyages du prés</w:t>
      </w:r>
      <w:r w:rsidRPr="00C30976">
        <w:rPr>
          <w:lang w:eastAsia="fr-FR" w:bidi="fr-FR"/>
        </w:rPr>
        <w:t>i</w:t>
      </w:r>
      <w:r w:rsidRPr="00C30976">
        <w:rPr>
          <w:lang w:eastAsia="fr-FR" w:bidi="fr-FR"/>
        </w:rPr>
        <w:t>dent à l’étranger. Celui-ci est alors le représentant des Américains aux yeux du monde, et les journalistes sont presque entièrement dépe</w:t>
      </w:r>
      <w:r w:rsidRPr="00C30976">
        <w:rPr>
          <w:lang w:eastAsia="fr-FR" w:bidi="fr-FR"/>
        </w:rPr>
        <w:t>n</w:t>
      </w:r>
      <w:r w:rsidRPr="00C30976">
        <w:rPr>
          <w:lang w:eastAsia="fr-FR" w:bidi="fr-FR"/>
        </w:rPr>
        <w:t>dants de la logist</w:t>
      </w:r>
      <w:r w:rsidRPr="00C30976">
        <w:rPr>
          <w:lang w:eastAsia="fr-FR" w:bidi="fr-FR"/>
        </w:rPr>
        <w:t>i</w:t>
      </w:r>
      <w:r w:rsidRPr="00C30976">
        <w:rPr>
          <w:lang w:eastAsia="fr-FR" w:bidi="fr-FR"/>
        </w:rPr>
        <w:t>que déployée par l’Administration, ce qui assure à celle-ci des moments généralement gratifiants.</w:t>
      </w:r>
    </w:p>
    <w:p w14:paraId="4BCDCDD0" w14:textId="77777777" w:rsidR="0039793A" w:rsidRPr="00C30976" w:rsidRDefault="0039793A" w:rsidP="0039793A">
      <w:pPr>
        <w:spacing w:before="120" w:after="120"/>
        <w:jc w:val="both"/>
      </w:pPr>
      <w:r>
        <w:t>[311]</w:t>
      </w:r>
    </w:p>
    <w:p w14:paraId="315D843F" w14:textId="77777777" w:rsidR="0039793A" w:rsidRPr="00C30976" w:rsidRDefault="0039793A" w:rsidP="0039793A">
      <w:pPr>
        <w:spacing w:before="120" w:after="120"/>
        <w:jc w:val="both"/>
      </w:pPr>
      <w:r w:rsidRPr="00C30976">
        <w:rPr>
          <w:lang w:eastAsia="fr-FR" w:bidi="fr-FR"/>
        </w:rPr>
        <w:t>La fuite, qui est un outil quasi consubstantiel à un type de gouve</w:t>
      </w:r>
      <w:r w:rsidRPr="00C30976">
        <w:rPr>
          <w:lang w:eastAsia="fr-FR" w:bidi="fr-FR"/>
        </w:rPr>
        <w:t>r</w:t>
      </w:r>
      <w:r w:rsidRPr="00C30976">
        <w:rPr>
          <w:lang w:eastAsia="fr-FR" w:bidi="fr-FR"/>
        </w:rPr>
        <w:t>nement pluraliste comme celui de Washington, constitue un autre élément de prédilection, où chacun utilise ses informations à son pr</w:t>
      </w:r>
      <w:r w:rsidRPr="00C30976">
        <w:rPr>
          <w:lang w:eastAsia="fr-FR" w:bidi="fr-FR"/>
        </w:rPr>
        <w:t>o</w:t>
      </w:r>
      <w:r w:rsidRPr="00C30976">
        <w:rPr>
          <w:lang w:eastAsia="fr-FR" w:bidi="fr-FR"/>
        </w:rPr>
        <w:t>fit. Aussi la Maison-Blanche utilise-t-elle parfois ces fuites pour déf</w:t>
      </w:r>
      <w:r w:rsidRPr="00C30976">
        <w:rPr>
          <w:lang w:eastAsia="fr-FR" w:bidi="fr-FR"/>
        </w:rPr>
        <w:t>i</w:t>
      </w:r>
      <w:r w:rsidRPr="00C30976">
        <w:rPr>
          <w:lang w:eastAsia="fr-FR" w:bidi="fr-FR"/>
        </w:rPr>
        <w:t>nir les termes du débat sur les questions internationales. Pour le prés</w:t>
      </w:r>
      <w:r w:rsidRPr="00C30976">
        <w:rPr>
          <w:lang w:eastAsia="fr-FR" w:bidi="fr-FR"/>
        </w:rPr>
        <w:t>i</w:t>
      </w:r>
      <w:r w:rsidRPr="00C30976">
        <w:rPr>
          <w:lang w:eastAsia="fr-FR" w:bidi="fr-FR"/>
        </w:rPr>
        <w:t>dent, la fuite peut servir à modeler l’opinion publique, à lancer un ba</w:t>
      </w:r>
      <w:r w:rsidRPr="00C30976">
        <w:rPr>
          <w:lang w:eastAsia="fr-FR" w:bidi="fr-FR"/>
        </w:rPr>
        <w:t>l</w:t>
      </w:r>
      <w:r w:rsidRPr="00C30976">
        <w:rPr>
          <w:lang w:eastAsia="fr-FR" w:bidi="fr-FR"/>
        </w:rPr>
        <w:t>lon d’essai, à discréditer un adversaire, à faire d</w:t>
      </w:r>
      <w:r w:rsidRPr="00C30976">
        <w:rPr>
          <w:lang w:eastAsia="fr-FR" w:bidi="fr-FR"/>
        </w:rPr>
        <w:t>i</w:t>
      </w:r>
      <w:r w:rsidRPr="00C30976">
        <w:rPr>
          <w:lang w:eastAsia="fr-FR" w:bidi="fr-FR"/>
        </w:rPr>
        <w:t>version, ou encore à faire pression sur des gouve</w:t>
      </w:r>
      <w:r w:rsidRPr="00C30976">
        <w:rPr>
          <w:lang w:eastAsia="fr-FR" w:bidi="fr-FR"/>
        </w:rPr>
        <w:t>r</w:t>
      </w:r>
      <w:r w:rsidRPr="00C30976">
        <w:rPr>
          <w:lang w:eastAsia="fr-FR" w:bidi="fr-FR"/>
        </w:rPr>
        <w:t>nements étrangers. C’est en effet ce moyen qui a été utilisé au moins deux fois pour empêcher l’Inde de tester ses engins nucléaires</w:t>
      </w:r>
      <w:r w:rsidRPr="00C30976">
        <w:t> :</w:t>
      </w:r>
      <w:r w:rsidRPr="00C30976">
        <w:rPr>
          <w:lang w:eastAsia="fr-FR" w:bidi="fr-FR"/>
        </w:rPr>
        <w:t xml:space="preserve"> en révélant les projets indiens, les jou</w:t>
      </w:r>
      <w:r w:rsidRPr="00C30976">
        <w:rPr>
          <w:lang w:eastAsia="fr-FR" w:bidi="fr-FR"/>
        </w:rPr>
        <w:t>r</w:t>
      </w:r>
      <w:r w:rsidRPr="00C30976">
        <w:rPr>
          <w:lang w:eastAsia="fr-FR" w:bidi="fr-FR"/>
        </w:rPr>
        <w:t>naux américains — sur la foi de sources données par les services de renseignement des États-Unis — ont suscité une vague de protest</w:t>
      </w:r>
      <w:r w:rsidRPr="00C30976">
        <w:rPr>
          <w:lang w:eastAsia="fr-FR" w:bidi="fr-FR"/>
        </w:rPr>
        <w:t>a</w:t>
      </w:r>
      <w:r w:rsidRPr="00C30976">
        <w:rPr>
          <w:lang w:eastAsia="fr-FR" w:bidi="fr-FR"/>
        </w:rPr>
        <w:t xml:space="preserve">tions et de mises en garde internationales contre New Delhi. Lorsque la France a pensé rejoindre l’organisation militaire intégrée de </w:t>
      </w:r>
      <w:r w:rsidRPr="00C30976">
        <w:t xml:space="preserve">l’OTAN, </w:t>
      </w:r>
      <w:r w:rsidRPr="00C30976">
        <w:rPr>
          <w:lang w:eastAsia="fr-FR" w:bidi="fr-FR"/>
        </w:rPr>
        <w:t>l’Administration Clinton a laissé entendre qu’elle voulait en échange obtenir pour un militaire eur</w:t>
      </w:r>
      <w:r w:rsidRPr="00C30976">
        <w:rPr>
          <w:lang w:eastAsia="fr-FR" w:bidi="fr-FR"/>
        </w:rPr>
        <w:t>o</w:t>
      </w:r>
      <w:r w:rsidRPr="00C30976">
        <w:rPr>
          <w:lang w:eastAsia="fr-FR" w:bidi="fr-FR"/>
        </w:rPr>
        <w:t xml:space="preserve">péen le commandement Sud de </w:t>
      </w:r>
      <w:r w:rsidRPr="00C30976">
        <w:t xml:space="preserve">l'OTAN </w:t>
      </w:r>
      <w:r w:rsidRPr="00C30976">
        <w:rPr>
          <w:lang w:eastAsia="fr-FR" w:bidi="fr-FR"/>
        </w:rPr>
        <w:t>(1996), y compris le commandement de la 6</w:t>
      </w:r>
      <w:r w:rsidRPr="00B97C85">
        <w:rPr>
          <w:vertAlign w:val="superscript"/>
          <w:lang w:eastAsia="fr-FR" w:bidi="fr-FR"/>
        </w:rPr>
        <w:t>e</w:t>
      </w:r>
      <w:r>
        <w:rPr>
          <w:lang w:eastAsia="fr-FR" w:bidi="fr-FR"/>
        </w:rPr>
        <w:t xml:space="preserve"> </w:t>
      </w:r>
      <w:r w:rsidRPr="00C30976">
        <w:rPr>
          <w:lang w:eastAsia="fr-FR" w:bidi="fr-FR"/>
        </w:rPr>
        <w:t>flotte américa</w:t>
      </w:r>
      <w:r w:rsidRPr="00C30976">
        <w:rPr>
          <w:lang w:eastAsia="fr-FR" w:bidi="fr-FR"/>
        </w:rPr>
        <w:t>i</w:t>
      </w:r>
      <w:r w:rsidRPr="00C30976">
        <w:rPr>
          <w:lang w:eastAsia="fr-FR" w:bidi="fr-FR"/>
        </w:rPr>
        <w:t>ne. Cependant, les fuites peuvent aussi être le fruit des luttes burea</w:t>
      </w:r>
      <w:r w:rsidRPr="00C30976">
        <w:rPr>
          <w:lang w:eastAsia="fr-FR" w:bidi="fr-FR"/>
        </w:rPr>
        <w:t>u</w:t>
      </w:r>
      <w:r w:rsidRPr="00C30976">
        <w:rPr>
          <w:lang w:eastAsia="fr-FR" w:bidi="fr-FR"/>
        </w:rPr>
        <w:t>cratiques au sein de l’Exécutif, a</w:t>
      </w:r>
      <w:r w:rsidRPr="00C30976">
        <w:rPr>
          <w:lang w:eastAsia="fr-FR" w:bidi="fr-FR"/>
        </w:rPr>
        <w:t>u</w:t>
      </w:r>
      <w:r w:rsidRPr="00C30976">
        <w:rPr>
          <w:lang w:eastAsia="fr-FR" w:bidi="fr-FR"/>
        </w:rPr>
        <w:t xml:space="preserve">quel cas elles ne poursuivent pas le même but et peuvent être particulièrement dommageables pour l’Administration, car elles exposent les divisions à l’œuvre. </w:t>
      </w:r>
      <w:r>
        <w:rPr>
          <w:lang w:eastAsia="fr-FR" w:bidi="fr-FR"/>
        </w:rPr>
        <w:t>À</w:t>
      </w:r>
      <w:r w:rsidRPr="00C30976">
        <w:rPr>
          <w:lang w:eastAsia="fr-FR" w:bidi="fr-FR"/>
        </w:rPr>
        <w:t xml:space="preserve"> l’inverse, quand l’Administration sait éviter les fuites incontrôlées, elle peut manipuler l’ensemble du débat sur la sécurité nationale</w:t>
      </w:r>
      <w:r w:rsidRPr="00C30976">
        <w:t> :</w:t>
      </w:r>
      <w:r w:rsidRPr="00C30976">
        <w:rPr>
          <w:lang w:eastAsia="fr-FR" w:bidi="fr-FR"/>
        </w:rPr>
        <w:t xml:space="preserve"> ai</w:t>
      </w:r>
      <w:r w:rsidRPr="00C30976">
        <w:rPr>
          <w:lang w:eastAsia="fr-FR" w:bidi="fr-FR"/>
        </w:rPr>
        <w:t>n</w:t>
      </w:r>
      <w:r w:rsidRPr="00C30976">
        <w:rPr>
          <w:lang w:eastAsia="fr-FR" w:bidi="fr-FR"/>
        </w:rPr>
        <w:t>si l’Administration de George W. Bush a caché pe</w:t>
      </w:r>
      <w:r w:rsidRPr="00C30976">
        <w:rPr>
          <w:lang w:eastAsia="fr-FR" w:bidi="fr-FR"/>
        </w:rPr>
        <w:t>n</w:t>
      </w:r>
      <w:r w:rsidRPr="00C30976">
        <w:rPr>
          <w:lang w:eastAsia="fr-FR" w:bidi="fr-FR"/>
        </w:rPr>
        <w:t>dant de nombreux mois la gravité du programme nucléaire nord-coréen afin de conce</w:t>
      </w:r>
      <w:r w:rsidRPr="00C30976">
        <w:rPr>
          <w:lang w:eastAsia="fr-FR" w:bidi="fr-FR"/>
        </w:rPr>
        <w:t>n</w:t>
      </w:r>
      <w:r w:rsidRPr="00C30976">
        <w:rPr>
          <w:lang w:eastAsia="fr-FR" w:bidi="fr-FR"/>
        </w:rPr>
        <w:t>trer l’attention de l’opinion publique sur le problème de l’Irak</w:t>
      </w:r>
      <w:r w:rsidRPr="00C30976">
        <w:t> ;</w:t>
      </w:r>
      <w:r w:rsidRPr="00C30976">
        <w:rPr>
          <w:lang w:eastAsia="fr-FR" w:bidi="fr-FR"/>
        </w:rPr>
        <w:t xml:space="preserve"> elle n’a informé le public qu’après le vote par le Congrès de la résolution autorisant la guerre contre Bagdad</w:t>
      </w:r>
      <w:r>
        <w:rPr>
          <w:lang w:eastAsia="fr-FR" w:bidi="fr-FR"/>
        </w:rPr>
        <w:t> </w:t>
      </w:r>
      <w:r>
        <w:rPr>
          <w:rStyle w:val="Appelnotedebasdep"/>
          <w:lang w:eastAsia="fr-FR" w:bidi="fr-FR"/>
        </w:rPr>
        <w:footnoteReference w:id="619"/>
      </w:r>
      <w:r w:rsidRPr="00C30976">
        <w:t>.</w:t>
      </w:r>
    </w:p>
    <w:p w14:paraId="6BA73D00" w14:textId="77777777" w:rsidR="0039793A" w:rsidRPr="00C30976" w:rsidRDefault="0039793A" w:rsidP="0039793A">
      <w:pPr>
        <w:spacing w:before="120" w:after="120"/>
        <w:jc w:val="both"/>
      </w:pPr>
      <w:r w:rsidRPr="00C30976">
        <w:rPr>
          <w:lang w:eastAsia="fr-FR" w:bidi="fr-FR"/>
        </w:rPr>
        <w:t>Il arrive cependant que les opérations de communication préside</w:t>
      </w:r>
      <w:r w:rsidRPr="00C30976">
        <w:rPr>
          <w:lang w:eastAsia="fr-FR" w:bidi="fr-FR"/>
        </w:rPr>
        <w:t>n</w:t>
      </w:r>
      <w:r w:rsidRPr="00C30976">
        <w:rPr>
          <w:lang w:eastAsia="fr-FR" w:bidi="fr-FR"/>
        </w:rPr>
        <w:t>tielles tournent au fiasco et f</w:t>
      </w:r>
      <w:r w:rsidRPr="00C30976">
        <w:rPr>
          <w:lang w:eastAsia="fr-FR" w:bidi="fr-FR"/>
        </w:rPr>
        <w:t>i</w:t>
      </w:r>
      <w:r w:rsidRPr="00C30976">
        <w:rPr>
          <w:lang w:eastAsia="fr-FR" w:bidi="fr-FR"/>
        </w:rPr>
        <w:t>nissent par retourner médias et opinion publique contre lui. Tel est le cas par exemple en février 1998 sur le campus de l’Université de l’Ohio, d’une opération de relations publ</w:t>
      </w:r>
      <w:r w:rsidRPr="00C30976">
        <w:rPr>
          <w:lang w:eastAsia="fr-FR" w:bidi="fr-FR"/>
        </w:rPr>
        <w:t>i</w:t>
      </w:r>
      <w:r w:rsidRPr="00C30976">
        <w:rPr>
          <w:lang w:eastAsia="fr-FR" w:bidi="fr-FR"/>
        </w:rPr>
        <w:t xml:space="preserve">ques télévisée sur le problème de l’Irak appelée </w:t>
      </w:r>
      <w:r w:rsidRPr="00C30976">
        <w:t>« </w:t>
      </w:r>
      <w:r w:rsidRPr="00C30976">
        <w:rPr>
          <w:lang w:eastAsia="fr-FR" w:bidi="fr-FR"/>
        </w:rPr>
        <w:t>Showdown with Iraq</w:t>
      </w:r>
      <w:r w:rsidRPr="00C30976">
        <w:t> :</w:t>
      </w:r>
      <w:r w:rsidRPr="00C30976">
        <w:rPr>
          <w:lang w:eastAsia="fr-FR" w:bidi="fr-FR"/>
        </w:rPr>
        <w:t xml:space="preserve"> An International Town Meeting</w:t>
      </w:r>
      <w:r w:rsidRPr="00C30976">
        <w:t> »</w:t>
      </w:r>
      <w:r w:rsidRPr="00C30976">
        <w:rPr>
          <w:lang w:eastAsia="fr-FR" w:bidi="fr-FR"/>
        </w:rPr>
        <w:t>. Envoyés par le président, Madeleine Albright (secrétaire d’État), William Cohen (secrétaire à la Défense) et Sandy</w:t>
      </w:r>
      <w:r>
        <w:t xml:space="preserve"> [312] </w:t>
      </w:r>
      <w:r w:rsidRPr="00C30976">
        <w:rPr>
          <w:lang w:eastAsia="fr-FR" w:bidi="fr-FR"/>
        </w:rPr>
        <w:t>Berger (conseiller pour la Sécurité nationale) se sont retrouvés, d</w:t>
      </w:r>
      <w:r w:rsidRPr="00C30976">
        <w:rPr>
          <w:lang w:eastAsia="fr-FR" w:bidi="fr-FR"/>
        </w:rPr>
        <w:t>u</w:t>
      </w:r>
      <w:r w:rsidRPr="00C30976">
        <w:rPr>
          <w:lang w:eastAsia="fr-FR" w:bidi="fr-FR"/>
        </w:rPr>
        <w:t>rant 90 minutes, à essayer de se faire entendre, tant bien que mal, ta</w:t>
      </w:r>
      <w:r w:rsidRPr="00C30976">
        <w:rPr>
          <w:lang w:eastAsia="fr-FR" w:bidi="fr-FR"/>
        </w:rPr>
        <w:t>n</w:t>
      </w:r>
      <w:r w:rsidRPr="00C30976">
        <w:rPr>
          <w:lang w:eastAsia="fr-FR" w:bidi="fr-FR"/>
        </w:rPr>
        <w:t xml:space="preserve">dis que les cris et chants de protestation, le brouhaha et le chahut, des slogans comme </w:t>
      </w:r>
      <w:r w:rsidRPr="00C30976">
        <w:t>« </w:t>
      </w:r>
      <w:r w:rsidRPr="00C21791">
        <w:rPr>
          <w:i/>
          <w:iCs/>
        </w:rPr>
        <w:t>We don’t want your r</w:t>
      </w:r>
      <w:r w:rsidRPr="00C21791">
        <w:rPr>
          <w:i/>
          <w:iCs/>
        </w:rPr>
        <w:t>a</w:t>
      </w:r>
      <w:r w:rsidRPr="00C21791">
        <w:rPr>
          <w:i/>
          <w:iCs/>
        </w:rPr>
        <w:t>cist war</w:t>
      </w:r>
      <w:r w:rsidRPr="00C30976">
        <w:t> »</w:t>
      </w:r>
      <w:r w:rsidRPr="00C30976">
        <w:rPr>
          <w:lang w:eastAsia="fr-FR" w:bidi="fr-FR"/>
        </w:rPr>
        <w:t xml:space="preserve"> couvraient leurs propos. Ils ont eu beaucoup de mal à convaincre les citoyens présents sur le pl</w:t>
      </w:r>
      <w:r w:rsidRPr="00C30976">
        <w:rPr>
          <w:lang w:eastAsia="fr-FR" w:bidi="fr-FR"/>
        </w:rPr>
        <w:t>a</w:t>
      </w:r>
      <w:r w:rsidRPr="00C30976">
        <w:rPr>
          <w:lang w:eastAsia="fr-FR" w:bidi="fr-FR"/>
        </w:rPr>
        <w:t>teau de l’urgence qu’il y avait à bombarder l’Irak. Le mal était fait</w:t>
      </w:r>
      <w:r w:rsidRPr="00C30976">
        <w:t> :</w:t>
      </w:r>
      <w:r w:rsidRPr="00C30976">
        <w:rPr>
          <w:lang w:eastAsia="fr-FR" w:bidi="fr-FR"/>
        </w:rPr>
        <w:t xml:space="preserve"> l’Amérique se croyait r</w:t>
      </w:r>
      <w:r w:rsidRPr="00C30976">
        <w:rPr>
          <w:lang w:eastAsia="fr-FR" w:bidi="fr-FR"/>
        </w:rPr>
        <w:t>e</w:t>
      </w:r>
      <w:r w:rsidRPr="00C30976">
        <w:rPr>
          <w:lang w:eastAsia="fr-FR" w:bidi="fr-FR"/>
        </w:rPr>
        <w:t>venue aux années I960, celles de la protestation contre la guerre du Vietnam, tandis que quelque 200 millions de personnes, dans le mo</w:t>
      </w:r>
      <w:r w:rsidRPr="00C30976">
        <w:rPr>
          <w:lang w:eastAsia="fr-FR" w:bidi="fr-FR"/>
        </w:rPr>
        <w:t>n</w:t>
      </w:r>
      <w:r w:rsidRPr="00C30976">
        <w:rPr>
          <w:lang w:eastAsia="fr-FR" w:bidi="fr-FR"/>
        </w:rPr>
        <w:t xml:space="preserve">de, étaient branchées sur </w:t>
      </w:r>
      <w:r w:rsidRPr="00ED7ED1">
        <w:rPr>
          <w:i/>
          <w:iCs/>
        </w:rPr>
        <w:t>CNN.</w:t>
      </w:r>
    </w:p>
    <w:p w14:paraId="09DC1A38" w14:textId="77777777" w:rsidR="0039793A" w:rsidRPr="00C30976" w:rsidRDefault="0039793A" w:rsidP="0039793A">
      <w:pPr>
        <w:spacing w:before="120" w:after="120"/>
        <w:jc w:val="both"/>
      </w:pPr>
      <w:r w:rsidRPr="00C30976">
        <w:rPr>
          <w:lang w:eastAsia="fr-FR" w:bidi="fr-FR"/>
        </w:rPr>
        <w:t>La mobilisation de l’opinion publique a été un enjeu essentiel pour les présidents et la formulation de la politique étrangère, tout partic</w:t>
      </w:r>
      <w:r w:rsidRPr="00C30976">
        <w:rPr>
          <w:lang w:eastAsia="fr-FR" w:bidi="fr-FR"/>
        </w:rPr>
        <w:t>u</w:t>
      </w:r>
      <w:r w:rsidRPr="00C30976">
        <w:rPr>
          <w:lang w:eastAsia="fr-FR" w:bidi="fr-FR"/>
        </w:rPr>
        <w:t>lièrement lor</w:t>
      </w:r>
      <w:r w:rsidRPr="00C30976">
        <w:rPr>
          <w:lang w:eastAsia="fr-FR" w:bidi="fr-FR"/>
        </w:rPr>
        <w:t>s</w:t>
      </w:r>
      <w:r w:rsidRPr="00C30976">
        <w:rPr>
          <w:lang w:eastAsia="fr-FR" w:bidi="fr-FR"/>
        </w:rPr>
        <w:t>qu’il s’agit d’entrer en guerre.</w:t>
      </w:r>
    </w:p>
    <w:p w14:paraId="5BE69B80" w14:textId="77777777" w:rsidR="0039793A" w:rsidRDefault="0039793A" w:rsidP="0039793A">
      <w:pPr>
        <w:spacing w:before="120" w:after="120"/>
        <w:jc w:val="both"/>
        <w:rPr>
          <w:lang w:eastAsia="fr-FR" w:bidi="fr-FR"/>
        </w:rPr>
      </w:pPr>
    </w:p>
    <w:p w14:paraId="38E87071" w14:textId="77777777" w:rsidR="0039793A" w:rsidRPr="00C30976" w:rsidRDefault="0039793A" w:rsidP="0039793A">
      <w:pPr>
        <w:pStyle w:val="a"/>
      </w:pPr>
      <w:r w:rsidRPr="00C30976">
        <w:t>La mobilisation médiatique de l’opinion publ</w:t>
      </w:r>
      <w:r w:rsidRPr="00C30976">
        <w:t>i</w:t>
      </w:r>
      <w:r w:rsidRPr="00C30976">
        <w:t>que</w:t>
      </w:r>
      <w:r>
        <w:br/>
      </w:r>
      <w:r w:rsidRPr="00C30976">
        <w:t>par le président en période de guerre</w:t>
      </w:r>
    </w:p>
    <w:p w14:paraId="482E6AF4" w14:textId="77777777" w:rsidR="0039793A" w:rsidRDefault="0039793A" w:rsidP="0039793A">
      <w:pPr>
        <w:spacing w:before="120" w:after="120"/>
        <w:jc w:val="both"/>
        <w:rPr>
          <w:lang w:eastAsia="fr-FR" w:bidi="fr-FR"/>
        </w:rPr>
      </w:pPr>
    </w:p>
    <w:p w14:paraId="37C9EC8E" w14:textId="77777777" w:rsidR="0039793A" w:rsidRPr="00C30976" w:rsidRDefault="0039793A" w:rsidP="0039793A">
      <w:pPr>
        <w:spacing w:before="120" w:after="120"/>
        <w:jc w:val="both"/>
      </w:pPr>
      <w:r w:rsidRPr="00C30976">
        <w:rPr>
          <w:lang w:eastAsia="fr-FR" w:bidi="fr-FR"/>
        </w:rPr>
        <w:t>C’est le propre du leadership présidentiel que de n’être pas si</w:t>
      </w:r>
      <w:r w:rsidRPr="00C30976">
        <w:rPr>
          <w:lang w:eastAsia="fr-FR" w:bidi="fr-FR"/>
        </w:rPr>
        <w:t>m</w:t>
      </w:r>
      <w:r w:rsidRPr="00C30976">
        <w:rPr>
          <w:lang w:eastAsia="fr-FR" w:bidi="fr-FR"/>
        </w:rPr>
        <w:t xml:space="preserve">plement guidé par l’opinion, mais de pouvoir peu à peu la convaincre d’adopter une autre ligne politique. Dans ce </w:t>
      </w:r>
      <w:r w:rsidRPr="00C30976">
        <w:t>« </w:t>
      </w:r>
      <w:r w:rsidRPr="00C30976">
        <w:rPr>
          <w:lang w:eastAsia="fr-FR" w:bidi="fr-FR"/>
        </w:rPr>
        <w:t>travail</w:t>
      </w:r>
      <w:r w:rsidRPr="00C30976">
        <w:t> »</w:t>
      </w:r>
      <w:r w:rsidRPr="00C30976">
        <w:rPr>
          <w:lang w:eastAsia="fr-FR" w:bidi="fr-FR"/>
        </w:rPr>
        <w:t xml:space="preserve"> de l’opinion p</w:t>
      </w:r>
      <w:r w:rsidRPr="00C30976">
        <w:rPr>
          <w:lang w:eastAsia="fr-FR" w:bidi="fr-FR"/>
        </w:rPr>
        <w:t>u</w:t>
      </w:r>
      <w:r w:rsidRPr="00C30976">
        <w:rPr>
          <w:lang w:eastAsia="fr-FR" w:bidi="fr-FR"/>
        </w:rPr>
        <w:t>blique, les médias ont un rôle essentiel.</w:t>
      </w:r>
    </w:p>
    <w:p w14:paraId="5884DC3A" w14:textId="77777777" w:rsidR="0039793A" w:rsidRDefault="0039793A" w:rsidP="0039793A">
      <w:pPr>
        <w:spacing w:before="120" w:after="120"/>
        <w:jc w:val="both"/>
        <w:rPr>
          <w:lang w:eastAsia="fr-FR" w:bidi="fr-FR"/>
        </w:rPr>
      </w:pPr>
    </w:p>
    <w:p w14:paraId="7C017256" w14:textId="77777777" w:rsidR="0039793A" w:rsidRPr="00C21791" w:rsidRDefault="0039793A" w:rsidP="0039793A">
      <w:pPr>
        <w:pStyle w:val="b"/>
      </w:pPr>
      <w:r w:rsidRPr="00C21791">
        <w:rPr>
          <w:lang w:eastAsia="fr-FR" w:bidi="fr-FR"/>
        </w:rPr>
        <w:t>L’exercice du leadership présidentiel</w:t>
      </w:r>
    </w:p>
    <w:p w14:paraId="5E8C4234" w14:textId="77777777" w:rsidR="0039793A" w:rsidRDefault="0039793A" w:rsidP="0039793A">
      <w:pPr>
        <w:spacing w:before="120" w:after="120"/>
        <w:jc w:val="both"/>
        <w:rPr>
          <w:lang w:eastAsia="fr-FR" w:bidi="fr-FR"/>
        </w:rPr>
      </w:pPr>
    </w:p>
    <w:p w14:paraId="45D4B38F" w14:textId="77777777" w:rsidR="0039793A" w:rsidRPr="00C30976" w:rsidRDefault="0039793A" w:rsidP="0039793A">
      <w:pPr>
        <w:spacing w:before="120" w:after="120"/>
        <w:jc w:val="both"/>
      </w:pPr>
      <w:r w:rsidRPr="00C30976">
        <w:rPr>
          <w:lang w:eastAsia="fr-FR" w:bidi="fr-FR"/>
        </w:rPr>
        <w:t>Qu’il s’agisse de Woodrow Wilson (première guerre mondiale), de Franklin Roosevelt (seconde guerre mondiale), de Harry Truman (guerre froide) ou plus récemment des Bush (guerres contre l’Irak de 1991 et 2003), le président a le plus souvent dû convaincre le public américain du bien-fondé de sa politique d’intervention militaire à l’extérieur. Il y a toujours réussi - avec certes des majorités variables - ce qui montre la plasticité de l’opinion américa</w:t>
      </w:r>
      <w:r w:rsidRPr="00C30976">
        <w:rPr>
          <w:lang w:eastAsia="fr-FR" w:bidi="fr-FR"/>
        </w:rPr>
        <w:t>i</w:t>
      </w:r>
      <w:r w:rsidRPr="00C30976">
        <w:rPr>
          <w:lang w:eastAsia="fr-FR" w:bidi="fr-FR"/>
        </w:rPr>
        <w:t>ne, et la marge de manœuvre de l’Exécutif à cet égard. Certes, le président doit agir dans un env</w:t>
      </w:r>
      <w:r w:rsidRPr="00C30976">
        <w:rPr>
          <w:lang w:eastAsia="fr-FR" w:bidi="fr-FR"/>
        </w:rPr>
        <w:t>i</w:t>
      </w:r>
      <w:r w:rsidRPr="00C30976">
        <w:rPr>
          <w:lang w:eastAsia="fr-FR" w:bidi="fr-FR"/>
        </w:rPr>
        <w:t>ronnement complexe et déterminé, qui lui interdit bien des choix</w:t>
      </w:r>
      <w:r w:rsidRPr="00C30976">
        <w:t> ;</w:t>
      </w:r>
      <w:r w:rsidRPr="00C30976">
        <w:rPr>
          <w:lang w:eastAsia="fr-FR" w:bidi="fr-FR"/>
        </w:rPr>
        <w:t xml:space="preserve"> mais il peut aussi agir sur cet env</w:t>
      </w:r>
      <w:r w:rsidRPr="00C30976">
        <w:rPr>
          <w:lang w:eastAsia="fr-FR" w:bidi="fr-FR"/>
        </w:rPr>
        <w:t>i</w:t>
      </w:r>
      <w:r w:rsidRPr="00C30976">
        <w:rPr>
          <w:lang w:eastAsia="fr-FR" w:bidi="fr-FR"/>
        </w:rPr>
        <w:t>ronnement, convaincre les esprits, imposer ses pr</w:t>
      </w:r>
      <w:r w:rsidRPr="00C30976">
        <w:rPr>
          <w:lang w:eastAsia="fr-FR" w:bidi="fr-FR"/>
        </w:rPr>
        <w:t>o</w:t>
      </w:r>
      <w:r w:rsidRPr="00C30976">
        <w:rPr>
          <w:lang w:eastAsia="fr-FR" w:bidi="fr-FR"/>
        </w:rPr>
        <w:t>pres représentations du monde et de l’intérêt national américain et faire preuve, là encore, de leader</w:t>
      </w:r>
      <w:r w:rsidRPr="00C30976">
        <w:rPr>
          <w:lang w:eastAsia="fr-FR" w:bidi="fr-FR"/>
        </w:rPr>
        <w:t>s</w:t>
      </w:r>
      <w:r w:rsidRPr="00C30976">
        <w:rPr>
          <w:lang w:eastAsia="fr-FR" w:bidi="fr-FR"/>
        </w:rPr>
        <w:t xml:space="preserve">hip. De sorte qu’on ne saurait se représenter ni un président prisonnier des sondages et de </w:t>
      </w:r>
      <w:r w:rsidRPr="008C6A48">
        <w:rPr>
          <w:i/>
          <w:iCs/>
        </w:rPr>
        <w:t>CNN,</w:t>
      </w:r>
      <w:r w:rsidRPr="00C30976">
        <w:rPr>
          <w:lang w:eastAsia="fr-FR" w:bidi="fr-FR"/>
        </w:rPr>
        <w:t xml:space="preserve"> ni un président manipulateur de l’opinion publique : la réalité est dans l’oscillation et l’interaction entre ces deux phénom</w:t>
      </w:r>
      <w:r w:rsidRPr="00C30976">
        <w:rPr>
          <w:lang w:eastAsia="fr-FR" w:bidi="fr-FR"/>
        </w:rPr>
        <w:t>è</w:t>
      </w:r>
      <w:r w:rsidRPr="00C30976">
        <w:rPr>
          <w:lang w:eastAsia="fr-FR" w:bidi="fr-FR"/>
        </w:rPr>
        <w:t>nes. Un exemple intéressant de cette interaction est fourni par les d</w:t>
      </w:r>
      <w:r w:rsidRPr="00C30976">
        <w:rPr>
          <w:lang w:eastAsia="fr-FR" w:bidi="fr-FR"/>
        </w:rPr>
        <w:t>é</w:t>
      </w:r>
      <w:r w:rsidRPr="00C30976">
        <w:rPr>
          <w:lang w:eastAsia="fr-FR" w:bidi="fr-FR"/>
        </w:rPr>
        <w:t>buts de la guerre froide</w:t>
      </w:r>
      <w:r w:rsidRPr="00C30976">
        <w:t> :</w:t>
      </w:r>
      <w:r w:rsidRPr="00C30976">
        <w:rPr>
          <w:lang w:eastAsia="fr-FR" w:bidi="fr-FR"/>
        </w:rPr>
        <w:t xml:space="preserve"> Harry Truman, pour mobiliser les</w:t>
      </w:r>
      <w:r>
        <w:rPr>
          <w:lang w:eastAsia="fr-FR" w:bidi="fr-FR"/>
        </w:rPr>
        <w:t xml:space="preserve"> Amér</w:t>
      </w:r>
      <w:r>
        <w:rPr>
          <w:lang w:eastAsia="fr-FR" w:bidi="fr-FR"/>
        </w:rPr>
        <w:t>i</w:t>
      </w:r>
      <w:r w:rsidRPr="00C30976">
        <w:rPr>
          <w:lang w:eastAsia="fr-FR" w:bidi="fr-FR"/>
        </w:rPr>
        <w:t>cains,</w:t>
      </w:r>
      <w:r>
        <w:t xml:space="preserve"> [313]</w:t>
      </w:r>
      <w:r w:rsidRPr="00C30976">
        <w:rPr>
          <w:lang w:eastAsia="fr-FR" w:bidi="fr-FR"/>
        </w:rPr>
        <w:t xml:space="preserve"> joue volontairement sur la peur du co</w:t>
      </w:r>
      <w:r w:rsidRPr="00C30976">
        <w:rPr>
          <w:lang w:eastAsia="fr-FR" w:bidi="fr-FR"/>
        </w:rPr>
        <w:t>m</w:t>
      </w:r>
      <w:r w:rsidRPr="00C30976">
        <w:rPr>
          <w:lang w:eastAsia="fr-FR" w:bidi="fr-FR"/>
        </w:rPr>
        <w:t xml:space="preserve">munisme, avec l’assentiment du Congrès. </w:t>
      </w:r>
      <w:r w:rsidRPr="00C30976">
        <w:t>« </w:t>
      </w:r>
      <w:r w:rsidRPr="00C30976">
        <w:rPr>
          <w:lang w:eastAsia="fr-FR" w:bidi="fr-FR"/>
        </w:rPr>
        <w:t>il va falloir leur fiche une sacrée trouille pour qu’ils nous soutiennent</w:t>
      </w:r>
      <w:r w:rsidRPr="00C30976">
        <w:t> »</w:t>
      </w:r>
      <w:r w:rsidRPr="00C30976">
        <w:rPr>
          <w:lang w:eastAsia="fr-FR" w:bidi="fr-FR"/>
        </w:rPr>
        <w:t>, lui confirmait le sénateur Vande</w:t>
      </w:r>
      <w:r w:rsidRPr="00C30976">
        <w:rPr>
          <w:lang w:eastAsia="fr-FR" w:bidi="fr-FR"/>
        </w:rPr>
        <w:t>n</w:t>
      </w:r>
      <w:r w:rsidRPr="00C30976">
        <w:rPr>
          <w:lang w:eastAsia="fr-FR" w:bidi="fr-FR"/>
        </w:rPr>
        <w:t>berg. Le secrétaire d’</w:t>
      </w:r>
      <w:r>
        <w:rPr>
          <w:lang w:eastAsia="fr-FR" w:bidi="fr-FR"/>
        </w:rPr>
        <w:t>État</w:t>
      </w:r>
      <w:r w:rsidRPr="00C30976">
        <w:rPr>
          <w:lang w:eastAsia="fr-FR" w:bidi="fr-FR"/>
        </w:rPr>
        <w:t xml:space="preserve"> Dean Acheson, lui, év</w:t>
      </w:r>
      <w:r w:rsidRPr="00C30976">
        <w:rPr>
          <w:lang w:eastAsia="fr-FR" w:bidi="fr-FR"/>
        </w:rPr>
        <w:t>o</w:t>
      </w:r>
      <w:r w:rsidRPr="00C30976">
        <w:rPr>
          <w:lang w:eastAsia="fr-FR" w:bidi="fr-FR"/>
        </w:rPr>
        <w:t xml:space="preserve">quait la nécessité de </w:t>
      </w:r>
      <w:r w:rsidRPr="00C30976">
        <w:t>« </w:t>
      </w:r>
      <w:r w:rsidRPr="00C30976">
        <w:rPr>
          <w:lang w:eastAsia="fr-FR" w:bidi="fr-FR"/>
        </w:rPr>
        <w:t>matraquer</w:t>
      </w:r>
      <w:r w:rsidRPr="00C30976">
        <w:t> »</w:t>
      </w:r>
      <w:r w:rsidRPr="00C30976">
        <w:rPr>
          <w:lang w:eastAsia="fr-FR" w:bidi="fr-FR"/>
        </w:rPr>
        <w:t xml:space="preserve"> l’opinion publ</w:t>
      </w:r>
      <w:r w:rsidRPr="00C30976">
        <w:rPr>
          <w:lang w:eastAsia="fr-FR" w:bidi="fr-FR"/>
        </w:rPr>
        <w:t>i</w:t>
      </w:r>
      <w:r w:rsidRPr="00C30976">
        <w:rPr>
          <w:lang w:eastAsia="fr-FR" w:bidi="fr-FR"/>
        </w:rPr>
        <w:t xml:space="preserve">que et de lui présenter une réalité </w:t>
      </w:r>
      <w:r w:rsidRPr="00C30976">
        <w:t>« </w:t>
      </w:r>
      <w:r w:rsidRPr="00C30976">
        <w:rPr>
          <w:lang w:eastAsia="fr-FR" w:bidi="fr-FR"/>
        </w:rPr>
        <w:t>plus claire que la vérité</w:t>
      </w:r>
      <w:r w:rsidRPr="00C30976">
        <w:t> »</w:t>
      </w:r>
      <w:r w:rsidRPr="00C30976">
        <w:rPr>
          <w:lang w:eastAsia="fr-FR" w:bidi="fr-FR"/>
        </w:rPr>
        <w:t xml:space="preserve"> pour l’amener à souscrire aux progra</w:t>
      </w:r>
      <w:r w:rsidRPr="00C30976">
        <w:rPr>
          <w:lang w:eastAsia="fr-FR" w:bidi="fr-FR"/>
        </w:rPr>
        <w:t>m</w:t>
      </w:r>
      <w:r w:rsidRPr="00C30976">
        <w:rPr>
          <w:lang w:eastAsia="fr-FR" w:bidi="fr-FR"/>
        </w:rPr>
        <w:t>mes et aux dépenses nécessaires à la guerre froide</w:t>
      </w:r>
      <w:r>
        <w:rPr>
          <w:lang w:eastAsia="fr-FR" w:bidi="fr-FR"/>
        </w:rPr>
        <w:t> </w:t>
      </w:r>
      <w:r>
        <w:rPr>
          <w:rStyle w:val="Appelnotedebasdep"/>
          <w:lang w:eastAsia="fr-FR" w:bidi="fr-FR"/>
        </w:rPr>
        <w:footnoteReference w:id="620"/>
      </w:r>
      <w:r w:rsidRPr="00C30976">
        <w:rPr>
          <w:lang w:eastAsia="fr-FR" w:bidi="fr-FR"/>
        </w:rPr>
        <w:t>. La conséquence inattendue d’une telle attitude aura été que la peur du communisme est devenue exce</w:t>
      </w:r>
      <w:r w:rsidRPr="00C30976">
        <w:rPr>
          <w:lang w:eastAsia="fr-FR" w:bidi="fr-FR"/>
        </w:rPr>
        <w:t>s</w:t>
      </w:r>
      <w:r w:rsidRPr="00C30976">
        <w:rPr>
          <w:lang w:eastAsia="fr-FR" w:bidi="fr-FR"/>
        </w:rPr>
        <w:t>sive et paranoïaque</w:t>
      </w:r>
      <w:r w:rsidRPr="00C30976">
        <w:t> :</w:t>
      </w:r>
      <w:r w:rsidRPr="00C30976">
        <w:rPr>
          <w:lang w:eastAsia="fr-FR" w:bidi="fr-FR"/>
        </w:rPr>
        <w:t xml:space="preserve"> elle a pris la forme du maccarthysme et a fini par être utilisée par les républicains pour critiquer les démocr</w:t>
      </w:r>
      <w:r w:rsidRPr="00C30976">
        <w:rPr>
          <w:lang w:eastAsia="fr-FR" w:bidi="fr-FR"/>
        </w:rPr>
        <w:t>a</w:t>
      </w:r>
      <w:r w:rsidRPr="00C30976">
        <w:rPr>
          <w:lang w:eastAsia="fr-FR" w:bidi="fr-FR"/>
        </w:rPr>
        <w:t>tes</w:t>
      </w:r>
      <w:r>
        <w:rPr>
          <w:lang w:eastAsia="fr-FR" w:bidi="fr-FR"/>
        </w:rPr>
        <w:t> </w:t>
      </w:r>
      <w:r>
        <w:rPr>
          <w:rStyle w:val="Appelnotedebasdep"/>
          <w:lang w:eastAsia="fr-FR" w:bidi="fr-FR"/>
        </w:rPr>
        <w:footnoteReference w:id="621"/>
      </w:r>
      <w:r w:rsidRPr="00C30976">
        <w:rPr>
          <w:lang w:eastAsia="fr-FR" w:bidi="fr-FR"/>
        </w:rPr>
        <w:t>.</w:t>
      </w:r>
    </w:p>
    <w:p w14:paraId="0BF959A8" w14:textId="77777777" w:rsidR="0039793A" w:rsidRDefault="0039793A" w:rsidP="0039793A">
      <w:pPr>
        <w:spacing w:before="120" w:after="120"/>
        <w:jc w:val="both"/>
        <w:rPr>
          <w:lang w:eastAsia="fr-FR" w:bidi="fr-FR"/>
        </w:rPr>
      </w:pPr>
    </w:p>
    <w:p w14:paraId="77F13A4D" w14:textId="77777777" w:rsidR="0039793A" w:rsidRPr="0035014A" w:rsidRDefault="0039793A" w:rsidP="0039793A">
      <w:pPr>
        <w:pStyle w:val="b"/>
      </w:pPr>
      <w:r w:rsidRPr="0035014A">
        <w:rPr>
          <w:lang w:eastAsia="fr-FR" w:bidi="fr-FR"/>
        </w:rPr>
        <w:t>Les outils de la mobilisation</w:t>
      </w:r>
    </w:p>
    <w:p w14:paraId="7C56859E" w14:textId="77777777" w:rsidR="0039793A" w:rsidRDefault="0039793A" w:rsidP="0039793A">
      <w:pPr>
        <w:spacing w:before="120" w:after="120"/>
        <w:jc w:val="both"/>
        <w:rPr>
          <w:lang w:eastAsia="fr-FR" w:bidi="fr-FR"/>
        </w:rPr>
      </w:pPr>
    </w:p>
    <w:p w14:paraId="1E510319" w14:textId="77777777" w:rsidR="0039793A" w:rsidRPr="00C30976" w:rsidRDefault="0039793A" w:rsidP="0039793A">
      <w:pPr>
        <w:spacing w:before="120" w:after="120"/>
        <w:jc w:val="both"/>
      </w:pPr>
      <w:r w:rsidRPr="00C30976">
        <w:rPr>
          <w:lang w:eastAsia="fr-FR" w:bidi="fr-FR"/>
        </w:rPr>
        <w:t>Dans tous les conditionnements de l’opinion p</w:t>
      </w:r>
      <w:r w:rsidRPr="00C30976">
        <w:rPr>
          <w:lang w:eastAsia="fr-FR" w:bidi="fr-FR"/>
        </w:rPr>
        <w:t>u</w:t>
      </w:r>
      <w:r w:rsidRPr="00C30976">
        <w:rPr>
          <w:lang w:eastAsia="fr-FR" w:bidi="fr-FR"/>
        </w:rPr>
        <w:t>blique américaine en faveur de la guerre, l’idéalisme et la morale ont toujours occupé une place de choix.</w:t>
      </w:r>
    </w:p>
    <w:p w14:paraId="24F0A3EF" w14:textId="77777777" w:rsidR="0039793A" w:rsidRPr="00C30976" w:rsidRDefault="0039793A" w:rsidP="0039793A">
      <w:pPr>
        <w:spacing w:before="120" w:after="120"/>
        <w:jc w:val="both"/>
      </w:pPr>
      <w:r w:rsidRPr="00C30976">
        <w:rPr>
          <w:lang w:eastAsia="fr-FR" w:bidi="fr-FR"/>
        </w:rPr>
        <w:t xml:space="preserve">Ce n’est pas tout à fait un hasard si presque tous les ennemis des </w:t>
      </w:r>
      <w:r>
        <w:rPr>
          <w:lang w:eastAsia="fr-FR" w:bidi="fr-FR"/>
        </w:rPr>
        <w:t>État</w:t>
      </w:r>
      <w:r w:rsidRPr="00C30976">
        <w:rPr>
          <w:lang w:eastAsia="fr-FR" w:bidi="fr-FR"/>
        </w:rPr>
        <w:t>s-Unis depuis la seconde guerre mondiale, de Nasser à Saddam Hussein en passant par Kadhafi, ont été comparés explicitement à H</w:t>
      </w:r>
      <w:r w:rsidRPr="00C30976">
        <w:rPr>
          <w:lang w:eastAsia="fr-FR" w:bidi="fr-FR"/>
        </w:rPr>
        <w:t>i</w:t>
      </w:r>
      <w:r w:rsidRPr="00C30976">
        <w:rPr>
          <w:lang w:eastAsia="fr-FR" w:bidi="fr-FR"/>
        </w:rPr>
        <w:t xml:space="preserve">tler. À l’inverse, Henry Kissinger admet, dans ses Mémoires, que les concepts abstraits proposés par Nixon, comme la </w:t>
      </w:r>
      <w:r w:rsidRPr="00C30976">
        <w:t>« </w:t>
      </w:r>
      <w:r w:rsidRPr="00C30976">
        <w:rPr>
          <w:lang w:eastAsia="fr-FR" w:bidi="fr-FR"/>
        </w:rPr>
        <w:t>structure stable de paix</w:t>
      </w:r>
      <w:r w:rsidRPr="00C30976">
        <w:t> »</w:t>
      </w:r>
      <w:r w:rsidRPr="00C30976">
        <w:rPr>
          <w:lang w:eastAsia="fr-FR" w:bidi="fr-FR"/>
        </w:rPr>
        <w:t>, pe</w:t>
      </w:r>
      <w:r w:rsidRPr="00C30976">
        <w:rPr>
          <w:lang w:eastAsia="fr-FR" w:bidi="fr-FR"/>
        </w:rPr>
        <w:t>i</w:t>
      </w:r>
      <w:r w:rsidRPr="00C30976">
        <w:rPr>
          <w:lang w:eastAsia="fr-FR" w:bidi="fr-FR"/>
        </w:rPr>
        <w:t xml:space="preserve">nent à mobiliser une opinion publique qui préfère de loin le schématisme moralisateur de Ronald Reagan évoquant </w:t>
      </w:r>
      <w:r w:rsidRPr="00C30976">
        <w:t>« </w:t>
      </w:r>
      <w:r w:rsidRPr="00C30976">
        <w:rPr>
          <w:lang w:eastAsia="fr-FR" w:bidi="fr-FR"/>
        </w:rPr>
        <w:t>l’empire du mal</w:t>
      </w:r>
      <w:r>
        <w:rPr>
          <w:lang w:eastAsia="fr-FR" w:bidi="fr-FR"/>
        </w:rPr>
        <w:t> </w:t>
      </w:r>
      <w:r>
        <w:rPr>
          <w:rStyle w:val="Appelnotedebasdep"/>
          <w:lang w:eastAsia="fr-FR" w:bidi="fr-FR"/>
        </w:rPr>
        <w:footnoteReference w:id="622"/>
      </w:r>
      <w:r w:rsidRPr="00C30976">
        <w:t> »</w:t>
      </w:r>
      <w:r w:rsidRPr="00C30976">
        <w:rPr>
          <w:lang w:eastAsia="fr-FR" w:bidi="fr-FR"/>
        </w:rPr>
        <w:t>. De façon révélatrice, lors de la crise du Golfe de 1990, l’Administration Bush a recouru aux services d’une agence de co</w:t>
      </w:r>
      <w:r w:rsidRPr="00C30976">
        <w:rPr>
          <w:lang w:eastAsia="fr-FR" w:bidi="fr-FR"/>
        </w:rPr>
        <w:t>m</w:t>
      </w:r>
      <w:r w:rsidRPr="00C30976">
        <w:rPr>
          <w:lang w:eastAsia="fr-FR" w:bidi="fr-FR"/>
        </w:rPr>
        <w:t>munication privée (Hill and Know</w:t>
      </w:r>
      <w:r w:rsidRPr="00C30976">
        <w:rPr>
          <w:lang w:eastAsia="fr-FR" w:bidi="fr-FR"/>
        </w:rPr>
        <w:t>l</w:t>
      </w:r>
      <w:r w:rsidRPr="00C30976">
        <w:rPr>
          <w:lang w:eastAsia="fr-FR" w:bidi="fr-FR"/>
        </w:rPr>
        <w:t>ton), afin de convaincre l’opinion publique de l’immédiateté et de la dangerosité de la menace ir</w:t>
      </w:r>
      <w:r w:rsidRPr="00C30976">
        <w:rPr>
          <w:lang w:eastAsia="fr-FR" w:bidi="fr-FR"/>
        </w:rPr>
        <w:t>a</w:t>
      </w:r>
      <w:r w:rsidRPr="00C30976">
        <w:rPr>
          <w:lang w:eastAsia="fr-FR" w:bidi="fr-FR"/>
        </w:rPr>
        <w:t>kienne. L’histoire des atrocités irakiennes, parfois inventées, comme cette anecdote des couveuses débranchées dans les hôpitaux du Koweït après l’invasion, a contribué à mobiliser l’opinion amér</w:t>
      </w:r>
      <w:r w:rsidRPr="00C30976">
        <w:rPr>
          <w:lang w:eastAsia="fr-FR" w:bidi="fr-FR"/>
        </w:rPr>
        <w:t>i</w:t>
      </w:r>
      <w:r w:rsidRPr="00C30976">
        <w:rPr>
          <w:lang w:eastAsia="fr-FR" w:bidi="fr-FR"/>
        </w:rPr>
        <w:t>caine dans les premiers mois de la crise. En reva</w:t>
      </w:r>
      <w:r w:rsidRPr="00C30976">
        <w:rPr>
          <w:lang w:eastAsia="fr-FR" w:bidi="fr-FR"/>
        </w:rPr>
        <w:t>n</w:t>
      </w:r>
      <w:r w:rsidRPr="00C30976">
        <w:rPr>
          <w:lang w:eastAsia="fr-FR" w:bidi="fr-FR"/>
        </w:rPr>
        <w:t>che, de novembre à janvier 1990, les médias ont été plus nuancés, et ont fait une part plus importante aux débats contradictoires sur l’opportunité d’un recours à la force. Enfin, lors des opérations</w:t>
      </w:r>
      <w:r>
        <w:rPr>
          <w:lang w:eastAsia="fr-FR" w:bidi="fr-FR"/>
        </w:rPr>
        <w:t xml:space="preserve"> </w:t>
      </w:r>
      <w:r>
        <w:t xml:space="preserve">[314] </w:t>
      </w:r>
      <w:r w:rsidRPr="00C30976">
        <w:rPr>
          <w:lang w:eastAsia="fr-FR" w:bidi="fr-FR"/>
        </w:rPr>
        <w:t>militaires, les journalistes ont été étroitement contrôlés dans leurs déplacements par la Maison-Blanche et le Pentagone, et pourvus en informations soigneusement sélectio</w:t>
      </w:r>
      <w:r w:rsidRPr="00C30976">
        <w:rPr>
          <w:lang w:eastAsia="fr-FR" w:bidi="fr-FR"/>
        </w:rPr>
        <w:t>n</w:t>
      </w:r>
      <w:r w:rsidRPr="00C30976">
        <w:rPr>
          <w:lang w:eastAsia="fr-FR" w:bidi="fr-FR"/>
        </w:rPr>
        <w:t>nées, ce qui montrait à quel point l’Exécutif avait appris les leçons du désastre médiatique survenu au Vietnam. Une nouvelle tactique, ce</w:t>
      </w:r>
      <w:r w:rsidRPr="00C30976">
        <w:rPr>
          <w:lang w:eastAsia="fr-FR" w:bidi="fr-FR"/>
        </w:rPr>
        <w:t>n</w:t>
      </w:r>
      <w:r w:rsidRPr="00C30976">
        <w:rPr>
          <w:lang w:eastAsia="fr-FR" w:bidi="fr-FR"/>
        </w:rPr>
        <w:t>sée fournir une couverture plus authentique et directe, a été adoptée avec la guerre contre l’Irak de 2003</w:t>
      </w:r>
      <w:r w:rsidRPr="00C30976">
        <w:t> :</w:t>
      </w:r>
      <w:r w:rsidRPr="00C30976">
        <w:rPr>
          <w:lang w:eastAsia="fr-FR" w:bidi="fr-FR"/>
        </w:rPr>
        <w:t xml:space="preserve"> les journalistes étaient </w:t>
      </w:r>
      <w:r w:rsidRPr="00C30976">
        <w:t>« </w:t>
      </w:r>
      <w:r w:rsidRPr="00C30976">
        <w:rPr>
          <w:lang w:eastAsia="fr-FR" w:bidi="fr-FR"/>
        </w:rPr>
        <w:t>intégrés</w:t>
      </w:r>
      <w:r w:rsidRPr="00C30976">
        <w:t> »</w:t>
      </w:r>
      <w:r w:rsidRPr="00C30976">
        <w:rPr>
          <w:lang w:eastAsia="fr-FR" w:bidi="fr-FR"/>
        </w:rPr>
        <w:t xml:space="preserve"> (</w:t>
      </w:r>
      <w:r w:rsidRPr="008C547F">
        <w:rPr>
          <w:i/>
          <w:iCs/>
        </w:rPr>
        <w:t>embedded</w:t>
      </w:r>
      <w:r w:rsidRPr="00C30976">
        <w:t>)</w:t>
      </w:r>
      <w:r w:rsidRPr="00C30976">
        <w:rPr>
          <w:lang w:eastAsia="fr-FR" w:bidi="fr-FR"/>
        </w:rPr>
        <w:t xml:space="preserve"> dans les unités envahissant l’Irak, et po</w:t>
      </w:r>
      <w:r w:rsidRPr="00C30976">
        <w:rPr>
          <w:lang w:eastAsia="fr-FR" w:bidi="fr-FR"/>
        </w:rPr>
        <w:t>u</w:t>
      </w:r>
      <w:r w:rsidRPr="00C30976">
        <w:rPr>
          <w:lang w:eastAsia="fr-FR" w:bidi="fr-FR"/>
        </w:rPr>
        <w:t>vaient, avec certaines restrictions, commun</w:t>
      </w:r>
      <w:r w:rsidRPr="00C30976">
        <w:rPr>
          <w:lang w:eastAsia="fr-FR" w:bidi="fr-FR"/>
        </w:rPr>
        <w:t>i</w:t>
      </w:r>
      <w:r w:rsidRPr="00C30976">
        <w:rPr>
          <w:lang w:eastAsia="fr-FR" w:bidi="fr-FR"/>
        </w:rPr>
        <w:t>quer en direct avec leur chaîne.</w:t>
      </w:r>
    </w:p>
    <w:p w14:paraId="3ECDD719" w14:textId="77777777" w:rsidR="0039793A" w:rsidRPr="00C30976" w:rsidRDefault="0039793A" w:rsidP="0039793A">
      <w:pPr>
        <w:spacing w:before="120" w:after="120"/>
        <w:jc w:val="both"/>
      </w:pPr>
      <w:r w:rsidRPr="00C30976">
        <w:rPr>
          <w:lang w:eastAsia="fr-FR" w:bidi="fr-FR"/>
        </w:rPr>
        <w:t>De fait, pour toute opération militaire depuis la guerre du Vietnam - laquelle avait d’ailleurs co</w:t>
      </w:r>
      <w:r w:rsidRPr="00C30976">
        <w:rPr>
          <w:lang w:eastAsia="fr-FR" w:bidi="fr-FR"/>
        </w:rPr>
        <w:t>m</w:t>
      </w:r>
      <w:r w:rsidRPr="00C30976">
        <w:rPr>
          <w:lang w:eastAsia="fr-FR" w:bidi="fr-FR"/>
        </w:rPr>
        <w:t>mencé de manière subreptice, sans réel débat public —, le soutien de l’opinion est considéré comme un fa</w:t>
      </w:r>
      <w:r w:rsidRPr="00C30976">
        <w:rPr>
          <w:lang w:eastAsia="fr-FR" w:bidi="fr-FR"/>
        </w:rPr>
        <w:t>c</w:t>
      </w:r>
      <w:r w:rsidRPr="00C30976">
        <w:rPr>
          <w:lang w:eastAsia="fr-FR" w:bidi="fr-FR"/>
        </w:rPr>
        <w:t>teur indispensable d’entrée en guerre</w:t>
      </w:r>
      <w:r>
        <w:rPr>
          <w:lang w:eastAsia="fr-FR" w:bidi="fr-FR"/>
        </w:rPr>
        <w:t> </w:t>
      </w:r>
      <w:r>
        <w:rPr>
          <w:rStyle w:val="Appelnotedebasdep"/>
          <w:lang w:eastAsia="fr-FR" w:bidi="fr-FR"/>
        </w:rPr>
        <w:footnoteReference w:id="623"/>
      </w:r>
      <w:r>
        <w:rPr>
          <w:lang w:eastAsia="fr-FR" w:bidi="fr-FR"/>
        </w:rPr>
        <w:t>.</w:t>
      </w:r>
      <w:r w:rsidRPr="00C30976">
        <w:rPr>
          <w:lang w:eastAsia="fr-FR" w:bidi="fr-FR"/>
        </w:rPr>
        <w:t xml:space="preserve"> Cette exigence a été codifiée abstraitement dans les doctrines Weinberger et Powell, qui posent ce</w:t>
      </w:r>
      <w:r w:rsidRPr="00C30976">
        <w:rPr>
          <w:lang w:eastAsia="fr-FR" w:bidi="fr-FR"/>
        </w:rPr>
        <w:t>r</w:t>
      </w:r>
      <w:r w:rsidRPr="00C30976">
        <w:rPr>
          <w:lang w:eastAsia="fr-FR" w:bidi="fr-FR"/>
        </w:rPr>
        <w:t>tains principes préalables à l’emploi des forces armées à l’extérieur</w:t>
      </w:r>
      <w:r w:rsidRPr="00C30976">
        <w:t> :</w:t>
      </w:r>
      <w:r w:rsidRPr="00C30976">
        <w:rPr>
          <w:lang w:eastAsia="fr-FR" w:bidi="fr-FR"/>
        </w:rPr>
        <w:t xml:space="preserve"> intérêts américains clairement en jeu, objectifs politiques bien définis, moyens suffisants pour les atteindre, stratégie de sortie, et enfin so</w:t>
      </w:r>
      <w:r w:rsidRPr="00C30976">
        <w:rPr>
          <w:lang w:eastAsia="fr-FR" w:bidi="fr-FR"/>
        </w:rPr>
        <w:t>u</w:t>
      </w:r>
      <w:r w:rsidRPr="00C30976">
        <w:rPr>
          <w:lang w:eastAsia="fr-FR" w:bidi="fr-FR"/>
        </w:rPr>
        <w:t>tien clair de l’opinion et du Congrès. Ces doctrines ont pour but d’éviter un engagement inconsidéré des forces armées par l’Exécutif, et conséquemment une impopularité dont les militaires font les frais alors qu’ils ne sont que les exécutants de cette pol</w:t>
      </w:r>
      <w:r w:rsidRPr="00C30976">
        <w:rPr>
          <w:lang w:eastAsia="fr-FR" w:bidi="fr-FR"/>
        </w:rPr>
        <w:t>i</w:t>
      </w:r>
      <w:r w:rsidRPr="00C30976">
        <w:rPr>
          <w:lang w:eastAsia="fr-FR" w:bidi="fr-FR"/>
        </w:rPr>
        <w:t>tique - comme ce fut le cas au Vietnam où l’état-major s’est senti lâché et parfois haï par la population, abandonné par les politiques qui se sont d</w:t>
      </w:r>
      <w:r w:rsidRPr="00C30976">
        <w:rPr>
          <w:lang w:eastAsia="fr-FR" w:bidi="fr-FR"/>
        </w:rPr>
        <w:t>é</w:t>
      </w:r>
      <w:r w:rsidRPr="00C30976">
        <w:rPr>
          <w:lang w:eastAsia="fr-FR" w:bidi="fr-FR"/>
        </w:rPr>
        <w:t>chargés sur lui de leurs responsabilités. Ce soutien se conquiert avant la guerre et s’entretient ensuite par un effort constant visant à minimiser les pe</w:t>
      </w:r>
      <w:r w:rsidRPr="00C30976">
        <w:rPr>
          <w:lang w:eastAsia="fr-FR" w:bidi="fr-FR"/>
        </w:rPr>
        <w:t>r</w:t>
      </w:r>
      <w:r w:rsidRPr="00C30976">
        <w:rPr>
          <w:lang w:eastAsia="fr-FR" w:bidi="fr-FR"/>
        </w:rPr>
        <w:t>tes</w:t>
      </w:r>
      <w:r w:rsidRPr="00C30976">
        <w:t> :</w:t>
      </w:r>
      <w:r w:rsidRPr="00C30976">
        <w:rPr>
          <w:lang w:eastAsia="fr-FR" w:bidi="fr-FR"/>
        </w:rPr>
        <w:t xml:space="preserve"> c’est la fameuse exigence du </w:t>
      </w:r>
      <w:r w:rsidRPr="00C30976">
        <w:t>« </w:t>
      </w:r>
      <w:r w:rsidRPr="00C30976">
        <w:rPr>
          <w:lang w:eastAsia="fr-FR" w:bidi="fr-FR"/>
        </w:rPr>
        <w:t>zéro mort</w:t>
      </w:r>
      <w:r w:rsidRPr="00C30976">
        <w:t> »</w:t>
      </w:r>
      <w:r w:rsidRPr="00C30976">
        <w:rPr>
          <w:lang w:eastAsia="fr-FR" w:bidi="fr-FR"/>
        </w:rPr>
        <w:t>, dont il ne faut cepe</w:t>
      </w:r>
      <w:r w:rsidRPr="00C30976">
        <w:rPr>
          <w:lang w:eastAsia="fr-FR" w:bidi="fr-FR"/>
        </w:rPr>
        <w:t>n</w:t>
      </w:r>
      <w:r w:rsidRPr="00C30976">
        <w:rPr>
          <w:lang w:eastAsia="fr-FR" w:bidi="fr-FR"/>
        </w:rPr>
        <w:t>dant pas exagérer la portée. En effet, l’opinion publique est tout à fait prête à accepter des pertes si elle estime que l’intervention militaire est nécessaire</w:t>
      </w:r>
      <w:r w:rsidRPr="00C30976">
        <w:t> ;</w:t>
      </w:r>
      <w:r w:rsidRPr="00C30976">
        <w:rPr>
          <w:lang w:eastAsia="fr-FR" w:bidi="fr-FR"/>
        </w:rPr>
        <w:t xml:space="preserve"> mais elle réagira très négativement si elle l’estime s</w:t>
      </w:r>
      <w:r w:rsidRPr="00C30976">
        <w:rPr>
          <w:lang w:eastAsia="fr-FR" w:bidi="fr-FR"/>
        </w:rPr>
        <w:t>u</w:t>
      </w:r>
      <w:r w:rsidRPr="00C30976">
        <w:rPr>
          <w:lang w:eastAsia="fr-FR" w:bidi="fr-FR"/>
        </w:rPr>
        <w:t>perflue, comme c’était le cas s’agissant de la Somalie</w:t>
      </w:r>
      <w:r>
        <w:rPr>
          <w:lang w:eastAsia="fr-FR" w:bidi="fr-FR"/>
        </w:rPr>
        <w:t> </w:t>
      </w:r>
      <w:r>
        <w:rPr>
          <w:rStyle w:val="Appelnotedebasdep"/>
          <w:lang w:eastAsia="fr-FR" w:bidi="fr-FR"/>
        </w:rPr>
        <w:footnoteReference w:id="624"/>
      </w:r>
      <w:r>
        <w:rPr>
          <w:lang w:eastAsia="fr-FR" w:bidi="fr-FR"/>
        </w:rPr>
        <w:t>. Sur</w:t>
      </w:r>
      <w:r w:rsidRPr="00C30976">
        <w:rPr>
          <w:lang w:eastAsia="fr-FR" w:bidi="fr-FR"/>
        </w:rPr>
        <w:t>tout,</w:t>
      </w:r>
      <w:r>
        <w:t xml:space="preserve"> [315]</w:t>
      </w:r>
      <w:r w:rsidRPr="00C30976">
        <w:rPr>
          <w:lang w:eastAsia="fr-FR" w:bidi="fr-FR"/>
        </w:rPr>
        <w:t xml:space="preserve"> une fois les hostilités déclenchées, l’effet de ralliement spont</w:t>
      </w:r>
      <w:r w:rsidRPr="00C30976">
        <w:rPr>
          <w:lang w:eastAsia="fr-FR" w:bidi="fr-FR"/>
        </w:rPr>
        <w:t>a</w:t>
      </w:r>
      <w:r w:rsidRPr="00C30976">
        <w:rPr>
          <w:lang w:eastAsia="fr-FR" w:bidi="fr-FR"/>
        </w:rPr>
        <w:t xml:space="preserve">né, d’union sacrée des médias, de l’opinion publique et du Congrès </w:t>
      </w:r>
      <w:r w:rsidRPr="00C30976">
        <w:t>(</w:t>
      </w:r>
      <w:r w:rsidRPr="00AD631D">
        <w:rPr>
          <w:i/>
          <w:iCs/>
        </w:rPr>
        <w:t>rally around the flag</w:t>
      </w:r>
      <w:r w:rsidRPr="00C30976">
        <w:t>)</w:t>
      </w:r>
      <w:r w:rsidRPr="00C30976">
        <w:rPr>
          <w:lang w:eastAsia="fr-FR" w:bidi="fr-FR"/>
        </w:rPr>
        <w:t xml:space="preserve"> est réel. Si le président américain ne peut plus engager ses troupes sans un soutien préalable de l’opinion, en reva</w:t>
      </w:r>
      <w:r w:rsidRPr="00C30976">
        <w:rPr>
          <w:lang w:eastAsia="fr-FR" w:bidi="fr-FR"/>
        </w:rPr>
        <w:t>n</w:t>
      </w:r>
      <w:r w:rsidRPr="00C30976">
        <w:rPr>
          <w:lang w:eastAsia="fr-FR" w:bidi="fr-FR"/>
        </w:rPr>
        <w:t>che, une fois les combats commencés, il bénéficie d’une p</w:t>
      </w:r>
      <w:r w:rsidRPr="00C30976">
        <w:rPr>
          <w:lang w:eastAsia="fr-FR" w:bidi="fr-FR"/>
        </w:rPr>
        <w:t>é</w:t>
      </w:r>
      <w:r w:rsidRPr="00C30976">
        <w:rPr>
          <w:lang w:eastAsia="fr-FR" w:bidi="fr-FR"/>
        </w:rPr>
        <w:t>riode de grâce où les différences partisanes s’effacent en sa faveur</w:t>
      </w:r>
      <w:r w:rsidRPr="00C30976">
        <w:t> :</w:t>
      </w:r>
      <w:r w:rsidRPr="00C30976">
        <w:rPr>
          <w:lang w:eastAsia="fr-FR" w:bidi="fr-FR"/>
        </w:rPr>
        <w:t xml:space="preserve"> il n’est plus alors un politicien mais le commandant en chef des armées et l’incarnation de la nation. Dès lors, la tentation peut être grande d’utiliser la politique étrangère comme instrument de popular</w:t>
      </w:r>
      <w:r w:rsidRPr="00C30976">
        <w:rPr>
          <w:lang w:eastAsia="fr-FR" w:bidi="fr-FR"/>
        </w:rPr>
        <w:t>i</w:t>
      </w:r>
      <w:r w:rsidRPr="00C30976">
        <w:rPr>
          <w:lang w:eastAsia="fr-FR" w:bidi="fr-FR"/>
        </w:rPr>
        <w:t>té. C’est ce qui a mené Trent Lott, chef de la maj</w:t>
      </w:r>
      <w:r w:rsidRPr="00C30976">
        <w:rPr>
          <w:lang w:eastAsia="fr-FR" w:bidi="fr-FR"/>
        </w:rPr>
        <w:t>o</w:t>
      </w:r>
      <w:r w:rsidRPr="00C30976">
        <w:rPr>
          <w:lang w:eastAsia="fr-FR" w:bidi="fr-FR"/>
        </w:rPr>
        <w:t>rité républicaine au Sénat, à suggérer que les fra</w:t>
      </w:r>
      <w:r w:rsidRPr="00C30976">
        <w:rPr>
          <w:lang w:eastAsia="fr-FR" w:bidi="fr-FR"/>
        </w:rPr>
        <w:t>p</w:t>
      </w:r>
      <w:r w:rsidRPr="00C30976">
        <w:rPr>
          <w:lang w:eastAsia="fr-FR" w:bidi="fr-FR"/>
        </w:rPr>
        <w:t xml:space="preserve">pes contre l’Irak lors de l’opération </w:t>
      </w:r>
      <w:r w:rsidRPr="00C30976">
        <w:t>« </w:t>
      </w:r>
      <w:r w:rsidRPr="00C30976">
        <w:rPr>
          <w:lang w:eastAsia="fr-FR" w:bidi="fr-FR"/>
        </w:rPr>
        <w:t>Renard du désert</w:t>
      </w:r>
      <w:r w:rsidRPr="00C30976">
        <w:t> »</w:t>
      </w:r>
      <w:r w:rsidRPr="00C30976">
        <w:rPr>
          <w:lang w:eastAsia="fr-FR" w:bidi="fr-FR"/>
        </w:rPr>
        <w:t xml:space="preserve"> en décembre 1998 avaient été décidées par Bill Clinton afin d’éloigner le spectre de la proc</w:t>
      </w:r>
      <w:r w:rsidRPr="00C30976">
        <w:rPr>
          <w:lang w:eastAsia="fr-FR" w:bidi="fr-FR"/>
        </w:rPr>
        <w:t>é</w:t>
      </w:r>
      <w:r w:rsidRPr="00C30976">
        <w:rPr>
          <w:lang w:eastAsia="fr-FR" w:bidi="fr-FR"/>
        </w:rPr>
        <w:t>dure de destitution, en cours au Congrès.</w:t>
      </w:r>
    </w:p>
    <w:p w14:paraId="79C1BAA9" w14:textId="77777777" w:rsidR="0039793A" w:rsidRPr="00C30976" w:rsidRDefault="0039793A" w:rsidP="0039793A">
      <w:pPr>
        <w:pStyle w:val="c"/>
      </w:pPr>
      <w:r w:rsidRPr="00C30976">
        <w:t>*</w:t>
      </w:r>
      <w:r>
        <w:br/>
        <w:t>*     *</w:t>
      </w:r>
    </w:p>
    <w:p w14:paraId="1822EAC5" w14:textId="77777777" w:rsidR="0039793A" w:rsidRPr="00C30976" w:rsidRDefault="0039793A" w:rsidP="0039793A">
      <w:pPr>
        <w:spacing w:before="120" w:after="120"/>
        <w:jc w:val="both"/>
      </w:pPr>
      <w:r w:rsidRPr="00C30976">
        <w:rPr>
          <w:lang w:eastAsia="fr-FR" w:bidi="fr-FR"/>
        </w:rPr>
        <w:t>De toute évidence, le président entretient avec les médias et l’opinion publique une relation très interactive, où il est tour à tour dominé et manipul</w:t>
      </w:r>
      <w:r w:rsidRPr="00C30976">
        <w:rPr>
          <w:lang w:eastAsia="fr-FR" w:bidi="fr-FR"/>
        </w:rPr>
        <w:t>a</w:t>
      </w:r>
      <w:r w:rsidRPr="00C30976">
        <w:rPr>
          <w:lang w:eastAsia="fr-FR" w:bidi="fr-FR"/>
        </w:rPr>
        <w:t>teur. Deux éléments au moins doivent être ajoutés à cette interaction pour compléter le tableau. D’une part, l’opinion publique internationale joue, depuis la seconde guerre mondiale et plus encore avec la progression du mouvement de mondialisation, un rôle certes mineur mais de plus en plus visible dans la politique étra</w:t>
      </w:r>
      <w:r w:rsidRPr="00C30976">
        <w:rPr>
          <w:lang w:eastAsia="fr-FR" w:bidi="fr-FR"/>
        </w:rPr>
        <w:t>n</w:t>
      </w:r>
      <w:r w:rsidRPr="00C30976">
        <w:rPr>
          <w:lang w:eastAsia="fr-FR" w:bidi="fr-FR"/>
        </w:rPr>
        <w:t>gère américaine. Cela s’explique non seulement par l’intérêt de l’Amérique sur le long terme, qui est de s’attirer les bonnes grâces du reste du monde, mais aussi par le rôle de cette opinion publique inte</w:t>
      </w:r>
      <w:r w:rsidRPr="00C30976">
        <w:rPr>
          <w:lang w:eastAsia="fr-FR" w:bidi="fr-FR"/>
        </w:rPr>
        <w:t>r</w:t>
      </w:r>
      <w:r w:rsidRPr="00C30976">
        <w:rPr>
          <w:lang w:eastAsia="fr-FR" w:bidi="fr-FR"/>
        </w:rPr>
        <w:t>nationale dans les perceptions de l’opinion publique intérieure, qui peut être sensible aux doutes exprimés par le reste du monde et n’aime pas beaucoup être isolée de ses proches alliés — les Britanniques n</w:t>
      </w:r>
      <w:r w:rsidRPr="00C30976">
        <w:rPr>
          <w:lang w:eastAsia="fr-FR" w:bidi="fr-FR"/>
        </w:rPr>
        <w:t>o</w:t>
      </w:r>
      <w:r w:rsidRPr="00C30976">
        <w:rPr>
          <w:lang w:eastAsia="fr-FR" w:bidi="fr-FR"/>
        </w:rPr>
        <w:t>tamment. La guerre en Irak a toutefois démontré que l’opinion amér</w:t>
      </w:r>
      <w:r w:rsidRPr="00C30976">
        <w:rPr>
          <w:lang w:eastAsia="fr-FR" w:bidi="fr-FR"/>
        </w:rPr>
        <w:t>i</w:t>
      </w:r>
      <w:r w:rsidRPr="00C30976">
        <w:rPr>
          <w:lang w:eastAsia="fr-FR" w:bidi="fr-FR"/>
        </w:rPr>
        <w:t>caine, suivant en cela le président, pouvait ignorer cette opinion p</w:t>
      </w:r>
      <w:r w:rsidRPr="00C30976">
        <w:rPr>
          <w:lang w:eastAsia="fr-FR" w:bidi="fr-FR"/>
        </w:rPr>
        <w:t>u</w:t>
      </w:r>
      <w:r w:rsidRPr="00C30976">
        <w:rPr>
          <w:lang w:eastAsia="fr-FR" w:bidi="fr-FR"/>
        </w:rPr>
        <w:t>blique internationale. D’autre part, il convient de faire rentrer en ligne de compte le Congrès. Une opinion publique favorable ou bienveilla</w:t>
      </w:r>
      <w:r w:rsidRPr="00C30976">
        <w:rPr>
          <w:lang w:eastAsia="fr-FR" w:bidi="fr-FR"/>
        </w:rPr>
        <w:t>n</w:t>
      </w:r>
      <w:r w:rsidRPr="00C30976">
        <w:rPr>
          <w:lang w:eastAsia="fr-FR" w:bidi="fr-FR"/>
        </w:rPr>
        <w:t>te est un bouclier de choix pour le président vis-à-vis du Congrès, ai</w:t>
      </w:r>
      <w:r w:rsidRPr="00C30976">
        <w:rPr>
          <w:lang w:eastAsia="fr-FR" w:bidi="fr-FR"/>
        </w:rPr>
        <w:t>n</w:t>
      </w:r>
      <w:r w:rsidRPr="00C30976">
        <w:rPr>
          <w:lang w:eastAsia="fr-FR" w:bidi="fr-FR"/>
        </w:rPr>
        <w:t>si l’exemple de Bill Cli</w:t>
      </w:r>
      <w:r w:rsidRPr="00C30976">
        <w:rPr>
          <w:lang w:eastAsia="fr-FR" w:bidi="fr-FR"/>
        </w:rPr>
        <w:t>n</w:t>
      </w:r>
      <w:r w:rsidRPr="00C30976">
        <w:rPr>
          <w:lang w:eastAsia="fr-FR" w:bidi="fr-FR"/>
        </w:rPr>
        <w:t>ton pendant l’affaire Lewinsky, qui a toujours conservé la confiance des Américains, ou celui de George W. Bush après le 11 septembre 2001, qui a assommé les démocrates par ses taux</w:t>
      </w:r>
    </w:p>
    <w:p w14:paraId="0E954755" w14:textId="77777777" w:rsidR="0039793A" w:rsidRDefault="0039793A" w:rsidP="0039793A">
      <w:pPr>
        <w:spacing w:before="120" w:after="120"/>
        <w:jc w:val="both"/>
      </w:pPr>
      <w:r>
        <w:t>[316]</w:t>
      </w:r>
    </w:p>
    <w:p w14:paraId="0FDE5176" w14:textId="77777777" w:rsidR="0039793A" w:rsidRDefault="0039793A" w:rsidP="0039793A">
      <w:pPr>
        <w:spacing w:before="120" w:after="120"/>
        <w:jc w:val="both"/>
        <w:rPr>
          <w:lang w:eastAsia="fr-FR" w:bidi="fr-FR"/>
        </w:rPr>
      </w:pPr>
      <w:r w:rsidRPr="00C30976">
        <w:rPr>
          <w:lang w:eastAsia="fr-FR" w:bidi="fr-FR"/>
        </w:rPr>
        <w:t>records de popularité. À l’inverse, un mauvais score dans les so</w:t>
      </w:r>
      <w:r w:rsidRPr="00C30976">
        <w:rPr>
          <w:lang w:eastAsia="fr-FR" w:bidi="fr-FR"/>
        </w:rPr>
        <w:t>n</w:t>
      </w:r>
      <w:r w:rsidRPr="00C30976">
        <w:rPr>
          <w:lang w:eastAsia="fr-FR" w:bidi="fr-FR"/>
        </w:rPr>
        <w:t>dages met en danger la capacité du président de faire passer ses polit</w:t>
      </w:r>
      <w:r w:rsidRPr="00C30976">
        <w:rPr>
          <w:lang w:eastAsia="fr-FR" w:bidi="fr-FR"/>
        </w:rPr>
        <w:t>i</w:t>
      </w:r>
      <w:r w:rsidRPr="00C30976">
        <w:rPr>
          <w:lang w:eastAsia="fr-FR" w:bidi="fr-FR"/>
        </w:rPr>
        <w:t>ques au Congrès, d’imposer sa vision du monde, de prév</w:t>
      </w:r>
      <w:r w:rsidRPr="00C30976">
        <w:rPr>
          <w:lang w:eastAsia="fr-FR" w:bidi="fr-FR"/>
        </w:rPr>
        <w:t>a</w:t>
      </w:r>
      <w:r w:rsidRPr="00C30976">
        <w:rPr>
          <w:lang w:eastAsia="fr-FR" w:bidi="fr-FR"/>
        </w:rPr>
        <w:t>loir face aux lobbies, aux intérêts particuliers et aux forces centrifuges, et incite les parlementaires à choisir une route plus indépendante et contestatrice. La popularité du président est une sorte de substa</w:t>
      </w:r>
      <w:r w:rsidRPr="00C30976">
        <w:rPr>
          <w:lang w:eastAsia="fr-FR" w:bidi="fr-FR"/>
        </w:rPr>
        <w:t>n</w:t>
      </w:r>
      <w:r w:rsidRPr="00C30976">
        <w:rPr>
          <w:lang w:eastAsia="fr-FR" w:bidi="fr-FR"/>
        </w:rPr>
        <w:t>ce vitale dont la perte signifie l’effritement de sa marge de manœuvre politique. Une fois encore, on lit dans ce phénomène l’importance cruciale de ce concept clé de la démocratie américaine</w:t>
      </w:r>
      <w:r w:rsidRPr="00C30976">
        <w:t> :</w:t>
      </w:r>
      <w:r w:rsidRPr="00C30976">
        <w:rPr>
          <w:lang w:eastAsia="fr-FR" w:bidi="fr-FR"/>
        </w:rPr>
        <w:t xml:space="preserve"> le le</w:t>
      </w:r>
      <w:r w:rsidRPr="00C30976">
        <w:rPr>
          <w:lang w:eastAsia="fr-FR" w:bidi="fr-FR"/>
        </w:rPr>
        <w:t>a</w:t>
      </w:r>
      <w:r w:rsidRPr="00C30976">
        <w:rPr>
          <w:lang w:eastAsia="fr-FR" w:bidi="fr-FR"/>
        </w:rPr>
        <w:t>dership.</w:t>
      </w:r>
    </w:p>
    <w:p w14:paraId="5EE7DD94" w14:textId="77777777" w:rsidR="0039793A" w:rsidRDefault="0039793A" w:rsidP="0039793A">
      <w:pPr>
        <w:pStyle w:val="p"/>
      </w:pPr>
      <w:r>
        <w:br w:type="page"/>
        <w:t>[317]</w:t>
      </w:r>
    </w:p>
    <w:p w14:paraId="002C5C13" w14:textId="77777777" w:rsidR="0039793A" w:rsidRPr="00E07116" w:rsidRDefault="0039793A" w:rsidP="0039793A">
      <w:pPr>
        <w:jc w:val="both"/>
      </w:pPr>
    </w:p>
    <w:p w14:paraId="40D4E832" w14:textId="77777777" w:rsidR="0039793A" w:rsidRDefault="0039793A" w:rsidP="0039793A">
      <w:pPr>
        <w:jc w:val="both"/>
      </w:pPr>
    </w:p>
    <w:p w14:paraId="42DC8ED9" w14:textId="77777777" w:rsidR="0039793A" w:rsidRPr="00E07116" w:rsidRDefault="0039793A" w:rsidP="0039793A">
      <w:pPr>
        <w:jc w:val="both"/>
      </w:pPr>
    </w:p>
    <w:p w14:paraId="2260E40A" w14:textId="77777777" w:rsidR="0039793A" w:rsidRPr="00642210" w:rsidRDefault="0039793A" w:rsidP="0039793A">
      <w:pPr>
        <w:spacing w:after="120"/>
        <w:jc w:val="center"/>
      </w:pPr>
      <w:bookmarkStart w:id="39" w:name="Pol_EU_pt_3_chap_10"/>
      <w:r w:rsidRPr="00642210">
        <w:rPr>
          <w:b/>
        </w:rPr>
        <w:t>La politique étrangère des «États-Unis.</w:t>
      </w:r>
      <w:r w:rsidRPr="00642210">
        <w:rPr>
          <w:b/>
        </w:rPr>
        <w:br/>
      </w:r>
      <w:r w:rsidRPr="00642210">
        <w:rPr>
          <w:i/>
        </w:rPr>
        <w:t>Fondements, acteurs, formulation</w:t>
      </w:r>
    </w:p>
    <w:p w14:paraId="7A1918DD" w14:textId="77777777" w:rsidR="0039793A" w:rsidRPr="00384B20" w:rsidRDefault="0039793A" w:rsidP="0039793A">
      <w:pPr>
        <w:spacing w:after="120"/>
        <w:ind w:firstLine="0"/>
        <w:jc w:val="center"/>
        <w:rPr>
          <w:color w:val="000080"/>
          <w:sz w:val="24"/>
        </w:rPr>
      </w:pPr>
      <w:r>
        <w:rPr>
          <w:color w:val="000080"/>
          <w:sz w:val="24"/>
        </w:rPr>
        <w:t>TROISIÈME PARTIE</w:t>
      </w:r>
    </w:p>
    <w:p w14:paraId="2FDBD032" w14:textId="77777777" w:rsidR="0039793A" w:rsidRPr="00384B20" w:rsidRDefault="0039793A" w:rsidP="0039793A">
      <w:pPr>
        <w:pStyle w:val="Titreniveau1"/>
      </w:pPr>
      <w:r w:rsidRPr="00384B20">
        <w:t xml:space="preserve">Chapitre </w:t>
      </w:r>
      <w:r>
        <w:t>10</w:t>
      </w:r>
    </w:p>
    <w:p w14:paraId="1ECED606" w14:textId="77777777" w:rsidR="0039793A" w:rsidRPr="00E07116" w:rsidRDefault="0039793A" w:rsidP="0039793A">
      <w:pPr>
        <w:pStyle w:val="Titreniveau2"/>
      </w:pPr>
      <w:r>
        <w:t>LA SOCIÉTÉ CIVILE</w:t>
      </w:r>
      <w:r>
        <w:br/>
        <w:t>ORGANISÉE</w:t>
      </w:r>
    </w:p>
    <w:bookmarkEnd w:id="39"/>
    <w:p w14:paraId="7FF55F12" w14:textId="77777777" w:rsidR="0039793A" w:rsidRPr="00E07116" w:rsidRDefault="0039793A" w:rsidP="0039793A">
      <w:pPr>
        <w:jc w:val="both"/>
        <w:rPr>
          <w:szCs w:val="36"/>
        </w:rPr>
      </w:pPr>
    </w:p>
    <w:p w14:paraId="034D2CE7" w14:textId="77777777" w:rsidR="0039793A" w:rsidRPr="00E07116" w:rsidRDefault="0039793A" w:rsidP="0039793A">
      <w:pPr>
        <w:jc w:val="both"/>
      </w:pPr>
    </w:p>
    <w:p w14:paraId="42C05B08" w14:textId="77777777" w:rsidR="0039793A" w:rsidRPr="00E07116" w:rsidRDefault="0039793A" w:rsidP="0039793A">
      <w:pPr>
        <w:jc w:val="both"/>
      </w:pPr>
    </w:p>
    <w:p w14:paraId="687115D3" w14:textId="77777777" w:rsidR="0039793A" w:rsidRPr="00E07116" w:rsidRDefault="0039793A" w:rsidP="0039793A">
      <w:pPr>
        <w:jc w:val="both"/>
      </w:pPr>
    </w:p>
    <w:p w14:paraId="555F4147" w14:textId="77777777" w:rsidR="0039793A" w:rsidRPr="00E07116" w:rsidRDefault="0039793A" w:rsidP="0039793A">
      <w:pPr>
        <w:jc w:val="both"/>
      </w:pPr>
    </w:p>
    <w:p w14:paraId="425823C6"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4A613ABF" w14:textId="77777777" w:rsidR="0039793A" w:rsidRPr="00253D98" w:rsidRDefault="0039793A" w:rsidP="0039793A">
      <w:pPr>
        <w:spacing w:before="120" w:after="120"/>
        <w:jc w:val="both"/>
      </w:pPr>
      <w:r w:rsidRPr="00253D98">
        <w:t>« Les associations politiques qui existent aux États-Unis ne fo</w:t>
      </w:r>
      <w:r w:rsidRPr="00253D98">
        <w:t>r</w:t>
      </w:r>
      <w:r w:rsidRPr="00253D98">
        <w:t>ment qu’un détail au milieu de l’immense tableau que l’ensemble des associations y présente. [...] Les Américains s’associent pour donner des fêtes, fonder des séminaires, bâtir des auberges, élever des églises, répandre des livres. [...] S’agit-il enfin de mettre en lumière une vérité ou de développer un sentiment [...], ils s’associent</w:t>
      </w:r>
      <w:r>
        <w:rPr>
          <w:lang w:eastAsia="fr-FR" w:bidi="fr-FR"/>
        </w:rPr>
        <w:t> </w:t>
      </w:r>
      <w:r>
        <w:rPr>
          <w:rStyle w:val="Appelnotedebasdep"/>
          <w:lang w:eastAsia="fr-FR" w:bidi="fr-FR"/>
        </w:rPr>
        <w:footnoteReference w:id="625"/>
      </w:r>
      <w:r>
        <w:t>.</w:t>
      </w:r>
      <w:r w:rsidRPr="00253D98">
        <w:t> » Ce tableau d’une société civile florissante et d’une vie associative dynamique dressé par Tocqueville en 1835, et qui est plus que jamais d’actualité, peut servir d’ouverture à l’étude du rôle de cette société civile organ</w:t>
      </w:r>
      <w:r w:rsidRPr="00253D98">
        <w:t>i</w:t>
      </w:r>
      <w:r w:rsidRPr="00253D98">
        <w:t>sée en politique étrangère. D’une part, la faiblesse originelle — et v</w:t>
      </w:r>
      <w:r w:rsidRPr="00253D98">
        <w:t>o</w:t>
      </w:r>
      <w:r w:rsidRPr="00253D98">
        <w:t>lontaire - de l’État fédéral a incité les citoyens à s’associer, à investir le champ du politique et à en pallier les déficiences. L’absence de l’État de certains domaines scientifiques et intellectuels, l’absence d’expertise en matière d’affaires étrangères a poussé, dès le début du XX</w:t>
      </w:r>
      <w:r w:rsidRPr="00253D98">
        <w:rPr>
          <w:vertAlign w:val="superscript"/>
        </w:rPr>
        <w:t>e</w:t>
      </w:r>
      <w:r w:rsidRPr="00253D98">
        <w:t xml:space="preserve"> siècle, les fondations philanthropiques et les centres de recherche qu’elles financent à se lancer dans l’éveil du public aux questions i</w:t>
      </w:r>
      <w:r w:rsidRPr="00253D98">
        <w:t>n</w:t>
      </w:r>
      <w:r w:rsidRPr="00253D98">
        <w:t>ternationales. D’autre part, le pluralisme, qui postule qu’à une force sociale qui tente d’influencer à son profit la politique de la nation va répondre, par réaction, une autre force en sens inverse, stimule les o</w:t>
      </w:r>
      <w:r w:rsidRPr="00253D98">
        <w:t>r</w:t>
      </w:r>
      <w:r>
        <w:t>gani</w:t>
      </w:r>
      <w:r w:rsidRPr="00253D98">
        <w:t>sations</w:t>
      </w:r>
      <w:r>
        <w:t xml:space="preserve"> [318]</w:t>
      </w:r>
      <w:r w:rsidRPr="00253D98">
        <w:t xml:space="preserve"> et associations susceptibles d’alimenter le débat p</w:t>
      </w:r>
      <w:r w:rsidRPr="00253D98">
        <w:t>u</w:t>
      </w:r>
      <w:r w:rsidRPr="00253D98">
        <w:t>blic. Ainsi, la montée en puissance du lobby pro-israélien a incité les forces pro-arabes à s’unir et à tenter à leur tour d’influencer la polit</w:t>
      </w:r>
      <w:r w:rsidRPr="00253D98">
        <w:t>i</w:t>
      </w:r>
      <w:r w:rsidRPr="00253D98">
        <w:t>que étrangère américaine. De la même manière, les grandes entrepr</w:t>
      </w:r>
      <w:r w:rsidRPr="00253D98">
        <w:t>i</w:t>
      </w:r>
      <w:r w:rsidRPr="00253D98">
        <w:t>ses exportatrices se sont groupées dans les années 1990 pour s’opposer aux groupes de pression, notamment religieux et « citoyens » (c’est-à-dire constitués en vue de défendre l’intérêt p</w:t>
      </w:r>
      <w:r w:rsidRPr="00253D98">
        <w:t>u</w:t>
      </w:r>
      <w:r w:rsidRPr="00253D98">
        <w:t>blic) qui poussaient à la multiplication des sanctions commerciales — donc des entraves au commerce — contre d’autres pays. L’intérêt g</w:t>
      </w:r>
      <w:r w:rsidRPr="00253D98">
        <w:t>é</w:t>
      </w:r>
      <w:r w:rsidRPr="00253D98">
        <w:t>néral n’est pas défini par l’État et ne se situe pas au-dessus des intérêts individuels, il résulte en réalité de l’agrégation des intérêts partic</w:t>
      </w:r>
      <w:r w:rsidRPr="00253D98">
        <w:t>u</w:t>
      </w:r>
      <w:r w:rsidRPr="00253D98">
        <w:t>liers : en l’absence d’une instance incontestable pour l’inspirer, le d</w:t>
      </w:r>
      <w:r w:rsidRPr="00253D98">
        <w:t>é</w:t>
      </w:r>
      <w:r w:rsidRPr="00253D98">
        <w:t>finir et le garantir — rôle que joue l’État en France — l’intérêt général dans la conception américaine résulte de la prise en compte et de la confrontation des i</w:t>
      </w:r>
      <w:r w:rsidRPr="00253D98">
        <w:t>n</w:t>
      </w:r>
      <w:r w:rsidRPr="00253D98">
        <w:t>térêts particuliers et privés, et constitue en fait leur point d’équilibre. Ainsi le veut, de façon délibérée, le modèle plurali</w:t>
      </w:r>
      <w:r w:rsidRPr="00253D98">
        <w:t>s</w:t>
      </w:r>
      <w:r w:rsidRPr="00253D98">
        <w:t>te. Ceci explique la très grande ouverture du système politique amér</w:t>
      </w:r>
      <w:r w:rsidRPr="00253D98">
        <w:t>i</w:t>
      </w:r>
      <w:r w:rsidRPr="00253D98">
        <w:t>cain et la légitimité fondamentale de ces intérêts privés, de ces gro</w:t>
      </w:r>
      <w:r w:rsidRPr="00253D98">
        <w:t>u</w:t>
      </w:r>
      <w:r w:rsidRPr="00253D98">
        <w:t>pes de pression et lo</w:t>
      </w:r>
      <w:r w:rsidRPr="00253D98">
        <w:t>b</w:t>
      </w:r>
      <w:r w:rsidRPr="00253D98">
        <w:t>bies, auxquels nulle connotation péjorative n’est attachée comme ce peut être le cas dans d’autres pays. En matière de politique étrangère, la société civile — dont l’apparent monolithisme n’est à ce stade qu’une commodité intellectuelle — est particulièr</w:t>
      </w:r>
      <w:r w:rsidRPr="00253D98">
        <w:t>e</w:t>
      </w:r>
      <w:r w:rsidRPr="00253D98">
        <w:t>ment présente et active, ce qui se traduit, presque naturellement, par des stratégies d’influence de la politique extérieure des États-Unis.</w:t>
      </w:r>
    </w:p>
    <w:p w14:paraId="0F1786BC" w14:textId="77777777" w:rsidR="0039793A" w:rsidRDefault="0039793A" w:rsidP="0039793A">
      <w:pPr>
        <w:spacing w:before="120" w:after="120"/>
        <w:jc w:val="both"/>
      </w:pPr>
    </w:p>
    <w:p w14:paraId="14988981" w14:textId="77777777" w:rsidR="0039793A" w:rsidRPr="00E94581" w:rsidRDefault="0039793A" w:rsidP="0039793A">
      <w:pPr>
        <w:pStyle w:val="planche"/>
      </w:pPr>
      <w:bookmarkStart w:id="40" w:name="Pol_EU_pt_3_chap_10_1"/>
      <w:r>
        <w:t>Une société civile dynamique</w:t>
      </w:r>
      <w:r>
        <w:br/>
      </w:r>
      <w:r w:rsidRPr="00E94581">
        <w:t>en politique étrangère</w:t>
      </w:r>
    </w:p>
    <w:bookmarkEnd w:id="40"/>
    <w:p w14:paraId="3ADFDDF9" w14:textId="77777777" w:rsidR="0039793A" w:rsidRDefault="0039793A" w:rsidP="0039793A">
      <w:pPr>
        <w:spacing w:before="120" w:after="120"/>
        <w:jc w:val="both"/>
      </w:pPr>
    </w:p>
    <w:p w14:paraId="39537791"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521ED4E9" w14:textId="77777777" w:rsidR="0039793A" w:rsidRPr="00253D98" w:rsidRDefault="0039793A" w:rsidP="0039793A">
      <w:pPr>
        <w:spacing w:before="120" w:after="120"/>
        <w:jc w:val="both"/>
      </w:pPr>
      <w:r w:rsidRPr="00253D98">
        <w:t>Les forces de la société civile sont nombreuses et constituent a</w:t>
      </w:r>
      <w:r w:rsidRPr="00253D98">
        <w:t>u</w:t>
      </w:r>
      <w:r w:rsidRPr="00253D98">
        <w:t>tant d’éléments dont l’élaboration de la politique étrangère tient com</w:t>
      </w:r>
      <w:r w:rsidRPr="00253D98">
        <w:t>p</w:t>
      </w:r>
      <w:r w:rsidRPr="00253D98">
        <w:t>te. Il existe toutefois une certaine gradation à établir. Certains acteurs, plus neutres, tendent essentiellement à alimenter le débat d’idées, tandis que d’autres, plus politiques, expriment véritablement la diversité et la spécificité des intérêts particuliers.</w:t>
      </w:r>
    </w:p>
    <w:p w14:paraId="03DAC351" w14:textId="77777777" w:rsidR="0039793A" w:rsidRDefault="0039793A" w:rsidP="0039793A">
      <w:pPr>
        <w:spacing w:before="120" w:after="120"/>
        <w:jc w:val="both"/>
      </w:pPr>
      <w:r>
        <w:t>[319]</w:t>
      </w:r>
    </w:p>
    <w:p w14:paraId="7A83B7A4" w14:textId="77777777" w:rsidR="0039793A" w:rsidRPr="00253D98" w:rsidRDefault="0039793A" w:rsidP="0039793A">
      <w:pPr>
        <w:spacing w:before="120" w:after="120"/>
        <w:jc w:val="both"/>
      </w:pPr>
    </w:p>
    <w:p w14:paraId="2A28F7C7" w14:textId="77777777" w:rsidR="0039793A" w:rsidRPr="00253D98" w:rsidRDefault="0039793A" w:rsidP="0039793A">
      <w:pPr>
        <w:pStyle w:val="a"/>
      </w:pPr>
      <w:r w:rsidRPr="00253D98">
        <w:t>La vitalité du débat d’idées en politique étrangère</w:t>
      </w:r>
    </w:p>
    <w:p w14:paraId="00B66809" w14:textId="77777777" w:rsidR="0039793A" w:rsidRDefault="0039793A" w:rsidP="0039793A">
      <w:pPr>
        <w:spacing w:before="120" w:after="120"/>
        <w:jc w:val="both"/>
      </w:pPr>
    </w:p>
    <w:p w14:paraId="70C1D378" w14:textId="77777777" w:rsidR="0039793A" w:rsidRPr="00253D98" w:rsidRDefault="0039793A" w:rsidP="0039793A">
      <w:pPr>
        <w:spacing w:before="120" w:after="120"/>
        <w:jc w:val="both"/>
      </w:pPr>
      <w:r w:rsidRPr="00253D98">
        <w:t xml:space="preserve">Le débat d’idées en politique étrangère est nourri par des acteurs - relativement - neutres : universités, fondations, centres de recherche </w:t>
      </w:r>
      <w:r>
        <w:t>(</w:t>
      </w:r>
      <w:r w:rsidRPr="00E94581">
        <w:rPr>
          <w:i/>
          <w:iCs/>
        </w:rPr>
        <w:t>think tanks</w:t>
      </w:r>
      <w:r w:rsidRPr="00253D98">
        <w:t>), journaux et revues.</w:t>
      </w:r>
    </w:p>
    <w:p w14:paraId="56DA9742" w14:textId="77777777" w:rsidR="0039793A" w:rsidRDefault="0039793A" w:rsidP="0039793A">
      <w:pPr>
        <w:spacing w:before="120" w:after="120"/>
        <w:jc w:val="both"/>
      </w:pPr>
    </w:p>
    <w:p w14:paraId="1AE99D50" w14:textId="77777777" w:rsidR="0039793A" w:rsidRPr="00E94581" w:rsidRDefault="0039793A" w:rsidP="0039793A">
      <w:pPr>
        <w:pStyle w:val="b"/>
      </w:pPr>
      <w:r w:rsidRPr="00E94581">
        <w:t>Une spécificité américaine : les think tanks</w:t>
      </w:r>
    </w:p>
    <w:p w14:paraId="0F44D3D7" w14:textId="77777777" w:rsidR="0039793A" w:rsidRDefault="0039793A" w:rsidP="0039793A">
      <w:pPr>
        <w:spacing w:before="120" w:after="120"/>
        <w:jc w:val="both"/>
      </w:pPr>
    </w:p>
    <w:p w14:paraId="5E7FA769" w14:textId="77777777" w:rsidR="0039793A" w:rsidRPr="00253D98" w:rsidRDefault="0039793A" w:rsidP="0039793A">
      <w:pPr>
        <w:spacing w:before="120" w:after="120"/>
        <w:jc w:val="both"/>
      </w:pPr>
      <w:r w:rsidRPr="00253D98">
        <w:t xml:space="preserve">Le </w:t>
      </w:r>
      <w:r w:rsidRPr="00E94581">
        <w:rPr>
          <w:i/>
          <w:iCs/>
        </w:rPr>
        <w:t>think tank</w:t>
      </w:r>
      <w:r w:rsidRPr="00253D98">
        <w:t xml:space="preserve"> (boîte à idées) est une institution importante du débat américain de politique étrangère. Il vient combler le vide existant e</w:t>
      </w:r>
      <w:r w:rsidRPr="00253D98">
        <w:t>n</w:t>
      </w:r>
      <w:r w:rsidRPr="00253D98">
        <w:t>tre le monde de la recherche universitaire, souvent trop théorique et éloigné des préoccupations concrètes des décideurs, et le monde de l’entreprise privée, souvent dépourvu du temps nécessaire à une r</w:t>
      </w:r>
      <w:r w:rsidRPr="00253D98">
        <w:t>é</w:t>
      </w:r>
      <w:r w:rsidRPr="00253D98">
        <w:t>flexion approfondie</w:t>
      </w:r>
      <w:r>
        <w:t> </w:t>
      </w:r>
      <w:r>
        <w:rPr>
          <w:rStyle w:val="Appelnotedebasdep"/>
        </w:rPr>
        <w:footnoteReference w:id="626"/>
      </w:r>
      <w:r w:rsidRPr="00253D98">
        <w:t xml:space="preserve">. Les </w:t>
      </w:r>
      <w:r w:rsidRPr="00E94581">
        <w:rPr>
          <w:i/>
          <w:iCs/>
        </w:rPr>
        <w:t>think tanks</w:t>
      </w:r>
      <w:r w:rsidRPr="00253D98">
        <w:t xml:space="preserve"> sont des universités sans ét</w:t>
      </w:r>
      <w:r w:rsidRPr="00253D98">
        <w:t>u</w:t>
      </w:r>
      <w:r w:rsidRPr="00253D98">
        <w:t>diants, des centres de recherche financés soit par des fondations ph</w:t>
      </w:r>
      <w:r w:rsidRPr="00253D98">
        <w:t>i</w:t>
      </w:r>
      <w:r w:rsidRPr="00253D98">
        <w:t>lanthropiques dont la coloration politique est parfois très forte - co</w:t>
      </w:r>
      <w:r w:rsidRPr="00253D98">
        <w:t>m</w:t>
      </w:r>
      <w:r w:rsidRPr="00253D98">
        <w:t>me la Ford Foundation, le Century Fund, la John Olin Foundation, la Scaife Foundation</w:t>
      </w:r>
      <w:r>
        <w:t> </w:t>
      </w:r>
      <w:r>
        <w:rPr>
          <w:rStyle w:val="Appelnotedebasdep"/>
        </w:rPr>
        <w:footnoteReference w:id="627"/>
      </w:r>
      <w:r w:rsidRPr="00253D98">
        <w:t xml:space="preserve"> — et des entreprises, soit par des contrats avec l’État (Woodrow Wilson International Center for Scholars), soit par un financement conjoint du public et du privé. Cela signifie que ce mode de financement permet, en amont, aux bailleurs de fonds (fo</w:t>
      </w:r>
      <w:r w:rsidRPr="00253D98">
        <w:t>n</w:t>
      </w:r>
      <w:r w:rsidRPr="00253D98">
        <w:t>dations ou gouvernement) non pas de contrôler la recherche, mais de l’orienter dans telle ou telle direction</w:t>
      </w:r>
      <w:r>
        <w:t> </w:t>
      </w:r>
      <w:r>
        <w:rPr>
          <w:rStyle w:val="Appelnotedebasdep"/>
        </w:rPr>
        <w:footnoteReference w:id="628"/>
      </w:r>
      <w:r w:rsidRPr="00253D98">
        <w:t xml:space="preserve">. Les </w:t>
      </w:r>
      <w:r w:rsidRPr="00E94581">
        <w:rPr>
          <w:i/>
          <w:iCs/>
        </w:rPr>
        <w:t>think tanks</w:t>
      </w:r>
      <w:r w:rsidRPr="00253D98">
        <w:t xml:space="preserve"> se sont dév</w:t>
      </w:r>
      <w:r w:rsidRPr="00253D98">
        <w:t>e</w:t>
      </w:r>
      <w:r w:rsidRPr="00253D98">
        <w:t>loppés en quatre temps.</w:t>
      </w:r>
    </w:p>
    <w:p w14:paraId="62464BD9" w14:textId="77777777" w:rsidR="0039793A" w:rsidRPr="00253D98" w:rsidRDefault="0039793A" w:rsidP="0039793A">
      <w:pPr>
        <w:spacing w:before="120" w:after="120"/>
        <w:jc w:val="both"/>
      </w:pPr>
      <w:r w:rsidRPr="00253D98">
        <w:t xml:space="preserve">Tout d’abord, les premiers </w:t>
      </w:r>
      <w:r w:rsidRPr="00E94581">
        <w:rPr>
          <w:i/>
          <w:iCs/>
        </w:rPr>
        <w:t>think tanks</w:t>
      </w:r>
      <w:r w:rsidRPr="00253D98">
        <w:t xml:space="preserve"> comme la Carnegie, la Brookings ou encore le Council on Foreign Relations sont nés au d</w:t>
      </w:r>
      <w:r w:rsidRPr="00253D98">
        <w:t>é</w:t>
      </w:r>
      <w:r w:rsidRPr="00253D98">
        <w:t>but du XX</w:t>
      </w:r>
      <w:r w:rsidRPr="00253D98">
        <w:rPr>
          <w:vertAlign w:val="superscript"/>
        </w:rPr>
        <w:t>e</w:t>
      </w:r>
      <w:r w:rsidRPr="00253D98">
        <w:t xml:space="preserve"> siècle, lors de l’ère progressive. Il s’agissait de fournir de l’expertise et des re</w:t>
      </w:r>
      <w:r>
        <w:t>ssources technocratiques au gou</w:t>
      </w:r>
      <w:r w:rsidRPr="00253D98">
        <w:t>vernement,</w:t>
      </w:r>
      <w:r>
        <w:t xml:space="preserve"> [320]</w:t>
      </w:r>
      <w:r w:rsidRPr="00253D98">
        <w:t xml:space="preserve"> et de sensibiliser et d’éduquer les Américains aux questions de polit</w:t>
      </w:r>
      <w:r w:rsidRPr="00253D98">
        <w:t>i</w:t>
      </w:r>
      <w:r w:rsidRPr="00253D98">
        <w:t>ques publiques.</w:t>
      </w:r>
    </w:p>
    <w:p w14:paraId="3DD8A278" w14:textId="77777777" w:rsidR="0039793A" w:rsidRPr="00253D98" w:rsidRDefault="0039793A" w:rsidP="0039793A">
      <w:pPr>
        <w:spacing w:before="120" w:after="120"/>
        <w:jc w:val="both"/>
      </w:pPr>
      <w:r w:rsidRPr="00253D98">
        <w:t xml:space="preserve">Dans un deuxième temps, l’accession des </w:t>
      </w:r>
      <w:r>
        <w:t>État</w:t>
      </w:r>
      <w:r w:rsidRPr="00253D98">
        <w:t>s-Unis à leurs re</w:t>
      </w:r>
      <w:r w:rsidRPr="00253D98">
        <w:t>s</w:t>
      </w:r>
      <w:r w:rsidRPr="00253D98">
        <w:t>ponsabilités mondiales, après la seconde guerre mondiale, a induit une croissance considérable du gouvernement fédéral et de la demande d’expertise. Ainsi, la RAND, par exemple, servait de bureau d’études pour les problèmes technologiques mais aussi stratégiques et tactiques du Pentagon</w:t>
      </w:r>
      <w:r>
        <w:t>e </w:t>
      </w:r>
      <w:r>
        <w:rPr>
          <w:rStyle w:val="Appelnotedebasdep"/>
        </w:rPr>
        <w:footnoteReference w:id="629"/>
      </w:r>
      <w:r w:rsidRPr="00253D98">
        <w:t>.</w:t>
      </w:r>
    </w:p>
    <w:p w14:paraId="3ADD98E1" w14:textId="77777777" w:rsidR="0039793A" w:rsidRPr="00253D98" w:rsidRDefault="0039793A" w:rsidP="0039793A">
      <w:pPr>
        <w:spacing w:before="120" w:after="120"/>
        <w:jc w:val="both"/>
      </w:pPr>
      <w:r w:rsidRPr="00253D98">
        <w:t xml:space="preserve">Dans un troisième temps (les années 1970 et 1980 notamment), se développent ce qu’on a appelé les </w:t>
      </w:r>
      <w:r w:rsidRPr="004C62EA">
        <w:rPr>
          <w:i/>
          <w:iCs/>
        </w:rPr>
        <w:t>advocacy think tanks</w:t>
      </w:r>
      <w:r w:rsidRPr="00253D98">
        <w:t>. Leur but est moins de fournir une expertise objective que d’alimenter un pr</w:t>
      </w:r>
      <w:r w:rsidRPr="00253D98">
        <w:t>o</w:t>
      </w:r>
      <w:r w:rsidRPr="00253D98">
        <w:t>gramme politique précis en recommandations opérationnelles. Aussi, sans être des lobbies, se donnent-ils plutôt pour mission d’influencer directement la décision politique : c’est le cas par exemple de l’Heritage Foundation.</w:t>
      </w:r>
    </w:p>
    <w:p w14:paraId="623ECDEC" w14:textId="77777777" w:rsidR="0039793A" w:rsidRDefault="0039793A" w:rsidP="0039793A">
      <w:pPr>
        <w:spacing w:before="120" w:after="120"/>
        <w:jc w:val="both"/>
      </w:pPr>
      <w:r w:rsidRPr="00253D98">
        <w:t xml:space="preserve">Enfin, le quatrième âge des </w:t>
      </w:r>
      <w:r w:rsidRPr="004C62EA">
        <w:rPr>
          <w:i/>
          <w:iCs/>
        </w:rPr>
        <w:t>think tanks</w:t>
      </w:r>
      <w:r w:rsidRPr="00253D98">
        <w:t xml:space="preserve"> que certains voient dans les centres créés par les anciens présidents (tel le Nixon Center ou le Ca</w:t>
      </w:r>
      <w:r w:rsidRPr="00253D98">
        <w:t>r</w:t>
      </w:r>
      <w:r w:rsidRPr="00253D98">
        <w:t xml:space="preserve">ter Center) est plutôt celui de la prolifération des centres et de leur croissante spécialisation : un </w:t>
      </w:r>
      <w:r w:rsidRPr="004C62EA">
        <w:rPr>
          <w:i/>
          <w:iCs/>
        </w:rPr>
        <w:t>think tank</w:t>
      </w:r>
      <w:r w:rsidRPr="00253D98">
        <w:t xml:space="preserve"> comme le </w:t>
      </w:r>
      <w:r w:rsidRPr="004C62EA">
        <w:rPr>
          <w:i/>
          <w:iCs/>
        </w:rPr>
        <w:t>Stimson Center</w:t>
      </w:r>
      <w:r w:rsidRPr="00253D98">
        <w:t>, fondé en 1989, s’intéresse exclusivement aux questions de sécurité.</w:t>
      </w:r>
    </w:p>
    <w:p w14:paraId="1E6EBCF0" w14:textId="77777777" w:rsidR="0039793A" w:rsidRPr="00253D98" w:rsidRDefault="0039793A" w:rsidP="0039793A">
      <w:pPr>
        <w:spacing w:before="120" w:after="120"/>
        <w:jc w:val="both"/>
      </w:pPr>
    </w:p>
    <w:p w14:paraId="195313BD" w14:textId="77777777" w:rsidR="0039793A" w:rsidRPr="004C62EA" w:rsidRDefault="0039793A" w:rsidP="0039793A">
      <w:pPr>
        <w:pStyle w:val="b"/>
      </w:pPr>
      <w:r w:rsidRPr="004C62EA">
        <w:t>L’influence des think tanks</w:t>
      </w:r>
      <w:r>
        <w:br/>
      </w:r>
      <w:r w:rsidRPr="004C62EA">
        <w:t>et des universités sur la politique étrangère</w:t>
      </w:r>
    </w:p>
    <w:p w14:paraId="2328F741" w14:textId="77777777" w:rsidR="0039793A" w:rsidRDefault="0039793A" w:rsidP="0039793A">
      <w:pPr>
        <w:spacing w:before="120" w:after="120"/>
        <w:jc w:val="both"/>
      </w:pPr>
    </w:p>
    <w:p w14:paraId="75A237ED" w14:textId="77777777" w:rsidR="0039793A" w:rsidRPr="00253D98" w:rsidRDefault="0039793A" w:rsidP="0039793A">
      <w:pPr>
        <w:spacing w:before="120" w:after="120"/>
        <w:jc w:val="both"/>
      </w:pPr>
      <w:r w:rsidRPr="00253D98">
        <w:t xml:space="preserve">Comment les </w:t>
      </w:r>
      <w:r w:rsidRPr="00931843">
        <w:rPr>
          <w:i/>
          <w:iCs/>
        </w:rPr>
        <w:t>think tanks</w:t>
      </w:r>
      <w:r w:rsidRPr="00253D98">
        <w:t xml:space="preserve"> et</w:t>
      </w:r>
      <w:r>
        <w:t xml:space="preserve"> </w:t>
      </w:r>
      <w:r w:rsidRPr="00253D98">
        <w:t>les universités influencent-ils le débat de politique étrangère ? C’est bien sûr la question que se posent, au premier chef, ceux qui les financent, même si tous n’attendent pas un impact politique direct.</w:t>
      </w:r>
    </w:p>
    <w:p w14:paraId="6B486B97" w14:textId="77777777" w:rsidR="0039793A" w:rsidRPr="00253D98" w:rsidRDefault="0039793A" w:rsidP="0039793A">
      <w:pPr>
        <w:spacing w:before="120" w:after="120"/>
        <w:jc w:val="both"/>
      </w:pPr>
      <w:r w:rsidRPr="00253D98">
        <w:t xml:space="preserve">La première génération de </w:t>
      </w:r>
      <w:r w:rsidRPr="00931843">
        <w:rPr>
          <w:i/>
          <w:iCs/>
        </w:rPr>
        <w:t>think tanks</w:t>
      </w:r>
      <w:r w:rsidRPr="00253D98">
        <w:t xml:space="preserve"> (à l’inverse de la troisième) souhaite moins influencer la décision politique que fournir une expe</w:t>
      </w:r>
      <w:r w:rsidRPr="00253D98">
        <w:t>r</w:t>
      </w:r>
      <w:r w:rsidRPr="00253D98">
        <w:t>tise pour éclairer les choix des décideurs et le grand public. Le Cou</w:t>
      </w:r>
      <w:r w:rsidRPr="00253D98">
        <w:t>n</w:t>
      </w:r>
      <w:r w:rsidRPr="00253D98">
        <w:t xml:space="preserve">cil on Foreign Relations est, par exemple, non partisan. La Brookings, qui a penché tantôt à droite (au cours du New Deal), tantôt à gauche (dans les années </w:t>
      </w:r>
      <w:r>
        <w:t>1</w:t>
      </w:r>
      <w:r w:rsidRPr="00253D98">
        <w:t>960 et 1970), publie des ouvrages parfois volum</w:t>
      </w:r>
      <w:r w:rsidRPr="00253D98">
        <w:t>i</w:t>
      </w:r>
      <w:r w:rsidRPr="00253D98">
        <w:t>neux qui n’ont</w:t>
      </w:r>
      <w:r>
        <w:t xml:space="preserve"> [321] </w:t>
      </w:r>
      <w:r w:rsidRPr="00253D98">
        <w:t>aucune chance d</w:t>
      </w:r>
      <w:r>
        <w:t>’ê</w:t>
      </w:r>
      <w:r w:rsidRPr="00253D98">
        <w:t>tre lus par un décideur. L’Heritage Foundation, en revanche, ne publie que des documents opérationnels, courts, très bien présentés, et destinés à avoir un impact immédiat sur la décision (notamment des parlementaires).</w:t>
      </w:r>
    </w:p>
    <w:p w14:paraId="545480A8" w14:textId="77777777" w:rsidR="0039793A" w:rsidRPr="00253D98" w:rsidRDefault="0039793A" w:rsidP="0039793A">
      <w:pPr>
        <w:spacing w:before="120" w:after="120"/>
        <w:jc w:val="both"/>
      </w:pPr>
      <w:r w:rsidRPr="00253D98">
        <w:t xml:space="preserve">Dès lors, si la frontière de certains </w:t>
      </w:r>
      <w:r w:rsidRPr="0090140C">
        <w:rPr>
          <w:i/>
          <w:iCs/>
        </w:rPr>
        <w:t>think tanks</w:t>
      </w:r>
      <w:r w:rsidRPr="00253D98">
        <w:t xml:space="preserve"> avec l’université est floue, celle des </w:t>
      </w:r>
      <w:r w:rsidRPr="0090140C">
        <w:rPr>
          <w:i/>
          <w:iCs/>
        </w:rPr>
        <w:t>advocacy think</w:t>
      </w:r>
      <w:r w:rsidRPr="00253D98">
        <w:t xml:space="preserve"> tanks avec les lobbies et groupes de pression l’est tout autant</w:t>
      </w:r>
      <w:r>
        <w:t> </w:t>
      </w:r>
      <w:r>
        <w:rPr>
          <w:rStyle w:val="Appelnotedebasdep"/>
        </w:rPr>
        <w:footnoteReference w:id="630"/>
      </w:r>
      <w:r w:rsidRPr="00253D98">
        <w:t>. Ce débat, très concret, doit cependant être relativisé, car les modes d’influence du débat d’idées sont larg</w:t>
      </w:r>
      <w:r w:rsidRPr="00253D98">
        <w:t>e</w:t>
      </w:r>
      <w:r w:rsidRPr="00253D98">
        <w:t xml:space="preserve">ment indirects. D’abord, à long terme, universités et </w:t>
      </w:r>
      <w:r w:rsidRPr="0090140C">
        <w:rPr>
          <w:i/>
          <w:iCs/>
        </w:rPr>
        <w:t>think tanks</w:t>
      </w:r>
      <w:r w:rsidRPr="00253D98">
        <w:t xml:space="preserve"> fo</w:t>
      </w:r>
      <w:r w:rsidRPr="00253D98">
        <w:t>r</w:t>
      </w:r>
      <w:r w:rsidRPr="00253D98">
        <w:t>ment les responsables de demain et le bagage intellectuel qui sera le leur pe</w:t>
      </w:r>
      <w:r w:rsidRPr="00253D98">
        <w:t>n</w:t>
      </w:r>
      <w:r w:rsidRPr="00253D98">
        <w:t>dant toute leur carrière, notamment pendant les quatre ou huit années qu’ils vont passer dans l’Administration. Ensuite, les produ</w:t>
      </w:r>
      <w:r w:rsidRPr="00253D98">
        <w:t>c</w:t>
      </w:r>
      <w:r w:rsidRPr="00253D98">
        <w:t xml:space="preserve">tions des </w:t>
      </w:r>
      <w:r w:rsidRPr="0090140C">
        <w:rPr>
          <w:i/>
          <w:iCs/>
        </w:rPr>
        <w:t>think tanks</w:t>
      </w:r>
      <w:r w:rsidRPr="00253D98">
        <w:t>, si elles sont peu lues par les décideurs, circulent néa</w:t>
      </w:r>
      <w:r w:rsidRPr="00253D98">
        <w:t>n</w:t>
      </w:r>
      <w:r w:rsidRPr="00253D98">
        <w:t>moins aux niveaux inférieurs de la hiérarchie du Département d’</w:t>
      </w:r>
      <w:r>
        <w:t>État</w:t>
      </w:r>
      <w:r w:rsidRPr="00253D98">
        <w:t xml:space="preserve"> ou du Pentagone. Surtout, les </w:t>
      </w:r>
      <w:r w:rsidRPr="0090140C">
        <w:rPr>
          <w:i/>
          <w:iCs/>
        </w:rPr>
        <w:t>think tanks</w:t>
      </w:r>
      <w:r w:rsidRPr="00253D98">
        <w:t xml:space="preserve"> balisent le débat d’idées, d</w:t>
      </w:r>
      <w:r w:rsidRPr="00253D98">
        <w:t>é</w:t>
      </w:r>
      <w:r w:rsidRPr="00253D98">
        <w:t xml:space="preserve">limitant ce qui est pensable, admissible dans le spectre des idées, et fournissant des repères politiques sur les sujets du moment. Enfin, ce qui circule par les réseaux sociaux des </w:t>
      </w:r>
      <w:r w:rsidRPr="0090140C">
        <w:rPr>
          <w:i/>
          <w:iCs/>
        </w:rPr>
        <w:t>think tanks</w:t>
      </w:r>
      <w:r w:rsidRPr="00253D98">
        <w:t>, par les contacts avec les décideurs, et le plus souvent par oral, est parfois plus impo</w:t>
      </w:r>
      <w:r w:rsidRPr="00253D98">
        <w:t>r</w:t>
      </w:r>
      <w:r w:rsidRPr="00253D98">
        <w:t xml:space="preserve">tant que ce qui est écrit. En effet, la production visible des </w:t>
      </w:r>
      <w:r w:rsidRPr="0090140C">
        <w:rPr>
          <w:i/>
          <w:iCs/>
        </w:rPr>
        <w:t>think tanks</w:t>
      </w:r>
      <w:r w:rsidRPr="00253D98">
        <w:t xml:space="preserve"> - livres, mais surtout articles, tribunes, mémorandums exécutifs, sites web — ne représente qu’une partie de leur activité. Les contacts pe</w:t>
      </w:r>
      <w:r w:rsidRPr="00253D98">
        <w:t>r</w:t>
      </w:r>
      <w:r w:rsidRPr="00253D98">
        <w:t>sonnels, les rencontres, les conférences, les échanges, jouent un rôle de fécondation intellectuelle au moins aussi important.</w:t>
      </w:r>
    </w:p>
    <w:p w14:paraId="48D89029" w14:textId="77777777" w:rsidR="0039793A" w:rsidRPr="00253D98" w:rsidRDefault="0039793A" w:rsidP="0039793A">
      <w:pPr>
        <w:spacing w:before="120" w:after="120"/>
        <w:jc w:val="both"/>
      </w:pPr>
      <w:r w:rsidRPr="00253D98">
        <w:t>Tout n’est pourtant pas qu’affaire de réseaux et de contacts pe</w:t>
      </w:r>
      <w:r w:rsidRPr="00253D98">
        <w:t>r</w:t>
      </w:r>
      <w:r w:rsidRPr="00253D98">
        <w:t xml:space="preserve">sonnels. Chercheurs et </w:t>
      </w:r>
      <w:r w:rsidRPr="0090140C">
        <w:rPr>
          <w:i/>
          <w:iCs/>
        </w:rPr>
        <w:t>think tanks</w:t>
      </w:r>
      <w:r w:rsidRPr="00253D98">
        <w:t xml:space="preserve"> produisent avant tout du papier, sous différentes formes. Un livre retient moins d’attention immédiate qu’un article — mais la sortie d’un livre sera souvent accompagnée d’un article. Celui-ci peut être un article scientifique, publié par exemple dans l’une des revues théoriques sur les affaires internation</w:t>
      </w:r>
      <w:r w:rsidRPr="00253D98">
        <w:t>a</w:t>
      </w:r>
      <w:r w:rsidRPr="00253D98">
        <w:t>les (</w:t>
      </w:r>
      <w:r w:rsidRPr="0090140C">
        <w:rPr>
          <w:i/>
          <w:iCs/>
        </w:rPr>
        <w:t>International Security, International Organization</w:t>
      </w:r>
      <w:r w:rsidRPr="00253D98">
        <w:t>). Il peut su</w:t>
      </w:r>
      <w:r w:rsidRPr="00253D98">
        <w:t>r</w:t>
      </w:r>
      <w:r w:rsidRPr="00253D98">
        <w:t>tout être publié dans l’une des nombreuses revues spécialisées sur la politique étrangère américaine</w:t>
      </w:r>
      <w:r>
        <w:t xml:space="preserve"> [322] </w:t>
      </w:r>
      <w:r w:rsidRPr="00253D98">
        <w:t xml:space="preserve">contemporaine, telles que </w:t>
      </w:r>
      <w:r w:rsidRPr="002E23A5">
        <w:rPr>
          <w:i/>
          <w:iCs/>
        </w:rPr>
        <w:t>F</w:t>
      </w:r>
      <w:r w:rsidRPr="002E23A5">
        <w:rPr>
          <w:i/>
          <w:iCs/>
        </w:rPr>
        <w:t>o</w:t>
      </w:r>
      <w:r w:rsidRPr="002E23A5">
        <w:rPr>
          <w:i/>
          <w:iCs/>
        </w:rPr>
        <w:t>reign Affairs, Foreign Policy, The N</w:t>
      </w:r>
      <w:r w:rsidRPr="002E23A5">
        <w:rPr>
          <w:i/>
          <w:iCs/>
        </w:rPr>
        <w:t>a</w:t>
      </w:r>
      <w:r w:rsidRPr="002E23A5">
        <w:rPr>
          <w:i/>
          <w:iCs/>
        </w:rPr>
        <w:t>tional Interest</w:t>
      </w:r>
      <w:r w:rsidRPr="00253D98">
        <w:t xml:space="preserve">, ou encore </w:t>
      </w:r>
      <w:r w:rsidRPr="002E23A5">
        <w:rPr>
          <w:i/>
          <w:iCs/>
        </w:rPr>
        <w:t>The Washington Quarterly</w:t>
      </w:r>
      <w:r w:rsidRPr="00253D98">
        <w:t>. Des revues tr</w:t>
      </w:r>
      <w:r w:rsidRPr="00253D98">
        <w:t>i</w:t>
      </w:r>
      <w:r w:rsidRPr="00253D98">
        <w:t xml:space="preserve">mestrielles, bimensuelles ou hebdomadaires publient également des articles de politique étrangère influents comme par exemple </w:t>
      </w:r>
      <w:r w:rsidRPr="002E23A5">
        <w:rPr>
          <w:i/>
          <w:iCs/>
        </w:rPr>
        <w:t>The We</w:t>
      </w:r>
      <w:r w:rsidRPr="002E23A5">
        <w:rPr>
          <w:i/>
          <w:iCs/>
        </w:rPr>
        <w:t>e</w:t>
      </w:r>
      <w:r w:rsidRPr="002E23A5">
        <w:rPr>
          <w:i/>
          <w:iCs/>
        </w:rPr>
        <w:t>kly Standard, The New Yorker</w:t>
      </w:r>
      <w:r w:rsidRPr="00253D98">
        <w:t xml:space="preserve">, ou encore </w:t>
      </w:r>
      <w:r w:rsidRPr="002E23A5">
        <w:rPr>
          <w:i/>
          <w:iCs/>
        </w:rPr>
        <w:t>Policy Review</w:t>
      </w:r>
      <w:r w:rsidRPr="00253D98">
        <w:t xml:space="preserve">. Le meilleur impact sera indubitablement obtenu par la publication d’une tribune dans l’un des grands journaux à diffusion large : </w:t>
      </w:r>
      <w:r w:rsidRPr="002E23A5">
        <w:rPr>
          <w:i/>
          <w:iCs/>
        </w:rPr>
        <w:t>New York Times, Washington Post, Wall Street Journal, Financial Times</w:t>
      </w:r>
      <w:r w:rsidRPr="00253D98">
        <w:t>. En 800 mots environ pour chaque tribune, le débat est balisé, et le che</w:t>
      </w:r>
      <w:r w:rsidRPr="00253D98">
        <w:t>r</w:t>
      </w:r>
      <w:r w:rsidRPr="00253D98">
        <w:t>cheur peut faire valoir son point de vue et nourrir la décision - car cette presse est effectivement lue par les re</w:t>
      </w:r>
      <w:r w:rsidRPr="00253D98">
        <w:t>s</w:t>
      </w:r>
      <w:r w:rsidRPr="00253D98">
        <w:t xml:space="preserve">ponsables politiques. Le journal le plus prestigieux, le </w:t>
      </w:r>
      <w:r w:rsidRPr="002E23A5">
        <w:rPr>
          <w:i/>
          <w:iCs/>
        </w:rPr>
        <w:t>New York T</w:t>
      </w:r>
      <w:r w:rsidRPr="002E23A5">
        <w:rPr>
          <w:i/>
          <w:iCs/>
        </w:rPr>
        <w:t>i</w:t>
      </w:r>
      <w:r w:rsidRPr="002E23A5">
        <w:rPr>
          <w:i/>
          <w:iCs/>
        </w:rPr>
        <w:t>mes</w:t>
      </w:r>
      <w:r w:rsidRPr="00253D98">
        <w:t>, reçoit jusqu’à pl</w:t>
      </w:r>
      <w:r w:rsidRPr="00253D98">
        <w:t>u</w:t>
      </w:r>
      <w:r w:rsidRPr="00253D98">
        <w:t>sieurs centaines d’offres de tribunes par jour, et en publie deux, aux côtés des tribunes de ses éditorialistes professio</w:t>
      </w:r>
      <w:r w:rsidRPr="00253D98">
        <w:t>n</w:t>
      </w:r>
      <w:r w:rsidRPr="00253D98">
        <w:t>nels et renommés comme William Saf</w:t>
      </w:r>
      <w:r w:rsidRPr="00253D98">
        <w:t>i</w:t>
      </w:r>
      <w:r w:rsidRPr="00253D98">
        <w:t>re, Paul Krugman, Thomas Friedman et Maureen Dowd. La concu</w:t>
      </w:r>
      <w:r w:rsidRPr="00253D98">
        <w:t>r</w:t>
      </w:r>
      <w:r w:rsidRPr="00253D98">
        <w:t>rence est donc à la mesure de l’impact de ces tribunes, car elles e</w:t>
      </w:r>
      <w:r w:rsidRPr="00253D98">
        <w:t>n</w:t>
      </w:r>
      <w:r w:rsidRPr="00253D98">
        <w:t>traînent des retombées dans d’autres médias, radio et télévision pour l’essentiel.</w:t>
      </w:r>
    </w:p>
    <w:p w14:paraId="371F5AA6" w14:textId="77777777" w:rsidR="0039793A" w:rsidRDefault="0039793A" w:rsidP="0039793A">
      <w:pPr>
        <w:spacing w:before="120" w:after="120"/>
        <w:jc w:val="both"/>
      </w:pPr>
      <w:r>
        <w:br w:type="page"/>
      </w:r>
    </w:p>
    <w:p w14:paraId="48E55F68" w14:textId="77777777" w:rsidR="0039793A" w:rsidRPr="00253D98" w:rsidRDefault="0039793A" w:rsidP="0039793A">
      <w:pPr>
        <w:pStyle w:val="a"/>
      </w:pPr>
      <w:r w:rsidRPr="00253D98">
        <w:t>L’expression des intérêts particuliers</w:t>
      </w:r>
    </w:p>
    <w:p w14:paraId="2289EF1A" w14:textId="77777777" w:rsidR="0039793A" w:rsidRDefault="0039793A" w:rsidP="0039793A">
      <w:pPr>
        <w:spacing w:before="120" w:after="120"/>
        <w:jc w:val="both"/>
      </w:pPr>
    </w:p>
    <w:p w14:paraId="20A67584" w14:textId="77777777" w:rsidR="0039793A" w:rsidRPr="00253D98" w:rsidRDefault="0039793A" w:rsidP="0039793A">
      <w:pPr>
        <w:spacing w:before="120" w:after="120"/>
        <w:jc w:val="both"/>
      </w:pPr>
      <w:r w:rsidRPr="00253D98">
        <w:t>Les forces de la société civile qui influencent la politique étrangère américaine sont variées : groupements d’intérêts économiques, ass</w:t>
      </w:r>
      <w:r w:rsidRPr="00253D98">
        <w:t>o</w:t>
      </w:r>
      <w:r w:rsidRPr="00253D98">
        <w:t>ciations de citoyens, groupes ethniques, églises, etc. L’expression « lobby » revêt deux sens. Le premier, plus large, est employé, y compris aux États-Unis, pour désigner tout groupe d’intérêt partic</w:t>
      </w:r>
      <w:r w:rsidRPr="00253D98">
        <w:t>u</w:t>
      </w:r>
      <w:r w:rsidRPr="00253D98">
        <w:t>lier. Le second, plus précis, désigne une entité dont la définition jur</w:t>
      </w:r>
      <w:r w:rsidRPr="00253D98">
        <w:t>i</w:t>
      </w:r>
      <w:r w:rsidRPr="00253D98">
        <w:t>dique est étroite et dont l’activité principale consiste à tenter d’influencer jour après jour la décision politique tant côté Exécutif que côté Législatif. On peut distinguer trois types de lobbies dans le domaine de la politique étrangère.</w:t>
      </w:r>
    </w:p>
    <w:p w14:paraId="2CF6FDDB" w14:textId="77777777" w:rsidR="0039793A" w:rsidRDefault="0039793A" w:rsidP="0039793A">
      <w:pPr>
        <w:spacing w:before="120" w:after="120"/>
        <w:jc w:val="both"/>
      </w:pPr>
    </w:p>
    <w:p w14:paraId="1A75772E" w14:textId="77777777" w:rsidR="0039793A" w:rsidRPr="002E23A5" w:rsidRDefault="0039793A" w:rsidP="0039793A">
      <w:pPr>
        <w:pStyle w:val="b"/>
      </w:pPr>
      <w:r w:rsidRPr="002E23A5">
        <w:t>Les groupes de pression du monde économique</w:t>
      </w:r>
    </w:p>
    <w:p w14:paraId="2769D12A" w14:textId="77777777" w:rsidR="0039793A" w:rsidRDefault="0039793A" w:rsidP="0039793A">
      <w:pPr>
        <w:spacing w:before="120" w:after="120"/>
        <w:jc w:val="both"/>
      </w:pPr>
    </w:p>
    <w:p w14:paraId="218A0D9A" w14:textId="77777777" w:rsidR="0039793A" w:rsidRPr="00253D98" w:rsidRDefault="0039793A" w:rsidP="0039793A">
      <w:pPr>
        <w:spacing w:before="120" w:after="120"/>
        <w:jc w:val="both"/>
      </w:pPr>
      <w:r w:rsidRPr="00253D98">
        <w:t xml:space="preserve">Les lobbies du monde économique sont assurément très puissants : une entreprise comme la </w:t>
      </w:r>
      <w:r w:rsidRPr="002E23A5">
        <w:rPr>
          <w:i/>
          <w:iCs/>
        </w:rPr>
        <w:t>United Fruits</w:t>
      </w:r>
      <w:r w:rsidRPr="00253D98">
        <w:t xml:space="preserve"> a pu, au milieu du siècle, i</w:t>
      </w:r>
      <w:r w:rsidRPr="00253D98">
        <w:t>n</w:t>
      </w:r>
      <w:r w:rsidRPr="00253D98">
        <w:t>fluencer de manière prépondérante la politique étrangère des États-Unis latine, inspirant par exemple le soutien apporté par la CIA à un coup d’État en 1954 au Guatemala, car ses intérêts étaient menacés par une réforme agraire. Si certaines</w:t>
      </w:r>
      <w:r>
        <w:t xml:space="preserve"> [323] </w:t>
      </w:r>
      <w:r w:rsidRPr="00253D98">
        <w:t>entreprises telles que Boeing ou Loral restent très puissantes, les groupements d’intérêt le sont encore plus :</w:t>
      </w:r>
    </w:p>
    <w:p w14:paraId="4838A283" w14:textId="77777777" w:rsidR="0039793A" w:rsidRPr="00253D98" w:rsidRDefault="0039793A" w:rsidP="0039793A">
      <w:pPr>
        <w:spacing w:before="120" w:after="120"/>
        <w:jc w:val="both"/>
      </w:pPr>
      <w:r w:rsidRPr="00253D98">
        <w:t xml:space="preserve">Côté patronal, outre la </w:t>
      </w:r>
      <w:r w:rsidRPr="00F33AB3">
        <w:rPr>
          <w:i/>
          <w:iCs/>
        </w:rPr>
        <w:t>US</w:t>
      </w:r>
      <w:r w:rsidRPr="00F33AB3">
        <w:t xml:space="preserve"> </w:t>
      </w:r>
      <w:r w:rsidRPr="008B0322">
        <w:rPr>
          <w:i/>
          <w:iCs/>
        </w:rPr>
        <w:t>Chamber of Commerce</w:t>
      </w:r>
      <w:r w:rsidRPr="00253D98">
        <w:t>, qui représente notamment les PME, il faut compter avec la NAM (</w:t>
      </w:r>
      <w:r w:rsidRPr="008B0322">
        <w:rPr>
          <w:i/>
          <w:iCs/>
        </w:rPr>
        <w:t>National Associ</w:t>
      </w:r>
      <w:r w:rsidRPr="008B0322">
        <w:rPr>
          <w:i/>
          <w:iCs/>
        </w:rPr>
        <w:t>a</w:t>
      </w:r>
      <w:r w:rsidRPr="008B0322">
        <w:rPr>
          <w:i/>
          <w:iCs/>
        </w:rPr>
        <w:t>tion of Manufacturer</w:t>
      </w:r>
      <w:r w:rsidRPr="00253D98">
        <w:t xml:space="preserve">) ainsi que la </w:t>
      </w:r>
      <w:r w:rsidRPr="008B0322">
        <w:rPr>
          <w:i/>
          <w:iCs/>
        </w:rPr>
        <w:t>Business Roundtable</w:t>
      </w:r>
      <w:r w:rsidRPr="00253D98">
        <w:t xml:space="preserve"> qui représe</w:t>
      </w:r>
      <w:r w:rsidRPr="00253D98">
        <w:t>n</w:t>
      </w:r>
      <w:r w:rsidRPr="00253D98">
        <w:t>tent les plus grosses industries. Il faut également prendre en compte les lobbies de chaque grosse entreprise (comme celui de Boeing ou de Lockheed-Martin) qui s’unissent parfois en lobby de branche comme par exemple ces 512 assureurs rassemblés au sein de l</w:t>
      </w:r>
      <w:r>
        <w:t>’</w:t>
      </w:r>
      <w:r w:rsidRPr="008B0322">
        <w:rPr>
          <w:i/>
          <w:iCs/>
        </w:rPr>
        <w:t>American Council of Life Insurers</w:t>
      </w:r>
      <w:r w:rsidRPr="00253D98">
        <w:t>.</w:t>
      </w:r>
    </w:p>
    <w:p w14:paraId="3FBF6610" w14:textId="77777777" w:rsidR="0039793A" w:rsidRPr="00253D98" w:rsidRDefault="0039793A" w:rsidP="0039793A">
      <w:pPr>
        <w:spacing w:before="120" w:after="120"/>
        <w:jc w:val="both"/>
      </w:pPr>
      <w:r w:rsidRPr="00253D98">
        <w:t xml:space="preserve">Côté agricole, la très puissante </w:t>
      </w:r>
      <w:r w:rsidRPr="008B0322">
        <w:rPr>
          <w:i/>
          <w:iCs/>
        </w:rPr>
        <w:t>American Farm Bureau Fédération</w:t>
      </w:r>
      <w:r w:rsidRPr="00253D98">
        <w:t xml:space="preserve"> </w:t>
      </w:r>
      <w:r w:rsidRPr="00F33AB3">
        <w:rPr>
          <w:smallCaps/>
        </w:rPr>
        <w:t>(</w:t>
      </w:r>
      <w:r w:rsidRPr="00F33AB3">
        <w:rPr>
          <w:caps/>
        </w:rPr>
        <w:t>afbf</w:t>
      </w:r>
      <w:r w:rsidRPr="00F33AB3">
        <w:rPr>
          <w:smallCaps/>
        </w:rPr>
        <w:t>)</w:t>
      </w:r>
      <w:r w:rsidRPr="00253D98">
        <w:rPr>
          <w:rStyle w:val="Corpsdutexte28ptPetitesmajuscules"/>
        </w:rPr>
        <w:t xml:space="preserve"> </w:t>
      </w:r>
      <w:r w:rsidRPr="00253D98">
        <w:t xml:space="preserve">comporte près de 5 millions d’adhérents. Elle est très présente dans le Mid-West et le Sud, et constitue le principal porte-parole des agriculteurs. On trouve aussi la </w:t>
      </w:r>
      <w:r w:rsidRPr="008B0322">
        <w:rPr>
          <w:i/>
          <w:iCs/>
        </w:rPr>
        <w:t>National Farmers Union</w:t>
      </w:r>
      <w:r w:rsidRPr="00253D98">
        <w:t xml:space="preserve"> (Nord) et la </w:t>
      </w:r>
      <w:r w:rsidRPr="008B0322">
        <w:rPr>
          <w:i/>
          <w:iCs/>
        </w:rPr>
        <w:t>National Grange</w:t>
      </w:r>
      <w:r w:rsidRPr="00253D98">
        <w:t xml:space="preserve"> (Nord-Est) où les associations d’éleveurs sont ne</w:t>
      </w:r>
      <w:r w:rsidRPr="00253D98">
        <w:t>t</w:t>
      </w:r>
      <w:r w:rsidRPr="00253D98">
        <w:t>tement plus modestes.</w:t>
      </w:r>
    </w:p>
    <w:p w14:paraId="2CBB51ED" w14:textId="77777777" w:rsidR="0039793A" w:rsidRPr="00253D98" w:rsidRDefault="0039793A" w:rsidP="0039793A">
      <w:pPr>
        <w:spacing w:before="120" w:after="120"/>
        <w:jc w:val="both"/>
      </w:pPr>
      <w:r w:rsidRPr="00253D98">
        <w:t>Côté syndical enfin, l’AFL-CIO, la grande organisation syndicale unifiée, pèse d’un poids considérable sur le parti démocrate, surtout dans le Nord ; et certains syndicats de branche (</w:t>
      </w:r>
      <w:r w:rsidRPr="008B0322">
        <w:rPr>
          <w:i/>
          <w:iCs/>
        </w:rPr>
        <w:t>United Auto Workers</w:t>
      </w:r>
      <w:r w:rsidRPr="00253D98">
        <w:t xml:space="preserve"> pour l’industrie automobile par exemple) peuvent peser dans une r</w:t>
      </w:r>
      <w:r w:rsidRPr="00253D98">
        <w:t>é</w:t>
      </w:r>
      <w:r w:rsidRPr="00253D98">
        <w:t>gion précise ou dans un dossier donné.</w:t>
      </w:r>
    </w:p>
    <w:p w14:paraId="2942A9F8" w14:textId="77777777" w:rsidR="0039793A" w:rsidRPr="00253D98" w:rsidRDefault="0039793A" w:rsidP="0039793A">
      <w:pPr>
        <w:spacing w:before="120" w:after="120"/>
        <w:jc w:val="both"/>
      </w:pPr>
      <w:r w:rsidRPr="00253D98">
        <w:t>Quelle est la vision de l’intérêt national qu’ont ces groupes, au-delà de leurs intérêts privés ponctuels ?</w:t>
      </w:r>
    </w:p>
    <w:p w14:paraId="7D7F63C2" w14:textId="77777777" w:rsidR="0039793A" w:rsidRPr="00253D98" w:rsidRDefault="0039793A" w:rsidP="0039793A">
      <w:pPr>
        <w:spacing w:before="120" w:after="120"/>
        <w:jc w:val="both"/>
      </w:pPr>
      <w:r w:rsidRPr="00253D98">
        <w:t>Les lobbies patronaux et l’AFBF, souvent proches des républicains ou des « nouveaux démocrates », sont internationalistes et libre-échangistes, et luttent contre l’aile « idéologique » du parti républ</w:t>
      </w:r>
      <w:r w:rsidRPr="00253D98">
        <w:t>i</w:t>
      </w:r>
      <w:r w:rsidRPr="00253D98">
        <w:t>cain, notamment la droite chrétienne et les souverainistes.</w:t>
      </w:r>
    </w:p>
    <w:p w14:paraId="1B23136C" w14:textId="77777777" w:rsidR="0039793A" w:rsidRPr="00253D98" w:rsidRDefault="0039793A" w:rsidP="0039793A">
      <w:pPr>
        <w:spacing w:before="120" w:after="120"/>
        <w:jc w:val="both"/>
      </w:pPr>
      <w:r w:rsidRPr="00253D98">
        <w:t>Les syndicats sont, au cours des dernières années, devenus de plus en plus protectionnistes, allant jusqu’à remettre en question, pour ce</w:t>
      </w:r>
      <w:r w:rsidRPr="00253D98">
        <w:t>r</w:t>
      </w:r>
      <w:r>
        <w:t>tains (mais pas l’AFL-CI</w:t>
      </w:r>
      <w:r w:rsidRPr="00253D98">
        <w:t>O), leur internationalisme politique et le rôle global de l’Amérique. Sur la question de la libéralisation des écha</w:t>
      </w:r>
      <w:r w:rsidRPr="00253D98">
        <w:t>n</w:t>
      </w:r>
      <w:r w:rsidRPr="00253D98">
        <w:t xml:space="preserve">ges, après être parvenu à faire ratifier </w:t>
      </w:r>
      <w:r>
        <w:t>l</w:t>
      </w:r>
      <w:r w:rsidRPr="00AC40BA">
        <w:rPr>
          <w:smallCaps/>
        </w:rPr>
        <w:t>’</w:t>
      </w:r>
      <w:r w:rsidRPr="00AC40BA">
        <w:rPr>
          <w:caps/>
        </w:rPr>
        <w:t>alena</w:t>
      </w:r>
      <w:r w:rsidRPr="00AC40BA">
        <w:rPr>
          <w:smallCaps/>
        </w:rPr>
        <w:t xml:space="preserve"> </w:t>
      </w:r>
      <w:r w:rsidRPr="00253D98">
        <w:t>en 1994, Bill Clinton a dû considérablement revoir ses ambitions commerciales, sauf à s’aliéner le soutien des syndicats qui forment le plus sûr soutien éle</w:t>
      </w:r>
      <w:r w:rsidRPr="00253D98">
        <w:t>c</w:t>
      </w:r>
      <w:r w:rsidRPr="00253D98">
        <w:t>toral du parti démocrate, ses forces vives. Leur influence a été man</w:t>
      </w:r>
      <w:r w:rsidRPr="00253D98">
        <w:t>i</w:t>
      </w:r>
      <w:r w:rsidRPr="00253D98">
        <w:t>feste avec le progressif enlisement des initiatives commerciales à pa</w:t>
      </w:r>
      <w:r w:rsidRPr="00253D98">
        <w:t>r</w:t>
      </w:r>
      <w:r w:rsidRPr="00253D98">
        <w:t>tir de 1995, notamment l’impossibilité pour le président d’obtenir l’autorité de négociation commerciale accélérée « </w:t>
      </w:r>
      <w:r w:rsidRPr="008B0322">
        <w:rPr>
          <w:i/>
          <w:iCs/>
        </w:rPr>
        <w:t>fast-track</w:t>
      </w:r>
      <w:r w:rsidRPr="00253D98">
        <w:t> », puis les retards et rendez-vous manqués pour l’entrée de la Chine à</w:t>
      </w:r>
      <w:r>
        <w:t xml:space="preserve"> [324] </w:t>
      </w:r>
      <w:r w:rsidRPr="00253D98">
        <w:t>l’OMC, sans cesse repoussée à plus tard. Finalement, l’accord amér</w:t>
      </w:r>
      <w:r w:rsidRPr="00253D98">
        <w:t>i</w:t>
      </w:r>
      <w:r w:rsidRPr="00253D98">
        <w:t>cain, obtenu après de longues négociations le 15 novembre 1999, a bel et bien mécontenté les syndicats, qu’il fallait alors apa</w:t>
      </w:r>
      <w:r w:rsidRPr="00253D98">
        <w:t>i</w:t>
      </w:r>
      <w:r w:rsidRPr="00253D98">
        <w:t>ser : c’est pourquoi la position de Bill Clinton au sommet de l’OMC à Seattle, début décembre 1999, a paru plus proche de celle des man</w:t>
      </w:r>
      <w:r w:rsidRPr="00253D98">
        <w:t>i</w:t>
      </w:r>
      <w:r w:rsidRPr="00253D98">
        <w:t>festants que de celle des participants. À ce stade, il ne pouvait plus se perme</w:t>
      </w:r>
      <w:r w:rsidRPr="00253D98">
        <w:t>t</w:t>
      </w:r>
      <w:r w:rsidRPr="00253D98">
        <w:t>tre de mécontenter les syndicats.</w:t>
      </w:r>
    </w:p>
    <w:p w14:paraId="2BACD926" w14:textId="77777777" w:rsidR="0039793A" w:rsidRDefault="0039793A" w:rsidP="0039793A">
      <w:pPr>
        <w:spacing w:before="120" w:after="120"/>
        <w:jc w:val="both"/>
      </w:pPr>
      <w:r>
        <w:br w:type="page"/>
      </w:r>
    </w:p>
    <w:p w14:paraId="21134226" w14:textId="77777777" w:rsidR="0039793A" w:rsidRPr="008B0322" w:rsidRDefault="0039793A" w:rsidP="0039793A">
      <w:pPr>
        <w:pStyle w:val="b"/>
      </w:pPr>
      <w:r w:rsidRPr="008B0322">
        <w:t>Les groupes de pression articulés</w:t>
      </w:r>
      <w:r w:rsidRPr="008B0322">
        <w:br/>
        <w:t>autour d'un thème spécifique</w:t>
      </w:r>
    </w:p>
    <w:p w14:paraId="7ADD803F" w14:textId="77777777" w:rsidR="0039793A" w:rsidRDefault="0039793A" w:rsidP="0039793A">
      <w:pPr>
        <w:spacing w:before="120" w:after="120"/>
        <w:jc w:val="both"/>
      </w:pPr>
    </w:p>
    <w:p w14:paraId="1E8DE5ED" w14:textId="77777777" w:rsidR="0039793A" w:rsidRPr="00253D98" w:rsidRDefault="0039793A" w:rsidP="0039793A">
      <w:pPr>
        <w:spacing w:before="120" w:after="120"/>
        <w:jc w:val="both"/>
      </w:pPr>
      <w:r w:rsidRPr="00253D98">
        <w:t>Les associations, groupements religieux, ONG et autres groupes « activistes » ou « citoyens » forment un second type de lobby en pol</w:t>
      </w:r>
      <w:r w:rsidRPr="00253D98">
        <w:t>i</w:t>
      </w:r>
      <w:r w:rsidRPr="00253D98">
        <w:t>tique étrangère, dont la vision de l’intérêt national américain s’articule souvent autour d’un seul thème. Les frontières de certains de ces groupes avec de simples centres de recherche, politisés ou non (</w:t>
      </w:r>
      <w:r w:rsidRPr="00945170">
        <w:rPr>
          <w:i/>
          <w:iCs/>
        </w:rPr>
        <w:t>think tanks</w:t>
      </w:r>
      <w:r w:rsidRPr="00253D98">
        <w:t xml:space="preserve"> et </w:t>
      </w:r>
      <w:r w:rsidRPr="00945170">
        <w:rPr>
          <w:i/>
          <w:iCs/>
        </w:rPr>
        <w:t>advocacy groups</w:t>
      </w:r>
      <w:r w:rsidRPr="00253D98">
        <w:t>) sont parfois floues.</w:t>
      </w:r>
    </w:p>
    <w:p w14:paraId="44BA8472" w14:textId="77777777" w:rsidR="0039793A" w:rsidRPr="00253D98" w:rsidRDefault="0039793A" w:rsidP="0039793A">
      <w:pPr>
        <w:spacing w:before="120" w:after="120"/>
        <w:jc w:val="both"/>
      </w:pPr>
      <w:r w:rsidRPr="00253D98">
        <w:t>Certains groupes écologistes sont certes puissants, tel le Sierra Club, comportant 150</w:t>
      </w:r>
      <w:r>
        <w:t> </w:t>
      </w:r>
      <w:r w:rsidRPr="00253D98">
        <w:t>000 adhérents qui s’est manifesté notamment lors du débat sur la ratification de l’ALENA, et a obtenu l’ajout de clauses environnementales. D’autres sont plus modestes, comme le Worldwatch Institute ; ils tentent surtout de faire signer et ratifier les traités multilatéraux de protection de la nature (comme le protocole de Kyoto), ou encore de faire imposer des sanctions aux entreprises et aux États accusés de mettre en péril l’environnement.</w:t>
      </w:r>
    </w:p>
    <w:p w14:paraId="4277F0F7" w14:textId="77777777" w:rsidR="0039793A" w:rsidRPr="00253D98" w:rsidRDefault="0039793A" w:rsidP="0039793A">
      <w:pPr>
        <w:spacing w:before="120" w:after="120"/>
        <w:jc w:val="both"/>
      </w:pPr>
      <w:r w:rsidRPr="00253D98">
        <w:t>Les organisations religieuses</w:t>
      </w:r>
      <w:r>
        <w:t> </w:t>
      </w:r>
      <w:r>
        <w:rPr>
          <w:rStyle w:val="Appelnotedebasdep"/>
        </w:rPr>
        <w:footnoteReference w:id="631"/>
      </w:r>
      <w:r w:rsidRPr="00253D98">
        <w:t>, les ONG humanitaires et celles qui se préoccupent de développement (comme l’Overseas Develo</w:t>
      </w:r>
      <w:r w:rsidRPr="00253D98">
        <w:t>p</w:t>
      </w:r>
      <w:r w:rsidRPr="00253D98">
        <w:t>ment Council) et de droits de l’homme (comme Freedom House ou Human Rights Watch), tentent d’influencer la diplomatie américaine dans un sens plus « moral » en la poussant à utiliser des instruments tels que les pressions diplomatiques, les sanctions commerciales, les budgets de l’aide publique au développement ou encore les ventes d’armes. En matière de défense, plusieurs petits groupes concentrent leurs efforts sur le désarmement nucléaire et sur la baisse des budgets de défense (comme le Council for a Liveable World ou la Fédération of Amer</w:t>
      </w:r>
      <w:r w:rsidRPr="00253D98">
        <w:t>i</w:t>
      </w:r>
      <w:r w:rsidRPr="00253D98">
        <w:t>can Scientists) ou à l’inverse sur l’adoption dans les plus brefs délais</w:t>
      </w:r>
      <w:r>
        <w:t xml:space="preserve"> [325] </w:t>
      </w:r>
      <w:r w:rsidRPr="00253D98">
        <w:t>d’un bouclier antimissile : c’est quasiment la seule fonction du Center for Security Policy de Frank Gaffney.</w:t>
      </w:r>
    </w:p>
    <w:p w14:paraId="0E640E9F" w14:textId="77777777" w:rsidR="0039793A" w:rsidRPr="00253D98" w:rsidRDefault="0039793A" w:rsidP="0039793A">
      <w:pPr>
        <w:spacing w:before="120" w:after="120"/>
        <w:jc w:val="both"/>
      </w:pPr>
      <w:r w:rsidRPr="00253D98">
        <w:t>En ce qui concerne les ONG, le lobbying à proprement parler, qui passe par une tentative d’influence des décideurs à Washington, est souvent complété par des actions sur le terrain (aide humanitaire, m</w:t>
      </w:r>
      <w:r w:rsidRPr="00253D98">
        <w:t>a</w:t>
      </w:r>
      <w:r w:rsidRPr="00253D98">
        <w:t>nifestations, enquêtes de terrain), par la sensibilisation de l’opinion publique et par la publication de documents et de rapports, ainsi que par la mise en réseau avec d’autres ONG. Cette dernière tactique est d’autant plus importante que les ambitions des groupes de pression sont plus internationales : ainsi les manifestations contre la libéralis</w:t>
      </w:r>
      <w:r w:rsidRPr="00253D98">
        <w:t>a</w:t>
      </w:r>
      <w:r w:rsidRPr="00253D98">
        <w:t>tion des échanges à Seattle lors du sommet de l’OMC en 1999 ont été menées par un collectif d’ONG de tous pays conduit par Public Cit</w:t>
      </w:r>
      <w:r w:rsidRPr="00253D98">
        <w:t>i</w:t>
      </w:r>
      <w:r w:rsidRPr="00253D98">
        <w:t>zen, un groupe de pression « citoyen » (c’est-à-dire œuvrant dans le sens du bien public) créé par Ralph Nader</w:t>
      </w:r>
      <w:r>
        <w:t> </w:t>
      </w:r>
      <w:r>
        <w:rPr>
          <w:rStyle w:val="Appelnotedebasdep"/>
        </w:rPr>
        <w:footnoteReference w:id="632"/>
      </w:r>
      <w:r w:rsidRPr="00253D98">
        <w:t>. Il faut souligner un p</w:t>
      </w:r>
      <w:r w:rsidRPr="00253D98">
        <w:t>a</w:t>
      </w:r>
      <w:r w:rsidRPr="00253D98">
        <w:t>radoxe : en matière de droit international, s’agissant par exemple de promouvoir le traité sur l’interdiction des mines antipersonnel ou le traité instituant la Cour pénale internationale, les ONG américaines comme Human Rights Watch ou le Lawyers Committee for Human Rights sont parmi les plus puissantes au monde. Or, dans le même temps, le pays le plus récalcitrant, celui qui demande la plus grande entreprise de conviction, est bien souvent... les États-Unis.</w:t>
      </w:r>
    </w:p>
    <w:p w14:paraId="2F91A9E7" w14:textId="77777777" w:rsidR="0039793A" w:rsidRPr="00253D98" w:rsidRDefault="0039793A" w:rsidP="0039793A">
      <w:pPr>
        <w:spacing w:before="120" w:after="120"/>
        <w:jc w:val="both"/>
      </w:pPr>
      <w:r w:rsidRPr="00253D98">
        <w:t>Il y a également, dans la société civile américaine et surtout à Washington, un grand nombre de groupements de citoyens qui souha</w:t>
      </w:r>
      <w:r w:rsidRPr="00253D98">
        <w:t>i</w:t>
      </w:r>
      <w:r w:rsidRPr="00253D98">
        <w:t xml:space="preserve">tent promouvoir un point de vue politique particulier sur les affaires internationales. Là encore, la frontière avec les </w:t>
      </w:r>
      <w:r w:rsidRPr="009223C1">
        <w:rPr>
          <w:i/>
          <w:iCs/>
        </w:rPr>
        <w:t>think tanks</w:t>
      </w:r>
      <w:r w:rsidRPr="00253D98">
        <w:t xml:space="preserve"> est parfois floue dans la mesure où, parmi eux, les </w:t>
      </w:r>
      <w:r w:rsidRPr="009223C1">
        <w:rPr>
          <w:i/>
          <w:iCs/>
        </w:rPr>
        <w:t>advocacy think tanks</w:t>
      </w:r>
      <w:r w:rsidRPr="00253D98">
        <w:t xml:space="preserve"> tentent d’influencer directement la décision politique. En ce sens, les gro</w:t>
      </w:r>
      <w:r w:rsidRPr="00253D98">
        <w:t>u</w:t>
      </w:r>
      <w:r w:rsidRPr="00253D98">
        <w:t>pements de citoyens sont dans le même cas : par leurs publications, leurs réunions d’information, leurs contacts avec les parlementaires et l’Administration, ils cherchent surtout à influencer les politiques p</w:t>
      </w:r>
      <w:r w:rsidRPr="00253D98">
        <w:t>u</w:t>
      </w:r>
      <w:r w:rsidRPr="00253D98">
        <w:t>bliques. Tel est le cas par exemple du Committee to Expand NATO, qui a œuvré en faveur de l’élargissement de l’OTAN à l’Est en 1997 puis 2002, ou encore du Committee for the Liberation of Iraq, qui a encouragé une intervention militaire contre Saddam Hussein en 2002-2003.</w:t>
      </w:r>
    </w:p>
    <w:p w14:paraId="022FC8FB" w14:textId="77777777" w:rsidR="0039793A" w:rsidRDefault="0039793A" w:rsidP="0039793A">
      <w:pPr>
        <w:spacing w:before="120" w:after="120"/>
        <w:jc w:val="both"/>
      </w:pPr>
      <w:r>
        <w:br w:type="page"/>
        <w:t>[326]</w:t>
      </w:r>
    </w:p>
    <w:p w14:paraId="7E3DF249" w14:textId="77777777" w:rsidR="0039793A" w:rsidRPr="00253D98" w:rsidRDefault="0039793A" w:rsidP="0039793A">
      <w:pPr>
        <w:spacing w:before="120" w:after="120"/>
        <w:jc w:val="both"/>
      </w:pPr>
    </w:p>
    <w:p w14:paraId="2984E810" w14:textId="77777777" w:rsidR="0039793A" w:rsidRPr="009223C1" w:rsidRDefault="0039793A" w:rsidP="0039793A">
      <w:pPr>
        <w:pStyle w:val="b"/>
      </w:pPr>
      <w:r w:rsidRPr="009223C1">
        <w:t>Les groupes ethniques</w:t>
      </w:r>
    </w:p>
    <w:p w14:paraId="6AC77CDC" w14:textId="77777777" w:rsidR="0039793A" w:rsidRDefault="0039793A" w:rsidP="0039793A">
      <w:pPr>
        <w:spacing w:before="120" w:after="120"/>
        <w:jc w:val="both"/>
      </w:pPr>
    </w:p>
    <w:p w14:paraId="020DF5F8" w14:textId="77777777" w:rsidR="0039793A" w:rsidRPr="00253D98" w:rsidRDefault="0039793A" w:rsidP="0039793A">
      <w:pPr>
        <w:spacing w:before="120" w:after="120"/>
        <w:jc w:val="both"/>
      </w:pPr>
      <w:r w:rsidRPr="00253D98">
        <w:t>Les groupes dits « ethniques » constituent une troisième catégorie de lobbies</w:t>
      </w:r>
      <w:r>
        <w:t> </w:t>
      </w:r>
      <w:r>
        <w:rPr>
          <w:rStyle w:val="Appelnotedebasdep"/>
        </w:rPr>
        <w:footnoteReference w:id="633"/>
      </w:r>
      <w:r w:rsidRPr="00253D98">
        <w:t>. D’ailleurs, cette catégorie a généré, depuis la fin de la guerre froide, un nombre croissant de controverses en raison de l’ambiguïté des liens entre certaines diasporas composées de nati</w:t>
      </w:r>
      <w:r w:rsidRPr="00253D98">
        <w:t>o</w:t>
      </w:r>
      <w:r w:rsidRPr="00253D98">
        <w:t>naux américains et des puissances étrangères dont les intérêts ne coï</w:t>
      </w:r>
      <w:r w:rsidRPr="00253D98">
        <w:t>n</w:t>
      </w:r>
      <w:r w:rsidRPr="00253D98">
        <w:t xml:space="preserve">cident pas forcément avec ceux des </w:t>
      </w:r>
      <w:r>
        <w:t>État</w:t>
      </w:r>
      <w:r w:rsidRPr="00253D98">
        <w:t>s-Unis.</w:t>
      </w:r>
    </w:p>
    <w:p w14:paraId="6CA1C9E3" w14:textId="77777777" w:rsidR="0039793A" w:rsidRPr="00253D98" w:rsidRDefault="0039793A" w:rsidP="0039793A">
      <w:pPr>
        <w:spacing w:before="120" w:after="120"/>
        <w:jc w:val="both"/>
      </w:pPr>
      <w:r w:rsidRPr="00253D98">
        <w:t>Cette pratique du lobbying ethnique et les controverses qui l’entourent ne sont pourtant pas nouvelles : déjà en 1866, les Irlandais (la Fenian Brotherhood), premier groupe à contester frontalement la domination WASP dans les villes américaines, avaient fait des États-Unis leur base arrière pour lutter contre l’empire britannique. Plus tard, les Américains d’origine allemande (jusqu’à la première guerre mondiale), puis les Américains originaires d’Europe centrale, font sentir leur influence sur la politique étrangère de Washington.</w:t>
      </w:r>
    </w:p>
    <w:p w14:paraId="15CAFC69" w14:textId="77777777" w:rsidR="0039793A" w:rsidRPr="00253D98" w:rsidRDefault="0039793A" w:rsidP="0039793A">
      <w:pPr>
        <w:spacing w:before="120" w:after="120"/>
        <w:jc w:val="both"/>
      </w:pPr>
      <w:r w:rsidRPr="00253D98">
        <w:t>Puis, dans les années 1950, apparaît le lobby juif de politique étrangère,</w:t>
      </w:r>
      <w:r>
        <w:t xml:space="preserve"> l’AIPAC</w:t>
      </w:r>
      <w:r w:rsidRPr="00F33AB3">
        <w:rPr>
          <w:smallCaps/>
        </w:rPr>
        <w:t xml:space="preserve"> </w:t>
      </w:r>
      <w:r w:rsidRPr="00253D98">
        <w:t>(American-Israel Public Affairs Committee), qui d</w:t>
      </w:r>
      <w:r w:rsidRPr="00253D98">
        <w:t>e</w:t>
      </w:r>
      <w:r w:rsidRPr="00253D98">
        <w:t>meure, de très loin, le premier lobby ethnique de politique étrangère et sert de modèle pour tous les autres : représentant 55 associations ju</w:t>
      </w:r>
      <w:r w:rsidRPr="00253D98">
        <w:t>i</w:t>
      </w:r>
      <w:r w:rsidRPr="00253D98">
        <w:t>ves-américaines, il revendique plus de quatre millions d’électeurs dans des États clés, en particulier New York et la Californie. Au d</w:t>
      </w:r>
      <w:r w:rsidRPr="00253D98">
        <w:t>e</w:t>
      </w:r>
      <w:r w:rsidRPr="00253D98">
        <w:t xml:space="preserve">meurant, le magazine </w:t>
      </w:r>
      <w:r w:rsidRPr="009223C1">
        <w:rPr>
          <w:i/>
          <w:iCs/>
        </w:rPr>
        <w:t>Fortune</w:t>
      </w:r>
      <w:r w:rsidRPr="00253D98">
        <w:t>, s’aventurant depuis que</w:t>
      </w:r>
      <w:r w:rsidRPr="00253D98">
        <w:t>l</w:t>
      </w:r>
      <w:r w:rsidRPr="00253D98">
        <w:t>ques années à classer les lobbies selon leur efficacité</w:t>
      </w:r>
      <w:r>
        <w:t> </w:t>
      </w:r>
      <w:r>
        <w:rPr>
          <w:rStyle w:val="Appelnotedebasdep"/>
        </w:rPr>
        <w:footnoteReference w:id="634"/>
      </w:r>
      <w:r w:rsidRPr="00253D98">
        <w:t>, le place régulièrement s</w:t>
      </w:r>
      <w:r w:rsidRPr="00253D98">
        <w:t>e</w:t>
      </w:r>
      <w:r w:rsidRPr="00253D98">
        <w:t>cond, troisième ou quatrième toutes catégories confo</w:t>
      </w:r>
      <w:r w:rsidRPr="00253D98">
        <w:t>n</w:t>
      </w:r>
      <w:r w:rsidRPr="00253D98">
        <w:t>dues, le plus souvent derrière l’American Association of Retired Pe</w:t>
      </w:r>
      <w:r w:rsidRPr="00253D98">
        <w:t>o</w:t>
      </w:r>
      <w:r w:rsidRPr="00253D98">
        <w:t xml:space="preserve">ple </w:t>
      </w:r>
      <w:r w:rsidRPr="00F33AB3">
        <w:rPr>
          <w:smallCaps/>
        </w:rPr>
        <w:t>(</w:t>
      </w:r>
      <w:r w:rsidRPr="00F33AB3">
        <w:rPr>
          <w:caps/>
        </w:rPr>
        <w:t>aarp</w:t>
      </w:r>
      <w:r w:rsidRPr="00F33AB3">
        <w:rPr>
          <w:smallCaps/>
        </w:rPr>
        <w:t xml:space="preserve">), </w:t>
      </w:r>
      <w:r w:rsidRPr="00253D98">
        <w:t>le très puissant lobby des retraités, et parfois à la National Rifle Associ</w:t>
      </w:r>
      <w:r w:rsidRPr="00253D98">
        <w:t>a</w:t>
      </w:r>
      <w:r w:rsidRPr="00253D98">
        <w:t xml:space="preserve">tion (la NRA : le lobby des armes à feu). Les objectifs de </w:t>
      </w:r>
      <w:r>
        <w:t>l’AIPAC</w:t>
      </w:r>
      <w:r w:rsidRPr="00F33AB3">
        <w:rPr>
          <w:smallCaps/>
        </w:rPr>
        <w:t xml:space="preserve"> </w:t>
      </w:r>
      <w:r w:rsidRPr="00253D98">
        <w:t>sont clairs : le soutien à l’État hébreu, à sa sécurité régionale et son économie, quelles que soient les fluctuations de la vie politique isra</w:t>
      </w:r>
      <w:r w:rsidRPr="00253D98">
        <w:t>é</w:t>
      </w:r>
      <w:r w:rsidRPr="00253D98">
        <w:t>lienne, est au cœur, pour l’AIPAC, de la politique étrangère américa</w:t>
      </w:r>
      <w:r w:rsidRPr="00253D98">
        <w:t>i</w:t>
      </w:r>
      <w:r w:rsidRPr="00253D98">
        <w:t>ne. Et le lobby parvient — non sans difficultés — à maintenir l’unité entre Juifs-Américains d’origines géographiques</w:t>
      </w:r>
      <w:r>
        <w:t xml:space="preserve"> [327] </w:t>
      </w:r>
      <w:r w:rsidRPr="00253D98">
        <w:t>variées, appa</w:t>
      </w:r>
      <w:r w:rsidRPr="00253D98">
        <w:t>r</w:t>
      </w:r>
      <w:r w:rsidRPr="00253D98">
        <w:t>tenant à des courants différents du judaïsme et à diverses classes s</w:t>
      </w:r>
      <w:r w:rsidRPr="00253D98">
        <w:t>o</w:t>
      </w:r>
      <w:r w:rsidRPr="00253D98">
        <w:t>ciales et opinions politiques : c’est ce qui fait sa fo</w:t>
      </w:r>
      <w:r w:rsidRPr="00253D98">
        <w:t>r</w:t>
      </w:r>
      <w:r w:rsidRPr="00253D98">
        <w:t>ce.</w:t>
      </w:r>
    </w:p>
    <w:p w14:paraId="274204C3" w14:textId="77777777" w:rsidR="0039793A" w:rsidRPr="00253D98" w:rsidRDefault="0039793A" w:rsidP="0039793A">
      <w:pPr>
        <w:spacing w:before="120" w:after="120"/>
        <w:jc w:val="both"/>
      </w:pPr>
      <w:r w:rsidRPr="00253D98">
        <w:t xml:space="preserve">Ce modèle de </w:t>
      </w:r>
      <w:r>
        <w:t>l</w:t>
      </w:r>
      <w:r w:rsidRPr="00AC40BA">
        <w:rPr>
          <w:smallCaps/>
        </w:rPr>
        <w:t>’</w:t>
      </w:r>
      <w:r w:rsidRPr="00AC40BA">
        <w:rPr>
          <w:caps/>
        </w:rPr>
        <w:t>aipac</w:t>
      </w:r>
      <w:r w:rsidRPr="00AC40BA">
        <w:rPr>
          <w:smallCaps/>
        </w:rPr>
        <w:t xml:space="preserve"> </w:t>
      </w:r>
      <w:r w:rsidRPr="00253D98">
        <w:t>se retrouve peu ou prou dans d’autres communautés dont l’influence n’est cependant pas aussi forte : les Polonais-Américains, les Tchèques-Américains, les Grecs- Amér</w:t>
      </w:r>
      <w:r w:rsidRPr="00253D98">
        <w:t>i</w:t>
      </w:r>
      <w:r w:rsidRPr="00253D98">
        <w:t>cains, mais aussi les Arméniens-Américains. Cette dernière diaspora, dont le poids financier est réel, a constitué l’un des atouts maîtres de l’Arménie dans sa lutte contre l’Azerbaïdjan autour du Haut-Karabakh, dans sa quête de soutien financier et dans la marche vers la reconnaissance officielle du génocide arménien.</w:t>
      </w:r>
    </w:p>
    <w:p w14:paraId="2ABD84A8" w14:textId="77777777" w:rsidR="0039793A" w:rsidRPr="00253D98" w:rsidRDefault="0039793A" w:rsidP="0039793A">
      <w:pPr>
        <w:spacing w:before="120" w:after="120"/>
        <w:jc w:val="both"/>
      </w:pPr>
      <w:r w:rsidRPr="00253D98">
        <w:t>Si c’est le lot de toutes les communautés ethniques que de se div</w:t>
      </w:r>
      <w:r w:rsidRPr="00253D98">
        <w:t>i</w:t>
      </w:r>
      <w:r w:rsidRPr="00253D98">
        <w:t>ser sur la définition d’une politique déterminée, certaines parviennent mieux que d’autres à préserver leur unité. Le cas des Cubains-Américains est intéressant à cet égard : ce groupe se compose d’un côté d’une aile anticastriste traditionnelle, très conservatrice, dont le noyau dur est formé par les premiers réfugiés politiques des années I960 qui ont souvent connu une certaine réussite professionnelle, et de l’autre d’une aile plus informelle, moins intransigeante dans son ant</w:t>
      </w:r>
      <w:r w:rsidRPr="00253D98">
        <w:t>i</w:t>
      </w:r>
      <w:r w:rsidRPr="00253D98">
        <w:t>castrisme, plus modeste socialement et prête à adopter d’autres m</w:t>
      </w:r>
      <w:r w:rsidRPr="00253D98">
        <w:t>é</w:t>
      </w:r>
      <w:r w:rsidRPr="00253D98">
        <w:t xml:space="preserve">thodes pour démocratiser l’île qu’un embargo dont elle connaît le prix pour la population. L’unité du groupe est précaire, mais le premier courant, le plus intransigeant, l’emporte généralement sur le second. Pour les Arméniens-Américains ou les Juifs-Américains, les enjeux apparaissent plutôt </w:t>
      </w:r>
      <w:r>
        <w:t>clairement. Pour les Mexicains-</w:t>
      </w:r>
      <w:r w:rsidRPr="00253D98">
        <w:t>Américains ou les Africains-Américains, les choses sont plus compliquées, du fait de l’absence de buts de politique étrangère incontestables, et de la prior</w:t>
      </w:r>
      <w:r w:rsidRPr="00253D98">
        <w:t>i</w:t>
      </w:r>
      <w:r w:rsidRPr="00253D98">
        <w:t>té donnée aux objectifs intérieurs (droits sociaux et civiques, lutte contre le racisme, conditions d’émigration).</w:t>
      </w:r>
    </w:p>
    <w:p w14:paraId="4396F660" w14:textId="77777777" w:rsidR="0039793A" w:rsidRPr="00253D98" w:rsidRDefault="0039793A" w:rsidP="0039793A">
      <w:pPr>
        <w:spacing w:before="120" w:after="120"/>
        <w:jc w:val="both"/>
      </w:pPr>
      <w:r w:rsidRPr="00253D98">
        <w:t>Les Africains-Américains, dont le pouvoir s’est accru sous la pr</w:t>
      </w:r>
      <w:r w:rsidRPr="00253D98">
        <w:t>é</w:t>
      </w:r>
      <w:r w:rsidRPr="00253D98">
        <w:t xml:space="preserve">sidence de Bill Clinton (dont ils formaient l’un des plus sûrs soutiens), sont représentés par le </w:t>
      </w:r>
      <w:r w:rsidRPr="002C18FB">
        <w:rPr>
          <w:i/>
          <w:iCs/>
        </w:rPr>
        <w:t>Black Caucus</w:t>
      </w:r>
      <w:r w:rsidRPr="00253D98">
        <w:t xml:space="preserve"> au Congrès (groupement des pa</w:t>
      </w:r>
      <w:r w:rsidRPr="00253D98">
        <w:t>r</w:t>
      </w:r>
      <w:r w:rsidRPr="00253D98">
        <w:t>lementaires Africains-Américains) et essentiellement par les groupes Transafrica et Africare en dehors du Congrès. Le plus grand succès de Transafrica a été la lutte contre l’apartheid en Afrique du Sud, n</w:t>
      </w:r>
      <w:r w:rsidRPr="00253D98">
        <w:t>o</w:t>
      </w:r>
      <w:r w:rsidRPr="00253D98">
        <w:t>tamment en contribuant à la décision d’un embargo, dans les années 1980. Toutefois, pour le reste, la communauté africaine-américaine se mobilise peu sur</w:t>
      </w:r>
      <w:r>
        <w:t xml:space="preserve"> [328] </w:t>
      </w:r>
      <w:r w:rsidRPr="00253D98">
        <w:t>des questions de politique étrangère, au-delà de symboles (solidar</w:t>
      </w:r>
      <w:r w:rsidRPr="00253D98">
        <w:t>i</w:t>
      </w:r>
      <w:r w:rsidRPr="00253D98">
        <w:t>té avec les Palestiniens) et de dossiers ponctuels : parmi ces derniers, l’aide au développement pour l’Afrique et la situ</w:t>
      </w:r>
      <w:r w:rsidRPr="00253D98">
        <w:t>a</w:t>
      </w:r>
      <w:r w:rsidRPr="00253D98">
        <w:t>tion en Haïti ont r</w:t>
      </w:r>
      <w:r w:rsidRPr="00253D98">
        <w:t>e</w:t>
      </w:r>
      <w:r w:rsidRPr="00253D98">
        <w:t>vêtu une certaine importance après la guerre froide. Pour autant, s’agissant de l’aide au développement, la baisse régulière des budgets montre les limites de l’influence des leaders africains-américains tels que Randall Robinson ou Jesse Jackson. De la même manière, leur division sur le projet de diminution des barrières dou</w:t>
      </w:r>
      <w:r w:rsidRPr="00253D98">
        <w:t>a</w:t>
      </w:r>
      <w:r w:rsidRPr="00253D98">
        <w:t>nières avec l’Afrique (</w:t>
      </w:r>
      <w:r w:rsidRPr="002C18FB">
        <w:rPr>
          <w:i/>
          <w:iCs/>
        </w:rPr>
        <w:t>Africa Gro</w:t>
      </w:r>
      <w:r>
        <w:rPr>
          <w:i/>
          <w:iCs/>
        </w:rPr>
        <w:t>w</w:t>
      </w:r>
      <w:r w:rsidRPr="002C18FB">
        <w:rPr>
          <w:i/>
          <w:iCs/>
        </w:rPr>
        <w:t>th and Opportunity Act</w:t>
      </w:r>
      <w:r w:rsidRPr="00253D98">
        <w:t xml:space="preserve"> puis </w:t>
      </w:r>
      <w:r w:rsidRPr="002C18FB">
        <w:rPr>
          <w:i/>
          <w:iCs/>
        </w:rPr>
        <w:t>Trade and Dev</w:t>
      </w:r>
      <w:r w:rsidRPr="002C18FB">
        <w:rPr>
          <w:i/>
          <w:iCs/>
        </w:rPr>
        <w:t>e</w:t>
      </w:r>
      <w:r w:rsidRPr="002C18FB">
        <w:rPr>
          <w:i/>
          <w:iCs/>
        </w:rPr>
        <w:t xml:space="preserve">lopment Act </w:t>
      </w:r>
      <w:r w:rsidRPr="00253D98">
        <w:t>finalement adopté en mai 2000), fustigé par Randall Robinson et Jesse Jackson, montre la difficulté de définir gl</w:t>
      </w:r>
      <w:r w:rsidRPr="00253D98">
        <w:t>o</w:t>
      </w:r>
      <w:r w:rsidRPr="00253D98">
        <w:t>balement les intérêts de l’Afrique</w:t>
      </w:r>
      <w:r>
        <w:t> </w:t>
      </w:r>
      <w:r>
        <w:rPr>
          <w:rStyle w:val="Appelnotedebasdep"/>
        </w:rPr>
        <w:footnoteReference w:id="635"/>
      </w:r>
      <w:r w:rsidRPr="00253D98">
        <w:t>. En revanche, s’agissant d’Haïti, le soutien puissant à la restauration de la démocratie et au président Jean-Be</w:t>
      </w:r>
      <w:r w:rsidRPr="00253D98">
        <w:t>r</w:t>
      </w:r>
      <w:r w:rsidRPr="00253D98">
        <w:t xml:space="preserve">trand Aristide — Randall Robinson allant jusqu’à la grève de la faim </w:t>
      </w:r>
      <w:r>
        <w:t>—</w:t>
      </w:r>
      <w:r w:rsidRPr="00253D98">
        <w:t xml:space="preserve"> a été une donnée très importante dans la décision d’y inte</w:t>
      </w:r>
      <w:r w:rsidRPr="00253D98">
        <w:t>r</w:t>
      </w:r>
      <w:r w:rsidRPr="00253D98">
        <w:t>venir en 1994.</w:t>
      </w:r>
    </w:p>
    <w:p w14:paraId="11769672" w14:textId="77777777" w:rsidR="0039793A" w:rsidRPr="00253D98" w:rsidRDefault="0039793A" w:rsidP="0039793A">
      <w:pPr>
        <w:spacing w:before="120" w:after="120"/>
        <w:jc w:val="both"/>
      </w:pPr>
      <w:r w:rsidRPr="00253D98">
        <w:t>Les groupes d’intérêts sont donc constitués aux fins d’influencer plus ou moins directement la politique étrangère américaine, dans un domaine, un secteur ou dans un but précis. Ils disposent pour ce faire d’instruments et d’outils qui vont leur permettre d’exercer effectiv</w:t>
      </w:r>
      <w:r w:rsidRPr="00253D98">
        <w:t>e</w:t>
      </w:r>
      <w:r w:rsidRPr="00253D98">
        <w:t>ment cette influence recherchée.</w:t>
      </w:r>
    </w:p>
    <w:p w14:paraId="0D765787" w14:textId="77777777" w:rsidR="0039793A" w:rsidRPr="002C18FB" w:rsidRDefault="0039793A" w:rsidP="0039793A">
      <w:pPr>
        <w:spacing w:before="120" w:after="120"/>
        <w:jc w:val="both"/>
        <w:rPr>
          <w:i/>
          <w:iCs/>
        </w:rPr>
      </w:pPr>
    </w:p>
    <w:p w14:paraId="10088DCB" w14:textId="77777777" w:rsidR="0039793A" w:rsidRPr="002C18FB" w:rsidRDefault="0039793A" w:rsidP="0039793A">
      <w:pPr>
        <w:pStyle w:val="planche"/>
      </w:pPr>
      <w:bookmarkStart w:id="41" w:name="Pol_EU_pt_3_chap_10_2"/>
      <w:r w:rsidRPr="002C18FB">
        <w:t>Les moyens d’influence</w:t>
      </w:r>
      <w:r>
        <w:br/>
      </w:r>
      <w:r w:rsidRPr="002C18FB">
        <w:t>sur la politique étrangère</w:t>
      </w:r>
    </w:p>
    <w:bookmarkEnd w:id="41"/>
    <w:p w14:paraId="33345D9E" w14:textId="77777777" w:rsidR="0039793A" w:rsidRDefault="0039793A" w:rsidP="0039793A">
      <w:pPr>
        <w:spacing w:before="120" w:after="120"/>
        <w:jc w:val="both"/>
      </w:pPr>
    </w:p>
    <w:p w14:paraId="7AF84B10"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2264AEC2" w14:textId="77777777" w:rsidR="0039793A" w:rsidRPr="00253D98" w:rsidRDefault="0039793A" w:rsidP="0039793A">
      <w:pPr>
        <w:spacing w:before="120" w:after="120"/>
        <w:jc w:val="both"/>
      </w:pPr>
      <w:r w:rsidRPr="00253D98">
        <w:t>Mesurer l’influence des lobbies et groupes d’intérêts en matière de politique étrangère n’est pas chose aisée, tant en raison de la discr</w:t>
      </w:r>
      <w:r w:rsidRPr="00253D98">
        <w:t>é</w:t>
      </w:r>
      <w:r w:rsidRPr="00253D98">
        <w:t>tion naturelle des acteurs (qui alimente d’ailleurs rumeurs et exagér</w:t>
      </w:r>
      <w:r w:rsidRPr="00253D98">
        <w:t>a</w:t>
      </w:r>
      <w:r w:rsidRPr="00253D98">
        <w:t>tions) que de la difficulté à mesurer scientifiquement le poids des di</w:t>
      </w:r>
      <w:r w:rsidRPr="00253D98">
        <w:t>f</w:t>
      </w:r>
      <w:r w:rsidRPr="00253D98">
        <w:t xml:space="preserve">férents facteurs dans une décision donnée. </w:t>
      </w:r>
      <w:r>
        <w:t>À</w:t>
      </w:r>
      <w:r w:rsidRPr="00253D98">
        <w:t xml:space="preserve"> cet égard, trois rema</w:t>
      </w:r>
      <w:r w:rsidRPr="00253D98">
        <w:t>r</w:t>
      </w:r>
      <w:r w:rsidRPr="00253D98">
        <w:t>ques préalables s’imposent.</w:t>
      </w:r>
    </w:p>
    <w:p w14:paraId="0B910B64" w14:textId="77777777" w:rsidR="0039793A" w:rsidRPr="00253D98" w:rsidRDefault="0039793A" w:rsidP="0039793A">
      <w:pPr>
        <w:spacing w:before="120" w:after="120"/>
        <w:jc w:val="both"/>
      </w:pPr>
      <w:r w:rsidRPr="00253D98">
        <w:t>D’abord, les affaires internationales font l’objet de moins de pre</w:t>
      </w:r>
      <w:r w:rsidRPr="00253D98">
        <w:t>s</w:t>
      </w:r>
      <w:r w:rsidRPr="00253D98">
        <w:t>sions que les affaires intérieures où les intérêts en jeu sont plus no</w:t>
      </w:r>
      <w:r w:rsidRPr="00253D98">
        <w:t>m</w:t>
      </w:r>
      <w:r w:rsidRPr="00253D98">
        <w:t>breux et la prise de décision souvent moins concentrée dans les mains de l’Exécutif.</w:t>
      </w:r>
    </w:p>
    <w:p w14:paraId="566EB6AC" w14:textId="77777777" w:rsidR="0039793A" w:rsidRPr="00253D98" w:rsidRDefault="0039793A" w:rsidP="0039793A">
      <w:pPr>
        <w:spacing w:before="120" w:after="120"/>
        <w:jc w:val="both"/>
      </w:pPr>
      <w:r w:rsidRPr="00253D98">
        <w:t>Ensuite, en politique étrangère comme en politique intérieure, la manipulation est réciproque, l’influence à double sens,</w:t>
      </w:r>
      <w:r>
        <w:t xml:space="preserve"> [329] </w:t>
      </w:r>
      <w:r w:rsidRPr="00253D98">
        <w:t>et rien ne serait plus faux que d’imaginer des groupes d’intérêt o</w:t>
      </w:r>
      <w:r w:rsidRPr="00253D98">
        <w:t>c</w:t>
      </w:r>
      <w:r w:rsidRPr="00253D98">
        <w:t>cultes tirant dans l’ombre les ficelles du jeu politique. En fait, c’est bien souvent l’Exécutif ou l’un des deux partis qui incite tel ou tel segment de la société à s’organiser et à faire pression dans son sens. Ainsi, certains groupes de pression ethniques trouvent par exemple leurs origines dans une création délibérée par des responsables polit</w:t>
      </w:r>
      <w:r w:rsidRPr="00253D98">
        <w:t>i</w:t>
      </w:r>
      <w:r>
        <w:t>ques : c’est le cas de l’AI</w:t>
      </w:r>
      <w:r w:rsidRPr="00253D98">
        <w:t>PAC (suggérée par l’Administration Eise</w:t>
      </w:r>
      <w:r w:rsidRPr="00253D98">
        <w:t>n</w:t>
      </w:r>
      <w:r w:rsidRPr="00253D98">
        <w:t>hower dans les années 1950), mais aussi de la Cuban-American N</w:t>
      </w:r>
      <w:r w:rsidRPr="00253D98">
        <w:t>a</w:t>
      </w:r>
      <w:r w:rsidRPr="00253D98">
        <w:t>tional Foundation (la CANF, le principal lobby d’exilés cubains ant</w:t>
      </w:r>
      <w:r w:rsidRPr="00253D98">
        <w:t>i</w:t>
      </w:r>
      <w:r w:rsidRPr="00253D98">
        <w:t>castristes) fondée sous l’impulsion des républicains proches de l’équipe de campagne de Ronald Reagan</w:t>
      </w:r>
      <w:r>
        <w:t> </w:t>
      </w:r>
      <w:r>
        <w:rPr>
          <w:rStyle w:val="Appelnotedebasdep"/>
        </w:rPr>
        <w:footnoteReference w:id="636"/>
      </w:r>
      <w:r w:rsidRPr="00253D98">
        <w:t>. Il y a des exemples qui illustrent parfaitement ce</w:t>
      </w:r>
      <w:r w:rsidRPr="00253D98">
        <w:t>t</w:t>
      </w:r>
      <w:r w:rsidRPr="00253D98">
        <w:t>te collusion entre le pouvoir exécutif et les groupes de pression : ainsi en est-il de la déclaration de Craig Joh</w:t>
      </w:r>
      <w:r w:rsidRPr="00253D98">
        <w:t>n</w:t>
      </w:r>
      <w:r w:rsidRPr="00253D98">
        <w:t>stone, l’un des dirigeants du très puissant lobby patronal US Chamber of Commerce, quelque temps avant le vote sur l’entrée de la Chine à l’OMC : « L’Administration [Clinton] nous a demandé si nous po</w:t>
      </w:r>
      <w:r w:rsidRPr="00253D98">
        <w:t>u</w:t>
      </w:r>
      <w:r w:rsidRPr="00253D98">
        <w:t>vions nous assurer d’un vote positif au Congrès (</w:t>
      </w:r>
      <w:r w:rsidRPr="00073A35">
        <w:rPr>
          <w:i/>
          <w:iCs/>
        </w:rPr>
        <w:t>if we could deliver the votes</w:t>
      </w:r>
      <w:r w:rsidRPr="00253D98">
        <w:t>) ; nous avons répondu que nous le pouvions et que nous le ferions</w:t>
      </w:r>
      <w:r>
        <w:t> </w:t>
      </w:r>
      <w:r>
        <w:rPr>
          <w:rStyle w:val="Appelnotedebasdep"/>
        </w:rPr>
        <w:footnoteReference w:id="637"/>
      </w:r>
      <w:r w:rsidRPr="00253D98">
        <w:t>. »</w:t>
      </w:r>
    </w:p>
    <w:p w14:paraId="7062B8ED" w14:textId="77777777" w:rsidR="0039793A" w:rsidRPr="00253D98" w:rsidRDefault="0039793A" w:rsidP="0039793A">
      <w:pPr>
        <w:spacing w:before="120" w:after="120"/>
        <w:jc w:val="both"/>
      </w:pPr>
      <w:r w:rsidRPr="00253D98">
        <w:t>Enfin, pour évaluer l’efficacité de l’influence des groupes d’intérêt particulier sur la politique étrangère américaine, il est nécessaire non seulement de décrire leurs méthodes d’influence des décisions, mais aussi d’analyser leurs stratégies d’alliance avec les autres acteurs du processus (Administration, parti républicain ou démocrate, opinion publique, autres lobbies).</w:t>
      </w:r>
    </w:p>
    <w:p w14:paraId="165D5123" w14:textId="77777777" w:rsidR="0039793A" w:rsidRPr="00253D98" w:rsidRDefault="0039793A" w:rsidP="0039793A">
      <w:pPr>
        <w:spacing w:before="120" w:after="120"/>
        <w:jc w:val="both"/>
      </w:pPr>
      <w:r w:rsidRPr="00253D98">
        <w:t>Les groupes d’intérêt particulier disposent de plusieurs outils pour peser sur la définition de l’intérêt national : le vote, l’argent, les r</w:t>
      </w:r>
      <w:r w:rsidRPr="00253D98">
        <w:t>é</w:t>
      </w:r>
      <w:r w:rsidRPr="00253D98">
        <w:t xml:space="preserve">seaux et les cabinets privés, enfin l’organisation. Il va de soi que les lobbies les plus efficaces, tels que </w:t>
      </w:r>
      <w:r>
        <w:t>l</w:t>
      </w:r>
      <w:r w:rsidRPr="00253D98">
        <w:rPr>
          <w:rStyle w:val="Corpsdutexte28ptPetitesmajuscules"/>
        </w:rPr>
        <w:t xml:space="preserve">’aipac, </w:t>
      </w:r>
      <w:r w:rsidRPr="00253D98">
        <w:t>disposent de toute la ga</w:t>
      </w:r>
      <w:r w:rsidRPr="00253D98">
        <w:t>m</w:t>
      </w:r>
      <w:r w:rsidRPr="00253D98">
        <w:t>me de cet arsenal.</w:t>
      </w:r>
    </w:p>
    <w:p w14:paraId="14FE7B11" w14:textId="77777777" w:rsidR="0039793A" w:rsidRDefault="0039793A" w:rsidP="0039793A">
      <w:pPr>
        <w:spacing w:before="120" w:after="120"/>
        <w:jc w:val="both"/>
      </w:pPr>
    </w:p>
    <w:p w14:paraId="01C3FC5E" w14:textId="77777777" w:rsidR="0039793A" w:rsidRPr="00253D98" w:rsidRDefault="0039793A" w:rsidP="0039793A">
      <w:pPr>
        <w:pStyle w:val="a"/>
      </w:pPr>
      <w:r w:rsidRPr="00253D98">
        <w:t>L’influence par le vote</w:t>
      </w:r>
    </w:p>
    <w:p w14:paraId="56B556AC" w14:textId="77777777" w:rsidR="0039793A" w:rsidRDefault="0039793A" w:rsidP="0039793A">
      <w:pPr>
        <w:spacing w:before="120" w:after="120"/>
        <w:jc w:val="both"/>
      </w:pPr>
    </w:p>
    <w:p w14:paraId="05CAEAFE" w14:textId="77777777" w:rsidR="0039793A" w:rsidRPr="00253D98" w:rsidRDefault="0039793A" w:rsidP="0039793A">
      <w:pPr>
        <w:spacing w:before="120" w:after="120"/>
        <w:jc w:val="both"/>
      </w:pPr>
      <w:r w:rsidRPr="00253D98">
        <w:t>Le système politique américain donne prise aux groupes qui sont capables de mobiliser les électeurs pour qu’ils aillent voter (c’est la première exigence, compte tenu du taux d’absentéisme),</w:t>
      </w:r>
      <w:r>
        <w:t xml:space="preserve"> [330] </w:t>
      </w:r>
      <w:r w:rsidRPr="00253D98">
        <w:t>et qu’ils votent selon un critère précis tel que la position déclarée des candidats sur un sujet de politique étrangère (soutien à Israël par exemple). En fait, c’est le caractère local de tous les scrutins qui pe</w:t>
      </w:r>
      <w:r w:rsidRPr="00253D98">
        <w:t>r</w:t>
      </w:r>
      <w:r w:rsidRPr="00253D98">
        <w:t>met aux intérêts particuliers de se faire entendre.</w:t>
      </w:r>
    </w:p>
    <w:p w14:paraId="54A5C8F8" w14:textId="77777777" w:rsidR="0039793A" w:rsidRDefault="0039793A" w:rsidP="0039793A">
      <w:pPr>
        <w:spacing w:before="120" w:after="120"/>
        <w:jc w:val="both"/>
      </w:pPr>
    </w:p>
    <w:p w14:paraId="771BC2DC" w14:textId="77777777" w:rsidR="0039793A" w:rsidRPr="00073A35" w:rsidRDefault="0039793A" w:rsidP="0039793A">
      <w:pPr>
        <w:spacing w:before="120" w:after="120"/>
        <w:jc w:val="both"/>
        <w:rPr>
          <w:i/>
          <w:iCs/>
        </w:rPr>
      </w:pPr>
      <w:r w:rsidRPr="00073A35">
        <w:rPr>
          <w:i/>
          <w:iCs/>
        </w:rPr>
        <w:t>L’incidence sur les élections parlementaires</w:t>
      </w:r>
    </w:p>
    <w:p w14:paraId="7F0F59EB" w14:textId="77777777" w:rsidR="0039793A" w:rsidRDefault="0039793A" w:rsidP="0039793A">
      <w:pPr>
        <w:spacing w:before="120" w:after="120"/>
        <w:jc w:val="both"/>
      </w:pPr>
    </w:p>
    <w:p w14:paraId="0AF99113" w14:textId="77777777" w:rsidR="0039793A" w:rsidRPr="00253D98" w:rsidRDefault="0039793A" w:rsidP="0039793A">
      <w:pPr>
        <w:spacing w:before="120" w:after="120"/>
        <w:jc w:val="both"/>
      </w:pPr>
      <w:r w:rsidRPr="00253D98">
        <w:t>À ce titre, le mode d’élection des représentants et des sénateurs confère un rôle important aux forces propres à leur circonscription, même si par ailleurs celles-ci sont quasi inexistantes au niveau nati</w:t>
      </w:r>
      <w:r w:rsidRPr="00253D98">
        <w:t>o</w:t>
      </w:r>
      <w:r w:rsidRPr="00253D98">
        <w:t>nal. Comme la relative indiscipline partisane et la répartition du po</w:t>
      </w:r>
      <w:r w:rsidRPr="00253D98">
        <w:t>u</w:t>
      </w:r>
      <w:r w:rsidRPr="00253D98">
        <w:t>voir dans les deux assemblées (donnant une certaine capacité de bl</w:t>
      </w:r>
      <w:r w:rsidRPr="00253D98">
        <w:t>o</w:t>
      </w:r>
      <w:r w:rsidRPr="00253D98">
        <w:t>cage à chaque parlementaire) laissent une réelle marge de manœuvre à tous les élus, les groupes de pression ont un accès relativement facile à la prise de décision. Ainsi, c’est la concentration géographique dans une circonscription qui compte, et non la proportion dans la popul</w:t>
      </w:r>
      <w:r w:rsidRPr="00253D98">
        <w:t>a</w:t>
      </w:r>
      <w:r w:rsidRPr="00253D98">
        <w:t>tion totale : ainsi sa circonscription de Fresno en Californie abrite u</w:t>
      </w:r>
      <w:r>
        <w:t>ne forte communauté arménienne-</w:t>
      </w:r>
      <w:r w:rsidRPr="00253D98">
        <w:t>américaine (5 journaux en arménien, 3 chaînes de télévision) dont le pouvoir électoral est d’environ 21</w:t>
      </w:r>
      <w:r>
        <w:t> </w:t>
      </w:r>
      <w:r w:rsidRPr="00253D98">
        <w:t>000 votants, soit près de 8</w:t>
      </w:r>
      <w:r>
        <w:t>%</w:t>
      </w:r>
      <w:r w:rsidRPr="00253D98">
        <w:t xml:space="preserve"> des inscrits. On retrouve cette même situ</w:t>
      </w:r>
      <w:r w:rsidRPr="00253D98">
        <w:t>a</w:t>
      </w:r>
      <w:r w:rsidRPr="00253D98">
        <w:t>tion à Watertown dans le Massachusetts. Aussi, les Arméniens-Américains sont-ils assurés d’être défendus par les représe</w:t>
      </w:r>
      <w:r>
        <w:t>ntants de ces circon</w:t>
      </w:r>
      <w:r>
        <w:t>s</w:t>
      </w:r>
      <w:r>
        <w:t>criptions </w:t>
      </w:r>
      <w:r>
        <w:rPr>
          <w:rStyle w:val="Appelnotedebasdep"/>
        </w:rPr>
        <w:footnoteReference w:id="638"/>
      </w:r>
      <w:r>
        <w:t>.</w:t>
      </w:r>
    </w:p>
    <w:p w14:paraId="233F2D64" w14:textId="77777777" w:rsidR="0039793A" w:rsidRDefault="0039793A" w:rsidP="0039793A">
      <w:pPr>
        <w:spacing w:before="120" w:after="120"/>
        <w:jc w:val="both"/>
      </w:pPr>
    </w:p>
    <w:p w14:paraId="49BD249A" w14:textId="77777777" w:rsidR="0039793A" w:rsidRPr="001A69B2" w:rsidRDefault="0039793A" w:rsidP="0039793A">
      <w:pPr>
        <w:pStyle w:val="b"/>
      </w:pPr>
      <w:r w:rsidRPr="001A69B2">
        <w:t>L’incidence sur l’élection présidentielle</w:t>
      </w:r>
    </w:p>
    <w:p w14:paraId="78320886" w14:textId="77777777" w:rsidR="0039793A" w:rsidRDefault="0039793A" w:rsidP="0039793A">
      <w:pPr>
        <w:spacing w:before="120" w:after="120"/>
        <w:jc w:val="both"/>
      </w:pPr>
    </w:p>
    <w:p w14:paraId="327E020E" w14:textId="77777777" w:rsidR="0039793A" w:rsidRPr="00253D98" w:rsidRDefault="0039793A" w:rsidP="0039793A">
      <w:pPr>
        <w:spacing w:before="120" w:after="120"/>
        <w:jc w:val="both"/>
      </w:pPr>
      <w:r w:rsidRPr="00253D98">
        <w:t>Ce phénomène de concentration des intérêts particuliers, qu’ils soient ethniques, économiques ou autres, se retrouve lors de l’élection présidentielle. Ainsi, calcule Tony Smith, la proportion des Juifs n’est aux États-Unis que de 3</w:t>
      </w:r>
      <w:r>
        <w:t>%</w:t>
      </w:r>
      <w:r w:rsidRPr="00253D98">
        <w:t>. Mais dans l’État de New York, elle est de plus de 9</w:t>
      </w:r>
      <w:r>
        <w:t>%</w:t>
      </w:r>
      <w:r w:rsidRPr="00253D98">
        <w:t>, dans l’électorat démocrate sans doute de 15</w:t>
      </w:r>
      <w:r>
        <w:t>%</w:t>
      </w:r>
      <w:r w:rsidRPr="00253D98">
        <w:t>, et, final</w:t>
      </w:r>
      <w:r w:rsidRPr="00253D98">
        <w:t>e</w:t>
      </w:r>
      <w:r w:rsidRPr="00253D98">
        <w:t>ment, parmi les votants aux élections primaires démocrates - compte tenu de la forte mobilisation de l’électorat juif par rapport au reste de la population — de 30</w:t>
      </w:r>
      <w:r>
        <w:t>% </w:t>
      </w:r>
      <w:r>
        <w:rPr>
          <w:rStyle w:val="Appelnotedebasdep"/>
        </w:rPr>
        <w:footnoteReference w:id="639"/>
      </w:r>
      <w:r w:rsidRPr="00253D98">
        <w:t>. Aussi leur vote est-il décisif pour dépa</w:t>
      </w:r>
      <w:r w:rsidRPr="00253D98">
        <w:t>r</w:t>
      </w:r>
      <w:r w:rsidRPr="00253D98">
        <w:t>tager les rivaux démocrates lors de la première phase de la préside</w:t>
      </w:r>
      <w:r w:rsidRPr="00253D98">
        <w:t>n</w:t>
      </w:r>
      <w:r w:rsidRPr="00253D98">
        <w:t>tielle, c’est-à- dire au cours de la sélection des candidats par les pr</w:t>
      </w:r>
      <w:r w:rsidRPr="00253D98">
        <w:t>i</w:t>
      </w:r>
      <w:r w:rsidRPr="00253D98">
        <w:t>maires. Lors de la seconde phase (c’est-à-dire pour les élections gén</w:t>
      </w:r>
      <w:r w:rsidRPr="00253D98">
        <w:t>é</w:t>
      </w:r>
      <w:r w:rsidRPr="00253D98">
        <w:t>rales en</w:t>
      </w:r>
      <w:r>
        <w:t xml:space="preserve"> [331] </w:t>
      </w:r>
      <w:r w:rsidRPr="00253D98">
        <w:t>novembre), qui se gagne elle aussi « État par État », leur vote est essentiel dans quelques États clés comme New York ou la Floride qui représentent respectivement 33 et 25 grands électeurs sur un collège de 53</w:t>
      </w:r>
      <w:r>
        <w:t xml:space="preserve">5. De surcroît, le système du </w:t>
      </w:r>
      <w:r w:rsidRPr="003343EF">
        <w:rPr>
          <w:i/>
        </w:rPr>
        <w:t>wi</w:t>
      </w:r>
      <w:r>
        <w:rPr>
          <w:i/>
        </w:rPr>
        <w:t>n</w:t>
      </w:r>
      <w:r w:rsidRPr="003343EF">
        <w:rPr>
          <w:i/>
        </w:rPr>
        <w:t>ner-take-all</w:t>
      </w:r>
      <w:r w:rsidRPr="00253D98">
        <w:t>, qui confère tous les mandats de grands électeurs de l’État au candidat qui remporte la majorité des voix, accentue l’importance des segments de votants organisés et disciplinés : lors d’un scrutin disputé, le déplac</w:t>
      </w:r>
      <w:r w:rsidRPr="00253D98">
        <w:t>e</w:t>
      </w:r>
      <w:r w:rsidRPr="00253D98">
        <w:t>ment d’un petit segment de votants peut avoir une importance décisive (et tout à fait disproportionnée) sur le plan national. C’est d’ailleurs tout à fait ce qui s’est passé lors de l’élection de novembre 2000 : George W. Bush, pourtant minoritaire sur le plan national, a été élu grâce à une petite marge de supériorité - certes contestée - en Floride.</w:t>
      </w:r>
    </w:p>
    <w:p w14:paraId="272192DA" w14:textId="77777777" w:rsidR="0039793A" w:rsidRPr="00253D98" w:rsidRDefault="0039793A" w:rsidP="0039793A">
      <w:pPr>
        <w:spacing w:before="120" w:after="120"/>
        <w:jc w:val="both"/>
      </w:pPr>
      <w:r w:rsidRPr="00253D98">
        <w:t>Ainsi, il n’est pas étonnant que les deux grandes lois renforçant l’embargo sur Cuba après la guerre froide soient passées en 1992 et 1996, deux années d’élections présidentielles.</w:t>
      </w:r>
    </w:p>
    <w:p w14:paraId="4E0B7EC6" w14:textId="77777777" w:rsidR="0039793A" w:rsidRPr="00253D98" w:rsidRDefault="0039793A" w:rsidP="0039793A">
      <w:pPr>
        <w:spacing w:before="120" w:after="120"/>
        <w:jc w:val="both"/>
      </w:pPr>
      <w:r w:rsidRPr="00253D98">
        <w:t xml:space="preserve">En 1992, le leader du lobby cubain, Jorge Mas Canosa, a joué un candidat contre l’autre, faisant en quelque sorte monter les enchères. Finalement George H. Bush, d’abord réticent, a accepté de soutenir la proposition de loi </w:t>
      </w:r>
      <w:r w:rsidRPr="00DB4DB9">
        <w:rPr>
          <w:i/>
          <w:iCs/>
        </w:rPr>
        <w:t>Cuban Democracy Act</w:t>
      </w:r>
      <w:r w:rsidRPr="00253D98">
        <w:t xml:space="preserve"> renforçant l’embargo contre l’île et, une fois votée par le Congrès, de la promulguer, car le cand</w:t>
      </w:r>
      <w:r w:rsidRPr="00253D98">
        <w:t>i</w:t>
      </w:r>
      <w:r w:rsidRPr="00253D98">
        <w:t>dat Clinton avait lui- même déclaré son soutien et risquait de rempo</w:t>
      </w:r>
      <w:r w:rsidRPr="00253D98">
        <w:t>r</w:t>
      </w:r>
      <w:r w:rsidRPr="00253D98">
        <w:t>ter toutes les voix de la communauté cubaine - augmentant significat</w:t>
      </w:r>
      <w:r w:rsidRPr="00253D98">
        <w:t>i</w:t>
      </w:r>
      <w:r w:rsidRPr="00253D98">
        <w:t>vement ses chances de s’assurer les 33 grands électeurs de l’État</w:t>
      </w:r>
      <w:r>
        <w:t> </w:t>
      </w:r>
      <w:r>
        <w:rPr>
          <w:rStyle w:val="Appelnotedebasdep"/>
        </w:rPr>
        <w:footnoteReference w:id="640"/>
      </w:r>
      <w:r w:rsidRPr="00253D98">
        <w:t>.</w:t>
      </w:r>
    </w:p>
    <w:p w14:paraId="2A0B5A02" w14:textId="77777777" w:rsidR="0039793A" w:rsidRPr="00253D98" w:rsidRDefault="0039793A" w:rsidP="0039793A">
      <w:pPr>
        <w:spacing w:before="120" w:after="120"/>
        <w:jc w:val="both"/>
      </w:pPr>
      <w:r w:rsidRPr="00253D98">
        <w:t>En 1996, le président Clinton, candidat à sa propre succession, s’oppose à la proposition de loi Helms-Burton et semble tenté par une politique d’ouverture vis-à-vis de Castro ; mais pour gagner la Flor</w:t>
      </w:r>
      <w:r w:rsidRPr="00253D98">
        <w:t>i</w:t>
      </w:r>
      <w:r w:rsidRPr="00253D98">
        <w:t>de, il finit par reprendre le projet à son compte, et la proposition Helms-Burton est devenue loi.</w:t>
      </w:r>
    </w:p>
    <w:p w14:paraId="1088BDAB" w14:textId="77777777" w:rsidR="0039793A" w:rsidRPr="00253D98" w:rsidRDefault="0039793A" w:rsidP="0039793A">
      <w:pPr>
        <w:spacing w:before="120" w:after="120"/>
        <w:jc w:val="both"/>
      </w:pPr>
      <w:r w:rsidRPr="00253D98">
        <w:t>Enfin en 2000, le candidat Al Gore soutient la communauté cuba</w:t>
      </w:r>
      <w:r w:rsidRPr="00253D98">
        <w:t>i</w:t>
      </w:r>
      <w:r w:rsidRPr="00253D98">
        <w:t>ne-américaine dans l’épreuve de force autour du petit réfugié Elian Gonzalez, contre sa propre Administration mais aussi contre les vœux d’une large majorité d’Américains qui souhaitait voir l’enfant retou</w:t>
      </w:r>
      <w:r w:rsidRPr="00253D98">
        <w:t>r</w:t>
      </w:r>
      <w:r w:rsidRPr="00253D98">
        <w:t>ner chez son père à Cuba, et non rester en Floride. Il a été critiqué par la plupart des analystes, mais son calcul était simple : en novembre, le grand public aurait oublié cet épisode, mais pas les électeurs cubains-américains les plus</w:t>
      </w:r>
      <w:r>
        <w:t xml:space="preserve"> [332] </w:t>
      </w:r>
      <w:r w:rsidRPr="00253D98">
        <w:t>mobilisés. Les péripéties de l’élection de novembre 2000 en Flor</w:t>
      </w:r>
      <w:r w:rsidRPr="00253D98">
        <w:t>i</w:t>
      </w:r>
      <w:r w:rsidRPr="00253D98">
        <w:t xml:space="preserve">de ont montré qu’il avait raison de courtiser tous les électeurs de cet </w:t>
      </w:r>
      <w:r>
        <w:t>État</w:t>
      </w:r>
      <w:r w:rsidRPr="00253D98">
        <w:t>, même si, finalement, les Cubains-Américains ont davantage retenu le renvoi du petit Elian par un prés</w:t>
      </w:r>
      <w:r w:rsidRPr="00253D98">
        <w:t>i</w:t>
      </w:r>
      <w:r w:rsidRPr="00253D98">
        <w:t>dent démocrate que la pos</w:t>
      </w:r>
      <w:r w:rsidRPr="00253D98">
        <w:t>i</w:t>
      </w:r>
      <w:r w:rsidRPr="00253D98">
        <w:t>tion du candidat Gore, et ont moins soutenu le candidat démocrate qu’espéré.</w:t>
      </w:r>
    </w:p>
    <w:p w14:paraId="68E112C6" w14:textId="77777777" w:rsidR="0039793A" w:rsidRPr="00253D98" w:rsidRDefault="0039793A" w:rsidP="0039793A">
      <w:pPr>
        <w:spacing w:before="120" w:after="120"/>
        <w:jc w:val="both"/>
      </w:pPr>
      <w:r w:rsidRPr="00253D98">
        <w:t>On a vu aussi que la volonté de reconquérir le vote des catholiques « </w:t>
      </w:r>
      <w:r w:rsidRPr="00DB4DB9">
        <w:rPr>
          <w:i/>
          <w:iCs/>
        </w:rPr>
        <w:t>Reagan Democrats</w:t>
      </w:r>
      <w:r w:rsidRPr="00253D98">
        <w:t> » (c’est-à-dire la majorité de catholiques qui avaient voté pour Reagan et Bush en 1980, 1984 et 1988) a grand</w:t>
      </w:r>
      <w:r w:rsidRPr="00253D98">
        <w:t>e</w:t>
      </w:r>
      <w:r w:rsidRPr="00253D98">
        <w:t>ment déterminé l’engagement de Bill Clinton en 1992 de s’impliquer dans le processus de paix en Irlande du Nord, promesse qui a d’ailleurs été suivie d’effets. Il est vrai que les démocrates s’appuient largement sur un électorat « ethnique » : en 1996, Bill Clinton a été élu par 84</w:t>
      </w:r>
      <w:r>
        <w:t>%</w:t>
      </w:r>
      <w:r w:rsidRPr="00253D98">
        <w:t xml:space="preserve"> des Africains-Américains, 72</w:t>
      </w:r>
      <w:r>
        <w:t>%</w:t>
      </w:r>
      <w:r w:rsidRPr="00253D98">
        <w:t xml:space="preserve"> des Hispaniques, 78</w:t>
      </w:r>
      <w:r>
        <w:t>%</w:t>
      </w:r>
      <w:r w:rsidRPr="00253D98">
        <w:t xml:space="preserve"> des Juifs, et, cette fois, une majorité de catholiques</w:t>
      </w:r>
      <w:r>
        <w:t> </w:t>
      </w:r>
      <w:r>
        <w:rPr>
          <w:rStyle w:val="Appelnotedebasdep"/>
        </w:rPr>
        <w:footnoteReference w:id="641"/>
      </w:r>
      <w:r>
        <w:t>.</w:t>
      </w:r>
      <w:r w:rsidRPr="00253D98">
        <w:t xml:space="preserve"> Symétriqu</w:t>
      </w:r>
      <w:r w:rsidRPr="00253D98">
        <w:t>e</w:t>
      </w:r>
      <w:r w:rsidRPr="00253D98">
        <w:t>ment, si l’élection de 2000 devait se rejouer en 2004, toutes choses égales par ailleurs, George W. Bush perdrait mécaniquement, par le simple effet de l’augmentation de la population hispanique qui vote major</w:t>
      </w:r>
      <w:r w:rsidRPr="00253D98">
        <w:t>i</w:t>
      </w:r>
      <w:r w:rsidRPr="00253D98">
        <w:t>tairement démocrate</w:t>
      </w:r>
      <w:r>
        <w:t> </w:t>
      </w:r>
      <w:r>
        <w:rPr>
          <w:rStyle w:val="Appelnotedebasdep"/>
        </w:rPr>
        <w:footnoteReference w:id="642"/>
      </w:r>
      <w:r w:rsidRPr="00253D98">
        <w:t>.</w:t>
      </w:r>
    </w:p>
    <w:p w14:paraId="1D9A24FA" w14:textId="77777777" w:rsidR="0039793A" w:rsidRDefault="0039793A" w:rsidP="0039793A">
      <w:pPr>
        <w:spacing w:before="120" w:after="120"/>
        <w:jc w:val="both"/>
      </w:pPr>
    </w:p>
    <w:p w14:paraId="3D8945A4" w14:textId="77777777" w:rsidR="0039793A" w:rsidRPr="00253D98" w:rsidRDefault="0039793A" w:rsidP="0039793A">
      <w:pPr>
        <w:pStyle w:val="a"/>
      </w:pPr>
      <w:r w:rsidRPr="00253D98">
        <w:t>L’influence par l’argent</w:t>
      </w:r>
    </w:p>
    <w:p w14:paraId="56416E9B" w14:textId="77777777" w:rsidR="0039793A" w:rsidRDefault="0039793A" w:rsidP="0039793A">
      <w:pPr>
        <w:spacing w:before="120" w:after="120"/>
        <w:jc w:val="both"/>
      </w:pPr>
    </w:p>
    <w:p w14:paraId="273D1BD5" w14:textId="77777777" w:rsidR="0039793A" w:rsidRPr="00253D98" w:rsidRDefault="0039793A" w:rsidP="0039793A">
      <w:pPr>
        <w:spacing w:before="120" w:after="120"/>
        <w:jc w:val="both"/>
      </w:pPr>
      <w:r w:rsidRPr="00253D98">
        <w:t>Le second instrument aux mains des intérêts particuliers pour peser sur l’intérêt national est l’argent lié aux dépenses électorales.</w:t>
      </w:r>
    </w:p>
    <w:p w14:paraId="6E6186F4" w14:textId="77777777" w:rsidR="0039793A" w:rsidRPr="00253D98" w:rsidRDefault="0039793A" w:rsidP="0039793A">
      <w:pPr>
        <w:spacing w:before="120" w:after="120"/>
        <w:jc w:val="both"/>
      </w:pPr>
      <w:r w:rsidRPr="00253D98">
        <w:t xml:space="preserve">Le coût d’une campagne est aujourd’hui exorbitant, la concurrence imposant la mise en œuvre de méthodes de communication modernes (recours à des professionnels, publicitaires, consultants). En effet, s’agissant des élections présidentielles, les dépenses totales cumulées atteignent en 1996 un à trois milliards de dollars (selon que l’on prend ou non en compte le </w:t>
      </w:r>
      <w:r w:rsidRPr="00DB4DB9">
        <w:rPr>
          <w:i/>
          <w:iCs/>
        </w:rPr>
        <w:t>soft money</w:t>
      </w:r>
      <w:r w:rsidRPr="00253D98">
        <w:t>). De la même façon, un candidat au siège de représentant devra trouver 670 000 dollars en moyenne tandis qu’un candidat au poste de sénateur a dépensé en 1998 en moyenne 4,8 millions de dollars et jusqu’à plusieurs dizaines de millions</w:t>
      </w:r>
      <w:r>
        <w:t xml:space="preserve"> [333] </w:t>
      </w:r>
      <w:r w:rsidRPr="00253D98">
        <w:t>dans certains cas en 2000. Le poids financier des campagnes élector</w:t>
      </w:r>
      <w:r w:rsidRPr="00253D98">
        <w:t>a</w:t>
      </w:r>
      <w:r w:rsidRPr="00253D98">
        <w:t>les place les élus sous l’influence de leurs bailleurs de fonds, c’est-à-dire, bien souvent, des entreprises. Il faut distinguer, dans une législ</w:t>
      </w:r>
      <w:r w:rsidRPr="00253D98">
        <w:t>a</w:t>
      </w:r>
      <w:r w:rsidRPr="00253D98">
        <w:t>tion compliquée, les donations qui font l’objet d’une obligation de déclaration, et qui sont plafonnées, des donations illimitées et en pa</w:t>
      </w:r>
      <w:r w:rsidRPr="00253D98">
        <w:t>r</w:t>
      </w:r>
      <w:r w:rsidRPr="00253D98">
        <w:t>tie invisibles (</w:t>
      </w:r>
      <w:r w:rsidRPr="00064510">
        <w:rPr>
          <w:i/>
          <w:iCs/>
        </w:rPr>
        <w:t>soft money</w:t>
      </w:r>
      <w:r w:rsidRPr="00253D98">
        <w:t>)</w:t>
      </w:r>
      <w:r>
        <w:t> </w:t>
      </w:r>
      <w:r>
        <w:rPr>
          <w:rStyle w:val="Appelnotedebasdep"/>
        </w:rPr>
        <w:footnoteReference w:id="643"/>
      </w:r>
      <w:r w:rsidRPr="00253D98">
        <w:t xml:space="preserve">. Ces dernières donations illimitées, qui sont le véritable instrument d’achat d’influence, ont fait l’objet d’une tentative de régulation avec l’adoption de la loi portant réforme du financement électoral (le </w:t>
      </w:r>
      <w:r w:rsidRPr="00064510">
        <w:rPr>
          <w:i/>
          <w:iCs/>
        </w:rPr>
        <w:t>Bipartisan Campaign Reform Act</w:t>
      </w:r>
      <w:r w:rsidRPr="00253D98">
        <w:t xml:space="preserve"> dit </w:t>
      </w:r>
      <w:r w:rsidRPr="00064510">
        <w:rPr>
          <w:i/>
          <w:iCs/>
        </w:rPr>
        <w:t>McCain-Feingold-Shays-Meehan Act</w:t>
      </w:r>
      <w:r w:rsidRPr="00253D98">
        <w:t xml:space="preserve">) en mars 2002. Il est trop tôt pour dresser un bilan de cette loi, mais les experts s’accordent sur le fait que si les excès les plus criants du </w:t>
      </w:r>
      <w:r w:rsidRPr="00064510">
        <w:rPr>
          <w:i/>
          <w:iCs/>
        </w:rPr>
        <w:t>soft money</w:t>
      </w:r>
      <w:r w:rsidRPr="00253D98">
        <w:t xml:space="preserve"> ont disparu, l’argent de l’influence trouve toujours la voie des législateurs en dehors du cadre et des limitations prévus par la loi, à travers de nombreux contournements juridiques</w:t>
      </w:r>
      <w:r>
        <w:t> </w:t>
      </w:r>
      <w:r>
        <w:rPr>
          <w:rStyle w:val="Appelnotedebasdep"/>
        </w:rPr>
        <w:footnoteReference w:id="644"/>
      </w:r>
      <w:r w:rsidRPr="00253D98">
        <w:t xml:space="preserve">. Ainsi, ces donations illimitées de </w:t>
      </w:r>
      <w:r w:rsidRPr="00064510">
        <w:rPr>
          <w:i/>
          <w:iCs/>
        </w:rPr>
        <w:t>soft money</w:t>
      </w:r>
      <w:r w:rsidRPr="00253D98">
        <w:t xml:space="preserve"> semblent continuer à constituer une part essentielle des contr</w:t>
      </w:r>
      <w:r w:rsidRPr="00253D98">
        <w:t>i</w:t>
      </w:r>
      <w:r w:rsidRPr="00253D98">
        <w:t>butions de campagne et le véritable instrument d’achat d’influence, et il reste difficile de savoir précisément qui donne, qui reçoit, et co</w:t>
      </w:r>
      <w:r w:rsidRPr="00253D98">
        <w:t>m</w:t>
      </w:r>
      <w:r w:rsidRPr="00253D98">
        <w:t>bien. Parmi les acteurs du financement des campagnes, les PACs (P</w:t>
      </w:r>
      <w:r w:rsidRPr="00253D98">
        <w:t>o</w:t>
      </w:r>
      <w:r w:rsidRPr="00253D98">
        <w:t>litical Action Committees) ont pris de plus en plus d’importance : il s’agit de groupements d’intérêts sur une base professionnelle, idéol</w:t>
      </w:r>
      <w:r w:rsidRPr="00253D98">
        <w:t>o</w:t>
      </w:r>
      <w:r w:rsidRPr="00253D98">
        <w:t>gique, ethnique ou autre, et qui peuvent financer les campagnes sous certaines limites, que beaucoup parviennent d’ailleurs à contourner ; toutes les grandes organisations professionnelles, politiques ou ethn</w:t>
      </w:r>
      <w:r w:rsidRPr="00253D98">
        <w:t>i</w:t>
      </w:r>
      <w:r w:rsidRPr="00253D98">
        <w:t>ques ont formé un ou plusieurs PACs. L’argent est bel et bien une donnée décisive dans les élections. Le Center for Responsive Politics estime d’ailleurs que le candidat au Congrès qui dépense le plus</w:t>
      </w:r>
      <w:r>
        <w:t xml:space="preserve"> [334] </w:t>
      </w:r>
      <w:r w:rsidRPr="00253D98">
        <w:t>gagne dans 94 à 95</w:t>
      </w:r>
      <w:r>
        <w:t>%</w:t>
      </w:r>
      <w:r w:rsidRPr="00253D98">
        <w:t xml:space="preserve"> des cas</w:t>
      </w:r>
      <w:r>
        <w:t> </w:t>
      </w:r>
      <w:r>
        <w:rPr>
          <w:rStyle w:val="Appelnotedebasdep"/>
        </w:rPr>
        <w:footnoteReference w:id="645"/>
      </w:r>
      <w:r w:rsidRPr="00253D98">
        <w:t>. Il faut ajouter cependant que, fav</w:t>
      </w:r>
      <w:r w:rsidRPr="00253D98">
        <w:t>o</w:t>
      </w:r>
      <w:r w:rsidRPr="00253D98">
        <w:t>ris et déjà en place (la donation ira plus logiquement vers celui qui est en place, tant en raison du pouvoir qu’il détient que de la vraise</w:t>
      </w:r>
      <w:r w:rsidRPr="00253D98">
        <w:t>m</w:t>
      </w:r>
      <w:r w:rsidRPr="00253D98">
        <w:t>blance de sa réélection), les sortants disposent de sommes supérieures et sont donc très souvent réélus.</w:t>
      </w:r>
    </w:p>
    <w:p w14:paraId="2E8330E8" w14:textId="77777777" w:rsidR="0039793A" w:rsidRPr="00253D98" w:rsidRDefault="0039793A" w:rsidP="0039793A">
      <w:pPr>
        <w:spacing w:before="120" w:after="120"/>
        <w:jc w:val="both"/>
      </w:pPr>
      <w:r w:rsidRPr="00253D98">
        <w:t>C’est dans le monde des entreprises que les sommes en jeu sont les plus considérables et fort logiquement, c’est dans les dossiers co</w:t>
      </w:r>
      <w:r w:rsidRPr="00253D98">
        <w:t>m</w:t>
      </w:r>
      <w:r w:rsidRPr="00253D98">
        <w:t>merciaux qu’on observe le mieux cette méthode d’influence. Il arrive aussi que ces dossiers commerciaux aient des implications stratég</w:t>
      </w:r>
      <w:r w:rsidRPr="00253D98">
        <w:t>i</w:t>
      </w:r>
      <w:r w:rsidRPr="00253D98">
        <w:t>ques : c’est le cas pour l’affaire des satellites américains mis en orbite par des fusées chinoises</w:t>
      </w:r>
      <w:r>
        <w:t> </w:t>
      </w:r>
      <w:r>
        <w:rPr>
          <w:rStyle w:val="Appelnotedebasdep"/>
        </w:rPr>
        <w:footnoteReference w:id="646"/>
      </w:r>
      <w:r w:rsidRPr="00253D98">
        <w:t>. Le problème vient de ce que la technol</w:t>
      </w:r>
      <w:r w:rsidRPr="00253D98">
        <w:t>o</w:t>
      </w:r>
      <w:r w:rsidRPr="00253D98">
        <w:t>gie spatiale, en particulier celle des lanceurs, est une technologie du</w:t>
      </w:r>
      <w:r w:rsidRPr="00253D98">
        <w:t>a</w:t>
      </w:r>
      <w:r w:rsidRPr="00253D98">
        <w:t>le, civile et militaire : d’où les restrictions américaines sur les écha</w:t>
      </w:r>
      <w:r w:rsidRPr="00253D98">
        <w:t>n</w:t>
      </w:r>
      <w:r w:rsidRPr="00253D98">
        <w:t>ges pour des raisons de sécurité nationale. Mais deux firmes, Loral et Hughes Electronics, ne l’entendent pas de cette oreille, et e</w:t>
      </w:r>
      <w:r w:rsidRPr="00253D98">
        <w:t>s</w:t>
      </w:r>
      <w:r w:rsidRPr="00253D98">
        <w:t>saient, au cours des années 1990, d’influencer l’Exécutif - républicain puis d</w:t>
      </w:r>
      <w:r w:rsidRPr="00253D98">
        <w:t>é</w:t>
      </w:r>
      <w:r w:rsidRPr="00253D98">
        <w:t>mocrate — pour que la surveillance des échanges passe du Départ</w:t>
      </w:r>
      <w:r w:rsidRPr="00253D98">
        <w:t>e</w:t>
      </w:r>
      <w:r w:rsidRPr="00253D98">
        <w:t>ment d’</w:t>
      </w:r>
      <w:r>
        <w:t>État</w:t>
      </w:r>
      <w:r w:rsidRPr="00253D98">
        <w:t xml:space="preserve"> au département du Commerce. En effet, ce dernier, bea</w:t>
      </w:r>
      <w:r w:rsidRPr="00253D98">
        <w:t>u</w:t>
      </w:r>
      <w:r w:rsidRPr="00253D98">
        <w:t xml:space="preserve">coup moins soucieux des questions de sécurité militaire, pourrait d’une part assouplir par exemple la contrainte qui consistait à imposer la présence d’un expert du Pentagone à chaque discussion technique avec les Chinois et d’autre part autoriser le lancement de satellites par les fusées chinoises « Longue Marche ». Or, pour le président Clinton, il est difficile de refuser ces assouplissements à des gens comme C. Michael Armstrong, P-DG de Hughes, ou Bernard Schwartz, P-DG de Loral. Schwartz est en effet le plus gros donateur de </w:t>
      </w:r>
      <w:r w:rsidRPr="00F7215A">
        <w:rPr>
          <w:i/>
          <w:iCs/>
        </w:rPr>
        <w:t>soft money</w:t>
      </w:r>
      <w:r w:rsidRPr="00253D98">
        <w:t xml:space="preserve"> du parti démocrate</w:t>
      </w:r>
      <w:r>
        <w:t> </w:t>
      </w:r>
      <w:r>
        <w:rPr>
          <w:rStyle w:val="Appelnotedebasdep"/>
        </w:rPr>
        <w:footnoteReference w:id="647"/>
      </w:r>
      <w:r w:rsidRPr="00253D98">
        <w:t>. Aussi, à la suite d’une première décision de Geo</w:t>
      </w:r>
      <w:r w:rsidRPr="00253D98">
        <w:t>r</w:t>
      </w:r>
      <w:r w:rsidRPr="00253D98">
        <w:t>ge H. Bush en 1992, confirmée par Bill Clinton en mars 1996, la su</w:t>
      </w:r>
      <w:r w:rsidRPr="00253D98">
        <w:t>r</w:t>
      </w:r>
      <w:r w:rsidRPr="00253D98">
        <w:t>vei</w:t>
      </w:r>
      <w:r w:rsidRPr="00253D98">
        <w:t>l</w:t>
      </w:r>
      <w:r w:rsidRPr="00253D98">
        <w:t>lance des exportations aérospatiales est confiée au département du Commerce. C’est là l’origine du scandale appelé Chinagate, largement exploité par les républicains pour un gain</w:t>
      </w:r>
      <w:r>
        <w:t xml:space="preserve"> [335] </w:t>
      </w:r>
      <w:r w:rsidRPr="00253D98">
        <w:t>politique, notamment au moment du rapport signé par le représe</w:t>
      </w:r>
      <w:r w:rsidRPr="00253D98">
        <w:t>n</w:t>
      </w:r>
      <w:r w:rsidRPr="00253D98">
        <w:t>tant Christopher Cox sur l’espionnage chinois aux États-Unis, rév</w:t>
      </w:r>
      <w:r w:rsidRPr="00253D98">
        <w:t>é</w:t>
      </w:r>
      <w:r w:rsidRPr="00253D98">
        <w:t>lant de manière alarmiste l’ampleur du phénomène. Aussi en 1999, le Congrès finit-il par imp</w:t>
      </w:r>
      <w:r w:rsidRPr="00253D98">
        <w:t>o</w:t>
      </w:r>
      <w:r w:rsidRPr="00253D98">
        <w:t>ser le retour au département d’</w:t>
      </w:r>
      <w:r>
        <w:t>État</w:t>
      </w:r>
      <w:r w:rsidRPr="00253D98">
        <w:t xml:space="preserve"> de la su</w:t>
      </w:r>
      <w:r w:rsidRPr="00253D98">
        <w:t>r</w:t>
      </w:r>
      <w:r w:rsidRPr="00253D98">
        <w:t>veillance des exportations aérospatiales ; derrière cette rivalité b</w:t>
      </w:r>
      <w:r w:rsidRPr="00253D98">
        <w:t>u</w:t>
      </w:r>
      <w:r w:rsidRPr="00253D98">
        <w:t>reaucratique aux couleurs de sécurité nationale se cache également un affrontement Exécutif-Législatif, puisque la surveillance par le Dépa</w:t>
      </w:r>
      <w:r w:rsidRPr="00253D98">
        <w:t>r</w:t>
      </w:r>
      <w:r w:rsidRPr="00253D98">
        <w:t>tement d’État comporte une notification régulière au Congrès, ce qui n’est pas le cas de la su</w:t>
      </w:r>
      <w:r w:rsidRPr="00253D98">
        <w:t>r</w:t>
      </w:r>
      <w:r w:rsidRPr="00253D98">
        <w:t>veillance par le département au Comme</w:t>
      </w:r>
      <w:r w:rsidRPr="00253D98">
        <w:t>r</w:t>
      </w:r>
      <w:r w:rsidRPr="00253D98">
        <w:t>ce</w:t>
      </w:r>
      <w:r>
        <w:t> </w:t>
      </w:r>
      <w:r>
        <w:rPr>
          <w:rStyle w:val="Appelnotedebasdep"/>
        </w:rPr>
        <w:footnoteReference w:id="648"/>
      </w:r>
      <w:r w:rsidRPr="00253D98">
        <w:t>.</w:t>
      </w:r>
    </w:p>
    <w:p w14:paraId="79F80E44" w14:textId="77777777" w:rsidR="0039793A" w:rsidRDefault="0039793A" w:rsidP="0039793A">
      <w:pPr>
        <w:spacing w:before="120" w:after="120"/>
        <w:jc w:val="both"/>
      </w:pPr>
    </w:p>
    <w:p w14:paraId="3C484CAD" w14:textId="77777777" w:rsidR="0039793A" w:rsidRPr="00253D98" w:rsidRDefault="0039793A" w:rsidP="0039793A">
      <w:pPr>
        <w:pStyle w:val="a"/>
      </w:pPr>
      <w:r w:rsidRPr="00253D98">
        <w:t>L’influence par le lobbying contractualisé</w:t>
      </w:r>
    </w:p>
    <w:p w14:paraId="3CB259FF" w14:textId="77777777" w:rsidR="0039793A" w:rsidRDefault="0039793A" w:rsidP="0039793A">
      <w:pPr>
        <w:spacing w:before="120" w:after="120"/>
        <w:jc w:val="both"/>
      </w:pPr>
    </w:p>
    <w:p w14:paraId="21335A9D" w14:textId="77777777" w:rsidR="0039793A" w:rsidRPr="00253D98" w:rsidRDefault="0039793A" w:rsidP="0039793A">
      <w:pPr>
        <w:spacing w:before="120" w:after="120"/>
        <w:jc w:val="both"/>
      </w:pPr>
      <w:r w:rsidRPr="00253D98">
        <w:t>Le troisième instrument d’influence dont disposent les intérêts pa</w:t>
      </w:r>
      <w:r w:rsidRPr="00253D98">
        <w:t>r</w:t>
      </w:r>
      <w:r w:rsidRPr="00253D98">
        <w:t xml:space="preserve">ticuliers pour défendre leur cause est le lobbying contractualisé. En effet le lobbying, qui tend dans le langage courant à désigner toute forme d’influence et de pression, correspond à une réalité bien précise et juridiquement encadrée aux États-Unis : le </w:t>
      </w:r>
      <w:r w:rsidRPr="00FF3FD1">
        <w:rPr>
          <w:i/>
          <w:iCs/>
        </w:rPr>
        <w:t>Fédéral Régulation of Lobbying Act</w:t>
      </w:r>
      <w:r w:rsidRPr="00253D98">
        <w:t xml:space="preserve"> de 1946 et le </w:t>
      </w:r>
      <w:r w:rsidRPr="00FF3FD1">
        <w:rPr>
          <w:i/>
          <w:iCs/>
        </w:rPr>
        <w:t>Lobbying Disclosure Act</w:t>
      </w:r>
      <w:r w:rsidRPr="00253D98">
        <w:t xml:space="preserve"> de 1995 sont des piliers de ce cadre juridique. Ils n’ont pas pour but de restreindre l’activité des lobbyistes, mais, en les forçant à se déclarer au grand jour (d’où le nom de </w:t>
      </w:r>
      <w:r w:rsidRPr="00FF3FD1">
        <w:rPr>
          <w:i/>
          <w:iCs/>
        </w:rPr>
        <w:t>sunshine la</w:t>
      </w:r>
      <w:r>
        <w:rPr>
          <w:i/>
          <w:iCs/>
        </w:rPr>
        <w:t>w</w:t>
      </w:r>
      <w:r w:rsidRPr="00FF3FD1">
        <w:rPr>
          <w:i/>
          <w:iCs/>
        </w:rPr>
        <w:t>s</w:t>
      </w:r>
      <w:r w:rsidRPr="00253D98">
        <w:t>), de moraliser leurs pratiques et d’éviter la corruption pure et simple. À cet égard, l’efficacité de la loi de 1946 était pratiquement nulle, tandis que celle de 1995 a fait que</w:t>
      </w:r>
      <w:r w:rsidRPr="00253D98">
        <w:t>l</w:t>
      </w:r>
      <w:r w:rsidRPr="00253D98">
        <w:t>que peu progresser les choses dans le sens d’une plus grande codific</w:t>
      </w:r>
      <w:r w:rsidRPr="00253D98">
        <w:t>a</w:t>
      </w:r>
      <w:r w:rsidRPr="00253D98">
        <w:t>tion des rapports autorisés (ou interdits) entre les lobbyistes et les d</w:t>
      </w:r>
      <w:r w:rsidRPr="00253D98">
        <w:t>é</w:t>
      </w:r>
      <w:r w:rsidRPr="00253D98">
        <w:t>cideurs. Néanmoins, bien des aspects du lobbying professionnel re</w:t>
      </w:r>
      <w:r w:rsidRPr="00253D98">
        <w:t>s</w:t>
      </w:r>
      <w:r w:rsidRPr="00253D98">
        <w:t>tent obscurs. À mi-chemin entre le cabinet d’avocats, la firme de rel</w:t>
      </w:r>
      <w:r w:rsidRPr="00253D98">
        <w:t>a</w:t>
      </w:r>
      <w:r w:rsidRPr="00253D98">
        <w:t xml:space="preserve">tions publiques et le travail d’attaché parlementaire, les lobbyistes de Washington — on en compterait plus de 30000 - mettent leurs réseaux de relations politiques au service de leurs clients. C’est la raison pour laquelle on compte autant d’anciens responsables de l’Exécutif ou d’anciens élus (forts de leur </w:t>
      </w:r>
      <w:r w:rsidRPr="00FF3FD1">
        <w:rPr>
          <w:i/>
          <w:iCs/>
        </w:rPr>
        <w:t>floor privil</w:t>
      </w:r>
      <w:r>
        <w:rPr>
          <w:i/>
          <w:iCs/>
        </w:rPr>
        <w:t>e</w:t>
      </w:r>
      <w:r w:rsidRPr="00FF3FD1">
        <w:rPr>
          <w:i/>
          <w:iCs/>
        </w:rPr>
        <w:t>ges</w:t>
      </w:r>
      <w:r w:rsidRPr="00253D98">
        <w:t>) parmi eux : l’enjeu pri</w:t>
      </w:r>
      <w:r w:rsidRPr="00253D98">
        <w:t>n</w:t>
      </w:r>
      <w:r w:rsidRPr="00253D98">
        <w:t>cipal est d’ouvrir des portes, et les contacts personnels sont pour cela plus précieux. C’est aussi la raison pour laquelle les lobbyistes profe</w:t>
      </w:r>
      <w:r w:rsidRPr="00253D98">
        <w:t>s</w:t>
      </w:r>
      <w:r w:rsidRPr="00253D98">
        <w:t xml:space="preserve">sionnels sont soit démocrates, soit républicains, même si les plus grands cabinets proposent des services bipartisans. Le magazine </w:t>
      </w:r>
      <w:r w:rsidRPr="00FF3FD1">
        <w:rPr>
          <w:i/>
          <w:iCs/>
        </w:rPr>
        <w:t>Fo</w:t>
      </w:r>
      <w:r w:rsidRPr="00FF3FD1">
        <w:rPr>
          <w:i/>
          <w:iCs/>
        </w:rPr>
        <w:t>r</w:t>
      </w:r>
      <w:r w:rsidRPr="00FF3FD1">
        <w:rPr>
          <w:i/>
          <w:iCs/>
        </w:rPr>
        <w:t xml:space="preserve">tune </w:t>
      </w:r>
      <w:r w:rsidRPr="00253D98">
        <w:t>propose</w:t>
      </w:r>
      <w:r>
        <w:t xml:space="preserve"> [336] </w:t>
      </w:r>
      <w:r w:rsidRPr="00253D98">
        <w:t>un palmarès des cabinets les plus efficaces</w:t>
      </w:r>
      <w:r>
        <w:t> </w:t>
      </w:r>
      <w:r>
        <w:rPr>
          <w:rStyle w:val="Appelnotedebasdep"/>
        </w:rPr>
        <w:footnoteReference w:id="649"/>
      </w:r>
      <w:r w:rsidRPr="00253D98">
        <w:t>. Ainsi fin 1998, le c</w:t>
      </w:r>
      <w:r w:rsidRPr="00253D98">
        <w:t>a</w:t>
      </w:r>
      <w:r w:rsidRPr="00253D98">
        <w:t>binet Verner Liipfert, où les anciens sénateurs George Mitchell et Bob Dole travaillent, et qui fait par exemple du lobbying pour Taiwan, a</w:t>
      </w:r>
      <w:r w:rsidRPr="00253D98">
        <w:t>r</w:t>
      </w:r>
      <w:r w:rsidRPr="00253D98">
        <w:t>rive en tête, tandis que Akin Gump, où l’on trouve Robert Strauss, ancien patron du parti démocrate, et Vernon Jordan, ancien conseiller de Bill Clinton, est classé troisième. Il existe également des professionnels du lobbying à l’intérieur des grandes entreprises et organisations (</w:t>
      </w:r>
      <w:r w:rsidRPr="00FF3FD1">
        <w:rPr>
          <w:i/>
          <w:iCs/>
        </w:rPr>
        <w:t>in-house lobbying</w:t>
      </w:r>
      <w:r w:rsidRPr="00253D98">
        <w:t>), que viennent renfo</w:t>
      </w:r>
      <w:r w:rsidRPr="00253D98">
        <w:t>r</w:t>
      </w:r>
      <w:r w:rsidRPr="00253D98">
        <w:t>cer d’autres acteurs e</w:t>
      </w:r>
      <w:r w:rsidRPr="00253D98">
        <w:t>s</w:t>
      </w:r>
      <w:r w:rsidRPr="00253D98">
        <w:t xml:space="preserve">sentiels de l’influence politique : les « transfuges » de l’Administration, selon le principe de la </w:t>
      </w:r>
      <w:r w:rsidRPr="00FF3FD1">
        <w:rPr>
          <w:i/>
          <w:iCs/>
        </w:rPr>
        <w:t>revolving door</w:t>
      </w:r>
      <w:r w:rsidRPr="00253D98">
        <w:t>, sorte de tou</w:t>
      </w:r>
      <w:r w:rsidRPr="00253D98">
        <w:t>r</w:t>
      </w:r>
      <w:r w:rsidRPr="00253D98">
        <w:t>niquet entre le monde des affaires et l’Administration</w:t>
      </w:r>
      <w:r>
        <w:t> </w:t>
      </w:r>
      <w:r>
        <w:rPr>
          <w:rStyle w:val="Appelnotedebasdep"/>
        </w:rPr>
        <w:footnoteReference w:id="650"/>
      </w:r>
      <w:r w:rsidRPr="00253D98">
        <w:t>. Les perso</w:t>
      </w:r>
      <w:r w:rsidRPr="00253D98">
        <w:t>n</w:t>
      </w:r>
      <w:r w:rsidRPr="00253D98">
        <w:t>nalités politiques confèrent en effet à ces grandes entreprises un po</w:t>
      </w:r>
      <w:r w:rsidRPr="00253D98">
        <w:t>u</w:t>
      </w:r>
      <w:r w:rsidRPr="00253D98">
        <w:t>voir d’influence, ou du moins d’écoute de la part des décideurs, signific</w:t>
      </w:r>
      <w:r w:rsidRPr="00253D98">
        <w:t>a</w:t>
      </w:r>
      <w:r w:rsidRPr="00253D98">
        <w:t>tif.</w:t>
      </w:r>
    </w:p>
    <w:p w14:paraId="4A27FDBE" w14:textId="77777777" w:rsidR="0039793A" w:rsidRDefault="0039793A" w:rsidP="0039793A">
      <w:pPr>
        <w:spacing w:before="120" w:after="120"/>
        <w:jc w:val="both"/>
      </w:pPr>
    </w:p>
    <w:p w14:paraId="7B3E5183" w14:textId="77777777" w:rsidR="0039793A" w:rsidRPr="00253D98" w:rsidRDefault="0039793A" w:rsidP="0039793A">
      <w:pPr>
        <w:pStyle w:val="a"/>
      </w:pPr>
      <w:r w:rsidRPr="00253D98">
        <w:t>La nécessaire cohérence organisationnelle</w:t>
      </w:r>
    </w:p>
    <w:p w14:paraId="20CA1996" w14:textId="77777777" w:rsidR="0039793A" w:rsidRDefault="0039793A" w:rsidP="0039793A">
      <w:pPr>
        <w:spacing w:before="120" w:after="120"/>
        <w:jc w:val="both"/>
      </w:pPr>
    </w:p>
    <w:p w14:paraId="044440E0" w14:textId="77777777" w:rsidR="0039793A" w:rsidRPr="00253D98" w:rsidRDefault="0039793A" w:rsidP="0039793A">
      <w:pPr>
        <w:spacing w:before="120" w:after="120"/>
        <w:jc w:val="both"/>
      </w:pPr>
      <w:r w:rsidRPr="00253D98">
        <w:t>Le quatrième et dernier instrument d’influence, pour les intérêts privés, est « l’organisation</w:t>
      </w:r>
      <w:r>
        <w:t> </w:t>
      </w:r>
      <w:r>
        <w:rPr>
          <w:rStyle w:val="Appelnotedebasdep"/>
        </w:rPr>
        <w:footnoteReference w:id="651"/>
      </w:r>
      <w:r w:rsidRPr="00253D98">
        <w:t> », qui désigne une certaine capacité l</w:t>
      </w:r>
      <w:r w:rsidRPr="00253D98">
        <w:t>o</w:t>
      </w:r>
      <w:r w:rsidRPr="00253D98">
        <w:t>gistique ainsi qu’une stratégie d’alliance avec d’autres forces de Wa</w:t>
      </w:r>
      <w:r w:rsidRPr="00253D98">
        <w:t>s</w:t>
      </w:r>
      <w:r w:rsidRPr="00253D98">
        <w:t>hington. En effet, quelles que soient les ressources en votes, en argent et en réseaux, si ces atouts ne sont pas articulés de manière cohérente, et si des objectifs clairs et constants ne sont pas définis, la capacité à influencer la politique étrangère en sera diminuée.</w:t>
      </w:r>
    </w:p>
    <w:p w14:paraId="49797963" w14:textId="77777777" w:rsidR="0039793A" w:rsidRDefault="0039793A" w:rsidP="0039793A">
      <w:pPr>
        <w:spacing w:before="120" w:after="120"/>
        <w:jc w:val="both"/>
      </w:pPr>
    </w:p>
    <w:p w14:paraId="5432A4A7" w14:textId="77777777" w:rsidR="0039793A" w:rsidRPr="00FF3FD1" w:rsidRDefault="0039793A" w:rsidP="0039793A">
      <w:pPr>
        <w:pStyle w:val="b"/>
      </w:pPr>
      <w:r w:rsidRPr="00FF3FD1">
        <w:t>Le critère déterminant de l’efficacité</w:t>
      </w:r>
    </w:p>
    <w:p w14:paraId="35E384C4" w14:textId="77777777" w:rsidR="0039793A" w:rsidRDefault="0039793A" w:rsidP="0039793A">
      <w:pPr>
        <w:spacing w:before="120" w:after="120"/>
        <w:jc w:val="both"/>
      </w:pPr>
    </w:p>
    <w:p w14:paraId="746934D5" w14:textId="77777777" w:rsidR="0039793A" w:rsidRPr="00253D98" w:rsidRDefault="0039793A" w:rsidP="0039793A">
      <w:pPr>
        <w:spacing w:before="120" w:after="120"/>
        <w:jc w:val="both"/>
      </w:pPr>
      <w:r w:rsidRPr="00253D98">
        <w:t xml:space="preserve">C’est sans doute là ce qui distingue le mieux les grands lobbies, et qui constitue le critère ultime de classement en termes d’efficacité. Selon </w:t>
      </w:r>
      <w:r w:rsidRPr="00AC40BA">
        <w:rPr>
          <w:i/>
        </w:rPr>
        <w:t>Fortune</w:t>
      </w:r>
      <w:r w:rsidRPr="00253D98">
        <w:t xml:space="preserve">, </w:t>
      </w:r>
      <w:r>
        <w:t>l</w:t>
      </w:r>
      <w:r w:rsidRPr="00AC40BA">
        <w:rPr>
          <w:smallCaps/>
        </w:rPr>
        <w:t>’</w:t>
      </w:r>
      <w:r w:rsidRPr="00AC40BA">
        <w:rPr>
          <w:caps/>
        </w:rPr>
        <w:t>aipac</w:t>
      </w:r>
      <w:r w:rsidRPr="00AC40BA">
        <w:rPr>
          <w:smallCaps/>
        </w:rPr>
        <w:t xml:space="preserve"> </w:t>
      </w:r>
      <w:r w:rsidRPr="00253D98">
        <w:t>arrive par exemple second en 1998, et loin en tête des lobbies ayant une voix dans la définition de l’intérêt nati</w:t>
      </w:r>
      <w:r w:rsidRPr="00253D98">
        <w:t>o</w:t>
      </w:r>
      <w:r w:rsidRPr="00253D98">
        <w:t>nal</w:t>
      </w:r>
      <w:r>
        <w:t> </w:t>
      </w:r>
      <w:r>
        <w:rPr>
          <w:rStyle w:val="Appelnotedebasdep"/>
        </w:rPr>
        <w:footnoteReference w:id="652"/>
      </w:r>
      <w:r w:rsidRPr="00253D98">
        <w:t>.</w:t>
      </w:r>
    </w:p>
    <w:p w14:paraId="031CC339" w14:textId="77777777" w:rsidR="0039793A" w:rsidRDefault="0039793A" w:rsidP="0039793A">
      <w:pPr>
        <w:spacing w:before="120" w:after="120"/>
        <w:jc w:val="both"/>
      </w:pPr>
      <w:r>
        <w:t>[337]</w:t>
      </w:r>
    </w:p>
    <w:p w14:paraId="017A0E4B" w14:textId="77777777" w:rsidR="0039793A" w:rsidRPr="00253D98" w:rsidRDefault="0039793A" w:rsidP="0039793A">
      <w:pPr>
        <w:spacing w:before="120" w:after="120"/>
        <w:jc w:val="both"/>
      </w:pPr>
      <w:r w:rsidRPr="00253D98">
        <w:t>On voit nettement l’import</w:t>
      </w:r>
      <w:r>
        <w:t>ance de l’organisation avec l’AI</w:t>
      </w:r>
      <w:r w:rsidRPr="00253D98">
        <w:t>PAC, qui peut s’appuyer sur environ 6 millions de Juifs-Américains tandis que les Arabes-Américains atteignent à présent la moitié de ce no</w:t>
      </w:r>
      <w:r w:rsidRPr="00253D98">
        <w:t>m</w:t>
      </w:r>
      <w:r w:rsidRPr="00253D98">
        <w:t>bre, sans que leur influence soit aussi nette sur les orientations de la politique étrangère américaine. En définitive, la seule carte efficace que puisse jouer l’American-Arab Institute (AAI, le principal lobby arabe-américain) est celle de l’alliance avec les lobbies pétroliers. En dépit des alternances politiques en Israël et du décalage entre Juifs-Américains plutôt libéraux et Juifs israéliens plus conservateurs et « faucons », en dépit des divisions religieuses tranchées entre orth</w:t>
      </w:r>
      <w:r w:rsidRPr="00253D98">
        <w:t>o</w:t>
      </w:r>
      <w:r>
        <w:t>doxes et libéraux, l’AI</w:t>
      </w:r>
      <w:r w:rsidRPr="00253D98">
        <w:t>PAC a su maintenir la cohésion dans ses rangs. Il dispose également de ressources d’expertise sur les grands dossiers politiques, mais aussi d’analyse et de surveillance des décisions de chaque responsable politique, ce qui appuie efficacement son influe</w:t>
      </w:r>
      <w:r w:rsidRPr="00253D98">
        <w:t>n</w:t>
      </w:r>
      <w:r w:rsidRPr="00253D98">
        <w:t>ce. Le lobby, grâce à des réseaux d’information entretenus, est en m</w:t>
      </w:r>
      <w:r w:rsidRPr="00253D98">
        <w:t>e</w:t>
      </w:r>
      <w:r w:rsidRPr="00253D98">
        <w:t>sure d’identifier rapidement les problèmes afin d’articuler au plus tôt une réponse centralisée et relayée auprès de tous les contacts dispon</w:t>
      </w:r>
      <w:r w:rsidRPr="00253D98">
        <w:t>i</w:t>
      </w:r>
      <w:r w:rsidRPr="00253D98">
        <w:t>bles. En ce sens, il est sans doute parmi les organismes qui possèdent la vision la plus synthétique et la plus complète sur ce qui se passe à Washington en matière d’affaires internationales à un moment donné, compte tenu du morcellement de la décision et de la profusion des é</w:t>
      </w:r>
      <w:r>
        <w:t>vénements </w:t>
      </w:r>
      <w:r>
        <w:rPr>
          <w:rStyle w:val="Appelnotedebasdep"/>
        </w:rPr>
        <w:footnoteReference w:id="653"/>
      </w:r>
      <w:r>
        <w:t>. Dernier atout, l’AI</w:t>
      </w:r>
      <w:r w:rsidRPr="00253D98">
        <w:t>PAC veille à sa stratégie d’alliance avec d’autres intérêts particuliers afin de mener des actions communes avec plus d’efficacité : droite chrétienne, opinion publique, lobby turc, etc. Car c’est dans ces alliances qu’on peut trouver, surtout après la guerre froide, la clé de compréhension de nombreux dossiers de pol</w:t>
      </w:r>
      <w:r w:rsidRPr="00253D98">
        <w:t>i</w:t>
      </w:r>
      <w:r w:rsidRPr="00253D98">
        <w:t>tique étrangère.</w:t>
      </w:r>
    </w:p>
    <w:p w14:paraId="428309A6" w14:textId="77777777" w:rsidR="0039793A" w:rsidRPr="00253D98" w:rsidRDefault="0039793A" w:rsidP="0039793A">
      <w:pPr>
        <w:spacing w:before="120" w:after="120"/>
        <w:jc w:val="both"/>
      </w:pPr>
      <w:r w:rsidRPr="00253D98">
        <w:t xml:space="preserve">Toujours selon le classement de </w:t>
      </w:r>
      <w:r w:rsidRPr="00AC0A53">
        <w:rPr>
          <w:i/>
          <w:iCs/>
        </w:rPr>
        <w:t>Fortune</w:t>
      </w:r>
      <w:r w:rsidRPr="00253D98">
        <w:t>, en cinquième apparaît</w:t>
      </w:r>
      <w:r>
        <w:t xml:space="preserve"> l’</w:t>
      </w:r>
      <w:r w:rsidRPr="003343EF">
        <w:rPr>
          <w:rStyle w:val="Corpsdutexte28ptPetitesmajuscules"/>
          <w:caps/>
        </w:rPr>
        <w:t>afl</w:t>
      </w:r>
      <w:r w:rsidRPr="00253D98">
        <w:rPr>
          <w:rStyle w:val="Corpsdutexte28ptPetitesmajuscules"/>
        </w:rPr>
        <w:t xml:space="preserve">-CIO, </w:t>
      </w:r>
      <w:r w:rsidRPr="00253D98">
        <w:t>ce qui reflète le poids des syndicats auprès du</w:t>
      </w:r>
      <w:r>
        <w:t xml:space="preserve"> p</w:t>
      </w:r>
      <w:r w:rsidRPr="00253D98">
        <w:t>arti dém</w:t>
      </w:r>
      <w:r w:rsidRPr="00253D98">
        <w:t>o</w:t>
      </w:r>
      <w:r w:rsidRPr="00253D98">
        <w:t xml:space="preserve">crate et permet de comprendre l’ambivalence des </w:t>
      </w:r>
      <w:r>
        <w:t>État</w:t>
      </w:r>
      <w:r w:rsidRPr="00253D98">
        <w:t>s-Unis sur la question de l’ouverture commerciale.</w:t>
      </w:r>
    </w:p>
    <w:p w14:paraId="3815EAD5" w14:textId="77777777" w:rsidR="0039793A" w:rsidRPr="00253D98" w:rsidRDefault="0039793A" w:rsidP="0039793A">
      <w:pPr>
        <w:spacing w:before="120" w:after="120"/>
        <w:jc w:val="both"/>
      </w:pPr>
      <w:r w:rsidRPr="00253D98">
        <w:t xml:space="preserve">En septième position apparaît la </w:t>
      </w:r>
      <w:r w:rsidRPr="00AC0A53">
        <w:rPr>
          <w:i/>
          <w:iCs/>
        </w:rPr>
        <w:t>Christian Coalition</w:t>
      </w:r>
      <w:r w:rsidRPr="00253D98">
        <w:t>, ce qui contr</w:t>
      </w:r>
      <w:r w:rsidRPr="00253D98">
        <w:t>i</w:t>
      </w:r>
      <w:r w:rsidRPr="00253D98">
        <w:t>bue à expliquer en partie les tendances unilatéralistes du Congrès r</w:t>
      </w:r>
      <w:r w:rsidRPr="00253D98">
        <w:t>é</w:t>
      </w:r>
      <w:r w:rsidRPr="00253D98">
        <w:t>publicain de 1994-2000 et de l’Administration de George W. Bush, par exemple au travers de la loi de protection des pratiques religieuses (</w:t>
      </w:r>
      <w:r w:rsidRPr="00AC0A53">
        <w:rPr>
          <w:i/>
          <w:iCs/>
        </w:rPr>
        <w:t>International Religions Freedom Act</w:t>
      </w:r>
      <w:r w:rsidRPr="00253D98">
        <w:t xml:space="preserve">). C’est en effet en raison du lobbying actif de la </w:t>
      </w:r>
      <w:r w:rsidRPr="00AC0A53">
        <w:rPr>
          <w:i/>
          <w:iCs/>
        </w:rPr>
        <w:t>Christian Coalition</w:t>
      </w:r>
      <w:r>
        <w:rPr>
          <w:iCs/>
        </w:rPr>
        <w:t xml:space="preserve"> </w:t>
      </w:r>
      <w:r>
        <w:t xml:space="preserve">[338] </w:t>
      </w:r>
      <w:r w:rsidRPr="00253D98">
        <w:t>— mais également l’Église de scientologie et un collectif œcuménique — que Newt Gi</w:t>
      </w:r>
      <w:r w:rsidRPr="00253D98">
        <w:t>n</w:t>
      </w:r>
      <w:r w:rsidRPr="00253D98">
        <w:t>grich et Trent Lott ont, en 1997, déposé et so</w:t>
      </w:r>
      <w:r w:rsidRPr="00253D98">
        <w:t>u</w:t>
      </w:r>
      <w:r w:rsidRPr="00253D98">
        <w:t xml:space="preserve">tenu une proposition de loi, dite </w:t>
      </w:r>
      <w:r w:rsidRPr="00AE523B">
        <w:rPr>
          <w:i/>
          <w:iCs/>
        </w:rPr>
        <w:t>Freedom from Religions Pers</w:t>
      </w:r>
      <w:r>
        <w:rPr>
          <w:i/>
          <w:iCs/>
        </w:rPr>
        <w:t>e</w:t>
      </w:r>
      <w:r w:rsidRPr="00AE523B">
        <w:rPr>
          <w:i/>
          <w:iCs/>
        </w:rPr>
        <w:t>cution Act</w:t>
      </w:r>
      <w:r w:rsidRPr="00253D98">
        <w:t>. Cette proposition visait à sanctionner les pays où la liberté religieuse n’est pas respe</w:t>
      </w:r>
      <w:r w:rsidRPr="00253D98">
        <w:t>c</w:t>
      </w:r>
      <w:r w:rsidRPr="00253D98">
        <w:t>tée. Malgré l’opposition présidentielle, la pr</w:t>
      </w:r>
      <w:r w:rsidRPr="00253D98">
        <w:t>o</w:t>
      </w:r>
      <w:r w:rsidRPr="00253D98">
        <w:t xml:space="preserve">position a été adoptée sous le nom de </w:t>
      </w:r>
      <w:r w:rsidRPr="00AE523B">
        <w:rPr>
          <w:i/>
          <w:iCs/>
        </w:rPr>
        <w:t>International Religions Fre</w:t>
      </w:r>
      <w:r w:rsidRPr="00AE523B">
        <w:rPr>
          <w:i/>
          <w:iCs/>
        </w:rPr>
        <w:t>e</w:t>
      </w:r>
      <w:r w:rsidRPr="00AE523B">
        <w:rPr>
          <w:i/>
          <w:iCs/>
        </w:rPr>
        <w:t>dom Act of 1998</w:t>
      </w:r>
      <w:r w:rsidRPr="00253D98">
        <w:t>, sous une forme toutefois légèrement édulcorée, en raison de la menace d’un veto présidentiel.</w:t>
      </w:r>
    </w:p>
    <w:p w14:paraId="3BDEC9B1" w14:textId="77777777" w:rsidR="0039793A" w:rsidRPr="00253D98" w:rsidRDefault="0039793A" w:rsidP="0039793A">
      <w:pPr>
        <w:spacing w:before="120" w:after="120"/>
        <w:jc w:val="both"/>
      </w:pPr>
      <w:r w:rsidRPr="00253D98">
        <w:t>Enfin en 11</w:t>
      </w:r>
      <w:r w:rsidRPr="00253D98">
        <w:rPr>
          <w:vertAlign w:val="superscript"/>
        </w:rPr>
        <w:t>e</w:t>
      </w:r>
      <w:r w:rsidRPr="00253D98">
        <w:t>, 13</w:t>
      </w:r>
      <w:r w:rsidRPr="00253D98">
        <w:rPr>
          <w:vertAlign w:val="superscript"/>
        </w:rPr>
        <w:t>e</w:t>
      </w:r>
      <w:r w:rsidRPr="00253D98">
        <w:t xml:space="preserve"> et 14</w:t>
      </w:r>
      <w:r w:rsidRPr="00253D98">
        <w:rPr>
          <w:vertAlign w:val="superscript"/>
        </w:rPr>
        <w:t>e</w:t>
      </w:r>
      <w:r w:rsidRPr="00253D98">
        <w:t xml:space="preserve"> positions arrivent les lobbies d’exportateurs : la </w:t>
      </w:r>
      <w:r>
        <w:t>US</w:t>
      </w:r>
      <w:r w:rsidRPr="00253D98">
        <w:t xml:space="preserve"> Chamber of Commerce, la National Associ</w:t>
      </w:r>
      <w:r w:rsidRPr="00253D98">
        <w:t>a</w:t>
      </w:r>
      <w:r w:rsidRPr="00253D98">
        <w:t>tion of Manufacturers et l’AFBF, le lobby agricole.</w:t>
      </w:r>
    </w:p>
    <w:p w14:paraId="6CEC5CBF" w14:textId="77777777" w:rsidR="0039793A" w:rsidRPr="00253D98" w:rsidRDefault="0039793A" w:rsidP="0039793A">
      <w:pPr>
        <w:spacing w:before="120" w:after="120"/>
        <w:jc w:val="both"/>
      </w:pPr>
      <w:r w:rsidRPr="00253D98">
        <w:t>Toutes ces organisations disposent de moyens logistiques et adm</w:t>
      </w:r>
      <w:r w:rsidRPr="00253D98">
        <w:t>i</w:t>
      </w:r>
      <w:r w:rsidRPr="00253D98">
        <w:t>nistratifs considérables qui leur permettent d’influencer effectivement, dans leur secteur, la politique étrangère des États-Unis.</w:t>
      </w:r>
    </w:p>
    <w:p w14:paraId="42AEF63C" w14:textId="77777777" w:rsidR="0039793A" w:rsidRDefault="0039793A" w:rsidP="0039793A">
      <w:pPr>
        <w:spacing w:before="120" w:after="120"/>
        <w:jc w:val="both"/>
      </w:pPr>
    </w:p>
    <w:p w14:paraId="4D293689" w14:textId="77777777" w:rsidR="0039793A" w:rsidRPr="00AE523B" w:rsidRDefault="0039793A" w:rsidP="0039793A">
      <w:pPr>
        <w:pStyle w:val="b"/>
      </w:pPr>
      <w:r w:rsidRPr="00AE523B">
        <w:t>Le rôle déterminant du jeu d’alliances</w:t>
      </w:r>
    </w:p>
    <w:p w14:paraId="411DFE56" w14:textId="77777777" w:rsidR="0039793A" w:rsidRDefault="0039793A" w:rsidP="0039793A">
      <w:pPr>
        <w:spacing w:before="120" w:after="120"/>
        <w:jc w:val="both"/>
      </w:pPr>
    </w:p>
    <w:p w14:paraId="36B2F78B" w14:textId="77777777" w:rsidR="0039793A" w:rsidRPr="00253D98" w:rsidRDefault="0039793A" w:rsidP="0039793A">
      <w:pPr>
        <w:spacing w:before="120" w:after="120"/>
        <w:jc w:val="both"/>
      </w:pPr>
      <w:r w:rsidRPr="00253D98">
        <w:t>La présentation de l’identité et des méthodes d’action des grands lobbies de Washington ne permet pas vraiment de saisir leur influence sur la définition de l’intérêt national. La meilleure manière de prendre la mesure de cette influence est sans nul doute d’étudier le jeu d’alliances, de coalitions objectives et de blocages spécifiques à ch</w:t>
      </w:r>
      <w:r w:rsidRPr="00253D98">
        <w:t>a</w:t>
      </w:r>
      <w:r w:rsidRPr="00253D98">
        <w:t>que dossier. Selon la théorie pluraliste, la montée en puissance d’une force sociale particulière est progressivement contrebalancée par l’émergence d’autres forces qui s’y opposent, établissant un certain équilibre. En fait, sur chaque question s’établit le plus souvent soit un rapport déséquilibré, soit une situation de blocage prolongé qui peut favoriser certains intérêts. Deux exemples le montrent.</w:t>
      </w:r>
    </w:p>
    <w:p w14:paraId="0ACF6238" w14:textId="77777777" w:rsidR="0039793A" w:rsidRPr="00253D98" w:rsidRDefault="0039793A" w:rsidP="0039793A">
      <w:pPr>
        <w:spacing w:before="120" w:after="120"/>
        <w:jc w:val="both"/>
      </w:pPr>
      <w:r w:rsidRPr="00253D98">
        <w:t>Tel est d’une part le cas de la prolifération des sanctions économ</w:t>
      </w:r>
      <w:r w:rsidRPr="00253D98">
        <w:t>i</w:t>
      </w:r>
      <w:r w:rsidRPr="00253D98">
        <w:t>ques après la guerre froide : si les intérêts touchés par la mise en œ</w:t>
      </w:r>
      <w:r w:rsidRPr="00253D98">
        <w:t>u</w:t>
      </w:r>
      <w:r w:rsidRPr="00253D98">
        <w:t>vre de ces sanctions à l’égard des pays étrangers ont été longtemps diffus, leur multiplication a entraîné une réaction, notamment des e</w:t>
      </w:r>
      <w:r w:rsidRPr="00253D98">
        <w:t>n</w:t>
      </w:r>
      <w:r w:rsidRPr="00253D98">
        <w:t xml:space="preserve">treprises et des agriculteurs, sous la forme d’une coalition formée en 1997, </w:t>
      </w:r>
      <w:r w:rsidRPr="00F33AB3">
        <w:rPr>
          <w:i/>
          <w:iCs/>
        </w:rPr>
        <w:t xml:space="preserve">USA*Engage. USA*Engage </w:t>
      </w:r>
      <w:r w:rsidRPr="00253D98">
        <w:t>rassemble de puissantes organis</w:t>
      </w:r>
      <w:r w:rsidRPr="00253D98">
        <w:t>a</w:t>
      </w:r>
      <w:r w:rsidRPr="00253D98">
        <w:t>tions : l’AFBF - dans la mesure où tous les pays sanctionnés dans les années 1990 représentent un marché potentiel de 7 milliards de dollars pour les agriculteurs américains —, les compagnies pétrolières, les grandes associations patronales, ainsi que certaines organisations rel</w:t>
      </w:r>
      <w:r w:rsidRPr="00253D98">
        <w:t>i</w:t>
      </w:r>
      <w:r w:rsidRPr="00253D98">
        <w:t>gieuses</w:t>
      </w:r>
      <w:r>
        <w:t xml:space="preserve"> [339] </w:t>
      </w:r>
      <w:r w:rsidRPr="00253D98">
        <w:t>et ONG humanitaires - en raison de l’effet des sanctions sur la s</w:t>
      </w:r>
      <w:r w:rsidRPr="00253D98">
        <w:t>i</w:t>
      </w:r>
      <w:r w:rsidRPr="00253D98">
        <w:t>tuation sanitaire des populations — et même certains syndicats (United Auto Workers)</w:t>
      </w:r>
      <w:r>
        <w:t> </w:t>
      </w:r>
      <w:r>
        <w:rPr>
          <w:rStyle w:val="Appelnotedebasdep"/>
        </w:rPr>
        <w:footnoteReference w:id="654"/>
      </w:r>
      <w:r w:rsidRPr="00253D98">
        <w:t>. Pourtant, les adversaires d</w:t>
      </w:r>
      <w:r>
        <w:rPr>
          <w:rStyle w:val="Corpsdutexte285ptItalique"/>
        </w:rPr>
        <w:t>’U</w:t>
      </w:r>
      <w:r w:rsidRPr="00253D98">
        <w:rPr>
          <w:rStyle w:val="Corpsdutexte285ptItalique"/>
        </w:rPr>
        <w:t xml:space="preserve">SA*Engage </w:t>
      </w:r>
      <w:r w:rsidRPr="00253D98">
        <w:t>bénéf</w:t>
      </w:r>
      <w:r w:rsidRPr="00253D98">
        <w:t>i</w:t>
      </w:r>
      <w:r w:rsidRPr="00253D98">
        <w:t>cient d’une situation particulièrement favorable puisque les san</w:t>
      </w:r>
      <w:r w:rsidRPr="00253D98">
        <w:t>c</w:t>
      </w:r>
      <w:r w:rsidRPr="00253D98">
        <w:t>tions sont effectivement en place et qu’ils n’ont qu’à bloquer les tent</w:t>
      </w:r>
      <w:r w:rsidRPr="00253D98">
        <w:t>a</w:t>
      </w:r>
      <w:r w:rsidRPr="00253D98">
        <w:t>tives de réforme - ce qui demeure toujours plus facile que d’imposer un changement positif. Ils comptent d’ailleurs dans leurs rangs de pui</w:t>
      </w:r>
      <w:r w:rsidRPr="00253D98">
        <w:t>s</w:t>
      </w:r>
      <w:r>
        <w:t>sants organismes : l’AI</w:t>
      </w:r>
      <w:r w:rsidRPr="00253D98">
        <w:t>PAC, allié une fois encore à la droite chrétie</w:t>
      </w:r>
      <w:r w:rsidRPr="00253D98">
        <w:t>n</w:t>
      </w:r>
      <w:r w:rsidRPr="00253D98">
        <w:t>ne ; la Cuban-American National Foundation et certaines ONG tels Amnesty International et Human Rights Watch voyant dans les san</w:t>
      </w:r>
      <w:r w:rsidRPr="00253D98">
        <w:t>c</w:t>
      </w:r>
      <w:r w:rsidRPr="00253D98">
        <w:t>tions unilatérales un instrument susceptible d’inciter au chang</w:t>
      </w:r>
      <w:r w:rsidRPr="00253D98">
        <w:t>e</w:t>
      </w:r>
      <w:r w:rsidRPr="00253D98">
        <w:t>ment</w:t>
      </w:r>
      <w:r>
        <w:t> </w:t>
      </w:r>
      <w:r>
        <w:rPr>
          <w:rStyle w:val="Appelnotedebasdep"/>
        </w:rPr>
        <w:footnoteReference w:id="655"/>
      </w:r>
      <w:r w:rsidRPr="00253D98">
        <w:t>. Les r</w:t>
      </w:r>
      <w:r w:rsidRPr="00253D98">
        <w:t>é</w:t>
      </w:r>
      <w:r w:rsidRPr="00253D98">
        <w:t>publicains souverainistes, aiguillonnés par la Christian Coalition, ont trouvé en Jesse Helms (alors président de la commi</w:t>
      </w:r>
      <w:r w:rsidRPr="00253D98">
        <w:t>s</w:t>
      </w:r>
      <w:r w:rsidRPr="00253D98">
        <w:t>sion des Relations extérieures du Sénat) et Trent Lott (alors leader de la majorité au S</w:t>
      </w:r>
      <w:r w:rsidRPr="00253D98">
        <w:t>é</w:t>
      </w:r>
      <w:r w:rsidRPr="00253D98">
        <w:t>nat) des appuis essentiels dans la mécanique du Congrès.</w:t>
      </w:r>
    </w:p>
    <w:p w14:paraId="50F7C633" w14:textId="77777777" w:rsidR="0039793A" w:rsidRPr="00253D98" w:rsidRDefault="0039793A" w:rsidP="0039793A">
      <w:pPr>
        <w:spacing w:before="120" w:after="120"/>
        <w:jc w:val="both"/>
      </w:pPr>
      <w:r w:rsidRPr="00253D98">
        <w:t>On retrouve d’autre part une situation similaire dans l’affaire aze</w:t>
      </w:r>
      <w:r w:rsidRPr="00253D98">
        <w:t>r</w:t>
      </w:r>
      <w:r w:rsidRPr="00253D98">
        <w:t>baïdjanaise. La communauté des Arméniens-Américains a progress</w:t>
      </w:r>
      <w:r w:rsidRPr="00253D98">
        <w:t>i</w:t>
      </w:r>
      <w:r w:rsidRPr="00253D98">
        <w:t>vement acquis une assise considérable avec un caucus au 105</w:t>
      </w:r>
      <w:r w:rsidRPr="00253D98">
        <w:rPr>
          <w:vertAlign w:val="superscript"/>
        </w:rPr>
        <w:t>e</w:t>
      </w:r>
      <w:r w:rsidRPr="00253D98">
        <w:t xml:space="preserve"> Congrès composé de 33 membres (à titre de comparaison, on notera que le caucus hellénique en compte 63 et le caucus africain-américain 40). Ses efforts de lobbying ont orienté la politique étrangère amér</w:t>
      </w:r>
      <w:r w:rsidRPr="00253D98">
        <w:t>i</w:t>
      </w:r>
      <w:r w:rsidRPr="00253D98">
        <w:t xml:space="preserve">caine dans un sens défavorable à l’Azerbaïdjan en 1992. En effet, à la suite du conflit du Haut-Karabakh, le lobby arménien a réussi à faire adopter par le Congrès une disposition résolument opposée à l’Azerbaïdjan adjointe au </w:t>
      </w:r>
      <w:r w:rsidRPr="003A27C5">
        <w:rPr>
          <w:i/>
          <w:iCs/>
        </w:rPr>
        <w:t>Freedom Support Act</w:t>
      </w:r>
      <w:r w:rsidRPr="00253D98">
        <w:t> : ces quelques lignes viennent interdire presque toute assistance américaine à Bakou, entr</w:t>
      </w:r>
      <w:r w:rsidRPr="00253D98">
        <w:t>a</w:t>
      </w:r>
      <w:r w:rsidRPr="00253D98">
        <w:t>vant largement la mise en valeur des hydrocarbures azerbaïdjanais</w:t>
      </w:r>
      <w:r>
        <w:t> </w:t>
      </w:r>
      <w:r>
        <w:rPr>
          <w:rStyle w:val="Appelnotedebasdep"/>
        </w:rPr>
        <w:footnoteReference w:id="656"/>
      </w:r>
      <w:r w:rsidRPr="00253D98">
        <w:t>. Une fois adoptée et inscrite dans la loi, l’abrogation d’un article d</w:t>
      </w:r>
      <w:r w:rsidRPr="00253D98">
        <w:t>e</w:t>
      </w:r>
      <w:r w:rsidRPr="00253D98">
        <w:t>vient très difficile. Et d’ailleurs les efforts de lobbying de</w:t>
      </w:r>
      <w:r>
        <w:t xml:space="preserve"> [340] </w:t>
      </w:r>
      <w:r w:rsidRPr="00253D98">
        <w:t>l’Azerbaïdjan, pourtant appuyé par les compagnies pétrolières, la Tu</w:t>
      </w:r>
      <w:r w:rsidRPr="00253D98">
        <w:t>r</w:t>
      </w:r>
      <w:r w:rsidRPr="00253D98">
        <w:t>quie et surtout</w:t>
      </w:r>
      <w:r>
        <w:t xml:space="preserve"> l</w:t>
      </w:r>
      <w:r w:rsidRPr="00AC40BA">
        <w:rPr>
          <w:smallCaps/>
        </w:rPr>
        <w:t>’</w:t>
      </w:r>
      <w:r w:rsidRPr="00AC40BA">
        <w:rPr>
          <w:caps/>
        </w:rPr>
        <w:t>aipac</w:t>
      </w:r>
      <w:r w:rsidRPr="00AC40BA">
        <w:rPr>
          <w:smallCaps/>
        </w:rPr>
        <w:t xml:space="preserve">, </w:t>
      </w:r>
      <w:r w:rsidRPr="00253D98">
        <w:t>n’y ont rien fait</w:t>
      </w:r>
      <w:r>
        <w:t> </w:t>
      </w:r>
      <w:r>
        <w:rPr>
          <w:rStyle w:val="Appelnotedebasdep"/>
        </w:rPr>
        <w:footnoteReference w:id="657"/>
      </w:r>
      <w:r w:rsidRPr="00253D98">
        <w:t>.</w:t>
      </w:r>
    </w:p>
    <w:p w14:paraId="4C7B73C9" w14:textId="77777777" w:rsidR="0039793A" w:rsidRPr="00253D98" w:rsidRDefault="0039793A" w:rsidP="0039793A">
      <w:pPr>
        <w:spacing w:before="120" w:after="120"/>
        <w:jc w:val="both"/>
      </w:pPr>
      <w:r w:rsidRPr="00253D98">
        <w:t>Ces alliances ponctuelles peuvent se faire complexes et c’est de l’agrégation et de la convergence d’intérêt que naît l’influence réelle de ces structures sur la politique étrangère américaine.</w:t>
      </w:r>
    </w:p>
    <w:p w14:paraId="3715B705" w14:textId="77777777" w:rsidR="0039793A" w:rsidRPr="00253D98" w:rsidRDefault="0039793A" w:rsidP="0039793A">
      <w:pPr>
        <w:spacing w:before="120" w:after="120"/>
        <w:jc w:val="both"/>
      </w:pPr>
      <w:r w:rsidRPr="00253D98">
        <w:t>Ainsi, l’élargissement de l’OTAN a donné lieu à une conjonction de forces internes et externes dans les réseaux de lobbying américains. En effet, initiatives et pressions de toutes origines, intérieures et ext</w:t>
      </w:r>
      <w:r w:rsidRPr="00253D98">
        <w:t>é</w:t>
      </w:r>
      <w:r w:rsidRPr="00253D98">
        <w:t>rieures, ont modelé la décision présidentielle, notamment les exhort</w:t>
      </w:r>
      <w:r w:rsidRPr="00253D98">
        <w:t>a</w:t>
      </w:r>
      <w:r w:rsidRPr="00253D98">
        <w:t>tions de Lech Walesa et Vaclav Havel dont on retiendra le rôle déte</w:t>
      </w:r>
      <w:r w:rsidRPr="00253D98">
        <w:t>r</w:t>
      </w:r>
      <w:r w:rsidRPr="00253D98">
        <w:t>minant</w:t>
      </w:r>
      <w:r>
        <w:t> </w:t>
      </w:r>
      <w:r>
        <w:rPr>
          <w:rStyle w:val="Appelnotedebasdep"/>
        </w:rPr>
        <w:footnoteReference w:id="658"/>
      </w:r>
      <w:r w:rsidRPr="00253D98">
        <w:t xml:space="preserve">. Tandis que plusieurs revues et </w:t>
      </w:r>
      <w:r w:rsidRPr="009D72E5">
        <w:rPr>
          <w:i/>
          <w:iCs/>
        </w:rPr>
        <w:t>think tanks</w:t>
      </w:r>
      <w:r w:rsidRPr="00253D98">
        <w:t xml:space="preserve"> évoquent la question de l’élargissement, des parlementaires et experts comme Zbigniew Brzezinski et Henry Kissinger forment la caisse de résona</w:t>
      </w:r>
      <w:r w:rsidRPr="00253D98">
        <w:t>n</w:t>
      </w:r>
      <w:r w:rsidRPr="00253D98">
        <w:t>ce du débat. C’est alors que des groupes de pression entrent en lice : il s’agit de groupes ethniques (polonais, hongrois, tchèques de Chicago et Detroit essentiellement), d’industriels de l’armement constitués dans le lobby « Committee to Expand NATO ». Malgré les tergivers</w:t>
      </w:r>
      <w:r w:rsidRPr="00253D98">
        <w:t>a</w:t>
      </w:r>
      <w:r w:rsidRPr="00253D98">
        <w:t>tions de l’Administration Clinton, le processus est finalement entériné par le Sénat aux quatre cinquièmes le 30 avril 1998.</w:t>
      </w:r>
    </w:p>
    <w:p w14:paraId="571AFBDA" w14:textId="77777777" w:rsidR="0039793A" w:rsidRPr="00253D98" w:rsidRDefault="0039793A" w:rsidP="0039793A">
      <w:pPr>
        <w:spacing w:before="120" w:after="120"/>
        <w:jc w:val="both"/>
      </w:pPr>
      <w:r w:rsidRPr="00253D98">
        <w:t>Il arrive souvent que ces alliances ponctuelles conduisent à des a</w:t>
      </w:r>
      <w:r w:rsidRPr="00253D98">
        <w:t>s</w:t>
      </w:r>
      <w:r w:rsidRPr="00253D98">
        <w:t xml:space="preserve">sociations inattendues. C’est le cas par exemple lorsque la Maison-Blanche a fait équipe, sur le dossier de </w:t>
      </w:r>
      <w:r>
        <w:t>l’</w:t>
      </w:r>
      <w:r w:rsidRPr="00253D98">
        <w:t>ALENA, avec une grande partie des républicains, les Mexicains-Américains, les lobbyistes du gouvernement du Mexique, la grande industrie américaine et les agr</w:t>
      </w:r>
      <w:r w:rsidRPr="00253D98">
        <w:t>i</w:t>
      </w:r>
      <w:r w:rsidRPr="00253D98">
        <w:t>culteurs, contre les syndicats, les radicaux, les populistes et la droite chrétienne (comme le Family Research Council). C’est ainsi que les phénomènes d’alliance sont déterminants pour permettre effectiv</w:t>
      </w:r>
      <w:r w:rsidRPr="00253D98">
        <w:t>e</w:t>
      </w:r>
      <w:r w:rsidRPr="00253D98">
        <w:t>ment aux lobbies de peser de manière significative sur la définition et l’orientation des politiques extérieures. La première alliance reche</w:t>
      </w:r>
      <w:r w:rsidRPr="00253D98">
        <w:t>r</w:t>
      </w:r>
      <w:r w:rsidRPr="00253D98">
        <w:t>chée, c’est celle avec l’opinion publique, ce qui signifie que les lo</w:t>
      </w:r>
      <w:r w:rsidRPr="00253D98">
        <w:t>b</w:t>
      </w:r>
      <w:r w:rsidRPr="00253D98">
        <w:t>bies peindront toujours leur vision des affaires étrangères aux couleurs des idéaux américains - c’est particulièrement nécessaire pour les lo</w:t>
      </w:r>
      <w:r w:rsidRPr="00253D98">
        <w:t>b</w:t>
      </w:r>
      <w:r w:rsidRPr="00253D98">
        <w:t>bies ethniques.</w:t>
      </w:r>
    </w:p>
    <w:p w14:paraId="413CCD83" w14:textId="77777777" w:rsidR="0039793A" w:rsidRDefault="0039793A" w:rsidP="0039793A">
      <w:pPr>
        <w:spacing w:before="120" w:after="120"/>
        <w:jc w:val="both"/>
      </w:pPr>
      <w:r>
        <w:t>[341]</w:t>
      </w:r>
    </w:p>
    <w:p w14:paraId="54A4E2F8" w14:textId="77777777" w:rsidR="0039793A" w:rsidRPr="00253D98" w:rsidRDefault="0039793A" w:rsidP="0039793A">
      <w:pPr>
        <w:spacing w:before="120" w:after="120"/>
        <w:jc w:val="both"/>
      </w:pPr>
      <w:r w:rsidRPr="00253D98">
        <w:t>Il arrive également que ces alliances ponctuelles donnent lieu à la constitution de structures complexes, durables et pensées comme te</w:t>
      </w:r>
      <w:r w:rsidRPr="00253D98">
        <w:t>l</w:t>
      </w:r>
      <w:r w:rsidRPr="00253D98">
        <w:t>les. Le complexe militaro-industriel, identifié dans le discours d’adieu d’Eisenhower en 1961, jouerait ainsi un rôle de poid</w:t>
      </w:r>
      <w:r>
        <w:t xml:space="preserve">s </w:t>
      </w:r>
      <w:r w:rsidRPr="00253D98">
        <w:t>dans la défin</w:t>
      </w:r>
      <w:r w:rsidRPr="00253D98">
        <w:t>i</w:t>
      </w:r>
      <w:r w:rsidRPr="00253D98">
        <w:t>tion et la mise en œuvre de la politique d’armement et de la pol</w:t>
      </w:r>
      <w:r w:rsidRPr="00253D98">
        <w:t>i</w:t>
      </w:r>
      <w:r w:rsidRPr="00253D98">
        <w:t>tique étrangère des États-Unis. Cette expression ne désigne pas le seul lo</w:t>
      </w:r>
      <w:r w:rsidRPr="00253D98">
        <w:t>b</w:t>
      </w:r>
      <w:r w:rsidRPr="00253D98">
        <w:t>by des industriels de l’armement ni une sorte d’union unitaire et ca</w:t>
      </w:r>
      <w:r w:rsidRPr="00253D98">
        <w:t>l</w:t>
      </w:r>
      <w:r w:rsidRPr="00253D98">
        <w:t>culée, mais un système convergent d’influence sur le plan national impliquant trois types d’acteurs : les industriels, les militaires, les pa</w:t>
      </w:r>
      <w:r w:rsidRPr="00253D98">
        <w:t>r</w:t>
      </w:r>
      <w:r w:rsidRPr="00253D98">
        <w:t>lementaires</w:t>
      </w:r>
      <w:r>
        <w:t> </w:t>
      </w:r>
      <w:r>
        <w:rPr>
          <w:rStyle w:val="Appelnotedebasdep"/>
        </w:rPr>
        <w:footnoteReference w:id="659"/>
      </w:r>
      <w:r w:rsidRPr="00253D98">
        <w:t xml:space="preserve">. Les acteurs eux-mêmes sont divisés et les situations de concurrence </w:t>
      </w:r>
      <w:r>
        <w:t>—</w:t>
      </w:r>
      <w:r w:rsidRPr="00253D98">
        <w:t xml:space="preserve"> au plan technique et économique, comme au plan politique — sont aussi fréquentes que celles d’alliance ou de coll</w:t>
      </w:r>
      <w:r w:rsidRPr="00253D98">
        <w:t>u</w:t>
      </w:r>
      <w:r w:rsidRPr="00253D98">
        <w:t>sion : le complexe n’acquiert donc sa cohérence et n’exerce un impact coh</w:t>
      </w:r>
      <w:r w:rsidRPr="00253D98">
        <w:t>é</w:t>
      </w:r>
      <w:r w:rsidRPr="00253D98">
        <w:t>rent qu’entendu sur le plan global car, dans le détail, les batailles font rage. On retrouve d’ailleurs, au sein de ce complexe, l’ensemble des mécanismes propres à la quête d’influence : les industriels proc</w:t>
      </w:r>
      <w:r w:rsidRPr="00253D98">
        <w:t>u</w:t>
      </w:r>
      <w:r w:rsidRPr="00253D98">
        <w:t xml:space="preserve">rent des financements de campagne aux parlementaires qui, à leur tour, vont essayer d’obtenir des financements pour les industries de leur circonscription, offrent des postes lucratifs aux militaires (selon les principes de la </w:t>
      </w:r>
      <w:r w:rsidRPr="000845A9">
        <w:rPr>
          <w:i/>
          <w:iCs/>
        </w:rPr>
        <w:t>revolving door</w:t>
      </w:r>
      <w:r w:rsidRPr="00253D98">
        <w:t>) qui, à leur tour, conseillent les i</w:t>
      </w:r>
      <w:r w:rsidRPr="00253D98">
        <w:t>n</w:t>
      </w:r>
      <w:r w:rsidRPr="00253D98">
        <w:t xml:space="preserve">dustriels et utilisent leurs réseaux pour influencer </w:t>
      </w:r>
      <w:r>
        <w:t>- relativement, to</w:t>
      </w:r>
      <w:r>
        <w:t>u</w:t>
      </w:r>
      <w:r>
        <w:t>tefois </w:t>
      </w:r>
      <w:r>
        <w:rPr>
          <w:rStyle w:val="Appelnotedebasdep"/>
        </w:rPr>
        <w:footnoteReference w:id="660"/>
      </w:r>
      <w:r w:rsidRPr="00253D98">
        <w:t xml:space="preserve"> — les décisions en matière d’achat d’armements. Sous Cli</w:t>
      </w:r>
      <w:r w:rsidRPr="00253D98">
        <w:t>n</w:t>
      </w:r>
      <w:r w:rsidRPr="00253D98">
        <w:t>ton et George W. Bush, les projets de défense antimissiles</w:t>
      </w:r>
      <w:r>
        <w:t> </w:t>
      </w:r>
      <w:r>
        <w:rPr>
          <w:rStyle w:val="Appelnotedebasdep"/>
        </w:rPr>
        <w:footnoteReference w:id="661"/>
      </w:r>
      <w:r w:rsidRPr="00253D98">
        <w:t xml:space="preserve"> perme</w:t>
      </w:r>
      <w:r w:rsidRPr="00253D98">
        <w:t>t</w:t>
      </w:r>
      <w:r w:rsidRPr="00253D98">
        <w:t>tent d’observer ces relations triangulaires, décrites plus haut. Le pa</w:t>
      </w:r>
      <w:r w:rsidRPr="00253D98">
        <w:t>n</w:t>
      </w:r>
      <w:r w:rsidRPr="00253D98">
        <w:t>touflage a une réelle incidence ; les parlementaires dont les districts a</w:t>
      </w:r>
      <w:r w:rsidRPr="00253D98">
        <w:t>c</w:t>
      </w:r>
      <w:r w:rsidRPr="00253D98">
        <w:t>cueillent des laboratoires et des unités de production susceptibles de travailler sur ces systèmes y sont très favorables ; les deux entreprises particulièrement concernées, Boeing et Lockheed-Martin,</w:t>
      </w:r>
      <w:r>
        <w:t xml:space="preserve"> [342] </w:t>
      </w:r>
      <w:r w:rsidRPr="00253D98">
        <w:t>fina</w:t>
      </w:r>
      <w:r w:rsidRPr="00253D98">
        <w:t>n</w:t>
      </w:r>
      <w:r w:rsidRPr="00253D98">
        <w:t>cent largement les deux partis et disposent de lobbyistes à Washin</w:t>
      </w:r>
      <w:r w:rsidRPr="00253D98">
        <w:t>g</w:t>
      </w:r>
      <w:r w:rsidRPr="00253D98">
        <w:t>ton.</w:t>
      </w:r>
    </w:p>
    <w:p w14:paraId="54A42FC4" w14:textId="77777777" w:rsidR="0039793A" w:rsidRPr="00253D98" w:rsidRDefault="0039793A" w:rsidP="0039793A">
      <w:pPr>
        <w:spacing w:before="120" w:after="120"/>
        <w:jc w:val="both"/>
      </w:pPr>
      <w:r w:rsidRPr="00253D98">
        <w:t>Ce jeu d’alliance entre intérêts particuliers pour influencer la pol</w:t>
      </w:r>
      <w:r w:rsidRPr="00253D98">
        <w:t>i</w:t>
      </w:r>
      <w:r w:rsidRPr="00253D98">
        <w:t>tique étrangère de l’Amérique va plus loin encore dans la mesure où il met en réseau des forces intérieures diverses mais également des pui</w:t>
      </w:r>
      <w:r w:rsidRPr="00253D98">
        <w:t>s</w:t>
      </w:r>
      <w:r w:rsidRPr="00253D98">
        <w:t>sances étrangères, de sorte que certains antagonismes géopolitiques se transposent à Washington voire, dans certains cas, dans de lointaines circonscriptions de l’Amérique profonde. Ainsi le Dakota du Sud est aussi loin qu’il est possible de la frontière indo-pakistanaise, et pou</w:t>
      </w:r>
      <w:r w:rsidRPr="00253D98">
        <w:t>r</w:t>
      </w:r>
      <w:r w:rsidRPr="00253D98">
        <w:t>tant, par fonds de campagne interposés, le résultat de l’élection sén</w:t>
      </w:r>
      <w:r w:rsidRPr="00253D98">
        <w:t>a</w:t>
      </w:r>
      <w:r w:rsidRPr="00253D98">
        <w:t>toriale de 1996 a dépendu en partie de la lutte entre New Delhi et Islamabad. Il faut dire que le sénateur sortant, le républicain Larry Pressler, véritable porte-parole de l’Inde au Congrès car soutenu par les fonds de la communauté indienne-américaine, est à l’origine d’une disposition législative datant de 1985 (amendement Pressler) qui porte son nom et qui subordonne l’aide économique et militaire au Pakistan à la certification par le président que ce pays a cessé son programme nucléaire. En 1996, les Pakistanais- Américains ont pris Pressler pour cible et sont venus en aide à son rival, le démocrate Tim Johnson, en aidant à financer sa campagne — notamment par un dîner de gala où s’est rendu le président Clinton — et lui permettant de remporter les élections</w:t>
      </w:r>
      <w:r>
        <w:t> </w:t>
      </w:r>
      <w:r>
        <w:rPr>
          <w:rStyle w:val="Appelnotedebasdep"/>
        </w:rPr>
        <w:footnoteReference w:id="662"/>
      </w:r>
      <w:r>
        <w:t>.</w:t>
      </w:r>
    </w:p>
    <w:p w14:paraId="39C94CB8" w14:textId="77777777" w:rsidR="0039793A" w:rsidRDefault="0039793A" w:rsidP="0039793A">
      <w:pPr>
        <w:spacing w:before="120" w:after="120"/>
        <w:jc w:val="both"/>
      </w:pPr>
    </w:p>
    <w:p w14:paraId="7A90F280" w14:textId="77777777" w:rsidR="0039793A" w:rsidRPr="002B51D8" w:rsidRDefault="0039793A" w:rsidP="0039793A">
      <w:pPr>
        <w:pStyle w:val="b"/>
      </w:pPr>
      <w:r w:rsidRPr="002B51D8">
        <w:t>Interrogations sur un intérêt national morcelé</w:t>
      </w:r>
    </w:p>
    <w:p w14:paraId="25B41987" w14:textId="77777777" w:rsidR="0039793A" w:rsidRDefault="0039793A" w:rsidP="0039793A">
      <w:pPr>
        <w:spacing w:before="120" w:after="120"/>
        <w:jc w:val="both"/>
      </w:pPr>
    </w:p>
    <w:p w14:paraId="094421CB" w14:textId="77777777" w:rsidR="0039793A" w:rsidRPr="00253D98" w:rsidRDefault="0039793A" w:rsidP="0039793A">
      <w:pPr>
        <w:spacing w:before="120" w:after="120"/>
        <w:jc w:val="both"/>
      </w:pPr>
      <w:r w:rsidRPr="00253D98">
        <w:t>Cette perspective communautariste de l’intérêt national se disti</w:t>
      </w:r>
      <w:r w:rsidRPr="00253D98">
        <w:t>n</w:t>
      </w:r>
      <w:r w:rsidRPr="00253D98">
        <w:t>gue particulièrement de la perception française de l’intérêt général. Faite de l’agrégation des intérêts particuliers, elle forme un édifice tout à la fois original et fragile. Avec la fin de l’endiguement du communisme qui nourrissait une identité politique forte, se pose la question de la mobilisation autour d’un intérêt national vers lequel convergeraient les intérêts particuliers. Le morcellement de l’intérêt national est au cœur d’un débat amorcé en 1997, articulé autour de deux pôles, l’un plutôt conservateur et l’autre plutôt libéral</w:t>
      </w:r>
      <w:r>
        <w:t> </w:t>
      </w:r>
      <w:r>
        <w:rPr>
          <w:rStyle w:val="Appelnotedebasdep"/>
        </w:rPr>
        <w:footnoteReference w:id="663"/>
      </w:r>
      <w:r w:rsidRPr="00253D98">
        <w:t>.</w:t>
      </w:r>
    </w:p>
    <w:p w14:paraId="15D122BE" w14:textId="77777777" w:rsidR="0039793A" w:rsidRPr="00253D98" w:rsidRDefault="0039793A" w:rsidP="0039793A">
      <w:pPr>
        <w:spacing w:before="120" w:after="120"/>
        <w:jc w:val="both"/>
      </w:pPr>
      <w:r>
        <w:t>[343]</w:t>
      </w:r>
    </w:p>
    <w:p w14:paraId="132E9D21" w14:textId="77777777" w:rsidR="0039793A" w:rsidRPr="00253D98" w:rsidRDefault="0039793A" w:rsidP="0039793A">
      <w:pPr>
        <w:spacing w:before="120" w:after="120"/>
        <w:jc w:val="both"/>
      </w:pPr>
      <w:r w:rsidRPr="00253D98">
        <w:t>D’une part, Samuel Huntington part de l’idée que l’intérêt national se déduit de l’identité nationale - définie par un mélange de culture et de croyance. En réalité cependant, à lire Huntington de près, cette « culture américaine » a pour fondation l’assimilation des nouveaux immigrants à l’Amérique WASP : blanche, anglo-saxonne et prote</w:t>
      </w:r>
      <w:r w:rsidRPr="00253D98">
        <w:t>s</w:t>
      </w:r>
      <w:r w:rsidRPr="00253D98">
        <w:t>tante. Or, l’unité et l’identité des États-Unis sont vulnérabilisées à double titre : d’une part en raison des liens que les nouveaux imm</w:t>
      </w:r>
      <w:r w:rsidRPr="00253D98">
        <w:t>i</w:t>
      </w:r>
      <w:r w:rsidRPr="00253D98">
        <w:t>grants peuvent maintenant entretenir avec leur pays d’origine — n</w:t>
      </w:r>
      <w:r w:rsidRPr="00253D98">
        <w:t>o</w:t>
      </w:r>
      <w:r w:rsidRPr="00253D98">
        <w:t>tamment grâce aux progrès dans les télécommunications et les tran</w:t>
      </w:r>
      <w:r w:rsidRPr="00253D98">
        <w:t>s</w:t>
      </w:r>
      <w:r w:rsidRPr="00253D98">
        <w:t xml:space="preserve">ports </w:t>
      </w:r>
      <w:r>
        <w:t>—</w:t>
      </w:r>
      <w:r w:rsidRPr="00253D98">
        <w:t xml:space="preserve"> et d’autre part du fait de l’idéologie multiculturaliste des lib</w:t>
      </w:r>
      <w:r w:rsidRPr="00253D98">
        <w:t>é</w:t>
      </w:r>
      <w:r w:rsidRPr="00253D98">
        <w:t>raux. Et si l’identité américaine se délite, il devient difficile de préte</w:t>
      </w:r>
      <w:r w:rsidRPr="00253D98">
        <w:t>n</w:t>
      </w:r>
      <w:r w:rsidRPr="00253D98">
        <w:t>dre définir encore un intérêt national. En l’absence d’une menace pr</w:t>
      </w:r>
      <w:r w:rsidRPr="00253D98">
        <w:t>é</w:t>
      </w:r>
      <w:r w:rsidRPr="00253D98">
        <w:t>cise, l’intérêt national s’atomise, capté par des intérêts particuliers, des intérêts commerciaux sub-nationaux et des intérêts ethniques transn</w:t>
      </w:r>
      <w:r w:rsidRPr="00253D98">
        <w:t>a</w:t>
      </w:r>
      <w:r w:rsidRPr="00253D98">
        <w:t>tionaux. Or, si les gains commerciaux peuvent bénéficier au pays, la question est beaucoup plus compliquée pour les groupes ethniques. Samuel Huntington et Tony Smith remettent en question la loyauté des diasporas installées aux États-Unis, soulevant des questions d’allégeance voire d’espionnage. La question n’est pas nouvelle, elle a été soulevée pour les Allemands-Américains dès la première guerre mondiale, pour les Italiens-Américains, et particulièrement pour les Japonais-Américains lors de la seconde guerre mondiale. Elle prend cependant un tour nouveau du fait de la disparition d’une menace un</w:t>
      </w:r>
      <w:r w:rsidRPr="00253D98">
        <w:t>i</w:t>
      </w:r>
      <w:r w:rsidRPr="00253D98">
        <w:t>fiante et face au risque d’une balkanisation de la politique étrangère américaine.</w:t>
      </w:r>
    </w:p>
    <w:p w14:paraId="7E4EC71D" w14:textId="77777777" w:rsidR="0039793A" w:rsidRPr="00253D98" w:rsidRDefault="0039793A" w:rsidP="0039793A">
      <w:pPr>
        <w:spacing w:before="120" w:after="120"/>
        <w:jc w:val="both"/>
      </w:pPr>
      <w:r w:rsidRPr="00253D98">
        <w:t>D’autre part, Yossi Shain</w:t>
      </w:r>
      <w:r>
        <w:t> </w:t>
      </w:r>
      <w:r>
        <w:rPr>
          <w:rStyle w:val="Appelnotedebasdep"/>
        </w:rPr>
        <w:footnoteReference w:id="664"/>
      </w:r>
      <w:r w:rsidRPr="00253D98">
        <w:t xml:space="preserve"> considère que le lobbying ethnique est globalement bénéfique à la politique étrangère américaine. Il cite St</w:t>
      </w:r>
      <w:r w:rsidRPr="00253D98">
        <w:t>e</w:t>
      </w:r>
      <w:r w:rsidRPr="00253D98">
        <w:t>phen Solarz, représentant démocrate de New York, grand expert de la collecte de fonds auprès des minorités ethniques : « Mon expérie</w:t>
      </w:r>
      <w:r w:rsidRPr="00253D98">
        <w:t>n</w:t>
      </w:r>
      <w:r w:rsidRPr="00253D98">
        <w:t>ce de collecte de fonds auprès de diverses communautés ethniques me fait dire que ce qu’on observe là, c’est l’américanité sous son meilleur jour. Ces gens souhaitaient contribuer à la formulation d’une politique étrangère américaine qui reflétait ce pays dans son essence même : un engagement en faveur de la démocratie et des droits de l’homme</w:t>
      </w:r>
      <w:r>
        <w:t> </w:t>
      </w:r>
      <w:r>
        <w:rPr>
          <w:rStyle w:val="Appelnotedebasdep"/>
        </w:rPr>
        <w:footnoteReference w:id="665"/>
      </w:r>
      <w:r w:rsidRPr="00253D98">
        <w:t>. » Pour Shain, les diasporas s’américanisent par leur lobbying, en ado</w:t>
      </w:r>
      <w:r w:rsidRPr="00253D98">
        <w:t>p</w:t>
      </w:r>
      <w:r w:rsidRPr="00253D98">
        <w:t>tant le</w:t>
      </w:r>
      <w:r>
        <w:t xml:space="preserve"> [344] </w:t>
      </w:r>
      <w:r w:rsidRPr="00253D98">
        <w:t>langage politique du pluralisme, et contribuent, ce fa</w:t>
      </w:r>
      <w:r w:rsidRPr="00253D98">
        <w:t>i</w:t>
      </w:r>
      <w:r w:rsidRPr="00253D98">
        <w:t>sant, à maintenir un bon niveau de participation démocratique aux a</w:t>
      </w:r>
      <w:r w:rsidRPr="00253D98">
        <w:t>f</w:t>
      </w:r>
      <w:r w:rsidRPr="00253D98">
        <w:t>faires étra</w:t>
      </w:r>
      <w:r w:rsidRPr="00253D98">
        <w:t>n</w:t>
      </w:r>
      <w:r w:rsidRPr="00253D98">
        <w:t xml:space="preserve">gères. Pour gagner en légitimité et en influence, elles sont obligées d’adopter des objectifs acceptables par tous les Américains. Dans presque tous les cas, elles défendent la démocratie et les droits de l’homme et servent ainsi de « compas moral » ainsi qu’en témoigne l’exemple du lobbying du </w:t>
      </w:r>
      <w:r w:rsidRPr="0031221C">
        <w:rPr>
          <w:i/>
          <w:iCs/>
        </w:rPr>
        <w:t>Black Caucus</w:t>
      </w:r>
      <w:r w:rsidRPr="00253D98">
        <w:t xml:space="preserve"> en faveur de l’intervention à Haïti. Et finalement, elles diffusent le credo américain à l’extérieur et influencent leur pays d’origine dans le sens du modèle américain et de la démocratie.</w:t>
      </w:r>
    </w:p>
    <w:p w14:paraId="2F39925B" w14:textId="77777777" w:rsidR="0039793A" w:rsidRPr="00253D98" w:rsidRDefault="0039793A" w:rsidP="0039793A">
      <w:pPr>
        <w:spacing w:before="120" w:after="120"/>
        <w:jc w:val="both"/>
      </w:pPr>
      <w:r w:rsidRPr="00253D98">
        <w:t xml:space="preserve">Il faut cependant replacer le débat dans le contexte qui est le sien. Et relativiser la portée des conclusions que l’on pourrait en tirer. Comme toujours la formulation de la politique étrangère américaine est le résultat d’un processus complexe. Quel que soit le pouvoir des lobbies, la résonance des </w:t>
      </w:r>
      <w:r w:rsidRPr="0031221C">
        <w:rPr>
          <w:i/>
          <w:iCs/>
        </w:rPr>
        <w:t>think tanks</w:t>
      </w:r>
      <w:r w:rsidRPr="00253D98">
        <w:t xml:space="preserve"> et le degré d’organisation de la société civile, aucun segment du gouvernement ou de la société am</w:t>
      </w:r>
      <w:r w:rsidRPr="00253D98">
        <w:t>é</w:t>
      </w:r>
      <w:r w:rsidRPr="00253D98">
        <w:t>ricaine, ne saurait faire la pluie et le beau temps, quel que soit le do</w:t>
      </w:r>
      <w:r w:rsidRPr="00253D98">
        <w:t>s</w:t>
      </w:r>
      <w:r w:rsidRPr="00253D98">
        <w:t>sier. Si tous ces éléments sont déterminants, chacun n’est un facteur important qu’en ce qu’il appartient à un faisceau de convergences et ne saurait en aucun cas expliquer à lui seul tel ou tel choix précis de politique étrangère.</w:t>
      </w:r>
    </w:p>
    <w:p w14:paraId="4EB07969" w14:textId="77777777" w:rsidR="0039793A" w:rsidRDefault="0039793A" w:rsidP="0039793A">
      <w:pPr>
        <w:pStyle w:val="p"/>
      </w:pPr>
      <w:r w:rsidRPr="00253D98">
        <w:br w:type="page"/>
      </w:r>
      <w:r>
        <w:t>[345]</w:t>
      </w:r>
    </w:p>
    <w:p w14:paraId="632E8E81" w14:textId="77777777" w:rsidR="0039793A" w:rsidRPr="00E07116" w:rsidRDefault="0039793A" w:rsidP="0039793A">
      <w:pPr>
        <w:jc w:val="both"/>
      </w:pPr>
    </w:p>
    <w:p w14:paraId="0C1DD125" w14:textId="77777777" w:rsidR="0039793A" w:rsidRPr="00E07116" w:rsidRDefault="0039793A" w:rsidP="0039793A">
      <w:pPr>
        <w:jc w:val="both"/>
      </w:pPr>
    </w:p>
    <w:p w14:paraId="6EED2998" w14:textId="77777777" w:rsidR="0039793A" w:rsidRPr="00E07116" w:rsidRDefault="0039793A" w:rsidP="0039793A">
      <w:pPr>
        <w:jc w:val="both"/>
      </w:pPr>
    </w:p>
    <w:p w14:paraId="1B618C0E" w14:textId="77777777" w:rsidR="0039793A" w:rsidRPr="00642210" w:rsidRDefault="0039793A" w:rsidP="0039793A">
      <w:pPr>
        <w:spacing w:after="120"/>
        <w:jc w:val="center"/>
      </w:pPr>
      <w:bookmarkStart w:id="42" w:name="Pol_EU_conclusion"/>
      <w:r w:rsidRPr="00642210">
        <w:rPr>
          <w:b/>
        </w:rPr>
        <w:t>La politique étrangère des «États-Unis.</w:t>
      </w:r>
      <w:r w:rsidRPr="00642210">
        <w:rPr>
          <w:b/>
        </w:rPr>
        <w:br/>
      </w:r>
      <w:r w:rsidRPr="00642210">
        <w:rPr>
          <w:i/>
        </w:rPr>
        <w:t>Fondements, acteurs, formulation</w:t>
      </w:r>
    </w:p>
    <w:p w14:paraId="0846B4DB" w14:textId="77777777" w:rsidR="0039793A" w:rsidRPr="00384B20" w:rsidRDefault="0039793A" w:rsidP="0039793A">
      <w:pPr>
        <w:pStyle w:val="planchest"/>
      </w:pPr>
      <w:r>
        <w:t>CONCLUSION</w:t>
      </w:r>
    </w:p>
    <w:bookmarkEnd w:id="42"/>
    <w:p w14:paraId="1B94D8C7" w14:textId="77777777" w:rsidR="0039793A" w:rsidRPr="00E07116" w:rsidRDefault="0039793A" w:rsidP="0039793A">
      <w:pPr>
        <w:jc w:val="both"/>
      </w:pPr>
    </w:p>
    <w:p w14:paraId="384D0C02" w14:textId="77777777" w:rsidR="0039793A" w:rsidRPr="00E07116" w:rsidRDefault="0039793A" w:rsidP="0039793A">
      <w:pPr>
        <w:pStyle w:val="planche"/>
      </w:pPr>
      <w:r w:rsidRPr="00522060">
        <w:t>Continuité et changements dans la formulation</w:t>
      </w:r>
      <w:r w:rsidRPr="00522060">
        <w:br/>
        <w:t>de la politique étrangère américaine</w:t>
      </w:r>
    </w:p>
    <w:p w14:paraId="7ED267AA" w14:textId="77777777" w:rsidR="0039793A" w:rsidRPr="00E07116" w:rsidRDefault="0039793A" w:rsidP="0039793A">
      <w:pPr>
        <w:jc w:val="both"/>
      </w:pPr>
    </w:p>
    <w:p w14:paraId="68DFD4C6" w14:textId="77777777" w:rsidR="0039793A" w:rsidRPr="00E07116" w:rsidRDefault="0039793A" w:rsidP="0039793A">
      <w:pPr>
        <w:jc w:val="both"/>
      </w:pPr>
    </w:p>
    <w:p w14:paraId="6DF29F0C" w14:textId="77777777" w:rsidR="0039793A" w:rsidRPr="00E07116" w:rsidRDefault="0039793A" w:rsidP="0039793A">
      <w:pPr>
        <w:jc w:val="both"/>
      </w:pPr>
    </w:p>
    <w:p w14:paraId="0FCC7783" w14:textId="77777777" w:rsidR="0039793A" w:rsidRPr="00E07116" w:rsidRDefault="0039793A" w:rsidP="0039793A">
      <w:pPr>
        <w:jc w:val="both"/>
      </w:pPr>
    </w:p>
    <w:p w14:paraId="3211A2A6"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69998DC6" w14:textId="77777777" w:rsidR="0039793A" w:rsidRPr="00253D98" w:rsidRDefault="0039793A" w:rsidP="0039793A">
      <w:pPr>
        <w:spacing w:before="120" w:after="120"/>
        <w:jc w:val="both"/>
      </w:pPr>
      <w:r w:rsidRPr="00253D98">
        <w:t xml:space="preserve">« La chouette de Minerve ne prend son envol qu’au crépuscule » : Hegel, dans les </w:t>
      </w:r>
      <w:r w:rsidRPr="008A4617">
        <w:rPr>
          <w:i/>
          <w:iCs/>
        </w:rPr>
        <w:t>Principes de la Philosophie du droit</w:t>
      </w:r>
      <w:r w:rsidRPr="00253D98">
        <w:t>, rappelait par ce</w:t>
      </w:r>
      <w:r w:rsidRPr="00253D98">
        <w:t>t</w:t>
      </w:r>
      <w:r w:rsidRPr="00253D98">
        <w:t>te métaphore que la pleine connaissance des phénomènes n’est rendue possible qu’à l’issue de leur développement dialectique. Les pièges de l’Histoire guettent l’observateur, qui ne</w:t>
      </w:r>
      <w:r>
        <w:t xml:space="preserve"> </w:t>
      </w:r>
      <w:r w:rsidRPr="00253D98">
        <w:t>peut proposer que des hyp</w:t>
      </w:r>
      <w:r w:rsidRPr="00253D98">
        <w:t>o</w:t>
      </w:r>
      <w:r w:rsidRPr="00253D98">
        <w:t>thèses, aussi bien sur l’ampleur et la durabilité des évolutions qu’il constate que sur leurs causes. En effet, l’erreur de perspective, la sous-évaluation, l’exagération ou encore l’anachronisme sont autant de pièges tendus au politologue qui prétend saisir les évolutions de son temps, ou à l’historien qui quitte les rives du passé pour tenter de d</w:t>
      </w:r>
      <w:r w:rsidRPr="00253D98">
        <w:t>é</w:t>
      </w:r>
      <w:r w:rsidRPr="00253D98">
        <w:t>crire le présent.</w:t>
      </w:r>
    </w:p>
    <w:p w14:paraId="42E0CC1B" w14:textId="77777777" w:rsidR="0039793A" w:rsidRPr="00253D98" w:rsidRDefault="0039793A" w:rsidP="0039793A">
      <w:pPr>
        <w:spacing w:before="120" w:after="120"/>
        <w:jc w:val="both"/>
      </w:pPr>
      <w:r w:rsidRPr="00253D98">
        <w:t>Les événements du 11 septembre 2001 ont, sinon amorcé l’édification d’une nouvelle ère géopolitique, du moins révélé les contours d’un monde différent, de même qu’ils ont réorienté la polit</w:t>
      </w:r>
      <w:r w:rsidRPr="00253D98">
        <w:t>i</w:t>
      </w:r>
      <w:r w:rsidRPr="00253D98">
        <w:t>que étrangère américaine dans son contenu comme dans ses cond</w:t>
      </w:r>
      <w:r w:rsidRPr="00253D98">
        <w:t>i</w:t>
      </w:r>
      <w:r w:rsidRPr="00253D98">
        <w:t>tions d’élaboration. Il convient cependant d’en prendre la mesure. La re-présidentialisation du régime, et l’impérialisme assumé des États-Unis sont des traits dont on ne sait s’ils vont perdurer. Surtout, le plus délicat est de déterminer si ces deux évolutions sont sous-tendues par des modifications fondamentales du processus d’élaboration de la p</w:t>
      </w:r>
      <w:r w:rsidRPr="00253D98">
        <w:t>o</w:t>
      </w:r>
      <w:r w:rsidRPr="00253D98">
        <w:t>litique étrangère américaine, ou si elles sont simplement le fait de la présence au pouvoir d’une Administration républicaine, peu gênée par le parti</w:t>
      </w:r>
      <w:r>
        <w:t xml:space="preserve"> [346] </w:t>
      </w:r>
      <w:r w:rsidRPr="00253D98">
        <w:t>démocrate au Congrès et fortement influencée par les néoconserv</w:t>
      </w:r>
      <w:r w:rsidRPr="00253D98">
        <w:t>a</w:t>
      </w:r>
      <w:r w:rsidRPr="00253D98">
        <w:t>teurs.</w:t>
      </w:r>
    </w:p>
    <w:p w14:paraId="45030638" w14:textId="77777777" w:rsidR="0039793A" w:rsidRDefault="0039793A" w:rsidP="0039793A">
      <w:pPr>
        <w:spacing w:before="120" w:after="120"/>
        <w:jc w:val="both"/>
      </w:pPr>
    </w:p>
    <w:p w14:paraId="20126717" w14:textId="77777777" w:rsidR="0039793A" w:rsidRPr="001A54A0" w:rsidRDefault="0039793A" w:rsidP="0039793A">
      <w:pPr>
        <w:pStyle w:val="a"/>
      </w:pPr>
      <w:r w:rsidRPr="001A54A0">
        <w:t>Les ada</w:t>
      </w:r>
      <w:r>
        <w:t>ptations</w:t>
      </w:r>
      <w:r>
        <w:br/>
      </w:r>
      <w:r w:rsidRPr="001A54A0">
        <w:t>au nouvel environnement stratégique</w:t>
      </w:r>
    </w:p>
    <w:p w14:paraId="7D09A189" w14:textId="77777777" w:rsidR="0039793A" w:rsidRDefault="0039793A" w:rsidP="0039793A">
      <w:pPr>
        <w:spacing w:before="120" w:after="120"/>
        <w:jc w:val="both"/>
      </w:pPr>
    </w:p>
    <w:p w14:paraId="75871035" w14:textId="77777777" w:rsidR="0039793A" w:rsidRPr="00253D98" w:rsidRDefault="0039793A" w:rsidP="0039793A">
      <w:pPr>
        <w:spacing w:before="120" w:after="120"/>
        <w:jc w:val="both"/>
      </w:pPr>
      <w:r w:rsidRPr="00253D98">
        <w:t>Prévenir un nouveau 11 septembre a été érigé en véritable priorité stratégique par le président Bush. C’est là l’origine du tournant majeur dans la politique étrangère américaine, caractérisé par la guerre pr</w:t>
      </w:r>
      <w:r w:rsidRPr="00253D98">
        <w:t>é</w:t>
      </w:r>
      <w:r w:rsidRPr="00253D98">
        <w:t>ventive et la détermination du président à affirmer la souveraineté a</w:t>
      </w:r>
      <w:r w:rsidRPr="00253D98">
        <w:t>b</w:t>
      </w:r>
      <w:r w:rsidRPr="00253D98">
        <w:t>solue des États-Unis lorsque la sécurité nationale est en cause. Dans son discours sur l’état de l’Union, en janvier 2003, le président affi</w:t>
      </w:r>
      <w:r w:rsidRPr="00253D98">
        <w:t>r</w:t>
      </w:r>
      <w:r w:rsidRPr="00253D98">
        <w:t>me que « la route empruntée par [les États-Unis] ne dépend pas de la décision des autres », ce que confirme d’ailleurs la décision de passer outre l’absence de résolution des Nations unies autorisant spécifiqu</w:t>
      </w:r>
      <w:r w:rsidRPr="00253D98">
        <w:t>e</w:t>
      </w:r>
      <w:r w:rsidRPr="00253D98">
        <w:t>ment l’usage de la force contre l’Irak en 2003. Peu enclins à la guerre préventive au cours de leur Histoire (on notera même qu’ils cult</w:t>
      </w:r>
      <w:r w:rsidRPr="00253D98">
        <w:t>i</w:t>
      </w:r>
      <w:r w:rsidRPr="00253D98">
        <w:t>vaient la retenue et la diplomatie, de manière systématique et déterm</w:t>
      </w:r>
      <w:r w:rsidRPr="00253D98">
        <w:t>i</w:t>
      </w:r>
      <w:r w:rsidRPr="00253D98">
        <w:t>née, tant que les autres acteurs internationaux ne les forçaient pas à intervenir militairement), les États-Unis ont, dans le cas de l’Irak, « tiré en premier ». Il faut dorénavant « repenser la sécurité » en des termes nouveaux, où les frontières ne comptent plus, où l’État dél</w:t>
      </w:r>
      <w:r w:rsidRPr="00253D98">
        <w:t>i</w:t>
      </w:r>
      <w:r w:rsidRPr="00253D98">
        <w:t xml:space="preserve">quescent </w:t>
      </w:r>
      <w:r w:rsidRPr="00253D98">
        <w:rPr>
          <w:rStyle w:val="Corpsdutexte27ptItalique"/>
        </w:rPr>
        <w:t xml:space="preserve">(failed State), </w:t>
      </w:r>
      <w:r w:rsidRPr="00253D98">
        <w:t>incapable de contrôler son propre territoire, devient une donnée cruciale. Cela ne peut qu’encourager les États-Unis à to</w:t>
      </w:r>
      <w:r w:rsidRPr="00253D98">
        <w:t>u</w:t>
      </w:r>
      <w:r w:rsidRPr="00253D98">
        <w:t>jours plus d’ingérence et c’est un véritable vecteur d’impérialisme. Sur le plan interne, les évolutions sont également substantielles : en témoignent la restructuration et l’adaptation des institutions admini</w:t>
      </w:r>
      <w:r w:rsidRPr="00253D98">
        <w:t>s</w:t>
      </w:r>
      <w:r w:rsidRPr="00253D98">
        <w:t>tratives avec la création, en 2002, du département de la Sécurité int</w:t>
      </w:r>
      <w:r w:rsidRPr="00253D98">
        <w:t>é</w:t>
      </w:r>
      <w:r w:rsidRPr="00253D98">
        <w:t>rieure (Department of Homeland Security), et le r</w:t>
      </w:r>
      <w:r w:rsidRPr="00253D98">
        <w:t>e</w:t>
      </w:r>
      <w:r w:rsidRPr="00253D98">
        <w:t>groupement en son sein de presque toutes les agences fédérales cha</w:t>
      </w:r>
      <w:r w:rsidRPr="00253D98">
        <w:t>r</w:t>
      </w:r>
      <w:r w:rsidRPr="00253D98">
        <w:t>gées de lutter contre le terrorisme (garde-côtes, douanes, services de l’immigration et des visas et l’unité de protection rapprochée du président), la réorganis</w:t>
      </w:r>
      <w:r w:rsidRPr="00253D98">
        <w:t>a</w:t>
      </w:r>
      <w:r w:rsidRPr="00253D98">
        <w:t>tion profonde du FBI dont l’un des rôles centraux devient la lutte contre le terrorisme, et la création d’un commandement militaire un</w:t>
      </w:r>
      <w:r w:rsidRPr="00253D98">
        <w:t>i</w:t>
      </w:r>
      <w:r w:rsidRPr="00253D98">
        <w:t>fié chargé de la défense du territoire (Northern Command).</w:t>
      </w:r>
    </w:p>
    <w:p w14:paraId="5985C2CE" w14:textId="77777777" w:rsidR="0039793A" w:rsidRPr="00253D98" w:rsidRDefault="0039793A" w:rsidP="0039793A">
      <w:pPr>
        <w:spacing w:before="120" w:after="120"/>
        <w:jc w:val="both"/>
      </w:pPr>
      <w:r w:rsidRPr="00253D98">
        <w:t xml:space="preserve">Cette transformation institutionnelle s’accompagne de l’accentuation d’un phénomène observé dès les années Clinton, et dont l’origine remonte au </w:t>
      </w:r>
      <w:r w:rsidRPr="001B010A">
        <w:rPr>
          <w:i/>
          <w:iCs/>
        </w:rPr>
        <w:t>Goldwater-Nichols Act</w:t>
      </w:r>
      <w:r w:rsidRPr="00253D98">
        <w:t xml:space="preserve"> de 1986 réorgan</w:t>
      </w:r>
      <w:r w:rsidRPr="00253D98">
        <w:t>i</w:t>
      </w:r>
      <w:r w:rsidRPr="00253D98">
        <w:t>sant</w:t>
      </w:r>
      <w:r>
        <w:t xml:space="preserve"> [347] </w:t>
      </w:r>
      <w:r w:rsidRPr="00253D98">
        <w:t>le Pentagone : le département de la Défense acquiert une importa</w:t>
      </w:r>
      <w:r w:rsidRPr="00253D98">
        <w:t>n</w:t>
      </w:r>
      <w:r w:rsidRPr="00253D98">
        <w:t>ce sans cesse croissante, non seulement dans la formulation de la pol</w:t>
      </w:r>
      <w:r w:rsidRPr="00253D98">
        <w:t>i</w:t>
      </w:r>
      <w:r w:rsidRPr="00253D98">
        <w:t>tique de Défense, mais aussi et surtout dans l’élaboration de la polit</w:t>
      </w:r>
      <w:r w:rsidRPr="00253D98">
        <w:t>i</w:t>
      </w:r>
      <w:r w:rsidRPr="00253D98">
        <w:t>que étrangère des États-Unis. Cette « pentagonisation » de la diplom</w:t>
      </w:r>
      <w:r w:rsidRPr="00253D98">
        <w:t>a</w:t>
      </w:r>
      <w:r w:rsidRPr="00253D98">
        <w:t>tie américaine s’explique par plusieurs facteurs : le maintien d’un budget militaire élevé tandis que celui du Département d’État stagnait, l’efficacité matérielle et la réactivité du Pentagone (les ordres du commandant en chef — le président — n’y étant pas discutés et ne se heurtant pas aux tergiversations des alliés), l’ascendant, notamment sous Clinton, des généraux sur un président manquant de crédibilité dans les affaires militaires et l’attention particulière accordée par l’Administration G.W. Bush aux questions de sécurité (aux dépens des dossiers commerciaux, sanitaires et environnementaux). Cette orientation, symbolisée par le rôle central occupé par le secrétaire à la Défense, Donald Rumsfeld, dans les relations extérieures de l’Administration Bush, va de pair avec une tendance à la militarisation de la politique étrangère américaine : l’outil militaire est privilégié (par rapport à d’autres tels que la diplomatie, l’aide au développement et l’action multilatérale) pour servir des enjeux très différents, comme la lutte contre le terrorisme (en Afghanistan), contre le trafic de dr</w:t>
      </w:r>
      <w:r w:rsidRPr="00253D98">
        <w:t>o</w:t>
      </w:r>
      <w:r w:rsidRPr="00253D98">
        <w:t>gue (avec le plan Colombie), contre la prolifération des armes de de</w:t>
      </w:r>
      <w:r w:rsidRPr="00253D98">
        <w:t>s</w:t>
      </w:r>
      <w:r w:rsidRPr="00253D98">
        <w:t>truction massive (en Irak). Le tout est de déterminer si la disparition de la dissuasion comme concept central de la stratégie américaine, le recours à la guerre préventive, la propension à l’unilatéralisme, et la centralité nouvelle de la protection du territoire national, seront dur</w:t>
      </w:r>
      <w:r w:rsidRPr="00253D98">
        <w:t>a</w:t>
      </w:r>
      <w:r w:rsidRPr="00253D98">
        <w:t>bles, et explicables par la secousse tellurique du 11 septembre, ou e</w:t>
      </w:r>
      <w:r w:rsidRPr="00253D98">
        <w:t>n</w:t>
      </w:r>
      <w:r w:rsidRPr="00253D98">
        <w:t>core conjoncturels et liés aux spécificités de l’équipe au pouvoir.</w:t>
      </w:r>
    </w:p>
    <w:p w14:paraId="7B8F34EB" w14:textId="77777777" w:rsidR="0039793A" w:rsidRDefault="0039793A" w:rsidP="0039793A">
      <w:pPr>
        <w:spacing w:before="120" w:after="120"/>
        <w:jc w:val="both"/>
      </w:pPr>
    </w:p>
    <w:p w14:paraId="3FEE24A4" w14:textId="77777777" w:rsidR="0039793A" w:rsidRPr="00FA25DC" w:rsidRDefault="0039793A" w:rsidP="0039793A">
      <w:pPr>
        <w:pStyle w:val="a"/>
      </w:pPr>
      <w:r w:rsidRPr="00FA25DC">
        <w:t>Une nation en guerre</w:t>
      </w:r>
    </w:p>
    <w:p w14:paraId="2E00786D" w14:textId="77777777" w:rsidR="0039793A" w:rsidRDefault="0039793A" w:rsidP="0039793A">
      <w:pPr>
        <w:spacing w:before="120" w:after="120"/>
        <w:jc w:val="both"/>
      </w:pPr>
    </w:p>
    <w:p w14:paraId="6318C70F" w14:textId="77777777" w:rsidR="0039793A" w:rsidRPr="00253D98" w:rsidRDefault="0039793A" w:rsidP="0039793A">
      <w:pPr>
        <w:spacing w:before="120" w:after="120"/>
        <w:jc w:val="both"/>
      </w:pPr>
      <w:r w:rsidRPr="00253D98">
        <w:t>L’après-11 septembre semble être une période atypique de la vie politique américaine, et s’il fallait une preuve, on la trouverait dans les sondages de popularité du président Bush, comparable à celle de temps de guerre, à l’image de F.D. Roosevelt bien sûr, mais aussi de Kennedy lors de la crise des missiles de Cuba ou George H. Bush lors de la première guerre du Golfe. Il faut d’ailleurs préciser que la pop</w:t>
      </w:r>
      <w:r w:rsidRPr="00253D98">
        <w:t>u</w:t>
      </w:r>
      <w:r>
        <w:t>larité de Bush fils s’est main</w:t>
      </w:r>
      <w:r w:rsidRPr="00253D98">
        <w:t>tenue</w:t>
      </w:r>
      <w:r>
        <w:t xml:space="preserve"> [348]</w:t>
      </w:r>
      <w:r w:rsidRPr="00253D98">
        <w:t xml:space="preserve"> à des niveaux élevés plus longtemps encore que celle de ces derniers (au-dessus de 80</w:t>
      </w:r>
      <w:r>
        <w:t>%</w:t>
      </w:r>
      <w:r w:rsidRPr="00253D98">
        <w:t xml:space="preserve"> ju</w:t>
      </w:r>
      <w:r w:rsidRPr="00253D98">
        <w:t>s</w:t>
      </w:r>
      <w:r w:rsidRPr="00253D98">
        <w:t>qu’en mars 2002, au-dessus de 70</w:t>
      </w:r>
      <w:r>
        <w:t>%</w:t>
      </w:r>
      <w:r w:rsidRPr="00253D98">
        <w:t xml:space="preserve"> jusqu’en juillet), surtout si on la compare avec les niveaux hist</w:t>
      </w:r>
      <w:r w:rsidRPr="00253D98">
        <w:t>o</w:t>
      </w:r>
      <w:r w:rsidRPr="00253D98">
        <w:t>riquement bas d’avant le 11 septembre. L’incertitude généralisée liée au terrorisme a conduit le peuple amér</w:t>
      </w:r>
      <w:r w:rsidRPr="00253D98">
        <w:t>i</w:t>
      </w:r>
      <w:r w:rsidRPr="00253D98">
        <w:t>cain non seulement à percevoir positivement le président, comma</w:t>
      </w:r>
      <w:r w:rsidRPr="00253D98">
        <w:t>n</w:t>
      </w:r>
      <w:r w:rsidRPr="00253D98">
        <w:t>dant en chef des armées et respo</w:t>
      </w:r>
      <w:r w:rsidRPr="00253D98">
        <w:t>n</w:t>
      </w:r>
      <w:r w:rsidRPr="00253D98">
        <w:t>sable de la sécurité des États-Unis, mais également à lui laisser le b</w:t>
      </w:r>
      <w:r w:rsidRPr="00253D98">
        <w:t>é</w:t>
      </w:r>
      <w:r w:rsidRPr="00253D98">
        <w:t>néfice du doute, sur des questions aussi floues que le bien-fondé de l’intervention en Irak dans la lutte contre le terrorisme : « Le président doit savoir ce qu’il fait. »</w:t>
      </w:r>
    </w:p>
    <w:p w14:paraId="48998601" w14:textId="77777777" w:rsidR="0039793A" w:rsidRPr="00253D98" w:rsidRDefault="0039793A" w:rsidP="0039793A">
      <w:pPr>
        <w:spacing w:before="120" w:after="120"/>
        <w:jc w:val="both"/>
      </w:pPr>
      <w:r w:rsidRPr="00253D98">
        <w:t>Cet effet de ralliement populaire autour du drapeau, cette union s</w:t>
      </w:r>
      <w:r w:rsidRPr="00253D98">
        <w:t>a</w:t>
      </w:r>
      <w:r w:rsidRPr="00253D98">
        <w:t>crée, s’est également observé au Congrès. La conjonction de ces deux facteurs a permis, à compter de l’automne 2001, la rapide montée en puissance d’une nouvelle « présidence impériale » fondée, une fois encore, sur les questions de défense et de sécurité. On a pu souligner que l’invasion de l’Irak était prévue depuis quelques années déjà, et par un petit nombre de décideurs autour du président Bush qui ont r</w:t>
      </w:r>
      <w:r w:rsidRPr="00253D98">
        <w:t>é</w:t>
      </w:r>
      <w:r w:rsidRPr="00253D98">
        <w:t>ussi à entraîner le Congrès et l’opinion publique avec eux. Cela n’aurait toutefois jamais été possible si l’Amérique ne s’était pas pr</w:t>
      </w:r>
      <w:r w:rsidRPr="00253D98">
        <w:t>o</w:t>
      </w:r>
      <w:r w:rsidRPr="00253D98">
        <w:t>fondément sentie en guerre. L’évolution drastique des rapports entre les pouvoirs exécutif et législatif après le 11 septembre en témoigne : la présidence a bénéficié d’une marge de manœuvre incomparabl</w:t>
      </w:r>
      <w:r w:rsidRPr="00253D98">
        <w:t>e</w:t>
      </w:r>
      <w:r w:rsidRPr="00253D98">
        <w:t xml:space="preserve">ment plus grande et, sur les questions de défense du territoire en tout cas, d’un véritable consensus bipartisan. C’est d’ailleurs ce consensus qui permet de faire adopter trois lois majeures, la première autorisant l’usage de la force contre l’Afghanistan puis l’Irak, la deuxième, le </w:t>
      </w:r>
      <w:r w:rsidRPr="001616A8">
        <w:rPr>
          <w:rStyle w:val="Corpsdutexte285ptItaliqueEspacement0pt"/>
        </w:rPr>
        <w:t>USA</w:t>
      </w:r>
      <w:r w:rsidRPr="001616A8">
        <w:rPr>
          <w:rStyle w:val="Corpsdutexte285ptItaliqueEspacement0pt"/>
          <w:i w:val="0"/>
          <w:iCs w:val="0"/>
        </w:rPr>
        <w:t xml:space="preserve"> </w:t>
      </w:r>
      <w:r w:rsidRPr="001616A8">
        <w:rPr>
          <w:i/>
          <w:iCs/>
        </w:rPr>
        <w:t>Patriot Act</w:t>
      </w:r>
      <w:r w:rsidRPr="00253D98">
        <w:t>, mettant en place le nouveau dispositif antiterroriste sur le territoire national, et la troisième créant le département de la Sécurité intérieure - l’évolution institutionnelle la plus importante d</w:t>
      </w:r>
      <w:r w:rsidRPr="00253D98">
        <w:t>e</w:t>
      </w:r>
      <w:r w:rsidRPr="00253D98">
        <w:t xml:space="preserve">puis le </w:t>
      </w:r>
      <w:r w:rsidRPr="001616A8">
        <w:rPr>
          <w:i/>
          <w:iCs/>
        </w:rPr>
        <w:t>National Security Act</w:t>
      </w:r>
      <w:r w:rsidRPr="00253D98">
        <w:t xml:space="preserve"> de 1947. L’ascendant de la présidence s’est également manifesté dans les libertés qu’elle a prises vis-à-vis du Congrès sans d’ailleurs que ce dernier réagisse excessivement (pas de communication des documents de la </w:t>
      </w:r>
      <w:r w:rsidRPr="001616A8">
        <w:rPr>
          <w:i/>
          <w:iCs/>
        </w:rPr>
        <w:t>Task force</w:t>
      </w:r>
      <w:r w:rsidRPr="00253D98">
        <w:t xml:space="preserve"> sur l’énergie du vice-président Cheney ; profil bas des commissions d’enquête sur le 11 septembre et les erreurs du FBI). L’Exécutif, libre de tout contrepoids, a ainsi créé au moyen de simples directives présidentielles, des trib</w:t>
      </w:r>
      <w:r w:rsidRPr="00253D98">
        <w:t>u</w:t>
      </w:r>
      <w:r w:rsidRPr="00253D98">
        <w:t>naux militaires spéciaux pour juger les étrangers suspectés de terr</w:t>
      </w:r>
      <w:r w:rsidRPr="00253D98">
        <w:t>o</w:t>
      </w:r>
      <w:r w:rsidRPr="00253D98">
        <w:t>risme.</w:t>
      </w:r>
    </w:p>
    <w:p w14:paraId="44B6C25C" w14:textId="77777777" w:rsidR="0039793A" w:rsidRDefault="0039793A" w:rsidP="0039793A">
      <w:pPr>
        <w:spacing w:before="120" w:after="120"/>
        <w:jc w:val="both"/>
      </w:pPr>
      <w:r>
        <w:t>[349]</w:t>
      </w:r>
    </w:p>
    <w:p w14:paraId="324B0FC6" w14:textId="77777777" w:rsidR="0039793A" w:rsidRPr="00253D98" w:rsidRDefault="0039793A" w:rsidP="0039793A">
      <w:pPr>
        <w:spacing w:before="120" w:after="120"/>
        <w:jc w:val="both"/>
      </w:pPr>
      <w:r w:rsidRPr="00253D98">
        <w:t>L’effet d’union sacrée est réel : dans la société civile, le degré de cohésion est beaucoup plus élevé. Les intérêts particuliers n’ont certes pas disparu (ils restent particulièrement présents sur le plan interne) mais la guerre contre le terrorisme a considérablement diminué l’influence des lobbies dans la politique étrangère. Le patriotisme ex</w:t>
      </w:r>
      <w:r w:rsidRPr="00253D98">
        <w:t>a</w:t>
      </w:r>
      <w:r w:rsidRPr="00253D98">
        <w:t>cerbé a parfois cherché à occulter les voix dissidentes. Cela a d’ailleurs eu un rôle réel concernant la presse qui, quoique critique, a affiché une tonalité beaucoup plus positive qu’avant le 11 septembre.</w:t>
      </w:r>
    </w:p>
    <w:p w14:paraId="04A8FC4B" w14:textId="77777777" w:rsidR="0039793A" w:rsidRPr="00253D98" w:rsidRDefault="0039793A" w:rsidP="0039793A">
      <w:pPr>
        <w:spacing w:before="120" w:after="120"/>
        <w:jc w:val="both"/>
      </w:pPr>
      <w:r w:rsidRPr="00253D98">
        <w:t>En d’autres termes, l’Amérique est en guerre, et chacun des él</w:t>
      </w:r>
      <w:r w:rsidRPr="00253D98">
        <w:t>é</w:t>
      </w:r>
      <w:r w:rsidRPr="00253D98">
        <w:t>ments qui déterminent sa politique étrangère a connu une évolution subtile, aboutissant finalement à déplacer les lignes de partage qui prévalaient avant le 11 septembre.</w:t>
      </w:r>
    </w:p>
    <w:p w14:paraId="61E38928" w14:textId="77777777" w:rsidR="0039793A" w:rsidRDefault="0039793A" w:rsidP="0039793A">
      <w:pPr>
        <w:spacing w:before="120" w:after="120"/>
        <w:jc w:val="both"/>
      </w:pPr>
    </w:p>
    <w:p w14:paraId="7111C168" w14:textId="77777777" w:rsidR="0039793A" w:rsidRPr="00885E5B" w:rsidRDefault="0039793A" w:rsidP="0039793A">
      <w:pPr>
        <w:pStyle w:val="a"/>
      </w:pPr>
      <w:r w:rsidRPr="00885E5B">
        <w:t>Le rôle de l’Admin</w:t>
      </w:r>
      <w:r>
        <w:t>istration Bush dans le tournant</w:t>
      </w:r>
      <w:r>
        <w:br/>
      </w:r>
      <w:r w:rsidRPr="00885E5B">
        <w:t>pris par la polit</w:t>
      </w:r>
      <w:r w:rsidRPr="00885E5B">
        <w:t>i</w:t>
      </w:r>
      <w:r w:rsidRPr="00885E5B">
        <w:t>que étrangère américaine</w:t>
      </w:r>
    </w:p>
    <w:p w14:paraId="5135B8FA" w14:textId="77777777" w:rsidR="0039793A" w:rsidRDefault="0039793A" w:rsidP="0039793A">
      <w:pPr>
        <w:spacing w:before="120" w:after="120"/>
        <w:jc w:val="both"/>
      </w:pPr>
    </w:p>
    <w:p w14:paraId="150634F3" w14:textId="77777777" w:rsidR="0039793A" w:rsidRPr="00253D98" w:rsidRDefault="0039793A" w:rsidP="0039793A">
      <w:pPr>
        <w:spacing w:before="120" w:after="120"/>
        <w:jc w:val="both"/>
      </w:pPr>
      <w:r w:rsidRPr="00253D98">
        <w:t>Même si l’issue des élections présidentielles de 2000 avait été a</w:t>
      </w:r>
      <w:r w:rsidRPr="00253D98">
        <w:t>u</w:t>
      </w:r>
      <w:r w:rsidRPr="00253D98">
        <w:t>tre, il est vraisemblable que les premiers mois suivant le 11 septembre auraient connu les mêmes évolutions. Autrement dit, cette période n’aurait amené aucun changement (montée en puissance de l’Exécutif, intervention en Afghanistan, restructuration du FBI) qui n’aurait été attribuable qu’à la seule Administration Bush : à quelques différences près, une Administration Gore aurait sans doute agi de même. Ce n’est que par la suite que l’Administration Bush a imprimé sa marque au cours des événements.</w:t>
      </w:r>
    </w:p>
    <w:p w14:paraId="2A2A17DC" w14:textId="77777777" w:rsidR="0039793A" w:rsidRPr="00253D98" w:rsidRDefault="0039793A" w:rsidP="0039793A">
      <w:pPr>
        <w:spacing w:before="120" w:after="120"/>
        <w:jc w:val="both"/>
      </w:pPr>
      <w:r w:rsidRPr="00253D98">
        <w:t>Dans ses relations avec le Congrès en effet, cette Administration estimait, dès avant le 11 septembre, qu’il convenait de refouler l’influence du Législatif pour offrir à la présidence une marge de manœuvre plus grande (c’était l’un des credo du vice-président Ch</w:t>
      </w:r>
      <w:r w:rsidRPr="00253D98">
        <w:t>e</w:t>
      </w:r>
      <w:r w:rsidRPr="00253D98">
        <w:t>ney). Et de fait, l’après-11 septembre a fourni l’occasion de réaliser cet objectif. Quant à la centralité nouvelle de la protection du territo</w:t>
      </w:r>
      <w:r w:rsidRPr="00253D98">
        <w:t>i</w:t>
      </w:r>
      <w:r w:rsidRPr="00253D98">
        <w:t>re, si elle est réelle et justifiée, il reste que la présidence a su en extra</w:t>
      </w:r>
      <w:r w:rsidRPr="00253D98">
        <w:t>i</w:t>
      </w:r>
      <w:r w:rsidRPr="00253D98">
        <w:t>re des bénéfices politiques. La campagne, déclenchée à partir de se</w:t>
      </w:r>
      <w:r w:rsidRPr="00253D98">
        <w:t>p</w:t>
      </w:r>
      <w:r w:rsidRPr="00253D98">
        <w:t>tembre 2002, de mobilisation politique en faveur d’une intervention militaire en Irak a été utilisée par les républicains pour obtenir un avantage électoral dans les élections de mi-mandat de novembre : d</w:t>
      </w:r>
      <w:r w:rsidRPr="00253D98">
        <w:t>o</w:t>
      </w:r>
      <w:r w:rsidRPr="00253D98">
        <w:t>minant</w:t>
      </w:r>
      <w:r>
        <w:t xml:space="preserve"> [350] </w:t>
      </w:r>
      <w:r w:rsidRPr="00253D98">
        <w:t>les débats, elle a permis d’évacuer les questions écon</w:t>
      </w:r>
      <w:r w:rsidRPr="00253D98">
        <w:t>o</w:t>
      </w:r>
      <w:r w:rsidRPr="00253D98">
        <w:t>miques et les problèmes de politique intérieure, empêchant les dém</w:t>
      </w:r>
      <w:r w:rsidRPr="00253D98">
        <w:t>o</w:t>
      </w:r>
      <w:r w:rsidRPr="00253D98">
        <w:t>crates de r</w:t>
      </w:r>
      <w:r w:rsidRPr="00253D98">
        <w:t>e</w:t>
      </w:r>
      <w:r w:rsidRPr="00253D98">
        <w:t>trouver leur terrain de prédilection et de critiquer ainsi l’Administration. Il est certain que la relative soumission du Congrès à des fondements structurels (au nombre desquels une majorité rép</w:t>
      </w:r>
      <w:r w:rsidRPr="00253D98">
        <w:t>u</w:t>
      </w:r>
      <w:r w:rsidRPr="00253D98">
        <w:t>blicaine dans les deux Chambres — sauf dans une courte période, e</w:t>
      </w:r>
      <w:r w:rsidRPr="00253D98">
        <w:t>n</w:t>
      </w:r>
      <w:r w:rsidRPr="00253D98">
        <w:t>tre juin 2001 et novembre 2002, au Sénat) trouve également une e</w:t>
      </w:r>
      <w:r w:rsidRPr="00253D98">
        <w:t>x</w:t>
      </w:r>
      <w:r w:rsidRPr="00253D98">
        <w:t>plication dans l’utilisation judicieuse, par le président, de son autorité de commandant en chef des armées et de responsable de la sécurité nationale pour neutraliser l’opposition et le recours à des slogans m</w:t>
      </w:r>
      <w:r w:rsidRPr="00253D98">
        <w:t>a</w:t>
      </w:r>
      <w:r w:rsidRPr="00253D98">
        <w:t>nichéens : « Vous êtes avec nous ou contre nous. »</w:t>
      </w:r>
    </w:p>
    <w:p w14:paraId="2BE214A3" w14:textId="77777777" w:rsidR="0039793A" w:rsidRPr="00253D98" w:rsidRDefault="0039793A" w:rsidP="0039793A">
      <w:pPr>
        <w:spacing w:before="120" w:after="120"/>
        <w:jc w:val="both"/>
      </w:pPr>
      <w:r w:rsidRPr="00253D98">
        <w:t>Incontestablement, une partie de l’évolution de la politique étra</w:t>
      </w:r>
      <w:r w:rsidRPr="00253D98">
        <w:t>n</w:t>
      </w:r>
      <w:r w:rsidRPr="00253D98">
        <w:t>gère américaine après le 11 septembre repose sur l’exploitation, par l’Administration en place, de ce nouveau contexte qui lui a permis de mettre en œuvre un programme préexistant. Deux exemples sont pa</w:t>
      </w:r>
      <w:r w:rsidRPr="00253D98">
        <w:t>r</w:t>
      </w:r>
      <w:r w:rsidRPr="00253D98">
        <w:t>ticulièrement probants. D’une part, l’augmentation substantielle du budget de la Défense (avec un objectif de 500 milliards de dollars à la fin de la décennie, contre 330 milliards en 2001) n’est pas destinée à financer la seule lutte contre le terrorisme. D’autre part, l’élimination du régime de Saddam Hussein en Irak, que seul le contexte du 11 se</w:t>
      </w:r>
      <w:r w:rsidRPr="00253D98">
        <w:t>p</w:t>
      </w:r>
      <w:r w:rsidRPr="00253D98">
        <w:t>tembre a rendu possible, figurait au programme de certains membres de l’Administration depuis 1998. Dans un cas comme dans l’autre, ces évolutions n’ont que peu de lien avec ce qui s’est passé le 11 septe</w:t>
      </w:r>
      <w:r w:rsidRPr="00253D98">
        <w:t>m</w:t>
      </w:r>
      <w:r w:rsidRPr="00253D98">
        <w:t>bre. Autrement dit, une partie des changements enregistrés dans la politique étrangère américaine ne s’explique que par les particularités, le mode opératoire et l’agenda spécifique de l’équipe au pouvoir. Cela pourrait signifier que ces évolutions pourraient n'être qu’éphémères. On peut par contre supposer que les grandes tendances préexistant au 11 septembre et à l’avènement de l’Administration Bush sont plus susceptibles de perdurer. C’est le cas de la « pentagonisation » de la politique étrangère américaine, mais aussi de la propension à l’unilatéralisme, qui avait été l’une des caractéristiques de la politique étrangère américaine du second mandat de Bill Clinton, tant en raison de la détermination du Congrès républicain avec lequel il devait co</w:t>
      </w:r>
      <w:r w:rsidRPr="00253D98">
        <w:t>m</w:t>
      </w:r>
      <w:r w:rsidRPr="00253D98">
        <w:t>poser que des caractéristiques structurelles du système international de l’après-guerre froide.</w:t>
      </w:r>
    </w:p>
    <w:p w14:paraId="1B3E7028" w14:textId="77777777" w:rsidR="0039793A" w:rsidRPr="00253D98" w:rsidRDefault="0039793A" w:rsidP="0039793A">
      <w:pPr>
        <w:spacing w:before="120" w:after="120"/>
        <w:jc w:val="both"/>
      </w:pPr>
      <w:r w:rsidRPr="00253D98">
        <w:t>L’après-11 septembre est donc le théâtre de plusieurs chang</w:t>
      </w:r>
      <w:r w:rsidRPr="00253D98">
        <w:t>e</w:t>
      </w:r>
      <w:r w:rsidRPr="00253D98">
        <w:t>ments : certains correspondent à l’accentuation de tendances</w:t>
      </w:r>
      <w:r>
        <w:t xml:space="preserve"> [351] </w:t>
      </w:r>
      <w:r w:rsidRPr="00253D98">
        <w:t>préexistantes, d’autres à la mise en œuvre opportuniste de déc</w:t>
      </w:r>
      <w:r w:rsidRPr="00253D98">
        <w:t>i</w:t>
      </w:r>
      <w:r w:rsidRPr="00253D98">
        <w:t>sions politiques, et d’autres encore résultant directement des attaques terr</w:t>
      </w:r>
      <w:r w:rsidRPr="00253D98">
        <w:t>o</w:t>
      </w:r>
      <w:r w:rsidRPr="00253D98">
        <w:t>ristes (l’évolution des attitudes de l’opinion publique américaine et la centralité nouvelle, dans l’action extérieure de l’Amérique et ses structures de décision, de la lutte contre le terrorisme et la prolifér</w:t>
      </w:r>
      <w:r w:rsidRPr="00253D98">
        <w:t>a</w:t>
      </w:r>
      <w:r w:rsidRPr="00253D98">
        <w:t>tion des armes de destruction massive). Et ceci conduit à formuler, sans toutefois se prononcer sur la pérennité de ces évolutions, deux remarques conclusives, dans deux directions opposées.</w:t>
      </w:r>
    </w:p>
    <w:p w14:paraId="45617830" w14:textId="77777777" w:rsidR="0039793A" w:rsidRPr="00253D98" w:rsidRDefault="0039793A" w:rsidP="0039793A">
      <w:pPr>
        <w:spacing w:before="120" w:after="120"/>
        <w:jc w:val="both"/>
      </w:pPr>
      <w:r w:rsidRPr="00253D98">
        <w:t>D’une part, il existe un certain effet de cliquet dans les engag</w:t>
      </w:r>
      <w:r w:rsidRPr="00253D98">
        <w:t>e</w:t>
      </w:r>
      <w:r w:rsidRPr="00253D98">
        <w:t xml:space="preserve">ments internationaux des </w:t>
      </w:r>
      <w:r>
        <w:t>État</w:t>
      </w:r>
      <w:r w:rsidRPr="00253D98">
        <w:t>s-Unis : une fois présente dans une r</w:t>
      </w:r>
      <w:r w:rsidRPr="00253D98">
        <w:t>é</w:t>
      </w:r>
      <w:r w:rsidRPr="00253D98">
        <w:t>gion donnée, il est rare que ces derniers abandonnent tout à fait leur rôle et leurs responsabilités. Ce mécanisme, observable également dans certains dossiers internationaux (coopération militaire, policière, de renseignement) renforce sa centralité dans le système international. Ceci tend logiquement à pérenniser certains traits de sa politique étrangère, comme le rôle clé du président et du Pentagone, la conce</w:t>
      </w:r>
      <w:r w:rsidRPr="00253D98">
        <w:t>p</w:t>
      </w:r>
      <w:r w:rsidRPr="00253D98">
        <w:t>tion absolutiste de sa souveraineté et la propension à l’action unilat</w:t>
      </w:r>
      <w:r w:rsidRPr="00253D98">
        <w:t>é</w:t>
      </w:r>
      <w:r w:rsidRPr="00253D98">
        <w:t>rale.</w:t>
      </w:r>
    </w:p>
    <w:p w14:paraId="474C921E" w14:textId="77777777" w:rsidR="0039793A" w:rsidRPr="00253D98" w:rsidRDefault="0039793A" w:rsidP="0039793A">
      <w:pPr>
        <w:spacing w:before="120" w:after="120"/>
        <w:jc w:val="both"/>
      </w:pPr>
      <w:r w:rsidRPr="00253D98">
        <w:t>D’autre part, en dépit de sa progression constante vers des respo</w:t>
      </w:r>
      <w:r w:rsidRPr="00253D98">
        <w:t>n</w:t>
      </w:r>
      <w:r w:rsidRPr="00253D98">
        <w:t xml:space="preserve">sabilités et une centralité toujours plus grande, la politique étrangère des </w:t>
      </w:r>
      <w:r>
        <w:t>État</w:t>
      </w:r>
      <w:r w:rsidRPr="00253D98">
        <w:t>s-Unis est soumise à des mouvements cycliques : elle oscille entre mouvements d’introversion et de stabilisation, moments d’extraversion et d’expansion, présidentialisation et rôle accru du Congrès et de la société civile, entre optimisme interventionniste et pessimisme conservateur, entre confrontation et conciliation. En d’autres termes, la mise en œuvre des mécanismes de la politique étrangère et sa formulation ne sont pas intangibles, puisqu’elle est non pas le fait d’un bloc monolithique, mais celui d’une conjonction de facteurs et d’acteurs.</w:t>
      </w:r>
    </w:p>
    <w:p w14:paraId="5F8E6A14" w14:textId="77777777" w:rsidR="0039793A" w:rsidRPr="00253D98" w:rsidRDefault="0039793A" w:rsidP="0039793A">
      <w:pPr>
        <w:spacing w:before="120" w:after="120"/>
        <w:jc w:val="both"/>
      </w:pPr>
    </w:p>
    <w:p w14:paraId="758871A8" w14:textId="77777777" w:rsidR="0039793A" w:rsidRPr="00253D98" w:rsidRDefault="0039793A" w:rsidP="0039793A">
      <w:pPr>
        <w:pStyle w:val="p"/>
      </w:pPr>
      <w:r>
        <w:t>[352]</w:t>
      </w:r>
    </w:p>
    <w:p w14:paraId="0E7D258F" w14:textId="77777777" w:rsidR="0039793A" w:rsidRPr="00253D98" w:rsidRDefault="0039793A" w:rsidP="0039793A">
      <w:pPr>
        <w:pStyle w:val="p"/>
      </w:pPr>
      <w:r w:rsidRPr="00253D98">
        <w:br w:type="page"/>
      </w:r>
      <w:r>
        <w:t>[353]</w:t>
      </w:r>
    </w:p>
    <w:p w14:paraId="7216853C" w14:textId="77777777" w:rsidR="0039793A" w:rsidRPr="00E07116" w:rsidRDefault="0039793A" w:rsidP="0039793A">
      <w:pPr>
        <w:jc w:val="both"/>
      </w:pPr>
    </w:p>
    <w:p w14:paraId="65024807" w14:textId="77777777" w:rsidR="0039793A" w:rsidRPr="00E07116" w:rsidRDefault="0039793A" w:rsidP="0039793A">
      <w:pPr>
        <w:jc w:val="both"/>
      </w:pPr>
    </w:p>
    <w:p w14:paraId="239230DA" w14:textId="77777777" w:rsidR="0039793A" w:rsidRPr="00E07116" w:rsidRDefault="0039793A" w:rsidP="0039793A">
      <w:pPr>
        <w:jc w:val="both"/>
      </w:pPr>
    </w:p>
    <w:p w14:paraId="3A68DBC9" w14:textId="77777777" w:rsidR="0039793A" w:rsidRPr="00642210" w:rsidRDefault="0039793A" w:rsidP="0039793A">
      <w:pPr>
        <w:spacing w:after="120"/>
        <w:jc w:val="center"/>
      </w:pPr>
      <w:bookmarkStart w:id="43" w:name="Pol_EU_biblio"/>
      <w:r w:rsidRPr="00642210">
        <w:rPr>
          <w:b/>
        </w:rPr>
        <w:t>La politique étrangère des «États-Unis.</w:t>
      </w:r>
      <w:r w:rsidRPr="00642210">
        <w:rPr>
          <w:b/>
        </w:rPr>
        <w:br/>
      </w:r>
      <w:r w:rsidRPr="00642210">
        <w:rPr>
          <w:i/>
        </w:rPr>
        <w:t>Fondements, acteurs, formulation</w:t>
      </w:r>
    </w:p>
    <w:p w14:paraId="63C47786" w14:textId="77777777" w:rsidR="0039793A" w:rsidRPr="00384B20" w:rsidRDefault="0039793A" w:rsidP="0039793A">
      <w:pPr>
        <w:pStyle w:val="planchest"/>
      </w:pPr>
      <w:r>
        <w:t>BIBLIOGRAPHIE</w:t>
      </w:r>
    </w:p>
    <w:bookmarkEnd w:id="43"/>
    <w:p w14:paraId="032A30CA" w14:textId="77777777" w:rsidR="0039793A" w:rsidRPr="00E07116" w:rsidRDefault="0039793A" w:rsidP="0039793A">
      <w:pPr>
        <w:jc w:val="both"/>
      </w:pPr>
    </w:p>
    <w:p w14:paraId="049E7873" w14:textId="77777777" w:rsidR="0039793A" w:rsidRPr="00E07116" w:rsidRDefault="0039793A" w:rsidP="0039793A">
      <w:pPr>
        <w:jc w:val="both"/>
      </w:pPr>
    </w:p>
    <w:p w14:paraId="4E7F76B2" w14:textId="77777777" w:rsidR="0039793A" w:rsidRDefault="0039793A" w:rsidP="0039793A">
      <w:pPr>
        <w:jc w:val="both"/>
      </w:pPr>
    </w:p>
    <w:p w14:paraId="0AF96DDD" w14:textId="77777777" w:rsidR="0039793A" w:rsidRPr="00E07116" w:rsidRDefault="0039793A" w:rsidP="0039793A">
      <w:pPr>
        <w:jc w:val="both"/>
      </w:pPr>
    </w:p>
    <w:p w14:paraId="1DF86E5C" w14:textId="77777777" w:rsidR="0039793A" w:rsidRPr="002F4E24" w:rsidRDefault="0039793A" w:rsidP="0039793A">
      <w:pPr>
        <w:pStyle w:val="a"/>
      </w:pPr>
      <w:r w:rsidRPr="002F4E24">
        <w:t>Ouvrages généraux</w:t>
      </w:r>
    </w:p>
    <w:p w14:paraId="5EAE864D" w14:textId="77777777" w:rsidR="0039793A" w:rsidRDefault="0039793A" w:rsidP="0039793A">
      <w:pPr>
        <w:spacing w:before="120" w:after="120"/>
        <w:jc w:val="both"/>
      </w:pPr>
    </w:p>
    <w:p w14:paraId="686331BB"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4077B324" w14:textId="77777777" w:rsidR="0039793A" w:rsidRPr="00253D98" w:rsidRDefault="0039793A" w:rsidP="0039793A">
      <w:pPr>
        <w:spacing w:before="120" w:after="120"/>
        <w:jc w:val="both"/>
      </w:pPr>
      <w:r w:rsidRPr="00253D98">
        <w:t>Hartmann (Frederick) et Wendzel (Robert</w:t>
      </w:r>
      <w:r w:rsidRPr="0091727C">
        <w:rPr>
          <w:i/>
          <w:iCs/>
        </w:rPr>
        <w:t>), American Foreign P</w:t>
      </w:r>
      <w:r w:rsidRPr="0091727C">
        <w:rPr>
          <w:i/>
          <w:iCs/>
        </w:rPr>
        <w:t>o</w:t>
      </w:r>
      <w:r w:rsidRPr="0091727C">
        <w:rPr>
          <w:i/>
          <w:iCs/>
        </w:rPr>
        <w:t>licy in a Changing World</w:t>
      </w:r>
      <w:r w:rsidRPr="00253D98">
        <w:t>, New York, Harper Collins Publishers, 1994, 503 p.</w:t>
      </w:r>
    </w:p>
    <w:p w14:paraId="4B204E9C" w14:textId="77777777" w:rsidR="0039793A" w:rsidRPr="00253D98" w:rsidRDefault="0039793A" w:rsidP="0039793A">
      <w:pPr>
        <w:spacing w:before="120" w:after="120"/>
        <w:jc w:val="both"/>
      </w:pPr>
      <w:r w:rsidRPr="00253D98">
        <w:t xml:space="preserve">Jentleson (Bruce), </w:t>
      </w:r>
      <w:r w:rsidRPr="0091727C">
        <w:rPr>
          <w:i/>
          <w:iCs/>
        </w:rPr>
        <w:t>American Foreign Policy. The Dynamics of Choice in the 21st Century</w:t>
      </w:r>
      <w:r w:rsidRPr="00253D98">
        <w:t>, New York, Norton, 2000, 405 p.</w:t>
      </w:r>
    </w:p>
    <w:p w14:paraId="31748B0B" w14:textId="77777777" w:rsidR="0039793A" w:rsidRPr="00253D98" w:rsidRDefault="0039793A" w:rsidP="0039793A">
      <w:pPr>
        <w:spacing w:before="120" w:after="120"/>
        <w:jc w:val="both"/>
      </w:pPr>
      <w:r w:rsidRPr="00253D98">
        <w:t xml:space="preserve">Jentleson (Bruce) et Paterson (Thomas) (eds), </w:t>
      </w:r>
      <w:r w:rsidRPr="0091727C">
        <w:rPr>
          <w:i/>
          <w:iCs/>
        </w:rPr>
        <w:t>Encyclopedia of</w:t>
      </w:r>
      <w:r w:rsidRPr="00F369CF">
        <w:rPr>
          <w:i/>
          <w:iCs/>
        </w:rPr>
        <w:t xml:space="preserve"> </w:t>
      </w:r>
      <w:r w:rsidRPr="00F369CF">
        <w:rPr>
          <w:i/>
        </w:rPr>
        <w:t>US</w:t>
      </w:r>
      <w:r w:rsidRPr="0091727C">
        <w:rPr>
          <w:rStyle w:val="Corpsdutexte27ptItaliqueEspacement0pt"/>
          <w:i w:val="0"/>
          <w:iCs w:val="0"/>
        </w:rPr>
        <w:t xml:space="preserve"> </w:t>
      </w:r>
      <w:r w:rsidRPr="0091727C">
        <w:rPr>
          <w:i/>
          <w:iCs/>
        </w:rPr>
        <w:t>Foreign Relations</w:t>
      </w:r>
      <w:r w:rsidRPr="00253D98">
        <w:t>, New York, Oxford University Press, 1997, 4 vol.</w:t>
      </w:r>
    </w:p>
    <w:p w14:paraId="5F06ECB3" w14:textId="77777777" w:rsidR="0039793A" w:rsidRPr="00253D98" w:rsidRDefault="0039793A" w:rsidP="0039793A">
      <w:pPr>
        <w:spacing w:before="120" w:after="120"/>
        <w:jc w:val="both"/>
      </w:pPr>
      <w:r w:rsidRPr="00253D98">
        <w:t>Kegley (Charles) et Wittkopf (Eugene)</w:t>
      </w:r>
      <w:r>
        <w:t xml:space="preserve">, </w:t>
      </w:r>
      <w:r w:rsidRPr="0091727C">
        <w:rPr>
          <w:i/>
          <w:iCs/>
        </w:rPr>
        <w:t>American Foreign Policy : Pattern and Process</w:t>
      </w:r>
      <w:r w:rsidRPr="00253D98">
        <w:t>, New York, St. Martin’s Press, 5</w:t>
      </w:r>
      <w:r w:rsidRPr="00F33AB3">
        <w:rPr>
          <w:vertAlign w:val="superscript"/>
        </w:rPr>
        <w:t>e</w:t>
      </w:r>
      <w:r>
        <w:t xml:space="preserve"> </w:t>
      </w:r>
      <w:r w:rsidRPr="00253D98">
        <w:t>éd., 1996, 658 p.</w:t>
      </w:r>
    </w:p>
    <w:p w14:paraId="27B388B6" w14:textId="77777777" w:rsidR="0039793A" w:rsidRPr="00253D98" w:rsidRDefault="0039793A" w:rsidP="0039793A">
      <w:pPr>
        <w:spacing w:before="120" w:after="120"/>
        <w:jc w:val="both"/>
      </w:pPr>
      <w:r w:rsidRPr="00253D98">
        <w:t xml:space="preserve">Rosati (Jerel), </w:t>
      </w:r>
      <w:r w:rsidRPr="0091727C">
        <w:rPr>
          <w:i/>
          <w:iCs/>
        </w:rPr>
        <w:t>The Politics of the United States Foreign Policy</w:t>
      </w:r>
      <w:r w:rsidRPr="00253D98">
        <w:t>, New York, Harcourt B race Jovanovich, 1993, 621 p.</w:t>
      </w:r>
    </w:p>
    <w:p w14:paraId="2D90875C" w14:textId="77777777" w:rsidR="0039793A" w:rsidRPr="00253D98" w:rsidRDefault="0039793A" w:rsidP="0039793A">
      <w:pPr>
        <w:spacing w:before="120" w:after="120"/>
        <w:jc w:val="both"/>
      </w:pPr>
      <w:r w:rsidRPr="00253D98">
        <w:t xml:space="preserve">Rourke (John), Carter (Ralph) et Boyer (Mark), </w:t>
      </w:r>
      <w:r w:rsidRPr="0091727C">
        <w:rPr>
          <w:i/>
          <w:iCs/>
        </w:rPr>
        <w:t>Making American Foreign Policy</w:t>
      </w:r>
      <w:r w:rsidRPr="00253D98">
        <w:t>, Guilford, Brown and Benchmark, 2</w:t>
      </w:r>
      <w:r w:rsidRPr="00253D98">
        <w:rPr>
          <w:vertAlign w:val="superscript"/>
        </w:rPr>
        <w:t>e</w:t>
      </w:r>
      <w:r w:rsidRPr="00253D98">
        <w:t>éd., 1996, 614 p.</w:t>
      </w:r>
    </w:p>
    <w:p w14:paraId="1CA594B6" w14:textId="77777777" w:rsidR="0039793A" w:rsidRPr="00253D98" w:rsidRDefault="0039793A" w:rsidP="0039793A">
      <w:pPr>
        <w:spacing w:before="120" w:after="120"/>
        <w:jc w:val="both"/>
      </w:pPr>
      <w:r w:rsidRPr="00253D98">
        <w:t xml:space="preserve">Wiarda (Howard), </w:t>
      </w:r>
      <w:r w:rsidRPr="0091727C">
        <w:rPr>
          <w:i/>
          <w:iCs/>
        </w:rPr>
        <w:t>American Foreign Policy : Actors and Proce</w:t>
      </w:r>
      <w:r w:rsidRPr="0091727C">
        <w:rPr>
          <w:i/>
          <w:iCs/>
        </w:rPr>
        <w:t>s</w:t>
      </w:r>
      <w:r w:rsidRPr="0091727C">
        <w:rPr>
          <w:i/>
          <w:iCs/>
        </w:rPr>
        <w:t>ses</w:t>
      </w:r>
      <w:r w:rsidRPr="00253D98">
        <w:t>, New York, Harper Collins, 1996, 299 p.</w:t>
      </w:r>
    </w:p>
    <w:p w14:paraId="1746DE1D" w14:textId="77777777" w:rsidR="0039793A" w:rsidRDefault="0039793A" w:rsidP="0039793A">
      <w:pPr>
        <w:spacing w:before="120" w:after="120"/>
        <w:jc w:val="both"/>
      </w:pPr>
      <w:r>
        <w:br w:type="page"/>
      </w:r>
    </w:p>
    <w:p w14:paraId="14C3C9C4" w14:textId="77777777" w:rsidR="0039793A" w:rsidRPr="0091727C" w:rsidRDefault="0039793A" w:rsidP="0039793A">
      <w:pPr>
        <w:pStyle w:val="a"/>
      </w:pPr>
      <w:r w:rsidRPr="0091727C">
        <w:t>Le cadre constitutionnel</w:t>
      </w:r>
    </w:p>
    <w:p w14:paraId="362025C4" w14:textId="77777777" w:rsidR="0039793A" w:rsidRDefault="0039793A" w:rsidP="0039793A">
      <w:pPr>
        <w:spacing w:before="120" w:after="120"/>
        <w:jc w:val="both"/>
      </w:pPr>
    </w:p>
    <w:p w14:paraId="0A55A793" w14:textId="77777777" w:rsidR="0039793A" w:rsidRPr="00253D98" w:rsidRDefault="0039793A" w:rsidP="0039793A">
      <w:pPr>
        <w:spacing w:before="120" w:after="120"/>
        <w:jc w:val="both"/>
      </w:pPr>
      <w:r w:rsidRPr="00253D98">
        <w:t xml:space="preserve">Adler (David Gray) et George (Larry) (eds), </w:t>
      </w:r>
      <w:r w:rsidRPr="00484C97">
        <w:rPr>
          <w:i/>
          <w:iCs/>
        </w:rPr>
        <w:t>The Constitution and the Conduct of American Foreign Policy</w:t>
      </w:r>
      <w:r w:rsidRPr="00253D98">
        <w:t>, Lawrence, University Press of Kansas, 1996, 416 p.</w:t>
      </w:r>
    </w:p>
    <w:p w14:paraId="130A5DF0" w14:textId="77777777" w:rsidR="0039793A" w:rsidRPr="00253D98" w:rsidRDefault="0039793A" w:rsidP="0039793A">
      <w:pPr>
        <w:spacing w:before="120" w:after="120"/>
        <w:jc w:val="both"/>
      </w:pPr>
      <w:r w:rsidRPr="00253D98">
        <w:t xml:space="preserve">Fischer (Louis), </w:t>
      </w:r>
      <w:r w:rsidRPr="00484C97">
        <w:rPr>
          <w:i/>
          <w:iCs/>
        </w:rPr>
        <w:t>Is War a Political Question ?</w:t>
      </w:r>
      <w:r w:rsidRPr="00253D98">
        <w:t>, Huntington, Novi</w:t>
      </w:r>
      <w:r w:rsidRPr="00253D98">
        <w:t>n</w:t>
      </w:r>
      <w:r w:rsidRPr="00253D98">
        <w:t>ka Books, 2001, 95 p.</w:t>
      </w:r>
    </w:p>
    <w:p w14:paraId="0FC2881F" w14:textId="77777777" w:rsidR="0039793A" w:rsidRDefault="0039793A" w:rsidP="0039793A">
      <w:pPr>
        <w:spacing w:before="120" w:after="120"/>
        <w:jc w:val="both"/>
      </w:pPr>
      <w:r>
        <w:t>[354]</w:t>
      </w:r>
    </w:p>
    <w:p w14:paraId="34ECCF20" w14:textId="77777777" w:rsidR="0039793A" w:rsidRPr="00253D98" w:rsidRDefault="0039793A" w:rsidP="0039793A">
      <w:pPr>
        <w:spacing w:before="120" w:after="120"/>
        <w:jc w:val="both"/>
      </w:pPr>
      <w:r w:rsidRPr="00253D98">
        <w:t xml:space="preserve">Fischer (Louis), </w:t>
      </w:r>
      <w:r w:rsidRPr="00484C97">
        <w:rPr>
          <w:i/>
          <w:iCs/>
        </w:rPr>
        <w:t>The Politics of Shared Power — Congress and the Executive</w:t>
      </w:r>
      <w:r w:rsidRPr="00253D98">
        <w:t>, College Station, Texas A &amp; M University Press, 1998, 309 p.</w:t>
      </w:r>
    </w:p>
    <w:p w14:paraId="7BD2CB80" w14:textId="77777777" w:rsidR="0039793A" w:rsidRPr="00253D98" w:rsidRDefault="0039793A" w:rsidP="0039793A">
      <w:pPr>
        <w:spacing w:before="120" w:after="120"/>
        <w:jc w:val="both"/>
      </w:pPr>
      <w:r w:rsidRPr="00253D98">
        <w:t xml:space="preserve">Henkin (Louis), </w:t>
      </w:r>
      <w:r w:rsidRPr="00484C97">
        <w:rPr>
          <w:i/>
          <w:iCs/>
        </w:rPr>
        <w:t>Foreign Affairs and the</w:t>
      </w:r>
      <w:r w:rsidRPr="00F369CF">
        <w:rPr>
          <w:i/>
          <w:iCs/>
        </w:rPr>
        <w:t xml:space="preserve"> </w:t>
      </w:r>
      <w:r w:rsidRPr="00F369CF">
        <w:rPr>
          <w:i/>
        </w:rPr>
        <w:t>US</w:t>
      </w:r>
      <w:r w:rsidRPr="00484C97">
        <w:rPr>
          <w:rStyle w:val="Corpsdutexte27ptItaliqueEspacement0pt"/>
        </w:rPr>
        <w:t xml:space="preserve"> </w:t>
      </w:r>
      <w:r w:rsidRPr="00484C97">
        <w:rPr>
          <w:i/>
          <w:iCs/>
        </w:rPr>
        <w:t>Constitution</w:t>
      </w:r>
      <w:r w:rsidRPr="00253D98">
        <w:t>, Oxford, Clarendon Press, 2</w:t>
      </w:r>
      <w:r w:rsidRPr="00253D98">
        <w:rPr>
          <w:vertAlign w:val="superscript"/>
        </w:rPr>
        <w:t>e</w:t>
      </w:r>
      <w:r w:rsidRPr="00253D98">
        <w:t xml:space="preserve"> éd., 1996, 582 p.</w:t>
      </w:r>
    </w:p>
    <w:p w14:paraId="60D5D546" w14:textId="77777777" w:rsidR="0039793A" w:rsidRPr="00253D98" w:rsidRDefault="0039793A" w:rsidP="0039793A">
      <w:pPr>
        <w:spacing w:before="120" w:after="120"/>
        <w:jc w:val="both"/>
      </w:pPr>
      <w:r w:rsidRPr="00253D98">
        <w:t xml:space="preserve">Toinet (Marie-France), </w:t>
      </w:r>
      <w:r w:rsidRPr="00484C97">
        <w:rPr>
          <w:i/>
          <w:iCs/>
        </w:rPr>
        <w:t>Le système politique des États-Unis</w:t>
      </w:r>
      <w:r w:rsidRPr="00253D98">
        <w:t>, Paris, Presses universitaires de France, 2</w:t>
      </w:r>
      <w:r w:rsidRPr="00253D98">
        <w:rPr>
          <w:vertAlign w:val="superscript"/>
        </w:rPr>
        <w:t>e</w:t>
      </w:r>
      <w:r w:rsidRPr="00253D98">
        <w:t xml:space="preserve"> éd., 1990, 640 p.</w:t>
      </w:r>
    </w:p>
    <w:p w14:paraId="0663CE4D" w14:textId="77777777" w:rsidR="0039793A" w:rsidRPr="00253D98" w:rsidRDefault="0039793A" w:rsidP="0039793A">
      <w:pPr>
        <w:spacing w:before="120" w:after="120"/>
        <w:jc w:val="both"/>
      </w:pPr>
      <w:r w:rsidRPr="00253D98">
        <w:t xml:space="preserve">Westerfield (Donald), </w:t>
      </w:r>
      <w:r w:rsidRPr="00484C97">
        <w:rPr>
          <w:i/>
          <w:iCs/>
        </w:rPr>
        <w:t>War Powers. The President, the Congress, and the Question of</w:t>
      </w:r>
      <w:r>
        <w:rPr>
          <w:i/>
          <w:iCs/>
        </w:rPr>
        <w:t xml:space="preserve"> </w:t>
      </w:r>
      <w:r w:rsidRPr="00484C97">
        <w:rPr>
          <w:i/>
          <w:iCs/>
        </w:rPr>
        <w:t>War</w:t>
      </w:r>
      <w:r w:rsidRPr="00253D98">
        <w:t>, Westport, Praeger, 1996, 245 p.</w:t>
      </w:r>
    </w:p>
    <w:p w14:paraId="3DEE1AB8" w14:textId="77777777" w:rsidR="0039793A" w:rsidRDefault="0039793A" w:rsidP="0039793A">
      <w:pPr>
        <w:spacing w:before="120" w:after="120"/>
        <w:jc w:val="both"/>
      </w:pPr>
    </w:p>
    <w:p w14:paraId="7283C7E7" w14:textId="77777777" w:rsidR="0039793A" w:rsidRPr="00484C97" w:rsidRDefault="0039793A" w:rsidP="0039793A">
      <w:pPr>
        <w:pStyle w:val="a"/>
      </w:pPr>
      <w:r w:rsidRPr="00484C97">
        <w:t>Le cadre culturel de la politique étrangère</w:t>
      </w:r>
    </w:p>
    <w:p w14:paraId="4498D890" w14:textId="77777777" w:rsidR="0039793A" w:rsidRDefault="0039793A" w:rsidP="0039793A">
      <w:pPr>
        <w:spacing w:before="120" w:after="120"/>
        <w:jc w:val="both"/>
      </w:pPr>
    </w:p>
    <w:p w14:paraId="36B8D8AA" w14:textId="77777777" w:rsidR="0039793A" w:rsidRPr="00253D98" w:rsidRDefault="0039793A" w:rsidP="0039793A">
      <w:pPr>
        <w:spacing w:before="120" w:after="120"/>
        <w:jc w:val="both"/>
      </w:pPr>
      <w:r w:rsidRPr="00253D98">
        <w:t xml:space="preserve">Berman (Morris), </w:t>
      </w:r>
      <w:r w:rsidRPr="005B2FD1">
        <w:rPr>
          <w:i/>
          <w:iCs/>
        </w:rPr>
        <w:t>The Twilight of American Culture</w:t>
      </w:r>
      <w:r w:rsidRPr="00253D98">
        <w:t>, New York, Norton, 2000, 205 p.</w:t>
      </w:r>
    </w:p>
    <w:p w14:paraId="6C5CCF1E" w14:textId="77777777" w:rsidR="0039793A" w:rsidRPr="00253D98" w:rsidRDefault="0039793A" w:rsidP="0039793A">
      <w:pPr>
        <w:spacing w:before="120" w:after="120"/>
        <w:jc w:val="both"/>
      </w:pPr>
      <w:r w:rsidRPr="00253D98">
        <w:t xml:space="preserve">Campbell (David), </w:t>
      </w:r>
      <w:r w:rsidRPr="005B2FD1">
        <w:rPr>
          <w:i/>
          <w:iCs/>
        </w:rPr>
        <w:t>Writing Security : United States Foreign Policy and the Politics of Identity</w:t>
      </w:r>
      <w:r w:rsidRPr="00253D98">
        <w:t>, Minneapolis, University of Minnesota Press, 2</w:t>
      </w:r>
      <w:r w:rsidRPr="00253D98">
        <w:rPr>
          <w:vertAlign w:val="superscript"/>
        </w:rPr>
        <w:t>e</w:t>
      </w:r>
      <w:r>
        <w:rPr>
          <w:vertAlign w:val="superscript"/>
        </w:rPr>
        <w:t xml:space="preserve"> </w:t>
      </w:r>
      <w:r w:rsidRPr="00253D98">
        <w:t>éd., 1998, 250 p.</w:t>
      </w:r>
    </w:p>
    <w:p w14:paraId="3F82982D" w14:textId="77777777" w:rsidR="0039793A" w:rsidRPr="00253D98" w:rsidRDefault="0039793A" w:rsidP="0039793A">
      <w:pPr>
        <w:spacing w:before="120" w:after="120"/>
        <w:jc w:val="both"/>
      </w:pPr>
      <w:r w:rsidRPr="00253D98">
        <w:t xml:space="preserve">Chaliand (Gérard) et Blin (Arnaud), </w:t>
      </w:r>
      <w:r w:rsidRPr="005B2FD1">
        <w:rPr>
          <w:i/>
          <w:iCs/>
        </w:rPr>
        <w:t>America is Back - Les no</w:t>
      </w:r>
      <w:r w:rsidRPr="005B2FD1">
        <w:rPr>
          <w:i/>
          <w:iCs/>
        </w:rPr>
        <w:t>u</w:t>
      </w:r>
      <w:r w:rsidRPr="005B2FD1">
        <w:rPr>
          <w:i/>
          <w:iCs/>
        </w:rPr>
        <w:t>veaux césars du Pentagone</w:t>
      </w:r>
      <w:r w:rsidRPr="00253D98">
        <w:t>, Paris, Bayard, 2003, 225 p.</w:t>
      </w:r>
    </w:p>
    <w:p w14:paraId="1014CDF1" w14:textId="77777777" w:rsidR="0039793A" w:rsidRPr="00253D98" w:rsidRDefault="0039793A" w:rsidP="0039793A">
      <w:pPr>
        <w:spacing w:before="120" w:after="120"/>
        <w:jc w:val="both"/>
      </w:pPr>
      <w:r w:rsidRPr="00253D98">
        <w:t xml:space="preserve">Commager (Henry Steele), </w:t>
      </w:r>
      <w:r w:rsidRPr="005B2FD1">
        <w:rPr>
          <w:i/>
          <w:iCs/>
        </w:rPr>
        <w:t>Les grands textes de l’histoire amér</w:t>
      </w:r>
      <w:r w:rsidRPr="005B2FD1">
        <w:rPr>
          <w:i/>
          <w:iCs/>
        </w:rPr>
        <w:t>i</w:t>
      </w:r>
      <w:r w:rsidRPr="005B2FD1">
        <w:rPr>
          <w:i/>
          <w:iCs/>
        </w:rPr>
        <w:t>caine</w:t>
      </w:r>
      <w:r w:rsidRPr="00253D98">
        <w:t>, Washington, Service américain d’information, 1977, 94 p.</w:t>
      </w:r>
    </w:p>
    <w:p w14:paraId="092D56FE" w14:textId="77777777" w:rsidR="0039793A" w:rsidRPr="00253D98" w:rsidRDefault="0039793A" w:rsidP="0039793A">
      <w:pPr>
        <w:spacing w:before="120" w:after="120"/>
        <w:jc w:val="both"/>
      </w:pPr>
      <w:r w:rsidRPr="00253D98">
        <w:t xml:space="preserve">Dallek (Robert), </w:t>
      </w:r>
      <w:r w:rsidRPr="005B2FD1">
        <w:rPr>
          <w:i/>
          <w:iCs/>
        </w:rPr>
        <w:t>The American Style of Foreign Policy : Cultural Politics and Foreign Affairs</w:t>
      </w:r>
      <w:r w:rsidRPr="00253D98">
        <w:t>, New York, Alfred A. Knopf, 1983, 313 p.</w:t>
      </w:r>
    </w:p>
    <w:p w14:paraId="2B6F09D8" w14:textId="77777777" w:rsidR="0039793A" w:rsidRPr="00253D98" w:rsidRDefault="0039793A" w:rsidP="0039793A">
      <w:pPr>
        <w:spacing w:before="120" w:after="120"/>
        <w:jc w:val="both"/>
      </w:pPr>
      <w:r w:rsidRPr="00253D98">
        <w:t xml:space="preserve">Handlin (Oscar), </w:t>
      </w:r>
      <w:r w:rsidRPr="005B2FD1">
        <w:rPr>
          <w:i/>
          <w:iCs/>
        </w:rPr>
        <w:t>The Americans : A New History of the People of the United States</w:t>
      </w:r>
      <w:r w:rsidRPr="00253D98">
        <w:t>, Boston, Little Brown, 1963, 434 p.</w:t>
      </w:r>
    </w:p>
    <w:p w14:paraId="5DD96674" w14:textId="77777777" w:rsidR="0039793A" w:rsidRPr="00253D98" w:rsidRDefault="0039793A" w:rsidP="0039793A">
      <w:pPr>
        <w:spacing w:before="120" w:after="120"/>
        <w:jc w:val="both"/>
      </w:pPr>
      <w:r w:rsidRPr="00253D98">
        <w:t xml:space="preserve">Hoffmann (Stanley), </w:t>
      </w:r>
      <w:r w:rsidRPr="005B2FD1">
        <w:rPr>
          <w:i/>
          <w:iCs/>
        </w:rPr>
        <w:t>Gulliver empêtré. Essai sur la politique étra</w:t>
      </w:r>
      <w:r w:rsidRPr="005B2FD1">
        <w:rPr>
          <w:i/>
          <w:iCs/>
        </w:rPr>
        <w:t>n</w:t>
      </w:r>
      <w:r w:rsidRPr="005B2FD1">
        <w:rPr>
          <w:i/>
          <w:iCs/>
        </w:rPr>
        <w:t>gère des États-Unis</w:t>
      </w:r>
      <w:r w:rsidRPr="00253D98">
        <w:t>, Paris, Seuil, 1971, 636 p.</w:t>
      </w:r>
    </w:p>
    <w:p w14:paraId="783C58D0" w14:textId="77777777" w:rsidR="0039793A" w:rsidRPr="00253D98" w:rsidRDefault="0039793A" w:rsidP="0039793A">
      <w:pPr>
        <w:spacing w:before="120" w:after="120"/>
        <w:jc w:val="both"/>
      </w:pPr>
      <w:r w:rsidRPr="00253D98">
        <w:t xml:space="preserve">Hofstadter (Richard), </w:t>
      </w:r>
      <w:r w:rsidRPr="005B2FD1">
        <w:rPr>
          <w:i/>
          <w:iCs/>
        </w:rPr>
        <w:t>The Paranoid Style in American Politics and Other Essays</w:t>
      </w:r>
      <w:r w:rsidRPr="00253D98">
        <w:t>, Cambridge, Harvard University Press, l</w:t>
      </w:r>
      <w:r w:rsidRPr="00253D98">
        <w:rPr>
          <w:vertAlign w:val="superscript"/>
        </w:rPr>
        <w:t>re</w:t>
      </w:r>
      <w:r w:rsidRPr="00253D98">
        <w:t xml:space="preserve"> éd., 1965, 330 p.</w:t>
      </w:r>
    </w:p>
    <w:p w14:paraId="3E281A40" w14:textId="77777777" w:rsidR="0039793A" w:rsidRPr="00253D98" w:rsidRDefault="0039793A" w:rsidP="0039793A">
      <w:pPr>
        <w:spacing w:before="120" w:after="120"/>
        <w:jc w:val="both"/>
      </w:pPr>
      <w:r w:rsidRPr="00253D98">
        <w:t xml:space="preserve">Hunt (Michael), </w:t>
      </w:r>
      <w:r w:rsidRPr="00C26DB9">
        <w:rPr>
          <w:i/>
          <w:iCs/>
        </w:rPr>
        <w:t xml:space="preserve">Ideology and </w:t>
      </w:r>
      <w:r w:rsidRPr="00C26DB9">
        <w:rPr>
          <w:rStyle w:val="Corpsdutexte27ptItaliqueEspacement0pt"/>
        </w:rPr>
        <w:t>US</w:t>
      </w:r>
      <w:r w:rsidRPr="00C26DB9">
        <w:rPr>
          <w:rStyle w:val="Corpsdutexte27ptItaliqueEspacement0pt"/>
          <w:i w:val="0"/>
          <w:iCs w:val="0"/>
        </w:rPr>
        <w:t xml:space="preserve"> </w:t>
      </w:r>
      <w:r w:rsidRPr="00C26DB9">
        <w:rPr>
          <w:i/>
          <w:iCs/>
        </w:rPr>
        <w:t>Foreign Policy</w:t>
      </w:r>
      <w:r w:rsidRPr="00253D98">
        <w:t>, New Haven, Y</w:t>
      </w:r>
      <w:r w:rsidRPr="00253D98">
        <w:t>a</w:t>
      </w:r>
      <w:r w:rsidRPr="00253D98">
        <w:t>le University Press, 1987, 238 p.</w:t>
      </w:r>
    </w:p>
    <w:p w14:paraId="2383D84D" w14:textId="77777777" w:rsidR="0039793A" w:rsidRPr="00253D98" w:rsidRDefault="0039793A" w:rsidP="0039793A">
      <w:pPr>
        <w:spacing w:before="120" w:after="120"/>
        <w:jc w:val="both"/>
      </w:pPr>
      <w:r w:rsidRPr="00253D98">
        <w:t xml:space="preserve">Lacour-Gayet (Robert), </w:t>
      </w:r>
      <w:r w:rsidRPr="00C26DB9">
        <w:rPr>
          <w:i/>
          <w:iCs/>
        </w:rPr>
        <w:t>Histoire des États-Unis : des origines à la fin de la guerre civile</w:t>
      </w:r>
      <w:r w:rsidRPr="00253D98">
        <w:t>, Paris, Fayard, 1976, 469 p.</w:t>
      </w:r>
    </w:p>
    <w:p w14:paraId="140DCDA7" w14:textId="77777777" w:rsidR="0039793A" w:rsidRPr="00253D98" w:rsidRDefault="0039793A" w:rsidP="0039793A">
      <w:pPr>
        <w:spacing w:before="120" w:after="120"/>
        <w:jc w:val="both"/>
      </w:pPr>
      <w:r w:rsidRPr="00253D98">
        <w:t xml:space="preserve">Lacroix (Jean-Michel), </w:t>
      </w:r>
      <w:r w:rsidRPr="00C26DB9">
        <w:rPr>
          <w:i/>
          <w:iCs/>
        </w:rPr>
        <w:t>Histoire des États-Unis</w:t>
      </w:r>
      <w:r w:rsidRPr="00253D98">
        <w:t>, Paris, Presses un</w:t>
      </w:r>
      <w:r w:rsidRPr="00253D98">
        <w:t>i</w:t>
      </w:r>
      <w:r w:rsidRPr="00253D98">
        <w:t>versitaires de France, 1996, 590 p.</w:t>
      </w:r>
    </w:p>
    <w:p w14:paraId="709744AD" w14:textId="77777777" w:rsidR="0039793A" w:rsidRPr="00253D98" w:rsidRDefault="0039793A" w:rsidP="0039793A">
      <w:pPr>
        <w:spacing w:before="120" w:after="120"/>
        <w:jc w:val="both"/>
      </w:pPr>
      <w:r w:rsidRPr="00253D98">
        <w:t xml:space="preserve">Lapid (Yosef) et Kratochwil (Friedrich) (eds), </w:t>
      </w:r>
      <w:r w:rsidRPr="00C26DB9">
        <w:rPr>
          <w:i/>
          <w:iCs/>
        </w:rPr>
        <w:t xml:space="preserve">The Return of Culture and Identity in </w:t>
      </w:r>
      <w:r w:rsidRPr="00C26DB9">
        <w:rPr>
          <w:rStyle w:val="Corpsdutexte27ptItaliqueEspacement0pt"/>
        </w:rPr>
        <w:t xml:space="preserve">IR </w:t>
      </w:r>
      <w:r w:rsidRPr="00C26DB9">
        <w:rPr>
          <w:i/>
          <w:iCs/>
        </w:rPr>
        <w:t>Theory</w:t>
      </w:r>
      <w:r w:rsidRPr="00253D98">
        <w:t>, Boulder et Londres, Lynne Rie</w:t>
      </w:r>
      <w:r w:rsidRPr="00253D98">
        <w:t>n</w:t>
      </w:r>
      <w:r w:rsidRPr="00253D98">
        <w:t>ner, 1996,</w:t>
      </w:r>
      <w:r>
        <w:t xml:space="preserve"> </w:t>
      </w:r>
      <w:r w:rsidRPr="00253D98">
        <w:t>256 p.</w:t>
      </w:r>
    </w:p>
    <w:p w14:paraId="763285D9" w14:textId="77777777" w:rsidR="0039793A" w:rsidRPr="00253D98" w:rsidRDefault="0039793A" w:rsidP="0039793A">
      <w:pPr>
        <w:spacing w:before="120" w:after="120"/>
        <w:jc w:val="both"/>
      </w:pPr>
      <w:r w:rsidRPr="00253D98">
        <w:t xml:space="preserve">Marienstras (Élise), </w:t>
      </w:r>
      <w:r w:rsidRPr="00C26DB9">
        <w:rPr>
          <w:i/>
          <w:iCs/>
        </w:rPr>
        <w:t>Les Mythes fondateurs de la nation américa</w:t>
      </w:r>
      <w:r w:rsidRPr="00C26DB9">
        <w:rPr>
          <w:i/>
          <w:iCs/>
        </w:rPr>
        <w:t>i</w:t>
      </w:r>
      <w:r w:rsidRPr="00C26DB9">
        <w:rPr>
          <w:i/>
          <w:iCs/>
        </w:rPr>
        <w:t>ne</w:t>
      </w:r>
      <w:r w:rsidRPr="00253D98">
        <w:t>, Paris, Maspero, 1976, 384 p.</w:t>
      </w:r>
    </w:p>
    <w:p w14:paraId="0B45D058" w14:textId="77777777" w:rsidR="0039793A" w:rsidRPr="00253D98" w:rsidRDefault="0039793A" w:rsidP="0039793A">
      <w:pPr>
        <w:spacing w:before="120" w:after="120"/>
        <w:jc w:val="both"/>
      </w:pPr>
      <w:r w:rsidRPr="00253D98">
        <w:t xml:space="preserve">Nouailhat (Yves-Henri), </w:t>
      </w:r>
      <w:r w:rsidRPr="00C26DB9">
        <w:rPr>
          <w:i/>
          <w:iCs/>
        </w:rPr>
        <w:t xml:space="preserve">Les États-Unis et le monde au </w:t>
      </w:r>
      <w:r>
        <w:rPr>
          <w:i/>
          <w:iCs/>
        </w:rPr>
        <w:t>XX</w:t>
      </w:r>
      <w:r w:rsidRPr="00C26DB9">
        <w:rPr>
          <w:i/>
          <w:iCs/>
          <w:vertAlign w:val="superscript"/>
        </w:rPr>
        <w:t>è</w:t>
      </w:r>
      <w:r>
        <w:rPr>
          <w:i/>
          <w:iCs/>
        </w:rPr>
        <w:t xml:space="preserve"> </w:t>
      </w:r>
      <w:r w:rsidRPr="00C26DB9">
        <w:rPr>
          <w:i/>
          <w:iCs/>
        </w:rPr>
        <w:t>siècle</w:t>
      </w:r>
      <w:r w:rsidRPr="00253D98">
        <w:t>, Paris, Armand Colin, 2000, 365 p.</w:t>
      </w:r>
    </w:p>
    <w:p w14:paraId="105672D9" w14:textId="77777777" w:rsidR="0039793A" w:rsidRPr="00253D98" w:rsidRDefault="0039793A" w:rsidP="0039793A">
      <w:pPr>
        <w:spacing w:before="120" w:after="120"/>
        <w:jc w:val="both"/>
      </w:pPr>
      <w:r w:rsidRPr="00253D98">
        <w:t xml:space="preserve">Sabbagh (Daniel), « Les déterminants internes de la politique étrangère des États-Unis : une perspective diachronique », </w:t>
      </w:r>
      <w:r w:rsidRPr="00C26DB9">
        <w:rPr>
          <w:i/>
          <w:iCs/>
        </w:rPr>
        <w:t>Revue i</w:t>
      </w:r>
      <w:r w:rsidRPr="00C26DB9">
        <w:rPr>
          <w:i/>
          <w:iCs/>
        </w:rPr>
        <w:t>n</w:t>
      </w:r>
      <w:r w:rsidRPr="00C26DB9">
        <w:rPr>
          <w:i/>
          <w:iCs/>
        </w:rPr>
        <w:t>ternationale de politique comparée</w:t>
      </w:r>
      <w:r w:rsidRPr="00253D98">
        <w:t>, 8 (1), 2001, p. 135-161.</w:t>
      </w:r>
    </w:p>
    <w:p w14:paraId="5F80AF1E" w14:textId="77777777" w:rsidR="0039793A" w:rsidRPr="00253D98" w:rsidRDefault="0039793A" w:rsidP="0039793A">
      <w:pPr>
        <w:spacing w:before="120" w:after="120"/>
        <w:jc w:val="both"/>
      </w:pPr>
      <w:r>
        <w:t>[355]</w:t>
      </w:r>
    </w:p>
    <w:p w14:paraId="66CB0C41" w14:textId="77777777" w:rsidR="0039793A" w:rsidRPr="00253D98" w:rsidRDefault="0039793A" w:rsidP="0039793A">
      <w:pPr>
        <w:spacing w:before="120" w:after="120"/>
        <w:jc w:val="both"/>
      </w:pPr>
      <w:r w:rsidRPr="00253D98">
        <w:t xml:space="preserve">Schlesinger (Arthur), </w:t>
      </w:r>
      <w:r w:rsidRPr="00790213">
        <w:rPr>
          <w:i/>
          <w:iCs/>
        </w:rPr>
        <w:t>L’Amérique balkanisée : une société mult</w:t>
      </w:r>
      <w:r w:rsidRPr="00790213">
        <w:rPr>
          <w:i/>
          <w:iCs/>
        </w:rPr>
        <w:t>i</w:t>
      </w:r>
      <w:r w:rsidRPr="00790213">
        <w:rPr>
          <w:i/>
          <w:iCs/>
        </w:rPr>
        <w:t>culturelle désunie</w:t>
      </w:r>
      <w:r w:rsidRPr="00253D98">
        <w:t>, Paris, Economica, 1999, 157 p.</w:t>
      </w:r>
    </w:p>
    <w:p w14:paraId="16A20B35" w14:textId="77777777" w:rsidR="0039793A" w:rsidRPr="00253D98" w:rsidRDefault="0039793A" w:rsidP="0039793A">
      <w:pPr>
        <w:spacing w:before="120" w:after="120"/>
        <w:jc w:val="both"/>
      </w:pPr>
      <w:r w:rsidRPr="00253D98">
        <w:t xml:space="preserve">Wittkopf (Eugene), McCormick (James) (eds), </w:t>
      </w:r>
      <w:r w:rsidRPr="00790213">
        <w:rPr>
          <w:i/>
          <w:iCs/>
        </w:rPr>
        <w:t>The Domestic Sources of American Foreign Policy, Insights and Evidence</w:t>
      </w:r>
      <w:r w:rsidRPr="00253D98">
        <w:t>, Lanham, Rowman &amp; Littlefield, 3</w:t>
      </w:r>
      <w:r w:rsidRPr="00F369CF">
        <w:rPr>
          <w:vertAlign w:val="superscript"/>
        </w:rPr>
        <w:t>e</w:t>
      </w:r>
      <w:r>
        <w:t xml:space="preserve"> </w:t>
      </w:r>
      <w:r w:rsidRPr="00253D98">
        <w:t>éd., 1999, 384 p.</w:t>
      </w:r>
    </w:p>
    <w:p w14:paraId="6194B1D0" w14:textId="77777777" w:rsidR="0039793A" w:rsidRDefault="0039793A" w:rsidP="0039793A">
      <w:pPr>
        <w:spacing w:before="120" w:after="120"/>
        <w:jc w:val="both"/>
      </w:pPr>
    </w:p>
    <w:p w14:paraId="2076764B" w14:textId="77777777" w:rsidR="0039793A" w:rsidRPr="00790213" w:rsidRDefault="0039793A" w:rsidP="0039793A">
      <w:pPr>
        <w:pStyle w:val="a"/>
      </w:pPr>
      <w:r w:rsidRPr="00790213">
        <w:t>Les grands courants de pensée politique</w:t>
      </w:r>
    </w:p>
    <w:p w14:paraId="7BA4ED24" w14:textId="77777777" w:rsidR="0039793A" w:rsidRDefault="0039793A" w:rsidP="0039793A">
      <w:pPr>
        <w:spacing w:before="120" w:after="120"/>
        <w:jc w:val="both"/>
      </w:pPr>
    </w:p>
    <w:p w14:paraId="012A6C60" w14:textId="77777777" w:rsidR="0039793A" w:rsidRPr="00253D98" w:rsidRDefault="0039793A" w:rsidP="0039793A">
      <w:pPr>
        <w:spacing w:before="120" w:after="120"/>
        <w:jc w:val="both"/>
      </w:pPr>
      <w:r w:rsidRPr="00253D98">
        <w:t xml:space="preserve">Blum (John Morton) (et al.), </w:t>
      </w:r>
      <w:r w:rsidRPr="00FD7A44">
        <w:rPr>
          <w:i/>
          <w:iCs/>
        </w:rPr>
        <w:t>The National Exp</w:t>
      </w:r>
      <w:r>
        <w:rPr>
          <w:i/>
          <w:iCs/>
        </w:rPr>
        <w:t>e</w:t>
      </w:r>
      <w:r w:rsidRPr="00FD7A44">
        <w:rPr>
          <w:i/>
          <w:iCs/>
        </w:rPr>
        <w:t>rience : A History of the United States</w:t>
      </w:r>
      <w:r w:rsidRPr="00253D98">
        <w:t>, New York, Harcourt Brace Jovanovich, 6</w:t>
      </w:r>
      <w:r w:rsidRPr="00253D98">
        <w:rPr>
          <w:vertAlign w:val="superscript"/>
        </w:rPr>
        <w:t>e</w:t>
      </w:r>
      <w:r w:rsidRPr="00253D98">
        <w:t xml:space="preserve"> éd., 1985, 983 p.</w:t>
      </w:r>
    </w:p>
    <w:p w14:paraId="538C60BC" w14:textId="77777777" w:rsidR="0039793A" w:rsidRPr="00253D98" w:rsidRDefault="0039793A" w:rsidP="0039793A">
      <w:pPr>
        <w:spacing w:before="120" w:after="120"/>
        <w:jc w:val="both"/>
      </w:pPr>
      <w:r w:rsidRPr="00253D98">
        <w:t xml:space="preserve">Coletta (Paolo Enrico), </w:t>
      </w:r>
      <w:r w:rsidRPr="00FD7A44">
        <w:rPr>
          <w:i/>
          <w:iCs/>
        </w:rPr>
        <w:t>William Jennings Bryan</w:t>
      </w:r>
      <w:r w:rsidRPr="00253D98">
        <w:t>, Lincoln, Unive</w:t>
      </w:r>
      <w:r w:rsidRPr="00253D98">
        <w:t>r</w:t>
      </w:r>
      <w:r w:rsidRPr="00253D98">
        <w:t>sity of Nebraska Press, 1964, 3 vol.</w:t>
      </w:r>
    </w:p>
    <w:p w14:paraId="4B67FF8A" w14:textId="77777777" w:rsidR="0039793A" w:rsidRPr="00253D98" w:rsidRDefault="0039793A" w:rsidP="0039793A">
      <w:pPr>
        <w:spacing w:before="120" w:after="120"/>
        <w:jc w:val="both"/>
      </w:pPr>
      <w:r w:rsidRPr="00253D98">
        <w:t xml:space="preserve">Kennan (George), </w:t>
      </w:r>
      <w:r w:rsidRPr="00FD7A44">
        <w:rPr>
          <w:i/>
          <w:iCs/>
        </w:rPr>
        <w:t>American Diplomacy</w:t>
      </w:r>
      <w:r w:rsidRPr="00253D98">
        <w:t>, Chicago, University of Chicago Press, 1985, 179 p. (Edition française, La diplomatie amér</w:t>
      </w:r>
      <w:r w:rsidRPr="00253D98">
        <w:t>i</w:t>
      </w:r>
      <w:r w:rsidRPr="00253D98">
        <w:t>caine, Paris, Calmann-Lévy, 1952, 209 p.)</w:t>
      </w:r>
    </w:p>
    <w:p w14:paraId="6FC31E02" w14:textId="77777777" w:rsidR="0039793A" w:rsidRPr="00253D98" w:rsidRDefault="0039793A" w:rsidP="0039793A">
      <w:pPr>
        <w:spacing w:before="120" w:after="120"/>
        <w:jc w:val="both"/>
      </w:pPr>
      <w:r w:rsidRPr="00253D98">
        <w:t xml:space="preserve">Kennan (George), </w:t>
      </w:r>
      <w:r w:rsidRPr="00FD7A44">
        <w:rPr>
          <w:i/>
          <w:iCs/>
        </w:rPr>
        <w:t>Memoirs</w:t>
      </w:r>
      <w:r w:rsidRPr="00253D98">
        <w:t>, Boston, Little, Brown, 1967, 3 vol.</w:t>
      </w:r>
    </w:p>
    <w:p w14:paraId="2B631A81" w14:textId="77777777" w:rsidR="0039793A" w:rsidRPr="00253D98" w:rsidRDefault="0039793A" w:rsidP="0039793A">
      <w:pPr>
        <w:spacing w:before="120" w:after="120"/>
        <w:jc w:val="both"/>
      </w:pPr>
      <w:r w:rsidRPr="00253D98">
        <w:t xml:space="preserve">Kissinger (Henry), </w:t>
      </w:r>
      <w:r w:rsidRPr="00FD7A44">
        <w:rPr>
          <w:i/>
          <w:iCs/>
        </w:rPr>
        <w:t>Does America Need a Foreign Policy ? Toward a Diplomacy for the 21st Century</w:t>
      </w:r>
      <w:r w:rsidRPr="00253D98">
        <w:t>, New York, Simon &amp; Schuster, 2001, 318 p.</w:t>
      </w:r>
    </w:p>
    <w:p w14:paraId="13FC905F" w14:textId="77777777" w:rsidR="0039793A" w:rsidRPr="00253D98" w:rsidRDefault="0039793A" w:rsidP="0039793A">
      <w:pPr>
        <w:spacing w:before="120" w:after="120"/>
        <w:jc w:val="both"/>
      </w:pPr>
      <w:r w:rsidRPr="00253D98">
        <w:t xml:space="preserve">Kissinger (Henry), </w:t>
      </w:r>
      <w:r w:rsidRPr="00FD7A44">
        <w:rPr>
          <w:i/>
          <w:iCs/>
        </w:rPr>
        <w:t>Diplomacy</w:t>
      </w:r>
      <w:r w:rsidRPr="00253D98">
        <w:t>, New York, Simon &amp; Schuster, 1994,</w:t>
      </w:r>
      <w:r>
        <w:t xml:space="preserve"> </w:t>
      </w:r>
      <w:r w:rsidRPr="00253D98">
        <w:t>912 p.</w:t>
      </w:r>
    </w:p>
    <w:p w14:paraId="5B3B4741" w14:textId="77777777" w:rsidR="0039793A" w:rsidRPr="00253D98" w:rsidRDefault="0039793A" w:rsidP="0039793A">
      <w:pPr>
        <w:spacing w:before="120" w:after="120"/>
        <w:jc w:val="both"/>
      </w:pPr>
      <w:r w:rsidRPr="00253D98">
        <w:t xml:space="preserve">Mead (Walter Russell), </w:t>
      </w:r>
      <w:r w:rsidRPr="00FD7A44">
        <w:rPr>
          <w:i/>
          <w:iCs/>
        </w:rPr>
        <w:t>Special Providence : American Foreign Policy and Ho</w:t>
      </w:r>
      <w:r>
        <w:rPr>
          <w:i/>
          <w:iCs/>
        </w:rPr>
        <w:t>w</w:t>
      </w:r>
      <w:r w:rsidRPr="00FD7A44">
        <w:rPr>
          <w:i/>
          <w:iCs/>
        </w:rPr>
        <w:t xml:space="preserve"> it Changed the World</w:t>
      </w:r>
      <w:r w:rsidRPr="00253D98">
        <w:t>, New York, Alfred A. Knopf, 2001, 374 p.</w:t>
      </w:r>
    </w:p>
    <w:p w14:paraId="0C29720A" w14:textId="77777777" w:rsidR="0039793A" w:rsidRPr="00253D98" w:rsidRDefault="0039793A" w:rsidP="0039793A">
      <w:pPr>
        <w:spacing w:before="120" w:after="120"/>
        <w:jc w:val="both"/>
      </w:pPr>
      <w:r w:rsidRPr="00253D98">
        <w:t xml:space="preserve">Morgenthau (Hans), </w:t>
      </w:r>
      <w:r w:rsidRPr="00FD7A44">
        <w:rPr>
          <w:i/>
          <w:iCs/>
        </w:rPr>
        <w:t>Politics Among Nations : The Struggle for Power and Peace</w:t>
      </w:r>
      <w:r w:rsidRPr="00253D98">
        <w:t>, New York, Alfred A. Knopf, 1978, 650 p.</w:t>
      </w:r>
    </w:p>
    <w:p w14:paraId="2D08B2EA" w14:textId="77777777" w:rsidR="0039793A" w:rsidRPr="00253D98" w:rsidRDefault="0039793A" w:rsidP="0039793A">
      <w:pPr>
        <w:spacing w:before="120" w:after="120"/>
        <w:jc w:val="both"/>
      </w:pPr>
      <w:r w:rsidRPr="00253D98">
        <w:t xml:space="preserve">Nader (Ralph), </w:t>
      </w:r>
      <w:r w:rsidRPr="00FD7A44">
        <w:rPr>
          <w:i/>
          <w:iCs/>
        </w:rPr>
        <w:t>Crashing the Party : Taking on the Corporate G</w:t>
      </w:r>
      <w:r w:rsidRPr="00FD7A44">
        <w:rPr>
          <w:i/>
          <w:iCs/>
        </w:rPr>
        <w:t>o</w:t>
      </w:r>
      <w:r w:rsidRPr="00FD7A44">
        <w:rPr>
          <w:i/>
          <w:iCs/>
        </w:rPr>
        <w:t>vernment in an Age of Surrender</w:t>
      </w:r>
      <w:r w:rsidRPr="00253D98">
        <w:t>, New York, St. Martin’s Press, 2002, 400 p.</w:t>
      </w:r>
    </w:p>
    <w:p w14:paraId="41C48736" w14:textId="77777777" w:rsidR="0039793A" w:rsidRPr="00253D98" w:rsidRDefault="0039793A" w:rsidP="0039793A">
      <w:pPr>
        <w:spacing w:before="120" w:after="120"/>
        <w:jc w:val="both"/>
      </w:pPr>
      <w:r w:rsidRPr="00253D98">
        <w:t xml:space="preserve">Nash (Henry) </w:t>
      </w:r>
      <w:r w:rsidRPr="00FD7A44">
        <w:rPr>
          <w:i/>
          <w:iCs/>
        </w:rPr>
        <w:t>American Foreign Policy : A Search for Security</w:t>
      </w:r>
      <w:r w:rsidRPr="00253D98">
        <w:t>, Homewood, The Dorsey Press, 1985, 398 p.</w:t>
      </w:r>
    </w:p>
    <w:p w14:paraId="2B83F20B" w14:textId="77777777" w:rsidR="0039793A" w:rsidRPr="00253D98" w:rsidRDefault="0039793A" w:rsidP="0039793A">
      <w:pPr>
        <w:spacing w:before="120" w:after="120"/>
        <w:jc w:val="both"/>
      </w:pPr>
      <w:r w:rsidRPr="00253D98">
        <w:t xml:space="preserve">Niebuhr (Reinhold), </w:t>
      </w:r>
      <w:r w:rsidRPr="00FD7A44">
        <w:rPr>
          <w:i/>
          <w:iCs/>
        </w:rPr>
        <w:t>Moral Man and Immoral Society : A Study in Ethics and Politics</w:t>
      </w:r>
      <w:r w:rsidRPr="00253D98">
        <w:t>, New York, Scribner, I960, 284 p.</w:t>
      </w:r>
    </w:p>
    <w:p w14:paraId="7FE95826" w14:textId="77777777" w:rsidR="0039793A" w:rsidRPr="00253D98" w:rsidRDefault="0039793A" w:rsidP="0039793A">
      <w:pPr>
        <w:spacing w:before="120" w:after="120"/>
        <w:jc w:val="both"/>
      </w:pPr>
      <w:r w:rsidRPr="00253D98">
        <w:t xml:space="preserve">Power (Samantha), </w:t>
      </w:r>
      <w:r w:rsidRPr="00FD7A44">
        <w:rPr>
          <w:i/>
          <w:iCs/>
        </w:rPr>
        <w:t>A Problem from Hell — America and the Age of G</w:t>
      </w:r>
      <w:r>
        <w:rPr>
          <w:i/>
          <w:iCs/>
        </w:rPr>
        <w:t>e</w:t>
      </w:r>
      <w:r w:rsidRPr="00FD7A44">
        <w:rPr>
          <w:i/>
          <w:iCs/>
        </w:rPr>
        <w:t>nocide</w:t>
      </w:r>
      <w:r w:rsidRPr="00253D98">
        <w:t>, New York, Basic Books, 2002, 610 p.</w:t>
      </w:r>
    </w:p>
    <w:p w14:paraId="35E7A6F0" w14:textId="77777777" w:rsidR="0039793A" w:rsidRPr="00253D98" w:rsidRDefault="0039793A" w:rsidP="0039793A">
      <w:pPr>
        <w:spacing w:before="120" w:after="120"/>
        <w:jc w:val="both"/>
      </w:pPr>
      <w:r w:rsidRPr="00253D98">
        <w:t xml:space="preserve">Spanier (John), </w:t>
      </w:r>
      <w:r w:rsidRPr="00FD7A44">
        <w:rPr>
          <w:i/>
          <w:iCs/>
        </w:rPr>
        <w:t>American Foreign Policy Since World War II</w:t>
      </w:r>
      <w:r w:rsidRPr="00253D98">
        <w:t>, Washington, Congressional Quarterly Press, 15</w:t>
      </w:r>
      <w:r w:rsidRPr="00253D98">
        <w:rPr>
          <w:vertAlign w:val="superscript"/>
        </w:rPr>
        <w:t>e</w:t>
      </w:r>
      <w:r w:rsidRPr="00253D98">
        <w:t xml:space="preserve"> éd., 2000, 385 p.</w:t>
      </w:r>
    </w:p>
    <w:p w14:paraId="12FC05DB" w14:textId="77777777" w:rsidR="0039793A" w:rsidRPr="00253D98" w:rsidRDefault="0039793A" w:rsidP="0039793A">
      <w:pPr>
        <w:spacing w:before="120" w:after="120"/>
        <w:jc w:val="both"/>
      </w:pPr>
      <w:r w:rsidRPr="00253D98">
        <w:t xml:space="preserve">Steel (Ronald), </w:t>
      </w:r>
      <w:r w:rsidRPr="00FD7A44">
        <w:rPr>
          <w:i/>
          <w:iCs/>
        </w:rPr>
        <w:t>Imperialists and Other Heroes : A Chronicle of the American Empire</w:t>
      </w:r>
      <w:r w:rsidRPr="00253D98">
        <w:t>, New York, Random House, 1971, 447 p.</w:t>
      </w:r>
    </w:p>
    <w:p w14:paraId="69794CAB" w14:textId="77777777" w:rsidR="0039793A" w:rsidRDefault="0039793A" w:rsidP="0039793A">
      <w:pPr>
        <w:spacing w:before="120" w:after="120"/>
        <w:jc w:val="both"/>
      </w:pPr>
    </w:p>
    <w:p w14:paraId="6D7F191B" w14:textId="77777777" w:rsidR="0039793A" w:rsidRPr="00FD7A44" w:rsidRDefault="0039793A" w:rsidP="0039793A">
      <w:pPr>
        <w:pStyle w:val="a"/>
      </w:pPr>
      <w:r w:rsidRPr="00FD7A44">
        <w:t>Les approches académiques</w:t>
      </w:r>
    </w:p>
    <w:p w14:paraId="3FF30A9C" w14:textId="77777777" w:rsidR="0039793A" w:rsidRDefault="0039793A" w:rsidP="0039793A">
      <w:pPr>
        <w:spacing w:before="120" w:after="120"/>
        <w:jc w:val="both"/>
      </w:pPr>
    </w:p>
    <w:p w14:paraId="69EAC86E" w14:textId="77777777" w:rsidR="0039793A" w:rsidRPr="00253D98" w:rsidRDefault="0039793A" w:rsidP="0039793A">
      <w:pPr>
        <w:spacing w:before="120" w:after="120"/>
        <w:jc w:val="both"/>
      </w:pPr>
      <w:r w:rsidRPr="00253D98">
        <w:t xml:space="preserve">Barsky (Robert), </w:t>
      </w:r>
      <w:r w:rsidRPr="00D63A14">
        <w:rPr>
          <w:i/>
          <w:iCs/>
        </w:rPr>
        <w:t>Noam Chomsky : A Life of Dissent</w:t>
      </w:r>
      <w:r w:rsidRPr="00253D98">
        <w:t>, Cambridge et Londres,</w:t>
      </w:r>
      <w:r w:rsidRPr="00F369CF">
        <w:rPr>
          <w:caps/>
        </w:rPr>
        <w:t xml:space="preserve"> mit</w:t>
      </w:r>
      <w:r w:rsidRPr="00253D98">
        <w:rPr>
          <w:rStyle w:val="Corpsdutexte28ptPetitesmajuscules"/>
        </w:rPr>
        <w:t xml:space="preserve"> </w:t>
      </w:r>
      <w:r w:rsidRPr="00253D98">
        <w:t>Press, 1997, 237 p.</w:t>
      </w:r>
    </w:p>
    <w:p w14:paraId="6F1801EB" w14:textId="77777777" w:rsidR="0039793A" w:rsidRPr="00253D98" w:rsidRDefault="0039793A" w:rsidP="0039793A">
      <w:pPr>
        <w:spacing w:before="120" w:after="120"/>
        <w:jc w:val="both"/>
      </w:pPr>
      <w:r>
        <w:t>[356]</w:t>
      </w:r>
    </w:p>
    <w:p w14:paraId="070E8C09" w14:textId="77777777" w:rsidR="0039793A" w:rsidRPr="00253D98" w:rsidRDefault="0039793A" w:rsidP="0039793A">
      <w:pPr>
        <w:spacing w:before="120" w:after="120"/>
        <w:jc w:val="both"/>
      </w:pPr>
      <w:r w:rsidRPr="00253D98">
        <w:t>Bergsten (C. Fred), « America’s Two-Front Economi</w:t>
      </w:r>
      <w:r>
        <w:t>c</w:t>
      </w:r>
      <w:r w:rsidRPr="00253D98">
        <w:t xml:space="preserve"> Conflict », </w:t>
      </w:r>
      <w:r w:rsidRPr="00E34A60">
        <w:rPr>
          <w:i/>
          <w:iCs/>
        </w:rPr>
        <w:t>Foreign Affairs</w:t>
      </w:r>
      <w:r w:rsidRPr="00253D98">
        <w:t>, 80 (2), 2001, p. 16-27.</w:t>
      </w:r>
    </w:p>
    <w:p w14:paraId="541EEBE4" w14:textId="77777777" w:rsidR="0039793A" w:rsidRPr="00253D98" w:rsidRDefault="0039793A" w:rsidP="0039793A">
      <w:pPr>
        <w:spacing w:before="120" w:after="120"/>
        <w:jc w:val="both"/>
      </w:pPr>
      <w:r w:rsidRPr="00253D98">
        <w:t>Bergsten (C. Fred), « The Primacy of Economi</w:t>
      </w:r>
      <w:r>
        <w:t>c</w:t>
      </w:r>
      <w:r w:rsidRPr="00253D98">
        <w:t xml:space="preserve">s », </w:t>
      </w:r>
      <w:r w:rsidRPr="00E34A60">
        <w:rPr>
          <w:i/>
          <w:iCs/>
        </w:rPr>
        <w:t>Foreign Pol</w:t>
      </w:r>
      <w:r w:rsidRPr="00E34A60">
        <w:rPr>
          <w:i/>
          <w:iCs/>
        </w:rPr>
        <w:t>i</w:t>
      </w:r>
      <w:r w:rsidRPr="00E34A60">
        <w:rPr>
          <w:i/>
          <w:iCs/>
        </w:rPr>
        <w:t>cy</w:t>
      </w:r>
      <w:r w:rsidRPr="00253D98">
        <w:t>, 87, été 1992, p. 3-25.</w:t>
      </w:r>
    </w:p>
    <w:p w14:paraId="414C73A1" w14:textId="77777777" w:rsidR="0039793A" w:rsidRPr="00253D98" w:rsidRDefault="0039793A" w:rsidP="0039793A">
      <w:pPr>
        <w:spacing w:before="120" w:after="120"/>
        <w:jc w:val="both"/>
      </w:pPr>
      <w:r w:rsidRPr="00253D98">
        <w:t xml:space="preserve">Chomsky (Noam), </w:t>
      </w:r>
      <w:r w:rsidRPr="00E34A60">
        <w:rPr>
          <w:i/>
          <w:iCs/>
        </w:rPr>
        <w:t>Rog</w:t>
      </w:r>
      <w:r>
        <w:rPr>
          <w:i/>
          <w:iCs/>
        </w:rPr>
        <w:t>u</w:t>
      </w:r>
      <w:r w:rsidRPr="00E34A60">
        <w:rPr>
          <w:i/>
          <w:iCs/>
        </w:rPr>
        <w:t>e States : The Rule of Force in World A</w:t>
      </w:r>
      <w:r w:rsidRPr="00E34A60">
        <w:rPr>
          <w:i/>
          <w:iCs/>
        </w:rPr>
        <w:t>f</w:t>
      </w:r>
      <w:r w:rsidRPr="00E34A60">
        <w:rPr>
          <w:i/>
          <w:iCs/>
        </w:rPr>
        <w:t>fairs</w:t>
      </w:r>
      <w:r w:rsidRPr="00253D98">
        <w:t>, Cambridge, South End Press, 2000, 150 p.</w:t>
      </w:r>
    </w:p>
    <w:p w14:paraId="2CFCAD3F" w14:textId="77777777" w:rsidR="0039793A" w:rsidRPr="00253D98" w:rsidRDefault="0039793A" w:rsidP="0039793A">
      <w:pPr>
        <w:spacing w:before="120" w:after="120"/>
        <w:jc w:val="both"/>
      </w:pPr>
      <w:r w:rsidRPr="00253D98">
        <w:t xml:space="preserve">David (Charles-Philippe) et Lévesque (Jacques) (dir.), </w:t>
      </w:r>
      <w:r w:rsidRPr="00E34A60">
        <w:rPr>
          <w:i/>
          <w:iCs/>
        </w:rPr>
        <w:t xml:space="preserve">The Future of </w:t>
      </w:r>
      <w:r w:rsidRPr="00E34A60">
        <w:rPr>
          <w:rStyle w:val="Corpsdutexte27ptItaliqueEspacement0pt"/>
          <w:i w:val="0"/>
          <w:iCs w:val="0"/>
        </w:rPr>
        <w:t>NATO :</w:t>
      </w:r>
      <w:r w:rsidRPr="00E34A60">
        <w:rPr>
          <w:i/>
          <w:iCs/>
        </w:rPr>
        <w:t xml:space="preserve"> Emargement, Russia, and European Security</w:t>
      </w:r>
      <w:r w:rsidRPr="00253D98">
        <w:t>, Montréal, Kin</w:t>
      </w:r>
      <w:r w:rsidRPr="00253D98">
        <w:t>g</w:t>
      </w:r>
      <w:r w:rsidRPr="00253D98">
        <w:t>ston, Londres et Ithaca, McGill-Queens University Press, 2000, 261 p.</w:t>
      </w:r>
    </w:p>
    <w:p w14:paraId="748F27D8" w14:textId="77777777" w:rsidR="0039793A" w:rsidRPr="00253D98" w:rsidRDefault="0039793A" w:rsidP="0039793A">
      <w:pPr>
        <w:spacing w:before="120" w:after="120"/>
        <w:jc w:val="both"/>
      </w:pPr>
      <w:r w:rsidRPr="00253D98">
        <w:t xml:space="preserve">David (Charles-Philippe), Racicot (Jean-Philippe), « L’auto-restriction stratégique d’un libéralisme structurant. La stratégie de puissance des </w:t>
      </w:r>
      <w:r>
        <w:t>État</w:t>
      </w:r>
      <w:r w:rsidRPr="00253D98">
        <w:t xml:space="preserve">s-Unis dans le nouveau millénaire », </w:t>
      </w:r>
      <w:r w:rsidRPr="00E34A60">
        <w:rPr>
          <w:i/>
          <w:iCs/>
        </w:rPr>
        <w:t>Cahiers Raoul- Dandurand</w:t>
      </w:r>
      <w:r w:rsidRPr="00253D98">
        <w:t>, 3, septembre 2000, 22 p.</w:t>
      </w:r>
    </w:p>
    <w:p w14:paraId="32F88121" w14:textId="77777777" w:rsidR="0039793A" w:rsidRPr="00253D98" w:rsidRDefault="0039793A" w:rsidP="0039793A">
      <w:pPr>
        <w:spacing w:before="120" w:after="120"/>
        <w:jc w:val="both"/>
      </w:pPr>
      <w:r w:rsidRPr="00253D98">
        <w:t>Deudney (Daniel) et Ikenberry (G. John), « The Nature and Sou</w:t>
      </w:r>
      <w:r w:rsidRPr="00253D98">
        <w:t>r</w:t>
      </w:r>
      <w:r w:rsidRPr="00253D98">
        <w:t xml:space="preserve">ces of Liberal International Order », </w:t>
      </w:r>
      <w:r w:rsidRPr="00E34A60">
        <w:rPr>
          <w:i/>
          <w:iCs/>
        </w:rPr>
        <w:t>Review of International Studies</w:t>
      </w:r>
      <w:r w:rsidRPr="00253D98">
        <w:t>, 25 (2), 1999, p. 179-196.</w:t>
      </w:r>
    </w:p>
    <w:p w14:paraId="027EABFA" w14:textId="77777777" w:rsidR="0039793A" w:rsidRPr="00253D98" w:rsidRDefault="0039793A" w:rsidP="0039793A">
      <w:pPr>
        <w:spacing w:before="120" w:after="120"/>
        <w:jc w:val="both"/>
      </w:pPr>
      <w:r w:rsidRPr="00253D98">
        <w:t xml:space="preserve">Falk (Richard), « Les Nations unies prises en otage : Washington contre Bagdad », </w:t>
      </w:r>
      <w:r w:rsidRPr="00E34A60">
        <w:rPr>
          <w:i/>
          <w:iCs/>
        </w:rPr>
        <w:t>Le Monde diplomatique</w:t>
      </w:r>
      <w:r w:rsidRPr="00253D98">
        <w:t>, décembre 2002, p. 1 et 23.</w:t>
      </w:r>
    </w:p>
    <w:p w14:paraId="50985941" w14:textId="77777777" w:rsidR="0039793A" w:rsidRPr="00253D98" w:rsidRDefault="0039793A" w:rsidP="0039793A">
      <w:pPr>
        <w:spacing w:before="120" w:after="120"/>
        <w:jc w:val="both"/>
      </w:pPr>
      <w:r w:rsidRPr="00253D98">
        <w:t xml:space="preserve">Falk (Richard), </w:t>
      </w:r>
      <w:r w:rsidRPr="00E34A60">
        <w:rPr>
          <w:i/>
          <w:iCs/>
        </w:rPr>
        <w:t>Human Rights Horizon : The Pursuit of Global Justice in a Globalizing World</w:t>
      </w:r>
      <w:r w:rsidRPr="00253D98">
        <w:t>, New York et Londres, Routledge, 2000, 270 p.</w:t>
      </w:r>
    </w:p>
    <w:p w14:paraId="7FA4FEBC" w14:textId="77777777" w:rsidR="0039793A" w:rsidRPr="00253D98" w:rsidRDefault="0039793A" w:rsidP="0039793A">
      <w:pPr>
        <w:spacing w:before="120" w:after="120"/>
        <w:jc w:val="both"/>
      </w:pPr>
      <w:r w:rsidRPr="00253D98">
        <w:t xml:space="preserve">Friedman (Thomas), </w:t>
      </w:r>
      <w:r w:rsidRPr="00E34A60">
        <w:rPr>
          <w:i/>
          <w:iCs/>
        </w:rPr>
        <w:t>The Lexus and the Olive Tree : Understa</w:t>
      </w:r>
      <w:r w:rsidRPr="00E34A60">
        <w:rPr>
          <w:i/>
          <w:iCs/>
        </w:rPr>
        <w:t>n</w:t>
      </w:r>
      <w:r w:rsidRPr="00E34A60">
        <w:rPr>
          <w:i/>
          <w:iCs/>
        </w:rPr>
        <w:t>ding Globalization</w:t>
      </w:r>
      <w:r w:rsidRPr="00253D98">
        <w:t>, New York, Anchor Books, 2000, 490 p.</w:t>
      </w:r>
    </w:p>
    <w:p w14:paraId="77CD6742" w14:textId="77777777" w:rsidR="0039793A" w:rsidRPr="00253D98" w:rsidRDefault="0039793A" w:rsidP="0039793A">
      <w:pPr>
        <w:spacing w:before="120" w:after="120"/>
        <w:jc w:val="both"/>
      </w:pPr>
      <w:r w:rsidRPr="00253D98">
        <w:t xml:space="preserve">Fukuyama (Francis), « Nous sommes toujours à la fin de l’Histoire », </w:t>
      </w:r>
      <w:r w:rsidRPr="00E34A60">
        <w:rPr>
          <w:i/>
          <w:iCs/>
        </w:rPr>
        <w:t>Le Monde</w:t>
      </w:r>
      <w:r w:rsidRPr="00253D98">
        <w:t>, 18 octobre 2001, p. 17.</w:t>
      </w:r>
    </w:p>
    <w:p w14:paraId="1DFF3DA6" w14:textId="77777777" w:rsidR="0039793A" w:rsidRPr="00253D98" w:rsidRDefault="0039793A" w:rsidP="0039793A">
      <w:pPr>
        <w:spacing w:before="120" w:after="120"/>
        <w:jc w:val="both"/>
      </w:pPr>
      <w:r w:rsidRPr="00253D98">
        <w:t xml:space="preserve">Fukuyama (Francis), « The End of History ? », </w:t>
      </w:r>
      <w:r w:rsidRPr="00E34A60">
        <w:rPr>
          <w:i/>
          <w:iCs/>
        </w:rPr>
        <w:t>The National Int</w:t>
      </w:r>
      <w:r w:rsidRPr="00E34A60">
        <w:rPr>
          <w:i/>
          <w:iCs/>
        </w:rPr>
        <w:t>e</w:t>
      </w:r>
      <w:r w:rsidRPr="00E34A60">
        <w:rPr>
          <w:i/>
          <w:iCs/>
        </w:rPr>
        <w:t>rest</w:t>
      </w:r>
      <w:r w:rsidRPr="00253D98">
        <w:t>, 16, été 1989, p. 3-18.</w:t>
      </w:r>
    </w:p>
    <w:p w14:paraId="63ECC7B8" w14:textId="77777777" w:rsidR="0039793A" w:rsidRPr="00253D98" w:rsidRDefault="0039793A" w:rsidP="0039793A">
      <w:pPr>
        <w:spacing w:before="120" w:after="120"/>
        <w:jc w:val="both"/>
      </w:pPr>
      <w:r w:rsidRPr="00253D98">
        <w:t xml:space="preserve">Griffiths (Martin), </w:t>
      </w:r>
      <w:r w:rsidRPr="00E34A60">
        <w:rPr>
          <w:i/>
          <w:iCs/>
        </w:rPr>
        <w:t>Fifty Key Thinkers in International Relations</w:t>
      </w:r>
      <w:r w:rsidRPr="00253D98">
        <w:t>, Londres, Routledge, 1999, 256 p.</w:t>
      </w:r>
    </w:p>
    <w:p w14:paraId="0DB6C373" w14:textId="77777777" w:rsidR="0039793A" w:rsidRPr="00253D98" w:rsidRDefault="0039793A" w:rsidP="0039793A">
      <w:pPr>
        <w:spacing w:before="120" w:after="120"/>
        <w:jc w:val="both"/>
      </w:pPr>
      <w:r w:rsidRPr="00253D98">
        <w:t>Grondin (David) et Racicot (Jean-Philippe), « L’incohérence str</w:t>
      </w:r>
      <w:r w:rsidRPr="00253D98">
        <w:t>a</w:t>
      </w:r>
      <w:r w:rsidRPr="00253D98">
        <w:t xml:space="preserve">tégique de Bush : une stratégie de sécurité nationale ambivalente face aux cas irakien et nord-coréen », </w:t>
      </w:r>
      <w:r w:rsidRPr="00E34A60">
        <w:rPr>
          <w:i/>
          <w:iCs/>
        </w:rPr>
        <w:t>Regards sur l’Amérique</w:t>
      </w:r>
      <w:r w:rsidRPr="00253D98">
        <w:t xml:space="preserve">, 2 (2), 13 p. en ligne : </w:t>
      </w:r>
      <w:hyperlink r:id="rId20" w:history="1">
        <w:r w:rsidRPr="00253D98">
          <w:rPr>
            <w:rStyle w:val="Hyperlien"/>
            <w:lang w:bidi="en-US"/>
          </w:rPr>
          <w:t>http ://www.dandurand.uqam.ca/Observatoire/Download/</w:t>
        </w:r>
      </w:hyperlink>
      <w:r w:rsidRPr="00253D98">
        <w:rPr>
          <w:lang w:bidi="en-US"/>
        </w:rPr>
        <w:t xml:space="preserve"> </w:t>
      </w:r>
      <w:r w:rsidRPr="00253D98">
        <w:t>Regards_Amerique/Regards_Amerique_v2n2.pdf.</w:t>
      </w:r>
    </w:p>
    <w:p w14:paraId="3774D1F1" w14:textId="77777777" w:rsidR="0039793A" w:rsidRPr="00253D98" w:rsidRDefault="0039793A" w:rsidP="0039793A">
      <w:pPr>
        <w:spacing w:before="120" w:after="120"/>
        <w:jc w:val="both"/>
      </w:pPr>
      <w:r w:rsidRPr="00253D98">
        <w:t xml:space="preserve">Hassner (Pierre) et Vaïsse (Justin), </w:t>
      </w:r>
      <w:r w:rsidRPr="00253D98">
        <w:rPr>
          <w:rStyle w:val="Corpsdutexte7105ptItalique"/>
        </w:rPr>
        <w:t>Washington et le monde. D</w:t>
      </w:r>
      <w:r w:rsidRPr="00253D98">
        <w:rPr>
          <w:rStyle w:val="Corpsdutexte7105ptItalique"/>
        </w:rPr>
        <w:t>i</w:t>
      </w:r>
      <w:r w:rsidRPr="00253D98">
        <w:rPr>
          <w:rStyle w:val="Corpsdutexte7105ptItalique"/>
        </w:rPr>
        <w:t>lemmes d’une superpuissance,</w:t>
      </w:r>
      <w:r w:rsidRPr="00253D98">
        <w:t xml:space="preserve"> Paris, CERi/Autrement, 2003, 173 p.</w:t>
      </w:r>
    </w:p>
    <w:p w14:paraId="17A6E91D" w14:textId="77777777" w:rsidR="0039793A" w:rsidRPr="00253D98" w:rsidRDefault="0039793A" w:rsidP="0039793A">
      <w:pPr>
        <w:spacing w:before="120" w:after="120"/>
        <w:jc w:val="both"/>
      </w:pPr>
      <w:r w:rsidRPr="00253D98">
        <w:t xml:space="preserve">Huntington (Samuel), « A Clash of Civilizations ? », </w:t>
      </w:r>
      <w:r w:rsidRPr="00E34A60">
        <w:rPr>
          <w:i/>
          <w:iCs/>
        </w:rPr>
        <w:t>Foreign A</w:t>
      </w:r>
      <w:r w:rsidRPr="00E34A60">
        <w:rPr>
          <w:i/>
          <w:iCs/>
        </w:rPr>
        <w:t>f</w:t>
      </w:r>
      <w:r w:rsidRPr="00E34A60">
        <w:rPr>
          <w:i/>
          <w:iCs/>
        </w:rPr>
        <w:t>fairs</w:t>
      </w:r>
      <w:r w:rsidRPr="00253D98">
        <w:t>, 72 (3), 1993, p. 22-49.</w:t>
      </w:r>
    </w:p>
    <w:p w14:paraId="7949B9D9" w14:textId="77777777" w:rsidR="0039793A" w:rsidRPr="00253D98" w:rsidRDefault="0039793A" w:rsidP="0039793A">
      <w:pPr>
        <w:spacing w:before="120" w:after="120"/>
        <w:jc w:val="both"/>
      </w:pPr>
      <w:r w:rsidRPr="00253D98">
        <w:t xml:space="preserve">Ikenberry (G. John) (ed.), </w:t>
      </w:r>
      <w:r w:rsidRPr="00E34A60">
        <w:rPr>
          <w:i/>
          <w:iCs/>
        </w:rPr>
        <w:t>America’s Unrivalled : The Future of the Balance of Power</w:t>
      </w:r>
      <w:r w:rsidRPr="00253D98">
        <w:t>, Ithaca et Londres, Cornell University Press, 2002, 317 p.</w:t>
      </w:r>
    </w:p>
    <w:p w14:paraId="1C6BC281" w14:textId="77777777" w:rsidR="0039793A" w:rsidRPr="00253D98" w:rsidRDefault="0039793A" w:rsidP="0039793A">
      <w:pPr>
        <w:spacing w:before="120" w:after="120"/>
        <w:jc w:val="both"/>
      </w:pPr>
      <w:r w:rsidRPr="00253D98">
        <w:t>Ikenberry (G. John), « Americas Imp</w:t>
      </w:r>
      <w:r>
        <w:t>e</w:t>
      </w:r>
      <w:r w:rsidRPr="00253D98">
        <w:t>rial Ambition : The Lures of Pr</w:t>
      </w:r>
      <w:r>
        <w:t>e</w:t>
      </w:r>
      <w:r w:rsidRPr="00253D98">
        <w:t xml:space="preserve">emption », </w:t>
      </w:r>
      <w:r w:rsidRPr="00E34A60">
        <w:rPr>
          <w:i/>
          <w:iCs/>
        </w:rPr>
        <w:t>Foreign Affairs</w:t>
      </w:r>
      <w:r w:rsidRPr="00253D98">
        <w:t>, 81 (5), 2002, p. 44-60.</w:t>
      </w:r>
    </w:p>
    <w:p w14:paraId="6D118E53" w14:textId="77777777" w:rsidR="0039793A" w:rsidRPr="00253D98" w:rsidRDefault="0039793A" w:rsidP="0039793A">
      <w:pPr>
        <w:spacing w:before="120" w:after="120"/>
        <w:jc w:val="both"/>
      </w:pPr>
      <w:r w:rsidRPr="00253D98">
        <w:t xml:space="preserve">Ikenberry (G. John), </w:t>
      </w:r>
      <w:r w:rsidRPr="00E34A60">
        <w:rPr>
          <w:i/>
          <w:iCs/>
        </w:rPr>
        <w:t>After Victory : Institutions, Strategi</w:t>
      </w:r>
      <w:r>
        <w:rPr>
          <w:i/>
          <w:iCs/>
        </w:rPr>
        <w:t>c</w:t>
      </w:r>
      <w:r w:rsidRPr="00E34A60">
        <w:rPr>
          <w:i/>
          <w:iCs/>
        </w:rPr>
        <w:t xml:space="preserve"> Re</w:t>
      </w:r>
      <w:r w:rsidRPr="00E34A60">
        <w:rPr>
          <w:i/>
          <w:iCs/>
        </w:rPr>
        <w:t>s</w:t>
      </w:r>
      <w:r w:rsidRPr="00E34A60">
        <w:rPr>
          <w:i/>
          <w:iCs/>
        </w:rPr>
        <w:t>traint, and the Rebuilding of Order After Major Wars</w:t>
      </w:r>
      <w:r w:rsidRPr="00253D98">
        <w:t>, Princeton, Pri</w:t>
      </w:r>
      <w:r w:rsidRPr="00253D98">
        <w:t>n</w:t>
      </w:r>
      <w:r w:rsidRPr="00253D98">
        <w:t>ceton University Press, 2000, 293 p.</w:t>
      </w:r>
    </w:p>
    <w:p w14:paraId="558E0096" w14:textId="77777777" w:rsidR="0039793A" w:rsidRPr="00253D98" w:rsidRDefault="0039793A" w:rsidP="0039793A">
      <w:pPr>
        <w:spacing w:before="120" w:after="120"/>
        <w:jc w:val="both"/>
      </w:pPr>
      <w:r>
        <w:t>[357]</w:t>
      </w:r>
    </w:p>
    <w:p w14:paraId="43B94CD7" w14:textId="77777777" w:rsidR="0039793A" w:rsidRPr="00253D98" w:rsidRDefault="0039793A" w:rsidP="0039793A">
      <w:pPr>
        <w:spacing w:before="120" w:after="120"/>
        <w:jc w:val="both"/>
      </w:pPr>
      <w:r w:rsidRPr="00253D98">
        <w:t xml:space="preserve">Kagan (Robert), « The Benevolent Empire », </w:t>
      </w:r>
      <w:r w:rsidRPr="0052600A">
        <w:rPr>
          <w:i/>
          <w:iCs/>
        </w:rPr>
        <w:t>Foreign Policy</w:t>
      </w:r>
      <w:r w:rsidRPr="00253D98">
        <w:t>, 111, été 1998, p. 24-35.</w:t>
      </w:r>
    </w:p>
    <w:p w14:paraId="36C59F7C" w14:textId="77777777" w:rsidR="0039793A" w:rsidRPr="00253D98" w:rsidRDefault="0039793A" w:rsidP="0039793A">
      <w:pPr>
        <w:spacing w:before="120" w:after="120"/>
        <w:jc w:val="both"/>
      </w:pPr>
      <w:r w:rsidRPr="00253D98">
        <w:t xml:space="preserve">Kagan (Robert), </w:t>
      </w:r>
      <w:r w:rsidRPr="0052600A">
        <w:rPr>
          <w:i/>
          <w:iCs/>
        </w:rPr>
        <w:t>La puissance et la faiblesse : les États-Unis et l’Europe dans le nouvel ordre mondial</w:t>
      </w:r>
      <w:r w:rsidRPr="00253D98">
        <w:t>, Paris, Plon, 2003, 161 p.</w:t>
      </w:r>
    </w:p>
    <w:p w14:paraId="5684278B" w14:textId="77777777" w:rsidR="0039793A" w:rsidRPr="00253D98" w:rsidRDefault="0039793A" w:rsidP="0039793A">
      <w:pPr>
        <w:spacing w:before="120" w:after="120"/>
        <w:jc w:val="both"/>
      </w:pPr>
      <w:r w:rsidRPr="00253D98">
        <w:t xml:space="preserve">Kapstein (Ethan) et Mastanduno (Michael) (eds), </w:t>
      </w:r>
      <w:r w:rsidRPr="0052600A">
        <w:rPr>
          <w:i/>
          <w:iCs/>
        </w:rPr>
        <w:t>Unipolar Pol</w:t>
      </w:r>
      <w:r w:rsidRPr="0052600A">
        <w:rPr>
          <w:i/>
          <w:iCs/>
        </w:rPr>
        <w:t>i</w:t>
      </w:r>
      <w:r w:rsidRPr="0052600A">
        <w:rPr>
          <w:i/>
          <w:iCs/>
        </w:rPr>
        <w:t>tics : Realism and State Strategies After the Cold War</w:t>
      </w:r>
      <w:r w:rsidRPr="00253D98">
        <w:t>, New York, Columbia University Press, 1999, 350 p.</w:t>
      </w:r>
    </w:p>
    <w:p w14:paraId="26EDF4FC" w14:textId="77777777" w:rsidR="0039793A" w:rsidRPr="00253D98" w:rsidRDefault="0039793A" w:rsidP="0039793A">
      <w:pPr>
        <w:spacing w:before="120" w:after="120"/>
        <w:jc w:val="both"/>
      </w:pPr>
      <w:r w:rsidRPr="00253D98">
        <w:t xml:space="preserve">Krauthammer (Charles), « The Unipolar Moment Revisited », </w:t>
      </w:r>
      <w:r w:rsidRPr="0052600A">
        <w:rPr>
          <w:i/>
          <w:iCs/>
        </w:rPr>
        <w:t>The National Interest</w:t>
      </w:r>
      <w:r w:rsidRPr="00253D98">
        <w:t>, 70, hiver 2002-2003, p. 5-17.</w:t>
      </w:r>
    </w:p>
    <w:p w14:paraId="11DC3A32" w14:textId="77777777" w:rsidR="0039793A" w:rsidRPr="00253D98" w:rsidRDefault="0039793A" w:rsidP="0039793A">
      <w:pPr>
        <w:spacing w:before="120" w:after="120"/>
        <w:jc w:val="both"/>
      </w:pPr>
      <w:r w:rsidRPr="00253D98">
        <w:t xml:space="preserve">Krauthammer (Charles), « The Unipolar Moment », </w:t>
      </w:r>
      <w:r w:rsidRPr="0052600A">
        <w:rPr>
          <w:i/>
          <w:iCs/>
        </w:rPr>
        <w:t>Foreign A</w:t>
      </w:r>
      <w:r w:rsidRPr="0052600A">
        <w:rPr>
          <w:i/>
          <w:iCs/>
        </w:rPr>
        <w:t>f</w:t>
      </w:r>
      <w:r w:rsidRPr="0052600A">
        <w:rPr>
          <w:i/>
          <w:iCs/>
        </w:rPr>
        <w:t>fairs : America and the World 1990-1991</w:t>
      </w:r>
      <w:r w:rsidRPr="00253D98">
        <w:t>, 70 (1), 1990-1991, p. 23-33.</w:t>
      </w:r>
    </w:p>
    <w:p w14:paraId="48B1510D" w14:textId="77777777" w:rsidR="0039793A" w:rsidRPr="00253D98" w:rsidRDefault="0039793A" w:rsidP="0039793A">
      <w:pPr>
        <w:spacing w:before="120" w:after="120"/>
        <w:jc w:val="both"/>
      </w:pPr>
      <w:r w:rsidRPr="00253D98">
        <w:t>Kristol (William) et Kagan (Robert), « The Pr</w:t>
      </w:r>
      <w:r>
        <w:t>e</w:t>
      </w:r>
      <w:r w:rsidRPr="00253D98">
        <w:t xml:space="preserve">sent Danger », </w:t>
      </w:r>
      <w:r w:rsidRPr="00E723AF">
        <w:rPr>
          <w:i/>
          <w:iCs/>
        </w:rPr>
        <w:t>The National Interest</w:t>
      </w:r>
      <w:r>
        <w:t>, 59, printemps 2000, p. 57-69.</w:t>
      </w:r>
    </w:p>
    <w:p w14:paraId="557F451A" w14:textId="77777777" w:rsidR="0039793A" w:rsidRPr="00253D98" w:rsidRDefault="0039793A" w:rsidP="0039793A">
      <w:pPr>
        <w:spacing w:before="120" w:after="120"/>
        <w:jc w:val="both"/>
      </w:pPr>
      <w:r w:rsidRPr="00253D98">
        <w:t xml:space="preserve">Kupchan (Charles), </w:t>
      </w:r>
      <w:r w:rsidRPr="00E723AF">
        <w:rPr>
          <w:i/>
          <w:iCs/>
        </w:rPr>
        <w:t xml:space="preserve">The End </w:t>
      </w:r>
      <w:r w:rsidRPr="00E723AF">
        <w:rPr>
          <w:rStyle w:val="Corpsdutexte57ptEspacement0pt"/>
          <w:i w:val="0"/>
          <w:iCs w:val="0"/>
        </w:rPr>
        <w:t xml:space="preserve">of </w:t>
      </w:r>
      <w:r w:rsidRPr="00E723AF">
        <w:rPr>
          <w:i/>
          <w:iCs/>
        </w:rPr>
        <w:t>the American Era :</w:t>
      </w:r>
      <w:r w:rsidRPr="00F33AB3">
        <w:rPr>
          <w:i/>
          <w:iCs/>
        </w:rPr>
        <w:t xml:space="preserve"> </w:t>
      </w:r>
      <w:r w:rsidRPr="00F33AB3">
        <w:rPr>
          <w:i/>
        </w:rPr>
        <w:t>US</w:t>
      </w:r>
      <w:r w:rsidRPr="00E723AF">
        <w:rPr>
          <w:rStyle w:val="Corpsdutexte57ptEspacement0pt"/>
          <w:i w:val="0"/>
          <w:iCs w:val="0"/>
        </w:rPr>
        <w:t xml:space="preserve"> </w:t>
      </w:r>
      <w:r w:rsidRPr="00E723AF">
        <w:rPr>
          <w:i/>
          <w:iCs/>
        </w:rPr>
        <w:t>Foreign P</w:t>
      </w:r>
      <w:r w:rsidRPr="00E723AF">
        <w:rPr>
          <w:i/>
          <w:iCs/>
        </w:rPr>
        <w:t>o</w:t>
      </w:r>
      <w:r w:rsidRPr="00E723AF">
        <w:rPr>
          <w:i/>
          <w:iCs/>
        </w:rPr>
        <w:t xml:space="preserve">licy and the Geopolitics </w:t>
      </w:r>
      <w:r w:rsidRPr="00E723AF">
        <w:rPr>
          <w:rStyle w:val="Corpsdutexte57ptEspacement0pt"/>
          <w:i w:val="0"/>
          <w:iCs w:val="0"/>
        </w:rPr>
        <w:t xml:space="preserve">of </w:t>
      </w:r>
      <w:r w:rsidRPr="00E723AF">
        <w:rPr>
          <w:i/>
          <w:iCs/>
        </w:rPr>
        <w:t>the Twenty-First Century</w:t>
      </w:r>
      <w:r w:rsidRPr="00253D98">
        <w:t>, New York, A</w:t>
      </w:r>
      <w:r w:rsidRPr="00253D98">
        <w:t>l</w:t>
      </w:r>
      <w:r w:rsidRPr="00253D98">
        <w:t>fred A. Knopf, 2002, 368 p.</w:t>
      </w:r>
    </w:p>
    <w:p w14:paraId="0E8AC712" w14:textId="77777777" w:rsidR="0039793A" w:rsidRPr="00253D98" w:rsidRDefault="0039793A" w:rsidP="0039793A">
      <w:pPr>
        <w:spacing w:before="120" w:after="120"/>
        <w:jc w:val="both"/>
      </w:pPr>
      <w:r w:rsidRPr="00253D98">
        <w:t>Layne (Christopher), « Kant or Cant : The Myth of the D</w:t>
      </w:r>
      <w:r>
        <w:t>e</w:t>
      </w:r>
      <w:r w:rsidRPr="00253D98">
        <w:t>mocrati</w:t>
      </w:r>
      <w:r>
        <w:t>c</w:t>
      </w:r>
      <w:r w:rsidRPr="00253D98">
        <w:t xml:space="preserve"> Peace », </w:t>
      </w:r>
      <w:r w:rsidRPr="00E723AF">
        <w:rPr>
          <w:i/>
          <w:iCs/>
        </w:rPr>
        <w:t>International Security</w:t>
      </w:r>
      <w:r w:rsidRPr="00253D98">
        <w:t>, 19 (2), 1994, p. 5-49.</w:t>
      </w:r>
    </w:p>
    <w:p w14:paraId="7D03C218" w14:textId="77777777" w:rsidR="0039793A" w:rsidRPr="00253D98" w:rsidRDefault="0039793A" w:rsidP="0039793A">
      <w:pPr>
        <w:spacing w:before="120" w:after="120"/>
        <w:jc w:val="both"/>
      </w:pPr>
      <w:r w:rsidRPr="00253D98">
        <w:t xml:space="preserve">Mandelbaum (Michael), </w:t>
      </w:r>
      <w:r w:rsidRPr="00E723AF">
        <w:rPr>
          <w:i/>
          <w:iCs/>
        </w:rPr>
        <w:t>The Ideas that Conquered the World : Peace, Democracy, and Free Markets in the Twenty-First Century</w:t>
      </w:r>
      <w:r w:rsidRPr="00253D98">
        <w:t>, New York, Public Affairs, 2002, 496 p.</w:t>
      </w:r>
    </w:p>
    <w:p w14:paraId="143A1AA4" w14:textId="77777777" w:rsidR="0039793A" w:rsidRPr="00253D98" w:rsidRDefault="0039793A" w:rsidP="0039793A">
      <w:pPr>
        <w:spacing w:before="120" w:after="120"/>
        <w:jc w:val="both"/>
      </w:pPr>
      <w:r w:rsidRPr="00253D98">
        <w:t>Mastanduno (Michael), « Preserving the Unipolar Moment : Re</w:t>
      </w:r>
      <w:r w:rsidRPr="00253D98">
        <w:t>a</w:t>
      </w:r>
      <w:r w:rsidRPr="00253D98">
        <w:t>list Th</w:t>
      </w:r>
      <w:r>
        <w:t>e</w:t>
      </w:r>
      <w:r w:rsidRPr="00253D98">
        <w:t xml:space="preserve">ories and US Grand Strategy After the Cold War », </w:t>
      </w:r>
      <w:r w:rsidRPr="00E723AF">
        <w:rPr>
          <w:i/>
          <w:iCs/>
        </w:rPr>
        <w:t>Internati</w:t>
      </w:r>
      <w:r w:rsidRPr="00E723AF">
        <w:rPr>
          <w:i/>
          <w:iCs/>
        </w:rPr>
        <w:t>o</w:t>
      </w:r>
      <w:r w:rsidRPr="00E723AF">
        <w:rPr>
          <w:i/>
          <w:iCs/>
        </w:rPr>
        <w:t>nal Security</w:t>
      </w:r>
      <w:r w:rsidRPr="00253D98">
        <w:t>, 21 (4), 1997, p. 63-72.</w:t>
      </w:r>
    </w:p>
    <w:p w14:paraId="141CCC3D" w14:textId="77777777" w:rsidR="0039793A" w:rsidRPr="00253D98" w:rsidRDefault="0039793A" w:rsidP="0039793A">
      <w:pPr>
        <w:spacing w:before="120" w:after="120"/>
        <w:jc w:val="both"/>
      </w:pPr>
      <w:r w:rsidRPr="00253D98">
        <w:t xml:space="preserve">Nordlinger (Eric), </w:t>
      </w:r>
      <w:r w:rsidRPr="00E723AF">
        <w:rPr>
          <w:i/>
          <w:iCs/>
        </w:rPr>
        <w:t>Isolationism Reconfigured : American Foreign Policy for a New Century</w:t>
      </w:r>
      <w:r w:rsidRPr="00253D98">
        <w:t>, Princeton, Princeton University Press, 1995, 352 p.</w:t>
      </w:r>
    </w:p>
    <w:p w14:paraId="2FD3FEA7" w14:textId="77777777" w:rsidR="0039793A" w:rsidRPr="00253D98" w:rsidRDefault="0039793A" w:rsidP="0039793A">
      <w:pPr>
        <w:spacing w:before="120" w:after="120"/>
        <w:jc w:val="both"/>
      </w:pPr>
      <w:r w:rsidRPr="00253D98">
        <w:t xml:space="preserve">Nye (Joseph), </w:t>
      </w:r>
      <w:r w:rsidRPr="00E723AF">
        <w:rPr>
          <w:i/>
          <w:iCs/>
        </w:rPr>
        <w:t>The Paradox of American Power : Why the World’s Only Superpower Can’t Go It Alone</w:t>
      </w:r>
      <w:r w:rsidRPr="00253D98">
        <w:t>, New York, Oxford University Press,</w:t>
      </w:r>
      <w:r>
        <w:t xml:space="preserve"> </w:t>
      </w:r>
      <w:r w:rsidRPr="00253D98">
        <w:t>2002, 222 p.</w:t>
      </w:r>
    </w:p>
    <w:p w14:paraId="72DD12DF" w14:textId="77777777" w:rsidR="0039793A" w:rsidRPr="00253D98" w:rsidRDefault="0039793A" w:rsidP="0039793A">
      <w:pPr>
        <w:spacing w:before="120" w:after="120"/>
        <w:jc w:val="both"/>
      </w:pPr>
      <w:r w:rsidRPr="00253D98">
        <w:t>Owen (John), « How Liberalism Produces D</w:t>
      </w:r>
      <w:r>
        <w:t>e</w:t>
      </w:r>
      <w:r w:rsidRPr="00253D98">
        <w:t>mocrati</w:t>
      </w:r>
      <w:r>
        <w:t>c</w:t>
      </w:r>
      <w:r w:rsidRPr="00253D98">
        <w:t xml:space="preserve"> Peace », </w:t>
      </w:r>
      <w:r w:rsidRPr="00E723AF">
        <w:rPr>
          <w:i/>
          <w:iCs/>
        </w:rPr>
        <w:t>I</w:t>
      </w:r>
      <w:r w:rsidRPr="00E723AF">
        <w:rPr>
          <w:i/>
          <w:iCs/>
        </w:rPr>
        <w:t>n</w:t>
      </w:r>
      <w:r w:rsidRPr="00E723AF">
        <w:rPr>
          <w:i/>
          <w:iCs/>
        </w:rPr>
        <w:t>ternational Security</w:t>
      </w:r>
      <w:r w:rsidRPr="00253D98">
        <w:t>, 19 (2), 1994, p. 87-125.</w:t>
      </w:r>
    </w:p>
    <w:p w14:paraId="2629FCC9" w14:textId="77777777" w:rsidR="0039793A" w:rsidRPr="00253D98" w:rsidRDefault="0039793A" w:rsidP="0039793A">
      <w:pPr>
        <w:spacing w:before="120" w:after="120"/>
        <w:jc w:val="both"/>
      </w:pPr>
      <w:r w:rsidRPr="00253D98">
        <w:t xml:space="preserve">Podhoretz (Norman), « Pour une diplomatie néo-reaganienne », </w:t>
      </w:r>
      <w:r w:rsidRPr="00E723AF">
        <w:rPr>
          <w:i/>
          <w:iCs/>
        </w:rPr>
        <w:t>Politique internationale</w:t>
      </w:r>
      <w:r w:rsidRPr="00253D98">
        <w:t>, 89, automne 2000, p. 113-41.</w:t>
      </w:r>
    </w:p>
    <w:p w14:paraId="33D36397" w14:textId="77777777" w:rsidR="0039793A" w:rsidRPr="00253D98" w:rsidRDefault="0039793A" w:rsidP="0039793A">
      <w:pPr>
        <w:spacing w:before="120" w:after="120"/>
        <w:jc w:val="both"/>
      </w:pPr>
      <w:r w:rsidRPr="00253D98">
        <w:t>Rabkin (Jeremy), « International Law vs. The American Constit</w:t>
      </w:r>
      <w:r w:rsidRPr="00253D98">
        <w:t>u</w:t>
      </w:r>
      <w:r w:rsidRPr="00253D98">
        <w:t xml:space="preserve">tion Something’s Got to Give », </w:t>
      </w:r>
      <w:r w:rsidRPr="00E723AF">
        <w:rPr>
          <w:i/>
          <w:iCs/>
        </w:rPr>
        <w:t>The National Interest</w:t>
      </w:r>
      <w:r w:rsidRPr="00253D98">
        <w:t>, 55, printemps 1999, p. 30-41.</w:t>
      </w:r>
    </w:p>
    <w:p w14:paraId="4FA07704" w14:textId="77777777" w:rsidR="0039793A" w:rsidRPr="00253D98" w:rsidRDefault="0039793A" w:rsidP="0039793A">
      <w:pPr>
        <w:spacing w:before="120" w:after="120"/>
        <w:jc w:val="both"/>
      </w:pPr>
      <w:r w:rsidRPr="00253D98">
        <w:t>Schwartz (Thomas) et Skinner (Kiron), « The Myth of D</w:t>
      </w:r>
      <w:r>
        <w:t>e</w:t>
      </w:r>
      <w:r w:rsidRPr="00253D98">
        <w:t>mocrati</w:t>
      </w:r>
      <w:r>
        <w:t>c</w:t>
      </w:r>
      <w:r w:rsidRPr="00253D98">
        <w:t xml:space="preserve"> Peace », </w:t>
      </w:r>
      <w:r w:rsidRPr="00E723AF">
        <w:rPr>
          <w:i/>
          <w:iCs/>
        </w:rPr>
        <w:t>Orbis</w:t>
      </w:r>
      <w:r w:rsidRPr="00253D98">
        <w:t>, 46 (1), 2002, p. 159-172.</w:t>
      </w:r>
    </w:p>
    <w:p w14:paraId="5A02A227" w14:textId="77777777" w:rsidR="0039793A" w:rsidRPr="00253D98" w:rsidRDefault="0039793A" w:rsidP="0039793A">
      <w:pPr>
        <w:spacing w:before="120" w:after="120"/>
        <w:jc w:val="both"/>
      </w:pPr>
      <w:r w:rsidRPr="00253D98">
        <w:t>Smith (Steve), « The United States and the Discipline of Intern</w:t>
      </w:r>
      <w:r w:rsidRPr="00253D98">
        <w:t>a</w:t>
      </w:r>
      <w:r w:rsidRPr="00253D98">
        <w:t>tional Relations : “H</w:t>
      </w:r>
      <w:r>
        <w:t>e</w:t>
      </w:r>
      <w:r w:rsidRPr="00253D98">
        <w:t>g</w:t>
      </w:r>
      <w:r>
        <w:t>e</w:t>
      </w:r>
      <w:r w:rsidRPr="00253D98">
        <w:t>moni</w:t>
      </w:r>
      <w:r>
        <w:t>c</w:t>
      </w:r>
      <w:r w:rsidRPr="00253D98">
        <w:t xml:space="preserve"> Country, H</w:t>
      </w:r>
      <w:r>
        <w:t>e</w:t>
      </w:r>
      <w:r w:rsidRPr="00253D98">
        <w:t>g</w:t>
      </w:r>
      <w:r>
        <w:t>e</w:t>
      </w:r>
      <w:r w:rsidRPr="00253D98">
        <w:t>moni</w:t>
      </w:r>
      <w:r>
        <w:t>c</w:t>
      </w:r>
      <w:r w:rsidRPr="00253D98">
        <w:t xml:space="preserve"> Discipline” », </w:t>
      </w:r>
      <w:r w:rsidRPr="00E723AF">
        <w:rPr>
          <w:i/>
          <w:iCs/>
        </w:rPr>
        <w:t>International Studies Review</w:t>
      </w:r>
      <w:r w:rsidRPr="00253D98">
        <w:t>, 4 (2), 2002, p. 67-85.</w:t>
      </w:r>
    </w:p>
    <w:p w14:paraId="321399DF" w14:textId="77777777" w:rsidR="0039793A" w:rsidRPr="00253D98" w:rsidRDefault="0039793A" w:rsidP="0039793A">
      <w:pPr>
        <w:spacing w:before="120" w:after="120"/>
        <w:jc w:val="both"/>
      </w:pPr>
      <w:r w:rsidRPr="00253D98">
        <w:t>Wæver (Ole), « The Sociology of a Not So International Discipl</w:t>
      </w:r>
      <w:r w:rsidRPr="00253D98">
        <w:t>i</w:t>
      </w:r>
      <w:r w:rsidRPr="00253D98">
        <w:t>ne : American and European Developments in International Rel</w:t>
      </w:r>
      <w:r w:rsidRPr="00253D98">
        <w:t>a</w:t>
      </w:r>
      <w:r w:rsidRPr="00253D98">
        <w:t xml:space="preserve">tions », </w:t>
      </w:r>
      <w:r w:rsidRPr="00E723AF">
        <w:rPr>
          <w:i/>
          <w:iCs/>
        </w:rPr>
        <w:t>International Organization</w:t>
      </w:r>
      <w:r w:rsidRPr="00253D98">
        <w:t>, 52 (4), 1998, p. 687-727.</w:t>
      </w:r>
    </w:p>
    <w:p w14:paraId="3502C279" w14:textId="77777777" w:rsidR="0039793A" w:rsidRDefault="0039793A" w:rsidP="0039793A">
      <w:pPr>
        <w:spacing w:before="120" w:after="120"/>
        <w:jc w:val="both"/>
      </w:pPr>
      <w:r>
        <w:t>[358]</w:t>
      </w:r>
    </w:p>
    <w:p w14:paraId="45EB7A37" w14:textId="77777777" w:rsidR="0039793A" w:rsidRPr="00253D98" w:rsidRDefault="0039793A" w:rsidP="0039793A">
      <w:pPr>
        <w:spacing w:before="120" w:after="120"/>
        <w:jc w:val="both"/>
      </w:pPr>
      <w:r w:rsidRPr="00253D98">
        <w:t xml:space="preserve">Walt (Stephen), « American Primacy : Its Prospects and Pitfalls », </w:t>
      </w:r>
      <w:r w:rsidRPr="007572FD">
        <w:rPr>
          <w:i/>
          <w:iCs/>
        </w:rPr>
        <w:t>Naval War College Review</w:t>
      </w:r>
      <w:r w:rsidRPr="00253D98">
        <w:t>, 54 (2), 2002, p. 9-28.</w:t>
      </w:r>
    </w:p>
    <w:p w14:paraId="75BC7D26" w14:textId="77777777" w:rsidR="0039793A" w:rsidRPr="00253D98" w:rsidRDefault="0039793A" w:rsidP="0039793A">
      <w:pPr>
        <w:spacing w:before="120" w:after="120"/>
        <w:jc w:val="both"/>
      </w:pPr>
      <w:r w:rsidRPr="00253D98">
        <w:t xml:space="preserve">Wohlforth (William) et Brooks (Stephen), « American Primacy in Perspective », </w:t>
      </w:r>
      <w:r w:rsidRPr="007572FD">
        <w:rPr>
          <w:i/>
          <w:iCs/>
        </w:rPr>
        <w:t>Foreign Affairs</w:t>
      </w:r>
      <w:r w:rsidRPr="00253D98">
        <w:t>, 81 (4), 2002, p. 20-33.</w:t>
      </w:r>
    </w:p>
    <w:p w14:paraId="5B1A0D98" w14:textId="77777777" w:rsidR="0039793A" w:rsidRPr="00253D98" w:rsidRDefault="0039793A" w:rsidP="0039793A">
      <w:pPr>
        <w:spacing w:before="120" w:after="120"/>
        <w:jc w:val="both"/>
      </w:pPr>
      <w:r w:rsidRPr="00253D98">
        <w:t xml:space="preserve">Wohlforth (William), « The Stability of a Unipolar World », </w:t>
      </w:r>
      <w:r w:rsidRPr="007572FD">
        <w:rPr>
          <w:i/>
          <w:iCs/>
        </w:rPr>
        <w:t>Inte</w:t>
      </w:r>
      <w:r w:rsidRPr="007572FD">
        <w:rPr>
          <w:i/>
          <w:iCs/>
        </w:rPr>
        <w:t>r</w:t>
      </w:r>
      <w:r w:rsidRPr="007572FD">
        <w:rPr>
          <w:i/>
          <w:iCs/>
        </w:rPr>
        <w:t>national Security</w:t>
      </w:r>
      <w:r w:rsidRPr="00253D98">
        <w:t>, 24 (1), 1999, p. 5-41.</w:t>
      </w:r>
    </w:p>
    <w:p w14:paraId="1188648D" w14:textId="77777777" w:rsidR="0039793A" w:rsidRPr="00253D98" w:rsidRDefault="0039793A" w:rsidP="0039793A">
      <w:pPr>
        <w:spacing w:before="120" w:after="120"/>
        <w:jc w:val="both"/>
      </w:pPr>
      <w:r w:rsidRPr="00253D98">
        <w:t xml:space="preserve">Zakaria (Fareed), « The Challenges of American Hegemony : Then and Now », </w:t>
      </w:r>
      <w:r w:rsidRPr="007572FD">
        <w:rPr>
          <w:i/>
          <w:iCs/>
        </w:rPr>
        <w:t>International Journal</w:t>
      </w:r>
      <w:r w:rsidRPr="00253D98">
        <w:t>, 54 (1), 1998-1999, p. 9-27.</w:t>
      </w:r>
    </w:p>
    <w:p w14:paraId="38863104" w14:textId="77777777" w:rsidR="0039793A" w:rsidRPr="00253D98" w:rsidRDefault="0039793A" w:rsidP="0039793A">
      <w:pPr>
        <w:spacing w:before="120" w:after="120"/>
        <w:jc w:val="both"/>
      </w:pPr>
      <w:r w:rsidRPr="00253D98">
        <w:t xml:space="preserve">Zakaria (Fareed), </w:t>
      </w:r>
      <w:r w:rsidRPr="007572FD">
        <w:rPr>
          <w:i/>
          <w:iCs/>
        </w:rPr>
        <w:t>From Wealth to Power : The Unusual Origins of America</w:t>
      </w:r>
      <w:r>
        <w:rPr>
          <w:i/>
          <w:iCs/>
        </w:rPr>
        <w:t>’</w:t>
      </w:r>
      <w:r w:rsidRPr="007572FD">
        <w:rPr>
          <w:i/>
          <w:iCs/>
        </w:rPr>
        <w:t>s World R</w:t>
      </w:r>
      <w:r>
        <w:rPr>
          <w:i/>
          <w:iCs/>
        </w:rPr>
        <w:t>o</w:t>
      </w:r>
      <w:r w:rsidRPr="007572FD">
        <w:rPr>
          <w:i/>
          <w:iCs/>
        </w:rPr>
        <w:t>le</w:t>
      </w:r>
      <w:r w:rsidRPr="00253D98">
        <w:t>, Princeton, Princeton University Press, 1998, 199 p.</w:t>
      </w:r>
    </w:p>
    <w:p w14:paraId="0F133E59" w14:textId="77777777" w:rsidR="0039793A" w:rsidRPr="00253D98" w:rsidRDefault="0039793A" w:rsidP="0039793A">
      <w:pPr>
        <w:spacing w:before="120" w:after="120"/>
        <w:jc w:val="both"/>
      </w:pPr>
      <w:r w:rsidRPr="00253D98">
        <w:t xml:space="preserve">Zorgbibe (Charles), </w:t>
      </w:r>
      <w:r w:rsidRPr="007572FD">
        <w:rPr>
          <w:i/>
          <w:iCs/>
        </w:rPr>
        <w:t>L’avenir de la sécurité internationale</w:t>
      </w:r>
      <w:r w:rsidRPr="00253D98">
        <w:t>, Paris, Presses de Sciences Po, 2003, 154 p.</w:t>
      </w:r>
    </w:p>
    <w:p w14:paraId="704B9247" w14:textId="77777777" w:rsidR="0039793A" w:rsidRDefault="0039793A" w:rsidP="0039793A">
      <w:pPr>
        <w:spacing w:before="120" w:after="120"/>
        <w:jc w:val="both"/>
      </w:pPr>
    </w:p>
    <w:p w14:paraId="1E37A59B" w14:textId="77777777" w:rsidR="0039793A" w:rsidRPr="007572FD" w:rsidRDefault="0039793A" w:rsidP="0039793A">
      <w:pPr>
        <w:pStyle w:val="a"/>
      </w:pPr>
      <w:r w:rsidRPr="007572FD">
        <w:t>Le rôle de la Présidence</w:t>
      </w:r>
    </w:p>
    <w:p w14:paraId="57D8EFDE" w14:textId="77777777" w:rsidR="0039793A" w:rsidRDefault="0039793A" w:rsidP="0039793A">
      <w:pPr>
        <w:spacing w:before="120" w:after="120"/>
        <w:jc w:val="both"/>
      </w:pPr>
    </w:p>
    <w:p w14:paraId="3876F935" w14:textId="77777777" w:rsidR="0039793A" w:rsidRPr="00253D98" w:rsidRDefault="0039793A" w:rsidP="0039793A">
      <w:pPr>
        <w:spacing w:before="120" w:after="120"/>
        <w:jc w:val="both"/>
      </w:pPr>
      <w:r w:rsidRPr="00253D98">
        <w:t xml:space="preserve">Adler (David Gray) (ed.), </w:t>
      </w:r>
      <w:r w:rsidRPr="00993846">
        <w:rPr>
          <w:i/>
          <w:iCs/>
        </w:rPr>
        <w:t>The Constitution and the Conduct of American Foreign Policy</w:t>
      </w:r>
      <w:r w:rsidRPr="00253D98">
        <w:t>, Lawrence, University Press of Kansas, 1996, 396 p.</w:t>
      </w:r>
    </w:p>
    <w:p w14:paraId="47432CC3" w14:textId="77777777" w:rsidR="0039793A" w:rsidRPr="00253D98" w:rsidRDefault="0039793A" w:rsidP="0039793A">
      <w:pPr>
        <w:spacing w:before="120" w:after="120"/>
        <w:jc w:val="both"/>
      </w:pPr>
      <w:r w:rsidRPr="00253D98">
        <w:t xml:space="preserve">Barber (James David), </w:t>
      </w:r>
      <w:r w:rsidRPr="00993846">
        <w:rPr>
          <w:i/>
          <w:iCs/>
        </w:rPr>
        <w:t>The Presidential Character : Predicting Pe</w:t>
      </w:r>
      <w:r w:rsidRPr="00993846">
        <w:rPr>
          <w:i/>
          <w:iCs/>
        </w:rPr>
        <w:t>r</w:t>
      </w:r>
      <w:r w:rsidRPr="00993846">
        <w:rPr>
          <w:i/>
          <w:iCs/>
        </w:rPr>
        <w:t>formance in the White House</w:t>
      </w:r>
      <w:r w:rsidRPr="00253D98">
        <w:t>, Englewood Cliffs, Prentice-Hall, 4</w:t>
      </w:r>
      <w:r w:rsidRPr="00993846">
        <w:rPr>
          <w:vertAlign w:val="superscript"/>
        </w:rPr>
        <w:t>è</w:t>
      </w:r>
      <w:r>
        <w:t xml:space="preserve"> </w:t>
      </w:r>
      <w:r w:rsidRPr="00253D98">
        <w:t>éd., 1992, 544 p.</w:t>
      </w:r>
    </w:p>
    <w:p w14:paraId="77190BC1" w14:textId="77777777" w:rsidR="0039793A" w:rsidRPr="00253D98" w:rsidRDefault="0039793A" w:rsidP="0039793A">
      <w:pPr>
        <w:spacing w:before="120" w:after="120"/>
        <w:jc w:val="both"/>
      </w:pPr>
      <w:r w:rsidRPr="00253D98">
        <w:t xml:space="preserve">Barilleaux (Ryan) (ed.), </w:t>
      </w:r>
      <w:r w:rsidRPr="00993846">
        <w:rPr>
          <w:i/>
          <w:iCs/>
        </w:rPr>
        <w:t>Presidential Frontiers. Underexplored I</w:t>
      </w:r>
      <w:r w:rsidRPr="00993846">
        <w:rPr>
          <w:i/>
          <w:iCs/>
        </w:rPr>
        <w:t>s</w:t>
      </w:r>
      <w:r w:rsidRPr="00993846">
        <w:rPr>
          <w:i/>
          <w:iCs/>
        </w:rPr>
        <w:t>sues in White House Politics</w:t>
      </w:r>
      <w:r w:rsidRPr="00253D98">
        <w:t>, Westport, Praeger, 1998, 256 p.</w:t>
      </w:r>
    </w:p>
    <w:p w14:paraId="16E4DFEE" w14:textId="77777777" w:rsidR="0039793A" w:rsidRPr="00253D98" w:rsidRDefault="0039793A" w:rsidP="0039793A">
      <w:pPr>
        <w:spacing w:before="120" w:after="120"/>
        <w:jc w:val="both"/>
      </w:pPr>
      <w:r w:rsidRPr="00253D98">
        <w:t>Boylan (Timothy), « War Powers, Constitutional Balance, and the Imp</w:t>
      </w:r>
      <w:r>
        <w:t>e</w:t>
      </w:r>
      <w:r w:rsidRPr="00253D98">
        <w:t xml:space="preserve">rial Presidency », </w:t>
      </w:r>
      <w:r w:rsidRPr="00993846">
        <w:rPr>
          <w:i/>
          <w:iCs/>
        </w:rPr>
        <w:t>Presidential Studies Quarterly</w:t>
      </w:r>
      <w:r w:rsidRPr="00253D98">
        <w:t>, 29 (2), 1999, p. 232-249.</w:t>
      </w:r>
    </w:p>
    <w:p w14:paraId="656F67D4" w14:textId="77777777" w:rsidR="0039793A" w:rsidRPr="00253D98" w:rsidRDefault="0039793A" w:rsidP="0039793A">
      <w:pPr>
        <w:spacing w:before="120" w:after="120"/>
        <w:jc w:val="both"/>
      </w:pPr>
      <w:r w:rsidRPr="00253D98">
        <w:t xml:space="preserve">Congressional Quarterly, </w:t>
      </w:r>
      <w:r w:rsidRPr="00993846">
        <w:rPr>
          <w:i/>
          <w:iCs/>
        </w:rPr>
        <w:t>Powers of the Presidency</w:t>
      </w:r>
      <w:r w:rsidRPr="00253D98">
        <w:t>, Washington, Congressional Quarterly Press, 2</w:t>
      </w:r>
      <w:r w:rsidRPr="00253D98">
        <w:rPr>
          <w:vertAlign w:val="superscript"/>
        </w:rPr>
        <w:t>e</w:t>
      </w:r>
      <w:r w:rsidRPr="00253D98">
        <w:t xml:space="preserve"> éd., 1997, 294 p.</w:t>
      </w:r>
    </w:p>
    <w:p w14:paraId="7DEF1CF5" w14:textId="77777777" w:rsidR="0039793A" w:rsidRPr="00253D98" w:rsidRDefault="0039793A" w:rsidP="0039793A">
      <w:pPr>
        <w:spacing w:before="120" w:after="120"/>
        <w:jc w:val="both"/>
      </w:pPr>
      <w:r w:rsidRPr="00253D98">
        <w:t xml:space="preserve">Corwin (Edward) (et al.), </w:t>
      </w:r>
      <w:r w:rsidRPr="00993846">
        <w:rPr>
          <w:i/>
          <w:iCs/>
        </w:rPr>
        <w:t>The President : Office and Powers</w:t>
      </w:r>
      <w:r w:rsidRPr="00253D98">
        <w:t>, 1787-1984, New York, New York University Press, 5</w:t>
      </w:r>
      <w:r w:rsidRPr="00993846">
        <w:rPr>
          <w:vertAlign w:val="superscript"/>
        </w:rPr>
        <w:t>è</w:t>
      </w:r>
      <w:r w:rsidRPr="00253D98">
        <w:t xml:space="preserve"> éd., 1984, 565 p.</w:t>
      </w:r>
    </w:p>
    <w:p w14:paraId="5936E740" w14:textId="77777777" w:rsidR="0039793A" w:rsidRPr="00253D98" w:rsidRDefault="0039793A" w:rsidP="0039793A">
      <w:pPr>
        <w:spacing w:before="120" w:after="120"/>
        <w:jc w:val="both"/>
      </w:pPr>
      <w:r w:rsidRPr="00253D98">
        <w:t xml:space="preserve">Dallek (Robert), </w:t>
      </w:r>
      <w:r w:rsidRPr="00993846">
        <w:rPr>
          <w:i/>
          <w:iCs/>
        </w:rPr>
        <w:t>Hail to the Chief</w:t>
      </w:r>
      <w:r>
        <w:rPr>
          <w:i/>
          <w:iCs/>
        </w:rPr>
        <w:t>.</w:t>
      </w:r>
      <w:r w:rsidRPr="00993846">
        <w:rPr>
          <w:i/>
          <w:iCs/>
        </w:rPr>
        <w:t xml:space="preserve"> The Making of American Pres</w:t>
      </w:r>
      <w:r w:rsidRPr="00993846">
        <w:rPr>
          <w:i/>
          <w:iCs/>
        </w:rPr>
        <w:t>i</w:t>
      </w:r>
      <w:r w:rsidRPr="00993846">
        <w:rPr>
          <w:i/>
          <w:iCs/>
        </w:rPr>
        <w:t>dents</w:t>
      </w:r>
      <w:r w:rsidRPr="00253D98">
        <w:t>, New York, Hyperion, 1996, 232 p.</w:t>
      </w:r>
    </w:p>
    <w:p w14:paraId="2A527305" w14:textId="77777777" w:rsidR="0039793A" w:rsidRPr="00253D98" w:rsidRDefault="0039793A" w:rsidP="0039793A">
      <w:pPr>
        <w:spacing w:before="120" w:after="120"/>
        <w:jc w:val="both"/>
      </w:pPr>
      <w:r w:rsidRPr="00253D98">
        <w:t xml:space="preserve">David (Charles-Philippe), </w:t>
      </w:r>
      <w:r w:rsidRPr="00993846">
        <w:rPr>
          <w:i/>
          <w:iCs/>
        </w:rPr>
        <w:t>Au sein de la Maison-Blanche. La fo</w:t>
      </w:r>
      <w:r w:rsidRPr="00993846">
        <w:rPr>
          <w:i/>
          <w:iCs/>
        </w:rPr>
        <w:t>r</w:t>
      </w:r>
      <w:r w:rsidRPr="00993846">
        <w:rPr>
          <w:i/>
          <w:iCs/>
        </w:rPr>
        <w:t>mulation de la politique étrangère des États-Unis de Truman à Cli</w:t>
      </w:r>
      <w:r w:rsidRPr="00993846">
        <w:rPr>
          <w:i/>
          <w:iCs/>
        </w:rPr>
        <w:t>n</w:t>
      </w:r>
      <w:r w:rsidRPr="00993846">
        <w:rPr>
          <w:i/>
          <w:iCs/>
        </w:rPr>
        <w:t>ton</w:t>
      </w:r>
      <w:r w:rsidRPr="00253D98">
        <w:t>, Québec, Presses de l’Université Laval, 1994, 521 p.</w:t>
      </w:r>
    </w:p>
    <w:p w14:paraId="38134874" w14:textId="77777777" w:rsidR="0039793A" w:rsidRPr="00253D98" w:rsidRDefault="0039793A" w:rsidP="0039793A">
      <w:pPr>
        <w:spacing w:before="120" w:after="120"/>
        <w:jc w:val="both"/>
      </w:pPr>
      <w:r w:rsidRPr="00253D98">
        <w:t xml:space="preserve">David (Charles-Philippe) (et al.), </w:t>
      </w:r>
      <w:r w:rsidRPr="00993846">
        <w:rPr>
          <w:i/>
          <w:iCs/>
        </w:rPr>
        <w:t>Foreign Policy Failure in the White House : Reappraising the Fall of the Shah and the Iran-Contra Affair</w:t>
      </w:r>
      <w:r w:rsidRPr="00253D98">
        <w:t>, Lanham, University Press of America, 1993, 191 p.</w:t>
      </w:r>
    </w:p>
    <w:p w14:paraId="56CF6879" w14:textId="77777777" w:rsidR="0039793A" w:rsidRPr="00253D98" w:rsidRDefault="0039793A" w:rsidP="0039793A">
      <w:pPr>
        <w:spacing w:before="120" w:after="120"/>
        <w:jc w:val="both"/>
      </w:pPr>
      <w:r w:rsidRPr="00253D98">
        <w:t xml:space="preserve">Deconde (Alexander), </w:t>
      </w:r>
      <w:r w:rsidRPr="00993846">
        <w:rPr>
          <w:i/>
          <w:iCs/>
        </w:rPr>
        <w:t>Presidential Machismo : Executive Author</w:t>
      </w:r>
      <w:r w:rsidRPr="00993846">
        <w:rPr>
          <w:i/>
          <w:iCs/>
        </w:rPr>
        <w:t>i</w:t>
      </w:r>
      <w:r w:rsidRPr="00993846">
        <w:rPr>
          <w:i/>
          <w:iCs/>
        </w:rPr>
        <w:t>ty, Military Intervention, and Foreign Relations</w:t>
      </w:r>
      <w:r w:rsidRPr="00253D98">
        <w:t>, Boston, Northea</w:t>
      </w:r>
      <w:r w:rsidRPr="00253D98">
        <w:t>s</w:t>
      </w:r>
      <w:r w:rsidRPr="00253D98">
        <w:t>tern University Press, 1999, 391 p.</w:t>
      </w:r>
    </w:p>
    <w:p w14:paraId="6DE7DE18" w14:textId="77777777" w:rsidR="0039793A" w:rsidRPr="00253D98" w:rsidRDefault="0039793A" w:rsidP="0039793A">
      <w:pPr>
        <w:spacing w:before="120" w:after="120"/>
        <w:jc w:val="both"/>
      </w:pPr>
      <w:r w:rsidRPr="00253D98">
        <w:t xml:space="preserve">Edwards (George) et Wayne (Stephen), </w:t>
      </w:r>
      <w:r w:rsidRPr="00993846">
        <w:rPr>
          <w:i/>
          <w:iCs/>
        </w:rPr>
        <w:t>Presidential Leadership : Politics and Policy Making</w:t>
      </w:r>
      <w:r w:rsidRPr="00253D98">
        <w:t>, New York, Wadsworth, 6</w:t>
      </w:r>
      <w:r w:rsidRPr="00993846">
        <w:rPr>
          <w:vertAlign w:val="superscript"/>
        </w:rPr>
        <w:t>è</w:t>
      </w:r>
      <w:r w:rsidRPr="00253D98">
        <w:t xml:space="preserve"> éd., 1994, 576 p.</w:t>
      </w:r>
    </w:p>
    <w:p w14:paraId="73402D63" w14:textId="77777777" w:rsidR="0039793A" w:rsidRPr="00253D98" w:rsidRDefault="0039793A" w:rsidP="0039793A">
      <w:pPr>
        <w:spacing w:before="120" w:after="120"/>
        <w:jc w:val="both"/>
      </w:pPr>
      <w:r w:rsidRPr="00253D98">
        <w:t xml:space="preserve">Fischer (Louis), </w:t>
      </w:r>
      <w:r w:rsidRPr="00993846">
        <w:rPr>
          <w:i/>
          <w:iCs/>
        </w:rPr>
        <w:t>Presidential War Power</w:t>
      </w:r>
      <w:r w:rsidRPr="00253D98">
        <w:t>, Lawrence, University Press of Kansas, 1995, 245 p.</w:t>
      </w:r>
    </w:p>
    <w:p w14:paraId="001A13BF" w14:textId="77777777" w:rsidR="0039793A" w:rsidRPr="00253D98" w:rsidRDefault="0039793A" w:rsidP="0039793A">
      <w:pPr>
        <w:spacing w:before="120" w:after="120"/>
        <w:jc w:val="both"/>
      </w:pPr>
      <w:r>
        <w:t>[359]</w:t>
      </w:r>
    </w:p>
    <w:p w14:paraId="037445B5" w14:textId="77777777" w:rsidR="0039793A" w:rsidRPr="00253D98" w:rsidRDefault="0039793A" w:rsidP="0039793A">
      <w:pPr>
        <w:spacing w:before="120" w:after="120"/>
        <w:jc w:val="both"/>
      </w:pPr>
      <w:r w:rsidRPr="00253D98">
        <w:t xml:space="preserve">Forsythe (David) (ed.), </w:t>
      </w:r>
      <w:r w:rsidRPr="00950B2E">
        <w:rPr>
          <w:i/>
          <w:iCs/>
        </w:rPr>
        <w:t>American Foreign Policy in an Uncertain World</w:t>
      </w:r>
      <w:r w:rsidRPr="00253D98">
        <w:t>, Lincoln, University of Nebraska Press, 1984, 575 p.</w:t>
      </w:r>
    </w:p>
    <w:p w14:paraId="1EA2D087" w14:textId="77777777" w:rsidR="0039793A" w:rsidRPr="00253D98" w:rsidRDefault="0039793A" w:rsidP="0039793A">
      <w:pPr>
        <w:spacing w:before="120" w:after="120"/>
        <w:jc w:val="both"/>
      </w:pPr>
      <w:r w:rsidRPr="00253D98">
        <w:t xml:space="preserve">Foyle (Douglas), </w:t>
      </w:r>
      <w:r w:rsidRPr="00950B2E">
        <w:rPr>
          <w:i/>
          <w:iCs/>
        </w:rPr>
        <w:t>Counting the Public In : Presidents, Public Op</w:t>
      </w:r>
      <w:r w:rsidRPr="00950B2E">
        <w:rPr>
          <w:i/>
          <w:iCs/>
        </w:rPr>
        <w:t>i</w:t>
      </w:r>
      <w:r w:rsidRPr="00950B2E">
        <w:rPr>
          <w:i/>
          <w:iCs/>
        </w:rPr>
        <w:t>nion, and Foreign Policy</w:t>
      </w:r>
      <w:r w:rsidRPr="00253D98">
        <w:t>, New York, Columbia University Press, 1999, 379 p.</w:t>
      </w:r>
    </w:p>
    <w:p w14:paraId="67268D7D" w14:textId="77777777" w:rsidR="0039793A" w:rsidRPr="00253D98" w:rsidRDefault="0039793A" w:rsidP="0039793A">
      <w:pPr>
        <w:spacing w:before="120" w:after="120"/>
        <w:jc w:val="both"/>
      </w:pPr>
      <w:r w:rsidRPr="00253D98">
        <w:t xml:space="preserve">George (Alexander) et George (Juliette), </w:t>
      </w:r>
      <w:r w:rsidRPr="00950B2E">
        <w:rPr>
          <w:i/>
          <w:iCs/>
        </w:rPr>
        <w:t>Presidential Personality and Performance</w:t>
      </w:r>
      <w:r w:rsidRPr="00253D98">
        <w:t>, Boulder, Westview Press, 1998, 287 p.</w:t>
      </w:r>
    </w:p>
    <w:p w14:paraId="4D0EE224" w14:textId="77777777" w:rsidR="0039793A" w:rsidRPr="00253D98" w:rsidRDefault="0039793A" w:rsidP="0039793A">
      <w:pPr>
        <w:spacing w:before="120" w:after="120"/>
        <w:jc w:val="both"/>
      </w:pPr>
      <w:r w:rsidRPr="00253D98">
        <w:t xml:space="preserve">George (Alexander), </w:t>
      </w:r>
      <w:r w:rsidRPr="00950B2E">
        <w:rPr>
          <w:i/>
          <w:iCs/>
        </w:rPr>
        <w:t>Presidential Decision-Making in Foreign P</w:t>
      </w:r>
      <w:r w:rsidRPr="00950B2E">
        <w:rPr>
          <w:i/>
          <w:iCs/>
        </w:rPr>
        <w:t>o</w:t>
      </w:r>
      <w:r w:rsidRPr="00950B2E">
        <w:rPr>
          <w:i/>
          <w:iCs/>
        </w:rPr>
        <w:t>licy : the Effective Use of Information and Advice</w:t>
      </w:r>
      <w:r w:rsidRPr="00253D98">
        <w:t>, Boulder, Wes</w:t>
      </w:r>
      <w:r w:rsidRPr="00253D98">
        <w:t>t</w:t>
      </w:r>
      <w:r w:rsidRPr="00253D98">
        <w:t>view Press, 1980, 267 p.</w:t>
      </w:r>
    </w:p>
    <w:p w14:paraId="4F066C9F" w14:textId="77777777" w:rsidR="0039793A" w:rsidRPr="00253D98" w:rsidRDefault="0039793A" w:rsidP="0039793A">
      <w:pPr>
        <w:spacing w:before="120" w:after="120"/>
        <w:jc w:val="both"/>
      </w:pPr>
      <w:r w:rsidRPr="00253D98">
        <w:t xml:space="preserve">Goldman (Joseph) (ed.), </w:t>
      </w:r>
      <w:r w:rsidRPr="00950B2E">
        <w:rPr>
          <w:i/>
          <w:iCs/>
        </w:rPr>
        <w:t>American Security in a Changing World : Issues and Choices</w:t>
      </w:r>
      <w:r w:rsidRPr="00253D98">
        <w:t>, Lanham, University Press of America, 1986, 328 p.</w:t>
      </w:r>
    </w:p>
    <w:p w14:paraId="4481FF08" w14:textId="77777777" w:rsidR="0039793A" w:rsidRPr="00253D98" w:rsidRDefault="0039793A" w:rsidP="0039793A">
      <w:pPr>
        <w:spacing w:before="120" w:after="120"/>
        <w:jc w:val="both"/>
      </w:pPr>
      <w:r w:rsidRPr="00253D98">
        <w:t xml:space="preserve">Greenstein (Fred), </w:t>
      </w:r>
      <w:r w:rsidRPr="00950B2E">
        <w:rPr>
          <w:i/>
          <w:iCs/>
        </w:rPr>
        <w:t>The Presidential Diff</w:t>
      </w:r>
      <w:r>
        <w:rPr>
          <w:i/>
          <w:iCs/>
        </w:rPr>
        <w:t>e</w:t>
      </w:r>
      <w:r w:rsidRPr="00950B2E">
        <w:rPr>
          <w:i/>
          <w:iCs/>
        </w:rPr>
        <w:t xml:space="preserve">rence. Leadership Style from </w:t>
      </w:r>
      <w:r w:rsidRPr="00F33AB3">
        <w:rPr>
          <w:i/>
        </w:rPr>
        <w:t>FDR</w:t>
      </w:r>
      <w:r w:rsidRPr="00950B2E">
        <w:rPr>
          <w:rStyle w:val="Corpsdutexte27ptItalique"/>
          <w:i w:val="0"/>
          <w:iCs w:val="0"/>
        </w:rPr>
        <w:t xml:space="preserve"> </w:t>
      </w:r>
      <w:r w:rsidRPr="00950B2E">
        <w:rPr>
          <w:i/>
          <w:iCs/>
        </w:rPr>
        <w:t>to Clinton</w:t>
      </w:r>
      <w:r w:rsidRPr="00253D98">
        <w:t>, Princeton, Princeton University Press, 2001, 293 p.</w:t>
      </w:r>
    </w:p>
    <w:p w14:paraId="4A21A5A1" w14:textId="77777777" w:rsidR="0039793A" w:rsidRPr="00253D98" w:rsidRDefault="0039793A" w:rsidP="0039793A">
      <w:pPr>
        <w:spacing w:before="120" w:after="120"/>
        <w:jc w:val="both"/>
      </w:pPr>
      <w:r w:rsidRPr="00253D98">
        <w:t xml:space="preserve">Janis (Irving), </w:t>
      </w:r>
      <w:r w:rsidRPr="00950B2E">
        <w:rPr>
          <w:i/>
          <w:iCs/>
        </w:rPr>
        <w:t>Groupthink, Psychological Studies of Policy Dec</w:t>
      </w:r>
      <w:r w:rsidRPr="00950B2E">
        <w:rPr>
          <w:i/>
          <w:iCs/>
        </w:rPr>
        <w:t>i</w:t>
      </w:r>
      <w:r w:rsidRPr="00950B2E">
        <w:rPr>
          <w:i/>
          <w:iCs/>
        </w:rPr>
        <w:t>sions and Fiascos</w:t>
      </w:r>
      <w:r w:rsidRPr="00253D98">
        <w:t>, Boston, Houghton Mifflin, 1982, 349 p.</w:t>
      </w:r>
    </w:p>
    <w:p w14:paraId="07DBF585" w14:textId="77777777" w:rsidR="0039793A" w:rsidRPr="00253D98" w:rsidRDefault="0039793A" w:rsidP="0039793A">
      <w:pPr>
        <w:spacing w:before="120" w:after="120"/>
        <w:jc w:val="both"/>
      </w:pPr>
      <w:r w:rsidRPr="00253D98">
        <w:t xml:space="preserve">Mayer (Kenneth), </w:t>
      </w:r>
      <w:r w:rsidRPr="00950B2E">
        <w:rPr>
          <w:i/>
          <w:iCs/>
        </w:rPr>
        <w:t>With the Stroke of a Pen. Executive Orders and Presidential Power</w:t>
      </w:r>
      <w:r w:rsidRPr="00253D98">
        <w:t>, Princeton, Princeton University Press, 2001, 293 p.</w:t>
      </w:r>
    </w:p>
    <w:p w14:paraId="1C66B59A" w14:textId="77777777" w:rsidR="0039793A" w:rsidRPr="00253D98" w:rsidRDefault="0039793A" w:rsidP="0039793A">
      <w:pPr>
        <w:spacing w:before="120" w:after="120"/>
        <w:jc w:val="both"/>
      </w:pPr>
      <w:r w:rsidRPr="00253D98">
        <w:t xml:space="preserve">Neustadt (Richard), </w:t>
      </w:r>
      <w:r w:rsidRPr="00950B2E">
        <w:rPr>
          <w:i/>
          <w:iCs/>
        </w:rPr>
        <w:t>Presidential Power and the Modem Pres</w:t>
      </w:r>
      <w:r w:rsidRPr="00950B2E">
        <w:rPr>
          <w:i/>
          <w:iCs/>
        </w:rPr>
        <w:t>i</w:t>
      </w:r>
      <w:r w:rsidRPr="00950B2E">
        <w:rPr>
          <w:i/>
          <w:iCs/>
        </w:rPr>
        <w:t>dents : The Politics of Leadership from Roosevelt to Reagan</w:t>
      </w:r>
      <w:r w:rsidRPr="00253D98">
        <w:t xml:space="preserve">, New York, Free Press, </w:t>
      </w:r>
      <w:r>
        <w:t>2</w:t>
      </w:r>
      <w:r w:rsidRPr="00AA4DA8">
        <w:rPr>
          <w:vertAlign w:val="superscript"/>
        </w:rPr>
        <w:t>e</w:t>
      </w:r>
      <w:r>
        <w:t xml:space="preserve"> </w:t>
      </w:r>
      <w:r w:rsidRPr="00253D98">
        <w:t>éd., 1991, 371 p.</w:t>
      </w:r>
    </w:p>
    <w:p w14:paraId="2B5196F5" w14:textId="77777777" w:rsidR="0039793A" w:rsidRPr="00253D98" w:rsidRDefault="0039793A" w:rsidP="0039793A">
      <w:pPr>
        <w:spacing w:before="120" w:after="120"/>
        <w:jc w:val="both"/>
      </w:pPr>
      <w:r w:rsidRPr="00253D98">
        <w:t xml:space="preserve">Preston (Thomas), </w:t>
      </w:r>
      <w:r w:rsidRPr="00950B2E">
        <w:rPr>
          <w:i/>
          <w:iCs/>
        </w:rPr>
        <w:t>The President and His Inner Circle : Leader</w:t>
      </w:r>
      <w:r w:rsidRPr="00950B2E">
        <w:rPr>
          <w:i/>
          <w:iCs/>
        </w:rPr>
        <w:t>s</w:t>
      </w:r>
      <w:r w:rsidRPr="00950B2E">
        <w:rPr>
          <w:i/>
          <w:iCs/>
        </w:rPr>
        <w:t>hip Style and the Advisory Process in Foreign Affairs</w:t>
      </w:r>
      <w:r w:rsidRPr="00253D98">
        <w:t>, New York, C</w:t>
      </w:r>
      <w:r w:rsidRPr="00253D98">
        <w:t>o</w:t>
      </w:r>
      <w:r w:rsidRPr="00253D98">
        <w:t>lumbia University Press, 2001, 256 p.</w:t>
      </w:r>
    </w:p>
    <w:p w14:paraId="74190FD0" w14:textId="77777777" w:rsidR="0039793A" w:rsidRPr="00253D98" w:rsidRDefault="0039793A" w:rsidP="0039793A">
      <w:pPr>
        <w:spacing w:before="120" w:after="120"/>
        <w:jc w:val="both"/>
      </w:pPr>
      <w:r w:rsidRPr="00253D98">
        <w:t xml:space="preserve">Renshon (Stanley), </w:t>
      </w:r>
      <w:r w:rsidRPr="00950B2E">
        <w:rPr>
          <w:i/>
          <w:iCs/>
        </w:rPr>
        <w:t>The Psychological Assessment of Presidential Candidates</w:t>
      </w:r>
      <w:r w:rsidRPr="00253D98">
        <w:t>, New York, New York University Press, 1996, 515 p.</w:t>
      </w:r>
    </w:p>
    <w:p w14:paraId="0080A477" w14:textId="77777777" w:rsidR="0039793A" w:rsidRPr="00253D98" w:rsidRDefault="0039793A" w:rsidP="0039793A">
      <w:pPr>
        <w:spacing w:before="120" w:after="120"/>
        <w:jc w:val="both"/>
      </w:pPr>
      <w:r w:rsidRPr="00253D98">
        <w:t xml:space="preserve">Schlesinger (Arthur), </w:t>
      </w:r>
      <w:r w:rsidRPr="00950B2E">
        <w:rPr>
          <w:i/>
          <w:iCs/>
        </w:rPr>
        <w:t>The Imp</w:t>
      </w:r>
      <w:r>
        <w:rPr>
          <w:i/>
          <w:iCs/>
        </w:rPr>
        <w:t>e</w:t>
      </w:r>
      <w:r w:rsidRPr="00950B2E">
        <w:rPr>
          <w:i/>
          <w:iCs/>
        </w:rPr>
        <w:t>rial Presidency</w:t>
      </w:r>
      <w:r w:rsidRPr="00253D98">
        <w:t>, Boston, Houghton Mifflin, 1973, 356 p. (Traduit aux Presses universitaires de France en 1976 sous le titre La présidence impériale, 568 p.)</w:t>
      </w:r>
    </w:p>
    <w:p w14:paraId="62320D1F" w14:textId="77777777" w:rsidR="0039793A" w:rsidRPr="00253D98" w:rsidRDefault="0039793A" w:rsidP="0039793A">
      <w:pPr>
        <w:spacing w:before="120" w:after="120"/>
        <w:jc w:val="both"/>
      </w:pPr>
      <w:r w:rsidRPr="00253D98">
        <w:t xml:space="preserve">Shapiro (Robert) (ed.), </w:t>
      </w:r>
      <w:r w:rsidRPr="00750E55">
        <w:rPr>
          <w:i/>
          <w:iCs/>
        </w:rPr>
        <w:t>Presidential Power. Forging the Preside</w:t>
      </w:r>
      <w:r w:rsidRPr="00750E55">
        <w:rPr>
          <w:i/>
          <w:iCs/>
        </w:rPr>
        <w:t>n</w:t>
      </w:r>
      <w:r w:rsidRPr="00750E55">
        <w:rPr>
          <w:i/>
          <w:iCs/>
        </w:rPr>
        <w:t>cy for the Twenty-First Century</w:t>
      </w:r>
      <w:r w:rsidRPr="00253D98">
        <w:t>, New York, Columbia University Press, 2000, 525 p.</w:t>
      </w:r>
    </w:p>
    <w:p w14:paraId="352E3854" w14:textId="77777777" w:rsidR="0039793A" w:rsidRPr="00253D98" w:rsidRDefault="0039793A" w:rsidP="0039793A">
      <w:pPr>
        <w:spacing w:before="120" w:after="120"/>
        <w:jc w:val="both"/>
      </w:pPr>
      <w:r w:rsidRPr="00253D98">
        <w:t xml:space="preserve">Shull (Steven) (ed.), </w:t>
      </w:r>
      <w:r w:rsidRPr="00750E55">
        <w:rPr>
          <w:i/>
          <w:iCs/>
        </w:rPr>
        <w:t>Presidential Policymaking : An End-Of-Century Assessment</w:t>
      </w:r>
      <w:r w:rsidRPr="00253D98">
        <w:t>, New York, M.E. Sharpe, 1999, 330 p.</w:t>
      </w:r>
    </w:p>
    <w:p w14:paraId="4933BA31" w14:textId="77777777" w:rsidR="0039793A" w:rsidRPr="00253D98" w:rsidRDefault="0039793A" w:rsidP="0039793A">
      <w:pPr>
        <w:spacing w:before="120" w:after="120"/>
        <w:jc w:val="both"/>
      </w:pPr>
      <w:r w:rsidRPr="00253D98">
        <w:t xml:space="preserve">Snow (Donald) et Brown (Eugene), </w:t>
      </w:r>
      <w:r w:rsidRPr="00750E55">
        <w:rPr>
          <w:i/>
          <w:iCs/>
        </w:rPr>
        <w:t xml:space="preserve">Puzzle Palaces and Foggy Bottom. </w:t>
      </w:r>
      <w:r w:rsidRPr="00750E55">
        <w:rPr>
          <w:rStyle w:val="Corpsdutexte27ptItaliqueEspacement0pt"/>
        </w:rPr>
        <w:t>US</w:t>
      </w:r>
      <w:r w:rsidRPr="00750E55">
        <w:rPr>
          <w:rStyle w:val="Corpsdutexte27ptItaliqueEspacement0pt"/>
          <w:i w:val="0"/>
          <w:iCs w:val="0"/>
        </w:rPr>
        <w:t xml:space="preserve"> </w:t>
      </w:r>
      <w:r w:rsidRPr="00750E55">
        <w:rPr>
          <w:i/>
          <w:iCs/>
        </w:rPr>
        <w:t>Foreign and Defense Policy-Making</w:t>
      </w:r>
      <w:r w:rsidRPr="00253D98">
        <w:t>, New York, St. Ma</w:t>
      </w:r>
      <w:r w:rsidRPr="00253D98">
        <w:t>r</w:t>
      </w:r>
      <w:r w:rsidRPr="00253D98">
        <w:t>tin’s Press, 1994,</w:t>
      </w:r>
      <w:r>
        <w:t xml:space="preserve"> </w:t>
      </w:r>
      <w:r w:rsidRPr="00253D98">
        <w:t>281 p.</w:t>
      </w:r>
    </w:p>
    <w:p w14:paraId="607AD52C" w14:textId="77777777" w:rsidR="0039793A" w:rsidRPr="00253D98" w:rsidRDefault="0039793A" w:rsidP="0039793A">
      <w:pPr>
        <w:spacing w:before="120" w:after="120"/>
        <w:jc w:val="both"/>
      </w:pPr>
      <w:r w:rsidRPr="00253D98">
        <w:t xml:space="preserve">Wildavsky (Aaron), </w:t>
      </w:r>
      <w:r w:rsidRPr="00750E55">
        <w:rPr>
          <w:i/>
          <w:iCs/>
        </w:rPr>
        <w:t>Perspective on the Presidency</w:t>
      </w:r>
      <w:r w:rsidRPr="00253D98">
        <w:t>, Boston Little, Brown, 1969, 795 p.</w:t>
      </w:r>
    </w:p>
    <w:p w14:paraId="6350DDFC" w14:textId="77777777" w:rsidR="0039793A" w:rsidRDefault="0039793A" w:rsidP="0039793A">
      <w:pPr>
        <w:spacing w:before="120" w:after="120"/>
        <w:jc w:val="both"/>
      </w:pPr>
    </w:p>
    <w:p w14:paraId="3061070E" w14:textId="77777777" w:rsidR="0039793A" w:rsidRPr="00750E55" w:rsidRDefault="0039793A" w:rsidP="0039793A">
      <w:pPr>
        <w:pStyle w:val="a"/>
      </w:pPr>
      <w:r w:rsidRPr="00750E55">
        <w:t>Les acteurs bureaucratiques</w:t>
      </w:r>
    </w:p>
    <w:p w14:paraId="15587D41" w14:textId="77777777" w:rsidR="0039793A" w:rsidRDefault="0039793A" w:rsidP="0039793A">
      <w:pPr>
        <w:spacing w:before="120" w:after="120"/>
        <w:jc w:val="both"/>
      </w:pPr>
    </w:p>
    <w:p w14:paraId="7EC9DFEE" w14:textId="77777777" w:rsidR="0039793A" w:rsidRPr="00253D98" w:rsidRDefault="0039793A" w:rsidP="0039793A">
      <w:pPr>
        <w:spacing w:before="120" w:after="120"/>
        <w:jc w:val="both"/>
      </w:pPr>
      <w:r w:rsidRPr="00253D98">
        <w:t xml:space="preserve">Allison (Graham) et Zelikow (Philip), </w:t>
      </w:r>
      <w:r w:rsidRPr="00750E55">
        <w:rPr>
          <w:i/>
          <w:iCs/>
        </w:rPr>
        <w:t>Essence of Decision. E</w:t>
      </w:r>
      <w:r w:rsidRPr="00750E55">
        <w:rPr>
          <w:i/>
          <w:iCs/>
        </w:rPr>
        <w:t>x</w:t>
      </w:r>
      <w:r w:rsidRPr="00750E55">
        <w:rPr>
          <w:i/>
          <w:iCs/>
        </w:rPr>
        <w:t>plaining the Cuban Missile Crisis</w:t>
      </w:r>
      <w:r w:rsidRPr="00253D98">
        <w:t>, New York, Longman, 2</w:t>
      </w:r>
      <w:r w:rsidRPr="00253D98">
        <w:rPr>
          <w:vertAlign w:val="superscript"/>
        </w:rPr>
        <w:t>e</w:t>
      </w:r>
      <w:r>
        <w:rPr>
          <w:vertAlign w:val="superscript"/>
        </w:rPr>
        <w:t xml:space="preserve"> </w:t>
      </w:r>
      <w:r w:rsidRPr="00253D98">
        <w:t>éd., 1999, 440 p.</w:t>
      </w:r>
    </w:p>
    <w:p w14:paraId="21A0ABF1" w14:textId="77777777" w:rsidR="0039793A" w:rsidRPr="00253D98" w:rsidRDefault="0039793A" w:rsidP="0039793A">
      <w:pPr>
        <w:spacing w:before="120" w:after="120"/>
        <w:jc w:val="both"/>
      </w:pPr>
    </w:p>
    <w:p w14:paraId="2BF10768" w14:textId="77777777" w:rsidR="0039793A" w:rsidRDefault="0039793A" w:rsidP="0039793A">
      <w:pPr>
        <w:spacing w:before="120" w:after="120"/>
        <w:jc w:val="both"/>
      </w:pPr>
      <w:r>
        <w:t>[360]</w:t>
      </w:r>
    </w:p>
    <w:p w14:paraId="58B5E5DD" w14:textId="77777777" w:rsidR="0039793A" w:rsidRPr="00253D98" w:rsidRDefault="0039793A" w:rsidP="0039793A">
      <w:pPr>
        <w:spacing w:before="120" w:after="120"/>
        <w:jc w:val="both"/>
      </w:pPr>
      <w:r w:rsidRPr="00253D98">
        <w:t xml:space="preserve">Destler (Irving), Gelb (Leslie) et Lake (Anthony), </w:t>
      </w:r>
      <w:r w:rsidRPr="00C5524E">
        <w:rPr>
          <w:i/>
          <w:iCs/>
        </w:rPr>
        <w:t>Our Own Worst Enemy. The Unmaking of American Foreign Policy</w:t>
      </w:r>
      <w:r w:rsidRPr="00253D98">
        <w:t>, New York, S</w:t>
      </w:r>
      <w:r w:rsidRPr="00253D98">
        <w:t>i</w:t>
      </w:r>
      <w:r w:rsidRPr="00253D98">
        <w:t>mon Schuster,</w:t>
      </w:r>
      <w:r>
        <w:t xml:space="preserve"> </w:t>
      </w:r>
      <w:r w:rsidRPr="00253D98">
        <w:t>1984,</w:t>
      </w:r>
      <w:r>
        <w:t xml:space="preserve"> </w:t>
      </w:r>
      <w:r w:rsidRPr="00253D98">
        <w:t>319 p.</w:t>
      </w:r>
    </w:p>
    <w:p w14:paraId="55403B41" w14:textId="77777777" w:rsidR="0039793A" w:rsidRPr="00253D98" w:rsidRDefault="0039793A" w:rsidP="0039793A">
      <w:pPr>
        <w:spacing w:before="120" w:after="120"/>
        <w:jc w:val="both"/>
      </w:pPr>
      <w:r w:rsidRPr="00253D98">
        <w:t xml:space="preserve">Dumbrell (John), </w:t>
      </w:r>
      <w:r w:rsidRPr="00C5524E">
        <w:rPr>
          <w:i/>
          <w:iCs/>
        </w:rPr>
        <w:t>The Making of</w:t>
      </w:r>
      <w:r w:rsidRPr="00F369CF">
        <w:rPr>
          <w:i/>
          <w:iCs/>
        </w:rPr>
        <w:t xml:space="preserve"> </w:t>
      </w:r>
      <w:r w:rsidRPr="00F369CF">
        <w:rPr>
          <w:i/>
        </w:rPr>
        <w:t>US</w:t>
      </w:r>
      <w:r w:rsidRPr="00C5524E">
        <w:rPr>
          <w:rStyle w:val="Corpsdutexte27ptItaliqueEspacement0pt"/>
          <w:i w:val="0"/>
          <w:iCs w:val="0"/>
        </w:rPr>
        <w:t xml:space="preserve"> </w:t>
      </w:r>
      <w:r w:rsidRPr="00C5524E">
        <w:rPr>
          <w:i/>
          <w:iCs/>
        </w:rPr>
        <w:t>Foreign Policy</w:t>
      </w:r>
      <w:r w:rsidRPr="00253D98">
        <w:t>, Manchester, Manchester University Press, 2</w:t>
      </w:r>
      <w:r w:rsidRPr="00C5524E">
        <w:rPr>
          <w:vertAlign w:val="superscript"/>
        </w:rPr>
        <w:t>è</w:t>
      </w:r>
      <w:r>
        <w:t xml:space="preserve"> </w:t>
      </w:r>
      <w:r w:rsidRPr="00253D98">
        <w:t>éd., 1998, 226 p.</w:t>
      </w:r>
    </w:p>
    <w:p w14:paraId="1C2E2301" w14:textId="77777777" w:rsidR="0039793A" w:rsidRPr="00253D98" w:rsidRDefault="0039793A" w:rsidP="0039793A">
      <w:pPr>
        <w:spacing w:before="120" w:after="120"/>
        <w:jc w:val="both"/>
      </w:pPr>
      <w:r w:rsidRPr="00253D98">
        <w:t xml:space="preserve">Eisendrath (Craig) (ed.), </w:t>
      </w:r>
      <w:r w:rsidRPr="00C5524E">
        <w:rPr>
          <w:i/>
          <w:iCs/>
        </w:rPr>
        <w:t xml:space="preserve">National Insecurity. </w:t>
      </w:r>
      <w:r w:rsidRPr="00C5524E">
        <w:rPr>
          <w:rStyle w:val="Corpsdutexte27ptItaliqueEspacement0pt"/>
        </w:rPr>
        <w:t>US</w:t>
      </w:r>
      <w:r w:rsidRPr="00C5524E">
        <w:rPr>
          <w:rStyle w:val="Corpsdutexte27ptItaliqueEspacement0pt"/>
          <w:i w:val="0"/>
          <w:iCs w:val="0"/>
        </w:rPr>
        <w:t xml:space="preserve"> </w:t>
      </w:r>
      <w:r w:rsidRPr="00C5524E">
        <w:rPr>
          <w:i/>
          <w:iCs/>
        </w:rPr>
        <w:t>Intelligence After the Cold War</w:t>
      </w:r>
      <w:r w:rsidRPr="00253D98">
        <w:t>, Philadelphie, Temple University Press, 2000, 241 p.</w:t>
      </w:r>
    </w:p>
    <w:p w14:paraId="3101908A" w14:textId="77777777" w:rsidR="0039793A" w:rsidRPr="00253D98" w:rsidRDefault="0039793A" w:rsidP="0039793A">
      <w:pPr>
        <w:spacing w:before="120" w:after="120"/>
        <w:jc w:val="both"/>
      </w:pPr>
      <w:r w:rsidRPr="00253D98">
        <w:t xml:space="preserve">Hiller (John), « Defense’s Death Spiral », </w:t>
      </w:r>
      <w:r w:rsidRPr="00C5524E">
        <w:rPr>
          <w:i/>
          <w:iCs/>
        </w:rPr>
        <w:t>Foreign Affairs</w:t>
      </w:r>
      <w:r w:rsidRPr="00253D98">
        <w:t>, 78 (4), 1999, p. 2-7.</w:t>
      </w:r>
    </w:p>
    <w:p w14:paraId="2412DA4C" w14:textId="77777777" w:rsidR="0039793A" w:rsidRDefault="0039793A" w:rsidP="0039793A">
      <w:pPr>
        <w:spacing w:before="120" w:after="120"/>
        <w:jc w:val="both"/>
      </w:pPr>
      <w:r w:rsidRPr="00253D98">
        <w:t xml:space="preserve">Hoge (James) et Rose (Gideon) (eds), </w:t>
      </w:r>
      <w:r w:rsidRPr="00C5524E">
        <w:rPr>
          <w:i/>
          <w:iCs/>
        </w:rPr>
        <w:t>How Did This Happen ? Terrorism and the New War</w:t>
      </w:r>
      <w:r w:rsidRPr="00253D98">
        <w:t xml:space="preserve">, New York, Public Affairs Press, 2001, 324 p. </w:t>
      </w:r>
    </w:p>
    <w:p w14:paraId="024D5920" w14:textId="77777777" w:rsidR="0039793A" w:rsidRPr="00253D98" w:rsidRDefault="0039793A" w:rsidP="0039793A">
      <w:pPr>
        <w:spacing w:before="120" w:after="120"/>
        <w:jc w:val="both"/>
      </w:pPr>
      <w:r w:rsidRPr="00253D98">
        <w:t xml:space="preserve">Ikenberry (G. John) (ed.), </w:t>
      </w:r>
      <w:r w:rsidRPr="00C5524E">
        <w:rPr>
          <w:i/>
          <w:iCs/>
        </w:rPr>
        <w:t>American Foreign Policy : Theoret</w:t>
      </w:r>
      <w:r w:rsidRPr="00C5524E">
        <w:rPr>
          <w:i/>
          <w:iCs/>
        </w:rPr>
        <w:t>i</w:t>
      </w:r>
      <w:r w:rsidRPr="00C5524E">
        <w:rPr>
          <w:i/>
          <w:iCs/>
        </w:rPr>
        <w:t>cal Essays</w:t>
      </w:r>
      <w:r w:rsidRPr="00253D98">
        <w:t>, New York, Longman, 4</w:t>
      </w:r>
      <w:r w:rsidRPr="00253D98">
        <w:rPr>
          <w:vertAlign w:val="superscript"/>
        </w:rPr>
        <w:t>e</w:t>
      </w:r>
      <w:r w:rsidRPr="00253D98">
        <w:t xml:space="preserve"> éd., 2002, 624 p.</w:t>
      </w:r>
    </w:p>
    <w:p w14:paraId="6C60C6FC" w14:textId="77777777" w:rsidR="0039793A" w:rsidRPr="00253D98" w:rsidRDefault="0039793A" w:rsidP="0039793A">
      <w:pPr>
        <w:spacing w:before="120" w:after="120"/>
        <w:jc w:val="both"/>
      </w:pPr>
      <w:r w:rsidRPr="00253D98">
        <w:t xml:space="preserve">Jeffrey-Jones (Rohdri) et Andrew (Christopher), </w:t>
      </w:r>
      <w:r w:rsidRPr="00C5524E">
        <w:rPr>
          <w:i/>
          <w:iCs/>
        </w:rPr>
        <w:t xml:space="preserve">Etemal Vigilance. 30 Years of the </w:t>
      </w:r>
      <w:r w:rsidRPr="00C5524E">
        <w:rPr>
          <w:rStyle w:val="Corpsdutexte27ptItaliqueEspacement0pt"/>
        </w:rPr>
        <w:t>CIA</w:t>
      </w:r>
      <w:r w:rsidRPr="00253D98">
        <w:rPr>
          <w:rStyle w:val="Corpsdutexte27ptItaliqueEspacement0pt"/>
        </w:rPr>
        <w:t>,</w:t>
      </w:r>
      <w:r w:rsidRPr="00253D98">
        <w:t xml:space="preserve"> Londres, Frank Cass, 1997, 246 p.</w:t>
      </w:r>
    </w:p>
    <w:p w14:paraId="57BEB1C0" w14:textId="77777777" w:rsidR="0039793A" w:rsidRPr="00253D98" w:rsidRDefault="0039793A" w:rsidP="0039793A">
      <w:pPr>
        <w:spacing w:before="120" w:after="120"/>
        <w:jc w:val="both"/>
      </w:pPr>
      <w:r w:rsidRPr="00253D98">
        <w:t xml:space="preserve">Johnson (Loch), </w:t>
      </w:r>
      <w:r w:rsidRPr="00C5524E">
        <w:rPr>
          <w:i/>
          <w:iCs/>
        </w:rPr>
        <w:t>Bombs, Bugs, Drugs, and Thugs. Intelligence and America’s Quest for Security</w:t>
      </w:r>
      <w:r w:rsidRPr="00253D98">
        <w:t>, New York, New York University Press, 2</w:t>
      </w:r>
      <w:r w:rsidRPr="00253D98">
        <w:rPr>
          <w:vertAlign w:val="superscript"/>
        </w:rPr>
        <w:t>e</w:t>
      </w:r>
      <w:r w:rsidRPr="00253D98">
        <w:t>éd.,</w:t>
      </w:r>
      <w:r>
        <w:t xml:space="preserve"> </w:t>
      </w:r>
      <w:r w:rsidRPr="00253D98">
        <w:t>2002, 288 p.</w:t>
      </w:r>
    </w:p>
    <w:p w14:paraId="49B5FB6D" w14:textId="77777777" w:rsidR="0039793A" w:rsidRPr="00253D98" w:rsidRDefault="0039793A" w:rsidP="0039793A">
      <w:pPr>
        <w:spacing w:before="120" w:after="120"/>
        <w:jc w:val="both"/>
      </w:pPr>
      <w:r w:rsidRPr="00253D98">
        <w:t xml:space="preserve">Lindsay (James) (ed.), </w:t>
      </w:r>
      <w:r w:rsidRPr="00C5524E">
        <w:rPr>
          <w:rStyle w:val="Corpsdutexte27ptItaliqueEspacement0pt"/>
        </w:rPr>
        <w:t>US</w:t>
      </w:r>
      <w:r w:rsidRPr="00C5524E">
        <w:rPr>
          <w:rStyle w:val="Corpsdutexte27ptItaliqueEspacement0pt"/>
          <w:i w:val="0"/>
          <w:iCs w:val="0"/>
        </w:rPr>
        <w:t xml:space="preserve"> </w:t>
      </w:r>
      <w:r w:rsidRPr="00C5524E">
        <w:rPr>
          <w:i/>
          <w:iCs/>
        </w:rPr>
        <w:t>Foreign Policy after the Cold War</w:t>
      </w:r>
      <w:r w:rsidRPr="00253D98">
        <w:t>, Pit</w:t>
      </w:r>
      <w:r w:rsidRPr="00253D98">
        <w:t>t</w:t>
      </w:r>
      <w:r w:rsidRPr="00253D98">
        <w:t>sburgh, University of Pittsburgh Press, 1997, 392 p.</w:t>
      </w:r>
    </w:p>
    <w:p w14:paraId="657B54EB" w14:textId="77777777" w:rsidR="0039793A" w:rsidRPr="00253D98" w:rsidRDefault="0039793A" w:rsidP="0039793A">
      <w:pPr>
        <w:spacing w:before="120" w:after="120"/>
        <w:jc w:val="both"/>
      </w:pPr>
      <w:r w:rsidRPr="00253D98">
        <w:t xml:space="preserve">Lowenthal (Mark), </w:t>
      </w:r>
      <w:r w:rsidRPr="00C5524E">
        <w:rPr>
          <w:i/>
          <w:iCs/>
        </w:rPr>
        <w:t>Intelligence. From Secrets to Policy</w:t>
      </w:r>
      <w:r w:rsidRPr="00253D98">
        <w:t>, Washin</w:t>
      </w:r>
      <w:r w:rsidRPr="00253D98">
        <w:t>g</w:t>
      </w:r>
      <w:r w:rsidRPr="00253D98">
        <w:t>ton Congressional Quarterly Press, 2002, 288 p.</w:t>
      </w:r>
    </w:p>
    <w:p w14:paraId="4775B0C9" w14:textId="77777777" w:rsidR="0039793A" w:rsidRPr="00253D98" w:rsidRDefault="0039793A" w:rsidP="0039793A">
      <w:pPr>
        <w:spacing w:before="120" w:after="120"/>
        <w:jc w:val="both"/>
      </w:pPr>
      <w:r w:rsidRPr="00253D98">
        <w:t xml:space="preserve">Nathan (James) et Oliver (James), </w:t>
      </w:r>
      <w:r w:rsidRPr="00C5524E">
        <w:rPr>
          <w:i/>
          <w:iCs/>
        </w:rPr>
        <w:t>Foreign Policy Making and the American Political System</w:t>
      </w:r>
      <w:r w:rsidRPr="00253D98">
        <w:t>, Baltimore, Johns Hopkins University Press, 3</w:t>
      </w:r>
      <w:r w:rsidRPr="00C5524E">
        <w:rPr>
          <w:vertAlign w:val="superscript"/>
        </w:rPr>
        <w:t>è</w:t>
      </w:r>
      <w:r>
        <w:t xml:space="preserve"> </w:t>
      </w:r>
      <w:r w:rsidRPr="00253D98">
        <w:t>éd., 1994, 336 p.</w:t>
      </w:r>
    </w:p>
    <w:p w14:paraId="090BDAB3" w14:textId="77777777" w:rsidR="0039793A" w:rsidRPr="00253D98" w:rsidRDefault="0039793A" w:rsidP="0039793A">
      <w:pPr>
        <w:spacing w:before="120" w:after="120"/>
        <w:jc w:val="both"/>
      </w:pPr>
      <w:r w:rsidRPr="00253D98">
        <w:t xml:space="preserve">Richelson (Jeffrey), </w:t>
      </w:r>
      <w:r w:rsidRPr="00C5524E">
        <w:rPr>
          <w:i/>
          <w:iCs/>
        </w:rPr>
        <w:t xml:space="preserve">The </w:t>
      </w:r>
      <w:r w:rsidRPr="00F369CF">
        <w:rPr>
          <w:i/>
          <w:iCs/>
        </w:rPr>
        <w:t xml:space="preserve"> </w:t>
      </w:r>
      <w:r w:rsidRPr="00F369CF">
        <w:rPr>
          <w:i/>
        </w:rPr>
        <w:t>US</w:t>
      </w:r>
      <w:r w:rsidRPr="00C5524E">
        <w:rPr>
          <w:rStyle w:val="Corpsdutexte27ptItaliqueEspacement0pt"/>
          <w:i w:val="0"/>
          <w:iCs w:val="0"/>
        </w:rPr>
        <w:t xml:space="preserve"> </w:t>
      </w:r>
      <w:r w:rsidRPr="00C5524E">
        <w:rPr>
          <w:i/>
          <w:iCs/>
        </w:rPr>
        <w:t>Intelligence Community</w:t>
      </w:r>
      <w:r w:rsidRPr="00253D98">
        <w:t>, Boulder, Westview Press, 4</w:t>
      </w:r>
      <w:r w:rsidRPr="00C5524E">
        <w:rPr>
          <w:vertAlign w:val="superscript"/>
        </w:rPr>
        <w:t>è</w:t>
      </w:r>
      <w:r>
        <w:t xml:space="preserve"> </w:t>
      </w:r>
      <w:r w:rsidRPr="00253D98">
        <w:t>éd., 1999, 544 p.</w:t>
      </w:r>
    </w:p>
    <w:p w14:paraId="26D1CA0A" w14:textId="77777777" w:rsidR="0039793A" w:rsidRPr="00253D98" w:rsidRDefault="0039793A" w:rsidP="0039793A">
      <w:pPr>
        <w:spacing w:before="120" w:after="120"/>
        <w:jc w:val="both"/>
      </w:pPr>
      <w:r w:rsidRPr="00253D98">
        <w:t xml:space="preserve">Rourke (John) (et al.), </w:t>
      </w:r>
      <w:r w:rsidRPr="00C5524E">
        <w:rPr>
          <w:i/>
          <w:iCs/>
        </w:rPr>
        <w:t>Making American Foreign Policy</w:t>
      </w:r>
      <w:r w:rsidRPr="00253D98">
        <w:t>, Guilford, Brown and Benchmark, 2</w:t>
      </w:r>
      <w:r w:rsidRPr="00253D98">
        <w:rPr>
          <w:vertAlign w:val="superscript"/>
        </w:rPr>
        <w:t>e</w:t>
      </w:r>
      <w:r w:rsidRPr="00253D98">
        <w:t xml:space="preserve"> éd., 1996, 614 p.</w:t>
      </w:r>
    </w:p>
    <w:p w14:paraId="5940A046" w14:textId="77777777" w:rsidR="0039793A" w:rsidRPr="00253D98" w:rsidRDefault="0039793A" w:rsidP="0039793A">
      <w:pPr>
        <w:spacing w:before="120" w:after="120"/>
        <w:jc w:val="both"/>
      </w:pPr>
      <w:r w:rsidRPr="00253D98">
        <w:t xml:space="preserve">Rubin (Barry), </w:t>
      </w:r>
      <w:r w:rsidRPr="0057276F">
        <w:rPr>
          <w:i/>
          <w:iCs/>
        </w:rPr>
        <w:t xml:space="preserve">Secrets of State. The State Department and the Struggle over </w:t>
      </w:r>
      <w:r w:rsidRPr="00F369CF">
        <w:rPr>
          <w:i/>
        </w:rPr>
        <w:t>US</w:t>
      </w:r>
      <w:r w:rsidRPr="00C5524E">
        <w:rPr>
          <w:rStyle w:val="Corpsdutexte27ptItaliqueEspacement0pt"/>
          <w:i w:val="0"/>
          <w:iCs w:val="0"/>
        </w:rPr>
        <w:t xml:space="preserve"> </w:t>
      </w:r>
      <w:r w:rsidRPr="0057276F">
        <w:rPr>
          <w:i/>
          <w:iCs/>
        </w:rPr>
        <w:t>Foreign Policy</w:t>
      </w:r>
      <w:r w:rsidRPr="00253D98">
        <w:t>, New York, Oxford University Press, 1987, 335 p.</w:t>
      </w:r>
    </w:p>
    <w:p w14:paraId="1F517194" w14:textId="77777777" w:rsidR="0039793A" w:rsidRPr="00253D98" w:rsidRDefault="0039793A" w:rsidP="0039793A">
      <w:pPr>
        <w:spacing w:before="120" w:after="120"/>
        <w:jc w:val="both"/>
      </w:pPr>
      <w:r w:rsidRPr="00253D98">
        <w:t>Sarkesian (Sam) (et al.),</w:t>
      </w:r>
      <w:r w:rsidRPr="00F33AB3">
        <w:rPr>
          <w:i/>
          <w:iCs/>
        </w:rPr>
        <w:t xml:space="preserve"> </w:t>
      </w:r>
      <w:r w:rsidRPr="00F33AB3">
        <w:rPr>
          <w:i/>
        </w:rPr>
        <w:t>US</w:t>
      </w:r>
      <w:r w:rsidRPr="0057276F">
        <w:rPr>
          <w:rStyle w:val="Corpsdutexte27ptItaliqueEspacement0pt"/>
          <w:i w:val="0"/>
          <w:iCs w:val="0"/>
        </w:rPr>
        <w:t xml:space="preserve"> </w:t>
      </w:r>
      <w:r w:rsidRPr="0057276F">
        <w:rPr>
          <w:i/>
          <w:iCs/>
        </w:rPr>
        <w:t>National Security. Policymakers, Pr</w:t>
      </w:r>
      <w:r w:rsidRPr="0057276F">
        <w:rPr>
          <w:i/>
          <w:iCs/>
        </w:rPr>
        <w:t>o</w:t>
      </w:r>
      <w:r w:rsidRPr="0057276F">
        <w:rPr>
          <w:i/>
          <w:iCs/>
        </w:rPr>
        <w:t>cesses, and Politics</w:t>
      </w:r>
      <w:r w:rsidRPr="00253D98">
        <w:t>, Boulder, Lynne Rienner, 3' éd., 2002, 331 p.</w:t>
      </w:r>
    </w:p>
    <w:p w14:paraId="127EED92" w14:textId="77777777" w:rsidR="0039793A" w:rsidRPr="00253D98" w:rsidRDefault="0039793A" w:rsidP="0039793A">
      <w:pPr>
        <w:spacing w:before="120" w:after="120"/>
        <w:jc w:val="both"/>
      </w:pPr>
      <w:r w:rsidRPr="00253D98">
        <w:t xml:space="preserve">Smith (Hedrick), </w:t>
      </w:r>
      <w:r w:rsidRPr="0057276F">
        <w:rPr>
          <w:i/>
          <w:iCs/>
        </w:rPr>
        <w:t>The Power Game. How Washington Works</w:t>
      </w:r>
      <w:r w:rsidRPr="00253D98">
        <w:t>, New York, Ballantine Books, 1996, 2</w:t>
      </w:r>
      <w:r w:rsidRPr="00AA4DA8">
        <w:rPr>
          <w:vertAlign w:val="superscript"/>
        </w:rPr>
        <w:t>e</w:t>
      </w:r>
      <w:r>
        <w:t xml:space="preserve"> </w:t>
      </w:r>
      <w:r w:rsidRPr="00253D98">
        <w:t>éd., 793 p.</w:t>
      </w:r>
    </w:p>
    <w:p w14:paraId="2A6CB35C" w14:textId="77777777" w:rsidR="0039793A" w:rsidRDefault="0039793A" w:rsidP="0039793A">
      <w:pPr>
        <w:spacing w:before="120" w:after="120"/>
        <w:jc w:val="both"/>
      </w:pPr>
      <w:r w:rsidRPr="00253D98">
        <w:t xml:space="preserve">Talbott (Strobe) et Chandra (Nayan) (eds), </w:t>
      </w:r>
      <w:r w:rsidRPr="0057276F">
        <w:rPr>
          <w:i/>
          <w:iCs/>
        </w:rPr>
        <w:t>The Age of Terror : America and the World after September 11</w:t>
      </w:r>
      <w:r w:rsidRPr="00253D98">
        <w:t xml:space="preserve">, New York, Basic Books, 2001, 232 p. </w:t>
      </w:r>
    </w:p>
    <w:p w14:paraId="2729A88A" w14:textId="77777777" w:rsidR="0039793A" w:rsidRPr="00253D98" w:rsidRDefault="0039793A" w:rsidP="0039793A">
      <w:pPr>
        <w:spacing w:before="120" w:after="120"/>
        <w:jc w:val="both"/>
      </w:pPr>
      <w:r w:rsidRPr="00253D98">
        <w:t xml:space="preserve">Treverton (Gregory), </w:t>
      </w:r>
      <w:r w:rsidRPr="0057276F">
        <w:rPr>
          <w:i/>
          <w:iCs/>
        </w:rPr>
        <w:t>Reshaping Intelligence in an Age of Inform</w:t>
      </w:r>
      <w:r w:rsidRPr="0057276F">
        <w:rPr>
          <w:i/>
          <w:iCs/>
        </w:rPr>
        <w:t>a</w:t>
      </w:r>
      <w:r w:rsidRPr="0057276F">
        <w:rPr>
          <w:i/>
          <w:iCs/>
        </w:rPr>
        <w:t>tion</w:t>
      </w:r>
      <w:r w:rsidRPr="00253D98">
        <w:t>, Cambridge, Cambridge University Press, 2001, 282 p.</w:t>
      </w:r>
    </w:p>
    <w:p w14:paraId="043380FD" w14:textId="77777777" w:rsidR="0039793A" w:rsidRPr="00253D98" w:rsidRDefault="0039793A" w:rsidP="0039793A">
      <w:pPr>
        <w:spacing w:before="120" w:after="120"/>
        <w:jc w:val="both"/>
      </w:pPr>
      <w:r w:rsidRPr="00253D98">
        <w:t xml:space="preserve">Wilson (George), </w:t>
      </w:r>
      <w:r w:rsidRPr="0057276F">
        <w:rPr>
          <w:i/>
          <w:iCs/>
        </w:rPr>
        <w:t>This War Really Matters ; Inside the Fight for Defense Dollars</w:t>
      </w:r>
      <w:r w:rsidRPr="00253D98">
        <w:t>, Washington, Congressional Quarterly Press, 2000,</w:t>
      </w:r>
      <w:r>
        <w:t xml:space="preserve"> </w:t>
      </w:r>
      <w:r w:rsidRPr="00253D98">
        <w:t>200 p.</w:t>
      </w:r>
    </w:p>
    <w:p w14:paraId="46E82EFE" w14:textId="77777777" w:rsidR="0039793A" w:rsidRDefault="0039793A" w:rsidP="0039793A">
      <w:pPr>
        <w:spacing w:before="120" w:after="120"/>
        <w:jc w:val="both"/>
      </w:pPr>
      <w:r>
        <w:t>[361]</w:t>
      </w:r>
    </w:p>
    <w:p w14:paraId="545FB23F" w14:textId="77777777" w:rsidR="0039793A" w:rsidRPr="00253D98" w:rsidRDefault="0039793A" w:rsidP="0039793A">
      <w:pPr>
        <w:spacing w:before="120" w:after="120"/>
        <w:jc w:val="both"/>
      </w:pPr>
    </w:p>
    <w:p w14:paraId="7645EAE8" w14:textId="77777777" w:rsidR="0039793A" w:rsidRPr="0057276F" w:rsidRDefault="0039793A" w:rsidP="0039793A">
      <w:pPr>
        <w:pStyle w:val="a"/>
      </w:pPr>
      <w:r w:rsidRPr="0057276F">
        <w:t>Le rôle du Conseil de sécurité nationale</w:t>
      </w:r>
    </w:p>
    <w:p w14:paraId="7351C62E" w14:textId="77777777" w:rsidR="0039793A" w:rsidRDefault="0039793A" w:rsidP="0039793A">
      <w:pPr>
        <w:spacing w:before="120" w:after="120"/>
        <w:jc w:val="both"/>
      </w:pPr>
    </w:p>
    <w:p w14:paraId="232CD550" w14:textId="77777777" w:rsidR="0039793A" w:rsidRPr="00253D98" w:rsidRDefault="0039793A" w:rsidP="0039793A">
      <w:pPr>
        <w:spacing w:before="120" w:after="120"/>
        <w:jc w:val="both"/>
      </w:pPr>
      <w:r w:rsidRPr="00253D98">
        <w:t xml:space="preserve">Bock (Joseph), </w:t>
      </w:r>
      <w:r w:rsidRPr="00860931">
        <w:rPr>
          <w:i/>
          <w:iCs/>
        </w:rPr>
        <w:t>The White House Staff and the National Security Assistant : Friendship and Friction at the Water’s Edge</w:t>
      </w:r>
      <w:r w:rsidRPr="00253D98">
        <w:t>, New York, Praeger, 1987,</w:t>
      </w:r>
      <w:r>
        <w:t xml:space="preserve"> </w:t>
      </w:r>
      <w:r w:rsidRPr="00253D98">
        <w:t>226 p.</w:t>
      </w:r>
    </w:p>
    <w:p w14:paraId="0A00289F" w14:textId="77777777" w:rsidR="0039793A" w:rsidRPr="00253D98" w:rsidRDefault="0039793A" w:rsidP="0039793A">
      <w:pPr>
        <w:spacing w:before="120" w:after="120"/>
        <w:jc w:val="both"/>
      </w:pPr>
      <w:r w:rsidRPr="00253D98">
        <w:t xml:space="preserve">Caraley (Demetrios James), </w:t>
      </w:r>
      <w:r w:rsidRPr="00860931">
        <w:rPr>
          <w:i/>
          <w:iCs/>
        </w:rPr>
        <w:t>The Politics of Military Unification</w:t>
      </w:r>
      <w:r w:rsidRPr="00253D98">
        <w:t>, New York, Columbia University Press, 1966, 345 p.</w:t>
      </w:r>
    </w:p>
    <w:p w14:paraId="432304F9" w14:textId="77777777" w:rsidR="0039793A" w:rsidRPr="00253D98" w:rsidRDefault="0039793A" w:rsidP="0039793A">
      <w:pPr>
        <w:spacing w:before="120" w:after="120"/>
        <w:jc w:val="both"/>
      </w:pPr>
      <w:r w:rsidRPr="00253D98">
        <w:t xml:space="preserve">Destler (Irving), « National Security Advice to US Presidents : Some Lessons from Thirty Years », </w:t>
      </w:r>
      <w:r w:rsidRPr="00860931">
        <w:rPr>
          <w:i/>
          <w:iCs/>
        </w:rPr>
        <w:t>World Politics</w:t>
      </w:r>
      <w:r w:rsidRPr="00253D98">
        <w:t>, 29, janvier 1977, p. 143-176.</w:t>
      </w:r>
    </w:p>
    <w:p w14:paraId="31829A8D" w14:textId="77777777" w:rsidR="0039793A" w:rsidRPr="00253D98" w:rsidRDefault="0039793A" w:rsidP="0039793A">
      <w:pPr>
        <w:spacing w:before="120" w:after="120"/>
        <w:jc w:val="both"/>
      </w:pPr>
      <w:r w:rsidRPr="00253D98">
        <w:t xml:space="preserve">Destler (Irving), </w:t>
      </w:r>
      <w:r w:rsidRPr="00860931">
        <w:rPr>
          <w:i/>
          <w:iCs/>
        </w:rPr>
        <w:t>Presidents, Bureaucrats and Foreign Policy : The Politics of Organizational Reform</w:t>
      </w:r>
      <w:r w:rsidRPr="00253D98">
        <w:t>, Princeton, Princeton University Press, 1972,</w:t>
      </w:r>
      <w:r>
        <w:t xml:space="preserve"> </w:t>
      </w:r>
      <w:r w:rsidRPr="00253D98">
        <w:t>329 p.</w:t>
      </w:r>
    </w:p>
    <w:p w14:paraId="7A6FE1BF" w14:textId="77777777" w:rsidR="0039793A" w:rsidRPr="00253D98" w:rsidRDefault="0039793A" w:rsidP="0039793A">
      <w:pPr>
        <w:spacing w:before="120" w:after="120"/>
        <w:jc w:val="both"/>
      </w:pPr>
      <w:r w:rsidRPr="00253D98">
        <w:t xml:space="preserve">Dorwart (Jeffrey), </w:t>
      </w:r>
      <w:r w:rsidRPr="00860931">
        <w:rPr>
          <w:i/>
          <w:iCs/>
        </w:rPr>
        <w:t>Eberstadt and Forrestal : A National Security Partnership</w:t>
      </w:r>
      <w:r w:rsidRPr="00253D98">
        <w:t>. 1909-1949, College Station, Texas A &amp; M University Press, 1991, 248 p.</w:t>
      </w:r>
    </w:p>
    <w:p w14:paraId="31344404" w14:textId="77777777" w:rsidR="0039793A" w:rsidRPr="00253D98" w:rsidRDefault="0039793A" w:rsidP="0039793A">
      <w:pPr>
        <w:spacing w:before="120" w:after="120"/>
        <w:jc w:val="both"/>
      </w:pPr>
      <w:r w:rsidRPr="00253D98">
        <w:t xml:space="preserve">Garrison (Jean), </w:t>
      </w:r>
      <w:r w:rsidRPr="00860931">
        <w:rPr>
          <w:i/>
          <w:iCs/>
        </w:rPr>
        <w:t>Games Advisors Play : Foreign Policy in the Nixon and Carter Administrations</w:t>
      </w:r>
      <w:r w:rsidRPr="00253D98">
        <w:t>, College Station, Texas A &amp; M University Press, 1999, 192 p.</w:t>
      </w:r>
    </w:p>
    <w:p w14:paraId="3D220906" w14:textId="77777777" w:rsidR="0039793A" w:rsidRPr="00253D98" w:rsidRDefault="0039793A" w:rsidP="0039793A">
      <w:pPr>
        <w:spacing w:before="120" w:after="120"/>
        <w:jc w:val="both"/>
      </w:pPr>
      <w:r w:rsidRPr="00253D98">
        <w:t xml:space="preserve">Halberstam (David), </w:t>
      </w:r>
      <w:r w:rsidRPr="00860931">
        <w:rPr>
          <w:i/>
          <w:iCs/>
        </w:rPr>
        <w:t>The Best and the Brightest</w:t>
      </w:r>
      <w:r w:rsidRPr="00253D98">
        <w:t>, New York, Ra</w:t>
      </w:r>
      <w:r w:rsidRPr="00253D98">
        <w:t>n</w:t>
      </w:r>
      <w:r w:rsidRPr="00253D98">
        <w:t>dom House, 2</w:t>
      </w:r>
      <w:r w:rsidRPr="00253D98">
        <w:rPr>
          <w:vertAlign w:val="superscript"/>
        </w:rPr>
        <w:t>e</w:t>
      </w:r>
      <w:r w:rsidRPr="00253D98">
        <w:t xml:space="preserve"> éd., 2001, 780 p.</w:t>
      </w:r>
    </w:p>
    <w:p w14:paraId="5DC0EE2A" w14:textId="77777777" w:rsidR="0039793A" w:rsidRPr="00253D98" w:rsidRDefault="0039793A" w:rsidP="0039793A">
      <w:pPr>
        <w:spacing w:before="120" w:after="120"/>
        <w:jc w:val="both"/>
      </w:pPr>
      <w:r w:rsidRPr="00253D98">
        <w:t xml:space="preserve">Hart (John), </w:t>
      </w:r>
      <w:r w:rsidRPr="00860931">
        <w:rPr>
          <w:i/>
          <w:iCs/>
        </w:rPr>
        <w:t>The Presidential Branch. From Washington to Cli</w:t>
      </w:r>
      <w:r w:rsidRPr="00860931">
        <w:rPr>
          <w:i/>
          <w:iCs/>
        </w:rPr>
        <w:t>n</w:t>
      </w:r>
      <w:r w:rsidRPr="00860931">
        <w:rPr>
          <w:i/>
          <w:iCs/>
        </w:rPr>
        <w:t>ton</w:t>
      </w:r>
      <w:r w:rsidRPr="00253D98">
        <w:t>, Chatham, Chatham House Publishers, 1995, 300 p.</w:t>
      </w:r>
    </w:p>
    <w:p w14:paraId="4D7DA9EF" w14:textId="77777777" w:rsidR="0039793A" w:rsidRPr="00253D98" w:rsidRDefault="0039793A" w:rsidP="0039793A">
      <w:pPr>
        <w:spacing w:before="120" w:after="120"/>
        <w:jc w:val="both"/>
      </w:pPr>
      <w:r w:rsidRPr="00253D98">
        <w:t xml:space="preserve">Hess (Stephen) et Pfiffner (James), </w:t>
      </w:r>
      <w:r w:rsidRPr="00860931">
        <w:rPr>
          <w:i/>
          <w:iCs/>
        </w:rPr>
        <w:t>Organizing the Presidency</w:t>
      </w:r>
      <w:r w:rsidRPr="00253D98">
        <w:t>, Washington, The Brookings Institution, 3</w:t>
      </w:r>
      <w:r w:rsidRPr="00253D98">
        <w:rPr>
          <w:vertAlign w:val="superscript"/>
        </w:rPr>
        <w:t>e</w:t>
      </w:r>
      <w:r w:rsidRPr="00253D98">
        <w:t>éd., 2002, 294 p.</w:t>
      </w:r>
    </w:p>
    <w:p w14:paraId="68ED0625" w14:textId="77777777" w:rsidR="0039793A" w:rsidRPr="00253D98" w:rsidRDefault="0039793A" w:rsidP="0039793A">
      <w:pPr>
        <w:spacing w:before="120" w:after="120"/>
        <w:jc w:val="both"/>
      </w:pPr>
      <w:r w:rsidRPr="00253D98">
        <w:t xml:space="preserve">Hoopes (Townsend) et Brinkley (Douglas), </w:t>
      </w:r>
      <w:r w:rsidRPr="00860931">
        <w:rPr>
          <w:i/>
          <w:iCs/>
        </w:rPr>
        <w:t>Driven Patriot : The Life and Times of James Forrestal</w:t>
      </w:r>
      <w:r w:rsidRPr="00253D98">
        <w:t>, New York, Knopf, 1992, 587 p.</w:t>
      </w:r>
    </w:p>
    <w:p w14:paraId="6811AEDA" w14:textId="77777777" w:rsidR="0039793A" w:rsidRPr="00253D98" w:rsidRDefault="0039793A" w:rsidP="0039793A">
      <w:pPr>
        <w:spacing w:before="120" w:after="120"/>
        <w:jc w:val="both"/>
      </w:pPr>
      <w:r w:rsidRPr="00253D98">
        <w:t xml:space="preserve">Lavorel (Sabine), </w:t>
      </w:r>
      <w:r w:rsidRPr="00860931">
        <w:rPr>
          <w:i/>
          <w:iCs/>
        </w:rPr>
        <w:t>La politique de sécurité nationale des États-Unis sous George W. Bush</w:t>
      </w:r>
      <w:r w:rsidRPr="00253D98">
        <w:t>, Paris, L’Harmattan, coll. Raoul-Dandurand, 2003.</w:t>
      </w:r>
    </w:p>
    <w:p w14:paraId="096DD33D" w14:textId="77777777" w:rsidR="0039793A" w:rsidRPr="00253D98" w:rsidRDefault="0039793A" w:rsidP="0039793A">
      <w:pPr>
        <w:spacing w:before="120" w:after="120"/>
        <w:jc w:val="both"/>
      </w:pPr>
      <w:r w:rsidRPr="00253D98">
        <w:t xml:space="preserve">Maison-Blanche, </w:t>
      </w:r>
      <w:r w:rsidRPr="00125983">
        <w:rPr>
          <w:i/>
          <w:iCs/>
        </w:rPr>
        <w:t>History of the National Security Council</w:t>
      </w:r>
      <w:r w:rsidRPr="00253D98">
        <w:t xml:space="preserve">, 1947-1997, Washington, site internet de la Maison-Blanche, en ligne : </w:t>
      </w:r>
      <w:r w:rsidRPr="00125983">
        <w:rPr>
          <w:rStyle w:val="Hyperlien"/>
          <w:lang w:bidi="en-US"/>
        </w:rPr>
        <w:t>http://</w:t>
      </w:r>
      <w:hyperlink r:id="rId21" w:history="1">
        <w:r w:rsidRPr="00E9358B">
          <w:rPr>
            <w:rStyle w:val="Hyperlien"/>
            <w:lang w:bidi="en-US"/>
          </w:rPr>
          <w:t>www.whitehouse.gov/nsc/history.html</w:t>
        </w:r>
      </w:hyperlink>
      <w:r w:rsidRPr="00253D98">
        <w:rPr>
          <w:lang w:bidi="en-US"/>
        </w:rPr>
        <w:t>.</w:t>
      </w:r>
    </w:p>
    <w:p w14:paraId="554D902B" w14:textId="77777777" w:rsidR="0039793A" w:rsidRPr="00253D98" w:rsidRDefault="0039793A" w:rsidP="0039793A">
      <w:pPr>
        <w:spacing w:before="120" w:after="120"/>
        <w:jc w:val="both"/>
      </w:pPr>
      <w:r w:rsidRPr="00253D98">
        <w:t xml:space="preserve">Mulcahy (Kevin), « Rethinking Groupthink : Walt Rostow and the National Security Advisory Process in the Johnson Administration », </w:t>
      </w:r>
      <w:r w:rsidRPr="00125983">
        <w:rPr>
          <w:i/>
          <w:iCs/>
        </w:rPr>
        <w:t>Presidential Studies Quarterly</w:t>
      </w:r>
      <w:r w:rsidRPr="00253D98">
        <w:t>, 25 (1), 1995, p. 237-251.</w:t>
      </w:r>
    </w:p>
    <w:p w14:paraId="1BA0A6A1" w14:textId="77777777" w:rsidR="0039793A" w:rsidRPr="00253D98" w:rsidRDefault="0039793A" w:rsidP="0039793A">
      <w:pPr>
        <w:spacing w:before="120" w:after="120"/>
        <w:jc w:val="both"/>
      </w:pPr>
      <w:r w:rsidRPr="00253D98">
        <w:t xml:space="preserve">Mulcahy (Kevin), « Walt Rostow as National Security Advisor », </w:t>
      </w:r>
      <w:r w:rsidRPr="00125983">
        <w:rPr>
          <w:i/>
          <w:iCs/>
        </w:rPr>
        <w:t>Presidential Studies Quarterly</w:t>
      </w:r>
      <w:r w:rsidRPr="00253D98">
        <w:t>, 25 (2), 1995, p. 223-236.</w:t>
      </w:r>
    </w:p>
    <w:p w14:paraId="7D251C44" w14:textId="77777777" w:rsidR="0039793A" w:rsidRPr="00253D98" w:rsidRDefault="0039793A" w:rsidP="0039793A">
      <w:pPr>
        <w:spacing w:before="120" w:after="120"/>
        <w:jc w:val="both"/>
      </w:pPr>
      <w:r w:rsidRPr="00253D98">
        <w:t xml:space="preserve">Preston (Andrew), « The Little State Department : McGeorge Bundy and the National Security Council Staff », </w:t>
      </w:r>
      <w:r w:rsidRPr="00125983">
        <w:rPr>
          <w:i/>
          <w:iCs/>
        </w:rPr>
        <w:t>Presidential Studies Quarterly</w:t>
      </w:r>
      <w:r w:rsidRPr="00253D98">
        <w:t>, 31 (4), 2001, p. 635-659.</w:t>
      </w:r>
    </w:p>
    <w:p w14:paraId="13BA5C3C" w14:textId="77777777" w:rsidR="0039793A" w:rsidRPr="00253D98" w:rsidRDefault="0039793A" w:rsidP="0039793A">
      <w:pPr>
        <w:spacing w:before="120" w:after="120"/>
        <w:jc w:val="both"/>
      </w:pPr>
      <w:r w:rsidRPr="00253D98">
        <w:t xml:space="preserve">Sander (Alfred), « Truman and the National Security Council, 1945- 1947 », </w:t>
      </w:r>
      <w:r w:rsidRPr="00125983">
        <w:rPr>
          <w:i/>
          <w:iCs/>
        </w:rPr>
        <w:t>The Journal of American History</w:t>
      </w:r>
      <w:r w:rsidRPr="00253D98">
        <w:t>, 59, septembre 1972, p. 369-388.</w:t>
      </w:r>
    </w:p>
    <w:p w14:paraId="6F712344" w14:textId="77777777" w:rsidR="0039793A" w:rsidRPr="00253D98" w:rsidRDefault="0039793A" w:rsidP="0039793A">
      <w:pPr>
        <w:spacing w:before="120" w:after="120"/>
        <w:jc w:val="both"/>
      </w:pPr>
      <w:r w:rsidRPr="00253D98">
        <w:t xml:space="preserve">Sarkesian (Sam) (ed.), </w:t>
      </w:r>
      <w:r w:rsidRPr="00125983">
        <w:rPr>
          <w:i/>
          <w:iCs/>
        </w:rPr>
        <w:t>Presidential Leadership and National Sec</w:t>
      </w:r>
      <w:r w:rsidRPr="00125983">
        <w:rPr>
          <w:i/>
          <w:iCs/>
        </w:rPr>
        <w:t>u</w:t>
      </w:r>
      <w:r w:rsidRPr="00125983">
        <w:rPr>
          <w:i/>
          <w:iCs/>
        </w:rPr>
        <w:t>rity : Style, Institutions and Politics</w:t>
      </w:r>
      <w:r w:rsidRPr="00253D98">
        <w:t>, Boulder, Westview Press, 1984, 285 p.</w:t>
      </w:r>
    </w:p>
    <w:p w14:paraId="6262CDC1" w14:textId="77777777" w:rsidR="0039793A" w:rsidRPr="00253D98" w:rsidRDefault="0039793A" w:rsidP="0039793A">
      <w:pPr>
        <w:spacing w:before="120" w:after="120"/>
        <w:jc w:val="both"/>
      </w:pPr>
      <w:r>
        <w:t>[362]</w:t>
      </w:r>
    </w:p>
    <w:p w14:paraId="037C4E3E" w14:textId="77777777" w:rsidR="0039793A" w:rsidRPr="00253D98" w:rsidRDefault="0039793A" w:rsidP="0039793A">
      <w:pPr>
        <w:spacing w:before="120" w:after="120"/>
        <w:jc w:val="both"/>
      </w:pPr>
      <w:r w:rsidRPr="00253D98">
        <w:t xml:space="preserve">Zegart (Amy), </w:t>
      </w:r>
      <w:r w:rsidRPr="00F369CF">
        <w:rPr>
          <w:i/>
          <w:iCs/>
        </w:rPr>
        <w:t xml:space="preserve">Flawed </w:t>
      </w:r>
      <w:r w:rsidRPr="00F369CF">
        <w:rPr>
          <w:i/>
        </w:rPr>
        <w:t xml:space="preserve">by </w:t>
      </w:r>
      <w:r w:rsidRPr="00F369CF">
        <w:rPr>
          <w:i/>
          <w:iCs/>
        </w:rPr>
        <w:t xml:space="preserve">Design. The Evolution </w:t>
      </w:r>
      <w:r w:rsidRPr="00F369CF">
        <w:rPr>
          <w:i/>
        </w:rPr>
        <w:t xml:space="preserve">of </w:t>
      </w:r>
      <w:r w:rsidRPr="00F369CF">
        <w:rPr>
          <w:i/>
          <w:iCs/>
        </w:rPr>
        <w:t xml:space="preserve">the </w:t>
      </w:r>
      <w:r w:rsidRPr="00F369CF">
        <w:rPr>
          <w:i/>
        </w:rPr>
        <w:t xml:space="preserve">CIA, JCS, </w:t>
      </w:r>
      <w:r w:rsidRPr="00F369CF">
        <w:rPr>
          <w:i/>
          <w:iCs/>
        </w:rPr>
        <w:t xml:space="preserve">and </w:t>
      </w:r>
      <w:r w:rsidRPr="00F369CF">
        <w:rPr>
          <w:i/>
        </w:rPr>
        <w:t>NSC,</w:t>
      </w:r>
      <w:r w:rsidRPr="00253D98">
        <w:rPr>
          <w:rStyle w:val="Corpsdutexte27ptItaliqueEspacement0pt"/>
        </w:rPr>
        <w:t xml:space="preserve"> </w:t>
      </w:r>
      <w:r w:rsidRPr="00253D98">
        <w:t>Stanford, Stanford University Press, 1999, 342 p.</w:t>
      </w:r>
    </w:p>
    <w:p w14:paraId="52D24DEE" w14:textId="77777777" w:rsidR="0039793A" w:rsidRDefault="0039793A" w:rsidP="0039793A">
      <w:pPr>
        <w:spacing w:before="120" w:after="120"/>
        <w:jc w:val="both"/>
      </w:pPr>
    </w:p>
    <w:p w14:paraId="69048025" w14:textId="77777777" w:rsidR="0039793A" w:rsidRPr="00125983" w:rsidRDefault="0039793A" w:rsidP="0039793A">
      <w:pPr>
        <w:pStyle w:val="a"/>
      </w:pPr>
      <w:r w:rsidRPr="00125983">
        <w:t>Le rôle du Congres</w:t>
      </w:r>
    </w:p>
    <w:p w14:paraId="6CB4FFBA" w14:textId="77777777" w:rsidR="0039793A" w:rsidRDefault="0039793A" w:rsidP="0039793A">
      <w:pPr>
        <w:spacing w:before="120" w:after="120"/>
        <w:jc w:val="both"/>
      </w:pPr>
    </w:p>
    <w:p w14:paraId="76C37F2C" w14:textId="77777777" w:rsidR="0039793A" w:rsidRPr="00253D98" w:rsidRDefault="0039793A" w:rsidP="0039793A">
      <w:pPr>
        <w:spacing w:before="120" w:after="120"/>
        <w:jc w:val="both"/>
      </w:pPr>
      <w:r w:rsidRPr="00253D98">
        <w:t xml:space="preserve">Caro (Robert), </w:t>
      </w:r>
      <w:r w:rsidRPr="00072E10">
        <w:rPr>
          <w:i/>
          <w:iCs/>
        </w:rPr>
        <w:t>Master of the Senate : The Years of Lyndon Joh</w:t>
      </w:r>
      <w:r w:rsidRPr="00072E10">
        <w:rPr>
          <w:i/>
          <w:iCs/>
        </w:rPr>
        <w:t>n</w:t>
      </w:r>
      <w:r w:rsidRPr="00072E10">
        <w:rPr>
          <w:i/>
          <w:iCs/>
        </w:rPr>
        <w:t>son</w:t>
      </w:r>
      <w:r w:rsidRPr="00253D98">
        <w:t>, New York, Alfred A. Knopf, 2002, t. 3, 1152 p.</w:t>
      </w:r>
    </w:p>
    <w:p w14:paraId="44F2BDE2" w14:textId="77777777" w:rsidR="0039793A" w:rsidRPr="00253D98" w:rsidRDefault="0039793A" w:rsidP="0039793A">
      <w:pPr>
        <w:spacing w:before="120" w:after="120"/>
        <w:jc w:val="both"/>
      </w:pPr>
      <w:r w:rsidRPr="00253D98">
        <w:t xml:space="preserve">Cohen (Richard), « Why Congress Is So Alienated From Decision- making on US Foreign Policy », </w:t>
      </w:r>
      <w:r w:rsidRPr="00072E10">
        <w:rPr>
          <w:i/>
          <w:iCs/>
        </w:rPr>
        <w:t>The National Journal</w:t>
      </w:r>
      <w:r w:rsidRPr="00253D98">
        <w:t>, 17 avril 1999-</w:t>
      </w:r>
    </w:p>
    <w:p w14:paraId="2F6B6D88" w14:textId="77777777" w:rsidR="0039793A" w:rsidRPr="00253D98" w:rsidRDefault="0039793A" w:rsidP="0039793A">
      <w:pPr>
        <w:spacing w:before="120" w:after="120"/>
        <w:jc w:val="both"/>
      </w:pPr>
      <w:r w:rsidRPr="00253D98">
        <w:t>Courmont (Barthélémy), « Le Congrès et son poids dans la form</w:t>
      </w:r>
      <w:r w:rsidRPr="00253D98">
        <w:t>u</w:t>
      </w:r>
      <w:r w:rsidRPr="00253D98">
        <w:t xml:space="preserve">lation de la politique étrangère américaine », </w:t>
      </w:r>
      <w:r w:rsidRPr="00072E10">
        <w:rPr>
          <w:i/>
          <w:iCs/>
        </w:rPr>
        <w:t>Revue internationale et stratégique</w:t>
      </w:r>
      <w:r w:rsidRPr="00253D98">
        <w:t>, 42, été 2001, p. 87-97.</w:t>
      </w:r>
    </w:p>
    <w:p w14:paraId="4755B97F" w14:textId="77777777" w:rsidR="0039793A" w:rsidRPr="00253D98" w:rsidRDefault="0039793A" w:rsidP="0039793A">
      <w:pPr>
        <w:spacing w:before="120" w:after="120"/>
        <w:jc w:val="both"/>
      </w:pPr>
      <w:r w:rsidRPr="00253D98">
        <w:t xml:space="preserve">Dworkin (Ronald), </w:t>
      </w:r>
      <w:r w:rsidRPr="00072E10">
        <w:rPr>
          <w:i/>
          <w:iCs/>
        </w:rPr>
        <w:t>A Badly Flawed Election : D</w:t>
      </w:r>
      <w:r>
        <w:rPr>
          <w:i/>
          <w:iCs/>
        </w:rPr>
        <w:t>e</w:t>
      </w:r>
      <w:r w:rsidRPr="00072E10">
        <w:rPr>
          <w:i/>
          <w:iCs/>
        </w:rPr>
        <w:t>bating Bush v. Gore, the Supr</w:t>
      </w:r>
      <w:r>
        <w:rPr>
          <w:i/>
          <w:iCs/>
        </w:rPr>
        <w:t>e</w:t>
      </w:r>
      <w:r w:rsidRPr="00072E10">
        <w:rPr>
          <w:i/>
          <w:iCs/>
        </w:rPr>
        <w:t>me Court, and American Democracy</w:t>
      </w:r>
      <w:r w:rsidRPr="00253D98">
        <w:t>, New York, New Press, 2002, 344 p.</w:t>
      </w:r>
    </w:p>
    <w:p w14:paraId="3EBA14BA" w14:textId="77777777" w:rsidR="0039793A" w:rsidRPr="00253D98" w:rsidRDefault="0039793A" w:rsidP="0039793A">
      <w:pPr>
        <w:spacing w:before="120" w:after="120"/>
        <w:jc w:val="both"/>
      </w:pPr>
      <w:r w:rsidRPr="00253D98">
        <w:t xml:space="preserve">Fischer (Louis), </w:t>
      </w:r>
      <w:r w:rsidRPr="00072E10">
        <w:rPr>
          <w:i/>
          <w:iCs/>
        </w:rPr>
        <w:t>Congressional Abdication on War and Spending</w:t>
      </w:r>
      <w:r w:rsidRPr="00253D98">
        <w:t>, College Station, Texas A &amp; M University Press, 2000, 220 p.</w:t>
      </w:r>
    </w:p>
    <w:p w14:paraId="03BA0A60" w14:textId="77777777" w:rsidR="0039793A" w:rsidRPr="00253D98" w:rsidRDefault="0039793A" w:rsidP="0039793A">
      <w:pPr>
        <w:spacing w:before="120" w:after="120"/>
        <w:jc w:val="both"/>
      </w:pPr>
      <w:r w:rsidRPr="00253D98">
        <w:t>Grimmett (Richard), « The War Powers Resolution : After Twe</w:t>
      </w:r>
      <w:r w:rsidRPr="00253D98">
        <w:t>n</w:t>
      </w:r>
      <w:r w:rsidRPr="00253D98">
        <w:t>ty-Eight Years »,</w:t>
      </w:r>
      <w:r w:rsidRPr="00F369CF">
        <w:rPr>
          <w:i/>
          <w:iCs/>
        </w:rPr>
        <w:t xml:space="preserve"> </w:t>
      </w:r>
      <w:r w:rsidRPr="00F369CF">
        <w:rPr>
          <w:i/>
        </w:rPr>
        <w:t>CRS</w:t>
      </w:r>
      <w:r w:rsidRPr="00072E10">
        <w:rPr>
          <w:rStyle w:val="Corpsdutexte27ptItalique"/>
          <w:i w:val="0"/>
          <w:iCs w:val="0"/>
        </w:rPr>
        <w:t xml:space="preserve"> </w:t>
      </w:r>
      <w:r w:rsidRPr="00072E10">
        <w:rPr>
          <w:i/>
          <w:iCs/>
        </w:rPr>
        <w:t>Issue Brief</w:t>
      </w:r>
      <w:r>
        <w:rPr>
          <w:i/>
          <w:iCs/>
        </w:rPr>
        <w:t>,</w:t>
      </w:r>
      <w:r w:rsidRPr="00253D98">
        <w:t xml:space="preserve"> Washington, Library of Congress, 2001,69 p.</w:t>
      </w:r>
    </w:p>
    <w:p w14:paraId="132CC072" w14:textId="77777777" w:rsidR="0039793A" w:rsidRPr="00253D98" w:rsidRDefault="0039793A" w:rsidP="0039793A">
      <w:pPr>
        <w:spacing w:before="120" w:after="120"/>
        <w:jc w:val="both"/>
      </w:pPr>
      <w:r w:rsidRPr="00253D98">
        <w:t xml:space="preserve">Henehan (Marie), </w:t>
      </w:r>
      <w:r w:rsidRPr="00072E10">
        <w:rPr>
          <w:i/>
          <w:iCs/>
        </w:rPr>
        <w:t>Foreign Policy and Congress. An International Relations Perspective</w:t>
      </w:r>
      <w:r w:rsidRPr="00253D98">
        <w:t>, Ann Arbor, The University of Michigan Press, 2000, 213 p.</w:t>
      </w:r>
    </w:p>
    <w:p w14:paraId="36DF9867" w14:textId="77777777" w:rsidR="0039793A" w:rsidRPr="00253D98" w:rsidRDefault="0039793A" w:rsidP="0039793A">
      <w:pPr>
        <w:spacing w:before="120" w:after="120"/>
        <w:jc w:val="both"/>
      </w:pPr>
      <w:r w:rsidRPr="00253D98">
        <w:t xml:space="preserve">Hinckley (Barbara), </w:t>
      </w:r>
      <w:r w:rsidRPr="00072E10">
        <w:rPr>
          <w:i/>
          <w:iCs/>
        </w:rPr>
        <w:t>Less than Meets the Eye : Foreign Policy M</w:t>
      </w:r>
      <w:r w:rsidRPr="00072E10">
        <w:rPr>
          <w:i/>
          <w:iCs/>
        </w:rPr>
        <w:t>a</w:t>
      </w:r>
      <w:r w:rsidRPr="00072E10">
        <w:rPr>
          <w:i/>
          <w:iCs/>
        </w:rPr>
        <w:t>king and the Myth of the Assertive Congress</w:t>
      </w:r>
      <w:r w:rsidRPr="00253D98">
        <w:t>, Chicago, University of Chicago Press, 1994, 252 p.</w:t>
      </w:r>
    </w:p>
    <w:p w14:paraId="3AE669BB" w14:textId="77777777" w:rsidR="0039793A" w:rsidRPr="00253D98" w:rsidRDefault="0039793A" w:rsidP="0039793A">
      <w:pPr>
        <w:spacing w:before="120" w:after="120"/>
        <w:jc w:val="both"/>
      </w:pPr>
      <w:r w:rsidRPr="00253D98">
        <w:t xml:space="preserve">Jones (Gordon) et Marini (John) (eds), </w:t>
      </w:r>
      <w:r w:rsidRPr="00072E10">
        <w:rPr>
          <w:i/>
          <w:iCs/>
        </w:rPr>
        <w:t>The Imp</w:t>
      </w:r>
      <w:r>
        <w:rPr>
          <w:i/>
          <w:iCs/>
        </w:rPr>
        <w:t>e</w:t>
      </w:r>
      <w:r w:rsidRPr="00072E10">
        <w:rPr>
          <w:i/>
          <w:iCs/>
        </w:rPr>
        <w:t>rial Congress : Crisis in the S</w:t>
      </w:r>
      <w:r>
        <w:rPr>
          <w:i/>
          <w:iCs/>
        </w:rPr>
        <w:t>e</w:t>
      </w:r>
      <w:r w:rsidRPr="00072E10">
        <w:rPr>
          <w:i/>
          <w:iCs/>
        </w:rPr>
        <w:t>paration of Powers</w:t>
      </w:r>
      <w:r w:rsidRPr="00253D98">
        <w:t>, New York, Pharos Books, 1988, 366 p.</w:t>
      </w:r>
    </w:p>
    <w:p w14:paraId="3472FB42" w14:textId="77777777" w:rsidR="0039793A" w:rsidRPr="00253D98" w:rsidRDefault="0039793A" w:rsidP="0039793A">
      <w:pPr>
        <w:spacing w:before="120" w:after="120"/>
        <w:jc w:val="both"/>
      </w:pPr>
      <w:r w:rsidRPr="00253D98">
        <w:t xml:space="preserve">Lacorne (Denis), « Une présidence hamiltonienne : la politique étrangère de Ronald Reagan », </w:t>
      </w:r>
      <w:r w:rsidRPr="00072E10">
        <w:rPr>
          <w:i/>
          <w:iCs/>
        </w:rPr>
        <w:t>Revue française de science politique</w:t>
      </w:r>
      <w:r w:rsidRPr="00253D98">
        <w:t>, 39 (4), 1989, p. 539-562.</w:t>
      </w:r>
    </w:p>
    <w:p w14:paraId="3A1DE207" w14:textId="77777777" w:rsidR="0039793A" w:rsidRPr="00253D98" w:rsidRDefault="0039793A" w:rsidP="0039793A">
      <w:pPr>
        <w:spacing w:before="120" w:after="120"/>
        <w:jc w:val="both"/>
      </w:pPr>
      <w:r w:rsidRPr="00253D98">
        <w:t xml:space="preserve">Lindsay (James), </w:t>
      </w:r>
      <w:r w:rsidRPr="00BD71C9">
        <w:rPr>
          <w:i/>
          <w:iCs/>
        </w:rPr>
        <w:t xml:space="preserve">Congress and the Politics of </w:t>
      </w:r>
      <w:r w:rsidRPr="00904D27">
        <w:rPr>
          <w:i/>
        </w:rPr>
        <w:t xml:space="preserve">US </w:t>
      </w:r>
      <w:r w:rsidRPr="00BD71C9">
        <w:rPr>
          <w:i/>
          <w:iCs/>
        </w:rPr>
        <w:t>Foreign Policy</w:t>
      </w:r>
      <w:r w:rsidRPr="00253D98">
        <w:t>, Baltimore, Johns Hopkins University Press, 1994, 228 p.</w:t>
      </w:r>
    </w:p>
    <w:p w14:paraId="2774F239" w14:textId="77777777" w:rsidR="0039793A" w:rsidRPr="00253D98" w:rsidRDefault="0039793A" w:rsidP="0039793A">
      <w:pPr>
        <w:spacing w:before="120" w:after="120"/>
        <w:jc w:val="both"/>
      </w:pPr>
      <w:r w:rsidRPr="00253D98">
        <w:t xml:space="preserve">Lindsay (James) et Ripley (Randall), </w:t>
      </w:r>
      <w:r w:rsidRPr="00BD71C9">
        <w:rPr>
          <w:i/>
          <w:iCs/>
        </w:rPr>
        <w:t>Congress R</w:t>
      </w:r>
      <w:r>
        <w:rPr>
          <w:i/>
          <w:iCs/>
        </w:rPr>
        <w:t>e</w:t>
      </w:r>
      <w:r w:rsidRPr="00BD71C9">
        <w:rPr>
          <w:i/>
          <w:iCs/>
        </w:rPr>
        <w:t>surgent : F</w:t>
      </w:r>
      <w:r w:rsidRPr="00BD71C9">
        <w:rPr>
          <w:i/>
          <w:iCs/>
        </w:rPr>
        <w:t>o</w:t>
      </w:r>
      <w:r w:rsidRPr="00BD71C9">
        <w:rPr>
          <w:i/>
          <w:iCs/>
        </w:rPr>
        <w:t>reign And Defense Policy on Capitol Hill</w:t>
      </w:r>
      <w:r w:rsidRPr="00253D98">
        <w:t>, Ann Arbor, University of Mich</w:t>
      </w:r>
      <w:r w:rsidRPr="00253D98">
        <w:t>i</w:t>
      </w:r>
      <w:r w:rsidRPr="00253D98">
        <w:t>gan Press, 1993, 337 p.</w:t>
      </w:r>
    </w:p>
    <w:p w14:paraId="4C7D39B7" w14:textId="77777777" w:rsidR="0039793A" w:rsidRPr="00253D98" w:rsidRDefault="0039793A" w:rsidP="0039793A">
      <w:pPr>
        <w:spacing w:before="120" w:after="120"/>
        <w:jc w:val="both"/>
      </w:pPr>
      <w:r w:rsidRPr="00253D98">
        <w:t xml:space="preserve">Rosner (Jeremy), </w:t>
      </w:r>
      <w:r w:rsidRPr="00BD71C9">
        <w:rPr>
          <w:i/>
          <w:iCs/>
        </w:rPr>
        <w:t>The New Tug-Of-War : Congress, the Executive Branch, and National Security</w:t>
      </w:r>
      <w:r w:rsidRPr="00253D98">
        <w:t>, Washington, Carnegie Endowment for International Peace, 1995, 117 p.</w:t>
      </w:r>
    </w:p>
    <w:p w14:paraId="7B1C067B" w14:textId="77777777" w:rsidR="0039793A" w:rsidRPr="00253D98" w:rsidRDefault="0039793A" w:rsidP="0039793A">
      <w:pPr>
        <w:spacing w:before="120" w:after="120"/>
        <w:jc w:val="both"/>
      </w:pPr>
      <w:r w:rsidRPr="00253D98">
        <w:t xml:space="preserve">Weisberg (Herbert) et Patterson (Samuel) (eds), </w:t>
      </w:r>
      <w:r w:rsidRPr="00BD71C9">
        <w:rPr>
          <w:i/>
          <w:iCs/>
        </w:rPr>
        <w:t>The Great Theatre - The American Congress in the 1990st</w:t>
      </w:r>
      <w:r w:rsidRPr="00253D98">
        <w:t>, Cambridge, Cambridge Un</w:t>
      </w:r>
      <w:r w:rsidRPr="00253D98">
        <w:t>i</w:t>
      </w:r>
      <w:r w:rsidRPr="00253D98">
        <w:t>versity Press, 1998, 304 p.</w:t>
      </w:r>
    </w:p>
    <w:p w14:paraId="7D319730" w14:textId="77777777" w:rsidR="0039793A" w:rsidRPr="00253D98" w:rsidRDefault="0039793A" w:rsidP="0039793A">
      <w:pPr>
        <w:spacing w:before="120" w:after="120"/>
        <w:jc w:val="both"/>
      </w:pPr>
      <w:r w:rsidRPr="00253D98">
        <w:t>Zoellick (Robert), « Congress and the Making of US Foreign Pol</w:t>
      </w:r>
      <w:r w:rsidRPr="00253D98">
        <w:t>i</w:t>
      </w:r>
      <w:r w:rsidRPr="00253D98">
        <w:t xml:space="preserve">cy », </w:t>
      </w:r>
      <w:r w:rsidRPr="00BD71C9">
        <w:rPr>
          <w:i/>
          <w:iCs/>
        </w:rPr>
        <w:t>Survival</w:t>
      </w:r>
      <w:r w:rsidRPr="00253D98">
        <w:t>, 41 (4), 1999-2000, p. 20-41.</w:t>
      </w:r>
    </w:p>
    <w:p w14:paraId="72820C0A" w14:textId="77777777" w:rsidR="0039793A" w:rsidRDefault="0039793A" w:rsidP="0039793A">
      <w:pPr>
        <w:spacing w:before="120" w:after="120"/>
        <w:jc w:val="both"/>
      </w:pPr>
      <w:r>
        <w:t>[363]</w:t>
      </w:r>
    </w:p>
    <w:p w14:paraId="0214C25D" w14:textId="77777777" w:rsidR="0039793A" w:rsidRDefault="0039793A" w:rsidP="0039793A">
      <w:pPr>
        <w:spacing w:before="120" w:after="120"/>
        <w:jc w:val="both"/>
      </w:pPr>
    </w:p>
    <w:p w14:paraId="71711E75" w14:textId="77777777" w:rsidR="0039793A" w:rsidRPr="00BD71C9" w:rsidRDefault="0039793A" w:rsidP="0039793A">
      <w:pPr>
        <w:pStyle w:val="a"/>
      </w:pPr>
      <w:r w:rsidRPr="00BD71C9">
        <w:t>L’opinion publique américaine</w:t>
      </w:r>
    </w:p>
    <w:p w14:paraId="1BAA62F3" w14:textId="77777777" w:rsidR="0039793A" w:rsidRDefault="0039793A" w:rsidP="0039793A">
      <w:pPr>
        <w:spacing w:before="120" w:after="120"/>
        <w:jc w:val="both"/>
      </w:pPr>
    </w:p>
    <w:p w14:paraId="72A2B2CE" w14:textId="77777777" w:rsidR="0039793A" w:rsidRPr="00253D98" w:rsidRDefault="0039793A" w:rsidP="0039793A">
      <w:pPr>
        <w:spacing w:before="120" w:after="120"/>
        <w:jc w:val="both"/>
      </w:pPr>
      <w:r w:rsidRPr="00253D98">
        <w:t xml:space="preserve">Bayart (Jean-François), </w:t>
      </w:r>
      <w:r w:rsidRPr="007D7FEA">
        <w:rPr>
          <w:i/>
          <w:iCs/>
        </w:rPr>
        <w:t>L'illusion identitaire</w:t>
      </w:r>
      <w:r w:rsidRPr="00253D98">
        <w:t>, Paris, Fayard, 1996, 306 p.</w:t>
      </w:r>
    </w:p>
    <w:p w14:paraId="66B28152" w14:textId="77777777" w:rsidR="0039793A" w:rsidRPr="00253D98" w:rsidRDefault="0039793A" w:rsidP="0039793A">
      <w:pPr>
        <w:spacing w:before="120" w:after="120"/>
        <w:jc w:val="both"/>
      </w:pPr>
      <w:r w:rsidRPr="00253D98">
        <w:t xml:space="preserve">Berstein (Serge) (dir.). </w:t>
      </w:r>
      <w:r w:rsidRPr="007D7FEA">
        <w:rPr>
          <w:i/>
          <w:iCs/>
        </w:rPr>
        <w:t>Les cultures politiques en France</w:t>
      </w:r>
      <w:r w:rsidRPr="00253D98">
        <w:t>, Paris, Seuil, 1999, 407 p.</w:t>
      </w:r>
    </w:p>
    <w:p w14:paraId="6918039F" w14:textId="77777777" w:rsidR="0039793A" w:rsidRPr="00253D98" w:rsidRDefault="0039793A" w:rsidP="0039793A">
      <w:pPr>
        <w:spacing w:before="120" w:after="120"/>
        <w:jc w:val="both"/>
      </w:pPr>
      <w:r w:rsidRPr="00253D98">
        <w:t xml:space="preserve">Hassner (Pierre) et Marchai (Roland) (dir.), </w:t>
      </w:r>
      <w:r w:rsidRPr="007D7FEA">
        <w:rPr>
          <w:i/>
          <w:iCs/>
        </w:rPr>
        <w:t>La guerre entre le l</w:t>
      </w:r>
      <w:r w:rsidRPr="007D7FEA">
        <w:rPr>
          <w:i/>
          <w:iCs/>
        </w:rPr>
        <w:t>o</w:t>
      </w:r>
      <w:r w:rsidRPr="007D7FEA">
        <w:rPr>
          <w:i/>
          <w:iCs/>
        </w:rPr>
        <w:t>cal et le global</w:t>
      </w:r>
      <w:r w:rsidRPr="00253D98">
        <w:t>, Paris, Karthala, 2003.</w:t>
      </w:r>
    </w:p>
    <w:p w14:paraId="594FECFC" w14:textId="77777777" w:rsidR="0039793A" w:rsidRPr="00253D98" w:rsidRDefault="0039793A" w:rsidP="0039793A">
      <w:pPr>
        <w:spacing w:before="120" w:after="120"/>
        <w:jc w:val="both"/>
      </w:pPr>
      <w:r w:rsidRPr="00253D98">
        <w:t xml:space="preserve">Klingberg (Frank), </w:t>
      </w:r>
      <w:r w:rsidRPr="007D7FEA">
        <w:rPr>
          <w:i/>
          <w:iCs/>
        </w:rPr>
        <w:t>Cyclical Trends in American Foreign Policy Moods : The Unfolding of America</w:t>
      </w:r>
      <w:r>
        <w:rPr>
          <w:i/>
          <w:iCs/>
        </w:rPr>
        <w:t>’</w:t>
      </w:r>
      <w:r w:rsidRPr="007D7FEA">
        <w:rPr>
          <w:i/>
          <w:iCs/>
        </w:rPr>
        <w:t>s World R</w:t>
      </w:r>
      <w:r>
        <w:rPr>
          <w:i/>
          <w:iCs/>
        </w:rPr>
        <w:t>o</w:t>
      </w:r>
      <w:r w:rsidRPr="007D7FEA">
        <w:rPr>
          <w:i/>
          <w:iCs/>
        </w:rPr>
        <w:t>le</w:t>
      </w:r>
      <w:r w:rsidRPr="00253D98">
        <w:t>, Lanham, Univers</w:t>
      </w:r>
      <w:r w:rsidRPr="00253D98">
        <w:t>i</w:t>
      </w:r>
      <w:r w:rsidRPr="00253D98">
        <w:t>ty Press of America, 1983, 193 p.</w:t>
      </w:r>
    </w:p>
    <w:p w14:paraId="6A4373E9" w14:textId="77777777" w:rsidR="0039793A" w:rsidRPr="00253D98" w:rsidRDefault="0039793A" w:rsidP="0039793A">
      <w:pPr>
        <w:spacing w:before="120" w:after="120"/>
        <w:jc w:val="both"/>
      </w:pPr>
      <w:r w:rsidRPr="00253D98">
        <w:t xml:space="preserve">Kull (Steven) et Destler (Irving), </w:t>
      </w:r>
      <w:r w:rsidRPr="007D7FEA">
        <w:rPr>
          <w:i/>
          <w:iCs/>
        </w:rPr>
        <w:t>Misreading the Public - The Myth of a New Isolationism</w:t>
      </w:r>
      <w:r w:rsidRPr="00253D98">
        <w:t>, Washington, Brookings Institution Press, 1999,</w:t>
      </w:r>
      <w:r>
        <w:t xml:space="preserve"> </w:t>
      </w:r>
      <w:r w:rsidRPr="00253D98">
        <w:t>312 p.</w:t>
      </w:r>
    </w:p>
    <w:p w14:paraId="38C28EDB" w14:textId="77777777" w:rsidR="0039793A" w:rsidRPr="00253D98" w:rsidRDefault="0039793A" w:rsidP="0039793A">
      <w:pPr>
        <w:spacing w:before="120" w:after="120"/>
        <w:jc w:val="both"/>
      </w:pPr>
      <w:r w:rsidRPr="00253D98">
        <w:t xml:space="preserve">Melandri (Pierre), </w:t>
      </w:r>
      <w:r w:rsidRPr="007D7FEA">
        <w:rPr>
          <w:i/>
          <w:iCs/>
        </w:rPr>
        <w:t>La politique extérieure des États-Unis de 1945 à nos jours</w:t>
      </w:r>
      <w:r w:rsidRPr="00253D98">
        <w:t>, Paris, Presses universitaires de France, 1982, 256 p.</w:t>
      </w:r>
    </w:p>
    <w:p w14:paraId="1AEF3FE7" w14:textId="77777777" w:rsidR="0039793A" w:rsidRPr="00253D98" w:rsidRDefault="0039793A" w:rsidP="0039793A">
      <w:pPr>
        <w:spacing w:before="120" w:after="120"/>
        <w:jc w:val="both"/>
      </w:pPr>
      <w:r w:rsidRPr="00253D98">
        <w:t xml:space="preserve">Rielly (John), </w:t>
      </w:r>
      <w:r w:rsidRPr="007D7FEA">
        <w:rPr>
          <w:i/>
          <w:iCs/>
        </w:rPr>
        <w:t>Worldviews 2002 - American Public Opinion and Foreign Policy</w:t>
      </w:r>
      <w:r w:rsidRPr="00253D98">
        <w:t>, Chicago, Chicago Council on Foreign Relations — German Marshall Fund of the US, 2002, 74 p.</w:t>
      </w:r>
    </w:p>
    <w:p w14:paraId="67733A50" w14:textId="77777777" w:rsidR="0039793A" w:rsidRPr="00253D98" w:rsidRDefault="0039793A" w:rsidP="0039793A">
      <w:pPr>
        <w:spacing w:before="120" w:after="120"/>
        <w:jc w:val="both"/>
      </w:pPr>
      <w:r w:rsidRPr="00253D98">
        <w:t xml:space="preserve">Rielly (John), </w:t>
      </w:r>
      <w:r w:rsidRPr="007D7FEA">
        <w:rPr>
          <w:i/>
          <w:iCs/>
        </w:rPr>
        <w:t>American Public Opinion and Foreign Policy 1999</w:t>
      </w:r>
      <w:r w:rsidRPr="00253D98">
        <w:t>, Chicago, Chicago Council on Foreign Relations, 1999, 40 p.</w:t>
      </w:r>
    </w:p>
    <w:p w14:paraId="4A90EE25" w14:textId="77777777" w:rsidR="0039793A" w:rsidRPr="00253D98" w:rsidRDefault="0039793A" w:rsidP="0039793A">
      <w:pPr>
        <w:spacing w:before="120" w:after="120"/>
        <w:jc w:val="both"/>
      </w:pPr>
      <w:r w:rsidRPr="00253D98">
        <w:t xml:space="preserve">Strobel (Warren), </w:t>
      </w:r>
      <w:r w:rsidRPr="007D7FEA">
        <w:rPr>
          <w:i/>
          <w:iCs/>
        </w:rPr>
        <w:t>Late Breaking Foreign Policy : The News M</w:t>
      </w:r>
      <w:r w:rsidRPr="007D7FEA">
        <w:rPr>
          <w:i/>
          <w:iCs/>
        </w:rPr>
        <w:t>e</w:t>
      </w:r>
      <w:r w:rsidRPr="007D7FEA">
        <w:rPr>
          <w:i/>
          <w:iCs/>
        </w:rPr>
        <w:t>dia Influence on Peace Operations</w:t>
      </w:r>
      <w:r w:rsidRPr="00253D98">
        <w:t xml:space="preserve">, Washington, </w:t>
      </w:r>
      <w:r w:rsidRPr="00253D98">
        <w:rPr>
          <w:rStyle w:val="Corpsdutexte58ptNonItalique"/>
        </w:rPr>
        <w:t xml:space="preserve">US </w:t>
      </w:r>
      <w:r w:rsidRPr="00253D98">
        <w:t xml:space="preserve">Institute of Peace, 1997, 275 </w:t>
      </w:r>
      <w:r w:rsidRPr="00F369CF">
        <w:rPr>
          <w:iCs/>
        </w:rPr>
        <w:t>p</w:t>
      </w:r>
      <w:r w:rsidRPr="00F369CF">
        <w:rPr>
          <w:i/>
          <w:iCs/>
        </w:rPr>
        <w:t>.</w:t>
      </w:r>
    </w:p>
    <w:p w14:paraId="350CEE8A" w14:textId="77777777" w:rsidR="0039793A" w:rsidRPr="00253D98" w:rsidRDefault="0039793A" w:rsidP="0039793A">
      <w:pPr>
        <w:spacing w:before="120" w:after="120"/>
        <w:jc w:val="both"/>
      </w:pPr>
      <w:r w:rsidRPr="00253D98">
        <w:t xml:space="preserve">Trubowitz (Peter), </w:t>
      </w:r>
      <w:r w:rsidRPr="007D7FEA">
        <w:rPr>
          <w:i/>
          <w:iCs/>
        </w:rPr>
        <w:t>Def</w:t>
      </w:r>
      <w:r>
        <w:rPr>
          <w:i/>
          <w:iCs/>
        </w:rPr>
        <w:t>i</w:t>
      </w:r>
      <w:r w:rsidRPr="007D7FEA">
        <w:rPr>
          <w:i/>
          <w:iCs/>
        </w:rPr>
        <w:t>ning the National Interest - Conflict and Change in American Foreign Policy</w:t>
      </w:r>
      <w:r w:rsidRPr="00253D98">
        <w:t>, Chicago, The University of Ch</w:t>
      </w:r>
      <w:r w:rsidRPr="00253D98">
        <w:t>i</w:t>
      </w:r>
      <w:r w:rsidRPr="00253D98">
        <w:t>cago Press, 1998,353 p.</w:t>
      </w:r>
    </w:p>
    <w:p w14:paraId="4C27E997" w14:textId="77777777" w:rsidR="0039793A" w:rsidRDefault="0039793A" w:rsidP="0039793A">
      <w:pPr>
        <w:spacing w:before="120" w:after="120"/>
        <w:jc w:val="both"/>
      </w:pPr>
    </w:p>
    <w:p w14:paraId="32392E4F" w14:textId="77777777" w:rsidR="0039793A" w:rsidRPr="007D7FEA" w:rsidRDefault="0039793A" w:rsidP="0039793A">
      <w:pPr>
        <w:pStyle w:val="a"/>
      </w:pPr>
      <w:r w:rsidRPr="007D7FEA">
        <w:t>Les think tanks, les lobbies et la société civile</w:t>
      </w:r>
    </w:p>
    <w:p w14:paraId="56B2481E" w14:textId="77777777" w:rsidR="0039793A" w:rsidRDefault="0039793A" w:rsidP="0039793A">
      <w:pPr>
        <w:spacing w:before="120" w:after="120"/>
        <w:jc w:val="both"/>
      </w:pPr>
    </w:p>
    <w:p w14:paraId="10858250" w14:textId="77777777" w:rsidR="0039793A" w:rsidRPr="00253D98" w:rsidRDefault="0039793A" w:rsidP="0039793A">
      <w:pPr>
        <w:spacing w:before="120" w:after="120"/>
        <w:jc w:val="both"/>
      </w:pPr>
      <w:r w:rsidRPr="00253D98">
        <w:t xml:space="preserve">Abelson (Donald), </w:t>
      </w:r>
      <w:r w:rsidRPr="00631733">
        <w:rPr>
          <w:i/>
          <w:iCs/>
        </w:rPr>
        <w:t>American Think Tanks and Their R</w:t>
      </w:r>
      <w:r>
        <w:rPr>
          <w:i/>
          <w:iCs/>
        </w:rPr>
        <w:t>o</w:t>
      </w:r>
      <w:r w:rsidRPr="00631733">
        <w:rPr>
          <w:i/>
          <w:iCs/>
        </w:rPr>
        <w:t>le in</w:t>
      </w:r>
      <w:r w:rsidRPr="00F369CF">
        <w:rPr>
          <w:i/>
          <w:iCs/>
        </w:rPr>
        <w:t xml:space="preserve"> </w:t>
      </w:r>
      <w:r w:rsidRPr="00F369CF">
        <w:rPr>
          <w:i/>
        </w:rPr>
        <w:t>US</w:t>
      </w:r>
      <w:r w:rsidRPr="00631733">
        <w:rPr>
          <w:rStyle w:val="Corpsdutexte27ptItaliqueEspacement0pt"/>
          <w:i w:val="0"/>
          <w:iCs w:val="0"/>
        </w:rPr>
        <w:t xml:space="preserve"> </w:t>
      </w:r>
      <w:r w:rsidRPr="00631733">
        <w:rPr>
          <w:i/>
          <w:iCs/>
        </w:rPr>
        <w:t>Foreign Policy</w:t>
      </w:r>
      <w:r w:rsidRPr="00253D98">
        <w:t>, New York, St. Martin’s Press, 1996, 208 p.</w:t>
      </w:r>
    </w:p>
    <w:p w14:paraId="6CE5019D" w14:textId="77777777" w:rsidR="0039793A" w:rsidRPr="00253D98" w:rsidRDefault="0039793A" w:rsidP="0039793A">
      <w:pPr>
        <w:spacing w:before="120" w:after="120"/>
        <w:jc w:val="both"/>
      </w:pPr>
      <w:r w:rsidRPr="00253D98">
        <w:t xml:space="preserve">Corrado (Anthony), Mann (Thomas) et Potter (Trevor) (eds), </w:t>
      </w:r>
      <w:r w:rsidRPr="00631733">
        <w:rPr>
          <w:i/>
          <w:iCs/>
        </w:rPr>
        <w:t>Ins</w:t>
      </w:r>
      <w:r w:rsidRPr="00631733">
        <w:rPr>
          <w:i/>
          <w:iCs/>
        </w:rPr>
        <w:t>i</w:t>
      </w:r>
      <w:r w:rsidRPr="00631733">
        <w:rPr>
          <w:i/>
          <w:iCs/>
        </w:rPr>
        <w:t>de the Campaign Finance Battle. Court Testimony on the New R</w:t>
      </w:r>
      <w:r w:rsidRPr="00631733">
        <w:rPr>
          <w:i/>
          <w:iCs/>
        </w:rPr>
        <w:t>e</w:t>
      </w:r>
      <w:r w:rsidRPr="00631733">
        <w:rPr>
          <w:i/>
          <w:iCs/>
        </w:rPr>
        <w:t>form</w:t>
      </w:r>
      <w:r w:rsidRPr="00253D98">
        <w:t>, Washington, Brookings Institution Press, 2003, 303 p.</w:t>
      </w:r>
    </w:p>
    <w:p w14:paraId="287BD9F9" w14:textId="77777777" w:rsidR="0039793A" w:rsidRPr="00253D98" w:rsidRDefault="0039793A" w:rsidP="0039793A">
      <w:pPr>
        <w:spacing w:before="120" w:after="120"/>
        <w:jc w:val="both"/>
      </w:pPr>
      <w:r w:rsidRPr="00253D98">
        <w:t xml:space="preserve">Goldgeier (James), </w:t>
      </w:r>
      <w:r w:rsidRPr="00631733">
        <w:rPr>
          <w:i/>
          <w:iCs/>
        </w:rPr>
        <w:t xml:space="preserve">Not Wether But When : </w:t>
      </w:r>
      <w:r w:rsidRPr="00F369CF">
        <w:rPr>
          <w:i/>
          <w:iCs/>
        </w:rPr>
        <w:t xml:space="preserve">The </w:t>
      </w:r>
      <w:r w:rsidRPr="00F369CF">
        <w:rPr>
          <w:i/>
        </w:rPr>
        <w:t xml:space="preserve">US </w:t>
      </w:r>
      <w:r w:rsidRPr="00F369CF">
        <w:rPr>
          <w:i/>
          <w:iCs/>
        </w:rPr>
        <w:t>Decision to E</w:t>
      </w:r>
      <w:r w:rsidRPr="00F369CF">
        <w:rPr>
          <w:i/>
          <w:iCs/>
        </w:rPr>
        <w:t>n</w:t>
      </w:r>
      <w:r w:rsidRPr="00F369CF">
        <w:rPr>
          <w:i/>
          <w:iCs/>
        </w:rPr>
        <w:t xml:space="preserve">large </w:t>
      </w:r>
      <w:r w:rsidRPr="00F369CF">
        <w:rPr>
          <w:i/>
        </w:rPr>
        <w:t>NATO,</w:t>
      </w:r>
      <w:r w:rsidRPr="00253D98">
        <w:t xml:space="preserve"> Brookings Institution Press, 1999, 218 p.</w:t>
      </w:r>
    </w:p>
    <w:p w14:paraId="3265FBB3" w14:textId="77777777" w:rsidR="0039793A" w:rsidRPr="00253D98" w:rsidRDefault="0039793A" w:rsidP="0039793A">
      <w:pPr>
        <w:spacing w:before="120" w:after="120"/>
        <w:jc w:val="both"/>
      </w:pPr>
      <w:r w:rsidRPr="00253D98">
        <w:t>Malavielle (Anne-Marie), Pasco (Xavier) et Sourbès-Verger (Is</w:t>
      </w:r>
      <w:r w:rsidRPr="00253D98">
        <w:t>a</w:t>
      </w:r>
      <w:r w:rsidRPr="00253D98">
        <w:t xml:space="preserve">belle), </w:t>
      </w:r>
      <w:r w:rsidRPr="00631733">
        <w:rPr>
          <w:i/>
          <w:iCs/>
        </w:rPr>
        <w:t>Espace et puissance</w:t>
      </w:r>
      <w:r w:rsidRPr="00253D98">
        <w:t>, Paris, Ellipses/Fondation pour la Reche</w:t>
      </w:r>
      <w:r w:rsidRPr="00253D98">
        <w:t>r</w:t>
      </w:r>
      <w:r w:rsidRPr="00253D98">
        <w:t>che Stratégique, 1999, 204 p.</w:t>
      </w:r>
    </w:p>
    <w:p w14:paraId="0D75DE7E" w14:textId="77777777" w:rsidR="0039793A" w:rsidRPr="00253D98" w:rsidRDefault="0039793A" w:rsidP="0039793A">
      <w:pPr>
        <w:spacing w:before="120" w:after="120"/>
        <w:jc w:val="both"/>
      </w:pPr>
      <w:r w:rsidRPr="00253D98">
        <w:t>Martin (William), « The Christian Right and American Foreign P</w:t>
      </w:r>
      <w:r w:rsidRPr="00253D98">
        <w:t>o</w:t>
      </w:r>
      <w:r w:rsidRPr="00253D98">
        <w:t xml:space="preserve">licy », </w:t>
      </w:r>
      <w:r w:rsidRPr="00631733">
        <w:rPr>
          <w:i/>
          <w:iCs/>
        </w:rPr>
        <w:t>Foreign Policy</w:t>
      </w:r>
      <w:r w:rsidRPr="00253D98">
        <w:t>, 114, printemps 1999, p- 66-80.</w:t>
      </w:r>
    </w:p>
    <w:p w14:paraId="7DE540CA" w14:textId="77777777" w:rsidR="0039793A" w:rsidRPr="00253D98" w:rsidRDefault="0039793A" w:rsidP="0039793A">
      <w:pPr>
        <w:spacing w:before="120" w:after="120"/>
        <w:jc w:val="both"/>
      </w:pPr>
      <w:r w:rsidRPr="00253D98">
        <w:t xml:space="preserve">Shain (Yossi), </w:t>
      </w:r>
      <w:r w:rsidRPr="00631733">
        <w:rPr>
          <w:i/>
          <w:iCs/>
        </w:rPr>
        <w:t>Marketing the American Creed Abroad - Diasporas in the</w:t>
      </w:r>
      <w:r w:rsidRPr="00F369CF">
        <w:rPr>
          <w:i/>
          <w:iCs/>
        </w:rPr>
        <w:t xml:space="preserve"> </w:t>
      </w:r>
      <w:r w:rsidRPr="00F369CF">
        <w:rPr>
          <w:i/>
        </w:rPr>
        <w:t>US</w:t>
      </w:r>
      <w:r w:rsidRPr="00631733">
        <w:rPr>
          <w:rStyle w:val="Corpsdutexte57ptEspacement0pt"/>
          <w:i w:val="0"/>
          <w:iCs w:val="0"/>
        </w:rPr>
        <w:t xml:space="preserve"> </w:t>
      </w:r>
      <w:r w:rsidRPr="00631733">
        <w:rPr>
          <w:i/>
          <w:iCs/>
        </w:rPr>
        <w:t>and their Homelands</w:t>
      </w:r>
      <w:r w:rsidRPr="00253D98">
        <w:t>, Cambridge, Cambridge University Press, 1999, 294 p.</w:t>
      </w:r>
    </w:p>
    <w:p w14:paraId="5EF38E5A" w14:textId="77777777" w:rsidR="0039793A" w:rsidRPr="00253D98" w:rsidRDefault="0039793A" w:rsidP="0039793A">
      <w:pPr>
        <w:spacing w:before="120" w:after="120"/>
        <w:jc w:val="both"/>
      </w:pPr>
      <w:r>
        <w:t>[364]</w:t>
      </w:r>
    </w:p>
    <w:p w14:paraId="40A8EE08" w14:textId="77777777" w:rsidR="0039793A" w:rsidRPr="00253D98" w:rsidRDefault="0039793A" w:rsidP="0039793A">
      <w:pPr>
        <w:spacing w:before="120" w:after="120"/>
        <w:jc w:val="both"/>
      </w:pPr>
      <w:r w:rsidRPr="00253D98">
        <w:t xml:space="preserve">Smith (James Allen), </w:t>
      </w:r>
      <w:r w:rsidRPr="00631733">
        <w:rPr>
          <w:i/>
          <w:iCs/>
        </w:rPr>
        <w:t>The Idea Brokers : Think Tanks and the Rise of the New Policy Elite</w:t>
      </w:r>
      <w:r w:rsidRPr="00253D98">
        <w:t>, New York, Free Press, 1993, 313 p.</w:t>
      </w:r>
    </w:p>
    <w:p w14:paraId="2BC092DB" w14:textId="77777777" w:rsidR="0039793A" w:rsidRPr="00253D98" w:rsidRDefault="0039793A" w:rsidP="0039793A">
      <w:pPr>
        <w:spacing w:before="120" w:after="120"/>
        <w:jc w:val="both"/>
      </w:pPr>
      <w:r w:rsidRPr="00253D98">
        <w:t xml:space="preserve">Smith (Tony), </w:t>
      </w:r>
      <w:r w:rsidRPr="00631733">
        <w:rPr>
          <w:i/>
          <w:iCs/>
        </w:rPr>
        <w:t>Foreign Attachment — The Power of Ethni</w:t>
      </w:r>
      <w:r>
        <w:rPr>
          <w:i/>
          <w:iCs/>
        </w:rPr>
        <w:t>c</w:t>
      </w:r>
      <w:r w:rsidRPr="00631733">
        <w:rPr>
          <w:i/>
          <w:iCs/>
        </w:rPr>
        <w:t xml:space="preserve"> Groups in the Making of American Foreign Policy</w:t>
      </w:r>
      <w:r w:rsidRPr="00253D98">
        <w:t>, Cambridge, Harvard Un</w:t>
      </w:r>
      <w:r w:rsidRPr="00253D98">
        <w:t>i</w:t>
      </w:r>
      <w:r w:rsidRPr="00253D98">
        <w:t>versity Press, 2000, 190 p.</w:t>
      </w:r>
    </w:p>
    <w:p w14:paraId="15CEAF42" w14:textId="77777777" w:rsidR="0039793A" w:rsidRPr="00253D98" w:rsidRDefault="0039793A" w:rsidP="0039793A">
      <w:pPr>
        <w:spacing w:before="120" w:after="120"/>
        <w:jc w:val="both"/>
      </w:pPr>
      <w:r w:rsidRPr="00253D98">
        <w:t xml:space="preserve">Vaïsse (Justin), « Petit guide des revues et des </w:t>
      </w:r>
      <w:r w:rsidRPr="00631733">
        <w:rPr>
          <w:rFonts w:eastAsia="Courier New"/>
          <w:i/>
          <w:iCs/>
        </w:rPr>
        <w:t>think tanks</w:t>
      </w:r>
      <w:r>
        <w:t xml:space="preserve"> </w:t>
      </w:r>
      <w:r w:rsidRPr="00253D98">
        <w:t>amér</w:t>
      </w:r>
      <w:r w:rsidRPr="00253D98">
        <w:t>i</w:t>
      </w:r>
      <w:r w:rsidRPr="00253D98">
        <w:t xml:space="preserve">cains : les très riches heures des relations internationales aux États-Unis », </w:t>
      </w:r>
      <w:r w:rsidRPr="00631733">
        <w:rPr>
          <w:rFonts w:eastAsia="Courier New"/>
          <w:i/>
          <w:iCs/>
        </w:rPr>
        <w:t>La Revue internationale et stratégique</w:t>
      </w:r>
      <w:r w:rsidRPr="00253D98">
        <w:rPr>
          <w:rFonts w:eastAsia="Courier New"/>
        </w:rPr>
        <w:t>,</w:t>
      </w:r>
      <w:r w:rsidRPr="00253D98">
        <w:t xml:space="preserve"> 34, été 1999, p. 53-64.</w:t>
      </w:r>
    </w:p>
    <w:p w14:paraId="35262655" w14:textId="77777777" w:rsidR="0039793A" w:rsidRPr="00253D98" w:rsidRDefault="0039793A" w:rsidP="0039793A">
      <w:pPr>
        <w:spacing w:before="120" w:after="120"/>
        <w:jc w:val="both"/>
      </w:pPr>
    </w:p>
    <w:p w14:paraId="13995CEE" w14:textId="77777777" w:rsidR="0039793A" w:rsidRPr="00253D98" w:rsidRDefault="0039793A" w:rsidP="0039793A">
      <w:pPr>
        <w:spacing w:before="120" w:after="120"/>
        <w:jc w:val="both"/>
      </w:pPr>
    </w:p>
    <w:p w14:paraId="7D8EC5F6" w14:textId="77777777" w:rsidR="0039793A" w:rsidRDefault="0039793A" w:rsidP="0039793A">
      <w:pPr>
        <w:pStyle w:val="p"/>
      </w:pPr>
      <w:r w:rsidRPr="00253D98">
        <w:br w:type="page"/>
      </w:r>
      <w:r>
        <w:t>[365]</w:t>
      </w:r>
    </w:p>
    <w:p w14:paraId="694D74B6" w14:textId="77777777" w:rsidR="0039793A" w:rsidRPr="00E07116" w:rsidRDefault="0039793A" w:rsidP="0039793A">
      <w:pPr>
        <w:jc w:val="both"/>
      </w:pPr>
    </w:p>
    <w:p w14:paraId="5B835E2E" w14:textId="77777777" w:rsidR="0039793A" w:rsidRPr="00E07116" w:rsidRDefault="0039793A" w:rsidP="0039793A">
      <w:pPr>
        <w:jc w:val="both"/>
      </w:pPr>
    </w:p>
    <w:p w14:paraId="59C0F269" w14:textId="77777777" w:rsidR="0039793A" w:rsidRPr="00E07116" w:rsidRDefault="0039793A" w:rsidP="0039793A">
      <w:pPr>
        <w:jc w:val="both"/>
      </w:pPr>
    </w:p>
    <w:p w14:paraId="5A208EF8" w14:textId="77777777" w:rsidR="0039793A" w:rsidRPr="00642210" w:rsidRDefault="0039793A" w:rsidP="0039793A">
      <w:pPr>
        <w:spacing w:after="120"/>
        <w:jc w:val="center"/>
      </w:pPr>
      <w:bookmarkStart w:id="44" w:name="Pol_EU_index_noms"/>
      <w:r w:rsidRPr="00642210">
        <w:rPr>
          <w:b/>
        </w:rPr>
        <w:t>La politique étrangère des «États-Unis.</w:t>
      </w:r>
      <w:r w:rsidRPr="00642210">
        <w:rPr>
          <w:b/>
        </w:rPr>
        <w:br/>
      </w:r>
      <w:r w:rsidRPr="00642210">
        <w:rPr>
          <w:i/>
        </w:rPr>
        <w:t>Fondements, acteurs, formulation</w:t>
      </w:r>
    </w:p>
    <w:p w14:paraId="2E199E5B" w14:textId="77777777" w:rsidR="0039793A" w:rsidRPr="00384B20" w:rsidRDefault="0039793A" w:rsidP="0039793A">
      <w:pPr>
        <w:pStyle w:val="planchest"/>
      </w:pPr>
      <w:r>
        <w:t>INDEX DES NOMS CITÉS</w:t>
      </w:r>
    </w:p>
    <w:bookmarkEnd w:id="44"/>
    <w:p w14:paraId="27DCCFDE" w14:textId="77777777" w:rsidR="0039793A" w:rsidRPr="00E07116" w:rsidRDefault="0039793A" w:rsidP="0039793A">
      <w:pPr>
        <w:jc w:val="both"/>
      </w:pPr>
    </w:p>
    <w:p w14:paraId="5D1F4413" w14:textId="77777777" w:rsidR="0039793A" w:rsidRPr="00E07116" w:rsidRDefault="0039793A" w:rsidP="0039793A">
      <w:pPr>
        <w:jc w:val="both"/>
      </w:pPr>
    </w:p>
    <w:p w14:paraId="1383713C" w14:textId="77777777" w:rsidR="0039793A" w:rsidRPr="00E07116" w:rsidRDefault="0039793A" w:rsidP="0039793A">
      <w:pPr>
        <w:jc w:val="both"/>
      </w:pPr>
    </w:p>
    <w:p w14:paraId="349BC697" w14:textId="77777777" w:rsidR="0039793A" w:rsidRPr="00E07116" w:rsidRDefault="0039793A" w:rsidP="0039793A">
      <w:pPr>
        <w:jc w:val="both"/>
      </w:pPr>
    </w:p>
    <w:p w14:paraId="571E66BF" w14:textId="77777777" w:rsidR="0039793A" w:rsidRPr="00E07116" w:rsidRDefault="0039793A" w:rsidP="0039793A">
      <w:pPr>
        <w:jc w:val="both"/>
      </w:pPr>
    </w:p>
    <w:p w14:paraId="445889B3" w14:textId="77777777" w:rsidR="0039793A" w:rsidRDefault="0039793A" w:rsidP="0039793A">
      <w:pPr>
        <w:ind w:right="90" w:firstLine="0"/>
        <w:jc w:val="both"/>
        <w:rPr>
          <w:sz w:val="20"/>
        </w:rPr>
      </w:pPr>
      <w:hyperlink w:anchor="tdm" w:history="1">
        <w:r w:rsidRPr="00384B20">
          <w:rPr>
            <w:rStyle w:val="Hyperlien"/>
            <w:sz w:val="20"/>
          </w:rPr>
          <w:t>Retour à la table des matières</w:t>
        </w:r>
      </w:hyperlink>
    </w:p>
    <w:p w14:paraId="13A7697A" w14:textId="77777777" w:rsidR="0039793A" w:rsidRPr="00384B20" w:rsidRDefault="0039793A" w:rsidP="0039793A">
      <w:pPr>
        <w:ind w:right="90" w:firstLine="0"/>
        <w:jc w:val="both"/>
        <w:rPr>
          <w:sz w:val="20"/>
        </w:rPr>
      </w:pPr>
    </w:p>
    <w:p w14:paraId="188631CF" w14:textId="77777777" w:rsidR="0039793A" w:rsidRDefault="0039793A" w:rsidP="0039793A">
      <w:pPr>
        <w:ind w:left="540" w:hanging="540"/>
        <w:jc w:val="both"/>
        <w:rPr>
          <w:sz w:val="24"/>
        </w:rPr>
        <w:sectPr w:rsidR="0039793A">
          <w:pgSz w:w="12240" w:h="15840"/>
          <w:pgMar w:top="1800" w:right="1440" w:bottom="1440" w:left="2160" w:header="720" w:footer="720" w:gutter="720"/>
          <w:cols w:space="720"/>
        </w:sectPr>
      </w:pPr>
    </w:p>
    <w:p w14:paraId="6F31866C" w14:textId="77777777" w:rsidR="0039793A" w:rsidRPr="00357CFE" w:rsidRDefault="0039793A" w:rsidP="0039793A">
      <w:pPr>
        <w:ind w:left="540" w:hanging="540"/>
        <w:jc w:val="both"/>
        <w:rPr>
          <w:sz w:val="24"/>
        </w:rPr>
      </w:pPr>
      <w:r w:rsidRPr="00357CFE">
        <w:rPr>
          <w:sz w:val="24"/>
        </w:rPr>
        <w:t>Abelson (Donald) : 319</w:t>
      </w:r>
    </w:p>
    <w:p w14:paraId="59FECE3A" w14:textId="77777777" w:rsidR="0039793A" w:rsidRPr="00357CFE" w:rsidRDefault="0039793A" w:rsidP="0039793A">
      <w:pPr>
        <w:ind w:left="540" w:hanging="540"/>
        <w:jc w:val="both"/>
        <w:rPr>
          <w:sz w:val="24"/>
        </w:rPr>
      </w:pPr>
      <w:r w:rsidRPr="00357CFE">
        <w:rPr>
          <w:sz w:val="24"/>
        </w:rPr>
        <w:t>Acheson (Dean) : 233, 313</w:t>
      </w:r>
    </w:p>
    <w:p w14:paraId="1F3A5D9D" w14:textId="77777777" w:rsidR="0039793A" w:rsidRPr="00357CFE" w:rsidRDefault="0039793A" w:rsidP="0039793A">
      <w:pPr>
        <w:ind w:left="540" w:hanging="540"/>
        <w:jc w:val="both"/>
        <w:rPr>
          <w:sz w:val="24"/>
        </w:rPr>
      </w:pPr>
      <w:r w:rsidRPr="00357CFE">
        <w:rPr>
          <w:sz w:val="24"/>
        </w:rPr>
        <w:t>Adler (David Gray) : 29, 30, 35, 145, 155.</w:t>
      </w:r>
    </w:p>
    <w:p w14:paraId="1D262202" w14:textId="77777777" w:rsidR="0039793A" w:rsidRPr="00357CFE" w:rsidRDefault="0039793A" w:rsidP="0039793A">
      <w:pPr>
        <w:ind w:left="540" w:hanging="540"/>
        <w:jc w:val="both"/>
        <w:rPr>
          <w:sz w:val="24"/>
        </w:rPr>
      </w:pPr>
      <w:r w:rsidRPr="00357CFE">
        <w:rPr>
          <w:sz w:val="24"/>
        </w:rPr>
        <w:t>Albright (Madeleine) : 180, 192, 244, 262, 283, 309, 311.</w:t>
      </w:r>
    </w:p>
    <w:p w14:paraId="5AF375A0" w14:textId="77777777" w:rsidR="0039793A" w:rsidRPr="00357CFE" w:rsidRDefault="0039793A" w:rsidP="0039793A">
      <w:pPr>
        <w:ind w:left="540" w:hanging="540"/>
        <w:jc w:val="both"/>
        <w:rPr>
          <w:sz w:val="24"/>
        </w:rPr>
      </w:pPr>
      <w:r w:rsidRPr="00357CFE">
        <w:rPr>
          <w:sz w:val="24"/>
        </w:rPr>
        <w:t>Allen (Richard) : 241.</w:t>
      </w:r>
    </w:p>
    <w:p w14:paraId="48F45F3B" w14:textId="77777777" w:rsidR="0039793A" w:rsidRPr="00357CFE" w:rsidRDefault="0039793A" w:rsidP="0039793A">
      <w:pPr>
        <w:ind w:left="540" w:hanging="540"/>
        <w:jc w:val="both"/>
        <w:rPr>
          <w:sz w:val="24"/>
        </w:rPr>
      </w:pPr>
      <w:r w:rsidRPr="00357CFE">
        <w:rPr>
          <w:sz w:val="24"/>
        </w:rPr>
        <w:t>Allison (Graham) : 207, 209</w:t>
      </w:r>
    </w:p>
    <w:p w14:paraId="61F627AF" w14:textId="77777777" w:rsidR="0039793A" w:rsidRPr="00357CFE" w:rsidRDefault="0039793A" w:rsidP="0039793A">
      <w:pPr>
        <w:ind w:left="540" w:hanging="540"/>
        <w:jc w:val="both"/>
        <w:rPr>
          <w:sz w:val="24"/>
        </w:rPr>
      </w:pPr>
      <w:r w:rsidRPr="00357CFE">
        <w:rPr>
          <w:sz w:val="24"/>
        </w:rPr>
        <w:t>Andrew (Christopher) : 199</w:t>
      </w:r>
    </w:p>
    <w:p w14:paraId="3B5D48D4" w14:textId="77777777" w:rsidR="0039793A" w:rsidRPr="00357CFE" w:rsidRDefault="0039793A" w:rsidP="0039793A">
      <w:pPr>
        <w:ind w:left="540" w:hanging="540"/>
        <w:jc w:val="both"/>
        <w:rPr>
          <w:sz w:val="24"/>
        </w:rPr>
      </w:pPr>
      <w:r w:rsidRPr="00357CFE">
        <w:rPr>
          <w:sz w:val="24"/>
        </w:rPr>
        <w:t>Arafat (Yasser) : 97.</w:t>
      </w:r>
    </w:p>
    <w:p w14:paraId="04BFC835" w14:textId="77777777" w:rsidR="0039793A" w:rsidRPr="00357CFE" w:rsidRDefault="0039793A" w:rsidP="0039793A">
      <w:pPr>
        <w:ind w:left="540" w:hanging="540"/>
        <w:jc w:val="both"/>
        <w:rPr>
          <w:sz w:val="24"/>
        </w:rPr>
      </w:pPr>
      <w:r w:rsidRPr="00357CFE">
        <w:rPr>
          <w:sz w:val="24"/>
        </w:rPr>
        <w:t>Aristide (Jean-Bertrand) : 328.</w:t>
      </w:r>
    </w:p>
    <w:p w14:paraId="4C704EE7" w14:textId="77777777" w:rsidR="0039793A" w:rsidRPr="00357CFE" w:rsidRDefault="0039793A" w:rsidP="0039793A">
      <w:pPr>
        <w:ind w:left="540" w:hanging="540"/>
        <w:jc w:val="both"/>
        <w:rPr>
          <w:sz w:val="24"/>
        </w:rPr>
      </w:pPr>
      <w:r w:rsidRPr="00357CFE">
        <w:rPr>
          <w:sz w:val="24"/>
        </w:rPr>
        <w:t>Armey (Richard) : 273.</w:t>
      </w:r>
    </w:p>
    <w:p w14:paraId="0B8FCFDC" w14:textId="77777777" w:rsidR="0039793A" w:rsidRPr="00357CFE" w:rsidRDefault="0039793A" w:rsidP="0039793A">
      <w:pPr>
        <w:ind w:left="540" w:hanging="540"/>
        <w:jc w:val="both"/>
        <w:rPr>
          <w:sz w:val="24"/>
        </w:rPr>
      </w:pPr>
      <w:r w:rsidRPr="00357CFE">
        <w:rPr>
          <w:sz w:val="24"/>
        </w:rPr>
        <w:t>Armstrong (C. Michael) : 334.</w:t>
      </w:r>
    </w:p>
    <w:p w14:paraId="2725D987" w14:textId="77777777" w:rsidR="0039793A" w:rsidRPr="00357CFE" w:rsidRDefault="0039793A" w:rsidP="0039793A">
      <w:pPr>
        <w:ind w:left="540" w:hanging="540"/>
        <w:jc w:val="both"/>
        <w:rPr>
          <w:sz w:val="24"/>
        </w:rPr>
      </w:pPr>
      <w:r w:rsidRPr="00357CFE">
        <w:rPr>
          <w:sz w:val="24"/>
        </w:rPr>
        <w:t>Artaud (Denise) : 11.</w:t>
      </w:r>
    </w:p>
    <w:p w14:paraId="7216E921" w14:textId="77777777" w:rsidR="0039793A" w:rsidRPr="00357CFE" w:rsidRDefault="0039793A" w:rsidP="0039793A">
      <w:pPr>
        <w:ind w:left="540" w:hanging="540"/>
        <w:jc w:val="both"/>
        <w:rPr>
          <w:sz w:val="24"/>
        </w:rPr>
      </w:pPr>
      <w:r w:rsidRPr="00357CFE">
        <w:rPr>
          <w:sz w:val="24"/>
        </w:rPr>
        <w:t>Aspin (Les) : 243.</w:t>
      </w:r>
    </w:p>
    <w:p w14:paraId="73FA9610" w14:textId="77777777" w:rsidR="0039793A" w:rsidRPr="00357CFE" w:rsidRDefault="0039793A" w:rsidP="0039793A">
      <w:pPr>
        <w:ind w:left="540" w:hanging="540"/>
        <w:jc w:val="both"/>
        <w:rPr>
          <w:sz w:val="24"/>
        </w:rPr>
      </w:pPr>
      <w:r w:rsidRPr="00357CFE">
        <w:rPr>
          <w:sz w:val="24"/>
        </w:rPr>
        <w:t>Atwood (Brian) : 262.</w:t>
      </w:r>
    </w:p>
    <w:p w14:paraId="6F5BE669" w14:textId="77777777" w:rsidR="0039793A" w:rsidRPr="00357CFE" w:rsidRDefault="0039793A" w:rsidP="0039793A">
      <w:pPr>
        <w:ind w:left="540" w:hanging="540"/>
        <w:jc w:val="both"/>
        <w:rPr>
          <w:sz w:val="24"/>
        </w:rPr>
      </w:pPr>
      <w:r w:rsidRPr="00357CFE">
        <w:rPr>
          <w:sz w:val="24"/>
        </w:rPr>
        <w:t>Auger (Vincent) : 225, 230, 243.</w:t>
      </w:r>
    </w:p>
    <w:p w14:paraId="33A33B10" w14:textId="77777777" w:rsidR="0039793A" w:rsidRPr="00357CFE" w:rsidRDefault="0039793A" w:rsidP="0039793A">
      <w:pPr>
        <w:ind w:left="540" w:hanging="540"/>
        <w:jc w:val="both"/>
        <w:rPr>
          <w:sz w:val="24"/>
        </w:rPr>
      </w:pPr>
    </w:p>
    <w:p w14:paraId="181DA477" w14:textId="77777777" w:rsidR="0039793A" w:rsidRPr="00357CFE" w:rsidRDefault="0039793A" w:rsidP="0039793A">
      <w:pPr>
        <w:ind w:left="540" w:hanging="540"/>
        <w:jc w:val="both"/>
        <w:rPr>
          <w:sz w:val="24"/>
        </w:rPr>
      </w:pPr>
      <w:r w:rsidRPr="00357CFE">
        <w:rPr>
          <w:sz w:val="24"/>
        </w:rPr>
        <w:t>Baker (James) : 96, 180, 242.</w:t>
      </w:r>
    </w:p>
    <w:p w14:paraId="443B1FEE" w14:textId="77777777" w:rsidR="0039793A" w:rsidRPr="00357CFE" w:rsidRDefault="0039793A" w:rsidP="0039793A">
      <w:pPr>
        <w:ind w:left="540" w:hanging="540"/>
        <w:jc w:val="both"/>
        <w:rPr>
          <w:sz w:val="24"/>
        </w:rPr>
      </w:pPr>
      <w:r w:rsidRPr="00357CFE">
        <w:rPr>
          <w:sz w:val="24"/>
        </w:rPr>
        <w:t>Baker (Stewart) : 199.</w:t>
      </w:r>
    </w:p>
    <w:p w14:paraId="2B44B7DE" w14:textId="77777777" w:rsidR="0039793A" w:rsidRPr="00357CFE" w:rsidRDefault="0039793A" w:rsidP="0039793A">
      <w:pPr>
        <w:ind w:left="540" w:hanging="540"/>
        <w:jc w:val="both"/>
        <w:rPr>
          <w:sz w:val="24"/>
        </w:rPr>
      </w:pPr>
      <w:r w:rsidRPr="00357CFE">
        <w:rPr>
          <w:sz w:val="24"/>
        </w:rPr>
        <w:t>Bail (George) : 236.</w:t>
      </w:r>
    </w:p>
    <w:p w14:paraId="064E814A" w14:textId="77777777" w:rsidR="0039793A" w:rsidRPr="00357CFE" w:rsidRDefault="0039793A" w:rsidP="0039793A">
      <w:pPr>
        <w:ind w:left="540" w:hanging="540"/>
        <w:jc w:val="both"/>
        <w:rPr>
          <w:sz w:val="24"/>
        </w:rPr>
      </w:pPr>
      <w:r w:rsidRPr="00357CFE">
        <w:rPr>
          <w:sz w:val="24"/>
        </w:rPr>
        <w:t>Balthazar (Louis) : 12.</w:t>
      </w:r>
    </w:p>
    <w:p w14:paraId="0CC2ABDC" w14:textId="77777777" w:rsidR="0039793A" w:rsidRPr="00357CFE" w:rsidRDefault="0039793A" w:rsidP="0039793A">
      <w:pPr>
        <w:ind w:left="540" w:hanging="540"/>
        <w:jc w:val="both"/>
        <w:rPr>
          <w:sz w:val="24"/>
        </w:rPr>
      </w:pPr>
      <w:r w:rsidRPr="00357CFE">
        <w:rPr>
          <w:sz w:val="24"/>
        </w:rPr>
        <w:t>Barber (James David) : 165, 166, 171.</w:t>
      </w:r>
    </w:p>
    <w:p w14:paraId="2347BE56" w14:textId="77777777" w:rsidR="0039793A" w:rsidRPr="00357CFE" w:rsidRDefault="0039793A" w:rsidP="0039793A">
      <w:pPr>
        <w:ind w:left="540" w:hanging="540"/>
        <w:jc w:val="both"/>
        <w:rPr>
          <w:sz w:val="24"/>
        </w:rPr>
      </w:pPr>
      <w:r w:rsidRPr="00357CFE">
        <w:rPr>
          <w:sz w:val="24"/>
        </w:rPr>
        <w:t>Barilleaux (Ryan) : 157.</w:t>
      </w:r>
    </w:p>
    <w:p w14:paraId="125DB18D" w14:textId="77777777" w:rsidR="0039793A" w:rsidRPr="00357CFE" w:rsidRDefault="0039793A" w:rsidP="0039793A">
      <w:pPr>
        <w:ind w:left="540" w:hanging="540"/>
        <w:jc w:val="both"/>
        <w:rPr>
          <w:sz w:val="24"/>
        </w:rPr>
      </w:pPr>
      <w:r w:rsidRPr="00357CFE">
        <w:rPr>
          <w:sz w:val="24"/>
        </w:rPr>
        <w:t>Barrows (J.H.) : 77.</w:t>
      </w:r>
    </w:p>
    <w:p w14:paraId="2F712C90" w14:textId="77777777" w:rsidR="0039793A" w:rsidRPr="00357CFE" w:rsidRDefault="0039793A" w:rsidP="0039793A">
      <w:pPr>
        <w:ind w:left="540" w:hanging="540"/>
        <w:jc w:val="both"/>
        <w:rPr>
          <w:sz w:val="24"/>
        </w:rPr>
      </w:pPr>
      <w:r w:rsidRPr="00357CFE">
        <w:rPr>
          <w:sz w:val="24"/>
        </w:rPr>
        <w:t>Barsky (Robert R) : 137, 139</w:t>
      </w:r>
    </w:p>
    <w:p w14:paraId="23C76EF3" w14:textId="77777777" w:rsidR="0039793A" w:rsidRPr="00357CFE" w:rsidRDefault="0039793A" w:rsidP="0039793A">
      <w:pPr>
        <w:ind w:left="540" w:hanging="540"/>
        <w:jc w:val="both"/>
        <w:rPr>
          <w:sz w:val="24"/>
        </w:rPr>
      </w:pPr>
      <w:r w:rsidRPr="00357CFE">
        <w:rPr>
          <w:sz w:val="24"/>
        </w:rPr>
        <w:t>Barthe (Sébastien) : 12, 64, 90, 341.</w:t>
      </w:r>
    </w:p>
    <w:p w14:paraId="34F82390" w14:textId="77777777" w:rsidR="0039793A" w:rsidRPr="00357CFE" w:rsidRDefault="0039793A" w:rsidP="0039793A">
      <w:pPr>
        <w:ind w:left="540" w:hanging="540"/>
        <w:jc w:val="both"/>
        <w:rPr>
          <w:sz w:val="24"/>
        </w:rPr>
      </w:pPr>
      <w:r w:rsidRPr="00357CFE">
        <w:rPr>
          <w:sz w:val="24"/>
        </w:rPr>
        <w:t>Bayart (Jean-François) : 301.</w:t>
      </w:r>
    </w:p>
    <w:p w14:paraId="2E792980" w14:textId="77777777" w:rsidR="0039793A" w:rsidRPr="00357CFE" w:rsidRDefault="0039793A" w:rsidP="0039793A">
      <w:pPr>
        <w:ind w:left="540" w:hanging="540"/>
        <w:jc w:val="both"/>
        <w:rPr>
          <w:sz w:val="24"/>
        </w:rPr>
      </w:pPr>
      <w:r w:rsidRPr="00357CFE">
        <w:rPr>
          <w:sz w:val="24"/>
        </w:rPr>
        <w:t>Bell (Daniel) : 62.</w:t>
      </w:r>
    </w:p>
    <w:p w14:paraId="7939D356" w14:textId="77777777" w:rsidR="0039793A" w:rsidRPr="00357CFE" w:rsidRDefault="0039793A" w:rsidP="0039793A">
      <w:pPr>
        <w:ind w:left="540" w:hanging="540"/>
        <w:jc w:val="both"/>
        <w:rPr>
          <w:sz w:val="24"/>
        </w:rPr>
      </w:pPr>
      <w:r w:rsidRPr="00357CFE">
        <w:rPr>
          <w:sz w:val="24"/>
        </w:rPr>
        <w:t>Ben Laden (Oussama) : 49, 133.</w:t>
      </w:r>
    </w:p>
    <w:p w14:paraId="3A6D8127" w14:textId="77777777" w:rsidR="0039793A" w:rsidRPr="00357CFE" w:rsidRDefault="0039793A" w:rsidP="0039793A">
      <w:pPr>
        <w:ind w:left="540" w:hanging="540"/>
        <w:jc w:val="both"/>
        <w:rPr>
          <w:sz w:val="24"/>
        </w:rPr>
      </w:pPr>
      <w:r w:rsidRPr="00357CFE">
        <w:rPr>
          <w:sz w:val="24"/>
        </w:rPr>
        <w:t>Bennett (Andrew) : 279</w:t>
      </w:r>
    </w:p>
    <w:p w14:paraId="16009933" w14:textId="77777777" w:rsidR="0039793A" w:rsidRPr="00357CFE" w:rsidRDefault="0039793A" w:rsidP="0039793A">
      <w:pPr>
        <w:ind w:left="540" w:hanging="540"/>
        <w:jc w:val="both"/>
        <w:rPr>
          <w:sz w:val="24"/>
        </w:rPr>
      </w:pPr>
      <w:r w:rsidRPr="00357CFE">
        <w:rPr>
          <w:sz w:val="24"/>
        </w:rPr>
        <w:t>Berger (Samuel) : 244, 312.</w:t>
      </w:r>
    </w:p>
    <w:p w14:paraId="3001FFD0" w14:textId="77777777" w:rsidR="0039793A" w:rsidRPr="00357CFE" w:rsidRDefault="0039793A" w:rsidP="0039793A">
      <w:pPr>
        <w:ind w:left="540" w:hanging="540"/>
        <w:jc w:val="both"/>
        <w:rPr>
          <w:sz w:val="24"/>
        </w:rPr>
      </w:pPr>
      <w:r w:rsidRPr="00357CFE">
        <w:rPr>
          <w:sz w:val="24"/>
        </w:rPr>
        <w:t>Bergh (Albert Ellery) : 75.</w:t>
      </w:r>
    </w:p>
    <w:p w14:paraId="57BF9093" w14:textId="77777777" w:rsidR="0039793A" w:rsidRPr="00357CFE" w:rsidRDefault="0039793A" w:rsidP="0039793A">
      <w:pPr>
        <w:ind w:left="540" w:hanging="540"/>
        <w:jc w:val="both"/>
        <w:rPr>
          <w:sz w:val="24"/>
        </w:rPr>
      </w:pPr>
      <w:r w:rsidRPr="00357CFE">
        <w:rPr>
          <w:sz w:val="24"/>
        </w:rPr>
        <w:t>Bergsten (C. Fred) : 105, 133, 134, 135.</w:t>
      </w:r>
    </w:p>
    <w:p w14:paraId="6B1A3237" w14:textId="77777777" w:rsidR="0039793A" w:rsidRPr="00357CFE" w:rsidRDefault="0039793A" w:rsidP="0039793A">
      <w:pPr>
        <w:ind w:left="540" w:hanging="540"/>
        <w:jc w:val="both"/>
        <w:rPr>
          <w:sz w:val="24"/>
        </w:rPr>
      </w:pPr>
      <w:r w:rsidRPr="00357CFE">
        <w:rPr>
          <w:sz w:val="24"/>
        </w:rPr>
        <w:t>Berkowitz (Bruce) : 199</w:t>
      </w:r>
    </w:p>
    <w:p w14:paraId="67054783" w14:textId="77777777" w:rsidR="0039793A" w:rsidRPr="00357CFE" w:rsidRDefault="0039793A" w:rsidP="0039793A">
      <w:pPr>
        <w:ind w:left="540" w:hanging="540"/>
        <w:jc w:val="both"/>
        <w:rPr>
          <w:sz w:val="24"/>
        </w:rPr>
      </w:pPr>
      <w:r w:rsidRPr="00357CFE">
        <w:rPr>
          <w:sz w:val="24"/>
        </w:rPr>
        <w:t>Berman (Morris) : 69.</w:t>
      </w:r>
    </w:p>
    <w:p w14:paraId="50955D35" w14:textId="77777777" w:rsidR="0039793A" w:rsidRPr="00357CFE" w:rsidRDefault="0039793A" w:rsidP="0039793A">
      <w:pPr>
        <w:ind w:left="540" w:hanging="540"/>
        <w:jc w:val="both"/>
        <w:rPr>
          <w:sz w:val="24"/>
        </w:rPr>
      </w:pPr>
      <w:r w:rsidRPr="00357CFE">
        <w:rPr>
          <w:sz w:val="24"/>
        </w:rPr>
        <w:t>Berstein (Serge) : 301.</w:t>
      </w:r>
    </w:p>
    <w:p w14:paraId="0D259452" w14:textId="77777777" w:rsidR="0039793A" w:rsidRPr="00357CFE" w:rsidRDefault="0039793A" w:rsidP="0039793A">
      <w:pPr>
        <w:ind w:left="540" w:hanging="540"/>
        <w:jc w:val="both"/>
        <w:rPr>
          <w:sz w:val="24"/>
        </w:rPr>
      </w:pPr>
      <w:r w:rsidRPr="00357CFE">
        <w:rPr>
          <w:sz w:val="24"/>
        </w:rPr>
        <w:t>Betts (Richard) : 193, 194.</w:t>
      </w:r>
    </w:p>
    <w:p w14:paraId="75B7CE00" w14:textId="77777777" w:rsidR="0039793A" w:rsidRPr="00357CFE" w:rsidRDefault="0039793A" w:rsidP="0039793A">
      <w:pPr>
        <w:ind w:left="540" w:hanging="540"/>
        <w:jc w:val="both"/>
        <w:rPr>
          <w:sz w:val="24"/>
        </w:rPr>
      </w:pPr>
      <w:r w:rsidRPr="00357CFE">
        <w:rPr>
          <w:sz w:val="24"/>
        </w:rPr>
        <w:t>Bilder (Richard B.) : 21.</w:t>
      </w:r>
    </w:p>
    <w:p w14:paraId="2766C964" w14:textId="77777777" w:rsidR="0039793A" w:rsidRPr="00357CFE" w:rsidRDefault="0039793A" w:rsidP="0039793A">
      <w:pPr>
        <w:ind w:left="540" w:hanging="540"/>
        <w:jc w:val="both"/>
        <w:rPr>
          <w:sz w:val="24"/>
        </w:rPr>
      </w:pPr>
      <w:r w:rsidRPr="00357CFE">
        <w:rPr>
          <w:sz w:val="24"/>
        </w:rPr>
        <w:t>Birnbaum (Jeffrey H.) : 326, 336.</w:t>
      </w:r>
    </w:p>
    <w:p w14:paraId="2D48D0AE" w14:textId="77777777" w:rsidR="0039793A" w:rsidRPr="00357CFE" w:rsidRDefault="0039793A" w:rsidP="0039793A">
      <w:pPr>
        <w:ind w:left="540" w:hanging="540"/>
        <w:jc w:val="both"/>
        <w:rPr>
          <w:sz w:val="24"/>
        </w:rPr>
      </w:pPr>
      <w:r w:rsidRPr="00357CFE">
        <w:rPr>
          <w:sz w:val="24"/>
        </w:rPr>
        <w:t>Blessing (Lee) : 42.</w:t>
      </w:r>
    </w:p>
    <w:p w14:paraId="5D7A6466" w14:textId="77777777" w:rsidR="0039793A" w:rsidRPr="00357CFE" w:rsidRDefault="0039793A" w:rsidP="0039793A">
      <w:pPr>
        <w:ind w:left="540" w:hanging="540"/>
        <w:jc w:val="both"/>
        <w:rPr>
          <w:sz w:val="24"/>
        </w:rPr>
      </w:pPr>
      <w:r w:rsidRPr="00357CFE">
        <w:rPr>
          <w:sz w:val="24"/>
        </w:rPr>
        <w:t>Blin (Arnaud) : 53, 58.</w:t>
      </w:r>
    </w:p>
    <w:p w14:paraId="3B6A77F1" w14:textId="77777777" w:rsidR="0039793A" w:rsidRPr="00357CFE" w:rsidRDefault="0039793A" w:rsidP="0039793A">
      <w:pPr>
        <w:ind w:left="540" w:hanging="540"/>
        <w:jc w:val="both"/>
        <w:rPr>
          <w:sz w:val="24"/>
        </w:rPr>
      </w:pPr>
      <w:r w:rsidRPr="00357CFE">
        <w:rPr>
          <w:sz w:val="24"/>
        </w:rPr>
        <w:t>Blinken (Antony) : 32.</w:t>
      </w:r>
    </w:p>
    <w:p w14:paraId="7E883F0D" w14:textId="77777777" w:rsidR="0039793A" w:rsidRPr="00357CFE" w:rsidRDefault="0039793A" w:rsidP="0039793A">
      <w:pPr>
        <w:ind w:left="540" w:hanging="540"/>
        <w:jc w:val="both"/>
        <w:rPr>
          <w:sz w:val="24"/>
        </w:rPr>
      </w:pPr>
      <w:r w:rsidRPr="00357CFE">
        <w:rPr>
          <w:sz w:val="24"/>
        </w:rPr>
        <w:t>Blum (John M.) : 78.</w:t>
      </w:r>
    </w:p>
    <w:p w14:paraId="4BE7C225" w14:textId="77777777" w:rsidR="0039793A" w:rsidRPr="00357CFE" w:rsidRDefault="0039793A" w:rsidP="0039793A">
      <w:pPr>
        <w:ind w:left="540" w:hanging="540"/>
        <w:jc w:val="both"/>
        <w:rPr>
          <w:sz w:val="24"/>
        </w:rPr>
      </w:pPr>
      <w:r w:rsidRPr="00357CFE">
        <w:rPr>
          <w:sz w:val="24"/>
        </w:rPr>
        <w:t>Bock (Joseph) : 232.</w:t>
      </w:r>
    </w:p>
    <w:p w14:paraId="150FD8FD" w14:textId="77777777" w:rsidR="0039793A" w:rsidRPr="00357CFE" w:rsidRDefault="0039793A" w:rsidP="0039793A">
      <w:pPr>
        <w:ind w:left="540" w:hanging="540"/>
        <w:jc w:val="both"/>
        <w:rPr>
          <w:sz w:val="24"/>
        </w:rPr>
      </w:pPr>
      <w:r w:rsidRPr="00357CFE">
        <w:rPr>
          <w:sz w:val="24"/>
        </w:rPr>
        <w:t>Boyer (Mark) : 9, 147, 158, 160, 161, 206, 225.</w:t>
      </w:r>
    </w:p>
    <w:p w14:paraId="1C0429B2" w14:textId="77777777" w:rsidR="0039793A" w:rsidRPr="00357CFE" w:rsidRDefault="0039793A" w:rsidP="0039793A">
      <w:pPr>
        <w:ind w:left="540" w:hanging="540"/>
        <w:jc w:val="both"/>
        <w:rPr>
          <w:sz w:val="24"/>
        </w:rPr>
      </w:pPr>
      <w:r w:rsidRPr="00357CFE">
        <w:rPr>
          <w:sz w:val="24"/>
        </w:rPr>
        <w:t>Boylan (Timothy) : 153</w:t>
      </w:r>
    </w:p>
    <w:p w14:paraId="66C04596" w14:textId="77777777" w:rsidR="0039793A" w:rsidRPr="00357CFE" w:rsidRDefault="0039793A" w:rsidP="0039793A">
      <w:pPr>
        <w:ind w:left="540" w:hanging="540"/>
        <w:jc w:val="both"/>
        <w:rPr>
          <w:sz w:val="24"/>
        </w:rPr>
      </w:pPr>
      <w:r w:rsidRPr="00357CFE">
        <w:rPr>
          <w:sz w:val="24"/>
        </w:rPr>
        <w:t>Bracken (Paul) : 202.</w:t>
      </w:r>
    </w:p>
    <w:p w14:paraId="793A86F9" w14:textId="77777777" w:rsidR="0039793A" w:rsidRPr="00357CFE" w:rsidRDefault="0039793A" w:rsidP="0039793A">
      <w:pPr>
        <w:ind w:left="540" w:hanging="540"/>
        <w:jc w:val="both"/>
        <w:rPr>
          <w:sz w:val="24"/>
        </w:rPr>
      </w:pPr>
      <w:r w:rsidRPr="00357CFE">
        <w:rPr>
          <w:sz w:val="24"/>
        </w:rPr>
        <w:t>Brinkley (Douglas) : 213.</w:t>
      </w:r>
    </w:p>
    <w:p w14:paraId="5558E57C" w14:textId="77777777" w:rsidR="0039793A" w:rsidRPr="00357CFE" w:rsidRDefault="0039793A" w:rsidP="0039793A">
      <w:pPr>
        <w:ind w:left="540" w:hanging="540"/>
        <w:jc w:val="both"/>
        <w:rPr>
          <w:sz w:val="24"/>
        </w:rPr>
      </w:pPr>
      <w:r w:rsidRPr="00357CFE">
        <w:rPr>
          <w:sz w:val="24"/>
        </w:rPr>
        <w:t>Brooks (Stephen G.) : 117.</w:t>
      </w:r>
    </w:p>
    <w:p w14:paraId="4E689698" w14:textId="77777777" w:rsidR="0039793A" w:rsidRPr="00357CFE" w:rsidRDefault="0039793A" w:rsidP="0039793A">
      <w:pPr>
        <w:ind w:left="540" w:hanging="540"/>
        <w:jc w:val="both"/>
        <w:rPr>
          <w:sz w:val="24"/>
        </w:rPr>
      </w:pPr>
      <w:r w:rsidRPr="00357CFE">
        <w:rPr>
          <w:sz w:val="24"/>
        </w:rPr>
        <w:t>Brown (Eugene) : 147, 177, 180, 184, 204, 225, 232.</w:t>
      </w:r>
    </w:p>
    <w:p w14:paraId="1D66292D" w14:textId="77777777" w:rsidR="0039793A" w:rsidRPr="00357CFE" w:rsidRDefault="0039793A" w:rsidP="0039793A">
      <w:pPr>
        <w:ind w:left="540" w:hanging="540"/>
        <w:jc w:val="both"/>
        <w:rPr>
          <w:sz w:val="24"/>
        </w:rPr>
      </w:pPr>
      <w:r w:rsidRPr="00357CFE">
        <w:rPr>
          <w:sz w:val="24"/>
        </w:rPr>
        <w:t>Brown (Harold) : 189-</w:t>
      </w:r>
    </w:p>
    <w:p w14:paraId="734662A9" w14:textId="77777777" w:rsidR="0039793A" w:rsidRPr="00357CFE" w:rsidRDefault="0039793A" w:rsidP="0039793A">
      <w:pPr>
        <w:ind w:left="540" w:hanging="540"/>
        <w:jc w:val="both"/>
        <w:rPr>
          <w:sz w:val="24"/>
        </w:rPr>
      </w:pPr>
      <w:r w:rsidRPr="00357CFE">
        <w:rPr>
          <w:sz w:val="24"/>
        </w:rPr>
        <w:t>Bryan (William Jennings) : 77, 83.</w:t>
      </w:r>
    </w:p>
    <w:p w14:paraId="6E43D9E3" w14:textId="77777777" w:rsidR="0039793A" w:rsidRPr="00357CFE" w:rsidRDefault="0039793A" w:rsidP="0039793A">
      <w:pPr>
        <w:ind w:left="540" w:hanging="540"/>
        <w:jc w:val="both"/>
        <w:rPr>
          <w:sz w:val="24"/>
        </w:rPr>
      </w:pPr>
      <w:r w:rsidRPr="00357CFE">
        <w:rPr>
          <w:sz w:val="24"/>
        </w:rPr>
        <w:t>Brzezinski (Zbigniew) : 224, 225, 226, 228, 239, 240, 242, 340.</w:t>
      </w:r>
    </w:p>
    <w:p w14:paraId="3C0ADA44" w14:textId="77777777" w:rsidR="0039793A" w:rsidRPr="00357CFE" w:rsidRDefault="0039793A" w:rsidP="0039793A">
      <w:pPr>
        <w:ind w:left="540" w:hanging="540"/>
        <w:jc w:val="both"/>
        <w:rPr>
          <w:sz w:val="24"/>
        </w:rPr>
      </w:pPr>
      <w:r w:rsidRPr="00357CFE">
        <w:rPr>
          <w:sz w:val="24"/>
        </w:rPr>
        <w:t>Buchanan (Pat) : 81, 82, 129</w:t>
      </w:r>
    </w:p>
    <w:p w14:paraId="076445D6" w14:textId="77777777" w:rsidR="0039793A" w:rsidRPr="00357CFE" w:rsidRDefault="0039793A" w:rsidP="0039793A">
      <w:pPr>
        <w:ind w:left="540" w:hanging="540"/>
        <w:jc w:val="both"/>
        <w:rPr>
          <w:sz w:val="24"/>
        </w:rPr>
      </w:pPr>
      <w:r w:rsidRPr="00357CFE">
        <w:rPr>
          <w:sz w:val="24"/>
        </w:rPr>
        <w:t xml:space="preserve"> Buck (L</w:t>
      </w:r>
      <w:r w:rsidRPr="00357CFE">
        <w:rPr>
          <w:sz w:val="24"/>
        </w:rPr>
        <w:t>a</w:t>
      </w:r>
      <w:r w:rsidRPr="00357CFE">
        <w:rPr>
          <w:sz w:val="24"/>
        </w:rPr>
        <w:t>mes) : 215.</w:t>
      </w:r>
    </w:p>
    <w:p w14:paraId="2CD7E222" w14:textId="77777777" w:rsidR="0039793A" w:rsidRPr="00357CFE" w:rsidRDefault="0039793A" w:rsidP="0039793A">
      <w:pPr>
        <w:ind w:left="540" w:hanging="540"/>
        <w:jc w:val="both"/>
        <w:rPr>
          <w:sz w:val="24"/>
        </w:rPr>
      </w:pPr>
      <w:r w:rsidRPr="00357CFE">
        <w:rPr>
          <w:sz w:val="24"/>
        </w:rPr>
        <w:t>Bundy (McGeorge) : 224, 225, 226, 227, 229, 235, 236, 237.</w:t>
      </w:r>
    </w:p>
    <w:p w14:paraId="710AFF73" w14:textId="77777777" w:rsidR="0039793A" w:rsidRPr="00357CFE" w:rsidRDefault="0039793A" w:rsidP="0039793A">
      <w:pPr>
        <w:ind w:left="540" w:hanging="540"/>
        <w:jc w:val="both"/>
        <w:rPr>
          <w:sz w:val="24"/>
        </w:rPr>
      </w:pPr>
      <w:r w:rsidRPr="00357CFE">
        <w:rPr>
          <w:sz w:val="24"/>
        </w:rPr>
        <w:t>Bush (George H.) : 32, 33, 68, 148, 151, 156, 158, 162, 163, 164, 165, 167, 168, 170, 174, 180, 194, 221, 222, 242, 245, 252, 303, 334, 347.</w:t>
      </w:r>
    </w:p>
    <w:p w14:paraId="4DF6DB75" w14:textId="77777777" w:rsidR="0039793A" w:rsidRPr="00357CFE" w:rsidRDefault="0039793A" w:rsidP="0039793A">
      <w:pPr>
        <w:ind w:left="540" w:hanging="540"/>
        <w:jc w:val="both"/>
        <w:rPr>
          <w:sz w:val="24"/>
        </w:rPr>
      </w:pPr>
      <w:r w:rsidRPr="00357CFE">
        <w:rPr>
          <w:sz w:val="24"/>
        </w:rPr>
        <w:t>Bush (George W.) : 35, 45, 46, 47, 49, 60, 64, 69, 76, 82, 90, 96, 103, 106, 112, 113, 114, 121, 135, 139, 149, 154, 156, 158, 162, 163, 164, 166, 168, 170, 174, 180, 189, 199, 203, 225, 226, 232, 244, 245, 265, 277, 279, 282, 283, 292, 293, 294, 300, 307, 308, 310, 311, 312, 315, 331, 332, 337, 341, 346, 347, 348.</w:t>
      </w:r>
    </w:p>
    <w:p w14:paraId="124DFAF0" w14:textId="77777777" w:rsidR="0039793A" w:rsidRPr="00357CFE" w:rsidRDefault="0039793A" w:rsidP="0039793A">
      <w:pPr>
        <w:ind w:left="540" w:hanging="540"/>
        <w:jc w:val="both"/>
        <w:rPr>
          <w:sz w:val="24"/>
        </w:rPr>
      </w:pPr>
      <w:r w:rsidRPr="00357CFE">
        <w:rPr>
          <w:sz w:val="24"/>
        </w:rPr>
        <w:t>Bymes (James) : 233.</w:t>
      </w:r>
    </w:p>
    <w:p w14:paraId="54A07E16" w14:textId="77777777" w:rsidR="0039793A" w:rsidRPr="00357CFE" w:rsidRDefault="0039793A" w:rsidP="0039793A">
      <w:pPr>
        <w:ind w:left="540" w:hanging="540"/>
        <w:jc w:val="both"/>
        <w:rPr>
          <w:sz w:val="24"/>
        </w:rPr>
      </w:pPr>
    </w:p>
    <w:p w14:paraId="2C11F4F9" w14:textId="77777777" w:rsidR="0039793A" w:rsidRPr="00357CFE" w:rsidRDefault="0039793A" w:rsidP="0039793A">
      <w:pPr>
        <w:ind w:left="540" w:hanging="540"/>
        <w:jc w:val="both"/>
        <w:rPr>
          <w:sz w:val="24"/>
        </w:rPr>
      </w:pPr>
      <w:r w:rsidRPr="00357CFE">
        <w:rPr>
          <w:sz w:val="24"/>
        </w:rPr>
        <w:t>Campbell (David) : 43.</w:t>
      </w:r>
    </w:p>
    <w:p w14:paraId="47EFCC46" w14:textId="77777777" w:rsidR="0039793A" w:rsidRPr="00357CFE" w:rsidRDefault="0039793A" w:rsidP="0039793A">
      <w:pPr>
        <w:ind w:left="540" w:hanging="540"/>
        <w:jc w:val="both"/>
        <w:rPr>
          <w:sz w:val="24"/>
        </w:rPr>
      </w:pPr>
      <w:r w:rsidRPr="00357CFE">
        <w:rPr>
          <w:sz w:val="24"/>
        </w:rPr>
        <w:t>Caraley (Demetrios) : 213.</w:t>
      </w:r>
    </w:p>
    <w:p w14:paraId="557C6EC6" w14:textId="77777777" w:rsidR="0039793A" w:rsidRPr="00357CFE" w:rsidRDefault="0039793A" w:rsidP="0039793A">
      <w:pPr>
        <w:ind w:left="540" w:hanging="540"/>
        <w:jc w:val="both"/>
        <w:rPr>
          <w:sz w:val="24"/>
        </w:rPr>
      </w:pPr>
      <w:r w:rsidRPr="00357CFE">
        <w:rPr>
          <w:sz w:val="24"/>
        </w:rPr>
        <w:t>Carlucci (Frank) : 241.</w:t>
      </w:r>
    </w:p>
    <w:p w14:paraId="21B27780" w14:textId="77777777" w:rsidR="0039793A" w:rsidRPr="00357CFE" w:rsidRDefault="0039793A" w:rsidP="0039793A">
      <w:pPr>
        <w:ind w:left="540" w:hanging="540"/>
        <w:jc w:val="both"/>
        <w:rPr>
          <w:sz w:val="24"/>
        </w:rPr>
      </w:pPr>
      <w:r w:rsidRPr="00357CFE">
        <w:rPr>
          <w:sz w:val="24"/>
        </w:rPr>
        <w:t>Caro (Robert) : 255.</w:t>
      </w:r>
    </w:p>
    <w:p w14:paraId="569F2D9C" w14:textId="77777777" w:rsidR="0039793A" w:rsidRPr="00357CFE" w:rsidRDefault="0039793A" w:rsidP="0039793A">
      <w:pPr>
        <w:ind w:left="540" w:hanging="540"/>
        <w:jc w:val="both"/>
        <w:rPr>
          <w:sz w:val="24"/>
        </w:rPr>
      </w:pPr>
      <w:r w:rsidRPr="00357CFE">
        <w:rPr>
          <w:sz w:val="24"/>
        </w:rPr>
        <w:t>Carter (James) : 30, 32, 45, 46, 47, 67, 69, 75, 87, 88, 94, 95, 96, 151, 158, 161, 162, 164, 166, 167, 168, 169, 170, 172, 180, 189, 195, 208, 220, [366] 222, 232, 239, 240, 243, 244, 245, 254, 286, 308.</w:t>
      </w:r>
    </w:p>
    <w:p w14:paraId="33A597C8" w14:textId="77777777" w:rsidR="0039793A" w:rsidRPr="00357CFE" w:rsidRDefault="0039793A" w:rsidP="0039793A">
      <w:pPr>
        <w:ind w:left="540" w:hanging="540"/>
        <w:jc w:val="both"/>
        <w:rPr>
          <w:sz w:val="24"/>
        </w:rPr>
      </w:pPr>
      <w:r w:rsidRPr="00357CFE">
        <w:rPr>
          <w:sz w:val="24"/>
        </w:rPr>
        <w:t>Carter (Ralph) : 9, 147, 221, 224, 225, 240, 242, 243, 261, 266, 270, 275, 280.</w:t>
      </w:r>
    </w:p>
    <w:p w14:paraId="72BCB2E3" w14:textId="77777777" w:rsidR="0039793A" w:rsidRPr="00357CFE" w:rsidRDefault="0039793A" w:rsidP="0039793A">
      <w:pPr>
        <w:ind w:left="540" w:hanging="540"/>
        <w:jc w:val="both"/>
        <w:rPr>
          <w:sz w:val="24"/>
        </w:rPr>
      </w:pPr>
      <w:r w:rsidRPr="00357CFE">
        <w:rPr>
          <w:sz w:val="24"/>
        </w:rPr>
        <w:t>Case (Clifford) : 31.</w:t>
      </w:r>
    </w:p>
    <w:p w14:paraId="4C27A97F" w14:textId="77777777" w:rsidR="0039793A" w:rsidRPr="00357CFE" w:rsidRDefault="0039793A" w:rsidP="0039793A">
      <w:pPr>
        <w:ind w:left="540" w:hanging="540"/>
        <w:jc w:val="both"/>
        <w:rPr>
          <w:sz w:val="24"/>
        </w:rPr>
      </w:pPr>
      <w:r w:rsidRPr="00357CFE">
        <w:rPr>
          <w:sz w:val="24"/>
        </w:rPr>
        <w:t>Casey (W.) : 195.</w:t>
      </w:r>
    </w:p>
    <w:p w14:paraId="289E50DE" w14:textId="77777777" w:rsidR="0039793A" w:rsidRPr="00357CFE" w:rsidRDefault="0039793A" w:rsidP="0039793A">
      <w:pPr>
        <w:ind w:left="540" w:hanging="540"/>
        <w:jc w:val="both"/>
        <w:rPr>
          <w:sz w:val="24"/>
        </w:rPr>
      </w:pPr>
      <w:r w:rsidRPr="00357CFE">
        <w:rPr>
          <w:sz w:val="24"/>
        </w:rPr>
        <w:t>Castlereagh (Henry) : 93</w:t>
      </w:r>
    </w:p>
    <w:p w14:paraId="5C91256B" w14:textId="77777777" w:rsidR="0039793A" w:rsidRPr="00357CFE" w:rsidRDefault="0039793A" w:rsidP="0039793A">
      <w:pPr>
        <w:ind w:left="540" w:hanging="540"/>
        <w:jc w:val="both"/>
        <w:rPr>
          <w:sz w:val="24"/>
        </w:rPr>
      </w:pPr>
      <w:r w:rsidRPr="00357CFE">
        <w:rPr>
          <w:sz w:val="24"/>
        </w:rPr>
        <w:t>Chaliand (Gérard) : 53, 58.</w:t>
      </w:r>
    </w:p>
    <w:p w14:paraId="475572BB" w14:textId="77777777" w:rsidR="0039793A" w:rsidRPr="00357CFE" w:rsidRDefault="0039793A" w:rsidP="0039793A">
      <w:pPr>
        <w:ind w:left="540" w:hanging="540"/>
        <w:jc w:val="both"/>
        <w:rPr>
          <w:sz w:val="24"/>
        </w:rPr>
      </w:pPr>
      <w:r w:rsidRPr="00357CFE">
        <w:rPr>
          <w:sz w:val="24"/>
        </w:rPr>
        <w:t>Chandra (Nayan) : 202.</w:t>
      </w:r>
    </w:p>
    <w:p w14:paraId="341F4940" w14:textId="77777777" w:rsidR="0039793A" w:rsidRPr="00357CFE" w:rsidRDefault="0039793A" w:rsidP="0039793A">
      <w:pPr>
        <w:ind w:left="540" w:hanging="540"/>
        <w:jc w:val="both"/>
        <w:rPr>
          <w:sz w:val="24"/>
        </w:rPr>
      </w:pPr>
      <w:r w:rsidRPr="00357CFE">
        <w:rPr>
          <w:sz w:val="24"/>
        </w:rPr>
        <w:t>Cheney (Richard) : 103, 244, 348, 349.</w:t>
      </w:r>
    </w:p>
    <w:p w14:paraId="2F49E382" w14:textId="77777777" w:rsidR="0039793A" w:rsidRPr="00357CFE" w:rsidRDefault="0039793A" w:rsidP="0039793A">
      <w:pPr>
        <w:ind w:left="540" w:hanging="540"/>
        <w:jc w:val="both"/>
        <w:rPr>
          <w:sz w:val="24"/>
        </w:rPr>
      </w:pPr>
      <w:r w:rsidRPr="00357CFE">
        <w:rPr>
          <w:sz w:val="24"/>
        </w:rPr>
        <w:t>Chomsky (Noam) : 105, 136, 137, 138.</w:t>
      </w:r>
    </w:p>
    <w:p w14:paraId="40A9C21A" w14:textId="77777777" w:rsidR="0039793A" w:rsidRPr="00357CFE" w:rsidRDefault="0039793A" w:rsidP="0039793A">
      <w:pPr>
        <w:ind w:left="540" w:hanging="540"/>
        <w:jc w:val="both"/>
        <w:rPr>
          <w:sz w:val="24"/>
        </w:rPr>
      </w:pPr>
      <w:r w:rsidRPr="00357CFE">
        <w:rPr>
          <w:sz w:val="24"/>
        </w:rPr>
        <w:t>Christopher (Warren) : 180, 199, 243, 244.</w:t>
      </w:r>
    </w:p>
    <w:p w14:paraId="4B882B0C" w14:textId="77777777" w:rsidR="0039793A" w:rsidRPr="00357CFE" w:rsidRDefault="0039793A" w:rsidP="0039793A">
      <w:pPr>
        <w:ind w:left="540" w:hanging="540"/>
        <w:jc w:val="both"/>
        <w:rPr>
          <w:sz w:val="24"/>
        </w:rPr>
      </w:pPr>
      <w:r w:rsidRPr="00357CFE">
        <w:rPr>
          <w:sz w:val="24"/>
        </w:rPr>
        <w:t>Church (Frank) : 32, 33</w:t>
      </w:r>
    </w:p>
    <w:p w14:paraId="41E84FC3" w14:textId="77777777" w:rsidR="0039793A" w:rsidRPr="00357CFE" w:rsidRDefault="0039793A" w:rsidP="0039793A">
      <w:pPr>
        <w:ind w:left="540" w:hanging="540"/>
        <w:jc w:val="both"/>
        <w:rPr>
          <w:sz w:val="24"/>
        </w:rPr>
      </w:pPr>
      <w:r w:rsidRPr="00357CFE">
        <w:rPr>
          <w:sz w:val="24"/>
        </w:rPr>
        <w:t>Churchill (Winston) : 86.</w:t>
      </w:r>
    </w:p>
    <w:p w14:paraId="0848D4F8" w14:textId="77777777" w:rsidR="0039793A" w:rsidRPr="00357CFE" w:rsidRDefault="0039793A" w:rsidP="0039793A">
      <w:pPr>
        <w:ind w:left="540" w:hanging="540"/>
        <w:jc w:val="both"/>
        <w:rPr>
          <w:sz w:val="24"/>
        </w:rPr>
      </w:pPr>
      <w:r w:rsidRPr="00357CFE">
        <w:rPr>
          <w:sz w:val="24"/>
        </w:rPr>
        <w:t>Clark (William) : 225, 233, 241.</w:t>
      </w:r>
    </w:p>
    <w:p w14:paraId="6D1EDB7F" w14:textId="77777777" w:rsidR="0039793A" w:rsidRPr="00357CFE" w:rsidRDefault="0039793A" w:rsidP="0039793A">
      <w:pPr>
        <w:ind w:left="540" w:hanging="540"/>
        <w:jc w:val="both"/>
        <w:rPr>
          <w:sz w:val="24"/>
        </w:rPr>
      </w:pPr>
      <w:r w:rsidRPr="00357CFE">
        <w:rPr>
          <w:sz w:val="24"/>
        </w:rPr>
        <w:t>Clifford (Clark) : 233.</w:t>
      </w:r>
    </w:p>
    <w:p w14:paraId="53D79A2F" w14:textId="77777777" w:rsidR="0039793A" w:rsidRPr="00357CFE" w:rsidRDefault="0039793A" w:rsidP="0039793A">
      <w:pPr>
        <w:ind w:left="540" w:hanging="540"/>
        <w:jc w:val="both"/>
        <w:rPr>
          <w:sz w:val="24"/>
        </w:rPr>
      </w:pPr>
      <w:r w:rsidRPr="00357CFE">
        <w:rPr>
          <w:sz w:val="24"/>
        </w:rPr>
        <w:t>Clinton (William J.) : 32, 33, 38, 46, 47, 68, 69, 76, 82, 88, 96, 97, 98, 99, 106, 121, 134, 139, 144, 145, 151, 154, 155, 156, 158, 159, 165, 167, 168, 170, 171, 174, 180, 184, 195, 199, 205, 208, 221, 232, 243, 244, 252, 253, 254, 257, 258, 259, 261, 263, 264, 266, 276, 278, 281, 282, 283, 290, 307, 308, 315, 323, 324, 327, 331, 332, 334, 336, 341, 342, 346, 347, 350.</w:t>
      </w:r>
    </w:p>
    <w:p w14:paraId="1142F171" w14:textId="77777777" w:rsidR="0039793A" w:rsidRPr="00357CFE" w:rsidRDefault="0039793A" w:rsidP="0039793A">
      <w:pPr>
        <w:ind w:left="540" w:hanging="540"/>
        <w:jc w:val="both"/>
        <w:rPr>
          <w:sz w:val="24"/>
        </w:rPr>
      </w:pPr>
      <w:r w:rsidRPr="00357CFE">
        <w:rPr>
          <w:sz w:val="24"/>
        </w:rPr>
        <w:t>Cohen (Bernard) : 10, 11.</w:t>
      </w:r>
    </w:p>
    <w:p w14:paraId="503532E6" w14:textId="77777777" w:rsidR="0039793A" w:rsidRPr="00357CFE" w:rsidRDefault="0039793A" w:rsidP="0039793A">
      <w:pPr>
        <w:ind w:left="540" w:hanging="540"/>
        <w:jc w:val="both"/>
        <w:rPr>
          <w:sz w:val="24"/>
        </w:rPr>
      </w:pPr>
      <w:r w:rsidRPr="00357CFE">
        <w:rPr>
          <w:sz w:val="24"/>
        </w:rPr>
        <w:t>Cohen (Eliot) : 103- Cohen (Richard E.) : 273.</w:t>
      </w:r>
    </w:p>
    <w:p w14:paraId="23EE79E6" w14:textId="77777777" w:rsidR="0039793A" w:rsidRPr="00357CFE" w:rsidRDefault="0039793A" w:rsidP="0039793A">
      <w:pPr>
        <w:ind w:left="540" w:hanging="540"/>
        <w:jc w:val="both"/>
        <w:rPr>
          <w:sz w:val="24"/>
        </w:rPr>
      </w:pPr>
      <w:r w:rsidRPr="00357CFE">
        <w:rPr>
          <w:sz w:val="24"/>
        </w:rPr>
        <w:t>Cohen (William) : 244, 311.</w:t>
      </w:r>
    </w:p>
    <w:p w14:paraId="0EC725F4" w14:textId="77777777" w:rsidR="0039793A" w:rsidRPr="00357CFE" w:rsidRDefault="0039793A" w:rsidP="0039793A">
      <w:pPr>
        <w:ind w:left="540" w:hanging="540"/>
        <w:jc w:val="both"/>
        <w:rPr>
          <w:sz w:val="24"/>
        </w:rPr>
      </w:pPr>
      <w:r w:rsidRPr="00357CFE">
        <w:rPr>
          <w:sz w:val="24"/>
        </w:rPr>
        <w:t>Coletta (Paolo E.) : 83.</w:t>
      </w:r>
    </w:p>
    <w:p w14:paraId="0907BA5D" w14:textId="77777777" w:rsidR="0039793A" w:rsidRPr="00357CFE" w:rsidRDefault="0039793A" w:rsidP="0039793A">
      <w:pPr>
        <w:ind w:left="540" w:hanging="540"/>
        <w:jc w:val="both"/>
        <w:rPr>
          <w:sz w:val="24"/>
        </w:rPr>
      </w:pPr>
      <w:r w:rsidRPr="00357CFE">
        <w:rPr>
          <w:sz w:val="24"/>
        </w:rPr>
        <w:t>Collier (Ellen) : 268.</w:t>
      </w:r>
    </w:p>
    <w:p w14:paraId="08854885" w14:textId="77777777" w:rsidR="0039793A" w:rsidRPr="00357CFE" w:rsidRDefault="0039793A" w:rsidP="0039793A">
      <w:pPr>
        <w:ind w:left="540" w:hanging="540"/>
        <w:jc w:val="both"/>
        <w:rPr>
          <w:sz w:val="24"/>
        </w:rPr>
      </w:pPr>
      <w:r w:rsidRPr="00357CFE">
        <w:rPr>
          <w:sz w:val="24"/>
        </w:rPr>
        <w:t>Commager (Henry Steele) : 31, 52, 74, 85</w:t>
      </w:r>
    </w:p>
    <w:p w14:paraId="7C3BDBC6" w14:textId="77777777" w:rsidR="0039793A" w:rsidRPr="00357CFE" w:rsidRDefault="0039793A" w:rsidP="0039793A">
      <w:pPr>
        <w:ind w:left="540" w:hanging="540"/>
        <w:jc w:val="both"/>
        <w:rPr>
          <w:sz w:val="24"/>
        </w:rPr>
      </w:pPr>
      <w:r w:rsidRPr="00357CFE">
        <w:rPr>
          <w:sz w:val="24"/>
        </w:rPr>
        <w:t>Coolidge (Calvin) : 166.</w:t>
      </w:r>
    </w:p>
    <w:p w14:paraId="1F6B2362" w14:textId="77777777" w:rsidR="0039793A" w:rsidRPr="00357CFE" w:rsidRDefault="0039793A" w:rsidP="0039793A">
      <w:pPr>
        <w:ind w:left="540" w:hanging="540"/>
        <w:jc w:val="both"/>
        <w:rPr>
          <w:sz w:val="24"/>
        </w:rPr>
      </w:pPr>
      <w:r w:rsidRPr="00357CFE">
        <w:rPr>
          <w:sz w:val="24"/>
        </w:rPr>
        <w:t>Cooper (Sherman) : 32.</w:t>
      </w:r>
    </w:p>
    <w:p w14:paraId="6C39222B" w14:textId="77777777" w:rsidR="0039793A" w:rsidRPr="00357CFE" w:rsidRDefault="0039793A" w:rsidP="0039793A">
      <w:pPr>
        <w:ind w:left="540" w:hanging="540"/>
        <w:jc w:val="both"/>
        <w:rPr>
          <w:sz w:val="24"/>
        </w:rPr>
      </w:pPr>
      <w:r w:rsidRPr="00357CFE">
        <w:rPr>
          <w:sz w:val="24"/>
        </w:rPr>
        <w:t>Corrado (Anthony) : 333</w:t>
      </w:r>
    </w:p>
    <w:p w14:paraId="66E0B4F8" w14:textId="77777777" w:rsidR="0039793A" w:rsidRPr="00357CFE" w:rsidRDefault="0039793A" w:rsidP="0039793A">
      <w:pPr>
        <w:ind w:left="540" w:hanging="540"/>
        <w:jc w:val="both"/>
        <w:rPr>
          <w:sz w:val="24"/>
        </w:rPr>
      </w:pPr>
      <w:r w:rsidRPr="00357CFE">
        <w:rPr>
          <w:sz w:val="24"/>
        </w:rPr>
        <w:t>Corwin (Edward S.) : 23, 143, 249</w:t>
      </w:r>
    </w:p>
    <w:p w14:paraId="558B76EB" w14:textId="77777777" w:rsidR="0039793A" w:rsidRPr="00357CFE" w:rsidRDefault="0039793A" w:rsidP="0039793A">
      <w:pPr>
        <w:ind w:left="540" w:hanging="540"/>
        <w:jc w:val="both"/>
        <w:rPr>
          <w:sz w:val="24"/>
        </w:rPr>
      </w:pPr>
      <w:r w:rsidRPr="00357CFE">
        <w:rPr>
          <w:sz w:val="24"/>
        </w:rPr>
        <w:t>Co</w:t>
      </w:r>
      <w:r w:rsidRPr="00357CFE">
        <w:rPr>
          <w:sz w:val="24"/>
        </w:rPr>
        <w:t>t</w:t>
      </w:r>
      <w:r w:rsidRPr="00357CFE">
        <w:rPr>
          <w:sz w:val="24"/>
        </w:rPr>
        <w:t>tam (Richard) : 172.</w:t>
      </w:r>
    </w:p>
    <w:p w14:paraId="625DF3A1" w14:textId="77777777" w:rsidR="0039793A" w:rsidRPr="00357CFE" w:rsidRDefault="0039793A" w:rsidP="0039793A">
      <w:pPr>
        <w:ind w:left="540" w:hanging="540"/>
        <w:jc w:val="both"/>
        <w:rPr>
          <w:sz w:val="24"/>
        </w:rPr>
      </w:pPr>
      <w:r w:rsidRPr="00357CFE">
        <w:rPr>
          <w:sz w:val="24"/>
        </w:rPr>
        <w:t>Cremer (Marie-Hélène) : 12.</w:t>
      </w:r>
    </w:p>
    <w:p w14:paraId="495854A9" w14:textId="77777777" w:rsidR="0039793A" w:rsidRPr="00357CFE" w:rsidRDefault="0039793A" w:rsidP="0039793A">
      <w:pPr>
        <w:ind w:left="540" w:hanging="540"/>
        <w:jc w:val="both"/>
        <w:rPr>
          <w:sz w:val="24"/>
        </w:rPr>
      </w:pPr>
      <w:r w:rsidRPr="00357CFE">
        <w:rPr>
          <w:sz w:val="24"/>
        </w:rPr>
        <w:t>Cronkite (Walter) : 307.</w:t>
      </w:r>
    </w:p>
    <w:p w14:paraId="5CB4A3D2" w14:textId="77777777" w:rsidR="0039793A" w:rsidRPr="00357CFE" w:rsidRDefault="0039793A" w:rsidP="0039793A">
      <w:pPr>
        <w:ind w:left="540" w:hanging="540"/>
        <w:jc w:val="both"/>
        <w:rPr>
          <w:sz w:val="24"/>
        </w:rPr>
      </w:pPr>
      <w:r w:rsidRPr="00357CFE">
        <w:rPr>
          <w:sz w:val="24"/>
        </w:rPr>
        <w:t>Crèvecœur (Hector St. John de) : 57</w:t>
      </w:r>
    </w:p>
    <w:p w14:paraId="18FD939F" w14:textId="77777777" w:rsidR="0039793A" w:rsidRPr="00357CFE" w:rsidRDefault="0039793A" w:rsidP="0039793A">
      <w:pPr>
        <w:ind w:left="540" w:hanging="540"/>
        <w:jc w:val="both"/>
        <w:rPr>
          <w:sz w:val="24"/>
        </w:rPr>
      </w:pPr>
      <w:r w:rsidRPr="00357CFE">
        <w:rPr>
          <w:sz w:val="24"/>
        </w:rPr>
        <w:t>Cutler (Robert) : 234, 239.</w:t>
      </w:r>
    </w:p>
    <w:p w14:paraId="5314F68E" w14:textId="77777777" w:rsidR="0039793A" w:rsidRPr="00357CFE" w:rsidRDefault="0039793A" w:rsidP="0039793A">
      <w:pPr>
        <w:ind w:left="540" w:hanging="540"/>
        <w:jc w:val="both"/>
        <w:rPr>
          <w:sz w:val="24"/>
        </w:rPr>
      </w:pPr>
    </w:p>
    <w:p w14:paraId="66437D7A" w14:textId="77777777" w:rsidR="0039793A" w:rsidRPr="00357CFE" w:rsidRDefault="0039793A" w:rsidP="0039793A">
      <w:pPr>
        <w:ind w:left="540" w:hanging="540"/>
        <w:jc w:val="both"/>
        <w:rPr>
          <w:sz w:val="24"/>
        </w:rPr>
      </w:pPr>
      <w:r w:rsidRPr="00357CFE">
        <w:rPr>
          <w:sz w:val="24"/>
        </w:rPr>
        <w:t>Daalder (Ivo) : 203, 230, 244.</w:t>
      </w:r>
    </w:p>
    <w:p w14:paraId="46318DA2" w14:textId="77777777" w:rsidR="0039793A" w:rsidRPr="00357CFE" w:rsidRDefault="0039793A" w:rsidP="0039793A">
      <w:pPr>
        <w:ind w:left="540" w:hanging="540"/>
        <w:jc w:val="both"/>
        <w:rPr>
          <w:sz w:val="24"/>
        </w:rPr>
      </w:pPr>
      <w:r w:rsidRPr="00357CFE">
        <w:rPr>
          <w:sz w:val="24"/>
        </w:rPr>
        <w:t>Dallek (Robert) : 10, 41, 167, 169</w:t>
      </w:r>
    </w:p>
    <w:p w14:paraId="7613514C" w14:textId="77777777" w:rsidR="0039793A" w:rsidRPr="00357CFE" w:rsidRDefault="0039793A" w:rsidP="0039793A">
      <w:pPr>
        <w:ind w:left="540" w:hanging="540"/>
        <w:jc w:val="both"/>
        <w:rPr>
          <w:sz w:val="24"/>
        </w:rPr>
      </w:pPr>
      <w:r w:rsidRPr="00357CFE">
        <w:rPr>
          <w:sz w:val="24"/>
        </w:rPr>
        <w:t>Daridan (Jean) : 58.</w:t>
      </w:r>
    </w:p>
    <w:p w14:paraId="5E22BB75" w14:textId="77777777" w:rsidR="0039793A" w:rsidRPr="00357CFE" w:rsidRDefault="0039793A" w:rsidP="0039793A">
      <w:pPr>
        <w:ind w:left="540" w:hanging="540"/>
        <w:jc w:val="both"/>
        <w:rPr>
          <w:sz w:val="24"/>
        </w:rPr>
      </w:pPr>
      <w:r w:rsidRPr="00357CFE">
        <w:rPr>
          <w:sz w:val="24"/>
        </w:rPr>
        <w:t>Darwin (Charles) : 77.</w:t>
      </w:r>
    </w:p>
    <w:p w14:paraId="757E523D" w14:textId="77777777" w:rsidR="0039793A" w:rsidRPr="00357CFE" w:rsidRDefault="0039793A" w:rsidP="0039793A">
      <w:pPr>
        <w:ind w:left="540" w:hanging="540"/>
        <w:jc w:val="both"/>
        <w:rPr>
          <w:sz w:val="24"/>
        </w:rPr>
      </w:pPr>
      <w:r w:rsidRPr="00357CFE">
        <w:rPr>
          <w:sz w:val="24"/>
        </w:rPr>
        <w:t>David (Charles-Philippe) : 11, 12, 62, 64, 90, 110, 141, 145, 158, 171, 174, 184, 185, 192, 202, 208, 212, 227, 229, 239, 267, 341.</w:t>
      </w:r>
    </w:p>
    <w:p w14:paraId="0A25ED18" w14:textId="77777777" w:rsidR="0039793A" w:rsidRPr="00357CFE" w:rsidRDefault="0039793A" w:rsidP="0039793A">
      <w:pPr>
        <w:ind w:left="540" w:hanging="540"/>
        <w:jc w:val="both"/>
        <w:rPr>
          <w:sz w:val="24"/>
        </w:rPr>
      </w:pPr>
      <w:r w:rsidRPr="00357CFE">
        <w:rPr>
          <w:sz w:val="24"/>
        </w:rPr>
        <w:t>DeConde (Alexander) : 156.</w:t>
      </w:r>
    </w:p>
    <w:p w14:paraId="6C0559CE" w14:textId="77777777" w:rsidR="0039793A" w:rsidRPr="00357CFE" w:rsidRDefault="0039793A" w:rsidP="0039793A">
      <w:pPr>
        <w:ind w:left="540" w:hanging="540"/>
        <w:jc w:val="both"/>
        <w:rPr>
          <w:sz w:val="24"/>
        </w:rPr>
      </w:pPr>
      <w:r w:rsidRPr="00357CFE">
        <w:rPr>
          <w:sz w:val="24"/>
        </w:rPr>
        <w:t>Deese (David) : 160, 169, 206.</w:t>
      </w:r>
    </w:p>
    <w:p w14:paraId="2453147F" w14:textId="77777777" w:rsidR="0039793A" w:rsidRPr="00357CFE" w:rsidRDefault="0039793A" w:rsidP="0039793A">
      <w:pPr>
        <w:ind w:left="540" w:hanging="540"/>
        <w:jc w:val="both"/>
        <w:rPr>
          <w:sz w:val="24"/>
        </w:rPr>
      </w:pPr>
      <w:r w:rsidRPr="00357CFE">
        <w:rPr>
          <w:sz w:val="24"/>
        </w:rPr>
        <w:t>Deibel (Terry) : 262, 284.</w:t>
      </w:r>
    </w:p>
    <w:p w14:paraId="22460BE7" w14:textId="77777777" w:rsidR="0039793A" w:rsidRPr="00357CFE" w:rsidRDefault="0039793A" w:rsidP="0039793A">
      <w:pPr>
        <w:ind w:left="540" w:hanging="540"/>
        <w:jc w:val="both"/>
        <w:rPr>
          <w:sz w:val="24"/>
        </w:rPr>
      </w:pPr>
      <w:r w:rsidRPr="00357CFE">
        <w:rPr>
          <w:sz w:val="24"/>
        </w:rPr>
        <w:t>Delaporte (Murielle) : 11.</w:t>
      </w:r>
    </w:p>
    <w:p w14:paraId="7443667F" w14:textId="77777777" w:rsidR="0039793A" w:rsidRPr="00357CFE" w:rsidRDefault="0039793A" w:rsidP="0039793A">
      <w:pPr>
        <w:ind w:left="540" w:hanging="540"/>
        <w:jc w:val="both"/>
        <w:rPr>
          <w:sz w:val="24"/>
        </w:rPr>
      </w:pPr>
      <w:r w:rsidRPr="00357CFE">
        <w:rPr>
          <w:sz w:val="24"/>
        </w:rPr>
        <w:t>Destler (Irving) : 10, 30, 203, 209, 215, 230, 244, 288, 289, 290, 296.</w:t>
      </w:r>
    </w:p>
    <w:p w14:paraId="58BFFE36" w14:textId="77777777" w:rsidR="0039793A" w:rsidRPr="00357CFE" w:rsidRDefault="0039793A" w:rsidP="0039793A">
      <w:pPr>
        <w:ind w:left="540" w:hanging="540"/>
        <w:jc w:val="both"/>
        <w:rPr>
          <w:sz w:val="24"/>
        </w:rPr>
      </w:pPr>
      <w:r w:rsidRPr="00357CFE">
        <w:rPr>
          <w:sz w:val="24"/>
        </w:rPr>
        <w:t>Deudney (Daniel) : 111.</w:t>
      </w:r>
    </w:p>
    <w:p w14:paraId="588842FE" w14:textId="77777777" w:rsidR="0039793A" w:rsidRPr="00357CFE" w:rsidRDefault="0039793A" w:rsidP="0039793A">
      <w:pPr>
        <w:ind w:left="540" w:hanging="540"/>
        <w:jc w:val="both"/>
        <w:rPr>
          <w:sz w:val="24"/>
        </w:rPr>
      </w:pPr>
      <w:r w:rsidRPr="00357CFE">
        <w:rPr>
          <w:sz w:val="24"/>
        </w:rPr>
        <w:t>Deutch (John) : 195, 201.</w:t>
      </w:r>
    </w:p>
    <w:p w14:paraId="7E7F0142" w14:textId="77777777" w:rsidR="0039793A" w:rsidRPr="00357CFE" w:rsidRDefault="0039793A" w:rsidP="0039793A">
      <w:pPr>
        <w:ind w:left="540" w:hanging="540"/>
        <w:jc w:val="both"/>
        <w:rPr>
          <w:sz w:val="24"/>
        </w:rPr>
      </w:pPr>
      <w:r w:rsidRPr="00357CFE">
        <w:rPr>
          <w:sz w:val="24"/>
        </w:rPr>
        <w:t>Divier (Pierre-François) : 84.</w:t>
      </w:r>
    </w:p>
    <w:p w14:paraId="69602BE6" w14:textId="77777777" w:rsidR="0039793A" w:rsidRPr="00357CFE" w:rsidRDefault="0039793A" w:rsidP="0039793A">
      <w:pPr>
        <w:ind w:left="540" w:hanging="540"/>
        <w:jc w:val="both"/>
        <w:rPr>
          <w:sz w:val="24"/>
        </w:rPr>
      </w:pPr>
      <w:r w:rsidRPr="00357CFE">
        <w:rPr>
          <w:sz w:val="24"/>
        </w:rPr>
        <w:t>Dole (Bob) : 281, 336.</w:t>
      </w:r>
    </w:p>
    <w:p w14:paraId="2980F830" w14:textId="77777777" w:rsidR="0039793A" w:rsidRPr="00357CFE" w:rsidRDefault="0039793A" w:rsidP="0039793A">
      <w:pPr>
        <w:ind w:left="540" w:hanging="540"/>
        <w:jc w:val="both"/>
        <w:rPr>
          <w:sz w:val="24"/>
        </w:rPr>
      </w:pPr>
      <w:r w:rsidRPr="00357CFE">
        <w:rPr>
          <w:sz w:val="24"/>
        </w:rPr>
        <w:t>Dorwart (Jeffery) : 213</w:t>
      </w:r>
    </w:p>
    <w:p w14:paraId="53BE16EA" w14:textId="77777777" w:rsidR="0039793A" w:rsidRPr="00357CFE" w:rsidRDefault="0039793A" w:rsidP="0039793A">
      <w:pPr>
        <w:ind w:left="540" w:hanging="540"/>
        <w:jc w:val="both"/>
        <w:rPr>
          <w:sz w:val="24"/>
        </w:rPr>
      </w:pPr>
      <w:r w:rsidRPr="00357CFE">
        <w:rPr>
          <w:sz w:val="24"/>
        </w:rPr>
        <w:t>Dowd (Maureen) : 322.</w:t>
      </w:r>
    </w:p>
    <w:p w14:paraId="3E81E1CE" w14:textId="77777777" w:rsidR="0039793A" w:rsidRPr="00357CFE" w:rsidRDefault="0039793A" w:rsidP="0039793A">
      <w:pPr>
        <w:ind w:left="540" w:hanging="540"/>
        <w:jc w:val="both"/>
        <w:rPr>
          <w:sz w:val="24"/>
        </w:rPr>
      </w:pPr>
      <w:r w:rsidRPr="00357CFE">
        <w:rPr>
          <w:sz w:val="24"/>
        </w:rPr>
        <w:t>Dreyfuss (Robert) : 196.</w:t>
      </w:r>
    </w:p>
    <w:p w14:paraId="17C06AAA" w14:textId="77777777" w:rsidR="0039793A" w:rsidRPr="00357CFE" w:rsidRDefault="0039793A" w:rsidP="0039793A">
      <w:pPr>
        <w:ind w:left="540" w:hanging="540"/>
        <w:jc w:val="both"/>
        <w:rPr>
          <w:sz w:val="24"/>
        </w:rPr>
      </w:pPr>
      <w:r w:rsidRPr="00357CFE">
        <w:rPr>
          <w:sz w:val="24"/>
        </w:rPr>
        <w:t>Dulles (Allen) : 195.</w:t>
      </w:r>
    </w:p>
    <w:p w14:paraId="4BC8B288" w14:textId="77777777" w:rsidR="0039793A" w:rsidRPr="00357CFE" w:rsidRDefault="0039793A" w:rsidP="0039793A">
      <w:pPr>
        <w:ind w:left="540" w:hanging="540"/>
        <w:jc w:val="both"/>
        <w:rPr>
          <w:sz w:val="24"/>
        </w:rPr>
      </w:pPr>
      <w:r w:rsidRPr="00357CFE">
        <w:rPr>
          <w:sz w:val="24"/>
        </w:rPr>
        <w:t>Dulles (John Foster) : 59, 89, 95, 234</w:t>
      </w:r>
    </w:p>
    <w:p w14:paraId="6D75DCC7" w14:textId="77777777" w:rsidR="0039793A" w:rsidRPr="00357CFE" w:rsidRDefault="0039793A" w:rsidP="0039793A">
      <w:pPr>
        <w:ind w:left="540" w:hanging="540"/>
        <w:jc w:val="both"/>
        <w:rPr>
          <w:sz w:val="24"/>
        </w:rPr>
      </w:pPr>
      <w:r w:rsidRPr="00357CFE">
        <w:rPr>
          <w:sz w:val="24"/>
        </w:rPr>
        <w:t>Dumbrell (John) : 183, 189, 198, 224</w:t>
      </w:r>
    </w:p>
    <w:p w14:paraId="5DA3A22C" w14:textId="77777777" w:rsidR="0039793A" w:rsidRPr="00357CFE" w:rsidRDefault="0039793A" w:rsidP="0039793A">
      <w:pPr>
        <w:ind w:left="540" w:hanging="540"/>
        <w:jc w:val="both"/>
        <w:rPr>
          <w:sz w:val="24"/>
        </w:rPr>
      </w:pPr>
      <w:r w:rsidRPr="00357CFE">
        <w:rPr>
          <w:sz w:val="24"/>
        </w:rPr>
        <w:t>Dworkin (Ronald) : 282.</w:t>
      </w:r>
    </w:p>
    <w:p w14:paraId="699150C4" w14:textId="77777777" w:rsidR="0039793A" w:rsidRPr="00357CFE" w:rsidRDefault="0039793A" w:rsidP="0039793A">
      <w:pPr>
        <w:ind w:left="540" w:hanging="540"/>
        <w:jc w:val="both"/>
        <w:rPr>
          <w:sz w:val="24"/>
        </w:rPr>
      </w:pPr>
    </w:p>
    <w:p w14:paraId="06D466CB" w14:textId="77777777" w:rsidR="0039793A" w:rsidRPr="00357CFE" w:rsidRDefault="0039793A" w:rsidP="0039793A">
      <w:pPr>
        <w:ind w:left="540" w:hanging="540"/>
        <w:jc w:val="both"/>
        <w:rPr>
          <w:sz w:val="24"/>
        </w:rPr>
      </w:pPr>
      <w:r w:rsidRPr="00357CFE">
        <w:rPr>
          <w:sz w:val="24"/>
        </w:rPr>
        <w:t>Eberstadt (Ferdinand) : 213, 214, 215</w:t>
      </w:r>
    </w:p>
    <w:p w14:paraId="1D782954" w14:textId="77777777" w:rsidR="0039793A" w:rsidRPr="00357CFE" w:rsidRDefault="0039793A" w:rsidP="0039793A">
      <w:pPr>
        <w:ind w:left="540" w:hanging="540"/>
        <w:jc w:val="both"/>
        <w:rPr>
          <w:sz w:val="24"/>
        </w:rPr>
      </w:pPr>
      <w:r w:rsidRPr="00357CFE">
        <w:rPr>
          <w:sz w:val="24"/>
        </w:rPr>
        <w:t>Edwards : 147, 153, 158.</w:t>
      </w:r>
    </w:p>
    <w:p w14:paraId="25D63C1B" w14:textId="77777777" w:rsidR="0039793A" w:rsidRPr="00357CFE" w:rsidRDefault="0039793A" w:rsidP="0039793A">
      <w:pPr>
        <w:ind w:left="540" w:hanging="540"/>
        <w:jc w:val="both"/>
        <w:rPr>
          <w:sz w:val="24"/>
        </w:rPr>
      </w:pPr>
      <w:r w:rsidRPr="00357CFE">
        <w:rPr>
          <w:sz w:val="24"/>
        </w:rPr>
        <w:t>Eisendrath (Craig) : 196.</w:t>
      </w:r>
    </w:p>
    <w:p w14:paraId="26CCA151" w14:textId="77777777" w:rsidR="0039793A" w:rsidRPr="00357CFE" w:rsidRDefault="0039793A" w:rsidP="0039793A">
      <w:pPr>
        <w:ind w:left="540" w:hanging="540"/>
        <w:jc w:val="both"/>
        <w:rPr>
          <w:sz w:val="24"/>
        </w:rPr>
      </w:pPr>
      <w:r w:rsidRPr="00357CFE">
        <w:rPr>
          <w:sz w:val="24"/>
        </w:rPr>
        <w:t>Eisenhower (Dwight) : 160, 162, 166, 167, 168, 169, 170, 171, 173, 187, 189, 195, 217, 220, 225, 229, 232, 234, 235, 239, 242, 245.</w:t>
      </w:r>
    </w:p>
    <w:p w14:paraId="13555B2C" w14:textId="77777777" w:rsidR="0039793A" w:rsidRPr="00357CFE" w:rsidRDefault="0039793A" w:rsidP="0039793A">
      <w:pPr>
        <w:ind w:left="540" w:hanging="540"/>
        <w:jc w:val="both"/>
        <w:rPr>
          <w:sz w:val="24"/>
        </w:rPr>
      </w:pPr>
      <w:r w:rsidRPr="00357CFE">
        <w:rPr>
          <w:sz w:val="24"/>
        </w:rPr>
        <w:t>Elder (Shirley) : 11.</w:t>
      </w:r>
    </w:p>
    <w:p w14:paraId="4C976A0B" w14:textId="77777777" w:rsidR="0039793A" w:rsidRPr="00357CFE" w:rsidRDefault="0039793A" w:rsidP="0039793A">
      <w:pPr>
        <w:ind w:left="540" w:hanging="540"/>
        <w:jc w:val="both"/>
        <w:rPr>
          <w:sz w:val="24"/>
        </w:rPr>
      </w:pPr>
      <w:r w:rsidRPr="00357CFE">
        <w:rPr>
          <w:sz w:val="24"/>
        </w:rPr>
        <w:t>Elsey (George) : 233</w:t>
      </w:r>
    </w:p>
    <w:p w14:paraId="67CC17A3" w14:textId="77777777" w:rsidR="0039793A" w:rsidRPr="00357CFE" w:rsidRDefault="0039793A" w:rsidP="0039793A">
      <w:pPr>
        <w:ind w:left="540" w:hanging="540"/>
        <w:jc w:val="both"/>
        <w:rPr>
          <w:sz w:val="24"/>
        </w:rPr>
      </w:pPr>
    </w:p>
    <w:p w14:paraId="1BB3BAC8" w14:textId="77777777" w:rsidR="0039793A" w:rsidRPr="00357CFE" w:rsidRDefault="0039793A" w:rsidP="0039793A">
      <w:pPr>
        <w:ind w:left="540" w:hanging="540"/>
        <w:jc w:val="both"/>
        <w:rPr>
          <w:sz w:val="24"/>
        </w:rPr>
      </w:pPr>
      <w:r w:rsidRPr="00357CFE">
        <w:rPr>
          <w:sz w:val="24"/>
        </w:rPr>
        <w:t>Falk (Richard A.) : 104, 123, 124, 125</w:t>
      </w:r>
    </w:p>
    <w:p w14:paraId="59115A14" w14:textId="77777777" w:rsidR="0039793A" w:rsidRPr="00357CFE" w:rsidRDefault="0039793A" w:rsidP="0039793A">
      <w:pPr>
        <w:ind w:left="540" w:hanging="540"/>
        <w:jc w:val="both"/>
        <w:rPr>
          <w:sz w:val="24"/>
        </w:rPr>
      </w:pPr>
      <w:r w:rsidRPr="00357CFE">
        <w:rPr>
          <w:sz w:val="24"/>
        </w:rPr>
        <w:t>Fischer (Louis) : 10, 153, 156.</w:t>
      </w:r>
    </w:p>
    <w:p w14:paraId="09B99FCA" w14:textId="77777777" w:rsidR="0039793A" w:rsidRPr="00357CFE" w:rsidRDefault="0039793A" w:rsidP="0039793A">
      <w:pPr>
        <w:ind w:left="540" w:hanging="540"/>
        <w:jc w:val="both"/>
        <w:rPr>
          <w:sz w:val="24"/>
        </w:rPr>
      </w:pPr>
      <w:r w:rsidRPr="00357CFE">
        <w:rPr>
          <w:sz w:val="24"/>
        </w:rPr>
        <w:t>Fitzpatrick (John C.) : 55.</w:t>
      </w:r>
    </w:p>
    <w:p w14:paraId="3133B8CA" w14:textId="77777777" w:rsidR="0039793A" w:rsidRPr="00357CFE" w:rsidRDefault="0039793A" w:rsidP="0039793A">
      <w:pPr>
        <w:ind w:left="540" w:hanging="540"/>
        <w:jc w:val="both"/>
        <w:rPr>
          <w:sz w:val="24"/>
        </w:rPr>
      </w:pPr>
      <w:r w:rsidRPr="00357CFE">
        <w:rPr>
          <w:sz w:val="24"/>
        </w:rPr>
        <w:t>Flynn (Stephen) : 202.</w:t>
      </w:r>
    </w:p>
    <w:p w14:paraId="2844DDE6" w14:textId="77777777" w:rsidR="0039793A" w:rsidRPr="00357CFE" w:rsidRDefault="0039793A" w:rsidP="0039793A">
      <w:pPr>
        <w:ind w:left="540" w:hanging="540"/>
        <w:jc w:val="both"/>
        <w:rPr>
          <w:sz w:val="24"/>
        </w:rPr>
      </w:pPr>
      <w:r w:rsidRPr="00357CFE">
        <w:rPr>
          <w:sz w:val="24"/>
        </w:rPr>
        <w:t>Ford (Gerald) : 166, 168, 173, 180, 189, 199, 220, 222, 237, 238, 239, 245, 259.</w:t>
      </w:r>
    </w:p>
    <w:p w14:paraId="75018317" w14:textId="77777777" w:rsidR="0039793A" w:rsidRPr="00357CFE" w:rsidRDefault="0039793A" w:rsidP="0039793A">
      <w:pPr>
        <w:ind w:left="540" w:hanging="540"/>
        <w:jc w:val="both"/>
        <w:rPr>
          <w:sz w:val="24"/>
        </w:rPr>
      </w:pPr>
      <w:r w:rsidRPr="00357CFE">
        <w:rPr>
          <w:sz w:val="24"/>
        </w:rPr>
        <w:t>Forrestal (James) : 213, 214, 215, 233.</w:t>
      </w:r>
    </w:p>
    <w:p w14:paraId="560EEE95" w14:textId="77777777" w:rsidR="0039793A" w:rsidRPr="00357CFE" w:rsidRDefault="0039793A" w:rsidP="0039793A">
      <w:pPr>
        <w:ind w:left="540" w:hanging="540"/>
        <w:jc w:val="both"/>
        <w:rPr>
          <w:sz w:val="24"/>
        </w:rPr>
      </w:pPr>
      <w:r w:rsidRPr="00357CFE">
        <w:rPr>
          <w:sz w:val="24"/>
        </w:rPr>
        <w:t>Forsythe (David) : 156, 172.</w:t>
      </w:r>
    </w:p>
    <w:p w14:paraId="15E3B342" w14:textId="77777777" w:rsidR="0039793A" w:rsidRPr="00357CFE" w:rsidRDefault="0039793A" w:rsidP="0039793A">
      <w:pPr>
        <w:ind w:left="540" w:hanging="540"/>
        <w:jc w:val="both"/>
        <w:rPr>
          <w:sz w:val="24"/>
        </w:rPr>
      </w:pPr>
      <w:r w:rsidRPr="00357CFE">
        <w:rPr>
          <w:sz w:val="24"/>
        </w:rPr>
        <w:t>Foyle (Douglas) : 161.</w:t>
      </w:r>
    </w:p>
    <w:p w14:paraId="5B609862" w14:textId="77777777" w:rsidR="0039793A" w:rsidRPr="00357CFE" w:rsidRDefault="0039793A" w:rsidP="0039793A">
      <w:pPr>
        <w:ind w:left="540" w:hanging="540"/>
        <w:jc w:val="both"/>
        <w:rPr>
          <w:sz w:val="24"/>
        </w:rPr>
      </w:pPr>
      <w:r w:rsidRPr="00357CFE">
        <w:rPr>
          <w:sz w:val="24"/>
        </w:rPr>
        <w:t>Franck (Thomas) : 10, 11.</w:t>
      </w:r>
    </w:p>
    <w:p w14:paraId="23C2C44A" w14:textId="77777777" w:rsidR="0039793A" w:rsidRPr="00357CFE" w:rsidRDefault="0039793A" w:rsidP="0039793A">
      <w:pPr>
        <w:ind w:left="540" w:hanging="540"/>
        <w:jc w:val="both"/>
        <w:rPr>
          <w:sz w:val="24"/>
        </w:rPr>
      </w:pPr>
      <w:r w:rsidRPr="00357CFE">
        <w:rPr>
          <w:sz w:val="24"/>
        </w:rPr>
        <w:t>Frankfurter (Félix) : 37.</w:t>
      </w:r>
    </w:p>
    <w:p w14:paraId="01F118D0" w14:textId="77777777" w:rsidR="0039793A" w:rsidRPr="00357CFE" w:rsidRDefault="0039793A" w:rsidP="0039793A">
      <w:pPr>
        <w:ind w:left="540" w:hanging="540"/>
        <w:jc w:val="both"/>
        <w:rPr>
          <w:sz w:val="24"/>
        </w:rPr>
      </w:pPr>
      <w:r w:rsidRPr="00357CFE">
        <w:rPr>
          <w:sz w:val="24"/>
        </w:rPr>
        <w:t>Franklin (Benjamin) : 46, 62.</w:t>
      </w:r>
    </w:p>
    <w:p w14:paraId="19519372" w14:textId="77777777" w:rsidR="0039793A" w:rsidRPr="00357CFE" w:rsidRDefault="0039793A" w:rsidP="0039793A">
      <w:pPr>
        <w:ind w:left="540" w:hanging="540"/>
        <w:jc w:val="both"/>
        <w:rPr>
          <w:sz w:val="24"/>
        </w:rPr>
      </w:pPr>
      <w:r w:rsidRPr="00357CFE">
        <w:rPr>
          <w:sz w:val="24"/>
        </w:rPr>
        <w:t>Fried (Richard M.) : 60.</w:t>
      </w:r>
    </w:p>
    <w:p w14:paraId="69923283" w14:textId="77777777" w:rsidR="0039793A" w:rsidRPr="00357CFE" w:rsidRDefault="0039793A" w:rsidP="0039793A">
      <w:pPr>
        <w:ind w:left="540" w:hanging="540"/>
        <w:jc w:val="both"/>
        <w:rPr>
          <w:sz w:val="24"/>
        </w:rPr>
      </w:pPr>
      <w:r w:rsidRPr="00357CFE">
        <w:rPr>
          <w:sz w:val="24"/>
        </w:rPr>
        <w:t>Friedberg (Aaron) : 103.</w:t>
      </w:r>
    </w:p>
    <w:p w14:paraId="28A8C1FA" w14:textId="77777777" w:rsidR="0039793A" w:rsidRPr="00357CFE" w:rsidRDefault="0039793A" w:rsidP="0039793A">
      <w:pPr>
        <w:ind w:left="540" w:hanging="540"/>
        <w:jc w:val="both"/>
        <w:rPr>
          <w:sz w:val="24"/>
        </w:rPr>
      </w:pPr>
      <w:r w:rsidRPr="00357CFE">
        <w:rPr>
          <w:sz w:val="24"/>
        </w:rPr>
        <w:t>Friedman (Thomas L.) : 105, 132, 133, 258, 322.</w:t>
      </w:r>
    </w:p>
    <w:p w14:paraId="6D266D5B" w14:textId="77777777" w:rsidR="0039793A" w:rsidRPr="00357CFE" w:rsidRDefault="0039793A" w:rsidP="0039793A">
      <w:pPr>
        <w:ind w:left="540" w:hanging="540"/>
        <w:jc w:val="both"/>
        <w:rPr>
          <w:sz w:val="24"/>
        </w:rPr>
      </w:pPr>
      <w:r w:rsidRPr="00357CFE">
        <w:rPr>
          <w:sz w:val="24"/>
        </w:rPr>
        <w:t>Fry (Earl H.) : 21.</w:t>
      </w:r>
    </w:p>
    <w:p w14:paraId="763E3E95" w14:textId="77777777" w:rsidR="0039793A" w:rsidRPr="00357CFE" w:rsidRDefault="0039793A" w:rsidP="0039793A">
      <w:pPr>
        <w:ind w:left="540" w:hanging="540"/>
        <w:jc w:val="both"/>
        <w:rPr>
          <w:sz w:val="24"/>
        </w:rPr>
      </w:pPr>
      <w:r w:rsidRPr="00357CFE">
        <w:rPr>
          <w:sz w:val="24"/>
        </w:rPr>
        <w:t>Fukuyama (Francis) : 62, 103, 104, 123, 125, 126.</w:t>
      </w:r>
    </w:p>
    <w:p w14:paraId="4CF3C427" w14:textId="77777777" w:rsidR="0039793A" w:rsidRPr="00357CFE" w:rsidRDefault="0039793A" w:rsidP="0039793A">
      <w:pPr>
        <w:ind w:left="540" w:hanging="540"/>
        <w:jc w:val="both"/>
        <w:rPr>
          <w:sz w:val="24"/>
        </w:rPr>
      </w:pPr>
    </w:p>
    <w:p w14:paraId="3EB8E6E8" w14:textId="77777777" w:rsidR="0039793A" w:rsidRPr="00357CFE" w:rsidRDefault="0039793A" w:rsidP="0039793A">
      <w:pPr>
        <w:ind w:left="540" w:hanging="540"/>
        <w:jc w:val="both"/>
        <w:rPr>
          <w:sz w:val="24"/>
        </w:rPr>
      </w:pPr>
      <w:r w:rsidRPr="00357CFE">
        <w:rPr>
          <w:sz w:val="24"/>
        </w:rPr>
        <w:t>Gaddis (John Lewis) : 63</w:t>
      </w:r>
    </w:p>
    <w:p w14:paraId="567F2AD8" w14:textId="77777777" w:rsidR="0039793A" w:rsidRPr="00357CFE" w:rsidRDefault="0039793A" w:rsidP="0039793A">
      <w:pPr>
        <w:ind w:left="540" w:hanging="540"/>
        <w:jc w:val="both"/>
        <w:rPr>
          <w:sz w:val="24"/>
        </w:rPr>
      </w:pPr>
      <w:r w:rsidRPr="00357CFE">
        <w:rPr>
          <w:sz w:val="24"/>
        </w:rPr>
        <w:t>Gagnon (Benoît) : 202.</w:t>
      </w:r>
    </w:p>
    <w:p w14:paraId="679B9521" w14:textId="77777777" w:rsidR="0039793A" w:rsidRPr="00357CFE" w:rsidRDefault="0039793A" w:rsidP="0039793A">
      <w:pPr>
        <w:ind w:left="540" w:hanging="540"/>
        <w:jc w:val="both"/>
        <w:rPr>
          <w:sz w:val="24"/>
        </w:rPr>
      </w:pPr>
      <w:r w:rsidRPr="00357CFE">
        <w:rPr>
          <w:sz w:val="24"/>
        </w:rPr>
        <w:t>Gagnon (Frédérick) : 185.</w:t>
      </w:r>
    </w:p>
    <w:p w14:paraId="56B50C12" w14:textId="77777777" w:rsidR="0039793A" w:rsidRPr="00357CFE" w:rsidRDefault="0039793A" w:rsidP="0039793A">
      <w:pPr>
        <w:ind w:left="540" w:hanging="540"/>
        <w:jc w:val="both"/>
        <w:rPr>
          <w:sz w:val="24"/>
        </w:rPr>
      </w:pPr>
      <w:r w:rsidRPr="00357CFE">
        <w:rPr>
          <w:sz w:val="24"/>
        </w:rPr>
        <w:t>Gardner (Richard) : 180.</w:t>
      </w:r>
    </w:p>
    <w:p w14:paraId="7A9CFCC1" w14:textId="77777777" w:rsidR="0039793A" w:rsidRPr="00357CFE" w:rsidRDefault="0039793A" w:rsidP="0039793A">
      <w:pPr>
        <w:ind w:left="540" w:hanging="540"/>
        <w:jc w:val="both"/>
        <w:rPr>
          <w:sz w:val="24"/>
        </w:rPr>
      </w:pPr>
      <w:r w:rsidRPr="00357CFE">
        <w:rPr>
          <w:sz w:val="24"/>
        </w:rPr>
        <w:t>Garrison (Jean) : 227.</w:t>
      </w:r>
    </w:p>
    <w:p w14:paraId="73997FBB" w14:textId="77777777" w:rsidR="0039793A" w:rsidRPr="00357CFE" w:rsidRDefault="0039793A" w:rsidP="0039793A">
      <w:pPr>
        <w:ind w:left="540" w:hanging="540"/>
        <w:jc w:val="both"/>
        <w:rPr>
          <w:sz w:val="24"/>
        </w:rPr>
      </w:pPr>
      <w:r w:rsidRPr="00357CFE">
        <w:rPr>
          <w:sz w:val="24"/>
        </w:rPr>
        <w:t>Gary (Clifford) : 206.</w:t>
      </w:r>
    </w:p>
    <w:p w14:paraId="62C62071" w14:textId="77777777" w:rsidR="0039793A" w:rsidRPr="00357CFE" w:rsidRDefault="0039793A" w:rsidP="0039793A">
      <w:pPr>
        <w:ind w:left="540" w:hanging="540"/>
        <w:jc w:val="both"/>
        <w:rPr>
          <w:sz w:val="24"/>
        </w:rPr>
      </w:pPr>
      <w:r w:rsidRPr="00357CFE">
        <w:rPr>
          <w:sz w:val="24"/>
        </w:rPr>
        <w:t>Gates (Bill) : 133.</w:t>
      </w:r>
    </w:p>
    <w:p w14:paraId="65D78476" w14:textId="77777777" w:rsidR="0039793A" w:rsidRPr="00357CFE" w:rsidRDefault="0039793A" w:rsidP="0039793A">
      <w:pPr>
        <w:ind w:left="540" w:hanging="540"/>
        <w:jc w:val="both"/>
        <w:rPr>
          <w:sz w:val="24"/>
        </w:rPr>
      </w:pPr>
      <w:r w:rsidRPr="00357CFE">
        <w:rPr>
          <w:sz w:val="24"/>
        </w:rPr>
        <w:t>[367]</w:t>
      </w:r>
    </w:p>
    <w:p w14:paraId="180194E9" w14:textId="77777777" w:rsidR="0039793A" w:rsidRPr="00357CFE" w:rsidRDefault="0039793A" w:rsidP="0039793A">
      <w:pPr>
        <w:ind w:left="540" w:hanging="540"/>
        <w:jc w:val="both"/>
        <w:rPr>
          <w:sz w:val="24"/>
        </w:rPr>
      </w:pPr>
      <w:r w:rsidRPr="00357CFE">
        <w:rPr>
          <w:sz w:val="24"/>
        </w:rPr>
        <w:t>Gelb (Leslie H.) : 30, 209.</w:t>
      </w:r>
    </w:p>
    <w:p w14:paraId="0FBA73A8" w14:textId="77777777" w:rsidR="0039793A" w:rsidRPr="00357CFE" w:rsidRDefault="0039793A" w:rsidP="0039793A">
      <w:pPr>
        <w:ind w:left="540" w:hanging="540"/>
        <w:jc w:val="both"/>
        <w:rPr>
          <w:sz w:val="24"/>
        </w:rPr>
      </w:pPr>
      <w:r w:rsidRPr="00357CFE">
        <w:rPr>
          <w:sz w:val="24"/>
        </w:rPr>
        <w:t>George (Alexander) : 10, 164, 166, 172, 227, 232.</w:t>
      </w:r>
    </w:p>
    <w:p w14:paraId="7EF3B2AB" w14:textId="77777777" w:rsidR="0039793A" w:rsidRPr="00357CFE" w:rsidRDefault="0039793A" w:rsidP="0039793A">
      <w:pPr>
        <w:ind w:left="540" w:hanging="540"/>
        <w:jc w:val="both"/>
        <w:rPr>
          <w:sz w:val="24"/>
        </w:rPr>
      </w:pPr>
      <w:r w:rsidRPr="00357CFE">
        <w:rPr>
          <w:sz w:val="24"/>
        </w:rPr>
        <w:t>George (Juliette) : 164, 166, 172, 232</w:t>
      </w:r>
    </w:p>
    <w:p w14:paraId="661A44A0" w14:textId="77777777" w:rsidR="0039793A" w:rsidRPr="00357CFE" w:rsidRDefault="0039793A" w:rsidP="0039793A">
      <w:pPr>
        <w:ind w:left="540" w:hanging="540"/>
        <w:jc w:val="both"/>
        <w:rPr>
          <w:sz w:val="24"/>
        </w:rPr>
      </w:pPr>
      <w:r w:rsidRPr="00357CFE">
        <w:rPr>
          <w:sz w:val="24"/>
        </w:rPr>
        <w:t>George (Larry N.) : 29, 30.</w:t>
      </w:r>
    </w:p>
    <w:p w14:paraId="18C7ADBB" w14:textId="77777777" w:rsidR="0039793A" w:rsidRPr="00357CFE" w:rsidRDefault="0039793A" w:rsidP="0039793A">
      <w:pPr>
        <w:ind w:left="540" w:hanging="540"/>
        <w:jc w:val="both"/>
        <w:rPr>
          <w:sz w:val="24"/>
        </w:rPr>
      </w:pPr>
      <w:r w:rsidRPr="00357CFE">
        <w:rPr>
          <w:sz w:val="24"/>
        </w:rPr>
        <w:t>Gilbert (Félix) : 31.</w:t>
      </w:r>
    </w:p>
    <w:p w14:paraId="3F609F39" w14:textId="77777777" w:rsidR="0039793A" w:rsidRPr="00357CFE" w:rsidRDefault="0039793A" w:rsidP="0039793A">
      <w:pPr>
        <w:ind w:left="540" w:hanging="540"/>
        <w:jc w:val="both"/>
        <w:rPr>
          <w:sz w:val="24"/>
        </w:rPr>
      </w:pPr>
      <w:r w:rsidRPr="00357CFE">
        <w:rPr>
          <w:sz w:val="24"/>
        </w:rPr>
        <w:t>Gilman (Benjamin) : 257.</w:t>
      </w:r>
    </w:p>
    <w:p w14:paraId="78C921B3" w14:textId="77777777" w:rsidR="0039793A" w:rsidRPr="00357CFE" w:rsidRDefault="0039793A" w:rsidP="0039793A">
      <w:pPr>
        <w:ind w:left="540" w:hanging="540"/>
        <w:jc w:val="both"/>
        <w:rPr>
          <w:sz w:val="24"/>
        </w:rPr>
      </w:pPr>
      <w:r w:rsidRPr="00357CFE">
        <w:rPr>
          <w:sz w:val="24"/>
        </w:rPr>
        <w:t>Gingrich (Newt) : 260, 261, 272, 281, 282, 292, 300.</w:t>
      </w:r>
    </w:p>
    <w:p w14:paraId="571EC19E" w14:textId="77777777" w:rsidR="0039793A" w:rsidRPr="00357CFE" w:rsidRDefault="0039793A" w:rsidP="0039793A">
      <w:pPr>
        <w:ind w:left="540" w:hanging="540"/>
        <w:jc w:val="both"/>
        <w:rPr>
          <w:sz w:val="24"/>
        </w:rPr>
      </w:pPr>
      <w:r w:rsidRPr="00357CFE">
        <w:rPr>
          <w:sz w:val="24"/>
        </w:rPr>
        <w:t>Glennon (Michael J.) : 29, 30.</w:t>
      </w:r>
    </w:p>
    <w:p w14:paraId="51F6B253" w14:textId="77777777" w:rsidR="0039793A" w:rsidRPr="00357CFE" w:rsidRDefault="0039793A" w:rsidP="0039793A">
      <w:pPr>
        <w:ind w:left="540" w:hanging="540"/>
        <w:jc w:val="both"/>
        <w:rPr>
          <w:sz w:val="24"/>
        </w:rPr>
      </w:pPr>
      <w:r w:rsidRPr="00357CFE">
        <w:rPr>
          <w:sz w:val="24"/>
        </w:rPr>
        <w:t>Goldgeier (James) : 340.</w:t>
      </w:r>
    </w:p>
    <w:p w14:paraId="0023F186" w14:textId="77777777" w:rsidR="0039793A" w:rsidRPr="00357CFE" w:rsidRDefault="0039793A" w:rsidP="0039793A">
      <w:pPr>
        <w:ind w:left="540" w:hanging="540"/>
        <w:jc w:val="both"/>
        <w:rPr>
          <w:sz w:val="24"/>
        </w:rPr>
      </w:pPr>
      <w:r w:rsidRPr="00357CFE">
        <w:rPr>
          <w:sz w:val="24"/>
        </w:rPr>
        <w:t>Goldman (Joseph) : 152.</w:t>
      </w:r>
    </w:p>
    <w:p w14:paraId="7DF54D36" w14:textId="77777777" w:rsidR="0039793A" w:rsidRPr="00357CFE" w:rsidRDefault="0039793A" w:rsidP="0039793A">
      <w:pPr>
        <w:ind w:left="540" w:hanging="540"/>
        <w:jc w:val="both"/>
        <w:rPr>
          <w:sz w:val="24"/>
        </w:rPr>
      </w:pPr>
      <w:r w:rsidRPr="00357CFE">
        <w:rPr>
          <w:sz w:val="24"/>
        </w:rPr>
        <w:t>Goldman (Stuart) : 278.</w:t>
      </w:r>
    </w:p>
    <w:p w14:paraId="469FFEEA" w14:textId="77777777" w:rsidR="0039793A" w:rsidRPr="00357CFE" w:rsidRDefault="0039793A" w:rsidP="0039793A">
      <w:pPr>
        <w:ind w:left="540" w:hanging="540"/>
        <w:jc w:val="both"/>
        <w:rPr>
          <w:sz w:val="24"/>
        </w:rPr>
      </w:pPr>
      <w:r w:rsidRPr="00357CFE">
        <w:rPr>
          <w:sz w:val="24"/>
        </w:rPr>
        <w:t>Goldwater (Barry) : 60.</w:t>
      </w:r>
    </w:p>
    <w:p w14:paraId="03032743" w14:textId="77777777" w:rsidR="0039793A" w:rsidRPr="00357CFE" w:rsidRDefault="0039793A" w:rsidP="0039793A">
      <w:pPr>
        <w:ind w:left="540" w:hanging="540"/>
        <w:jc w:val="both"/>
        <w:rPr>
          <w:sz w:val="24"/>
        </w:rPr>
      </w:pPr>
      <w:r w:rsidRPr="00357CFE">
        <w:rPr>
          <w:sz w:val="24"/>
        </w:rPr>
        <w:t>Goodman (Melvin) : 200.</w:t>
      </w:r>
    </w:p>
    <w:p w14:paraId="2B05D70F" w14:textId="77777777" w:rsidR="0039793A" w:rsidRPr="00357CFE" w:rsidRDefault="0039793A" w:rsidP="0039793A">
      <w:pPr>
        <w:ind w:left="540" w:hanging="540"/>
        <w:jc w:val="both"/>
        <w:rPr>
          <w:sz w:val="24"/>
        </w:rPr>
      </w:pPr>
      <w:r w:rsidRPr="00357CFE">
        <w:rPr>
          <w:sz w:val="24"/>
        </w:rPr>
        <w:t>Goodpaster (Andrew) : 234.</w:t>
      </w:r>
    </w:p>
    <w:p w14:paraId="1A182A41" w14:textId="77777777" w:rsidR="0039793A" w:rsidRPr="00357CFE" w:rsidRDefault="0039793A" w:rsidP="0039793A">
      <w:pPr>
        <w:ind w:left="540" w:hanging="540"/>
        <w:jc w:val="both"/>
        <w:rPr>
          <w:sz w:val="24"/>
        </w:rPr>
      </w:pPr>
      <w:r w:rsidRPr="00357CFE">
        <w:rPr>
          <w:sz w:val="24"/>
        </w:rPr>
        <w:t>Gore (Al) : 263, 282.</w:t>
      </w:r>
    </w:p>
    <w:p w14:paraId="2C19B4E4" w14:textId="77777777" w:rsidR="0039793A" w:rsidRPr="00357CFE" w:rsidRDefault="0039793A" w:rsidP="0039793A">
      <w:pPr>
        <w:ind w:left="540" w:hanging="540"/>
        <w:jc w:val="both"/>
        <w:rPr>
          <w:sz w:val="24"/>
        </w:rPr>
      </w:pPr>
      <w:r w:rsidRPr="00357CFE">
        <w:rPr>
          <w:sz w:val="24"/>
        </w:rPr>
        <w:t>Grapin (Jacqueline) : 81.</w:t>
      </w:r>
    </w:p>
    <w:p w14:paraId="713D47EC" w14:textId="77777777" w:rsidR="0039793A" w:rsidRPr="00357CFE" w:rsidRDefault="0039793A" w:rsidP="0039793A">
      <w:pPr>
        <w:ind w:left="540" w:hanging="540"/>
        <w:jc w:val="both"/>
        <w:rPr>
          <w:sz w:val="24"/>
        </w:rPr>
      </w:pPr>
      <w:r w:rsidRPr="00357CFE">
        <w:rPr>
          <w:sz w:val="24"/>
        </w:rPr>
        <w:t>Greenberg (Maurice) : 193, 195</w:t>
      </w:r>
    </w:p>
    <w:p w14:paraId="56FD124F" w14:textId="77777777" w:rsidR="0039793A" w:rsidRPr="00357CFE" w:rsidRDefault="0039793A" w:rsidP="0039793A">
      <w:pPr>
        <w:ind w:left="540" w:hanging="540"/>
        <w:jc w:val="both"/>
        <w:rPr>
          <w:sz w:val="24"/>
        </w:rPr>
      </w:pPr>
      <w:r w:rsidRPr="00357CFE">
        <w:rPr>
          <w:sz w:val="24"/>
        </w:rPr>
        <w:t>Greenberger (Robert) : 290.</w:t>
      </w:r>
    </w:p>
    <w:p w14:paraId="45B437FE" w14:textId="77777777" w:rsidR="0039793A" w:rsidRPr="00357CFE" w:rsidRDefault="0039793A" w:rsidP="0039793A">
      <w:pPr>
        <w:ind w:left="540" w:hanging="540"/>
        <w:jc w:val="both"/>
        <w:rPr>
          <w:sz w:val="24"/>
        </w:rPr>
      </w:pPr>
      <w:r w:rsidRPr="00357CFE">
        <w:rPr>
          <w:sz w:val="24"/>
        </w:rPr>
        <w:t>Greenstein (Fred) : 10, 166, 167, 168, 232.</w:t>
      </w:r>
    </w:p>
    <w:p w14:paraId="2DD4D634" w14:textId="77777777" w:rsidR="0039793A" w:rsidRPr="00357CFE" w:rsidRDefault="0039793A" w:rsidP="0039793A">
      <w:pPr>
        <w:ind w:left="540" w:hanging="540"/>
        <w:jc w:val="both"/>
        <w:rPr>
          <w:sz w:val="24"/>
        </w:rPr>
      </w:pPr>
      <w:r w:rsidRPr="00357CFE">
        <w:rPr>
          <w:sz w:val="24"/>
        </w:rPr>
        <w:t>Gregg (Judd) : 276.</w:t>
      </w:r>
    </w:p>
    <w:p w14:paraId="592A54F1" w14:textId="77777777" w:rsidR="0039793A" w:rsidRPr="00357CFE" w:rsidRDefault="0039793A" w:rsidP="0039793A">
      <w:pPr>
        <w:ind w:left="540" w:hanging="540"/>
        <w:jc w:val="both"/>
        <w:rPr>
          <w:sz w:val="24"/>
        </w:rPr>
      </w:pPr>
      <w:r w:rsidRPr="00357CFE">
        <w:rPr>
          <w:sz w:val="24"/>
        </w:rPr>
        <w:t>Griffiths (Martin) : 124.</w:t>
      </w:r>
    </w:p>
    <w:p w14:paraId="48098967" w14:textId="77777777" w:rsidR="0039793A" w:rsidRPr="00357CFE" w:rsidRDefault="0039793A" w:rsidP="0039793A">
      <w:pPr>
        <w:ind w:left="540" w:hanging="540"/>
        <w:jc w:val="both"/>
        <w:rPr>
          <w:sz w:val="24"/>
        </w:rPr>
      </w:pPr>
      <w:r w:rsidRPr="00357CFE">
        <w:rPr>
          <w:sz w:val="24"/>
        </w:rPr>
        <w:t>Grimmett (Richard F.) : 257, 258</w:t>
      </w:r>
    </w:p>
    <w:p w14:paraId="30E904D1" w14:textId="77777777" w:rsidR="0039793A" w:rsidRPr="00357CFE" w:rsidRDefault="0039793A" w:rsidP="0039793A">
      <w:pPr>
        <w:ind w:left="540" w:hanging="540"/>
        <w:jc w:val="both"/>
        <w:rPr>
          <w:sz w:val="24"/>
        </w:rPr>
      </w:pPr>
      <w:r w:rsidRPr="00357CFE">
        <w:rPr>
          <w:sz w:val="24"/>
        </w:rPr>
        <w:t>Grondin (David) : 12, 113, 202.</w:t>
      </w:r>
    </w:p>
    <w:p w14:paraId="766A9BF1" w14:textId="77777777" w:rsidR="0039793A" w:rsidRPr="00357CFE" w:rsidRDefault="0039793A" w:rsidP="0039793A">
      <w:pPr>
        <w:ind w:left="540" w:hanging="540"/>
        <w:jc w:val="both"/>
        <w:rPr>
          <w:sz w:val="24"/>
        </w:rPr>
      </w:pPr>
      <w:r w:rsidRPr="00357CFE">
        <w:rPr>
          <w:sz w:val="24"/>
        </w:rPr>
        <w:t>Grosser (Alfred) : 59.</w:t>
      </w:r>
    </w:p>
    <w:p w14:paraId="72ED5A78" w14:textId="77777777" w:rsidR="0039793A" w:rsidRPr="00357CFE" w:rsidRDefault="0039793A" w:rsidP="0039793A">
      <w:pPr>
        <w:ind w:left="540" w:hanging="540"/>
        <w:jc w:val="both"/>
        <w:rPr>
          <w:sz w:val="24"/>
        </w:rPr>
      </w:pPr>
    </w:p>
    <w:p w14:paraId="16B4996B" w14:textId="77777777" w:rsidR="0039793A" w:rsidRPr="00357CFE" w:rsidRDefault="0039793A" w:rsidP="0039793A">
      <w:pPr>
        <w:ind w:left="540" w:hanging="540"/>
        <w:jc w:val="both"/>
        <w:rPr>
          <w:sz w:val="24"/>
        </w:rPr>
      </w:pPr>
      <w:r w:rsidRPr="00357CFE">
        <w:rPr>
          <w:sz w:val="24"/>
        </w:rPr>
        <w:t>Haass (Richard) : 193, 195.</w:t>
      </w:r>
    </w:p>
    <w:p w14:paraId="296E6009" w14:textId="77777777" w:rsidR="0039793A" w:rsidRPr="00357CFE" w:rsidRDefault="0039793A" w:rsidP="0039793A">
      <w:pPr>
        <w:ind w:left="540" w:hanging="540"/>
        <w:jc w:val="both"/>
        <w:rPr>
          <w:sz w:val="24"/>
        </w:rPr>
      </w:pPr>
      <w:r w:rsidRPr="00357CFE">
        <w:rPr>
          <w:sz w:val="24"/>
        </w:rPr>
        <w:t>Hafner (Donald) : 169, 206.</w:t>
      </w:r>
    </w:p>
    <w:p w14:paraId="0A66FBA9" w14:textId="77777777" w:rsidR="0039793A" w:rsidRPr="00357CFE" w:rsidRDefault="0039793A" w:rsidP="0039793A">
      <w:pPr>
        <w:ind w:left="540" w:hanging="540"/>
        <w:jc w:val="both"/>
        <w:rPr>
          <w:sz w:val="24"/>
        </w:rPr>
      </w:pPr>
      <w:r w:rsidRPr="00357CFE">
        <w:rPr>
          <w:sz w:val="24"/>
        </w:rPr>
        <w:t>Haig (Alexander) : 180, 225, 240, 241</w:t>
      </w:r>
    </w:p>
    <w:p w14:paraId="2BD13353" w14:textId="77777777" w:rsidR="0039793A" w:rsidRPr="00357CFE" w:rsidRDefault="0039793A" w:rsidP="0039793A">
      <w:pPr>
        <w:ind w:left="540" w:hanging="540"/>
        <w:jc w:val="both"/>
        <w:rPr>
          <w:sz w:val="24"/>
        </w:rPr>
      </w:pPr>
      <w:r w:rsidRPr="00357CFE">
        <w:rPr>
          <w:sz w:val="24"/>
        </w:rPr>
        <w:t>Halberstam (David) : 229</w:t>
      </w:r>
    </w:p>
    <w:p w14:paraId="13AAC215" w14:textId="77777777" w:rsidR="0039793A" w:rsidRPr="00357CFE" w:rsidRDefault="0039793A" w:rsidP="0039793A">
      <w:pPr>
        <w:ind w:left="540" w:hanging="540"/>
        <w:jc w:val="both"/>
        <w:rPr>
          <w:sz w:val="24"/>
        </w:rPr>
      </w:pPr>
      <w:r w:rsidRPr="00357CFE">
        <w:rPr>
          <w:sz w:val="24"/>
        </w:rPr>
        <w:t>Halperin (Morton) : 151, 261.</w:t>
      </w:r>
    </w:p>
    <w:p w14:paraId="18E46BAF" w14:textId="77777777" w:rsidR="0039793A" w:rsidRPr="00357CFE" w:rsidRDefault="0039793A" w:rsidP="0039793A">
      <w:pPr>
        <w:ind w:left="540" w:hanging="540"/>
        <w:jc w:val="both"/>
        <w:rPr>
          <w:sz w:val="24"/>
        </w:rPr>
      </w:pPr>
      <w:r w:rsidRPr="00357CFE">
        <w:rPr>
          <w:sz w:val="24"/>
        </w:rPr>
        <w:t>Hamilton (Alexander) : 19, 27, 28, 29, 30, 31, 48, 51, 55, 73, 74, 78, 80, 90, 211</w:t>
      </w:r>
      <w:r w:rsidRPr="00357CFE">
        <w:rPr>
          <w:rStyle w:val="Corpsdutexte855ptGras"/>
          <w:sz w:val="24"/>
        </w:rPr>
        <w:t>.</w:t>
      </w:r>
    </w:p>
    <w:p w14:paraId="0E03DA11" w14:textId="77777777" w:rsidR="0039793A" w:rsidRPr="00357CFE" w:rsidRDefault="0039793A" w:rsidP="0039793A">
      <w:pPr>
        <w:ind w:left="540" w:hanging="540"/>
        <w:jc w:val="both"/>
        <w:rPr>
          <w:sz w:val="24"/>
        </w:rPr>
      </w:pPr>
      <w:r w:rsidRPr="00357CFE">
        <w:rPr>
          <w:sz w:val="24"/>
        </w:rPr>
        <w:t>Hamilton (Stanislaus Murray) : 76</w:t>
      </w:r>
    </w:p>
    <w:p w14:paraId="44D16836" w14:textId="77777777" w:rsidR="0039793A" w:rsidRPr="00357CFE" w:rsidRDefault="0039793A" w:rsidP="0039793A">
      <w:pPr>
        <w:ind w:left="540" w:hanging="540"/>
        <w:jc w:val="both"/>
        <w:rPr>
          <w:sz w:val="24"/>
        </w:rPr>
      </w:pPr>
      <w:r w:rsidRPr="00357CFE">
        <w:rPr>
          <w:sz w:val="24"/>
        </w:rPr>
        <w:t>Handlin (Oscar) : 45.</w:t>
      </w:r>
    </w:p>
    <w:p w14:paraId="3097B5A3" w14:textId="77777777" w:rsidR="0039793A" w:rsidRPr="00357CFE" w:rsidRDefault="0039793A" w:rsidP="0039793A">
      <w:pPr>
        <w:ind w:left="540" w:hanging="540"/>
        <w:jc w:val="both"/>
        <w:rPr>
          <w:sz w:val="24"/>
        </w:rPr>
      </w:pPr>
      <w:r w:rsidRPr="00357CFE">
        <w:rPr>
          <w:sz w:val="24"/>
        </w:rPr>
        <w:t>Harriman (Averell) : 233.</w:t>
      </w:r>
    </w:p>
    <w:p w14:paraId="471FF5C5" w14:textId="77777777" w:rsidR="0039793A" w:rsidRPr="00357CFE" w:rsidRDefault="0039793A" w:rsidP="0039793A">
      <w:pPr>
        <w:ind w:left="540" w:hanging="540"/>
        <w:jc w:val="both"/>
        <w:rPr>
          <w:sz w:val="24"/>
        </w:rPr>
      </w:pPr>
      <w:r w:rsidRPr="00357CFE">
        <w:rPr>
          <w:sz w:val="24"/>
        </w:rPr>
        <w:t>Harris (James) : 193</w:t>
      </w:r>
    </w:p>
    <w:p w14:paraId="30247251" w14:textId="77777777" w:rsidR="0039793A" w:rsidRPr="00357CFE" w:rsidRDefault="0039793A" w:rsidP="0039793A">
      <w:pPr>
        <w:ind w:left="540" w:hanging="540"/>
        <w:jc w:val="both"/>
        <w:rPr>
          <w:sz w:val="24"/>
        </w:rPr>
      </w:pPr>
      <w:r w:rsidRPr="00357CFE">
        <w:rPr>
          <w:sz w:val="24"/>
        </w:rPr>
        <w:t>Hart (John) : 214, 215, 224.</w:t>
      </w:r>
    </w:p>
    <w:p w14:paraId="0142488C" w14:textId="77777777" w:rsidR="0039793A" w:rsidRPr="00357CFE" w:rsidRDefault="0039793A" w:rsidP="0039793A">
      <w:pPr>
        <w:ind w:left="540" w:hanging="540"/>
        <w:jc w:val="both"/>
        <w:rPr>
          <w:sz w:val="24"/>
        </w:rPr>
      </w:pPr>
      <w:r w:rsidRPr="00357CFE">
        <w:rPr>
          <w:sz w:val="24"/>
        </w:rPr>
        <w:t>Hartmann (Frederick) : 220, 222.</w:t>
      </w:r>
    </w:p>
    <w:p w14:paraId="66E5E266" w14:textId="77777777" w:rsidR="0039793A" w:rsidRPr="00357CFE" w:rsidRDefault="0039793A" w:rsidP="0039793A">
      <w:pPr>
        <w:ind w:left="540" w:hanging="540"/>
        <w:jc w:val="both"/>
        <w:rPr>
          <w:sz w:val="24"/>
        </w:rPr>
      </w:pPr>
      <w:r w:rsidRPr="00357CFE">
        <w:rPr>
          <w:sz w:val="24"/>
        </w:rPr>
        <w:t>Hartz (Louis) : 10, 46.</w:t>
      </w:r>
    </w:p>
    <w:p w14:paraId="1C2B3E19" w14:textId="77777777" w:rsidR="0039793A" w:rsidRPr="00357CFE" w:rsidRDefault="0039793A" w:rsidP="0039793A">
      <w:pPr>
        <w:ind w:left="540" w:hanging="540"/>
        <w:jc w:val="both"/>
        <w:rPr>
          <w:sz w:val="24"/>
        </w:rPr>
      </w:pPr>
      <w:r w:rsidRPr="00357CFE">
        <w:rPr>
          <w:sz w:val="24"/>
        </w:rPr>
        <w:t>Hassner (Pierre) : 12, 314, 319.</w:t>
      </w:r>
    </w:p>
    <w:p w14:paraId="41F9F842" w14:textId="77777777" w:rsidR="0039793A" w:rsidRPr="00357CFE" w:rsidRDefault="0039793A" w:rsidP="0039793A">
      <w:pPr>
        <w:ind w:left="540" w:hanging="540"/>
        <w:jc w:val="both"/>
        <w:rPr>
          <w:sz w:val="24"/>
        </w:rPr>
      </w:pPr>
      <w:r w:rsidRPr="00357CFE">
        <w:rPr>
          <w:sz w:val="24"/>
        </w:rPr>
        <w:t>Hastert (Dennis) : 282.</w:t>
      </w:r>
    </w:p>
    <w:p w14:paraId="2DB5D824" w14:textId="77777777" w:rsidR="0039793A" w:rsidRPr="00357CFE" w:rsidRDefault="0039793A" w:rsidP="0039793A">
      <w:pPr>
        <w:ind w:left="540" w:hanging="540"/>
        <w:jc w:val="both"/>
        <w:rPr>
          <w:sz w:val="24"/>
        </w:rPr>
      </w:pPr>
      <w:r w:rsidRPr="00357CFE">
        <w:rPr>
          <w:sz w:val="24"/>
        </w:rPr>
        <w:t>Havel (Vaclav) : 340.</w:t>
      </w:r>
    </w:p>
    <w:p w14:paraId="3431A097" w14:textId="77777777" w:rsidR="0039793A" w:rsidRPr="00357CFE" w:rsidRDefault="0039793A" w:rsidP="0039793A">
      <w:pPr>
        <w:ind w:left="540" w:hanging="540"/>
        <w:jc w:val="both"/>
        <w:rPr>
          <w:sz w:val="24"/>
        </w:rPr>
      </w:pPr>
      <w:r w:rsidRPr="00357CFE">
        <w:rPr>
          <w:sz w:val="24"/>
        </w:rPr>
        <w:t>Hay (John) : 48.</w:t>
      </w:r>
    </w:p>
    <w:p w14:paraId="6EEA8D94" w14:textId="77777777" w:rsidR="0039793A" w:rsidRPr="00357CFE" w:rsidRDefault="0039793A" w:rsidP="0039793A">
      <w:pPr>
        <w:ind w:left="540" w:hanging="540"/>
        <w:jc w:val="both"/>
        <w:rPr>
          <w:sz w:val="24"/>
        </w:rPr>
      </w:pPr>
      <w:r w:rsidRPr="00357CFE">
        <w:rPr>
          <w:sz w:val="24"/>
        </w:rPr>
        <w:t>Hegel (Friedrich) : 345.</w:t>
      </w:r>
    </w:p>
    <w:p w14:paraId="374666F8" w14:textId="77777777" w:rsidR="0039793A" w:rsidRPr="00357CFE" w:rsidRDefault="0039793A" w:rsidP="0039793A">
      <w:pPr>
        <w:ind w:left="540" w:hanging="540"/>
        <w:jc w:val="both"/>
        <w:rPr>
          <w:sz w:val="24"/>
        </w:rPr>
      </w:pPr>
      <w:r w:rsidRPr="00357CFE">
        <w:rPr>
          <w:sz w:val="24"/>
        </w:rPr>
        <w:t>Helms (Jesse) : 38, 69, 82, 97, 262, 264, 277, 281, 292, 331, 339.</w:t>
      </w:r>
    </w:p>
    <w:p w14:paraId="22E909D8" w14:textId="77777777" w:rsidR="0039793A" w:rsidRPr="00357CFE" w:rsidRDefault="0039793A" w:rsidP="0039793A">
      <w:pPr>
        <w:ind w:left="540" w:hanging="540"/>
        <w:jc w:val="both"/>
        <w:rPr>
          <w:sz w:val="24"/>
        </w:rPr>
      </w:pPr>
      <w:r w:rsidRPr="00357CFE">
        <w:rPr>
          <w:sz w:val="24"/>
        </w:rPr>
        <w:t>Helms (Richard) : 195.</w:t>
      </w:r>
    </w:p>
    <w:p w14:paraId="612B5D76" w14:textId="77777777" w:rsidR="0039793A" w:rsidRPr="00357CFE" w:rsidRDefault="0039793A" w:rsidP="0039793A">
      <w:pPr>
        <w:ind w:left="540" w:hanging="540"/>
        <w:jc w:val="both"/>
        <w:rPr>
          <w:sz w:val="24"/>
        </w:rPr>
      </w:pPr>
      <w:r w:rsidRPr="00357CFE">
        <w:rPr>
          <w:sz w:val="24"/>
        </w:rPr>
        <w:t>Hendrickson (Ryan) : 156.</w:t>
      </w:r>
    </w:p>
    <w:p w14:paraId="57AD6855" w14:textId="77777777" w:rsidR="0039793A" w:rsidRPr="00357CFE" w:rsidRDefault="0039793A" w:rsidP="0039793A">
      <w:pPr>
        <w:ind w:left="540" w:hanging="540"/>
        <w:jc w:val="both"/>
        <w:rPr>
          <w:sz w:val="24"/>
        </w:rPr>
      </w:pPr>
      <w:r w:rsidRPr="00357CFE">
        <w:rPr>
          <w:sz w:val="24"/>
        </w:rPr>
        <w:t>Henkin (Louis) : 10, 23, 24, 25, 26, 32, 38.</w:t>
      </w:r>
    </w:p>
    <w:p w14:paraId="3288775F" w14:textId="77777777" w:rsidR="0039793A" w:rsidRPr="00357CFE" w:rsidRDefault="0039793A" w:rsidP="0039793A">
      <w:pPr>
        <w:ind w:left="540" w:hanging="540"/>
        <w:jc w:val="both"/>
        <w:rPr>
          <w:sz w:val="24"/>
        </w:rPr>
      </w:pPr>
      <w:r w:rsidRPr="00357CFE">
        <w:rPr>
          <w:sz w:val="24"/>
        </w:rPr>
        <w:t>Herrmann (Richard) : 314.</w:t>
      </w:r>
    </w:p>
    <w:p w14:paraId="38583FF8" w14:textId="77777777" w:rsidR="0039793A" w:rsidRPr="00357CFE" w:rsidRDefault="0039793A" w:rsidP="0039793A">
      <w:pPr>
        <w:ind w:left="540" w:hanging="540"/>
        <w:jc w:val="both"/>
        <w:rPr>
          <w:sz w:val="24"/>
        </w:rPr>
      </w:pPr>
      <w:r w:rsidRPr="00357CFE">
        <w:rPr>
          <w:sz w:val="24"/>
        </w:rPr>
        <w:t>Hersman (Rebecca) : 39.</w:t>
      </w:r>
    </w:p>
    <w:p w14:paraId="2C9AD95F" w14:textId="77777777" w:rsidR="0039793A" w:rsidRPr="00357CFE" w:rsidRDefault="0039793A" w:rsidP="0039793A">
      <w:pPr>
        <w:ind w:left="540" w:hanging="540"/>
        <w:jc w:val="both"/>
        <w:rPr>
          <w:sz w:val="24"/>
        </w:rPr>
      </w:pPr>
      <w:r w:rsidRPr="00357CFE">
        <w:rPr>
          <w:sz w:val="24"/>
        </w:rPr>
        <w:t>Hess (Stephen) : 230.</w:t>
      </w:r>
    </w:p>
    <w:p w14:paraId="4B91E7E7" w14:textId="77777777" w:rsidR="0039793A" w:rsidRPr="00357CFE" w:rsidRDefault="0039793A" w:rsidP="0039793A">
      <w:pPr>
        <w:ind w:left="540" w:hanging="540"/>
        <w:jc w:val="both"/>
        <w:rPr>
          <w:sz w:val="24"/>
        </w:rPr>
      </w:pPr>
      <w:r w:rsidRPr="00357CFE">
        <w:rPr>
          <w:sz w:val="24"/>
        </w:rPr>
        <w:t>Hill (Eleanor) : 193</w:t>
      </w:r>
    </w:p>
    <w:p w14:paraId="377A7351" w14:textId="77777777" w:rsidR="0039793A" w:rsidRPr="00357CFE" w:rsidRDefault="0039793A" w:rsidP="0039793A">
      <w:pPr>
        <w:ind w:left="540" w:hanging="540"/>
        <w:jc w:val="both"/>
        <w:rPr>
          <w:sz w:val="24"/>
        </w:rPr>
      </w:pPr>
      <w:r w:rsidRPr="00357CFE">
        <w:rPr>
          <w:sz w:val="24"/>
        </w:rPr>
        <w:t>Hiller (John) : 191.</w:t>
      </w:r>
    </w:p>
    <w:p w14:paraId="6FA6C191" w14:textId="77777777" w:rsidR="0039793A" w:rsidRPr="00357CFE" w:rsidRDefault="0039793A" w:rsidP="0039793A">
      <w:pPr>
        <w:ind w:left="540" w:hanging="540"/>
        <w:jc w:val="both"/>
        <w:rPr>
          <w:sz w:val="24"/>
        </w:rPr>
      </w:pPr>
      <w:r w:rsidRPr="00357CFE">
        <w:rPr>
          <w:sz w:val="24"/>
        </w:rPr>
        <w:t>Hitler (Adolf) : 78, 313.</w:t>
      </w:r>
    </w:p>
    <w:p w14:paraId="6B5CBB07" w14:textId="77777777" w:rsidR="0039793A" w:rsidRPr="00357CFE" w:rsidRDefault="0039793A" w:rsidP="0039793A">
      <w:pPr>
        <w:ind w:left="540" w:hanging="540"/>
        <w:jc w:val="both"/>
        <w:rPr>
          <w:sz w:val="24"/>
        </w:rPr>
      </w:pPr>
      <w:r w:rsidRPr="00357CFE">
        <w:rPr>
          <w:sz w:val="24"/>
        </w:rPr>
        <w:t>Hocking (Brian) : 21.</w:t>
      </w:r>
    </w:p>
    <w:p w14:paraId="5F7FF659" w14:textId="77777777" w:rsidR="0039793A" w:rsidRPr="00357CFE" w:rsidRDefault="0039793A" w:rsidP="0039793A">
      <w:pPr>
        <w:ind w:left="540" w:hanging="540"/>
        <w:jc w:val="both"/>
        <w:rPr>
          <w:sz w:val="24"/>
        </w:rPr>
      </w:pPr>
      <w:r w:rsidRPr="00357CFE">
        <w:rPr>
          <w:sz w:val="24"/>
        </w:rPr>
        <w:t>Hoffmann (Stanley) : 11, 41, 50, 61, 62, 63, 75, 98, 101.</w:t>
      </w:r>
    </w:p>
    <w:p w14:paraId="4B1AA972" w14:textId="77777777" w:rsidR="0039793A" w:rsidRPr="00357CFE" w:rsidRDefault="0039793A" w:rsidP="0039793A">
      <w:pPr>
        <w:ind w:left="540" w:hanging="540"/>
        <w:jc w:val="both"/>
        <w:rPr>
          <w:sz w:val="24"/>
        </w:rPr>
      </w:pPr>
      <w:r w:rsidRPr="00357CFE">
        <w:rPr>
          <w:sz w:val="24"/>
        </w:rPr>
        <w:t>Hofstadter (Richard) : 59, 60.</w:t>
      </w:r>
    </w:p>
    <w:p w14:paraId="58E35095" w14:textId="77777777" w:rsidR="0039793A" w:rsidRPr="00357CFE" w:rsidRDefault="0039793A" w:rsidP="0039793A">
      <w:pPr>
        <w:ind w:left="540" w:hanging="540"/>
        <w:jc w:val="both"/>
        <w:rPr>
          <w:sz w:val="24"/>
        </w:rPr>
      </w:pPr>
      <w:r w:rsidRPr="00357CFE">
        <w:rPr>
          <w:sz w:val="24"/>
        </w:rPr>
        <w:t>Hoge (James) : 194, 202.</w:t>
      </w:r>
    </w:p>
    <w:p w14:paraId="239739A0" w14:textId="77777777" w:rsidR="0039793A" w:rsidRPr="00357CFE" w:rsidRDefault="0039793A" w:rsidP="0039793A">
      <w:pPr>
        <w:ind w:left="540" w:hanging="540"/>
        <w:jc w:val="both"/>
        <w:rPr>
          <w:sz w:val="24"/>
        </w:rPr>
      </w:pPr>
      <w:r w:rsidRPr="00357CFE">
        <w:rPr>
          <w:sz w:val="24"/>
        </w:rPr>
        <w:t>Holbrooke (Richard) : 262, 276.</w:t>
      </w:r>
    </w:p>
    <w:p w14:paraId="7B8A6C43" w14:textId="77777777" w:rsidR="0039793A" w:rsidRPr="00357CFE" w:rsidRDefault="0039793A" w:rsidP="0039793A">
      <w:pPr>
        <w:ind w:left="540" w:hanging="540"/>
        <w:jc w:val="both"/>
        <w:rPr>
          <w:sz w:val="24"/>
        </w:rPr>
      </w:pPr>
      <w:r w:rsidRPr="00357CFE">
        <w:rPr>
          <w:sz w:val="24"/>
        </w:rPr>
        <w:t>Holsti (Ole) : 287.</w:t>
      </w:r>
    </w:p>
    <w:p w14:paraId="08684EF0" w14:textId="77777777" w:rsidR="0039793A" w:rsidRPr="00357CFE" w:rsidRDefault="0039793A" w:rsidP="0039793A">
      <w:pPr>
        <w:ind w:left="540" w:hanging="540"/>
        <w:jc w:val="both"/>
        <w:rPr>
          <w:sz w:val="24"/>
        </w:rPr>
      </w:pPr>
      <w:r w:rsidRPr="00357CFE">
        <w:rPr>
          <w:sz w:val="24"/>
        </w:rPr>
        <w:t>Hoopes (Townsend) : 213</w:t>
      </w:r>
    </w:p>
    <w:p w14:paraId="24A905C3" w14:textId="77777777" w:rsidR="0039793A" w:rsidRPr="00357CFE" w:rsidRDefault="0039793A" w:rsidP="0039793A">
      <w:pPr>
        <w:ind w:left="540" w:hanging="540"/>
        <w:jc w:val="both"/>
        <w:rPr>
          <w:sz w:val="24"/>
        </w:rPr>
      </w:pPr>
      <w:r w:rsidRPr="00357CFE">
        <w:rPr>
          <w:sz w:val="24"/>
        </w:rPr>
        <w:t>Hopkins (Harry) : 87.</w:t>
      </w:r>
    </w:p>
    <w:p w14:paraId="034EC2A4" w14:textId="77777777" w:rsidR="0039793A" w:rsidRPr="00357CFE" w:rsidRDefault="0039793A" w:rsidP="0039793A">
      <w:pPr>
        <w:ind w:left="540" w:hanging="540"/>
        <w:jc w:val="both"/>
        <w:rPr>
          <w:sz w:val="24"/>
        </w:rPr>
      </w:pPr>
      <w:r w:rsidRPr="00357CFE">
        <w:rPr>
          <w:sz w:val="24"/>
        </w:rPr>
        <w:t>Hughes (Harold) : 33.</w:t>
      </w:r>
    </w:p>
    <w:p w14:paraId="7F8DB4E9" w14:textId="77777777" w:rsidR="0039793A" w:rsidRPr="00357CFE" w:rsidRDefault="0039793A" w:rsidP="0039793A">
      <w:pPr>
        <w:ind w:left="540" w:hanging="540"/>
        <w:jc w:val="both"/>
        <w:rPr>
          <w:sz w:val="24"/>
        </w:rPr>
      </w:pPr>
      <w:r w:rsidRPr="00357CFE">
        <w:rPr>
          <w:sz w:val="24"/>
        </w:rPr>
        <w:t>Hull (Cordell) : 87.</w:t>
      </w:r>
    </w:p>
    <w:p w14:paraId="7A625CB5" w14:textId="77777777" w:rsidR="0039793A" w:rsidRPr="00357CFE" w:rsidRDefault="0039793A" w:rsidP="0039793A">
      <w:pPr>
        <w:ind w:left="540" w:hanging="540"/>
        <w:jc w:val="both"/>
        <w:rPr>
          <w:sz w:val="24"/>
        </w:rPr>
      </w:pPr>
      <w:r w:rsidRPr="00357CFE">
        <w:rPr>
          <w:sz w:val="24"/>
        </w:rPr>
        <w:t>Hunt (Michael) : 10, 41, 59.</w:t>
      </w:r>
    </w:p>
    <w:p w14:paraId="2A8B8BA8" w14:textId="77777777" w:rsidR="0039793A" w:rsidRPr="00357CFE" w:rsidRDefault="0039793A" w:rsidP="0039793A">
      <w:pPr>
        <w:ind w:left="540" w:hanging="540"/>
        <w:jc w:val="both"/>
        <w:rPr>
          <w:sz w:val="24"/>
        </w:rPr>
      </w:pPr>
      <w:r w:rsidRPr="00357CFE">
        <w:rPr>
          <w:sz w:val="24"/>
        </w:rPr>
        <w:t>Huntington (Samuel P.) : 59, 122, 342, 343.</w:t>
      </w:r>
    </w:p>
    <w:p w14:paraId="46798845" w14:textId="77777777" w:rsidR="0039793A" w:rsidRPr="00357CFE" w:rsidRDefault="0039793A" w:rsidP="0039793A">
      <w:pPr>
        <w:ind w:left="540" w:hanging="540"/>
        <w:jc w:val="both"/>
        <w:rPr>
          <w:sz w:val="24"/>
        </w:rPr>
      </w:pPr>
      <w:r w:rsidRPr="00357CFE">
        <w:rPr>
          <w:sz w:val="24"/>
        </w:rPr>
        <w:t>Hussein (Saddam) : 313, 325, 350.</w:t>
      </w:r>
    </w:p>
    <w:p w14:paraId="3F6D898C" w14:textId="77777777" w:rsidR="0039793A" w:rsidRPr="00357CFE" w:rsidRDefault="0039793A" w:rsidP="0039793A">
      <w:pPr>
        <w:ind w:left="540" w:hanging="540"/>
        <w:jc w:val="both"/>
        <w:rPr>
          <w:sz w:val="24"/>
        </w:rPr>
      </w:pPr>
    </w:p>
    <w:p w14:paraId="68428876" w14:textId="77777777" w:rsidR="0039793A" w:rsidRPr="00357CFE" w:rsidRDefault="0039793A" w:rsidP="0039793A">
      <w:pPr>
        <w:ind w:left="540" w:hanging="540"/>
        <w:jc w:val="both"/>
        <w:rPr>
          <w:sz w:val="24"/>
        </w:rPr>
      </w:pPr>
      <w:r w:rsidRPr="00357CFE">
        <w:rPr>
          <w:sz w:val="24"/>
        </w:rPr>
        <w:t>Ikenberry (G. John) : 104, 110, 111, 112, 113, 116, 117, 122, 168, 207, 209.</w:t>
      </w:r>
    </w:p>
    <w:p w14:paraId="5B7A1771" w14:textId="77777777" w:rsidR="0039793A" w:rsidRPr="00357CFE" w:rsidRDefault="0039793A" w:rsidP="0039793A">
      <w:pPr>
        <w:ind w:left="540" w:hanging="540"/>
        <w:jc w:val="both"/>
        <w:rPr>
          <w:sz w:val="24"/>
        </w:rPr>
      </w:pPr>
      <w:r w:rsidRPr="00357CFE">
        <w:rPr>
          <w:sz w:val="24"/>
        </w:rPr>
        <w:t>Ivers (Gregg) : 154.</w:t>
      </w:r>
    </w:p>
    <w:p w14:paraId="75E23E90" w14:textId="77777777" w:rsidR="0039793A" w:rsidRPr="00357CFE" w:rsidRDefault="0039793A" w:rsidP="0039793A">
      <w:pPr>
        <w:ind w:left="540" w:hanging="540"/>
        <w:jc w:val="both"/>
        <w:rPr>
          <w:sz w:val="24"/>
        </w:rPr>
      </w:pPr>
    </w:p>
    <w:p w14:paraId="03870577" w14:textId="77777777" w:rsidR="0039793A" w:rsidRPr="00357CFE" w:rsidRDefault="0039793A" w:rsidP="0039793A">
      <w:pPr>
        <w:ind w:left="540" w:hanging="540"/>
        <w:jc w:val="both"/>
        <w:rPr>
          <w:sz w:val="24"/>
        </w:rPr>
      </w:pPr>
      <w:r w:rsidRPr="00357CFE">
        <w:rPr>
          <w:sz w:val="24"/>
        </w:rPr>
        <w:t>Jackson (Henry) : 74, 76, 78, 79, 80, 300.</w:t>
      </w:r>
    </w:p>
    <w:p w14:paraId="6DE9501D" w14:textId="77777777" w:rsidR="0039793A" w:rsidRPr="00357CFE" w:rsidRDefault="0039793A" w:rsidP="0039793A">
      <w:pPr>
        <w:ind w:left="540" w:hanging="540"/>
        <w:jc w:val="both"/>
        <w:rPr>
          <w:sz w:val="24"/>
        </w:rPr>
      </w:pPr>
      <w:r w:rsidRPr="00357CFE">
        <w:rPr>
          <w:sz w:val="24"/>
        </w:rPr>
        <w:t>Jackson (Jesse) : 328.</w:t>
      </w:r>
    </w:p>
    <w:p w14:paraId="2AB356FB" w14:textId="77777777" w:rsidR="0039793A" w:rsidRPr="00357CFE" w:rsidRDefault="0039793A" w:rsidP="0039793A">
      <w:pPr>
        <w:ind w:left="540" w:hanging="540"/>
        <w:jc w:val="both"/>
        <w:rPr>
          <w:sz w:val="24"/>
        </w:rPr>
      </w:pPr>
      <w:r w:rsidRPr="00357CFE">
        <w:rPr>
          <w:sz w:val="24"/>
        </w:rPr>
        <w:t>Jackson (Robert H.) : 26.</w:t>
      </w:r>
    </w:p>
    <w:p w14:paraId="3D1CAB22" w14:textId="77777777" w:rsidR="0039793A" w:rsidRPr="00357CFE" w:rsidRDefault="0039793A" w:rsidP="0039793A">
      <w:pPr>
        <w:ind w:left="540" w:hanging="540"/>
        <w:jc w:val="both"/>
        <w:rPr>
          <w:sz w:val="24"/>
        </w:rPr>
      </w:pPr>
      <w:r w:rsidRPr="00357CFE">
        <w:rPr>
          <w:sz w:val="24"/>
        </w:rPr>
        <w:t>Janis (Irving) : 174.</w:t>
      </w:r>
    </w:p>
    <w:p w14:paraId="0FDE09ED" w14:textId="77777777" w:rsidR="0039793A" w:rsidRPr="00357CFE" w:rsidRDefault="0039793A" w:rsidP="0039793A">
      <w:pPr>
        <w:ind w:left="540" w:hanging="540"/>
        <w:jc w:val="both"/>
        <w:rPr>
          <w:sz w:val="24"/>
        </w:rPr>
      </w:pPr>
      <w:r w:rsidRPr="00357CFE">
        <w:rPr>
          <w:sz w:val="24"/>
        </w:rPr>
        <w:t>Jay (John) : 19, 27,51,57.</w:t>
      </w:r>
    </w:p>
    <w:p w14:paraId="542F8304" w14:textId="77777777" w:rsidR="0039793A" w:rsidRPr="00357CFE" w:rsidRDefault="0039793A" w:rsidP="0039793A">
      <w:pPr>
        <w:ind w:left="540" w:hanging="540"/>
        <w:jc w:val="both"/>
        <w:rPr>
          <w:sz w:val="24"/>
        </w:rPr>
      </w:pPr>
      <w:r w:rsidRPr="00357CFE">
        <w:rPr>
          <w:sz w:val="24"/>
        </w:rPr>
        <w:t>Jefferson (Thomas) : 17, 28, 36, 51, 62, 73, 74, 75, 76, 78, 79, 80.</w:t>
      </w:r>
    </w:p>
    <w:p w14:paraId="3DC219F4" w14:textId="77777777" w:rsidR="0039793A" w:rsidRPr="00357CFE" w:rsidRDefault="0039793A" w:rsidP="0039793A">
      <w:pPr>
        <w:ind w:left="540" w:hanging="540"/>
        <w:jc w:val="both"/>
        <w:rPr>
          <w:sz w:val="24"/>
        </w:rPr>
      </w:pPr>
      <w:r w:rsidRPr="00357CFE">
        <w:rPr>
          <w:sz w:val="24"/>
        </w:rPr>
        <w:t>Jeffords (James) : 252, 282.</w:t>
      </w:r>
    </w:p>
    <w:p w14:paraId="5A6A75E3" w14:textId="77777777" w:rsidR="0039793A" w:rsidRPr="00357CFE" w:rsidRDefault="0039793A" w:rsidP="0039793A">
      <w:pPr>
        <w:ind w:left="540" w:hanging="540"/>
        <w:jc w:val="both"/>
        <w:rPr>
          <w:sz w:val="24"/>
        </w:rPr>
      </w:pPr>
      <w:r w:rsidRPr="00357CFE">
        <w:rPr>
          <w:sz w:val="24"/>
        </w:rPr>
        <w:t>Jeffrey-Jones (Rhodri) : 199</w:t>
      </w:r>
    </w:p>
    <w:p w14:paraId="413973E9" w14:textId="77777777" w:rsidR="0039793A" w:rsidRPr="00357CFE" w:rsidRDefault="0039793A" w:rsidP="0039793A">
      <w:pPr>
        <w:ind w:left="540" w:hanging="540"/>
        <w:jc w:val="both"/>
        <w:rPr>
          <w:sz w:val="24"/>
        </w:rPr>
      </w:pPr>
      <w:r w:rsidRPr="00357CFE">
        <w:rPr>
          <w:sz w:val="24"/>
        </w:rPr>
        <w:t>Jentleson (Bruce W.) : 9, 10, 38, 71, 72, 80, 82, 89,267.</w:t>
      </w:r>
    </w:p>
    <w:p w14:paraId="54208171" w14:textId="77777777" w:rsidR="0039793A" w:rsidRPr="00357CFE" w:rsidRDefault="0039793A" w:rsidP="0039793A">
      <w:pPr>
        <w:ind w:left="540" w:hanging="540"/>
        <w:jc w:val="both"/>
        <w:rPr>
          <w:sz w:val="24"/>
        </w:rPr>
      </w:pPr>
      <w:r w:rsidRPr="00357CFE">
        <w:rPr>
          <w:sz w:val="24"/>
        </w:rPr>
        <w:t>Johnson (Loch) : 194, 195, 198, 199, 200, 201, 216, 229, 232, 245.</w:t>
      </w:r>
    </w:p>
    <w:p w14:paraId="7E12B70B" w14:textId="77777777" w:rsidR="0039793A" w:rsidRPr="00357CFE" w:rsidRDefault="0039793A" w:rsidP="0039793A">
      <w:pPr>
        <w:ind w:left="540" w:hanging="540"/>
        <w:jc w:val="both"/>
        <w:rPr>
          <w:sz w:val="24"/>
        </w:rPr>
      </w:pPr>
      <w:r w:rsidRPr="00357CFE">
        <w:rPr>
          <w:sz w:val="24"/>
        </w:rPr>
        <w:t>Johnson (Lyndon B.) : 30, 35, 49, 58, 87, 95, 158, 161, 162, 166, 167, 168, 169, 170, 174, 189, 220, 222, 224, 236, 237, 255.</w:t>
      </w:r>
    </w:p>
    <w:p w14:paraId="2F052FE3" w14:textId="77777777" w:rsidR="0039793A" w:rsidRPr="00357CFE" w:rsidRDefault="0039793A" w:rsidP="0039793A">
      <w:pPr>
        <w:ind w:left="540" w:hanging="540"/>
        <w:jc w:val="both"/>
        <w:rPr>
          <w:sz w:val="24"/>
        </w:rPr>
      </w:pPr>
      <w:r w:rsidRPr="00357CFE">
        <w:rPr>
          <w:sz w:val="24"/>
        </w:rPr>
        <w:t>Johnson (Tim) : 342.</w:t>
      </w:r>
    </w:p>
    <w:p w14:paraId="750AD9EC" w14:textId="77777777" w:rsidR="0039793A" w:rsidRPr="00357CFE" w:rsidRDefault="0039793A" w:rsidP="0039793A">
      <w:pPr>
        <w:ind w:left="540" w:hanging="540"/>
        <w:jc w:val="both"/>
        <w:rPr>
          <w:sz w:val="24"/>
        </w:rPr>
      </w:pPr>
      <w:r w:rsidRPr="00357CFE">
        <w:rPr>
          <w:sz w:val="24"/>
        </w:rPr>
        <w:t>Johnstone (Craig) : 329</w:t>
      </w:r>
    </w:p>
    <w:p w14:paraId="3C57375C" w14:textId="77777777" w:rsidR="0039793A" w:rsidRPr="00357CFE" w:rsidRDefault="0039793A" w:rsidP="0039793A">
      <w:pPr>
        <w:ind w:left="540" w:hanging="540"/>
        <w:jc w:val="both"/>
        <w:rPr>
          <w:sz w:val="24"/>
        </w:rPr>
      </w:pPr>
      <w:r w:rsidRPr="00357CFE">
        <w:rPr>
          <w:sz w:val="24"/>
        </w:rPr>
        <w:t>Jones (Gordon) : 251.</w:t>
      </w:r>
    </w:p>
    <w:p w14:paraId="78F38B60" w14:textId="77777777" w:rsidR="0039793A" w:rsidRPr="00357CFE" w:rsidRDefault="0039793A" w:rsidP="0039793A">
      <w:pPr>
        <w:ind w:left="540" w:hanging="540"/>
        <w:jc w:val="both"/>
        <w:rPr>
          <w:sz w:val="24"/>
        </w:rPr>
      </w:pPr>
      <w:r w:rsidRPr="00357CFE">
        <w:rPr>
          <w:sz w:val="24"/>
        </w:rPr>
        <w:t>Jordan (Vernon) : 336.</w:t>
      </w:r>
    </w:p>
    <w:p w14:paraId="3236E29A" w14:textId="77777777" w:rsidR="0039793A" w:rsidRPr="00357CFE" w:rsidRDefault="0039793A" w:rsidP="0039793A">
      <w:pPr>
        <w:ind w:left="540" w:hanging="540"/>
        <w:jc w:val="both"/>
        <w:rPr>
          <w:sz w:val="24"/>
        </w:rPr>
      </w:pPr>
    </w:p>
    <w:p w14:paraId="7EA00A2E" w14:textId="77777777" w:rsidR="0039793A" w:rsidRPr="00357CFE" w:rsidRDefault="0039793A" w:rsidP="0039793A">
      <w:pPr>
        <w:ind w:left="540" w:hanging="540"/>
        <w:jc w:val="both"/>
        <w:rPr>
          <w:sz w:val="24"/>
        </w:rPr>
      </w:pPr>
      <w:r w:rsidRPr="00357CFE">
        <w:rPr>
          <w:sz w:val="24"/>
        </w:rPr>
        <w:t>Kadhafi (Muammar al-) : 313.</w:t>
      </w:r>
    </w:p>
    <w:p w14:paraId="5CB3778D" w14:textId="77777777" w:rsidR="0039793A" w:rsidRPr="00357CFE" w:rsidRDefault="0039793A" w:rsidP="0039793A">
      <w:pPr>
        <w:ind w:left="540" w:hanging="540"/>
        <w:jc w:val="both"/>
        <w:rPr>
          <w:sz w:val="24"/>
        </w:rPr>
      </w:pPr>
      <w:r w:rsidRPr="00357CFE">
        <w:rPr>
          <w:sz w:val="24"/>
        </w:rPr>
        <w:t>Kagan (Robert) : 103, 104, 106, 107, 108, 113, 139.</w:t>
      </w:r>
    </w:p>
    <w:p w14:paraId="6BFE4B57" w14:textId="77777777" w:rsidR="0039793A" w:rsidRPr="00357CFE" w:rsidRDefault="0039793A" w:rsidP="0039793A">
      <w:pPr>
        <w:ind w:left="540" w:hanging="540"/>
        <w:jc w:val="both"/>
        <w:rPr>
          <w:sz w:val="24"/>
        </w:rPr>
      </w:pPr>
      <w:r w:rsidRPr="00357CFE">
        <w:rPr>
          <w:sz w:val="24"/>
        </w:rPr>
        <w:t>Kahn (Ronald) : 16.</w:t>
      </w:r>
    </w:p>
    <w:p w14:paraId="159D30C2" w14:textId="77777777" w:rsidR="0039793A" w:rsidRPr="00357CFE" w:rsidRDefault="0039793A" w:rsidP="0039793A">
      <w:pPr>
        <w:ind w:left="540" w:hanging="540"/>
        <w:jc w:val="both"/>
        <w:rPr>
          <w:sz w:val="24"/>
        </w:rPr>
      </w:pPr>
      <w:r w:rsidRPr="00357CFE">
        <w:rPr>
          <w:sz w:val="24"/>
        </w:rPr>
        <w:t>Kaiser (Robert) : 329</w:t>
      </w:r>
    </w:p>
    <w:p w14:paraId="4A644889" w14:textId="77777777" w:rsidR="0039793A" w:rsidRPr="00357CFE" w:rsidRDefault="0039793A" w:rsidP="0039793A">
      <w:pPr>
        <w:ind w:left="540" w:hanging="540"/>
        <w:jc w:val="both"/>
        <w:rPr>
          <w:sz w:val="24"/>
        </w:rPr>
      </w:pPr>
      <w:r w:rsidRPr="00357CFE">
        <w:rPr>
          <w:sz w:val="24"/>
        </w:rPr>
        <w:t>Kant (Emmanuel) : 84, 86.</w:t>
      </w:r>
    </w:p>
    <w:p w14:paraId="043F833E" w14:textId="77777777" w:rsidR="0039793A" w:rsidRPr="00357CFE" w:rsidRDefault="0039793A" w:rsidP="0039793A">
      <w:pPr>
        <w:ind w:left="540" w:hanging="540"/>
        <w:jc w:val="both"/>
        <w:rPr>
          <w:sz w:val="24"/>
        </w:rPr>
      </w:pPr>
      <w:r w:rsidRPr="00357CFE">
        <w:rPr>
          <w:sz w:val="24"/>
        </w:rPr>
        <w:t>Kaplan (Robert D.) : 59.</w:t>
      </w:r>
    </w:p>
    <w:p w14:paraId="139AA257" w14:textId="77777777" w:rsidR="0039793A" w:rsidRPr="00357CFE" w:rsidRDefault="0039793A" w:rsidP="0039793A">
      <w:pPr>
        <w:ind w:left="540" w:hanging="540"/>
        <w:jc w:val="both"/>
        <w:rPr>
          <w:sz w:val="24"/>
        </w:rPr>
      </w:pPr>
      <w:r w:rsidRPr="00357CFE">
        <w:rPr>
          <w:sz w:val="24"/>
        </w:rPr>
        <w:t>[368]</w:t>
      </w:r>
    </w:p>
    <w:p w14:paraId="2E529BA7" w14:textId="77777777" w:rsidR="0039793A" w:rsidRPr="00357CFE" w:rsidRDefault="0039793A" w:rsidP="0039793A">
      <w:pPr>
        <w:ind w:left="540" w:hanging="540"/>
        <w:jc w:val="both"/>
        <w:rPr>
          <w:sz w:val="24"/>
        </w:rPr>
      </w:pPr>
      <w:r w:rsidRPr="00357CFE">
        <w:rPr>
          <w:sz w:val="24"/>
        </w:rPr>
        <w:t>Kapstein (Ethan B.) : 111.</w:t>
      </w:r>
    </w:p>
    <w:p w14:paraId="322A2A6A" w14:textId="77777777" w:rsidR="0039793A" w:rsidRPr="00357CFE" w:rsidRDefault="0039793A" w:rsidP="0039793A">
      <w:pPr>
        <w:ind w:left="540" w:hanging="540"/>
        <w:jc w:val="both"/>
        <w:rPr>
          <w:sz w:val="24"/>
        </w:rPr>
      </w:pPr>
      <w:r w:rsidRPr="00357CFE">
        <w:rPr>
          <w:sz w:val="24"/>
        </w:rPr>
        <w:t>Kaspi (André) : 11, 18.</w:t>
      </w:r>
    </w:p>
    <w:p w14:paraId="16A9E8B2" w14:textId="77777777" w:rsidR="0039793A" w:rsidRPr="00357CFE" w:rsidRDefault="0039793A" w:rsidP="0039793A">
      <w:pPr>
        <w:ind w:left="540" w:hanging="540"/>
        <w:jc w:val="both"/>
        <w:rPr>
          <w:sz w:val="24"/>
        </w:rPr>
      </w:pPr>
      <w:r w:rsidRPr="00357CFE">
        <w:rPr>
          <w:sz w:val="24"/>
        </w:rPr>
        <w:t>Katzmann (Robert) : 29.</w:t>
      </w:r>
    </w:p>
    <w:p w14:paraId="0F50B362" w14:textId="77777777" w:rsidR="0039793A" w:rsidRPr="00357CFE" w:rsidRDefault="0039793A" w:rsidP="0039793A">
      <w:pPr>
        <w:ind w:left="540" w:hanging="540"/>
        <w:jc w:val="both"/>
        <w:rPr>
          <w:sz w:val="24"/>
        </w:rPr>
      </w:pPr>
      <w:r w:rsidRPr="00357CFE">
        <w:rPr>
          <w:sz w:val="24"/>
        </w:rPr>
        <w:t>Kaufman (Burton Ira) : 52, 55, 74.</w:t>
      </w:r>
    </w:p>
    <w:p w14:paraId="25FE6B5A" w14:textId="77777777" w:rsidR="0039793A" w:rsidRPr="00357CFE" w:rsidRDefault="0039793A" w:rsidP="0039793A">
      <w:pPr>
        <w:ind w:left="540" w:hanging="540"/>
        <w:jc w:val="both"/>
        <w:rPr>
          <w:sz w:val="24"/>
        </w:rPr>
      </w:pPr>
      <w:r w:rsidRPr="00357CFE">
        <w:rPr>
          <w:sz w:val="24"/>
        </w:rPr>
        <w:t>Kegley (Charles) : 9, 10, 180, 183, 189, 190, 195, 198, 204, 212, 227, 251, 260, 267, 269, 297, 304, 306, 308.</w:t>
      </w:r>
    </w:p>
    <w:p w14:paraId="2C6930BE" w14:textId="77777777" w:rsidR="0039793A" w:rsidRPr="00357CFE" w:rsidRDefault="0039793A" w:rsidP="0039793A">
      <w:pPr>
        <w:ind w:left="540" w:hanging="540"/>
        <w:jc w:val="both"/>
        <w:rPr>
          <w:sz w:val="24"/>
        </w:rPr>
      </w:pPr>
      <w:r w:rsidRPr="00357CFE">
        <w:rPr>
          <w:sz w:val="24"/>
        </w:rPr>
        <w:t>Kelley (Christopher) : 157.</w:t>
      </w:r>
    </w:p>
    <w:p w14:paraId="5A7FA2B8" w14:textId="77777777" w:rsidR="0039793A" w:rsidRPr="00357CFE" w:rsidRDefault="0039793A" w:rsidP="0039793A">
      <w:pPr>
        <w:ind w:left="540" w:hanging="540"/>
        <w:jc w:val="both"/>
        <w:rPr>
          <w:sz w:val="24"/>
        </w:rPr>
      </w:pPr>
      <w:r w:rsidRPr="00357CFE">
        <w:rPr>
          <w:sz w:val="24"/>
        </w:rPr>
        <w:t>Kempf (H.) : 11.</w:t>
      </w:r>
    </w:p>
    <w:p w14:paraId="6D92416F" w14:textId="77777777" w:rsidR="0039793A" w:rsidRPr="00357CFE" w:rsidRDefault="0039793A" w:rsidP="0039793A">
      <w:pPr>
        <w:ind w:left="540" w:hanging="540"/>
        <w:jc w:val="both"/>
        <w:rPr>
          <w:sz w:val="24"/>
        </w:rPr>
      </w:pPr>
      <w:r w:rsidRPr="00357CFE">
        <w:rPr>
          <w:sz w:val="24"/>
        </w:rPr>
        <w:t>Kennan (George) : 91, 93-</w:t>
      </w:r>
    </w:p>
    <w:p w14:paraId="1EE5424D" w14:textId="77777777" w:rsidR="0039793A" w:rsidRPr="00357CFE" w:rsidRDefault="0039793A" w:rsidP="0039793A">
      <w:pPr>
        <w:ind w:left="540" w:hanging="540"/>
        <w:jc w:val="both"/>
        <w:rPr>
          <w:sz w:val="24"/>
        </w:rPr>
      </w:pPr>
      <w:r w:rsidRPr="00357CFE">
        <w:rPr>
          <w:sz w:val="24"/>
        </w:rPr>
        <w:t>Kennedy (Edward) : 30.</w:t>
      </w:r>
    </w:p>
    <w:p w14:paraId="5C2D4AEE" w14:textId="77777777" w:rsidR="0039793A" w:rsidRPr="00357CFE" w:rsidRDefault="0039793A" w:rsidP="0039793A">
      <w:pPr>
        <w:ind w:left="540" w:hanging="540"/>
        <w:jc w:val="both"/>
        <w:rPr>
          <w:sz w:val="24"/>
        </w:rPr>
      </w:pPr>
      <w:r w:rsidRPr="00357CFE">
        <w:rPr>
          <w:sz w:val="24"/>
        </w:rPr>
        <w:t>Kennedy (John F.) : 35, 46, 69, 87, 92, 95, 151, 159, 160, 165, 167, 168, 169, 170, 174, 177, 180, 189, 207, 220, 222, 229, 232, 235, 236, 243, 244, 309.</w:t>
      </w:r>
    </w:p>
    <w:p w14:paraId="50A066D3" w14:textId="77777777" w:rsidR="0039793A" w:rsidRPr="00357CFE" w:rsidRDefault="0039793A" w:rsidP="0039793A">
      <w:pPr>
        <w:ind w:left="540" w:hanging="540"/>
        <w:jc w:val="both"/>
        <w:rPr>
          <w:sz w:val="24"/>
        </w:rPr>
      </w:pPr>
      <w:r w:rsidRPr="00357CFE">
        <w:rPr>
          <w:sz w:val="24"/>
        </w:rPr>
        <w:t>Kirkpatrick (Jeanne) : 89-</w:t>
      </w:r>
    </w:p>
    <w:p w14:paraId="349588BE" w14:textId="77777777" w:rsidR="0039793A" w:rsidRPr="00357CFE" w:rsidRDefault="0039793A" w:rsidP="0039793A">
      <w:pPr>
        <w:ind w:left="540" w:hanging="540"/>
        <w:jc w:val="both"/>
        <w:rPr>
          <w:sz w:val="24"/>
        </w:rPr>
      </w:pPr>
      <w:r w:rsidRPr="00357CFE">
        <w:rPr>
          <w:sz w:val="24"/>
        </w:rPr>
        <w:t>Kissinger (Henry) : 30, 74, 92, 93, 180, 221, 224, 225, 226, 227, 228, 237, 238, 239, 242, 286, 305, 313, 340.</w:t>
      </w:r>
    </w:p>
    <w:p w14:paraId="67AB9D90" w14:textId="77777777" w:rsidR="0039793A" w:rsidRPr="00357CFE" w:rsidRDefault="0039793A" w:rsidP="0039793A">
      <w:pPr>
        <w:ind w:left="540" w:hanging="540"/>
        <w:jc w:val="both"/>
        <w:rPr>
          <w:sz w:val="24"/>
        </w:rPr>
      </w:pPr>
      <w:r w:rsidRPr="00357CFE">
        <w:rPr>
          <w:sz w:val="24"/>
        </w:rPr>
        <w:t>Klingberg (Frank L.) : 302.</w:t>
      </w:r>
    </w:p>
    <w:p w14:paraId="3DC89486" w14:textId="77777777" w:rsidR="0039793A" w:rsidRPr="00357CFE" w:rsidRDefault="0039793A" w:rsidP="0039793A">
      <w:pPr>
        <w:ind w:left="540" w:hanging="540"/>
        <w:jc w:val="both"/>
        <w:rPr>
          <w:sz w:val="24"/>
        </w:rPr>
      </w:pPr>
      <w:r w:rsidRPr="00357CFE">
        <w:rPr>
          <w:sz w:val="24"/>
        </w:rPr>
        <w:t>Knox (Philander) : 48.</w:t>
      </w:r>
    </w:p>
    <w:p w14:paraId="52F6B225" w14:textId="77777777" w:rsidR="0039793A" w:rsidRPr="00357CFE" w:rsidRDefault="0039793A" w:rsidP="0039793A">
      <w:pPr>
        <w:ind w:left="540" w:hanging="540"/>
        <w:jc w:val="both"/>
        <w:rPr>
          <w:sz w:val="24"/>
        </w:rPr>
      </w:pPr>
      <w:r w:rsidRPr="00357CFE">
        <w:rPr>
          <w:sz w:val="24"/>
        </w:rPr>
        <w:t>Kolko (Gabriel) : 10.</w:t>
      </w:r>
    </w:p>
    <w:p w14:paraId="5D1D0AA2" w14:textId="77777777" w:rsidR="0039793A" w:rsidRPr="00357CFE" w:rsidRDefault="0039793A" w:rsidP="0039793A">
      <w:pPr>
        <w:ind w:left="540" w:hanging="540"/>
        <w:jc w:val="both"/>
        <w:rPr>
          <w:sz w:val="24"/>
        </w:rPr>
      </w:pPr>
      <w:r w:rsidRPr="00357CFE">
        <w:rPr>
          <w:sz w:val="24"/>
        </w:rPr>
        <w:t>Koppel (Ted) : 307.</w:t>
      </w:r>
    </w:p>
    <w:p w14:paraId="3E2DD6D9" w14:textId="77777777" w:rsidR="0039793A" w:rsidRPr="00357CFE" w:rsidRDefault="0039793A" w:rsidP="0039793A">
      <w:pPr>
        <w:ind w:left="540" w:hanging="540"/>
        <w:jc w:val="both"/>
        <w:rPr>
          <w:sz w:val="24"/>
        </w:rPr>
      </w:pPr>
      <w:r w:rsidRPr="00357CFE">
        <w:rPr>
          <w:sz w:val="24"/>
        </w:rPr>
        <w:t>Krasner (Stephen) : 207.</w:t>
      </w:r>
    </w:p>
    <w:p w14:paraId="7F980F2E" w14:textId="77777777" w:rsidR="0039793A" w:rsidRPr="00357CFE" w:rsidRDefault="0039793A" w:rsidP="0039793A">
      <w:pPr>
        <w:ind w:left="540" w:hanging="540"/>
        <w:jc w:val="both"/>
        <w:rPr>
          <w:sz w:val="24"/>
        </w:rPr>
      </w:pPr>
      <w:r w:rsidRPr="00357CFE">
        <w:rPr>
          <w:sz w:val="24"/>
        </w:rPr>
        <w:t>Kratochwil (Friedrich) : 43.</w:t>
      </w:r>
    </w:p>
    <w:p w14:paraId="078B5B70" w14:textId="77777777" w:rsidR="0039793A" w:rsidRPr="00357CFE" w:rsidRDefault="0039793A" w:rsidP="0039793A">
      <w:pPr>
        <w:ind w:left="540" w:hanging="540"/>
        <w:jc w:val="both"/>
        <w:rPr>
          <w:sz w:val="24"/>
        </w:rPr>
      </w:pPr>
      <w:r w:rsidRPr="00357CFE">
        <w:rPr>
          <w:sz w:val="24"/>
        </w:rPr>
        <w:t>Krauthammer (Charles) : 104, 108, 109, 113, 139.</w:t>
      </w:r>
    </w:p>
    <w:p w14:paraId="083F97C1" w14:textId="77777777" w:rsidR="0039793A" w:rsidRPr="00357CFE" w:rsidRDefault="0039793A" w:rsidP="0039793A">
      <w:pPr>
        <w:ind w:left="540" w:hanging="540"/>
        <w:jc w:val="both"/>
        <w:rPr>
          <w:sz w:val="24"/>
        </w:rPr>
      </w:pPr>
      <w:r w:rsidRPr="00357CFE">
        <w:rPr>
          <w:sz w:val="24"/>
        </w:rPr>
        <w:t>Kristol (William) : 103, 104, 106, 108, 113, 139.</w:t>
      </w:r>
    </w:p>
    <w:p w14:paraId="0AAD8635" w14:textId="77777777" w:rsidR="0039793A" w:rsidRPr="00357CFE" w:rsidRDefault="0039793A" w:rsidP="0039793A">
      <w:pPr>
        <w:ind w:left="540" w:hanging="540"/>
        <w:jc w:val="both"/>
        <w:rPr>
          <w:sz w:val="24"/>
        </w:rPr>
      </w:pPr>
      <w:r w:rsidRPr="00357CFE">
        <w:rPr>
          <w:sz w:val="24"/>
        </w:rPr>
        <w:t>Krugman (Paul) : 322.</w:t>
      </w:r>
    </w:p>
    <w:p w14:paraId="3E02507B" w14:textId="77777777" w:rsidR="0039793A" w:rsidRPr="00357CFE" w:rsidRDefault="0039793A" w:rsidP="0039793A">
      <w:pPr>
        <w:ind w:left="540" w:hanging="540"/>
        <w:jc w:val="both"/>
        <w:rPr>
          <w:sz w:val="24"/>
        </w:rPr>
      </w:pPr>
      <w:r w:rsidRPr="00357CFE">
        <w:rPr>
          <w:sz w:val="24"/>
        </w:rPr>
        <w:t>Kull (Steven) : 288, 289, 290, 296.</w:t>
      </w:r>
    </w:p>
    <w:p w14:paraId="79D6657B" w14:textId="77777777" w:rsidR="0039793A" w:rsidRPr="00357CFE" w:rsidRDefault="0039793A" w:rsidP="0039793A">
      <w:pPr>
        <w:ind w:left="540" w:hanging="540"/>
        <w:jc w:val="both"/>
        <w:rPr>
          <w:sz w:val="24"/>
        </w:rPr>
      </w:pPr>
      <w:r w:rsidRPr="00357CFE">
        <w:rPr>
          <w:sz w:val="24"/>
        </w:rPr>
        <w:t>Kupchan (Charles A.) : 104, 113, 121, 122</w:t>
      </w:r>
      <w:r w:rsidRPr="00357CFE">
        <w:rPr>
          <w:rStyle w:val="Corpsdutexte965ptGrasEspacement0pt"/>
          <w:sz w:val="24"/>
        </w:rPr>
        <w:t xml:space="preserve">, </w:t>
      </w:r>
      <w:r w:rsidRPr="00357CFE">
        <w:rPr>
          <w:sz w:val="24"/>
        </w:rPr>
        <w:t>123</w:t>
      </w:r>
      <w:r w:rsidRPr="00357CFE">
        <w:rPr>
          <w:rStyle w:val="Corpsdutexte965ptGrasEspacement0pt"/>
          <w:sz w:val="24"/>
        </w:rPr>
        <w:t>.</w:t>
      </w:r>
    </w:p>
    <w:p w14:paraId="310027FB" w14:textId="77777777" w:rsidR="0039793A" w:rsidRPr="00357CFE" w:rsidRDefault="0039793A" w:rsidP="0039793A">
      <w:pPr>
        <w:ind w:left="540" w:hanging="540"/>
        <w:jc w:val="both"/>
        <w:rPr>
          <w:sz w:val="24"/>
        </w:rPr>
      </w:pPr>
    </w:p>
    <w:p w14:paraId="6E0A8B3E" w14:textId="77777777" w:rsidR="0039793A" w:rsidRPr="00357CFE" w:rsidRDefault="0039793A" w:rsidP="0039793A">
      <w:pPr>
        <w:ind w:left="540" w:hanging="540"/>
        <w:jc w:val="both"/>
        <w:rPr>
          <w:sz w:val="24"/>
        </w:rPr>
      </w:pPr>
      <w:r w:rsidRPr="00357CFE">
        <w:rPr>
          <w:sz w:val="24"/>
        </w:rPr>
        <w:t>Lacorne (Denis) : 252.</w:t>
      </w:r>
    </w:p>
    <w:p w14:paraId="258CB92B" w14:textId="77777777" w:rsidR="0039793A" w:rsidRPr="00357CFE" w:rsidRDefault="0039793A" w:rsidP="0039793A">
      <w:pPr>
        <w:ind w:left="540" w:hanging="540"/>
        <w:jc w:val="both"/>
        <w:rPr>
          <w:sz w:val="24"/>
        </w:rPr>
      </w:pPr>
      <w:r w:rsidRPr="00357CFE">
        <w:rPr>
          <w:sz w:val="24"/>
        </w:rPr>
        <w:t>Lacour-Gayet (Robert) : 50, 52, 56, 74.</w:t>
      </w:r>
    </w:p>
    <w:p w14:paraId="22A872FA" w14:textId="77777777" w:rsidR="0039793A" w:rsidRPr="00357CFE" w:rsidRDefault="0039793A" w:rsidP="0039793A">
      <w:pPr>
        <w:ind w:left="540" w:hanging="540"/>
        <w:jc w:val="both"/>
        <w:rPr>
          <w:sz w:val="24"/>
        </w:rPr>
      </w:pPr>
      <w:r w:rsidRPr="00357CFE">
        <w:rPr>
          <w:sz w:val="24"/>
        </w:rPr>
        <w:t>Lacroix (Jean-Michel) : 45, 74, 75, 77.</w:t>
      </w:r>
    </w:p>
    <w:p w14:paraId="334F97D2" w14:textId="77777777" w:rsidR="0039793A" w:rsidRPr="00357CFE" w:rsidRDefault="0039793A" w:rsidP="0039793A">
      <w:pPr>
        <w:ind w:left="540" w:hanging="540"/>
        <w:jc w:val="both"/>
        <w:rPr>
          <w:sz w:val="24"/>
        </w:rPr>
      </w:pPr>
      <w:r w:rsidRPr="00357CFE">
        <w:rPr>
          <w:sz w:val="24"/>
        </w:rPr>
        <w:t>Lafayette (marquis de) : 55.</w:t>
      </w:r>
    </w:p>
    <w:p w14:paraId="0F801335" w14:textId="77777777" w:rsidR="0039793A" w:rsidRPr="00357CFE" w:rsidRDefault="0039793A" w:rsidP="0039793A">
      <w:pPr>
        <w:ind w:left="540" w:hanging="540"/>
        <w:jc w:val="both"/>
        <w:rPr>
          <w:sz w:val="24"/>
        </w:rPr>
      </w:pPr>
      <w:r w:rsidRPr="00357CFE">
        <w:rPr>
          <w:sz w:val="24"/>
        </w:rPr>
        <w:t>Laird (Mervin) : 189.</w:t>
      </w:r>
    </w:p>
    <w:p w14:paraId="3F6D8968" w14:textId="77777777" w:rsidR="0039793A" w:rsidRPr="00357CFE" w:rsidRDefault="0039793A" w:rsidP="0039793A">
      <w:pPr>
        <w:ind w:left="540" w:hanging="540"/>
        <w:jc w:val="both"/>
        <w:rPr>
          <w:sz w:val="24"/>
        </w:rPr>
      </w:pPr>
      <w:r w:rsidRPr="00357CFE">
        <w:rPr>
          <w:sz w:val="24"/>
        </w:rPr>
        <w:t>Lake (Anthony) : 30, 151, 209, 224, 243, 244.</w:t>
      </w:r>
    </w:p>
    <w:p w14:paraId="683D3A9D" w14:textId="77777777" w:rsidR="0039793A" w:rsidRPr="00357CFE" w:rsidRDefault="0039793A" w:rsidP="0039793A">
      <w:pPr>
        <w:ind w:left="540" w:hanging="540"/>
        <w:jc w:val="both"/>
        <w:rPr>
          <w:sz w:val="24"/>
        </w:rPr>
      </w:pPr>
      <w:r w:rsidRPr="00357CFE">
        <w:rPr>
          <w:sz w:val="24"/>
        </w:rPr>
        <w:t>Lambert (Édouard) : 16.</w:t>
      </w:r>
    </w:p>
    <w:p w14:paraId="0FFE7F17" w14:textId="77777777" w:rsidR="0039793A" w:rsidRPr="00357CFE" w:rsidRDefault="0039793A" w:rsidP="0039793A">
      <w:pPr>
        <w:ind w:left="540" w:hanging="540"/>
        <w:jc w:val="both"/>
        <w:rPr>
          <w:sz w:val="24"/>
        </w:rPr>
      </w:pPr>
      <w:r w:rsidRPr="00357CFE">
        <w:rPr>
          <w:sz w:val="24"/>
        </w:rPr>
        <w:t>Lapid (Yosef) : 43.</w:t>
      </w:r>
    </w:p>
    <w:p w14:paraId="315E57F8" w14:textId="77777777" w:rsidR="0039793A" w:rsidRPr="00357CFE" w:rsidRDefault="0039793A" w:rsidP="0039793A">
      <w:pPr>
        <w:ind w:left="540" w:hanging="540"/>
        <w:jc w:val="both"/>
        <w:rPr>
          <w:sz w:val="24"/>
        </w:rPr>
      </w:pPr>
      <w:r w:rsidRPr="00357CFE">
        <w:rPr>
          <w:sz w:val="24"/>
        </w:rPr>
        <w:t>Lavorel (Sabine) : 25, 35, 37, 244.</w:t>
      </w:r>
    </w:p>
    <w:p w14:paraId="0B618AEE" w14:textId="77777777" w:rsidR="0039793A" w:rsidRPr="00357CFE" w:rsidRDefault="0039793A" w:rsidP="0039793A">
      <w:pPr>
        <w:ind w:left="540" w:hanging="540"/>
        <w:jc w:val="both"/>
        <w:rPr>
          <w:sz w:val="24"/>
        </w:rPr>
      </w:pPr>
      <w:r w:rsidRPr="00357CFE">
        <w:rPr>
          <w:sz w:val="24"/>
        </w:rPr>
        <w:t>Lay (James) : 233.</w:t>
      </w:r>
    </w:p>
    <w:p w14:paraId="381B8B07" w14:textId="77777777" w:rsidR="0039793A" w:rsidRPr="00357CFE" w:rsidRDefault="0039793A" w:rsidP="0039793A">
      <w:pPr>
        <w:ind w:left="540" w:hanging="540"/>
        <w:jc w:val="both"/>
        <w:rPr>
          <w:sz w:val="24"/>
        </w:rPr>
      </w:pPr>
      <w:r w:rsidRPr="00357CFE">
        <w:rPr>
          <w:sz w:val="24"/>
        </w:rPr>
        <w:t>Levy (Leonard W.) : 16.</w:t>
      </w:r>
    </w:p>
    <w:p w14:paraId="13B158B9" w14:textId="77777777" w:rsidR="0039793A" w:rsidRPr="00357CFE" w:rsidRDefault="0039793A" w:rsidP="0039793A">
      <w:pPr>
        <w:ind w:left="540" w:hanging="540"/>
        <w:jc w:val="both"/>
        <w:rPr>
          <w:sz w:val="24"/>
        </w:rPr>
      </w:pPr>
      <w:r w:rsidRPr="00357CFE">
        <w:rPr>
          <w:sz w:val="24"/>
        </w:rPr>
        <w:t>Lewinsky (Monica) : 253.</w:t>
      </w:r>
    </w:p>
    <w:p w14:paraId="15A56822" w14:textId="77777777" w:rsidR="0039793A" w:rsidRPr="00357CFE" w:rsidRDefault="0039793A" w:rsidP="0039793A">
      <w:pPr>
        <w:ind w:left="540" w:hanging="540"/>
        <w:jc w:val="both"/>
        <w:rPr>
          <w:sz w:val="24"/>
        </w:rPr>
      </w:pPr>
      <w:r w:rsidRPr="00357CFE">
        <w:rPr>
          <w:sz w:val="24"/>
        </w:rPr>
        <w:t>Lieber (Ronald) : 279, 287.</w:t>
      </w:r>
    </w:p>
    <w:p w14:paraId="0598994D" w14:textId="77777777" w:rsidR="0039793A" w:rsidRPr="00357CFE" w:rsidRDefault="0039793A" w:rsidP="0039793A">
      <w:pPr>
        <w:ind w:left="540" w:hanging="540"/>
        <w:jc w:val="both"/>
        <w:rPr>
          <w:sz w:val="24"/>
        </w:rPr>
      </w:pPr>
      <w:r w:rsidRPr="00357CFE">
        <w:rPr>
          <w:sz w:val="24"/>
        </w:rPr>
        <w:t>Lincoln (Abraham) : 36, 50, 58.</w:t>
      </w:r>
    </w:p>
    <w:p w14:paraId="4A3DD43F" w14:textId="77777777" w:rsidR="0039793A" w:rsidRPr="00357CFE" w:rsidRDefault="0039793A" w:rsidP="0039793A">
      <w:pPr>
        <w:ind w:left="540" w:hanging="540"/>
        <w:jc w:val="both"/>
        <w:rPr>
          <w:sz w:val="24"/>
        </w:rPr>
      </w:pPr>
      <w:r w:rsidRPr="00357CFE">
        <w:rPr>
          <w:sz w:val="24"/>
        </w:rPr>
        <w:t>Lind (Michael) : 300, 301, 302.</w:t>
      </w:r>
    </w:p>
    <w:p w14:paraId="41045458" w14:textId="77777777" w:rsidR="0039793A" w:rsidRPr="00357CFE" w:rsidRDefault="0039793A" w:rsidP="0039793A">
      <w:pPr>
        <w:ind w:left="540" w:hanging="540"/>
        <w:jc w:val="both"/>
        <w:rPr>
          <w:sz w:val="24"/>
        </w:rPr>
      </w:pPr>
      <w:r w:rsidRPr="00357CFE">
        <w:rPr>
          <w:sz w:val="24"/>
        </w:rPr>
        <w:t>Lindbergh (Charles) : 287.</w:t>
      </w:r>
    </w:p>
    <w:p w14:paraId="5E249D8B" w14:textId="77777777" w:rsidR="0039793A" w:rsidRPr="00357CFE" w:rsidRDefault="0039793A" w:rsidP="0039793A">
      <w:pPr>
        <w:ind w:left="540" w:hanging="540"/>
        <w:jc w:val="both"/>
        <w:rPr>
          <w:sz w:val="24"/>
        </w:rPr>
      </w:pPr>
      <w:r w:rsidRPr="00357CFE">
        <w:rPr>
          <w:sz w:val="24"/>
        </w:rPr>
        <w:t>Lindsay (James) : 182, 184, 199, 209, 225, 265, 266, 269, 314.</w:t>
      </w:r>
    </w:p>
    <w:p w14:paraId="3DBCB4B7" w14:textId="77777777" w:rsidR="0039793A" w:rsidRPr="00357CFE" w:rsidRDefault="0039793A" w:rsidP="0039793A">
      <w:pPr>
        <w:ind w:left="540" w:hanging="540"/>
        <w:jc w:val="both"/>
        <w:rPr>
          <w:sz w:val="24"/>
        </w:rPr>
      </w:pPr>
      <w:r w:rsidRPr="00357CFE">
        <w:rPr>
          <w:sz w:val="24"/>
        </w:rPr>
        <w:t>Lippman (Thomas W.) : 263</w:t>
      </w:r>
    </w:p>
    <w:p w14:paraId="0B6D9472" w14:textId="77777777" w:rsidR="0039793A" w:rsidRPr="00357CFE" w:rsidRDefault="0039793A" w:rsidP="0039793A">
      <w:pPr>
        <w:ind w:left="540" w:hanging="540"/>
        <w:jc w:val="both"/>
        <w:rPr>
          <w:sz w:val="24"/>
        </w:rPr>
      </w:pPr>
      <w:r w:rsidRPr="00357CFE">
        <w:rPr>
          <w:sz w:val="24"/>
        </w:rPr>
        <w:t>Lipscomb (Andrew A.) : 75.</w:t>
      </w:r>
    </w:p>
    <w:p w14:paraId="05E4833A" w14:textId="77777777" w:rsidR="0039793A" w:rsidRPr="00357CFE" w:rsidRDefault="0039793A" w:rsidP="0039793A">
      <w:pPr>
        <w:ind w:left="540" w:hanging="540"/>
        <w:jc w:val="both"/>
        <w:rPr>
          <w:sz w:val="24"/>
        </w:rPr>
      </w:pPr>
      <w:r w:rsidRPr="00357CFE">
        <w:rPr>
          <w:sz w:val="24"/>
        </w:rPr>
        <w:t>Locke (John) : 17, 18, 36.</w:t>
      </w:r>
    </w:p>
    <w:p w14:paraId="2A8B092F" w14:textId="77777777" w:rsidR="0039793A" w:rsidRPr="00357CFE" w:rsidRDefault="0039793A" w:rsidP="0039793A">
      <w:pPr>
        <w:ind w:left="540" w:hanging="540"/>
        <w:jc w:val="both"/>
        <w:rPr>
          <w:sz w:val="24"/>
        </w:rPr>
      </w:pPr>
      <w:r w:rsidRPr="00357CFE">
        <w:rPr>
          <w:sz w:val="24"/>
        </w:rPr>
        <w:t>Lodge (Henry Cabot) : 77.</w:t>
      </w:r>
    </w:p>
    <w:p w14:paraId="32EC23FF" w14:textId="77777777" w:rsidR="0039793A" w:rsidRPr="00357CFE" w:rsidRDefault="0039793A" w:rsidP="0039793A">
      <w:pPr>
        <w:ind w:left="540" w:hanging="540"/>
        <w:jc w:val="both"/>
        <w:rPr>
          <w:sz w:val="24"/>
        </w:rPr>
      </w:pPr>
      <w:r w:rsidRPr="00357CFE">
        <w:rPr>
          <w:sz w:val="24"/>
        </w:rPr>
        <w:t>Lott (Trent) :315, 338, 339.</w:t>
      </w:r>
    </w:p>
    <w:p w14:paraId="282DB1E6" w14:textId="77777777" w:rsidR="0039793A" w:rsidRPr="00357CFE" w:rsidRDefault="0039793A" w:rsidP="0039793A">
      <w:pPr>
        <w:ind w:left="540" w:hanging="540"/>
        <w:jc w:val="both"/>
        <w:rPr>
          <w:sz w:val="24"/>
        </w:rPr>
      </w:pPr>
      <w:r w:rsidRPr="00357CFE">
        <w:rPr>
          <w:sz w:val="24"/>
        </w:rPr>
        <w:t>Lowenthal (Mark) : 194, 195, 198, 201.</w:t>
      </w:r>
    </w:p>
    <w:p w14:paraId="7C0E8A3C" w14:textId="77777777" w:rsidR="0039793A" w:rsidRPr="00357CFE" w:rsidRDefault="0039793A" w:rsidP="0039793A">
      <w:pPr>
        <w:ind w:left="540" w:hanging="540"/>
        <w:jc w:val="both"/>
        <w:rPr>
          <w:sz w:val="24"/>
        </w:rPr>
      </w:pPr>
      <w:r w:rsidRPr="00357CFE">
        <w:rPr>
          <w:sz w:val="24"/>
        </w:rPr>
        <w:t>Lowi (Théodore) : 159.</w:t>
      </w:r>
    </w:p>
    <w:p w14:paraId="54DA1D27" w14:textId="77777777" w:rsidR="0039793A" w:rsidRPr="00357CFE" w:rsidRDefault="0039793A" w:rsidP="0039793A">
      <w:pPr>
        <w:ind w:left="540" w:hanging="540"/>
        <w:jc w:val="both"/>
        <w:rPr>
          <w:sz w:val="24"/>
        </w:rPr>
      </w:pPr>
      <w:r w:rsidRPr="00357CFE">
        <w:rPr>
          <w:sz w:val="24"/>
        </w:rPr>
        <w:t>Lugar (Richard) : 94.</w:t>
      </w:r>
    </w:p>
    <w:p w14:paraId="4E9D36A9" w14:textId="77777777" w:rsidR="0039793A" w:rsidRPr="00357CFE" w:rsidRDefault="0039793A" w:rsidP="0039793A">
      <w:pPr>
        <w:ind w:left="540" w:hanging="540"/>
        <w:jc w:val="both"/>
        <w:rPr>
          <w:sz w:val="24"/>
        </w:rPr>
      </w:pPr>
    </w:p>
    <w:p w14:paraId="0046D4E7" w14:textId="77777777" w:rsidR="0039793A" w:rsidRPr="00357CFE" w:rsidRDefault="0039793A" w:rsidP="0039793A">
      <w:pPr>
        <w:ind w:left="540" w:hanging="540"/>
        <w:jc w:val="both"/>
        <w:rPr>
          <w:sz w:val="24"/>
        </w:rPr>
      </w:pPr>
      <w:r w:rsidRPr="00357CFE">
        <w:rPr>
          <w:sz w:val="24"/>
        </w:rPr>
        <w:t>Mac Arthur (Douglas) : 148.</w:t>
      </w:r>
    </w:p>
    <w:p w14:paraId="38625DC9" w14:textId="77777777" w:rsidR="0039793A" w:rsidRPr="00357CFE" w:rsidRDefault="0039793A" w:rsidP="0039793A">
      <w:pPr>
        <w:ind w:left="540" w:hanging="540"/>
        <w:jc w:val="both"/>
        <w:rPr>
          <w:sz w:val="24"/>
        </w:rPr>
      </w:pPr>
      <w:r w:rsidRPr="00357CFE">
        <w:rPr>
          <w:sz w:val="24"/>
        </w:rPr>
        <w:t>Madison (James) : 16, 19, 21, 22, 27, 28, 29.</w:t>
      </w:r>
    </w:p>
    <w:p w14:paraId="30B4C6E2" w14:textId="77777777" w:rsidR="0039793A" w:rsidRPr="00357CFE" w:rsidRDefault="0039793A" w:rsidP="0039793A">
      <w:pPr>
        <w:ind w:left="540" w:hanging="540"/>
        <w:jc w:val="both"/>
        <w:rPr>
          <w:sz w:val="24"/>
        </w:rPr>
      </w:pPr>
      <w:r w:rsidRPr="00357CFE">
        <w:rPr>
          <w:sz w:val="24"/>
        </w:rPr>
        <w:t>Mahan (Alfred T.) : 77.</w:t>
      </w:r>
    </w:p>
    <w:p w14:paraId="223E8C51" w14:textId="77777777" w:rsidR="0039793A" w:rsidRPr="00357CFE" w:rsidRDefault="0039793A" w:rsidP="0039793A">
      <w:pPr>
        <w:ind w:left="540" w:hanging="540"/>
        <w:jc w:val="both"/>
        <w:rPr>
          <w:sz w:val="24"/>
        </w:rPr>
      </w:pPr>
      <w:r w:rsidRPr="00357CFE">
        <w:rPr>
          <w:sz w:val="24"/>
        </w:rPr>
        <w:t>Malavielle (Anne-Marie) : 334.</w:t>
      </w:r>
    </w:p>
    <w:p w14:paraId="5499CC73" w14:textId="77777777" w:rsidR="0039793A" w:rsidRPr="00357CFE" w:rsidRDefault="0039793A" w:rsidP="0039793A">
      <w:pPr>
        <w:ind w:left="540" w:hanging="540"/>
        <w:jc w:val="both"/>
        <w:rPr>
          <w:sz w:val="24"/>
        </w:rPr>
      </w:pPr>
      <w:r w:rsidRPr="00357CFE">
        <w:rPr>
          <w:sz w:val="24"/>
        </w:rPr>
        <w:t>Malfatto (Pierre-Louis) : 12.</w:t>
      </w:r>
    </w:p>
    <w:p w14:paraId="2B454D7E" w14:textId="77777777" w:rsidR="0039793A" w:rsidRPr="00357CFE" w:rsidRDefault="0039793A" w:rsidP="0039793A">
      <w:pPr>
        <w:ind w:left="540" w:hanging="540"/>
        <w:jc w:val="both"/>
        <w:rPr>
          <w:sz w:val="24"/>
        </w:rPr>
      </w:pPr>
      <w:r w:rsidRPr="00357CFE">
        <w:rPr>
          <w:sz w:val="24"/>
        </w:rPr>
        <w:t>Mandelbaum (Michael) : 98, 104, 123, 126, 127, 128.</w:t>
      </w:r>
    </w:p>
    <w:p w14:paraId="1CBA9BF7" w14:textId="77777777" w:rsidR="0039793A" w:rsidRPr="00357CFE" w:rsidRDefault="0039793A" w:rsidP="0039793A">
      <w:pPr>
        <w:ind w:left="540" w:hanging="540"/>
        <w:jc w:val="both"/>
        <w:rPr>
          <w:sz w:val="24"/>
        </w:rPr>
      </w:pPr>
      <w:r w:rsidRPr="00357CFE">
        <w:rPr>
          <w:sz w:val="24"/>
        </w:rPr>
        <w:t>Mann (Charles) : 203.</w:t>
      </w:r>
    </w:p>
    <w:p w14:paraId="3DFE0741" w14:textId="77777777" w:rsidR="0039793A" w:rsidRPr="00357CFE" w:rsidRDefault="0039793A" w:rsidP="0039793A">
      <w:pPr>
        <w:ind w:left="540" w:hanging="540"/>
        <w:jc w:val="both"/>
        <w:rPr>
          <w:sz w:val="24"/>
        </w:rPr>
      </w:pPr>
      <w:r w:rsidRPr="00357CFE">
        <w:rPr>
          <w:sz w:val="24"/>
        </w:rPr>
        <w:t>Mann (Thomas E.) : 10, 25, 29, 36, 38, 333.</w:t>
      </w:r>
    </w:p>
    <w:p w14:paraId="55692F1D" w14:textId="77777777" w:rsidR="0039793A" w:rsidRPr="00357CFE" w:rsidRDefault="0039793A" w:rsidP="0039793A">
      <w:pPr>
        <w:ind w:left="540" w:hanging="540"/>
        <w:jc w:val="both"/>
        <w:rPr>
          <w:sz w:val="24"/>
        </w:rPr>
      </w:pPr>
      <w:r w:rsidRPr="00357CFE">
        <w:rPr>
          <w:sz w:val="24"/>
        </w:rPr>
        <w:t>Mao Zedong : 313</w:t>
      </w:r>
    </w:p>
    <w:p w14:paraId="3F4157F5" w14:textId="77777777" w:rsidR="0039793A" w:rsidRPr="00357CFE" w:rsidRDefault="0039793A" w:rsidP="0039793A">
      <w:pPr>
        <w:ind w:left="540" w:hanging="540"/>
        <w:jc w:val="both"/>
        <w:rPr>
          <w:sz w:val="24"/>
        </w:rPr>
      </w:pPr>
      <w:r w:rsidRPr="00357CFE">
        <w:rPr>
          <w:sz w:val="24"/>
        </w:rPr>
        <w:t>Marchai (Roland) : 314.</w:t>
      </w:r>
    </w:p>
    <w:p w14:paraId="48D82579" w14:textId="77777777" w:rsidR="0039793A" w:rsidRPr="00357CFE" w:rsidRDefault="0039793A" w:rsidP="0039793A">
      <w:pPr>
        <w:ind w:left="540" w:hanging="540"/>
        <w:jc w:val="both"/>
        <w:rPr>
          <w:sz w:val="24"/>
        </w:rPr>
      </w:pPr>
      <w:r w:rsidRPr="00357CFE">
        <w:rPr>
          <w:sz w:val="24"/>
        </w:rPr>
        <w:t>Marienstras (Élise) : 11,44, 50, 57, 58.</w:t>
      </w:r>
    </w:p>
    <w:p w14:paraId="27227A23" w14:textId="77777777" w:rsidR="0039793A" w:rsidRPr="00357CFE" w:rsidRDefault="0039793A" w:rsidP="0039793A">
      <w:pPr>
        <w:ind w:left="540" w:hanging="540"/>
        <w:jc w:val="both"/>
        <w:rPr>
          <w:sz w:val="24"/>
        </w:rPr>
      </w:pPr>
      <w:r w:rsidRPr="00357CFE">
        <w:rPr>
          <w:sz w:val="24"/>
        </w:rPr>
        <w:t>Marini (John) : 251.</w:t>
      </w:r>
    </w:p>
    <w:p w14:paraId="70B448C2" w14:textId="77777777" w:rsidR="0039793A" w:rsidRPr="00357CFE" w:rsidRDefault="0039793A" w:rsidP="0039793A">
      <w:pPr>
        <w:ind w:left="540" w:hanging="540"/>
        <w:jc w:val="both"/>
        <w:rPr>
          <w:sz w:val="24"/>
        </w:rPr>
      </w:pPr>
      <w:r w:rsidRPr="00357CFE">
        <w:rPr>
          <w:sz w:val="24"/>
        </w:rPr>
        <w:t>Marshall (George) : 48, 69, 233</w:t>
      </w:r>
    </w:p>
    <w:p w14:paraId="4F583595" w14:textId="77777777" w:rsidR="0039793A" w:rsidRPr="00357CFE" w:rsidRDefault="0039793A" w:rsidP="0039793A">
      <w:pPr>
        <w:ind w:left="540" w:hanging="540"/>
        <w:jc w:val="both"/>
        <w:rPr>
          <w:sz w:val="24"/>
        </w:rPr>
      </w:pPr>
      <w:r w:rsidRPr="00357CFE">
        <w:rPr>
          <w:sz w:val="24"/>
        </w:rPr>
        <w:t>Marshall (John) : 34.</w:t>
      </w:r>
    </w:p>
    <w:p w14:paraId="060C7FC1" w14:textId="77777777" w:rsidR="0039793A" w:rsidRPr="00357CFE" w:rsidRDefault="0039793A" w:rsidP="0039793A">
      <w:pPr>
        <w:ind w:left="540" w:hanging="540"/>
        <w:jc w:val="both"/>
        <w:rPr>
          <w:sz w:val="24"/>
        </w:rPr>
      </w:pPr>
      <w:r w:rsidRPr="00357CFE">
        <w:rPr>
          <w:sz w:val="24"/>
        </w:rPr>
        <w:t>Martel (Gordon) : 206.</w:t>
      </w:r>
    </w:p>
    <w:p w14:paraId="288DD4CC" w14:textId="77777777" w:rsidR="0039793A" w:rsidRPr="00357CFE" w:rsidRDefault="0039793A" w:rsidP="0039793A">
      <w:pPr>
        <w:ind w:left="540" w:hanging="540"/>
        <w:jc w:val="both"/>
        <w:rPr>
          <w:sz w:val="24"/>
        </w:rPr>
      </w:pPr>
      <w:r w:rsidRPr="00357CFE">
        <w:rPr>
          <w:sz w:val="24"/>
        </w:rPr>
        <w:t>Martin (William) : 319, 324.</w:t>
      </w:r>
    </w:p>
    <w:p w14:paraId="64296D19" w14:textId="77777777" w:rsidR="0039793A" w:rsidRPr="00357CFE" w:rsidRDefault="0039793A" w:rsidP="0039793A">
      <w:pPr>
        <w:ind w:left="540" w:hanging="540"/>
        <w:jc w:val="both"/>
        <w:rPr>
          <w:sz w:val="24"/>
        </w:rPr>
      </w:pPr>
      <w:r w:rsidRPr="00357CFE">
        <w:rPr>
          <w:sz w:val="24"/>
        </w:rPr>
        <w:t>Mastanduno (Michael) : 111, 115, 209</w:t>
      </w:r>
    </w:p>
    <w:p w14:paraId="244B53DE" w14:textId="77777777" w:rsidR="0039793A" w:rsidRPr="00357CFE" w:rsidRDefault="0039793A" w:rsidP="0039793A">
      <w:pPr>
        <w:ind w:left="540" w:hanging="540"/>
        <w:jc w:val="both"/>
        <w:rPr>
          <w:sz w:val="24"/>
        </w:rPr>
      </w:pPr>
      <w:r w:rsidRPr="00357CFE">
        <w:rPr>
          <w:sz w:val="24"/>
        </w:rPr>
        <w:t>Mayer (Kenneth) : 149</w:t>
      </w:r>
    </w:p>
    <w:p w14:paraId="78DD21D2" w14:textId="77777777" w:rsidR="0039793A" w:rsidRPr="00357CFE" w:rsidRDefault="0039793A" w:rsidP="0039793A">
      <w:pPr>
        <w:ind w:left="540" w:hanging="540"/>
        <w:jc w:val="both"/>
        <w:rPr>
          <w:sz w:val="24"/>
        </w:rPr>
      </w:pPr>
      <w:r w:rsidRPr="00357CFE">
        <w:rPr>
          <w:sz w:val="24"/>
        </w:rPr>
        <w:t>Maynes (Charles Williams) : 105, 308.</w:t>
      </w:r>
    </w:p>
    <w:p w14:paraId="56675BA4" w14:textId="77777777" w:rsidR="0039793A" w:rsidRPr="00357CFE" w:rsidRDefault="0039793A" w:rsidP="0039793A">
      <w:pPr>
        <w:ind w:left="540" w:hanging="540"/>
        <w:jc w:val="both"/>
        <w:rPr>
          <w:sz w:val="24"/>
        </w:rPr>
      </w:pPr>
      <w:r w:rsidRPr="00357CFE">
        <w:rPr>
          <w:sz w:val="24"/>
        </w:rPr>
        <w:t>McCain (John) : 266.</w:t>
      </w:r>
    </w:p>
    <w:p w14:paraId="56338136" w14:textId="77777777" w:rsidR="0039793A" w:rsidRPr="00357CFE" w:rsidRDefault="0039793A" w:rsidP="0039793A">
      <w:pPr>
        <w:ind w:left="540" w:hanging="540"/>
        <w:jc w:val="both"/>
        <w:rPr>
          <w:sz w:val="24"/>
        </w:rPr>
      </w:pPr>
      <w:r w:rsidRPr="00357CFE">
        <w:rPr>
          <w:sz w:val="24"/>
        </w:rPr>
        <w:t>McCarthy (Joseph) : 59, 60.</w:t>
      </w:r>
    </w:p>
    <w:p w14:paraId="10F0DE45" w14:textId="77777777" w:rsidR="0039793A" w:rsidRPr="00357CFE" w:rsidRDefault="0039793A" w:rsidP="0039793A">
      <w:pPr>
        <w:ind w:left="540" w:hanging="540"/>
        <w:jc w:val="both"/>
        <w:rPr>
          <w:sz w:val="24"/>
        </w:rPr>
      </w:pPr>
      <w:r w:rsidRPr="00357CFE">
        <w:rPr>
          <w:sz w:val="24"/>
        </w:rPr>
        <w:t>McCormick (James M.) : 267, 308, 309</w:t>
      </w:r>
    </w:p>
    <w:p w14:paraId="038BB4E4" w14:textId="77777777" w:rsidR="0039793A" w:rsidRPr="00357CFE" w:rsidRDefault="0039793A" w:rsidP="0039793A">
      <w:pPr>
        <w:ind w:left="540" w:hanging="540"/>
        <w:jc w:val="both"/>
        <w:rPr>
          <w:sz w:val="24"/>
        </w:rPr>
      </w:pPr>
      <w:r w:rsidRPr="00357CFE">
        <w:rPr>
          <w:sz w:val="24"/>
        </w:rPr>
        <w:t>McFarlane (Robert) : 227, 241.</w:t>
      </w:r>
    </w:p>
    <w:p w14:paraId="21A74EAB" w14:textId="77777777" w:rsidR="0039793A" w:rsidRPr="00357CFE" w:rsidRDefault="0039793A" w:rsidP="0039793A">
      <w:pPr>
        <w:ind w:left="540" w:hanging="540"/>
        <w:jc w:val="both"/>
        <w:rPr>
          <w:sz w:val="24"/>
        </w:rPr>
      </w:pPr>
      <w:r w:rsidRPr="00357CFE">
        <w:rPr>
          <w:sz w:val="24"/>
        </w:rPr>
        <w:t>McGilvray (James) : 136, 138.</w:t>
      </w:r>
    </w:p>
    <w:p w14:paraId="2A81C6AC" w14:textId="77777777" w:rsidR="0039793A" w:rsidRPr="00357CFE" w:rsidRDefault="0039793A" w:rsidP="0039793A">
      <w:pPr>
        <w:ind w:left="540" w:hanging="540"/>
        <w:jc w:val="both"/>
        <w:rPr>
          <w:sz w:val="24"/>
        </w:rPr>
      </w:pPr>
      <w:r w:rsidRPr="00357CFE">
        <w:rPr>
          <w:sz w:val="24"/>
        </w:rPr>
        <w:t>McKinley (William) : 34, 76, 83.</w:t>
      </w:r>
    </w:p>
    <w:p w14:paraId="4FAF7213" w14:textId="77777777" w:rsidR="0039793A" w:rsidRPr="00357CFE" w:rsidRDefault="0039793A" w:rsidP="0039793A">
      <w:pPr>
        <w:ind w:left="540" w:hanging="540"/>
        <w:jc w:val="both"/>
        <w:rPr>
          <w:sz w:val="24"/>
        </w:rPr>
      </w:pPr>
      <w:r w:rsidRPr="00357CFE">
        <w:rPr>
          <w:sz w:val="24"/>
        </w:rPr>
        <w:t>McNamara (Robert) : 64, 189, 236, 237.</w:t>
      </w:r>
    </w:p>
    <w:p w14:paraId="18B82895" w14:textId="77777777" w:rsidR="0039793A" w:rsidRPr="00357CFE" w:rsidRDefault="0039793A" w:rsidP="0039793A">
      <w:pPr>
        <w:ind w:left="540" w:hanging="540"/>
        <w:jc w:val="both"/>
        <w:rPr>
          <w:sz w:val="24"/>
        </w:rPr>
      </w:pPr>
      <w:r w:rsidRPr="00357CFE">
        <w:rPr>
          <w:sz w:val="24"/>
        </w:rPr>
        <w:t>Mead (Walter Russell) : 10, 50, 73, 74, 78, 79, 83, 162, 302.</w:t>
      </w:r>
    </w:p>
    <w:p w14:paraId="6BF9A242" w14:textId="77777777" w:rsidR="0039793A" w:rsidRPr="00357CFE" w:rsidRDefault="0039793A" w:rsidP="0039793A">
      <w:pPr>
        <w:ind w:left="540" w:hanging="540"/>
        <w:jc w:val="both"/>
        <w:rPr>
          <w:sz w:val="24"/>
        </w:rPr>
      </w:pPr>
      <w:r w:rsidRPr="00357CFE">
        <w:rPr>
          <w:sz w:val="24"/>
        </w:rPr>
        <w:t>Melandri (Pierre) : 11, 80, 250, 269, 305</w:t>
      </w:r>
    </w:p>
    <w:p w14:paraId="62D2BEC7" w14:textId="77777777" w:rsidR="0039793A" w:rsidRPr="00357CFE" w:rsidRDefault="0039793A" w:rsidP="0039793A">
      <w:pPr>
        <w:ind w:left="540" w:hanging="540"/>
        <w:jc w:val="both"/>
        <w:rPr>
          <w:sz w:val="24"/>
        </w:rPr>
      </w:pPr>
      <w:r w:rsidRPr="00357CFE">
        <w:rPr>
          <w:sz w:val="24"/>
        </w:rPr>
        <w:t>Merinda (Kevin) : 330, 342.</w:t>
      </w:r>
    </w:p>
    <w:p w14:paraId="49EDBB6C" w14:textId="77777777" w:rsidR="0039793A" w:rsidRPr="00357CFE" w:rsidRDefault="0039793A" w:rsidP="0039793A">
      <w:pPr>
        <w:ind w:left="540" w:hanging="540"/>
        <w:jc w:val="both"/>
        <w:rPr>
          <w:sz w:val="24"/>
        </w:rPr>
      </w:pPr>
      <w:r w:rsidRPr="00357CFE">
        <w:rPr>
          <w:sz w:val="24"/>
        </w:rPr>
        <w:t>Milosevic (Slobodan) : 98.</w:t>
      </w:r>
    </w:p>
    <w:p w14:paraId="403C03FD" w14:textId="77777777" w:rsidR="0039793A" w:rsidRPr="00357CFE" w:rsidRDefault="0039793A" w:rsidP="0039793A">
      <w:pPr>
        <w:ind w:left="540" w:hanging="540"/>
        <w:jc w:val="both"/>
        <w:rPr>
          <w:sz w:val="24"/>
        </w:rPr>
      </w:pPr>
      <w:r w:rsidRPr="00357CFE">
        <w:rPr>
          <w:sz w:val="24"/>
        </w:rPr>
        <w:t>Mitchell (George) : 336.</w:t>
      </w:r>
    </w:p>
    <w:p w14:paraId="5971CE03" w14:textId="77777777" w:rsidR="0039793A" w:rsidRPr="00357CFE" w:rsidRDefault="0039793A" w:rsidP="0039793A">
      <w:pPr>
        <w:ind w:left="540" w:hanging="540"/>
        <w:jc w:val="both"/>
        <w:rPr>
          <w:sz w:val="24"/>
        </w:rPr>
      </w:pPr>
      <w:r w:rsidRPr="00357CFE">
        <w:rPr>
          <w:sz w:val="24"/>
        </w:rPr>
        <w:t>Moe (Terry) : 159</w:t>
      </w:r>
    </w:p>
    <w:p w14:paraId="7DF91F67" w14:textId="77777777" w:rsidR="0039793A" w:rsidRPr="00357CFE" w:rsidRDefault="0039793A" w:rsidP="0039793A">
      <w:pPr>
        <w:ind w:left="540" w:hanging="540"/>
        <w:jc w:val="both"/>
        <w:rPr>
          <w:sz w:val="24"/>
        </w:rPr>
      </w:pPr>
      <w:r w:rsidRPr="00357CFE">
        <w:rPr>
          <w:sz w:val="24"/>
        </w:rPr>
        <w:t>Monroe (James) : 76, 162.</w:t>
      </w:r>
    </w:p>
    <w:p w14:paraId="5936BC36" w14:textId="77777777" w:rsidR="0039793A" w:rsidRPr="00357CFE" w:rsidRDefault="0039793A" w:rsidP="0039793A">
      <w:pPr>
        <w:ind w:left="540" w:hanging="540"/>
        <w:jc w:val="both"/>
        <w:rPr>
          <w:sz w:val="24"/>
        </w:rPr>
      </w:pPr>
      <w:r w:rsidRPr="00357CFE">
        <w:rPr>
          <w:sz w:val="24"/>
        </w:rPr>
        <w:t>Montesquieu : 21, 23.</w:t>
      </w:r>
    </w:p>
    <w:p w14:paraId="23DF3EF5" w14:textId="77777777" w:rsidR="0039793A" w:rsidRPr="00357CFE" w:rsidRDefault="0039793A" w:rsidP="0039793A">
      <w:pPr>
        <w:ind w:left="540" w:hanging="540"/>
        <w:jc w:val="both"/>
        <w:rPr>
          <w:sz w:val="24"/>
        </w:rPr>
      </w:pPr>
      <w:r w:rsidRPr="00357CFE">
        <w:rPr>
          <w:sz w:val="24"/>
        </w:rPr>
        <w:t>Morgan (Dan) : 330, 342.</w:t>
      </w:r>
    </w:p>
    <w:p w14:paraId="467F0097" w14:textId="77777777" w:rsidR="0039793A" w:rsidRPr="00357CFE" w:rsidRDefault="0039793A" w:rsidP="0039793A">
      <w:pPr>
        <w:ind w:left="540" w:hanging="540"/>
        <w:jc w:val="both"/>
        <w:rPr>
          <w:sz w:val="24"/>
        </w:rPr>
      </w:pPr>
      <w:r w:rsidRPr="00357CFE">
        <w:rPr>
          <w:sz w:val="24"/>
        </w:rPr>
        <w:t>Morgenthau (Hans J.) : 91,92, 93</w:t>
      </w:r>
    </w:p>
    <w:p w14:paraId="1146748E" w14:textId="77777777" w:rsidR="0039793A" w:rsidRPr="00357CFE" w:rsidRDefault="0039793A" w:rsidP="0039793A">
      <w:pPr>
        <w:ind w:left="540" w:hanging="540"/>
        <w:jc w:val="both"/>
        <w:rPr>
          <w:sz w:val="24"/>
        </w:rPr>
      </w:pPr>
      <w:r w:rsidRPr="00357CFE">
        <w:rPr>
          <w:sz w:val="24"/>
        </w:rPr>
        <w:t>Morison (Elting E.) : 41.</w:t>
      </w:r>
    </w:p>
    <w:p w14:paraId="56F21AF1" w14:textId="77777777" w:rsidR="0039793A" w:rsidRPr="00357CFE" w:rsidRDefault="0039793A" w:rsidP="0039793A">
      <w:pPr>
        <w:ind w:left="540" w:hanging="540"/>
        <w:jc w:val="both"/>
        <w:rPr>
          <w:sz w:val="24"/>
        </w:rPr>
      </w:pPr>
      <w:r w:rsidRPr="00357CFE">
        <w:rPr>
          <w:sz w:val="24"/>
        </w:rPr>
        <w:t>Mufson (Steven) : 329-</w:t>
      </w:r>
    </w:p>
    <w:p w14:paraId="21006199" w14:textId="77777777" w:rsidR="0039793A" w:rsidRPr="00357CFE" w:rsidRDefault="0039793A" w:rsidP="0039793A">
      <w:pPr>
        <w:ind w:left="540" w:hanging="540"/>
        <w:jc w:val="both"/>
        <w:rPr>
          <w:sz w:val="24"/>
        </w:rPr>
      </w:pPr>
      <w:r w:rsidRPr="00357CFE">
        <w:rPr>
          <w:sz w:val="24"/>
        </w:rPr>
        <w:t>Mulcahy (Kevin) : 225, 229, 236, 237.</w:t>
      </w:r>
    </w:p>
    <w:p w14:paraId="26AD0074" w14:textId="77777777" w:rsidR="0039793A" w:rsidRPr="00357CFE" w:rsidRDefault="0039793A" w:rsidP="0039793A">
      <w:pPr>
        <w:ind w:left="540" w:hanging="540"/>
        <w:jc w:val="both"/>
        <w:rPr>
          <w:sz w:val="24"/>
        </w:rPr>
      </w:pPr>
      <w:r w:rsidRPr="00357CFE">
        <w:rPr>
          <w:sz w:val="24"/>
        </w:rPr>
        <w:t>[369]</w:t>
      </w:r>
    </w:p>
    <w:p w14:paraId="55F71BC2" w14:textId="77777777" w:rsidR="0039793A" w:rsidRPr="00357CFE" w:rsidRDefault="0039793A" w:rsidP="0039793A">
      <w:pPr>
        <w:ind w:left="540" w:hanging="540"/>
        <w:jc w:val="both"/>
        <w:rPr>
          <w:sz w:val="24"/>
        </w:rPr>
      </w:pPr>
    </w:p>
    <w:p w14:paraId="03F0D578" w14:textId="77777777" w:rsidR="0039793A" w:rsidRPr="00357CFE" w:rsidRDefault="0039793A" w:rsidP="0039793A">
      <w:pPr>
        <w:ind w:left="540" w:hanging="540"/>
        <w:jc w:val="both"/>
        <w:rPr>
          <w:sz w:val="24"/>
        </w:rPr>
      </w:pPr>
      <w:r w:rsidRPr="00357CFE">
        <w:rPr>
          <w:sz w:val="24"/>
        </w:rPr>
        <w:t>Nader (Ralph) : 84, 325.</w:t>
      </w:r>
    </w:p>
    <w:p w14:paraId="493A16F6" w14:textId="77777777" w:rsidR="0039793A" w:rsidRPr="00357CFE" w:rsidRDefault="0039793A" w:rsidP="0039793A">
      <w:pPr>
        <w:ind w:left="540" w:hanging="540"/>
        <w:jc w:val="both"/>
        <w:rPr>
          <w:sz w:val="24"/>
        </w:rPr>
      </w:pPr>
      <w:r w:rsidRPr="00357CFE">
        <w:rPr>
          <w:sz w:val="24"/>
        </w:rPr>
        <w:t>Nash (Henry T.) : 87.</w:t>
      </w:r>
    </w:p>
    <w:p w14:paraId="548FC850" w14:textId="77777777" w:rsidR="0039793A" w:rsidRPr="00357CFE" w:rsidRDefault="0039793A" w:rsidP="0039793A">
      <w:pPr>
        <w:ind w:left="540" w:hanging="540"/>
        <w:jc w:val="both"/>
        <w:rPr>
          <w:sz w:val="24"/>
        </w:rPr>
      </w:pPr>
      <w:r w:rsidRPr="00357CFE">
        <w:rPr>
          <w:sz w:val="24"/>
        </w:rPr>
        <w:t>Nasser (Gamal Abdel) : 313.</w:t>
      </w:r>
    </w:p>
    <w:p w14:paraId="2B0482F3" w14:textId="77777777" w:rsidR="0039793A" w:rsidRPr="00357CFE" w:rsidRDefault="0039793A" w:rsidP="0039793A">
      <w:pPr>
        <w:ind w:left="540" w:hanging="540"/>
        <w:jc w:val="both"/>
        <w:rPr>
          <w:sz w:val="24"/>
        </w:rPr>
      </w:pPr>
      <w:r w:rsidRPr="00357CFE">
        <w:rPr>
          <w:sz w:val="24"/>
        </w:rPr>
        <w:t>Nathan (James) : 180, 189, 198, 232, 238.</w:t>
      </w:r>
    </w:p>
    <w:p w14:paraId="67206E9B" w14:textId="77777777" w:rsidR="0039793A" w:rsidRPr="00357CFE" w:rsidRDefault="0039793A" w:rsidP="0039793A">
      <w:pPr>
        <w:ind w:left="540" w:hanging="540"/>
        <w:jc w:val="both"/>
        <w:rPr>
          <w:sz w:val="24"/>
        </w:rPr>
      </w:pPr>
      <w:r w:rsidRPr="00357CFE">
        <w:rPr>
          <w:sz w:val="24"/>
        </w:rPr>
        <w:t>Neustadt (Richard) : 10, 160.</w:t>
      </w:r>
    </w:p>
    <w:p w14:paraId="62401157" w14:textId="77777777" w:rsidR="0039793A" w:rsidRPr="00357CFE" w:rsidRDefault="0039793A" w:rsidP="0039793A">
      <w:pPr>
        <w:ind w:left="540" w:hanging="540"/>
        <w:jc w:val="both"/>
        <w:rPr>
          <w:sz w:val="24"/>
        </w:rPr>
      </w:pPr>
      <w:r w:rsidRPr="00357CFE">
        <w:rPr>
          <w:sz w:val="24"/>
        </w:rPr>
        <w:t>Newenham (Sir Edward) : 55.</w:t>
      </w:r>
    </w:p>
    <w:p w14:paraId="4EE61910" w14:textId="77777777" w:rsidR="0039793A" w:rsidRPr="00357CFE" w:rsidRDefault="0039793A" w:rsidP="0039793A">
      <w:pPr>
        <w:ind w:left="540" w:hanging="540"/>
        <w:jc w:val="both"/>
        <w:rPr>
          <w:sz w:val="24"/>
        </w:rPr>
      </w:pPr>
      <w:r w:rsidRPr="00357CFE">
        <w:rPr>
          <w:sz w:val="24"/>
        </w:rPr>
        <w:t>Niebuhr (Reinhold) : 90, 93.</w:t>
      </w:r>
    </w:p>
    <w:p w14:paraId="6C5C4836" w14:textId="77777777" w:rsidR="0039793A" w:rsidRPr="00357CFE" w:rsidRDefault="0039793A" w:rsidP="0039793A">
      <w:pPr>
        <w:ind w:left="540" w:hanging="540"/>
        <w:jc w:val="both"/>
        <w:rPr>
          <w:sz w:val="24"/>
        </w:rPr>
      </w:pPr>
      <w:r w:rsidRPr="00357CFE">
        <w:rPr>
          <w:sz w:val="24"/>
        </w:rPr>
        <w:t>Nixon (Richard) : 30, 32, 33, 35, 67, 93, 96, 158, 161, 162, 164, 166, 167, 168, 169, 170, 173, 180, 183, 189, 195, 208, 220, 221, 222, 224, 227, 232, 237, 239, 245, 251, 253, 257, 259, 286, 313.</w:t>
      </w:r>
    </w:p>
    <w:p w14:paraId="2B4B31CF" w14:textId="77777777" w:rsidR="0039793A" w:rsidRPr="00357CFE" w:rsidRDefault="0039793A" w:rsidP="0039793A">
      <w:pPr>
        <w:ind w:left="540" w:hanging="540"/>
        <w:jc w:val="both"/>
        <w:rPr>
          <w:sz w:val="24"/>
        </w:rPr>
      </w:pPr>
      <w:r w:rsidRPr="00357CFE">
        <w:rPr>
          <w:sz w:val="24"/>
        </w:rPr>
        <w:t>Nordlinger (Eric) : 105, 130, 131.</w:t>
      </w:r>
    </w:p>
    <w:p w14:paraId="7EC2A524" w14:textId="77777777" w:rsidR="0039793A" w:rsidRPr="00357CFE" w:rsidRDefault="0039793A" w:rsidP="0039793A">
      <w:pPr>
        <w:ind w:left="540" w:hanging="540"/>
        <w:jc w:val="both"/>
        <w:rPr>
          <w:sz w:val="24"/>
        </w:rPr>
      </w:pPr>
      <w:r w:rsidRPr="00357CFE">
        <w:rPr>
          <w:sz w:val="24"/>
        </w:rPr>
        <w:t>North (Oliver) : 241.</w:t>
      </w:r>
    </w:p>
    <w:p w14:paraId="0C465935" w14:textId="77777777" w:rsidR="0039793A" w:rsidRPr="00357CFE" w:rsidRDefault="0039793A" w:rsidP="0039793A">
      <w:pPr>
        <w:ind w:left="540" w:hanging="540"/>
        <w:jc w:val="both"/>
        <w:rPr>
          <w:sz w:val="24"/>
        </w:rPr>
      </w:pPr>
      <w:r w:rsidRPr="00357CFE">
        <w:rPr>
          <w:sz w:val="24"/>
        </w:rPr>
        <w:t>Nouailhat (Yves-Henri) : 11, 48, 77, 89.</w:t>
      </w:r>
    </w:p>
    <w:p w14:paraId="01D8F4F0" w14:textId="77777777" w:rsidR="0039793A" w:rsidRPr="00357CFE" w:rsidRDefault="0039793A" w:rsidP="0039793A">
      <w:pPr>
        <w:ind w:left="540" w:hanging="540"/>
        <w:jc w:val="both"/>
        <w:rPr>
          <w:sz w:val="24"/>
        </w:rPr>
      </w:pPr>
      <w:r w:rsidRPr="00357CFE">
        <w:rPr>
          <w:sz w:val="24"/>
        </w:rPr>
        <w:t>Nye (Joseph S.) : 82, 94, 97, 99, 104, 112, 113, 114, 117, 119, 202.</w:t>
      </w:r>
    </w:p>
    <w:p w14:paraId="7B3954E1" w14:textId="77777777" w:rsidR="0039793A" w:rsidRPr="00357CFE" w:rsidRDefault="0039793A" w:rsidP="0039793A">
      <w:pPr>
        <w:ind w:left="540" w:hanging="540"/>
        <w:jc w:val="both"/>
        <w:rPr>
          <w:sz w:val="24"/>
        </w:rPr>
      </w:pPr>
    </w:p>
    <w:p w14:paraId="617A36B2" w14:textId="77777777" w:rsidR="0039793A" w:rsidRPr="00357CFE" w:rsidRDefault="0039793A" w:rsidP="0039793A">
      <w:pPr>
        <w:ind w:left="540" w:hanging="540"/>
        <w:jc w:val="both"/>
        <w:rPr>
          <w:sz w:val="24"/>
        </w:rPr>
      </w:pPr>
      <w:r w:rsidRPr="00357CFE">
        <w:rPr>
          <w:sz w:val="24"/>
        </w:rPr>
        <w:t>O’Sullivan (John L.) : 56.</w:t>
      </w:r>
    </w:p>
    <w:p w14:paraId="28913E48" w14:textId="77777777" w:rsidR="0039793A" w:rsidRPr="00357CFE" w:rsidRDefault="0039793A" w:rsidP="0039793A">
      <w:pPr>
        <w:ind w:left="540" w:hanging="540"/>
        <w:jc w:val="both"/>
        <w:rPr>
          <w:sz w:val="24"/>
        </w:rPr>
      </w:pPr>
      <w:r w:rsidRPr="00357CFE">
        <w:rPr>
          <w:sz w:val="24"/>
        </w:rPr>
        <w:t>Oliver (James) : 180, 189, 198, 232, 238.</w:t>
      </w:r>
    </w:p>
    <w:p w14:paraId="670F0E0C" w14:textId="77777777" w:rsidR="0039793A" w:rsidRPr="00357CFE" w:rsidRDefault="0039793A" w:rsidP="0039793A">
      <w:pPr>
        <w:ind w:left="540" w:hanging="540"/>
        <w:jc w:val="both"/>
        <w:rPr>
          <w:sz w:val="24"/>
        </w:rPr>
      </w:pPr>
      <w:r w:rsidRPr="00357CFE">
        <w:rPr>
          <w:sz w:val="24"/>
        </w:rPr>
        <w:t>Omestad (Thomas) : 200.</w:t>
      </w:r>
    </w:p>
    <w:p w14:paraId="479ABD8C" w14:textId="77777777" w:rsidR="0039793A" w:rsidRPr="00357CFE" w:rsidRDefault="0039793A" w:rsidP="0039793A">
      <w:pPr>
        <w:ind w:left="540" w:hanging="540"/>
        <w:jc w:val="both"/>
        <w:rPr>
          <w:sz w:val="24"/>
        </w:rPr>
      </w:pPr>
      <w:r w:rsidRPr="00357CFE">
        <w:rPr>
          <w:sz w:val="24"/>
        </w:rPr>
        <w:t>Oppenheimer (J. Robert) : 63.</w:t>
      </w:r>
    </w:p>
    <w:p w14:paraId="16667FE0" w14:textId="77777777" w:rsidR="0039793A" w:rsidRPr="00357CFE" w:rsidRDefault="0039793A" w:rsidP="0039793A">
      <w:pPr>
        <w:ind w:left="540" w:hanging="540"/>
        <w:jc w:val="both"/>
        <w:rPr>
          <w:sz w:val="24"/>
        </w:rPr>
      </w:pPr>
      <w:r w:rsidRPr="00357CFE">
        <w:rPr>
          <w:sz w:val="24"/>
        </w:rPr>
        <w:t>Ornstein (Norman J.) : 10, 11, 25.</w:t>
      </w:r>
    </w:p>
    <w:p w14:paraId="754469F2" w14:textId="77777777" w:rsidR="0039793A" w:rsidRPr="00357CFE" w:rsidRDefault="0039793A" w:rsidP="0039793A">
      <w:pPr>
        <w:ind w:left="540" w:hanging="540"/>
        <w:jc w:val="both"/>
        <w:rPr>
          <w:sz w:val="24"/>
        </w:rPr>
      </w:pPr>
      <w:r w:rsidRPr="00357CFE">
        <w:rPr>
          <w:sz w:val="24"/>
        </w:rPr>
        <w:t>Ostrom (Charles) : 152.</w:t>
      </w:r>
    </w:p>
    <w:p w14:paraId="5CA1643F" w14:textId="77777777" w:rsidR="0039793A" w:rsidRPr="00357CFE" w:rsidRDefault="0039793A" w:rsidP="0039793A">
      <w:pPr>
        <w:ind w:left="540" w:hanging="540"/>
        <w:jc w:val="both"/>
        <w:rPr>
          <w:sz w:val="24"/>
        </w:rPr>
      </w:pPr>
    </w:p>
    <w:p w14:paraId="368F9E21" w14:textId="77777777" w:rsidR="0039793A" w:rsidRPr="00357CFE" w:rsidRDefault="0039793A" w:rsidP="0039793A">
      <w:pPr>
        <w:ind w:left="540" w:hanging="540"/>
        <w:jc w:val="both"/>
        <w:rPr>
          <w:sz w:val="24"/>
        </w:rPr>
      </w:pPr>
      <w:r w:rsidRPr="00357CFE">
        <w:rPr>
          <w:sz w:val="24"/>
        </w:rPr>
        <w:t>Paine (Thomas) : 44.</w:t>
      </w:r>
    </w:p>
    <w:p w14:paraId="3EB21847" w14:textId="77777777" w:rsidR="0039793A" w:rsidRPr="00357CFE" w:rsidRDefault="0039793A" w:rsidP="0039793A">
      <w:pPr>
        <w:ind w:left="540" w:hanging="540"/>
        <w:jc w:val="both"/>
        <w:rPr>
          <w:sz w:val="24"/>
        </w:rPr>
      </w:pPr>
      <w:r w:rsidRPr="00357CFE">
        <w:rPr>
          <w:sz w:val="24"/>
        </w:rPr>
        <w:t>Pasco (Xavier) : 334, 335.</w:t>
      </w:r>
    </w:p>
    <w:p w14:paraId="515A2FC9" w14:textId="77777777" w:rsidR="0039793A" w:rsidRPr="00357CFE" w:rsidRDefault="0039793A" w:rsidP="0039793A">
      <w:pPr>
        <w:ind w:left="540" w:hanging="540"/>
        <w:jc w:val="both"/>
        <w:rPr>
          <w:sz w:val="24"/>
        </w:rPr>
      </w:pPr>
      <w:r w:rsidRPr="00357CFE">
        <w:rPr>
          <w:sz w:val="24"/>
        </w:rPr>
        <w:t>Paterson (Thomas) : 267.</w:t>
      </w:r>
    </w:p>
    <w:p w14:paraId="0BE8239D" w14:textId="77777777" w:rsidR="0039793A" w:rsidRPr="00357CFE" w:rsidRDefault="0039793A" w:rsidP="0039793A">
      <w:pPr>
        <w:ind w:left="540" w:hanging="540"/>
        <w:jc w:val="both"/>
        <w:rPr>
          <w:sz w:val="24"/>
        </w:rPr>
      </w:pPr>
      <w:r w:rsidRPr="00357CFE">
        <w:rPr>
          <w:sz w:val="24"/>
        </w:rPr>
        <w:t>Patterson (Samuel) : 277.</w:t>
      </w:r>
    </w:p>
    <w:p w14:paraId="63AAFF98" w14:textId="77777777" w:rsidR="0039793A" w:rsidRPr="00357CFE" w:rsidRDefault="0039793A" w:rsidP="0039793A">
      <w:pPr>
        <w:ind w:left="540" w:hanging="540"/>
        <w:jc w:val="both"/>
        <w:rPr>
          <w:sz w:val="24"/>
        </w:rPr>
      </w:pPr>
      <w:r w:rsidRPr="00357CFE">
        <w:rPr>
          <w:sz w:val="24"/>
        </w:rPr>
        <w:t>Perot (Ross) : 64, 81, 82, 96.</w:t>
      </w:r>
    </w:p>
    <w:p w14:paraId="321C67F3" w14:textId="77777777" w:rsidR="0039793A" w:rsidRPr="00357CFE" w:rsidRDefault="0039793A" w:rsidP="0039793A">
      <w:pPr>
        <w:ind w:left="540" w:hanging="540"/>
        <w:jc w:val="both"/>
        <w:rPr>
          <w:sz w:val="24"/>
        </w:rPr>
      </w:pPr>
      <w:r w:rsidRPr="00357CFE">
        <w:rPr>
          <w:sz w:val="24"/>
        </w:rPr>
        <w:t>Perry (William) : 243.</w:t>
      </w:r>
    </w:p>
    <w:p w14:paraId="06CCA72E" w14:textId="77777777" w:rsidR="0039793A" w:rsidRPr="00357CFE" w:rsidRDefault="0039793A" w:rsidP="0039793A">
      <w:pPr>
        <w:ind w:left="540" w:hanging="540"/>
        <w:jc w:val="both"/>
        <w:rPr>
          <w:sz w:val="24"/>
        </w:rPr>
      </w:pPr>
      <w:r w:rsidRPr="00357CFE">
        <w:rPr>
          <w:sz w:val="24"/>
        </w:rPr>
        <w:t>Peterson (Shannon) : 314.</w:t>
      </w:r>
    </w:p>
    <w:p w14:paraId="74363147" w14:textId="77777777" w:rsidR="0039793A" w:rsidRPr="00357CFE" w:rsidRDefault="0039793A" w:rsidP="0039793A">
      <w:pPr>
        <w:ind w:left="540" w:hanging="540"/>
        <w:jc w:val="both"/>
        <w:rPr>
          <w:sz w:val="24"/>
        </w:rPr>
      </w:pPr>
      <w:r w:rsidRPr="00357CFE">
        <w:rPr>
          <w:sz w:val="24"/>
        </w:rPr>
        <w:t>Pfiffner (James) : 230.</w:t>
      </w:r>
    </w:p>
    <w:p w14:paraId="5E0D5904" w14:textId="77777777" w:rsidR="0039793A" w:rsidRPr="00357CFE" w:rsidRDefault="0039793A" w:rsidP="0039793A">
      <w:pPr>
        <w:ind w:left="540" w:hanging="540"/>
        <w:jc w:val="both"/>
        <w:rPr>
          <w:sz w:val="24"/>
        </w:rPr>
      </w:pPr>
      <w:r w:rsidRPr="00357CFE">
        <w:rPr>
          <w:sz w:val="24"/>
        </w:rPr>
        <w:t>Podhoretz (Norman) : 67, 139.</w:t>
      </w:r>
    </w:p>
    <w:p w14:paraId="411CE1C5" w14:textId="77777777" w:rsidR="0039793A" w:rsidRPr="00357CFE" w:rsidRDefault="0039793A" w:rsidP="0039793A">
      <w:pPr>
        <w:ind w:left="540" w:hanging="540"/>
        <w:jc w:val="both"/>
        <w:rPr>
          <w:sz w:val="24"/>
        </w:rPr>
      </w:pPr>
      <w:r w:rsidRPr="00357CFE">
        <w:rPr>
          <w:sz w:val="24"/>
        </w:rPr>
        <w:t>Poindexter (John) : 227, 241.</w:t>
      </w:r>
    </w:p>
    <w:p w14:paraId="0C0E0AF3" w14:textId="77777777" w:rsidR="0039793A" w:rsidRPr="00357CFE" w:rsidRDefault="0039793A" w:rsidP="0039793A">
      <w:pPr>
        <w:ind w:left="540" w:hanging="540"/>
        <w:jc w:val="both"/>
        <w:rPr>
          <w:sz w:val="24"/>
        </w:rPr>
      </w:pPr>
      <w:r w:rsidRPr="00357CFE">
        <w:rPr>
          <w:sz w:val="24"/>
        </w:rPr>
        <w:t>Polk (James) : 149-</w:t>
      </w:r>
    </w:p>
    <w:p w14:paraId="11C6D197" w14:textId="77777777" w:rsidR="0039793A" w:rsidRPr="00357CFE" w:rsidRDefault="0039793A" w:rsidP="0039793A">
      <w:pPr>
        <w:ind w:left="540" w:hanging="540"/>
        <w:jc w:val="both"/>
        <w:rPr>
          <w:sz w:val="24"/>
        </w:rPr>
      </w:pPr>
      <w:r w:rsidRPr="00357CFE">
        <w:rPr>
          <w:sz w:val="24"/>
        </w:rPr>
        <w:t>Porter (Trevor) : 333-</w:t>
      </w:r>
    </w:p>
    <w:p w14:paraId="13634202" w14:textId="77777777" w:rsidR="0039793A" w:rsidRPr="00357CFE" w:rsidRDefault="0039793A" w:rsidP="0039793A">
      <w:pPr>
        <w:ind w:left="540" w:hanging="540"/>
        <w:jc w:val="both"/>
        <w:rPr>
          <w:sz w:val="24"/>
        </w:rPr>
      </w:pPr>
      <w:r w:rsidRPr="00357CFE">
        <w:rPr>
          <w:sz w:val="24"/>
        </w:rPr>
        <w:t>Powell (Colin) : 148, 163, 180, 192, 224, 241, 244.</w:t>
      </w:r>
    </w:p>
    <w:p w14:paraId="61E80A63" w14:textId="77777777" w:rsidR="0039793A" w:rsidRPr="00357CFE" w:rsidRDefault="0039793A" w:rsidP="0039793A">
      <w:pPr>
        <w:ind w:left="540" w:hanging="540"/>
        <w:jc w:val="both"/>
        <w:rPr>
          <w:sz w:val="24"/>
        </w:rPr>
      </w:pPr>
      <w:r w:rsidRPr="00357CFE">
        <w:rPr>
          <w:sz w:val="24"/>
        </w:rPr>
        <w:t>Power (Samantha) : 82, 98.</w:t>
      </w:r>
    </w:p>
    <w:p w14:paraId="1DE352A1" w14:textId="77777777" w:rsidR="0039793A" w:rsidRPr="00357CFE" w:rsidRDefault="0039793A" w:rsidP="0039793A">
      <w:pPr>
        <w:ind w:left="540" w:hanging="540"/>
        <w:jc w:val="both"/>
        <w:rPr>
          <w:sz w:val="24"/>
        </w:rPr>
      </w:pPr>
      <w:r w:rsidRPr="00357CFE">
        <w:rPr>
          <w:sz w:val="24"/>
        </w:rPr>
        <w:t>Prados (John) : 10.</w:t>
      </w:r>
    </w:p>
    <w:p w14:paraId="34E5BC16" w14:textId="77777777" w:rsidR="0039793A" w:rsidRPr="00357CFE" w:rsidRDefault="0039793A" w:rsidP="0039793A">
      <w:pPr>
        <w:ind w:left="540" w:hanging="540"/>
        <w:jc w:val="both"/>
        <w:rPr>
          <w:sz w:val="24"/>
        </w:rPr>
      </w:pPr>
      <w:r w:rsidRPr="00357CFE">
        <w:rPr>
          <w:sz w:val="24"/>
        </w:rPr>
        <w:t>Pressler (Larry) : 342.</w:t>
      </w:r>
    </w:p>
    <w:p w14:paraId="6C6D6A69" w14:textId="77777777" w:rsidR="0039793A" w:rsidRPr="00357CFE" w:rsidRDefault="0039793A" w:rsidP="0039793A">
      <w:pPr>
        <w:ind w:left="540" w:hanging="540"/>
        <w:jc w:val="both"/>
        <w:rPr>
          <w:sz w:val="24"/>
        </w:rPr>
      </w:pPr>
      <w:r w:rsidRPr="00357CFE">
        <w:rPr>
          <w:sz w:val="24"/>
        </w:rPr>
        <w:t>Preston (Andrew) : 225, 229, 236.</w:t>
      </w:r>
    </w:p>
    <w:p w14:paraId="3C9836DB" w14:textId="77777777" w:rsidR="0039793A" w:rsidRPr="00357CFE" w:rsidRDefault="0039793A" w:rsidP="0039793A">
      <w:pPr>
        <w:ind w:left="540" w:hanging="540"/>
        <w:jc w:val="both"/>
        <w:rPr>
          <w:sz w:val="24"/>
        </w:rPr>
      </w:pPr>
      <w:r w:rsidRPr="00357CFE">
        <w:rPr>
          <w:sz w:val="24"/>
        </w:rPr>
        <w:t>Preston (Thomas) : 169, 170, 171.</w:t>
      </w:r>
    </w:p>
    <w:p w14:paraId="367D3B03" w14:textId="77777777" w:rsidR="0039793A" w:rsidRPr="00357CFE" w:rsidRDefault="0039793A" w:rsidP="0039793A">
      <w:pPr>
        <w:ind w:left="540" w:hanging="540"/>
        <w:jc w:val="both"/>
        <w:rPr>
          <w:sz w:val="24"/>
        </w:rPr>
      </w:pPr>
    </w:p>
    <w:p w14:paraId="7D4DB88E" w14:textId="77777777" w:rsidR="0039793A" w:rsidRPr="00357CFE" w:rsidRDefault="0039793A" w:rsidP="0039793A">
      <w:pPr>
        <w:ind w:left="540" w:hanging="540"/>
        <w:jc w:val="both"/>
        <w:rPr>
          <w:sz w:val="24"/>
        </w:rPr>
      </w:pPr>
      <w:r w:rsidRPr="00357CFE">
        <w:rPr>
          <w:sz w:val="24"/>
        </w:rPr>
        <w:t>Rabkin (Jeremy) : 105, 129, 130.</w:t>
      </w:r>
    </w:p>
    <w:p w14:paraId="29AE10F4" w14:textId="77777777" w:rsidR="0039793A" w:rsidRPr="00357CFE" w:rsidRDefault="0039793A" w:rsidP="0039793A">
      <w:pPr>
        <w:ind w:left="540" w:hanging="540"/>
        <w:jc w:val="both"/>
        <w:rPr>
          <w:sz w:val="24"/>
        </w:rPr>
      </w:pPr>
      <w:r w:rsidRPr="00357CFE">
        <w:rPr>
          <w:sz w:val="24"/>
        </w:rPr>
        <w:t>Racicot (Jean-Philippe) : 110, 113, 185, 192.</w:t>
      </w:r>
    </w:p>
    <w:p w14:paraId="15CD33BD" w14:textId="77777777" w:rsidR="0039793A" w:rsidRPr="00357CFE" w:rsidRDefault="0039793A" w:rsidP="0039793A">
      <w:pPr>
        <w:ind w:left="540" w:hanging="540"/>
        <w:jc w:val="both"/>
        <w:rPr>
          <w:sz w:val="24"/>
        </w:rPr>
      </w:pPr>
      <w:r w:rsidRPr="00357CFE">
        <w:rPr>
          <w:sz w:val="24"/>
        </w:rPr>
        <w:t>Reagan (Ronald) : 30, 32, 44, 45, 46, 47, 60, 64, 68, 76, 89, 94, 151, 154, 155, 158,162, 164, 166, 167, 168, 169, 170, 174, 180, 189, 195, 199, 206, 208, 220, 221, 222, 224, 225, 228, 231, 232, 240, 242, 245, 252, 263, 264, 267, 272, 286, 300, 307, 313, 329, 332.</w:t>
      </w:r>
    </w:p>
    <w:p w14:paraId="7C469DFE" w14:textId="77777777" w:rsidR="0039793A" w:rsidRPr="00357CFE" w:rsidRDefault="0039793A" w:rsidP="0039793A">
      <w:pPr>
        <w:ind w:left="540" w:hanging="540"/>
        <w:jc w:val="both"/>
        <w:rPr>
          <w:sz w:val="24"/>
        </w:rPr>
      </w:pPr>
      <w:r w:rsidRPr="00357CFE">
        <w:rPr>
          <w:sz w:val="24"/>
        </w:rPr>
        <w:t>Reilly (William) : 263.</w:t>
      </w:r>
    </w:p>
    <w:p w14:paraId="3C280C4A" w14:textId="77777777" w:rsidR="0039793A" w:rsidRPr="00357CFE" w:rsidRDefault="0039793A" w:rsidP="0039793A">
      <w:pPr>
        <w:ind w:left="540" w:hanging="540"/>
        <w:jc w:val="both"/>
        <w:rPr>
          <w:sz w:val="24"/>
        </w:rPr>
      </w:pPr>
      <w:r w:rsidRPr="00357CFE">
        <w:rPr>
          <w:sz w:val="24"/>
        </w:rPr>
        <w:t>Renshon (Stanley) : 166.</w:t>
      </w:r>
    </w:p>
    <w:p w14:paraId="676C45D4" w14:textId="77777777" w:rsidR="0039793A" w:rsidRPr="00357CFE" w:rsidRDefault="0039793A" w:rsidP="0039793A">
      <w:pPr>
        <w:ind w:left="540" w:hanging="540"/>
        <w:jc w:val="both"/>
        <w:rPr>
          <w:sz w:val="24"/>
        </w:rPr>
      </w:pPr>
      <w:r w:rsidRPr="00357CFE">
        <w:rPr>
          <w:sz w:val="24"/>
        </w:rPr>
        <w:t>Ricard (Serge) : 269.</w:t>
      </w:r>
    </w:p>
    <w:p w14:paraId="3FBFB2C7" w14:textId="77777777" w:rsidR="0039793A" w:rsidRPr="00357CFE" w:rsidRDefault="0039793A" w:rsidP="0039793A">
      <w:pPr>
        <w:ind w:left="540" w:hanging="540"/>
        <w:jc w:val="both"/>
        <w:rPr>
          <w:sz w:val="24"/>
        </w:rPr>
      </w:pPr>
      <w:r w:rsidRPr="00357CFE">
        <w:rPr>
          <w:sz w:val="24"/>
        </w:rPr>
        <w:t>Rice (Condoleezza) : 163, 224, 226, 244.</w:t>
      </w:r>
    </w:p>
    <w:p w14:paraId="383A5130" w14:textId="77777777" w:rsidR="0039793A" w:rsidRPr="00357CFE" w:rsidRDefault="0039793A" w:rsidP="0039793A">
      <w:pPr>
        <w:ind w:left="540" w:hanging="540"/>
        <w:jc w:val="both"/>
        <w:rPr>
          <w:sz w:val="24"/>
        </w:rPr>
      </w:pPr>
      <w:r w:rsidRPr="00357CFE">
        <w:rPr>
          <w:sz w:val="24"/>
        </w:rPr>
        <w:t>Richelson (Jeffrey) : 194, 213, 221.</w:t>
      </w:r>
    </w:p>
    <w:p w14:paraId="3049708F" w14:textId="77777777" w:rsidR="0039793A" w:rsidRPr="00357CFE" w:rsidRDefault="0039793A" w:rsidP="0039793A">
      <w:pPr>
        <w:ind w:left="540" w:hanging="540"/>
        <w:jc w:val="both"/>
        <w:rPr>
          <w:sz w:val="24"/>
        </w:rPr>
      </w:pPr>
      <w:r w:rsidRPr="00357CFE">
        <w:rPr>
          <w:sz w:val="24"/>
        </w:rPr>
        <w:t>Rielly (John E.) : 288, 291, 295, 296.</w:t>
      </w:r>
    </w:p>
    <w:p w14:paraId="0C6FFACA" w14:textId="77777777" w:rsidR="0039793A" w:rsidRPr="00357CFE" w:rsidRDefault="0039793A" w:rsidP="0039793A">
      <w:pPr>
        <w:ind w:left="540" w:hanging="540"/>
        <w:jc w:val="both"/>
        <w:rPr>
          <w:sz w:val="24"/>
        </w:rPr>
      </w:pPr>
      <w:r w:rsidRPr="00357CFE">
        <w:rPr>
          <w:sz w:val="24"/>
        </w:rPr>
        <w:t>Ripley (Randall) : 265, 277, 314.</w:t>
      </w:r>
    </w:p>
    <w:p w14:paraId="3EF4CCE2" w14:textId="77777777" w:rsidR="0039793A" w:rsidRPr="00357CFE" w:rsidRDefault="0039793A" w:rsidP="0039793A">
      <w:pPr>
        <w:ind w:left="540" w:hanging="540"/>
        <w:jc w:val="both"/>
        <w:rPr>
          <w:sz w:val="24"/>
        </w:rPr>
      </w:pPr>
      <w:r w:rsidRPr="00357CFE">
        <w:rPr>
          <w:sz w:val="24"/>
        </w:rPr>
        <w:t>Risen (James) : 195.</w:t>
      </w:r>
    </w:p>
    <w:p w14:paraId="5064C81A" w14:textId="77777777" w:rsidR="0039793A" w:rsidRPr="00357CFE" w:rsidRDefault="0039793A" w:rsidP="0039793A">
      <w:pPr>
        <w:ind w:left="540" w:hanging="540"/>
        <w:jc w:val="both"/>
        <w:rPr>
          <w:sz w:val="24"/>
        </w:rPr>
      </w:pPr>
      <w:r w:rsidRPr="00357CFE">
        <w:rPr>
          <w:sz w:val="24"/>
        </w:rPr>
        <w:t>Robert (Jacques) : 29, 37.</w:t>
      </w:r>
    </w:p>
    <w:p w14:paraId="455D6AA8" w14:textId="77777777" w:rsidR="0039793A" w:rsidRPr="00357CFE" w:rsidRDefault="0039793A" w:rsidP="0039793A">
      <w:pPr>
        <w:ind w:left="540" w:hanging="540"/>
        <w:jc w:val="both"/>
        <w:rPr>
          <w:sz w:val="24"/>
        </w:rPr>
      </w:pPr>
      <w:r w:rsidRPr="00357CFE">
        <w:rPr>
          <w:sz w:val="24"/>
        </w:rPr>
        <w:t>Robertson (Pat) : 81.</w:t>
      </w:r>
    </w:p>
    <w:p w14:paraId="2BD18760" w14:textId="77777777" w:rsidR="0039793A" w:rsidRPr="00357CFE" w:rsidRDefault="0039793A" w:rsidP="0039793A">
      <w:pPr>
        <w:ind w:left="540" w:hanging="540"/>
        <w:jc w:val="both"/>
        <w:rPr>
          <w:sz w:val="24"/>
        </w:rPr>
      </w:pPr>
      <w:r w:rsidRPr="00357CFE">
        <w:rPr>
          <w:sz w:val="24"/>
        </w:rPr>
        <w:t>Robinson (Randall) : 328.</w:t>
      </w:r>
    </w:p>
    <w:p w14:paraId="20432746" w14:textId="77777777" w:rsidR="0039793A" w:rsidRPr="00357CFE" w:rsidRDefault="0039793A" w:rsidP="0039793A">
      <w:pPr>
        <w:ind w:left="540" w:hanging="540"/>
        <w:jc w:val="both"/>
        <w:rPr>
          <w:sz w:val="24"/>
        </w:rPr>
      </w:pPr>
      <w:r w:rsidRPr="00357CFE">
        <w:rPr>
          <w:sz w:val="24"/>
        </w:rPr>
        <w:t>Roche (Jean-Jacques) : 53.</w:t>
      </w:r>
    </w:p>
    <w:p w14:paraId="4B466126" w14:textId="77777777" w:rsidR="0039793A" w:rsidRPr="00357CFE" w:rsidRDefault="0039793A" w:rsidP="0039793A">
      <w:pPr>
        <w:ind w:left="540" w:hanging="540"/>
        <w:jc w:val="both"/>
        <w:rPr>
          <w:sz w:val="24"/>
        </w:rPr>
      </w:pPr>
      <w:r w:rsidRPr="00357CFE">
        <w:rPr>
          <w:sz w:val="24"/>
        </w:rPr>
        <w:t>Rockman (Bert) : 145, 160, 172, 209, 230.</w:t>
      </w:r>
    </w:p>
    <w:p w14:paraId="6609DBE6" w14:textId="77777777" w:rsidR="0039793A" w:rsidRPr="00357CFE" w:rsidRDefault="0039793A" w:rsidP="0039793A">
      <w:pPr>
        <w:ind w:left="540" w:hanging="540"/>
        <w:jc w:val="both"/>
        <w:rPr>
          <w:sz w:val="24"/>
        </w:rPr>
      </w:pPr>
      <w:r w:rsidRPr="00357CFE">
        <w:rPr>
          <w:sz w:val="24"/>
        </w:rPr>
        <w:t>Rogers (William) : 180, 224, 225, 238.</w:t>
      </w:r>
    </w:p>
    <w:p w14:paraId="2345F261" w14:textId="77777777" w:rsidR="0039793A" w:rsidRPr="00357CFE" w:rsidRDefault="0039793A" w:rsidP="0039793A">
      <w:pPr>
        <w:ind w:left="540" w:hanging="540"/>
        <w:jc w:val="both"/>
        <w:rPr>
          <w:sz w:val="24"/>
        </w:rPr>
      </w:pPr>
      <w:r w:rsidRPr="00357CFE">
        <w:rPr>
          <w:sz w:val="24"/>
        </w:rPr>
        <w:t>Roosevelt (Franklin D.) : 152, 165, 168, 172, 184, 206, 213, 287, 312, 347.</w:t>
      </w:r>
    </w:p>
    <w:p w14:paraId="4D703553" w14:textId="77777777" w:rsidR="0039793A" w:rsidRPr="00357CFE" w:rsidRDefault="0039793A" w:rsidP="0039793A">
      <w:pPr>
        <w:ind w:left="540" w:hanging="540"/>
        <w:jc w:val="both"/>
        <w:rPr>
          <w:sz w:val="24"/>
        </w:rPr>
      </w:pPr>
      <w:r w:rsidRPr="00357CFE">
        <w:rPr>
          <w:sz w:val="24"/>
        </w:rPr>
        <w:t>Roosevelt (Théodore D.) : 34, 36, 46, 51, 76, 77, 78, 83, 86, 87, 90, 95, 98, 162, 250.</w:t>
      </w:r>
    </w:p>
    <w:p w14:paraId="64BA92EF" w14:textId="77777777" w:rsidR="0039793A" w:rsidRPr="00357CFE" w:rsidRDefault="0039793A" w:rsidP="0039793A">
      <w:pPr>
        <w:ind w:left="540" w:hanging="540"/>
        <w:jc w:val="both"/>
        <w:rPr>
          <w:sz w:val="24"/>
        </w:rPr>
      </w:pPr>
      <w:r w:rsidRPr="00357CFE">
        <w:rPr>
          <w:sz w:val="24"/>
        </w:rPr>
        <w:t>Rosati (Jerel) : 9, 10, 160, 183, 188, 191, 195, 198, 199, 204, 206, 209, 215, 224,232.</w:t>
      </w:r>
    </w:p>
    <w:p w14:paraId="64A3B63C" w14:textId="77777777" w:rsidR="0039793A" w:rsidRPr="00357CFE" w:rsidRDefault="0039793A" w:rsidP="0039793A">
      <w:pPr>
        <w:ind w:left="540" w:hanging="540"/>
        <w:jc w:val="both"/>
        <w:rPr>
          <w:sz w:val="24"/>
        </w:rPr>
      </w:pPr>
      <w:r w:rsidRPr="00357CFE">
        <w:rPr>
          <w:sz w:val="24"/>
        </w:rPr>
        <w:t>Rose (Gideon) : 194, 202.</w:t>
      </w:r>
    </w:p>
    <w:p w14:paraId="77930CB6" w14:textId="77777777" w:rsidR="0039793A" w:rsidRPr="00357CFE" w:rsidRDefault="0039793A" w:rsidP="0039793A">
      <w:pPr>
        <w:ind w:left="540" w:hanging="540"/>
        <w:jc w:val="both"/>
        <w:rPr>
          <w:sz w:val="24"/>
        </w:rPr>
      </w:pPr>
      <w:r w:rsidRPr="00357CFE">
        <w:rPr>
          <w:sz w:val="24"/>
        </w:rPr>
        <w:t>Rosen (Stephen) : 103.</w:t>
      </w:r>
    </w:p>
    <w:p w14:paraId="5F5B980E" w14:textId="77777777" w:rsidR="0039793A" w:rsidRPr="00357CFE" w:rsidRDefault="0039793A" w:rsidP="0039793A">
      <w:pPr>
        <w:ind w:left="540" w:hanging="540"/>
        <w:jc w:val="both"/>
        <w:rPr>
          <w:sz w:val="24"/>
        </w:rPr>
      </w:pPr>
      <w:r w:rsidRPr="00357CFE">
        <w:rPr>
          <w:sz w:val="24"/>
        </w:rPr>
        <w:t>Rosner (Jeremy D.) : 272, 291.</w:t>
      </w:r>
    </w:p>
    <w:p w14:paraId="57E52754" w14:textId="77777777" w:rsidR="0039793A" w:rsidRPr="00357CFE" w:rsidRDefault="0039793A" w:rsidP="0039793A">
      <w:pPr>
        <w:ind w:left="540" w:hanging="540"/>
        <w:jc w:val="both"/>
        <w:rPr>
          <w:sz w:val="24"/>
        </w:rPr>
      </w:pPr>
      <w:r w:rsidRPr="00357CFE">
        <w:rPr>
          <w:sz w:val="24"/>
        </w:rPr>
        <w:t>Rostow (Walt) : 41,224, 225, 228, 236.</w:t>
      </w:r>
    </w:p>
    <w:p w14:paraId="0D229DFB" w14:textId="77777777" w:rsidR="0039793A" w:rsidRPr="00357CFE" w:rsidRDefault="0039793A" w:rsidP="0039793A">
      <w:pPr>
        <w:ind w:left="540" w:hanging="540"/>
        <w:jc w:val="both"/>
        <w:rPr>
          <w:sz w:val="24"/>
        </w:rPr>
      </w:pPr>
      <w:r w:rsidRPr="00357CFE">
        <w:rPr>
          <w:sz w:val="24"/>
        </w:rPr>
        <w:t>Rourke (John) : 9, 10, 147, 158, 160, 161, 177, 180, 206, 225.</w:t>
      </w:r>
    </w:p>
    <w:p w14:paraId="04135F35" w14:textId="77777777" w:rsidR="0039793A" w:rsidRPr="00357CFE" w:rsidRDefault="0039793A" w:rsidP="0039793A">
      <w:pPr>
        <w:ind w:left="540" w:hanging="540"/>
        <w:jc w:val="both"/>
        <w:rPr>
          <w:sz w:val="24"/>
        </w:rPr>
      </w:pPr>
      <w:r w:rsidRPr="00357CFE">
        <w:rPr>
          <w:sz w:val="24"/>
        </w:rPr>
        <w:t>Rousseau (Jean-Jacques) : 75.</w:t>
      </w:r>
    </w:p>
    <w:p w14:paraId="7638307E" w14:textId="77777777" w:rsidR="0039793A" w:rsidRPr="00357CFE" w:rsidRDefault="0039793A" w:rsidP="0039793A">
      <w:pPr>
        <w:ind w:left="540" w:hanging="540"/>
        <w:jc w:val="both"/>
        <w:rPr>
          <w:sz w:val="24"/>
        </w:rPr>
      </w:pPr>
      <w:r w:rsidRPr="00357CFE">
        <w:rPr>
          <w:sz w:val="24"/>
        </w:rPr>
        <w:t>Rubin (Barry) : 183-</w:t>
      </w:r>
    </w:p>
    <w:p w14:paraId="64A95379" w14:textId="77777777" w:rsidR="0039793A" w:rsidRPr="00357CFE" w:rsidRDefault="0039793A" w:rsidP="0039793A">
      <w:pPr>
        <w:ind w:left="540" w:hanging="540"/>
        <w:jc w:val="both"/>
        <w:rPr>
          <w:sz w:val="24"/>
        </w:rPr>
      </w:pPr>
      <w:r w:rsidRPr="00357CFE">
        <w:rPr>
          <w:sz w:val="24"/>
        </w:rPr>
        <w:t>Rumsfeld (E)onald) : 103, 163, 189, 244, 347.</w:t>
      </w:r>
    </w:p>
    <w:p w14:paraId="4EF432FB" w14:textId="77777777" w:rsidR="0039793A" w:rsidRPr="00357CFE" w:rsidRDefault="0039793A" w:rsidP="0039793A">
      <w:pPr>
        <w:ind w:left="540" w:hanging="540"/>
        <w:jc w:val="both"/>
        <w:rPr>
          <w:sz w:val="24"/>
        </w:rPr>
      </w:pPr>
      <w:r w:rsidRPr="00357CFE">
        <w:rPr>
          <w:sz w:val="24"/>
        </w:rPr>
        <w:t>Rusk (Dean) : 224, 225, 235, 236.</w:t>
      </w:r>
    </w:p>
    <w:p w14:paraId="0954A1DA" w14:textId="77777777" w:rsidR="0039793A" w:rsidRPr="00357CFE" w:rsidRDefault="0039793A" w:rsidP="0039793A">
      <w:pPr>
        <w:ind w:left="540" w:hanging="540"/>
        <w:jc w:val="both"/>
        <w:rPr>
          <w:sz w:val="24"/>
        </w:rPr>
      </w:pPr>
      <w:r w:rsidRPr="00357CFE">
        <w:rPr>
          <w:sz w:val="24"/>
        </w:rPr>
        <w:t>Ryan (Léo) : 33.</w:t>
      </w:r>
    </w:p>
    <w:p w14:paraId="0ED1D36F" w14:textId="77777777" w:rsidR="0039793A" w:rsidRPr="00357CFE" w:rsidRDefault="0039793A" w:rsidP="0039793A">
      <w:pPr>
        <w:ind w:left="540" w:hanging="540"/>
        <w:jc w:val="both"/>
        <w:rPr>
          <w:sz w:val="24"/>
        </w:rPr>
      </w:pPr>
    </w:p>
    <w:p w14:paraId="22A8F562" w14:textId="77777777" w:rsidR="0039793A" w:rsidRPr="00357CFE" w:rsidRDefault="0039793A" w:rsidP="0039793A">
      <w:pPr>
        <w:ind w:left="540" w:hanging="540"/>
        <w:jc w:val="both"/>
        <w:rPr>
          <w:sz w:val="24"/>
        </w:rPr>
      </w:pPr>
      <w:r w:rsidRPr="00357CFE">
        <w:rPr>
          <w:sz w:val="24"/>
        </w:rPr>
        <w:t>Sabbagh (Daniel) : 254, 259, 285.</w:t>
      </w:r>
    </w:p>
    <w:p w14:paraId="46DA82F3" w14:textId="77777777" w:rsidR="0039793A" w:rsidRPr="00357CFE" w:rsidRDefault="0039793A" w:rsidP="0039793A">
      <w:pPr>
        <w:ind w:left="540" w:hanging="540"/>
        <w:jc w:val="both"/>
        <w:rPr>
          <w:sz w:val="24"/>
        </w:rPr>
      </w:pPr>
      <w:r w:rsidRPr="00357CFE">
        <w:rPr>
          <w:sz w:val="24"/>
        </w:rPr>
        <w:t>Safire (William) : 322.</w:t>
      </w:r>
    </w:p>
    <w:p w14:paraId="47DE6FA8" w14:textId="77777777" w:rsidR="0039793A" w:rsidRPr="00357CFE" w:rsidRDefault="0039793A" w:rsidP="0039793A">
      <w:pPr>
        <w:ind w:left="540" w:hanging="540"/>
        <w:jc w:val="both"/>
        <w:rPr>
          <w:sz w:val="24"/>
        </w:rPr>
      </w:pPr>
      <w:r w:rsidRPr="00357CFE">
        <w:rPr>
          <w:sz w:val="24"/>
        </w:rPr>
        <w:t>Sander (Alfred) : 213-</w:t>
      </w:r>
    </w:p>
    <w:p w14:paraId="3B6E4F88" w14:textId="77777777" w:rsidR="0039793A" w:rsidRPr="00357CFE" w:rsidRDefault="0039793A" w:rsidP="0039793A">
      <w:pPr>
        <w:ind w:left="540" w:hanging="540"/>
        <w:jc w:val="both"/>
        <w:rPr>
          <w:sz w:val="24"/>
        </w:rPr>
      </w:pPr>
      <w:r w:rsidRPr="00357CFE">
        <w:rPr>
          <w:sz w:val="24"/>
        </w:rPr>
        <w:t>Sanger (David) : 311.</w:t>
      </w:r>
    </w:p>
    <w:p w14:paraId="11EDE389" w14:textId="77777777" w:rsidR="0039793A" w:rsidRPr="00357CFE" w:rsidRDefault="0039793A" w:rsidP="0039793A">
      <w:pPr>
        <w:ind w:left="540" w:hanging="540"/>
        <w:jc w:val="both"/>
        <w:rPr>
          <w:sz w:val="24"/>
        </w:rPr>
      </w:pPr>
      <w:r w:rsidRPr="00357CFE">
        <w:rPr>
          <w:sz w:val="24"/>
        </w:rPr>
        <w:t>Sankoh (Foday) : 276.</w:t>
      </w:r>
    </w:p>
    <w:p w14:paraId="6E3EAB0D" w14:textId="77777777" w:rsidR="0039793A" w:rsidRPr="00357CFE" w:rsidRDefault="0039793A" w:rsidP="0039793A">
      <w:pPr>
        <w:ind w:left="540" w:hanging="540"/>
        <w:jc w:val="both"/>
        <w:rPr>
          <w:sz w:val="24"/>
        </w:rPr>
      </w:pPr>
      <w:r w:rsidRPr="00357CFE">
        <w:rPr>
          <w:sz w:val="24"/>
        </w:rPr>
        <w:t>Sarkesian (Sam) : 177, 188, 189, 190, 197, 198, 206, 215, 221, 225, 230.</w:t>
      </w:r>
    </w:p>
    <w:p w14:paraId="7534F8F9" w14:textId="77777777" w:rsidR="0039793A" w:rsidRPr="00357CFE" w:rsidRDefault="0039793A" w:rsidP="0039793A">
      <w:pPr>
        <w:ind w:left="540" w:hanging="540"/>
        <w:jc w:val="both"/>
        <w:rPr>
          <w:sz w:val="24"/>
        </w:rPr>
      </w:pPr>
      <w:r w:rsidRPr="00357CFE">
        <w:rPr>
          <w:sz w:val="24"/>
        </w:rPr>
        <w:t>Scarborough (Joe) : 265.</w:t>
      </w:r>
    </w:p>
    <w:p w14:paraId="0C404DFD" w14:textId="77777777" w:rsidR="0039793A" w:rsidRPr="00357CFE" w:rsidRDefault="0039793A" w:rsidP="0039793A">
      <w:pPr>
        <w:ind w:left="540" w:hanging="540"/>
        <w:jc w:val="both"/>
        <w:rPr>
          <w:sz w:val="24"/>
        </w:rPr>
      </w:pPr>
      <w:r w:rsidRPr="00357CFE">
        <w:rPr>
          <w:sz w:val="24"/>
        </w:rPr>
        <w:t>Scardaville (Michael) : 203.</w:t>
      </w:r>
    </w:p>
    <w:p w14:paraId="19FC9B2F" w14:textId="77777777" w:rsidR="0039793A" w:rsidRPr="00357CFE" w:rsidRDefault="0039793A" w:rsidP="0039793A">
      <w:pPr>
        <w:ind w:left="540" w:hanging="540"/>
        <w:jc w:val="both"/>
        <w:rPr>
          <w:sz w:val="24"/>
        </w:rPr>
      </w:pPr>
      <w:r w:rsidRPr="00357CFE">
        <w:rPr>
          <w:sz w:val="24"/>
        </w:rPr>
        <w:t>Schaeffer (Brett D.) : 263-</w:t>
      </w:r>
    </w:p>
    <w:p w14:paraId="0ADA1D5D" w14:textId="77777777" w:rsidR="0039793A" w:rsidRPr="00357CFE" w:rsidRDefault="0039793A" w:rsidP="0039793A">
      <w:pPr>
        <w:ind w:left="540" w:hanging="540"/>
        <w:jc w:val="both"/>
        <w:rPr>
          <w:sz w:val="24"/>
        </w:rPr>
      </w:pPr>
      <w:r w:rsidRPr="00357CFE">
        <w:rPr>
          <w:sz w:val="24"/>
        </w:rPr>
        <w:t>Schlesinger (James) : 189, 342.</w:t>
      </w:r>
    </w:p>
    <w:p w14:paraId="6CA5309B" w14:textId="77777777" w:rsidR="0039793A" w:rsidRPr="00357CFE" w:rsidRDefault="0039793A" w:rsidP="0039793A">
      <w:pPr>
        <w:ind w:left="540" w:hanging="540"/>
        <w:jc w:val="both"/>
        <w:rPr>
          <w:sz w:val="24"/>
        </w:rPr>
      </w:pPr>
      <w:r w:rsidRPr="00357CFE">
        <w:rPr>
          <w:sz w:val="24"/>
        </w:rPr>
        <w:t>Schlesinger Jr. (Arthur) : 23, 33, 67, 69, 235, 250, 292.</w:t>
      </w:r>
    </w:p>
    <w:p w14:paraId="18469083" w14:textId="77777777" w:rsidR="0039793A" w:rsidRPr="00357CFE" w:rsidRDefault="0039793A" w:rsidP="0039793A">
      <w:pPr>
        <w:ind w:left="540" w:hanging="540"/>
        <w:jc w:val="both"/>
        <w:rPr>
          <w:sz w:val="24"/>
        </w:rPr>
      </w:pPr>
      <w:r w:rsidRPr="00357CFE">
        <w:rPr>
          <w:sz w:val="24"/>
        </w:rPr>
        <w:t>Schmitt (Eric) : 332.</w:t>
      </w:r>
    </w:p>
    <w:p w14:paraId="6622C223" w14:textId="77777777" w:rsidR="0039793A" w:rsidRPr="00357CFE" w:rsidRDefault="0039793A" w:rsidP="0039793A">
      <w:pPr>
        <w:ind w:left="540" w:hanging="540"/>
        <w:jc w:val="both"/>
        <w:rPr>
          <w:sz w:val="24"/>
        </w:rPr>
      </w:pPr>
      <w:r w:rsidRPr="00357CFE">
        <w:rPr>
          <w:sz w:val="24"/>
        </w:rPr>
        <w:t>Schwartz (Bernard) : 21, 28, 35, 36, 37, 334.</w:t>
      </w:r>
    </w:p>
    <w:p w14:paraId="5E7E9CAB" w14:textId="77777777" w:rsidR="0039793A" w:rsidRPr="00357CFE" w:rsidRDefault="0039793A" w:rsidP="0039793A">
      <w:pPr>
        <w:ind w:left="540" w:hanging="540"/>
        <w:jc w:val="both"/>
        <w:rPr>
          <w:sz w:val="24"/>
        </w:rPr>
      </w:pPr>
      <w:r w:rsidRPr="00357CFE">
        <w:rPr>
          <w:sz w:val="24"/>
        </w:rPr>
        <w:t>[370]</w:t>
      </w:r>
    </w:p>
    <w:p w14:paraId="3A4D31CD" w14:textId="77777777" w:rsidR="0039793A" w:rsidRPr="00357CFE" w:rsidRDefault="0039793A" w:rsidP="0039793A">
      <w:pPr>
        <w:ind w:left="540" w:hanging="540"/>
        <w:jc w:val="both"/>
        <w:rPr>
          <w:sz w:val="24"/>
        </w:rPr>
      </w:pPr>
      <w:r w:rsidRPr="00357CFE">
        <w:rPr>
          <w:sz w:val="24"/>
        </w:rPr>
        <w:t>Schwarz (Benjamin) : 57.</w:t>
      </w:r>
    </w:p>
    <w:p w14:paraId="3E7C4B9B" w14:textId="77777777" w:rsidR="0039793A" w:rsidRPr="00357CFE" w:rsidRDefault="0039793A" w:rsidP="0039793A">
      <w:pPr>
        <w:ind w:left="540" w:hanging="540"/>
        <w:jc w:val="both"/>
        <w:rPr>
          <w:sz w:val="24"/>
        </w:rPr>
      </w:pPr>
      <w:r w:rsidRPr="00357CFE">
        <w:rPr>
          <w:sz w:val="24"/>
        </w:rPr>
        <w:t>Scott (James) : 261, 309.</w:t>
      </w:r>
    </w:p>
    <w:p w14:paraId="416D53BF" w14:textId="77777777" w:rsidR="0039793A" w:rsidRPr="00357CFE" w:rsidRDefault="0039793A" w:rsidP="0039793A">
      <w:pPr>
        <w:ind w:left="540" w:hanging="540"/>
        <w:jc w:val="both"/>
        <w:rPr>
          <w:sz w:val="24"/>
        </w:rPr>
      </w:pPr>
      <w:r w:rsidRPr="00357CFE">
        <w:rPr>
          <w:sz w:val="24"/>
        </w:rPr>
        <w:t>Scowcroft (Brent) : 224, 227, 238, 239, 242.</w:t>
      </w:r>
    </w:p>
    <w:p w14:paraId="1A32A972" w14:textId="77777777" w:rsidR="0039793A" w:rsidRPr="00357CFE" w:rsidRDefault="0039793A" w:rsidP="0039793A">
      <w:pPr>
        <w:ind w:left="540" w:hanging="540"/>
        <w:jc w:val="both"/>
        <w:rPr>
          <w:sz w:val="24"/>
        </w:rPr>
      </w:pPr>
      <w:r w:rsidRPr="00357CFE">
        <w:rPr>
          <w:sz w:val="24"/>
        </w:rPr>
        <w:t>Shain (Yossi) : 329, 331, 343.</w:t>
      </w:r>
    </w:p>
    <w:p w14:paraId="249B32D6" w14:textId="77777777" w:rsidR="0039793A" w:rsidRPr="00357CFE" w:rsidRDefault="0039793A" w:rsidP="0039793A">
      <w:pPr>
        <w:ind w:left="540" w:hanging="540"/>
        <w:jc w:val="both"/>
        <w:rPr>
          <w:sz w:val="24"/>
        </w:rPr>
      </w:pPr>
      <w:r w:rsidRPr="00357CFE">
        <w:rPr>
          <w:sz w:val="24"/>
        </w:rPr>
        <w:t>Shapiro (Robert) : 160, 230.</w:t>
      </w:r>
    </w:p>
    <w:p w14:paraId="70FA0CF6" w14:textId="77777777" w:rsidR="0039793A" w:rsidRPr="00357CFE" w:rsidRDefault="0039793A" w:rsidP="0039793A">
      <w:pPr>
        <w:ind w:left="540" w:hanging="540"/>
        <w:jc w:val="both"/>
        <w:rPr>
          <w:sz w:val="24"/>
        </w:rPr>
      </w:pPr>
      <w:r w:rsidRPr="00357CFE">
        <w:rPr>
          <w:sz w:val="24"/>
        </w:rPr>
        <w:t>Shull (Steven) : 153.</w:t>
      </w:r>
    </w:p>
    <w:p w14:paraId="43D035AC" w14:textId="77777777" w:rsidR="0039793A" w:rsidRPr="00357CFE" w:rsidRDefault="0039793A" w:rsidP="0039793A">
      <w:pPr>
        <w:ind w:left="540" w:hanging="540"/>
        <w:jc w:val="both"/>
        <w:rPr>
          <w:sz w:val="24"/>
        </w:rPr>
      </w:pPr>
      <w:r w:rsidRPr="00357CFE">
        <w:rPr>
          <w:sz w:val="24"/>
        </w:rPr>
        <w:t>Shultz (George P.) : 240.</w:t>
      </w:r>
    </w:p>
    <w:p w14:paraId="25A7EE83" w14:textId="77777777" w:rsidR="0039793A" w:rsidRPr="00357CFE" w:rsidRDefault="0039793A" w:rsidP="0039793A">
      <w:pPr>
        <w:ind w:left="540" w:hanging="540"/>
        <w:jc w:val="both"/>
        <w:rPr>
          <w:sz w:val="24"/>
        </w:rPr>
      </w:pPr>
      <w:r w:rsidRPr="00357CFE">
        <w:rPr>
          <w:sz w:val="24"/>
        </w:rPr>
        <w:t>Simendiger (Alexis) : 203.</w:t>
      </w:r>
    </w:p>
    <w:p w14:paraId="3675E810" w14:textId="77777777" w:rsidR="0039793A" w:rsidRPr="00357CFE" w:rsidRDefault="0039793A" w:rsidP="0039793A">
      <w:pPr>
        <w:ind w:left="540" w:hanging="540"/>
        <w:jc w:val="both"/>
        <w:rPr>
          <w:sz w:val="24"/>
        </w:rPr>
      </w:pPr>
      <w:r w:rsidRPr="00357CFE">
        <w:rPr>
          <w:sz w:val="24"/>
        </w:rPr>
        <w:t>Simon (Dennis) : 152.</w:t>
      </w:r>
    </w:p>
    <w:p w14:paraId="64548ACC" w14:textId="77777777" w:rsidR="0039793A" w:rsidRPr="00357CFE" w:rsidRDefault="0039793A" w:rsidP="0039793A">
      <w:pPr>
        <w:ind w:left="540" w:hanging="540"/>
        <w:jc w:val="both"/>
        <w:rPr>
          <w:sz w:val="24"/>
        </w:rPr>
      </w:pPr>
      <w:r w:rsidRPr="00357CFE">
        <w:rPr>
          <w:sz w:val="24"/>
        </w:rPr>
        <w:t>Sinatra (Frank) : 306.</w:t>
      </w:r>
    </w:p>
    <w:p w14:paraId="1A5D9DE9" w14:textId="77777777" w:rsidR="0039793A" w:rsidRPr="00357CFE" w:rsidRDefault="0039793A" w:rsidP="0039793A">
      <w:pPr>
        <w:ind w:left="540" w:hanging="540"/>
        <w:jc w:val="both"/>
        <w:rPr>
          <w:sz w:val="24"/>
        </w:rPr>
      </w:pPr>
      <w:r w:rsidRPr="00357CFE">
        <w:rPr>
          <w:sz w:val="24"/>
        </w:rPr>
        <w:t>Smith (Hedrick) : 10, 208, 341.</w:t>
      </w:r>
    </w:p>
    <w:p w14:paraId="147FB968" w14:textId="77777777" w:rsidR="0039793A" w:rsidRPr="00357CFE" w:rsidRDefault="0039793A" w:rsidP="0039793A">
      <w:pPr>
        <w:ind w:left="540" w:hanging="540"/>
        <w:jc w:val="both"/>
        <w:rPr>
          <w:sz w:val="24"/>
        </w:rPr>
      </w:pPr>
      <w:r w:rsidRPr="00357CFE">
        <w:rPr>
          <w:sz w:val="24"/>
        </w:rPr>
        <w:t>Smith (James Allen) : 319.</w:t>
      </w:r>
    </w:p>
    <w:p w14:paraId="02F88262" w14:textId="77777777" w:rsidR="0039793A" w:rsidRPr="00357CFE" w:rsidRDefault="0039793A" w:rsidP="0039793A">
      <w:pPr>
        <w:ind w:left="540" w:hanging="540"/>
        <w:jc w:val="both"/>
        <w:rPr>
          <w:sz w:val="24"/>
        </w:rPr>
      </w:pPr>
      <w:r w:rsidRPr="00357CFE">
        <w:rPr>
          <w:sz w:val="24"/>
        </w:rPr>
        <w:t>Smith (Jeffrey) : 201.</w:t>
      </w:r>
    </w:p>
    <w:p w14:paraId="12AE948A" w14:textId="77777777" w:rsidR="0039793A" w:rsidRPr="00357CFE" w:rsidRDefault="0039793A" w:rsidP="0039793A">
      <w:pPr>
        <w:ind w:left="540" w:hanging="540"/>
        <w:jc w:val="both"/>
        <w:rPr>
          <w:sz w:val="24"/>
        </w:rPr>
      </w:pPr>
      <w:r w:rsidRPr="00357CFE">
        <w:rPr>
          <w:sz w:val="24"/>
        </w:rPr>
        <w:t>Smith (Steve) : 101.</w:t>
      </w:r>
    </w:p>
    <w:p w14:paraId="4E8528AF" w14:textId="77777777" w:rsidR="0039793A" w:rsidRPr="00357CFE" w:rsidRDefault="0039793A" w:rsidP="0039793A">
      <w:pPr>
        <w:ind w:left="540" w:hanging="540"/>
        <w:jc w:val="both"/>
        <w:rPr>
          <w:sz w:val="24"/>
        </w:rPr>
      </w:pPr>
      <w:r w:rsidRPr="00357CFE">
        <w:rPr>
          <w:sz w:val="24"/>
        </w:rPr>
        <w:t>Smith (Tony) : 326, 330, 332, 334, 336, 337, 343.</w:t>
      </w:r>
    </w:p>
    <w:p w14:paraId="6576950B" w14:textId="77777777" w:rsidR="0039793A" w:rsidRPr="00357CFE" w:rsidRDefault="0039793A" w:rsidP="0039793A">
      <w:pPr>
        <w:ind w:left="540" w:hanging="540"/>
        <w:jc w:val="both"/>
        <w:rPr>
          <w:sz w:val="24"/>
        </w:rPr>
      </w:pPr>
      <w:r w:rsidRPr="00357CFE">
        <w:rPr>
          <w:sz w:val="24"/>
        </w:rPr>
        <w:t>Snow (Donald) : 147, 180, 184, 188, 195, 204, 232.</w:t>
      </w:r>
    </w:p>
    <w:p w14:paraId="1140AE2D" w14:textId="77777777" w:rsidR="0039793A" w:rsidRPr="00357CFE" w:rsidRDefault="0039793A" w:rsidP="0039793A">
      <w:pPr>
        <w:ind w:left="540" w:hanging="540"/>
        <w:jc w:val="both"/>
        <w:rPr>
          <w:sz w:val="24"/>
        </w:rPr>
      </w:pPr>
      <w:r w:rsidRPr="00357CFE">
        <w:rPr>
          <w:sz w:val="24"/>
        </w:rPr>
        <w:t>Sorensen (Ted) : 151, 235.</w:t>
      </w:r>
    </w:p>
    <w:p w14:paraId="7966AC64" w14:textId="77777777" w:rsidR="0039793A" w:rsidRPr="00357CFE" w:rsidRDefault="0039793A" w:rsidP="0039793A">
      <w:pPr>
        <w:ind w:left="540" w:hanging="540"/>
        <w:jc w:val="both"/>
        <w:rPr>
          <w:sz w:val="24"/>
        </w:rPr>
      </w:pPr>
      <w:r w:rsidRPr="00357CFE">
        <w:rPr>
          <w:sz w:val="24"/>
        </w:rPr>
        <w:t>Souers (Sidney) : 233.</w:t>
      </w:r>
    </w:p>
    <w:p w14:paraId="72F0736F" w14:textId="77777777" w:rsidR="0039793A" w:rsidRPr="00357CFE" w:rsidRDefault="0039793A" w:rsidP="0039793A">
      <w:pPr>
        <w:ind w:left="540" w:hanging="540"/>
        <w:jc w:val="both"/>
        <w:rPr>
          <w:sz w:val="24"/>
        </w:rPr>
      </w:pPr>
      <w:r w:rsidRPr="00357CFE">
        <w:rPr>
          <w:sz w:val="24"/>
        </w:rPr>
        <w:t>Sourbs-Verger (Isabelle) : 334.</w:t>
      </w:r>
    </w:p>
    <w:p w14:paraId="0D8953F3" w14:textId="77777777" w:rsidR="0039793A" w:rsidRPr="00357CFE" w:rsidRDefault="0039793A" w:rsidP="0039793A">
      <w:pPr>
        <w:ind w:left="540" w:hanging="540"/>
        <w:jc w:val="both"/>
        <w:rPr>
          <w:sz w:val="24"/>
        </w:rPr>
      </w:pPr>
      <w:r w:rsidRPr="00357CFE">
        <w:rPr>
          <w:sz w:val="24"/>
        </w:rPr>
        <w:t>Spanier (John) : 87.</w:t>
      </w:r>
    </w:p>
    <w:p w14:paraId="68665709" w14:textId="77777777" w:rsidR="0039793A" w:rsidRPr="00357CFE" w:rsidRDefault="0039793A" w:rsidP="0039793A">
      <w:pPr>
        <w:ind w:left="540" w:hanging="540"/>
        <w:jc w:val="both"/>
        <w:rPr>
          <w:sz w:val="24"/>
        </w:rPr>
      </w:pPr>
      <w:r w:rsidRPr="00357CFE">
        <w:rPr>
          <w:sz w:val="24"/>
        </w:rPr>
        <w:t>Spiro (Peter J.) : 21.</w:t>
      </w:r>
    </w:p>
    <w:p w14:paraId="3925D23B" w14:textId="77777777" w:rsidR="0039793A" w:rsidRPr="00357CFE" w:rsidRDefault="0039793A" w:rsidP="0039793A">
      <w:pPr>
        <w:ind w:left="540" w:hanging="540"/>
        <w:jc w:val="both"/>
        <w:rPr>
          <w:sz w:val="24"/>
        </w:rPr>
      </w:pPr>
      <w:r w:rsidRPr="00357CFE">
        <w:rPr>
          <w:sz w:val="24"/>
        </w:rPr>
        <w:t>Spitzer (Robert) : 30, 31.</w:t>
      </w:r>
    </w:p>
    <w:p w14:paraId="7AFEF2BA" w14:textId="77777777" w:rsidR="0039793A" w:rsidRPr="00357CFE" w:rsidRDefault="0039793A" w:rsidP="0039793A">
      <w:pPr>
        <w:ind w:left="540" w:hanging="540"/>
        <w:jc w:val="both"/>
        <w:rPr>
          <w:sz w:val="24"/>
        </w:rPr>
      </w:pPr>
      <w:r w:rsidRPr="00357CFE">
        <w:rPr>
          <w:sz w:val="24"/>
        </w:rPr>
        <w:t>Spring (Baker) : 263.</w:t>
      </w:r>
    </w:p>
    <w:p w14:paraId="21B2CCD9" w14:textId="77777777" w:rsidR="0039793A" w:rsidRPr="00357CFE" w:rsidRDefault="0039793A" w:rsidP="0039793A">
      <w:pPr>
        <w:ind w:left="540" w:hanging="540"/>
        <w:jc w:val="both"/>
        <w:rPr>
          <w:sz w:val="24"/>
        </w:rPr>
      </w:pPr>
      <w:r w:rsidRPr="00357CFE">
        <w:rPr>
          <w:sz w:val="24"/>
        </w:rPr>
        <w:t>Starr (Kenneth) : 282.</w:t>
      </w:r>
    </w:p>
    <w:p w14:paraId="63695D4C" w14:textId="77777777" w:rsidR="0039793A" w:rsidRPr="00357CFE" w:rsidRDefault="0039793A" w:rsidP="0039793A">
      <w:pPr>
        <w:ind w:left="540" w:hanging="540"/>
        <w:jc w:val="both"/>
        <w:rPr>
          <w:sz w:val="24"/>
        </w:rPr>
      </w:pPr>
      <w:r w:rsidRPr="00357CFE">
        <w:rPr>
          <w:sz w:val="24"/>
        </w:rPr>
        <w:t>Steel (Ronald) : 84.</w:t>
      </w:r>
    </w:p>
    <w:p w14:paraId="5C2D1CDA" w14:textId="77777777" w:rsidR="0039793A" w:rsidRPr="00357CFE" w:rsidRDefault="0039793A" w:rsidP="0039793A">
      <w:pPr>
        <w:ind w:left="540" w:hanging="540"/>
        <w:jc w:val="both"/>
        <w:rPr>
          <w:sz w:val="24"/>
        </w:rPr>
      </w:pPr>
      <w:r w:rsidRPr="00357CFE">
        <w:rPr>
          <w:sz w:val="24"/>
        </w:rPr>
        <w:t>Stern (Eric) : 172, 227, 232.</w:t>
      </w:r>
    </w:p>
    <w:p w14:paraId="49B8B4C8" w14:textId="77777777" w:rsidR="0039793A" w:rsidRPr="00357CFE" w:rsidRDefault="0039793A" w:rsidP="0039793A">
      <w:pPr>
        <w:ind w:left="540" w:hanging="540"/>
        <w:jc w:val="both"/>
        <w:rPr>
          <w:sz w:val="24"/>
        </w:rPr>
      </w:pPr>
      <w:r w:rsidRPr="00357CFE">
        <w:rPr>
          <w:sz w:val="24"/>
        </w:rPr>
        <w:t>Strauss (Robert) : 336.</w:t>
      </w:r>
    </w:p>
    <w:p w14:paraId="4DFC3179" w14:textId="77777777" w:rsidR="0039793A" w:rsidRPr="00357CFE" w:rsidRDefault="0039793A" w:rsidP="0039793A">
      <w:pPr>
        <w:ind w:left="540" w:hanging="540"/>
        <w:jc w:val="both"/>
        <w:rPr>
          <w:sz w:val="24"/>
        </w:rPr>
      </w:pPr>
      <w:r w:rsidRPr="00357CFE">
        <w:rPr>
          <w:sz w:val="24"/>
        </w:rPr>
        <w:t>Strobel (Warren P.) : 307, 308.</w:t>
      </w:r>
    </w:p>
    <w:p w14:paraId="5F02E079" w14:textId="77777777" w:rsidR="0039793A" w:rsidRPr="00357CFE" w:rsidRDefault="0039793A" w:rsidP="0039793A">
      <w:pPr>
        <w:ind w:left="540" w:hanging="540"/>
        <w:jc w:val="both"/>
        <w:rPr>
          <w:sz w:val="24"/>
        </w:rPr>
      </w:pPr>
      <w:r w:rsidRPr="00357CFE">
        <w:rPr>
          <w:sz w:val="24"/>
        </w:rPr>
        <w:t>Strong (Josiah) : 77.</w:t>
      </w:r>
    </w:p>
    <w:p w14:paraId="0C6A62EB" w14:textId="77777777" w:rsidR="0039793A" w:rsidRPr="00357CFE" w:rsidRDefault="0039793A" w:rsidP="0039793A">
      <w:pPr>
        <w:ind w:left="540" w:hanging="540"/>
        <w:jc w:val="both"/>
        <w:rPr>
          <w:sz w:val="24"/>
        </w:rPr>
      </w:pPr>
      <w:r w:rsidRPr="00357CFE">
        <w:rPr>
          <w:sz w:val="24"/>
        </w:rPr>
        <w:t>Sutherland (George) : 34.</w:t>
      </w:r>
    </w:p>
    <w:p w14:paraId="6861867E" w14:textId="77777777" w:rsidR="0039793A" w:rsidRPr="00357CFE" w:rsidRDefault="0039793A" w:rsidP="0039793A">
      <w:pPr>
        <w:ind w:left="540" w:hanging="540"/>
        <w:jc w:val="both"/>
        <w:rPr>
          <w:sz w:val="24"/>
        </w:rPr>
      </w:pPr>
    </w:p>
    <w:p w14:paraId="007187AA" w14:textId="77777777" w:rsidR="0039793A" w:rsidRPr="00357CFE" w:rsidRDefault="0039793A" w:rsidP="0039793A">
      <w:pPr>
        <w:ind w:left="540" w:hanging="540"/>
        <w:jc w:val="both"/>
        <w:rPr>
          <w:sz w:val="24"/>
        </w:rPr>
      </w:pPr>
      <w:r w:rsidRPr="00357CFE">
        <w:rPr>
          <w:sz w:val="24"/>
        </w:rPr>
        <w:t>Taft (Howard) : 37, 48, 83.</w:t>
      </w:r>
    </w:p>
    <w:p w14:paraId="1E6E29DA" w14:textId="77777777" w:rsidR="0039793A" w:rsidRPr="00357CFE" w:rsidRDefault="0039793A" w:rsidP="0039793A">
      <w:pPr>
        <w:ind w:left="540" w:hanging="540"/>
        <w:jc w:val="both"/>
        <w:rPr>
          <w:sz w:val="24"/>
        </w:rPr>
      </w:pPr>
      <w:r w:rsidRPr="00357CFE">
        <w:rPr>
          <w:sz w:val="24"/>
        </w:rPr>
        <w:t>Talbott (Strobe) : 202.</w:t>
      </w:r>
    </w:p>
    <w:p w14:paraId="0348404E" w14:textId="77777777" w:rsidR="0039793A" w:rsidRPr="00357CFE" w:rsidRDefault="0039793A" w:rsidP="0039793A">
      <w:pPr>
        <w:ind w:left="540" w:hanging="540"/>
        <w:jc w:val="both"/>
        <w:rPr>
          <w:sz w:val="24"/>
        </w:rPr>
      </w:pPr>
      <w:r w:rsidRPr="00357CFE">
        <w:rPr>
          <w:sz w:val="24"/>
        </w:rPr>
        <w:t>Taylor (Charles) : 276.</w:t>
      </w:r>
    </w:p>
    <w:p w14:paraId="05D7A07B" w14:textId="77777777" w:rsidR="0039793A" w:rsidRPr="00357CFE" w:rsidRDefault="0039793A" w:rsidP="0039793A">
      <w:pPr>
        <w:ind w:left="540" w:hanging="540"/>
        <w:jc w:val="both"/>
        <w:rPr>
          <w:sz w:val="24"/>
        </w:rPr>
      </w:pPr>
      <w:r w:rsidRPr="00357CFE">
        <w:rPr>
          <w:sz w:val="24"/>
        </w:rPr>
        <w:t>Taylor (Maxwell) : 235.</w:t>
      </w:r>
    </w:p>
    <w:p w14:paraId="3C3449FE" w14:textId="77777777" w:rsidR="0039793A" w:rsidRPr="00357CFE" w:rsidRDefault="0039793A" w:rsidP="0039793A">
      <w:pPr>
        <w:ind w:left="540" w:hanging="540"/>
        <w:jc w:val="both"/>
        <w:rPr>
          <w:sz w:val="24"/>
        </w:rPr>
      </w:pPr>
      <w:r w:rsidRPr="00357CFE">
        <w:rPr>
          <w:sz w:val="24"/>
        </w:rPr>
        <w:t>Tetlock (Philip) : 168.</w:t>
      </w:r>
    </w:p>
    <w:p w14:paraId="3D076A0C" w14:textId="77777777" w:rsidR="0039793A" w:rsidRPr="00357CFE" w:rsidRDefault="0039793A" w:rsidP="0039793A">
      <w:pPr>
        <w:ind w:left="540" w:hanging="540"/>
        <w:jc w:val="both"/>
        <w:rPr>
          <w:sz w:val="24"/>
        </w:rPr>
      </w:pPr>
      <w:r w:rsidRPr="00357CFE">
        <w:rPr>
          <w:sz w:val="24"/>
        </w:rPr>
        <w:t>Tocqueville (Alexis de) : 38, 61, 248, 317.</w:t>
      </w:r>
    </w:p>
    <w:p w14:paraId="607C19F6" w14:textId="77777777" w:rsidR="0039793A" w:rsidRPr="00357CFE" w:rsidRDefault="0039793A" w:rsidP="0039793A">
      <w:pPr>
        <w:ind w:left="540" w:hanging="540"/>
        <w:jc w:val="both"/>
        <w:rPr>
          <w:sz w:val="24"/>
        </w:rPr>
      </w:pPr>
      <w:r w:rsidRPr="00357CFE">
        <w:rPr>
          <w:sz w:val="24"/>
        </w:rPr>
        <w:t>Toinet (Marie-France) : 11, 24.</w:t>
      </w:r>
    </w:p>
    <w:p w14:paraId="13FCD6C6" w14:textId="77777777" w:rsidR="0039793A" w:rsidRPr="00357CFE" w:rsidRDefault="0039793A" w:rsidP="0039793A">
      <w:pPr>
        <w:ind w:left="540" w:hanging="540"/>
        <w:jc w:val="both"/>
        <w:rPr>
          <w:sz w:val="24"/>
        </w:rPr>
      </w:pPr>
      <w:r w:rsidRPr="00357CFE">
        <w:rPr>
          <w:sz w:val="24"/>
        </w:rPr>
        <w:t>Tower (John) : 151.</w:t>
      </w:r>
    </w:p>
    <w:p w14:paraId="65C82CB0" w14:textId="77777777" w:rsidR="0039793A" w:rsidRPr="00357CFE" w:rsidRDefault="0039793A" w:rsidP="0039793A">
      <w:pPr>
        <w:ind w:left="540" w:hanging="540"/>
        <w:jc w:val="both"/>
        <w:rPr>
          <w:sz w:val="24"/>
        </w:rPr>
      </w:pPr>
      <w:r w:rsidRPr="00357CFE">
        <w:rPr>
          <w:sz w:val="24"/>
        </w:rPr>
        <w:t>Treverton (Gregory) : 201.</w:t>
      </w:r>
    </w:p>
    <w:p w14:paraId="4B675612" w14:textId="77777777" w:rsidR="0039793A" w:rsidRPr="00357CFE" w:rsidRDefault="0039793A" w:rsidP="0039793A">
      <w:pPr>
        <w:ind w:left="540" w:hanging="540"/>
        <w:jc w:val="both"/>
        <w:rPr>
          <w:sz w:val="24"/>
        </w:rPr>
      </w:pPr>
      <w:r w:rsidRPr="00357CFE">
        <w:rPr>
          <w:sz w:val="24"/>
        </w:rPr>
        <w:t>Trubowitz (Peter) : 299, 302.</w:t>
      </w:r>
    </w:p>
    <w:p w14:paraId="565DCD39" w14:textId="77777777" w:rsidR="0039793A" w:rsidRPr="00357CFE" w:rsidRDefault="0039793A" w:rsidP="0039793A">
      <w:pPr>
        <w:ind w:left="540" w:hanging="540"/>
        <w:jc w:val="both"/>
        <w:rPr>
          <w:sz w:val="24"/>
        </w:rPr>
      </w:pPr>
      <w:r w:rsidRPr="00357CFE">
        <w:rPr>
          <w:sz w:val="24"/>
        </w:rPr>
        <w:t>Truman (Harry S.) : 35, 63, 76, 78, 87, 92, 95, 98, 146, 148, 152, 158, 160, 161, 162, 165, 167, 168, 169, 170, 173, 175, 177, 181, 184, 198, 208, 213, 214, 215, 219, 220, 221, 225, 229, 232, 233, 234, 287, 312.</w:t>
      </w:r>
    </w:p>
    <w:p w14:paraId="6796F7FE" w14:textId="77777777" w:rsidR="0039793A" w:rsidRPr="00357CFE" w:rsidRDefault="0039793A" w:rsidP="0039793A">
      <w:pPr>
        <w:ind w:left="540" w:hanging="540"/>
        <w:jc w:val="both"/>
        <w:rPr>
          <w:sz w:val="24"/>
        </w:rPr>
      </w:pPr>
      <w:r w:rsidRPr="00357CFE">
        <w:rPr>
          <w:sz w:val="24"/>
        </w:rPr>
        <w:t>Turner (Frederick Jackson) : 58.</w:t>
      </w:r>
    </w:p>
    <w:p w14:paraId="25B4C7E2" w14:textId="77777777" w:rsidR="0039793A" w:rsidRPr="00357CFE" w:rsidRDefault="0039793A" w:rsidP="0039793A">
      <w:pPr>
        <w:ind w:left="540" w:hanging="540"/>
        <w:jc w:val="both"/>
        <w:rPr>
          <w:sz w:val="24"/>
        </w:rPr>
      </w:pPr>
      <w:r w:rsidRPr="00357CFE">
        <w:rPr>
          <w:sz w:val="24"/>
        </w:rPr>
        <w:t>Turner (Stansfield) : 195.</w:t>
      </w:r>
    </w:p>
    <w:p w14:paraId="2364DF34" w14:textId="77777777" w:rsidR="0039793A" w:rsidRPr="00357CFE" w:rsidRDefault="0039793A" w:rsidP="0039793A">
      <w:pPr>
        <w:ind w:left="540" w:hanging="540"/>
        <w:jc w:val="both"/>
        <w:rPr>
          <w:sz w:val="24"/>
        </w:rPr>
      </w:pPr>
      <w:r w:rsidRPr="00357CFE">
        <w:rPr>
          <w:sz w:val="24"/>
        </w:rPr>
        <w:t>Turpin (Dominique) : 16.</w:t>
      </w:r>
    </w:p>
    <w:p w14:paraId="6FD386E9" w14:textId="77777777" w:rsidR="0039793A" w:rsidRPr="00357CFE" w:rsidRDefault="0039793A" w:rsidP="0039793A">
      <w:pPr>
        <w:ind w:left="540" w:hanging="540"/>
        <w:jc w:val="both"/>
        <w:rPr>
          <w:sz w:val="24"/>
        </w:rPr>
      </w:pPr>
    </w:p>
    <w:p w14:paraId="20EB7B41" w14:textId="77777777" w:rsidR="0039793A" w:rsidRPr="00357CFE" w:rsidRDefault="0039793A" w:rsidP="0039793A">
      <w:pPr>
        <w:ind w:left="540" w:hanging="540"/>
        <w:jc w:val="both"/>
        <w:rPr>
          <w:sz w:val="24"/>
        </w:rPr>
      </w:pPr>
      <w:r w:rsidRPr="00357CFE">
        <w:rPr>
          <w:sz w:val="24"/>
        </w:rPr>
        <w:t>Vagnoux (Isabelle) : 269, 278.</w:t>
      </w:r>
    </w:p>
    <w:p w14:paraId="04E42197" w14:textId="77777777" w:rsidR="0039793A" w:rsidRPr="00357CFE" w:rsidRDefault="0039793A" w:rsidP="0039793A">
      <w:pPr>
        <w:ind w:left="540" w:hanging="540"/>
        <w:jc w:val="both"/>
        <w:rPr>
          <w:sz w:val="24"/>
        </w:rPr>
      </w:pPr>
      <w:r w:rsidRPr="00357CFE">
        <w:rPr>
          <w:sz w:val="24"/>
        </w:rPr>
        <w:t>Vaïsse (Justin) : 12, 80, 250, 314, 319.</w:t>
      </w:r>
    </w:p>
    <w:p w14:paraId="3EE96171" w14:textId="77777777" w:rsidR="0039793A" w:rsidRPr="00357CFE" w:rsidRDefault="0039793A" w:rsidP="0039793A">
      <w:pPr>
        <w:ind w:left="540" w:hanging="540"/>
        <w:jc w:val="both"/>
        <w:rPr>
          <w:sz w:val="24"/>
        </w:rPr>
      </w:pPr>
      <w:r w:rsidRPr="00357CFE">
        <w:rPr>
          <w:sz w:val="24"/>
        </w:rPr>
        <w:t>Valladão (Alfredo) : 57.</w:t>
      </w:r>
    </w:p>
    <w:p w14:paraId="1A4BFFC0" w14:textId="77777777" w:rsidR="0039793A" w:rsidRPr="00357CFE" w:rsidRDefault="0039793A" w:rsidP="0039793A">
      <w:pPr>
        <w:ind w:left="540" w:hanging="540"/>
        <w:jc w:val="both"/>
        <w:rPr>
          <w:sz w:val="24"/>
        </w:rPr>
      </w:pPr>
      <w:r w:rsidRPr="00357CFE">
        <w:rPr>
          <w:sz w:val="24"/>
        </w:rPr>
        <w:t>Vallet (Élisabeth) : 12.</w:t>
      </w:r>
    </w:p>
    <w:p w14:paraId="709F181A" w14:textId="77777777" w:rsidR="0039793A" w:rsidRPr="00357CFE" w:rsidRDefault="0039793A" w:rsidP="0039793A">
      <w:pPr>
        <w:ind w:left="540" w:hanging="540"/>
        <w:jc w:val="both"/>
        <w:rPr>
          <w:sz w:val="24"/>
        </w:rPr>
      </w:pPr>
      <w:r w:rsidRPr="00357CFE">
        <w:rPr>
          <w:sz w:val="24"/>
        </w:rPr>
        <w:t>Vance (Cyrus) : 180, 224, 225, 228, 239, 240.</w:t>
      </w:r>
    </w:p>
    <w:p w14:paraId="226C95DB" w14:textId="77777777" w:rsidR="0039793A" w:rsidRPr="00357CFE" w:rsidRDefault="0039793A" w:rsidP="0039793A">
      <w:pPr>
        <w:ind w:left="540" w:hanging="540"/>
        <w:jc w:val="both"/>
        <w:rPr>
          <w:sz w:val="24"/>
        </w:rPr>
      </w:pPr>
      <w:r w:rsidRPr="00357CFE">
        <w:rPr>
          <w:sz w:val="24"/>
        </w:rPr>
        <w:t>Vandenberg (Arthur) : 35, 251, 313.</w:t>
      </w:r>
    </w:p>
    <w:p w14:paraId="3ABDC881" w14:textId="77777777" w:rsidR="0039793A" w:rsidRPr="00357CFE" w:rsidRDefault="0039793A" w:rsidP="0039793A">
      <w:pPr>
        <w:ind w:left="540" w:hanging="540"/>
        <w:jc w:val="both"/>
        <w:rPr>
          <w:sz w:val="24"/>
        </w:rPr>
      </w:pPr>
      <w:r w:rsidRPr="00357CFE">
        <w:rPr>
          <w:sz w:val="24"/>
        </w:rPr>
        <w:t>Védrine (Hubert) : 158.</w:t>
      </w:r>
    </w:p>
    <w:p w14:paraId="1DC1BD74" w14:textId="77777777" w:rsidR="0039793A" w:rsidRPr="00357CFE" w:rsidRDefault="0039793A" w:rsidP="0039793A">
      <w:pPr>
        <w:ind w:left="540" w:hanging="540"/>
        <w:jc w:val="both"/>
        <w:rPr>
          <w:sz w:val="24"/>
        </w:rPr>
      </w:pPr>
    </w:p>
    <w:p w14:paraId="2C8DD4A6" w14:textId="77777777" w:rsidR="0039793A" w:rsidRPr="00357CFE" w:rsidRDefault="0039793A" w:rsidP="0039793A">
      <w:pPr>
        <w:ind w:left="540" w:hanging="540"/>
        <w:jc w:val="both"/>
        <w:rPr>
          <w:sz w:val="24"/>
        </w:rPr>
      </w:pPr>
      <w:r w:rsidRPr="00357CFE">
        <w:rPr>
          <w:sz w:val="24"/>
        </w:rPr>
        <w:t>Waever (Ole) : 101.</w:t>
      </w:r>
    </w:p>
    <w:p w14:paraId="58239F0C" w14:textId="77777777" w:rsidR="0039793A" w:rsidRPr="00357CFE" w:rsidRDefault="0039793A" w:rsidP="0039793A">
      <w:pPr>
        <w:ind w:left="540" w:hanging="540"/>
        <w:jc w:val="both"/>
        <w:rPr>
          <w:sz w:val="24"/>
        </w:rPr>
      </w:pPr>
      <w:r w:rsidRPr="00357CFE">
        <w:rPr>
          <w:sz w:val="24"/>
        </w:rPr>
        <w:t>Walesa (Lech) : 340.</w:t>
      </w:r>
    </w:p>
    <w:p w14:paraId="699978C8" w14:textId="77777777" w:rsidR="0039793A" w:rsidRPr="00357CFE" w:rsidRDefault="0039793A" w:rsidP="0039793A">
      <w:pPr>
        <w:ind w:left="540" w:hanging="540"/>
        <w:jc w:val="both"/>
        <w:rPr>
          <w:sz w:val="24"/>
        </w:rPr>
      </w:pPr>
      <w:r w:rsidRPr="00357CFE">
        <w:rPr>
          <w:sz w:val="24"/>
        </w:rPr>
        <w:t>Walt (Stephen M.) : 104, 115, 116, 117, 121</w:t>
      </w:r>
      <w:r w:rsidRPr="00357CFE">
        <w:rPr>
          <w:rStyle w:val="Corpsdutexte855ptGras"/>
          <w:sz w:val="24"/>
        </w:rPr>
        <w:t>.</w:t>
      </w:r>
    </w:p>
    <w:p w14:paraId="3FBB804D" w14:textId="77777777" w:rsidR="0039793A" w:rsidRPr="00357CFE" w:rsidRDefault="0039793A" w:rsidP="0039793A">
      <w:pPr>
        <w:ind w:left="540" w:hanging="540"/>
        <w:jc w:val="both"/>
        <w:rPr>
          <w:sz w:val="24"/>
        </w:rPr>
      </w:pPr>
      <w:r w:rsidRPr="00357CFE">
        <w:rPr>
          <w:sz w:val="24"/>
        </w:rPr>
        <w:t>Washington (George) : 19, 23, 25, 28, 31, 43, 47, 50, 51, 52, 53, 54, 55, 68, 72, 74, 75, 76, 84, 88, 145, 146, 148, 149, 162.</w:t>
      </w:r>
    </w:p>
    <w:p w14:paraId="1735D62D" w14:textId="77777777" w:rsidR="0039793A" w:rsidRPr="00357CFE" w:rsidRDefault="0039793A" w:rsidP="0039793A">
      <w:pPr>
        <w:ind w:left="540" w:hanging="540"/>
        <w:jc w:val="both"/>
        <w:rPr>
          <w:sz w:val="24"/>
        </w:rPr>
      </w:pPr>
      <w:r w:rsidRPr="00357CFE">
        <w:rPr>
          <w:sz w:val="24"/>
        </w:rPr>
        <w:t>Wattenberg (Ben J.) : 57.</w:t>
      </w:r>
    </w:p>
    <w:p w14:paraId="07664BC7" w14:textId="77777777" w:rsidR="0039793A" w:rsidRPr="00357CFE" w:rsidRDefault="0039793A" w:rsidP="0039793A">
      <w:pPr>
        <w:ind w:left="540" w:hanging="540"/>
        <w:jc w:val="both"/>
        <w:rPr>
          <w:sz w:val="24"/>
        </w:rPr>
      </w:pPr>
      <w:r w:rsidRPr="00357CFE">
        <w:rPr>
          <w:sz w:val="24"/>
        </w:rPr>
        <w:t>Wayne (Stephen) : 147, 153, 158.</w:t>
      </w:r>
    </w:p>
    <w:p w14:paraId="7A75B315" w14:textId="77777777" w:rsidR="0039793A" w:rsidRPr="00357CFE" w:rsidRDefault="0039793A" w:rsidP="0039793A">
      <w:pPr>
        <w:ind w:left="540" w:hanging="540"/>
        <w:jc w:val="both"/>
        <w:rPr>
          <w:sz w:val="24"/>
        </w:rPr>
      </w:pPr>
      <w:r w:rsidRPr="00357CFE">
        <w:rPr>
          <w:sz w:val="24"/>
        </w:rPr>
        <w:t>Weinberger (Caspar) : 189, 240.</w:t>
      </w:r>
    </w:p>
    <w:p w14:paraId="106429C3" w14:textId="77777777" w:rsidR="0039793A" w:rsidRPr="00357CFE" w:rsidRDefault="0039793A" w:rsidP="0039793A">
      <w:pPr>
        <w:ind w:left="540" w:hanging="540"/>
        <w:jc w:val="both"/>
        <w:rPr>
          <w:sz w:val="24"/>
        </w:rPr>
      </w:pPr>
      <w:r w:rsidRPr="00357CFE">
        <w:rPr>
          <w:sz w:val="24"/>
        </w:rPr>
        <w:t>Weiner (Tim) : 276.</w:t>
      </w:r>
    </w:p>
    <w:p w14:paraId="6DA2DE80" w14:textId="77777777" w:rsidR="0039793A" w:rsidRPr="00357CFE" w:rsidRDefault="0039793A" w:rsidP="0039793A">
      <w:pPr>
        <w:ind w:left="540" w:hanging="540"/>
        <w:jc w:val="both"/>
        <w:rPr>
          <w:sz w:val="24"/>
        </w:rPr>
      </w:pPr>
      <w:r w:rsidRPr="00357CFE">
        <w:rPr>
          <w:sz w:val="24"/>
        </w:rPr>
        <w:t>Weisberg (Herbert) : 277.</w:t>
      </w:r>
    </w:p>
    <w:p w14:paraId="1C3ECB57" w14:textId="77777777" w:rsidR="0039793A" w:rsidRPr="00357CFE" w:rsidRDefault="0039793A" w:rsidP="0039793A">
      <w:pPr>
        <w:ind w:left="540" w:hanging="540"/>
        <w:jc w:val="both"/>
        <w:rPr>
          <w:sz w:val="24"/>
        </w:rPr>
      </w:pPr>
      <w:r w:rsidRPr="00357CFE">
        <w:rPr>
          <w:sz w:val="24"/>
        </w:rPr>
        <w:t>Wendzel (Robert) : 220, 222.</w:t>
      </w:r>
    </w:p>
    <w:p w14:paraId="300B7F61" w14:textId="77777777" w:rsidR="0039793A" w:rsidRPr="00357CFE" w:rsidRDefault="0039793A" w:rsidP="0039793A">
      <w:pPr>
        <w:ind w:left="540" w:hanging="540"/>
        <w:jc w:val="both"/>
        <w:rPr>
          <w:sz w:val="24"/>
        </w:rPr>
      </w:pPr>
      <w:r w:rsidRPr="00357CFE">
        <w:rPr>
          <w:sz w:val="24"/>
        </w:rPr>
        <w:t>Westerfield (Donald) : 153.</w:t>
      </w:r>
    </w:p>
    <w:p w14:paraId="44227D9C" w14:textId="77777777" w:rsidR="0039793A" w:rsidRPr="00357CFE" w:rsidRDefault="0039793A" w:rsidP="0039793A">
      <w:pPr>
        <w:ind w:left="540" w:hanging="540"/>
        <w:jc w:val="both"/>
        <w:rPr>
          <w:sz w:val="24"/>
        </w:rPr>
      </w:pPr>
      <w:r w:rsidRPr="00357CFE">
        <w:rPr>
          <w:sz w:val="24"/>
        </w:rPr>
        <w:t>Wiarda (Howard J.) : 9, 10, 43, 158, 163, 164, 183, 186, 188, 191, 198, 204, 221, 225.</w:t>
      </w:r>
    </w:p>
    <w:p w14:paraId="7A39AD8C" w14:textId="77777777" w:rsidR="0039793A" w:rsidRPr="00357CFE" w:rsidRDefault="0039793A" w:rsidP="0039793A">
      <w:pPr>
        <w:ind w:left="540" w:hanging="540"/>
        <w:jc w:val="both"/>
        <w:rPr>
          <w:sz w:val="24"/>
        </w:rPr>
      </w:pPr>
      <w:r w:rsidRPr="00357CFE">
        <w:rPr>
          <w:sz w:val="24"/>
        </w:rPr>
        <w:t>Wildavsky (Aaron) : 159-</w:t>
      </w:r>
    </w:p>
    <w:p w14:paraId="11C3D8EF" w14:textId="77777777" w:rsidR="0039793A" w:rsidRPr="00357CFE" w:rsidRDefault="0039793A" w:rsidP="0039793A">
      <w:pPr>
        <w:ind w:left="540" w:hanging="540"/>
        <w:jc w:val="both"/>
        <w:rPr>
          <w:sz w:val="24"/>
        </w:rPr>
      </w:pPr>
      <w:r w:rsidRPr="00357CFE">
        <w:rPr>
          <w:sz w:val="24"/>
        </w:rPr>
        <w:t>Williams (William Appleman) : 56, 83-</w:t>
      </w:r>
    </w:p>
    <w:p w14:paraId="21661315" w14:textId="77777777" w:rsidR="0039793A" w:rsidRPr="00357CFE" w:rsidRDefault="0039793A" w:rsidP="0039793A">
      <w:pPr>
        <w:ind w:left="540" w:hanging="540"/>
        <w:jc w:val="both"/>
        <w:rPr>
          <w:sz w:val="24"/>
        </w:rPr>
      </w:pPr>
      <w:r w:rsidRPr="00357CFE">
        <w:rPr>
          <w:sz w:val="24"/>
        </w:rPr>
        <w:t>Wilson (Charles) : 189.</w:t>
      </w:r>
    </w:p>
    <w:p w14:paraId="63F6C054" w14:textId="77777777" w:rsidR="0039793A" w:rsidRPr="00357CFE" w:rsidRDefault="0039793A" w:rsidP="0039793A">
      <w:pPr>
        <w:ind w:left="540" w:hanging="540"/>
        <w:jc w:val="both"/>
        <w:rPr>
          <w:sz w:val="24"/>
        </w:rPr>
      </w:pPr>
      <w:r w:rsidRPr="00357CFE">
        <w:rPr>
          <w:sz w:val="24"/>
        </w:rPr>
        <w:t>Wilson (George) : 191.</w:t>
      </w:r>
    </w:p>
    <w:p w14:paraId="0C3D3D19" w14:textId="77777777" w:rsidR="0039793A" w:rsidRPr="00357CFE" w:rsidRDefault="0039793A" w:rsidP="0039793A">
      <w:pPr>
        <w:ind w:left="540" w:hanging="540"/>
        <w:jc w:val="both"/>
        <w:rPr>
          <w:sz w:val="24"/>
        </w:rPr>
      </w:pPr>
      <w:r w:rsidRPr="00357CFE">
        <w:rPr>
          <w:sz w:val="24"/>
        </w:rPr>
        <w:t>Wilson (Woodrow) : 34, 46, 54, 77, 78, 79, 80, 84, 85, 86, 88, 89, 92, 94, 103, 127, 145, 164, 166, 168, 250, 287, 312.</w:t>
      </w:r>
    </w:p>
    <w:p w14:paraId="245D8EBF" w14:textId="77777777" w:rsidR="0039793A" w:rsidRPr="00357CFE" w:rsidRDefault="0039793A" w:rsidP="0039793A">
      <w:pPr>
        <w:ind w:left="540" w:hanging="540"/>
        <w:jc w:val="both"/>
        <w:rPr>
          <w:sz w:val="24"/>
        </w:rPr>
      </w:pPr>
      <w:r w:rsidRPr="00357CFE">
        <w:rPr>
          <w:sz w:val="24"/>
        </w:rPr>
        <w:t>Winthrop (John) : 89.</w:t>
      </w:r>
    </w:p>
    <w:p w14:paraId="343A04BD" w14:textId="77777777" w:rsidR="0039793A" w:rsidRPr="00357CFE" w:rsidRDefault="0039793A" w:rsidP="0039793A">
      <w:pPr>
        <w:ind w:left="540" w:hanging="540"/>
        <w:jc w:val="both"/>
        <w:rPr>
          <w:sz w:val="24"/>
        </w:rPr>
      </w:pPr>
      <w:r w:rsidRPr="00357CFE">
        <w:rPr>
          <w:sz w:val="24"/>
        </w:rPr>
        <w:t>Wittkopf (Eugene) : 10, 11, 180, 183, 189, 190, 195, 198, 204, 212, 227, 251, 267, 269, 297, 304, 306, 308.</w:t>
      </w:r>
    </w:p>
    <w:p w14:paraId="30D487D9" w14:textId="77777777" w:rsidR="0039793A" w:rsidRPr="00357CFE" w:rsidRDefault="0039793A" w:rsidP="0039793A">
      <w:pPr>
        <w:ind w:left="540" w:hanging="540"/>
        <w:jc w:val="both"/>
        <w:rPr>
          <w:sz w:val="24"/>
        </w:rPr>
      </w:pPr>
      <w:r w:rsidRPr="00357CFE">
        <w:rPr>
          <w:sz w:val="24"/>
        </w:rPr>
        <w:t>Wohlforth (William C.) : 117, 118, 121.</w:t>
      </w:r>
    </w:p>
    <w:p w14:paraId="646C6AB8" w14:textId="77777777" w:rsidR="0039793A" w:rsidRPr="00357CFE" w:rsidRDefault="0039793A" w:rsidP="0039793A">
      <w:pPr>
        <w:ind w:left="540" w:hanging="540"/>
        <w:jc w:val="both"/>
        <w:rPr>
          <w:sz w:val="24"/>
        </w:rPr>
      </w:pPr>
      <w:r w:rsidRPr="00357CFE">
        <w:rPr>
          <w:sz w:val="24"/>
        </w:rPr>
        <w:t>Wolfowitz (Paul) : 103.</w:t>
      </w:r>
    </w:p>
    <w:p w14:paraId="2E46FB59" w14:textId="77777777" w:rsidR="0039793A" w:rsidRPr="00357CFE" w:rsidRDefault="0039793A" w:rsidP="0039793A">
      <w:pPr>
        <w:ind w:left="540" w:hanging="540"/>
        <w:jc w:val="both"/>
        <w:rPr>
          <w:sz w:val="24"/>
        </w:rPr>
      </w:pPr>
      <w:r w:rsidRPr="00357CFE">
        <w:rPr>
          <w:sz w:val="24"/>
        </w:rPr>
        <w:t>Woolsey (James) : 195.</w:t>
      </w:r>
    </w:p>
    <w:p w14:paraId="74254B63" w14:textId="77777777" w:rsidR="0039793A" w:rsidRPr="00357CFE" w:rsidRDefault="0039793A" w:rsidP="0039793A">
      <w:pPr>
        <w:ind w:left="540" w:hanging="540"/>
        <w:jc w:val="both"/>
        <w:rPr>
          <w:sz w:val="24"/>
        </w:rPr>
      </w:pPr>
    </w:p>
    <w:p w14:paraId="55CA0ECC" w14:textId="77777777" w:rsidR="0039793A" w:rsidRPr="00357CFE" w:rsidRDefault="0039793A" w:rsidP="0039793A">
      <w:pPr>
        <w:ind w:left="540" w:hanging="540"/>
        <w:jc w:val="both"/>
        <w:rPr>
          <w:sz w:val="24"/>
        </w:rPr>
      </w:pPr>
      <w:r w:rsidRPr="00357CFE">
        <w:rPr>
          <w:sz w:val="24"/>
        </w:rPr>
        <w:t>Zablocki (Clement) : 31.</w:t>
      </w:r>
    </w:p>
    <w:p w14:paraId="43A68F70" w14:textId="77777777" w:rsidR="0039793A" w:rsidRPr="00357CFE" w:rsidRDefault="0039793A" w:rsidP="0039793A">
      <w:pPr>
        <w:ind w:left="540" w:hanging="540"/>
        <w:jc w:val="both"/>
        <w:rPr>
          <w:sz w:val="24"/>
        </w:rPr>
      </w:pPr>
      <w:r w:rsidRPr="00357CFE">
        <w:rPr>
          <w:sz w:val="24"/>
        </w:rPr>
        <w:t>Zakaria (Fareed) : 104, 118, 119, 120, 121.</w:t>
      </w:r>
    </w:p>
    <w:p w14:paraId="67D981AB" w14:textId="77777777" w:rsidR="0039793A" w:rsidRPr="00357CFE" w:rsidRDefault="0039793A" w:rsidP="0039793A">
      <w:pPr>
        <w:ind w:left="540" w:hanging="540"/>
        <w:jc w:val="both"/>
        <w:rPr>
          <w:sz w:val="24"/>
        </w:rPr>
      </w:pPr>
      <w:r w:rsidRPr="00357CFE">
        <w:rPr>
          <w:sz w:val="24"/>
        </w:rPr>
        <w:t>Zegart (Amy) : 10, 186, 198, 206, 213, 215, 218, 229, 232.</w:t>
      </w:r>
    </w:p>
    <w:p w14:paraId="1E506FFD" w14:textId="77777777" w:rsidR="0039793A" w:rsidRPr="00357CFE" w:rsidRDefault="0039793A" w:rsidP="0039793A">
      <w:pPr>
        <w:ind w:left="540" w:hanging="540"/>
        <w:jc w:val="both"/>
        <w:rPr>
          <w:sz w:val="24"/>
        </w:rPr>
      </w:pPr>
      <w:r w:rsidRPr="00357CFE">
        <w:rPr>
          <w:sz w:val="24"/>
        </w:rPr>
        <w:t>Zelikow (Philip) : 207.</w:t>
      </w:r>
    </w:p>
    <w:p w14:paraId="0EE501D9" w14:textId="77777777" w:rsidR="0039793A" w:rsidRPr="00357CFE" w:rsidRDefault="0039793A" w:rsidP="0039793A">
      <w:pPr>
        <w:ind w:left="540" w:hanging="540"/>
        <w:jc w:val="both"/>
        <w:rPr>
          <w:sz w:val="24"/>
        </w:rPr>
      </w:pPr>
      <w:r w:rsidRPr="00357CFE">
        <w:rPr>
          <w:sz w:val="24"/>
        </w:rPr>
        <w:t>Zeller (Shawn) : 339</w:t>
      </w:r>
    </w:p>
    <w:p w14:paraId="02849982" w14:textId="77777777" w:rsidR="0039793A" w:rsidRPr="00357CFE" w:rsidRDefault="0039793A" w:rsidP="0039793A">
      <w:pPr>
        <w:ind w:left="540" w:hanging="540"/>
        <w:jc w:val="both"/>
        <w:rPr>
          <w:sz w:val="24"/>
        </w:rPr>
      </w:pPr>
      <w:r w:rsidRPr="00357CFE">
        <w:rPr>
          <w:sz w:val="24"/>
        </w:rPr>
        <w:t>Zoellick (Robert) : 270, 313.</w:t>
      </w:r>
    </w:p>
    <w:p w14:paraId="3401C221" w14:textId="77777777" w:rsidR="0039793A" w:rsidRDefault="0039793A" w:rsidP="0039793A">
      <w:pPr>
        <w:ind w:left="540" w:hanging="540"/>
        <w:jc w:val="both"/>
        <w:rPr>
          <w:sz w:val="24"/>
        </w:rPr>
      </w:pPr>
      <w:r w:rsidRPr="00357CFE">
        <w:rPr>
          <w:sz w:val="24"/>
        </w:rPr>
        <w:t>Zorgbibe (Charles) : 126.</w:t>
      </w:r>
    </w:p>
    <w:p w14:paraId="428144C8" w14:textId="77777777" w:rsidR="0039793A" w:rsidRPr="00357CFE" w:rsidRDefault="0039793A" w:rsidP="0039793A">
      <w:pPr>
        <w:ind w:left="540" w:hanging="540"/>
        <w:jc w:val="both"/>
        <w:rPr>
          <w:sz w:val="24"/>
        </w:rPr>
      </w:pPr>
    </w:p>
    <w:p w14:paraId="74388080" w14:textId="77777777" w:rsidR="0039793A" w:rsidRDefault="0039793A" w:rsidP="0039793A">
      <w:pPr>
        <w:spacing w:before="120" w:after="120"/>
        <w:jc w:val="both"/>
        <w:sectPr w:rsidR="0039793A" w:rsidSect="0039793A">
          <w:type w:val="continuous"/>
          <w:pgSz w:w="12240" w:h="15840"/>
          <w:pgMar w:top="1800" w:right="1440" w:bottom="1440" w:left="2160" w:header="720" w:footer="720" w:gutter="720"/>
          <w:cols w:num="2" w:space="360"/>
        </w:sectPr>
      </w:pPr>
    </w:p>
    <w:p w14:paraId="36A69228" w14:textId="77777777" w:rsidR="0039793A" w:rsidRPr="00253D98" w:rsidRDefault="0039793A" w:rsidP="0039793A">
      <w:pPr>
        <w:spacing w:before="120" w:after="120"/>
        <w:jc w:val="both"/>
      </w:pPr>
    </w:p>
    <w:p w14:paraId="2F41D27D" w14:textId="77777777" w:rsidR="0039793A" w:rsidRDefault="0039793A" w:rsidP="0039793A">
      <w:pPr>
        <w:pStyle w:val="p"/>
      </w:pPr>
      <w:r w:rsidRPr="00253D98">
        <w:br w:type="page"/>
      </w:r>
      <w:r>
        <w:t>[371]</w:t>
      </w:r>
    </w:p>
    <w:p w14:paraId="0B34C39B" w14:textId="77777777" w:rsidR="0039793A" w:rsidRPr="00E07116" w:rsidRDefault="0039793A" w:rsidP="0039793A">
      <w:pPr>
        <w:jc w:val="both"/>
      </w:pPr>
    </w:p>
    <w:p w14:paraId="0240BBA6" w14:textId="77777777" w:rsidR="0039793A" w:rsidRPr="00E07116" w:rsidRDefault="0039793A" w:rsidP="0039793A">
      <w:pPr>
        <w:jc w:val="both"/>
      </w:pPr>
    </w:p>
    <w:p w14:paraId="086B7479" w14:textId="77777777" w:rsidR="0039793A" w:rsidRPr="00E07116" w:rsidRDefault="0039793A" w:rsidP="0039793A">
      <w:pPr>
        <w:jc w:val="both"/>
      </w:pPr>
    </w:p>
    <w:p w14:paraId="1D5FFD09" w14:textId="77777777" w:rsidR="0039793A" w:rsidRPr="00642210" w:rsidRDefault="0039793A" w:rsidP="0039793A">
      <w:pPr>
        <w:spacing w:after="120"/>
        <w:jc w:val="center"/>
      </w:pPr>
      <w:bookmarkStart w:id="45" w:name="Pol_EU_index_thematique"/>
      <w:r w:rsidRPr="00642210">
        <w:rPr>
          <w:b/>
        </w:rPr>
        <w:t>La politique étrangère des «États-Unis.</w:t>
      </w:r>
      <w:r w:rsidRPr="00642210">
        <w:rPr>
          <w:b/>
        </w:rPr>
        <w:br/>
      </w:r>
      <w:r w:rsidRPr="00642210">
        <w:rPr>
          <w:i/>
        </w:rPr>
        <w:t>Fondements, acteurs, formulation</w:t>
      </w:r>
    </w:p>
    <w:p w14:paraId="067AF9C9" w14:textId="77777777" w:rsidR="0039793A" w:rsidRPr="00384B20" w:rsidRDefault="0039793A" w:rsidP="0039793A">
      <w:pPr>
        <w:pStyle w:val="planchest"/>
      </w:pPr>
      <w:r>
        <w:t>INDEX THÉMATIQUE</w:t>
      </w:r>
    </w:p>
    <w:bookmarkEnd w:id="45"/>
    <w:p w14:paraId="36CD4F1A" w14:textId="77777777" w:rsidR="0039793A" w:rsidRPr="00E07116" w:rsidRDefault="0039793A" w:rsidP="0039793A">
      <w:pPr>
        <w:jc w:val="both"/>
      </w:pPr>
    </w:p>
    <w:p w14:paraId="7D6067AE" w14:textId="77777777" w:rsidR="0039793A" w:rsidRPr="00E07116" w:rsidRDefault="0039793A" w:rsidP="0039793A">
      <w:pPr>
        <w:jc w:val="both"/>
      </w:pPr>
    </w:p>
    <w:p w14:paraId="76766E73" w14:textId="77777777" w:rsidR="0039793A" w:rsidRPr="00E07116" w:rsidRDefault="0039793A" w:rsidP="0039793A">
      <w:pPr>
        <w:jc w:val="both"/>
      </w:pPr>
    </w:p>
    <w:p w14:paraId="387835E0" w14:textId="77777777" w:rsidR="0039793A" w:rsidRPr="00E07116" w:rsidRDefault="0039793A" w:rsidP="0039793A">
      <w:pPr>
        <w:jc w:val="both"/>
      </w:pPr>
    </w:p>
    <w:p w14:paraId="76B7B534" w14:textId="77777777" w:rsidR="0039793A" w:rsidRPr="00384B20" w:rsidRDefault="0039793A" w:rsidP="0039793A">
      <w:pPr>
        <w:ind w:right="90" w:firstLine="0"/>
        <w:jc w:val="both"/>
        <w:rPr>
          <w:sz w:val="20"/>
        </w:rPr>
      </w:pPr>
      <w:hyperlink w:anchor="tdm" w:history="1">
        <w:r w:rsidRPr="00384B20">
          <w:rPr>
            <w:rStyle w:val="Hyperlien"/>
            <w:sz w:val="20"/>
          </w:rPr>
          <w:t>Retour à la table des matières</w:t>
        </w:r>
      </w:hyperlink>
    </w:p>
    <w:p w14:paraId="00AF7C23" w14:textId="77777777" w:rsidR="0039793A" w:rsidRPr="00253D98" w:rsidRDefault="0039793A" w:rsidP="0039793A">
      <w:pPr>
        <w:spacing w:before="120" w:after="120"/>
        <w:jc w:val="both"/>
        <w:rPr>
          <w:szCs w:val="2"/>
        </w:rPr>
      </w:pPr>
    </w:p>
    <w:p w14:paraId="673A0216" w14:textId="77777777" w:rsidR="0039793A" w:rsidRPr="00C53BEE" w:rsidRDefault="0039793A" w:rsidP="0039793A">
      <w:pPr>
        <w:ind w:left="540" w:hanging="540"/>
        <w:jc w:val="both"/>
        <w:rPr>
          <w:sz w:val="24"/>
        </w:rPr>
      </w:pPr>
      <w:r w:rsidRPr="00C53BEE">
        <w:rPr>
          <w:iCs/>
          <w:sz w:val="24"/>
        </w:rPr>
        <w:t>ABC</w:t>
      </w:r>
      <w:r w:rsidRPr="00C53BEE">
        <w:rPr>
          <w:sz w:val="24"/>
        </w:rPr>
        <w:t> : 305, 307.</w:t>
      </w:r>
    </w:p>
    <w:p w14:paraId="376EE8C0" w14:textId="77777777" w:rsidR="0039793A" w:rsidRPr="00C53BEE" w:rsidRDefault="0039793A" w:rsidP="0039793A">
      <w:pPr>
        <w:ind w:left="540" w:hanging="540"/>
        <w:jc w:val="both"/>
        <w:rPr>
          <w:sz w:val="24"/>
        </w:rPr>
      </w:pPr>
      <w:r w:rsidRPr="00C53BEE">
        <w:rPr>
          <w:sz w:val="24"/>
        </w:rPr>
        <w:t>Académie militaire : 185.</w:t>
      </w:r>
    </w:p>
    <w:p w14:paraId="34E3DC20" w14:textId="77777777" w:rsidR="0039793A" w:rsidRPr="00C53BEE" w:rsidRDefault="0039793A" w:rsidP="0039793A">
      <w:pPr>
        <w:ind w:left="540" w:hanging="540"/>
        <w:jc w:val="both"/>
        <w:rPr>
          <w:sz w:val="24"/>
        </w:rPr>
      </w:pPr>
      <w:r w:rsidRPr="00C53BEE">
        <w:rPr>
          <w:sz w:val="24"/>
        </w:rPr>
        <w:t>Accord de libre-échange : 81, 82, 96, 150.</w:t>
      </w:r>
    </w:p>
    <w:p w14:paraId="24809151" w14:textId="77777777" w:rsidR="0039793A" w:rsidRPr="00C53BEE" w:rsidRDefault="0039793A" w:rsidP="0039793A">
      <w:pPr>
        <w:ind w:left="540" w:hanging="540"/>
        <w:jc w:val="both"/>
        <w:rPr>
          <w:sz w:val="24"/>
        </w:rPr>
      </w:pPr>
      <w:r w:rsidRPr="00C53BEE">
        <w:rPr>
          <w:sz w:val="24"/>
        </w:rPr>
        <w:t>Accords</w:t>
      </w:r>
    </w:p>
    <w:p w14:paraId="73539428" w14:textId="77777777" w:rsidR="0039793A" w:rsidRPr="00C53BEE" w:rsidRDefault="0039793A" w:rsidP="0039793A">
      <w:pPr>
        <w:pStyle w:val="i2"/>
      </w:pPr>
      <w:r w:rsidRPr="00C53BEE">
        <w:t>- de Bretton Woods : 95.</w:t>
      </w:r>
    </w:p>
    <w:p w14:paraId="6867CA86" w14:textId="77777777" w:rsidR="0039793A" w:rsidRPr="00C53BEE" w:rsidRDefault="0039793A" w:rsidP="0039793A">
      <w:pPr>
        <w:pStyle w:val="i2"/>
      </w:pPr>
      <w:r w:rsidRPr="00C53BEE">
        <w:t>- de Dayton : 259, 266.</w:t>
      </w:r>
    </w:p>
    <w:p w14:paraId="70D16A97" w14:textId="77777777" w:rsidR="0039793A" w:rsidRPr="00C53BEE" w:rsidRDefault="0039793A" w:rsidP="0039793A">
      <w:pPr>
        <w:pStyle w:val="i2"/>
      </w:pPr>
      <w:r w:rsidRPr="00C53BEE">
        <w:t>- en forme simplifiée : 26, 31.</w:t>
      </w:r>
    </w:p>
    <w:p w14:paraId="2CF322FC" w14:textId="77777777" w:rsidR="0039793A" w:rsidRPr="00C53BEE" w:rsidRDefault="0039793A" w:rsidP="0039793A">
      <w:pPr>
        <w:pStyle w:val="i2"/>
      </w:pPr>
      <w:r w:rsidRPr="00C53BEE">
        <w:t>- exécutifs : 31, 150, 251.</w:t>
      </w:r>
    </w:p>
    <w:p w14:paraId="0691E867" w14:textId="77777777" w:rsidR="0039793A" w:rsidRPr="00C53BEE" w:rsidRDefault="0039793A" w:rsidP="0039793A">
      <w:pPr>
        <w:pStyle w:val="i2"/>
      </w:pPr>
      <w:r w:rsidRPr="00C53BEE">
        <w:t>- internationaux : 26, 31, 294.</w:t>
      </w:r>
    </w:p>
    <w:p w14:paraId="268D7C81" w14:textId="77777777" w:rsidR="0039793A" w:rsidRPr="00C53BEE" w:rsidRDefault="0039793A" w:rsidP="0039793A">
      <w:pPr>
        <w:ind w:left="540" w:hanging="540"/>
        <w:jc w:val="both"/>
        <w:rPr>
          <w:sz w:val="24"/>
        </w:rPr>
      </w:pPr>
      <w:r w:rsidRPr="00C53BEE">
        <w:rPr>
          <w:rStyle w:val="Corpsdutexte108ptNonItalique"/>
          <w:sz w:val="24"/>
        </w:rPr>
        <w:t xml:space="preserve">ACDA, </w:t>
      </w:r>
      <w:r w:rsidRPr="00C53BEE">
        <w:rPr>
          <w:i/>
          <w:iCs/>
          <w:sz w:val="24"/>
        </w:rPr>
        <w:t>Arms Control and Disarmement Agency</w:t>
      </w:r>
      <w:r w:rsidRPr="00C53BEE">
        <w:rPr>
          <w:sz w:val="24"/>
        </w:rPr>
        <w:t> : 182, 262, 267.</w:t>
      </w:r>
    </w:p>
    <w:p w14:paraId="1CEE2679" w14:textId="77777777" w:rsidR="0039793A" w:rsidRPr="00C53BEE" w:rsidRDefault="0039793A" w:rsidP="0039793A">
      <w:pPr>
        <w:ind w:left="540" w:hanging="540"/>
        <w:jc w:val="both"/>
        <w:rPr>
          <w:sz w:val="24"/>
        </w:rPr>
      </w:pPr>
      <w:r w:rsidRPr="00C53BEE">
        <w:rPr>
          <w:sz w:val="24"/>
        </w:rPr>
        <w:t>Acteurs transnationaux : 105, 131.</w:t>
      </w:r>
    </w:p>
    <w:p w14:paraId="7746BFFA" w14:textId="77777777" w:rsidR="0039793A" w:rsidRPr="00C53BEE" w:rsidRDefault="0039793A" w:rsidP="0039793A">
      <w:pPr>
        <w:ind w:left="540" w:hanging="540"/>
        <w:jc w:val="both"/>
        <w:rPr>
          <w:sz w:val="24"/>
        </w:rPr>
      </w:pPr>
      <w:r w:rsidRPr="00C53BEE">
        <w:rPr>
          <w:sz w:val="24"/>
        </w:rPr>
        <w:t>Administration : 22, 38, 64, 67-68, 95, 98, 101-102, 106, 112, 114, 119, 120-124, 135-136, 139, 151, 157- 158, 164, 169, 173-174, 177-178, 180-183, 198, 201, 204, 207-208, 215, 217-218, 222-223, 226-232, 235-237, 239-241, 243, 245, 260- 262, 265, 269-270, 275-278, 282- 284, 294, 307, 309, 310-311, 313, 321, 325, 329, 331, 336-337, 340, 345, 347, 349-350.</w:t>
      </w:r>
    </w:p>
    <w:p w14:paraId="703FD9B8" w14:textId="77777777" w:rsidR="0039793A" w:rsidRPr="00C53BEE" w:rsidRDefault="0039793A" w:rsidP="0039793A">
      <w:pPr>
        <w:ind w:left="540" w:hanging="540"/>
        <w:jc w:val="both"/>
        <w:rPr>
          <w:sz w:val="24"/>
        </w:rPr>
      </w:pPr>
      <w:r w:rsidRPr="00C53BEE">
        <w:rPr>
          <w:i/>
          <w:iCs/>
          <w:sz w:val="24"/>
        </w:rPr>
        <w:t>Advocacy Groups</w:t>
      </w:r>
      <w:r w:rsidRPr="00C53BEE">
        <w:rPr>
          <w:sz w:val="24"/>
        </w:rPr>
        <w:t xml:space="preserve"> : </w:t>
      </w:r>
      <w:r w:rsidRPr="00C53BEE">
        <w:rPr>
          <w:iCs/>
          <w:sz w:val="24"/>
        </w:rPr>
        <w:t>324</w:t>
      </w:r>
      <w:r w:rsidRPr="00C53BEE">
        <w:rPr>
          <w:i/>
          <w:iCs/>
          <w:sz w:val="24"/>
        </w:rPr>
        <w:t>.</w:t>
      </w:r>
    </w:p>
    <w:p w14:paraId="5C906A71" w14:textId="77777777" w:rsidR="0039793A" w:rsidRPr="00C53BEE" w:rsidRDefault="0039793A" w:rsidP="0039793A">
      <w:pPr>
        <w:ind w:left="540" w:hanging="540"/>
        <w:jc w:val="both"/>
        <w:rPr>
          <w:sz w:val="24"/>
        </w:rPr>
      </w:pPr>
      <w:r w:rsidRPr="00C53BEE">
        <w:rPr>
          <w:i/>
          <w:iCs/>
          <w:sz w:val="24"/>
        </w:rPr>
        <w:t>Advocacy Think Tanks</w:t>
      </w:r>
      <w:r w:rsidRPr="00C53BEE">
        <w:rPr>
          <w:sz w:val="24"/>
        </w:rPr>
        <w:t> : 320, 321, 325.</w:t>
      </w:r>
    </w:p>
    <w:p w14:paraId="2B5061F8" w14:textId="77777777" w:rsidR="0039793A" w:rsidRPr="00C53BEE" w:rsidRDefault="0039793A" w:rsidP="0039793A">
      <w:pPr>
        <w:ind w:left="540" w:hanging="540"/>
        <w:jc w:val="both"/>
        <w:rPr>
          <w:sz w:val="24"/>
        </w:rPr>
      </w:pPr>
      <w:r w:rsidRPr="00C53BEE">
        <w:rPr>
          <w:sz w:val="24"/>
        </w:rPr>
        <w:t>Aérospatiale : 334-335.</w:t>
      </w:r>
    </w:p>
    <w:p w14:paraId="45CB36AB" w14:textId="77777777" w:rsidR="0039793A" w:rsidRPr="00C53BEE" w:rsidRDefault="0039793A" w:rsidP="0039793A">
      <w:pPr>
        <w:ind w:left="540" w:hanging="540"/>
        <w:jc w:val="both"/>
        <w:rPr>
          <w:sz w:val="24"/>
        </w:rPr>
      </w:pPr>
      <w:r w:rsidRPr="00C53BEE">
        <w:rPr>
          <w:sz w:val="24"/>
        </w:rPr>
        <w:t>Affaires</w:t>
      </w:r>
    </w:p>
    <w:p w14:paraId="1FFD1437" w14:textId="77777777" w:rsidR="0039793A" w:rsidRPr="00C53BEE" w:rsidRDefault="0039793A" w:rsidP="0039793A">
      <w:pPr>
        <w:pStyle w:val="i2"/>
      </w:pPr>
      <w:r w:rsidRPr="00C53BEE">
        <w:t>- légales : 181, 189.</w:t>
      </w:r>
    </w:p>
    <w:p w14:paraId="4AFD5081" w14:textId="77777777" w:rsidR="0039793A" w:rsidRPr="00C53BEE" w:rsidRDefault="0039793A" w:rsidP="0039793A">
      <w:pPr>
        <w:pStyle w:val="i2"/>
      </w:pPr>
      <w:r w:rsidRPr="00C53BEE">
        <w:t>- politiques : 181.</w:t>
      </w:r>
    </w:p>
    <w:p w14:paraId="73064C7C" w14:textId="77777777" w:rsidR="0039793A" w:rsidRPr="00C53BEE" w:rsidRDefault="0039793A" w:rsidP="0039793A">
      <w:pPr>
        <w:pStyle w:val="i2"/>
      </w:pPr>
      <w:r w:rsidRPr="00C53BEE">
        <w:t>- sociales : 159, 185.</w:t>
      </w:r>
    </w:p>
    <w:p w14:paraId="53B13944" w14:textId="77777777" w:rsidR="0039793A" w:rsidRPr="00C53BEE" w:rsidRDefault="0039793A" w:rsidP="0039793A">
      <w:pPr>
        <w:ind w:left="540" w:hanging="540"/>
        <w:jc w:val="both"/>
        <w:rPr>
          <w:sz w:val="24"/>
        </w:rPr>
      </w:pPr>
      <w:r w:rsidRPr="00C53BEE">
        <w:rPr>
          <w:sz w:val="24"/>
        </w:rPr>
        <w:t>Afghanistan : 49, 65, 67, 88, 129, 148, 149, 151, 200, 239, 253, 258, 259, 283, 310, 347, 348, 349.</w:t>
      </w:r>
    </w:p>
    <w:p w14:paraId="50EEC83C" w14:textId="77777777" w:rsidR="0039793A" w:rsidRPr="00C53BEE" w:rsidRDefault="0039793A" w:rsidP="0039793A">
      <w:pPr>
        <w:ind w:left="540" w:hanging="540"/>
        <w:jc w:val="both"/>
        <w:rPr>
          <w:sz w:val="24"/>
        </w:rPr>
      </w:pPr>
      <w:r w:rsidRPr="00C53BEE">
        <w:rPr>
          <w:caps/>
          <w:sz w:val="24"/>
        </w:rPr>
        <w:t>afl-cio</w:t>
      </w:r>
      <w:r w:rsidRPr="00C53BEE">
        <w:rPr>
          <w:sz w:val="24"/>
        </w:rPr>
        <w:t> : 323, 337.</w:t>
      </w:r>
    </w:p>
    <w:p w14:paraId="73847A2A" w14:textId="77777777" w:rsidR="0039793A" w:rsidRPr="00C53BEE" w:rsidRDefault="0039793A" w:rsidP="0039793A">
      <w:pPr>
        <w:ind w:left="540" w:hanging="540"/>
        <w:jc w:val="both"/>
        <w:rPr>
          <w:sz w:val="24"/>
        </w:rPr>
      </w:pPr>
      <w:r w:rsidRPr="00C53BEE">
        <w:rPr>
          <w:i/>
          <w:iCs/>
          <w:sz w:val="24"/>
        </w:rPr>
        <w:t>Africa Growth and Opportunity Act</w:t>
      </w:r>
      <w:r w:rsidRPr="00C53BEE">
        <w:rPr>
          <w:sz w:val="24"/>
        </w:rPr>
        <w:t> : 328.</w:t>
      </w:r>
    </w:p>
    <w:p w14:paraId="3C4F8B54" w14:textId="77777777" w:rsidR="0039793A" w:rsidRPr="00C53BEE" w:rsidRDefault="0039793A" w:rsidP="0039793A">
      <w:pPr>
        <w:ind w:left="540" w:hanging="540"/>
        <w:jc w:val="both"/>
        <w:rPr>
          <w:sz w:val="24"/>
        </w:rPr>
      </w:pPr>
      <w:r w:rsidRPr="00C53BEE">
        <w:rPr>
          <w:sz w:val="24"/>
        </w:rPr>
        <w:t>Africain-Américain : 58, 66, 266, 297, 327-328, 339.</w:t>
      </w:r>
    </w:p>
    <w:p w14:paraId="52A0E8E9" w14:textId="77777777" w:rsidR="0039793A" w:rsidRPr="00C53BEE" w:rsidRDefault="0039793A" w:rsidP="0039793A">
      <w:pPr>
        <w:ind w:left="540" w:hanging="540"/>
        <w:jc w:val="both"/>
        <w:rPr>
          <w:sz w:val="24"/>
        </w:rPr>
      </w:pPr>
      <w:r w:rsidRPr="00C53BEE">
        <w:rPr>
          <w:sz w:val="24"/>
        </w:rPr>
        <w:t>Africare</w:t>
      </w:r>
      <w:r w:rsidRPr="00C53BEE">
        <w:rPr>
          <w:i/>
          <w:iCs/>
          <w:sz w:val="24"/>
        </w:rPr>
        <w:t xml:space="preserve"> : </w:t>
      </w:r>
      <w:r w:rsidRPr="00C53BEE">
        <w:rPr>
          <w:iCs/>
          <w:sz w:val="24"/>
        </w:rPr>
        <w:t>327</w:t>
      </w:r>
      <w:r w:rsidRPr="00C53BEE">
        <w:rPr>
          <w:i/>
          <w:iCs/>
          <w:sz w:val="24"/>
        </w:rPr>
        <w:t>.</w:t>
      </w:r>
    </w:p>
    <w:p w14:paraId="021412DB" w14:textId="77777777" w:rsidR="0039793A" w:rsidRPr="00C53BEE" w:rsidRDefault="0039793A" w:rsidP="0039793A">
      <w:pPr>
        <w:ind w:left="540" w:hanging="540"/>
        <w:jc w:val="both"/>
        <w:rPr>
          <w:sz w:val="24"/>
        </w:rPr>
      </w:pPr>
      <w:r w:rsidRPr="00C53BEE">
        <w:rPr>
          <w:sz w:val="24"/>
        </w:rPr>
        <w:t>Afrique : 88, 181, 328.</w:t>
      </w:r>
    </w:p>
    <w:p w14:paraId="572417BA" w14:textId="77777777" w:rsidR="0039793A" w:rsidRPr="00C53BEE" w:rsidRDefault="0039793A" w:rsidP="0039793A">
      <w:pPr>
        <w:ind w:left="540" w:hanging="540"/>
        <w:jc w:val="both"/>
        <w:rPr>
          <w:sz w:val="24"/>
        </w:rPr>
      </w:pPr>
      <w:r w:rsidRPr="00C53BEE">
        <w:rPr>
          <w:sz w:val="24"/>
        </w:rPr>
        <w:t>Afrique du Sud : 264, 297, 327.</w:t>
      </w:r>
    </w:p>
    <w:p w14:paraId="1EAF0EF2" w14:textId="77777777" w:rsidR="0039793A" w:rsidRPr="00C53BEE" w:rsidRDefault="0039793A" w:rsidP="0039793A">
      <w:pPr>
        <w:ind w:left="540" w:hanging="540"/>
        <w:jc w:val="both"/>
        <w:rPr>
          <w:sz w:val="24"/>
        </w:rPr>
      </w:pPr>
      <w:r w:rsidRPr="00C53BEE">
        <w:rPr>
          <w:sz w:val="24"/>
        </w:rPr>
        <w:t>Agence internationale pour l’énergie atomique : 205.</w:t>
      </w:r>
    </w:p>
    <w:p w14:paraId="3CDD1243" w14:textId="77777777" w:rsidR="0039793A" w:rsidRPr="00C53BEE" w:rsidRDefault="0039793A" w:rsidP="0039793A">
      <w:pPr>
        <w:ind w:left="540" w:hanging="540"/>
        <w:jc w:val="both"/>
        <w:rPr>
          <w:sz w:val="24"/>
        </w:rPr>
      </w:pPr>
      <w:r w:rsidRPr="00C53BEE">
        <w:rPr>
          <w:sz w:val="24"/>
        </w:rPr>
        <w:t>Agence pour le développement international : 182, 292.</w:t>
      </w:r>
    </w:p>
    <w:p w14:paraId="08125E99" w14:textId="77777777" w:rsidR="0039793A" w:rsidRPr="00C53BEE" w:rsidRDefault="0039793A" w:rsidP="0039793A">
      <w:pPr>
        <w:ind w:left="540" w:hanging="540"/>
        <w:jc w:val="both"/>
        <w:rPr>
          <w:sz w:val="24"/>
        </w:rPr>
      </w:pPr>
      <w:r w:rsidRPr="00C53BEE">
        <w:rPr>
          <w:sz w:val="24"/>
        </w:rPr>
        <w:t>Agence fédérale : 202, 346.</w:t>
      </w:r>
    </w:p>
    <w:p w14:paraId="43C3C748" w14:textId="77777777" w:rsidR="0039793A" w:rsidRPr="00C53BEE" w:rsidRDefault="0039793A" w:rsidP="0039793A">
      <w:pPr>
        <w:ind w:left="540" w:hanging="540"/>
        <w:jc w:val="both"/>
        <w:rPr>
          <w:sz w:val="24"/>
        </w:rPr>
      </w:pPr>
      <w:r w:rsidRPr="00C53BEE">
        <w:rPr>
          <w:sz w:val="24"/>
        </w:rPr>
        <w:t>Agence militaire : 194.</w:t>
      </w:r>
    </w:p>
    <w:p w14:paraId="48C0FBBC" w14:textId="77777777" w:rsidR="0039793A" w:rsidRPr="00C53BEE" w:rsidRDefault="0039793A" w:rsidP="0039793A">
      <w:pPr>
        <w:ind w:left="540" w:hanging="540"/>
        <w:jc w:val="both"/>
        <w:rPr>
          <w:sz w:val="24"/>
        </w:rPr>
      </w:pPr>
      <w:r w:rsidRPr="00C53BEE">
        <w:rPr>
          <w:sz w:val="24"/>
        </w:rPr>
        <w:t>Aide au développement : 324, 328.</w:t>
      </w:r>
    </w:p>
    <w:p w14:paraId="2E862853" w14:textId="77777777" w:rsidR="0039793A" w:rsidRPr="00C53BEE" w:rsidRDefault="0039793A" w:rsidP="0039793A">
      <w:pPr>
        <w:ind w:left="540" w:hanging="540"/>
        <w:jc w:val="both"/>
        <w:rPr>
          <w:sz w:val="24"/>
        </w:rPr>
      </w:pPr>
      <w:r w:rsidRPr="00C53BEE">
        <w:rPr>
          <w:sz w:val="24"/>
        </w:rPr>
        <w:t>Aide économique : 95, 247, 342.</w:t>
      </w:r>
    </w:p>
    <w:p w14:paraId="6BC5C780" w14:textId="77777777" w:rsidR="0039793A" w:rsidRPr="00C53BEE" w:rsidRDefault="0039793A" w:rsidP="0039793A">
      <w:pPr>
        <w:ind w:left="540" w:hanging="540"/>
        <w:jc w:val="both"/>
        <w:rPr>
          <w:sz w:val="24"/>
        </w:rPr>
      </w:pPr>
      <w:r w:rsidRPr="00C53BEE">
        <w:rPr>
          <w:sz w:val="24"/>
        </w:rPr>
        <w:t>Aide militaire : 154, 260.</w:t>
      </w:r>
    </w:p>
    <w:p w14:paraId="1D83610E" w14:textId="77777777" w:rsidR="0039793A" w:rsidRPr="00C53BEE" w:rsidRDefault="0039793A" w:rsidP="0039793A">
      <w:pPr>
        <w:ind w:left="540" w:hanging="540"/>
        <w:jc w:val="both"/>
        <w:rPr>
          <w:sz w:val="24"/>
        </w:rPr>
      </w:pPr>
      <w:r w:rsidRPr="00C53BEE">
        <w:rPr>
          <w:i/>
          <w:iCs/>
          <w:sz w:val="24"/>
        </w:rPr>
        <w:t xml:space="preserve">AIPAC, </w:t>
      </w:r>
      <w:r w:rsidRPr="00C53BEE">
        <w:rPr>
          <w:sz w:val="24"/>
        </w:rPr>
        <w:t>American-lsrael Public Affairs Committee</w:t>
      </w:r>
      <w:r w:rsidRPr="00C53BEE">
        <w:rPr>
          <w:i/>
          <w:iCs/>
          <w:sz w:val="24"/>
        </w:rPr>
        <w:t xml:space="preserve"> : </w:t>
      </w:r>
      <w:r w:rsidRPr="00C53BEE">
        <w:rPr>
          <w:iCs/>
          <w:sz w:val="24"/>
        </w:rPr>
        <w:t>278, 326, 327, 329, 336-337, 339-340.</w:t>
      </w:r>
    </w:p>
    <w:p w14:paraId="542F0AC2" w14:textId="77777777" w:rsidR="0039793A" w:rsidRPr="00C53BEE" w:rsidRDefault="0039793A" w:rsidP="0039793A">
      <w:pPr>
        <w:ind w:left="540" w:hanging="540"/>
        <w:jc w:val="both"/>
        <w:rPr>
          <w:sz w:val="24"/>
        </w:rPr>
      </w:pPr>
      <w:r w:rsidRPr="00C53BEE">
        <w:rPr>
          <w:sz w:val="24"/>
        </w:rPr>
        <w:t>Al Qaida : 200.</w:t>
      </w:r>
    </w:p>
    <w:p w14:paraId="2BBCA8EB" w14:textId="77777777" w:rsidR="0039793A" w:rsidRPr="00C53BEE" w:rsidRDefault="0039793A" w:rsidP="0039793A">
      <w:pPr>
        <w:ind w:left="540" w:hanging="540"/>
        <w:jc w:val="both"/>
        <w:rPr>
          <w:sz w:val="24"/>
        </w:rPr>
      </w:pPr>
      <w:r w:rsidRPr="00C53BEE">
        <w:rPr>
          <w:caps/>
          <w:sz w:val="24"/>
        </w:rPr>
        <w:t>alena </w:t>
      </w:r>
      <w:r w:rsidRPr="00C53BEE">
        <w:rPr>
          <w:smallCaps/>
          <w:sz w:val="24"/>
        </w:rPr>
        <w:t>:</w:t>
      </w:r>
      <w:r w:rsidRPr="00C53BEE">
        <w:rPr>
          <w:sz w:val="24"/>
        </w:rPr>
        <w:t xml:space="preserve"> 81, 96, 323-324, 340.</w:t>
      </w:r>
    </w:p>
    <w:p w14:paraId="7FA8FD2F" w14:textId="77777777" w:rsidR="0039793A" w:rsidRPr="00C53BEE" w:rsidRDefault="0039793A" w:rsidP="0039793A">
      <w:pPr>
        <w:ind w:left="540" w:hanging="540"/>
        <w:jc w:val="both"/>
        <w:rPr>
          <w:sz w:val="24"/>
        </w:rPr>
      </w:pPr>
      <w:r w:rsidRPr="00C53BEE">
        <w:rPr>
          <w:sz w:val="24"/>
        </w:rPr>
        <w:t>Allemagne : 53, 92, 117, 127, 266, 278.</w:t>
      </w:r>
    </w:p>
    <w:p w14:paraId="1105EEA9" w14:textId="77777777" w:rsidR="0039793A" w:rsidRPr="00C53BEE" w:rsidRDefault="0039793A" w:rsidP="0039793A">
      <w:pPr>
        <w:ind w:left="540" w:hanging="540"/>
        <w:jc w:val="both"/>
        <w:rPr>
          <w:sz w:val="24"/>
        </w:rPr>
      </w:pPr>
      <w:r w:rsidRPr="00C53BEE">
        <w:rPr>
          <w:sz w:val="24"/>
        </w:rPr>
        <w:t>Alliance : 18, 20, 28, 51-53, 55, 69, 73, 89-90, 95, 115, 123, 130-131, 162, 186, 299, 329, 336-338, 340-342.</w:t>
      </w:r>
    </w:p>
    <w:p w14:paraId="2BA1832A" w14:textId="77777777" w:rsidR="0039793A" w:rsidRPr="00C53BEE" w:rsidRDefault="0039793A" w:rsidP="0039793A">
      <w:pPr>
        <w:ind w:left="540" w:hanging="540"/>
        <w:jc w:val="both"/>
        <w:rPr>
          <w:sz w:val="24"/>
        </w:rPr>
      </w:pPr>
      <w:r w:rsidRPr="00C53BEE">
        <w:rPr>
          <w:sz w:val="24"/>
        </w:rPr>
        <w:t>Ambassadeur : 24, 28, 36, 47, 74, 146, 151, 179-181, 216, 226, 256, 261- 262, 276-278.</w:t>
      </w:r>
    </w:p>
    <w:p w14:paraId="6E31BDD1" w14:textId="77777777" w:rsidR="0039793A" w:rsidRPr="00C53BEE" w:rsidRDefault="0039793A" w:rsidP="0039793A">
      <w:pPr>
        <w:ind w:left="540" w:hanging="540"/>
        <w:jc w:val="both"/>
        <w:rPr>
          <w:sz w:val="24"/>
        </w:rPr>
      </w:pPr>
      <w:r w:rsidRPr="00C53BEE">
        <w:rPr>
          <w:sz w:val="24"/>
        </w:rPr>
        <w:t>Amendement : 15, 22, 27, 30, 32-33, 51, 187, 260, 267, 269, 274, 280, 342.</w:t>
      </w:r>
    </w:p>
    <w:p w14:paraId="054BF9C9" w14:textId="77777777" w:rsidR="0039793A" w:rsidRPr="00C53BEE" w:rsidRDefault="0039793A" w:rsidP="0039793A">
      <w:pPr>
        <w:ind w:left="540" w:hanging="540"/>
        <w:jc w:val="both"/>
        <w:rPr>
          <w:sz w:val="24"/>
        </w:rPr>
      </w:pPr>
      <w:r w:rsidRPr="00C53BEE">
        <w:rPr>
          <w:sz w:val="24"/>
        </w:rPr>
        <w:t xml:space="preserve">AFBF, </w:t>
      </w:r>
      <w:r w:rsidRPr="00C53BEE">
        <w:rPr>
          <w:i/>
          <w:iCs/>
          <w:sz w:val="24"/>
        </w:rPr>
        <w:t>American Farm Bureau Fédération</w:t>
      </w:r>
      <w:r w:rsidRPr="00C53BEE">
        <w:rPr>
          <w:sz w:val="24"/>
        </w:rPr>
        <w:t> : 323,338.</w:t>
      </w:r>
    </w:p>
    <w:p w14:paraId="4EBA3510" w14:textId="77777777" w:rsidR="0039793A" w:rsidRPr="00C53BEE" w:rsidRDefault="0039793A" w:rsidP="0039793A">
      <w:pPr>
        <w:ind w:left="540" w:hanging="540"/>
        <w:jc w:val="both"/>
        <w:rPr>
          <w:sz w:val="24"/>
        </w:rPr>
      </w:pPr>
      <w:r w:rsidRPr="00C53BEE">
        <w:rPr>
          <w:sz w:val="24"/>
        </w:rPr>
        <w:t>Amérindiens : 27, 58.</w:t>
      </w:r>
    </w:p>
    <w:p w14:paraId="5892849F" w14:textId="77777777" w:rsidR="0039793A" w:rsidRPr="00C53BEE" w:rsidRDefault="0039793A" w:rsidP="0039793A">
      <w:pPr>
        <w:ind w:left="540" w:hanging="540"/>
        <w:jc w:val="both"/>
        <w:rPr>
          <w:sz w:val="24"/>
        </w:rPr>
      </w:pPr>
      <w:r w:rsidRPr="00C53BEE">
        <w:rPr>
          <w:sz w:val="24"/>
        </w:rPr>
        <w:t>Amérique latine : 66-67, 69, 88, 95, 137, 162,269, 277, 299.</w:t>
      </w:r>
    </w:p>
    <w:p w14:paraId="07F6B17D" w14:textId="77777777" w:rsidR="0039793A" w:rsidRPr="00C53BEE" w:rsidRDefault="0039793A" w:rsidP="0039793A">
      <w:pPr>
        <w:ind w:left="540" w:hanging="540"/>
        <w:jc w:val="both"/>
        <w:rPr>
          <w:sz w:val="24"/>
        </w:rPr>
      </w:pPr>
      <w:r w:rsidRPr="00C53BEE">
        <w:rPr>
          <w:sz w:val="24"/>
        </w:rPr>
        <w:t>Anarchisme : 136.</w:t>
      </w:r>
    </w:p>
    <w:p w14:paraId="1E03C734" w14:textId="77777777" w:rsidR="0039793A" w:rsidRPr="00C53BEE" w:rsidRDefault="0039793A" w:rsidP="0039793A">
      <w:pPr>
        <w:ind w:left="540" w:hanging="540"/>
        <w:jc w:val="both"/>
        <w:rPr>
          <w:sz w:val="24"/>
        </w:rPr>
      </w:pPr>
      <w:r w:rsidRPr="00C53BEE">
        <w:rPr>
          <w:sz w:val="24"/>
        </w:rPr>
        <w:t>Angola : 88.</w:t>
      </w:r>
    </w:p>
    <w:p w14:paraId="11FDD19D" w14:textId="77777777" w:rsidR="0039793A" w:rsidRPr="00C53BEE" w:rsidRDefault="0039793A" w:rsidP="0039793A">
      <w:pPr>
        <w:ind w:left="540" w:hanging="540"/>
        <w:jc w:val="both"/>
        <w:rPr>
          <w:sz w:val="24"/>
        </w:rPr>
      </w:pPr>
      <w:r w:rsidRPr="00C53BEE">
        <w:rPr>
          <w:sz w:val="24"/>
        </w:rPr>
        <w:t>Antiaméricanisme : 114.</w:t>
      </w:r>
    </w:p>
    <w:p w14:paraId="515F1E98" w14:textId="77777777" w:rsidR="0039793A" w:rsidRPr="00C53BEE" w:rsidRDefault="0039793A" w:rsidP="0039793A">
      <w:pPr>
        <w:ind w:left="540" w:hanging="540"/>
        <w:jc w:val="both"/>
        <w:rPr>
          <w:sz w:val="24"/>
        </w:rPr>
      </w:pPr>
      <w:r w:rsidRPr="00C53BEE">
        <w:rPr>
          <w:sz w:val="24"/>
        </w:rPr>
        <w:t>Anticommunisme : 60.</w:t>
      </w:r>
    </w:p>
    <w:p w14:paraId="49258DA7" w14:textId="77777777" w:rsidR="0039793A" w:rsidRPr="00C53BEE" w:rsidRDefault="0039793A" w:rsidP="0039793A">
      <w:pPr>
        <w:ind w:left="540" w:hanging="540"/>
        <w:jc w:val="both"/>
        <w:rPr>
          <w:sz w:val="24"/>
        </w:rPr>
      </w:pPr>
      <w:r w:rsidRPr="00C53BEE">
        <w:rPr>
          <w:sz w:val="24"/>
        </w:rPr>
        <w:t>Armée de l’Air : 185, 187, 189-191, 196, 213, 216.</w:t>
      </w:r>
    </w:p>
    <w:p w14:paraId="40B810BE" w14:textId="77777777" w:rsidR="0039793A" w:rsidRPr="00C53BEE" w:rsidRDefault="0039793A" w:rsidP="0039793A">
      <w:pPr>
        <w:ind w:left="540" w:hanging="540"/>
        <w:jc w:val="both"/>
        <w:rPr>
          <w:sz w:val="24"/>
        </w:rPr>
      </w:pPr>
      <w:r w:rsidRPr="00C53BEE">
        <w:rPr>
          <w:sz w:val="24"/>
        </w:rPr>
        <w:t>Armée de Terre : 185, 187, 189-191, 196, 213-214, 216.</w:t>
      </w:r>
    </w:p>
    <w:p w14:paraId="70671107" w14:textId="77777777" w:rsidR="0039793A" w:rsidRPr="00C53BEE" w:rsidRDefault="0039793A" w:rsidP="0039793A">
      <w:pPr>
        <w:ind w:left="540" w:hanging="540"/>
        <w:jc w:val="both"/>
        <w:rPr>
          <w:sz w:val="24"/>
        </w:rPr>
      </w:pPr>
      <w:r w:rsidRPr="00C53BEE">
        <w:rPr>
          <w:sz w:val="24"/>
        </w:rPr>
        <w:t xml:space="preserve">Armes </w:t>
      </w:r>
    </w:p>
    <w:p w14:paraId="3D0528BD" w14:textId="77777777" w:rsidR="0039793A" w:rsidRPr="00C53BEE" w:rsidRDefault="0039793A" w:rsidP="0039793A">
      <w:pPr>
        <w:pStyle w:val="i2"/>
      </w:pPr>
      <w:r w:rsidRPr="00C53BEE">
        <w:t>- de destruction massive : 73, 194, 199, 268, 294, 347, 351.</w:t>
      </w:r>
    </w:p>
    <w:p w14:paraId="09F8A36B" w14:textId="77777777" w:rsidR="0039793A" w:rsidRPr="00C53BEE" w:rsidRDefault="0039793A" w:rsidP="0039793A">
      <w:pPr>
        <w:pStyle w:val="i2"/>
      </w:pPr>
      <w:r w:rsidRPr="00C53BEE">
        <w:t>- de haute précision : 192, 196.</w:t>
      </w:r>
    </w:p>
    <w:p w14:paraId="22A201A9" w14:textId="77777777" w:rsidR="0039793A" w:rsidRPr="00C53BEE" w:rsidRDefault="0039793A" w:rsidP="0039793A">
      <w:pPr>
        <w:pStyle w:val="i2"/>
      </w:pPr>
      <w:r w:rsidRPr="00C53BEE">
        <w:t>- intelligentes : 196.</w:t>
      </w:r>
    </w:p>
    <w:p w14:paraId="3C26764E" w14:textId="77777777" w:rsidR="0039793A" w:rsidRPr="00C53BEE" w:rsidRDefault="0039793A" w:rsidP="0039793A">
      <w:pPr>
        <w:pStyle w:val="i2"/>
      </w:pPr>
      <w:r w:rsidRPr="00C53BEE">
        <w:t>- nucléaires : 42, 63, 89, 158, 205.</w:t>
      </w:r>
    </w:p>
    <w:p w14:paraId="2A9553DF" w14:textId="77777777" w:rsidR="0039793A" w:rsidRPr="00C53BEE" w:rsidRDefault="0039793A" w:rsidP="0039793A">
      <w:pPr>
        <w:ind w:left="540" w:hanging="540"/>
        <w:jc w:val="both"/>
        <w:rPr>
          <w:sz w:val="24"/>
        </w:rPr>
      </w:pPr>
      <w:r w:rsidRPr="00C53BEE">
        <w:rPr>
          <w:sz w:val="24"/>
        </w:rPr>
        <w:t>Articles de la Confédération : 17-19, 55.</w:t>
      </w:r>
    </w:p>
    <w:p w14:paraId="3DBF5B11" w14:textId="77777777" w:rsidR="0039793A" w:rsidRPr="00C53BEE" w:rsidRDefault="0039793A" w:rsidP="0039793A">
      <w:pPr>
        <w:ind w:left="540" w:hanging="540"/>
        <w:jc w:val="both"/>
        <w:rPr>
          <w:sz w:val="24"/>
        </w:rPr>
      </w:pPr>
      <w:r w:rsidRPr="00C53BEE">
        <w:rPr>
          <w:sz w:val="24"/>
        </w:rPr>
        <w:t>[372]</w:t>
      </w:r>
    </w:p>
    <w:p w14:paraId="711578D5" w14:textId="77777777" w:rsidR="0039793A" w:rsidRPr="00C53BEE" w:rsidRDefault="0039793A" w:rsidP="0039793A">
      <w:pPr>
        <w:ind w:left="540" w:hanging="540"/>
        <w:jc w:val="both"/>
        <w:rPr>
          <w:sz w:val="24"/>
        </w:rPr>
      </w:pPr>
      <w:r w:rsidRPr="00C53BEE">
        <w:rPr>
          <w:sz w:val="24"/>
        </w:rPr>
        <w:t>Asie : 21, 48, 50, 64, 66, 96, 122-123, 133-135, 181, 236, 272-273.</w:t>
      </w:r>
    </w:p>
    <w:p w14:paraId="5FC98587" w14:textId="77777777" w:rsidR="0039793A" w:rsidRPr="00C53BEE" w:rsidRDefault="0039793A" w:rsidP="0039793A">
      <w:pPr>
        <w:ind w:left="540" w:hanging="540"/>
        <w:jc w:val="both"/>
        <w:rPr>
          <w:sz w:val="24"/>
        </w:rPr>
      </w:pPr>
      <w:r w:rsidRPr="00C53BEE">
        <w:rPr>
          <w:sz w:val="24"/>
        </w:rPr>
        <w:t>Assassinat politique : 199.</w:t>
      </w:r>
    </w:p>
    <w:p w14:paraId="51147983" w14:textId="77777777" w:rsidR="0039793A" w:rsidRPr="00C53BEE" w:rsidRDefault="0039793A" w:rsidP="0039793A">
      <w:pPr>
        <w:ind w:left="540" w:hanging="540"/>
        <w:jc w:val="both"/>
        <w:rPr>
          <w:sz w:val="24"/>
        </w:rPr>
      </w:pPr>
      <w:r w:rsidRPr="00C53BEE">
        <w:rPr>
          <w:sz w:val="24"/>
        </w:rPr>
        <w:t>Assemblée constituante (voir convention de Philade</w:t>
      </w:r>
      <w:r w:rsidRPr="00C53BEE">
        <w:rPr>
          <w:sz w:val="24"/>
        </w:rPr>
        <w:t>l</w:t>
      </w:r>
      <w:r w:rsidRPr="00C53BEE">
        <w:rPr>
          <w:sz w:val="24"/>
        </w:rPr>
        <w:t>phie) : 19.</w:t>
      </w:r>
    </w:p>
    <w:p w14:paraId="19867EE5" w14:textId="77777777" w:rsidR="0039793A" w:rsidRPr="00C53BEE" w:rsidRDefault="0039793A" w:rsidP="0039793A">
      <w:pPr>
        <w:ind w:left="540" w:hanging="540"/>
        <w:jc w:val="both"/>
        <w:rPr>
          <w:sz w:val="24"/>
        </w:rPr>
      </w:pPr>
      <w:r w:rsidRPr="00C53BEE">
        <w:rPr>
          <w:sz w:val="24"/>
        </w:rPr>
        <w:t>Assistance économique : 151, 158.</w:t>
      </w:r>
    </w:p>
    <w:p w14:paraId="57BEC4AC" w14:textId="77777777" w:rsidR="0039793A" w:rsidRPr="00C53BEE" w:rsidRDefault="0039793A" w:rsidP="0039793A">
      <w:pPr>
        <w:ind w:left="540" w:hanging="540"/>
        <w:jc w:val="both"/>
        <w:rPr>
          <w:sz w:val="24"/>
        </w:rPr>
      </w:pPr>
      <w:r w:rsidRPr="00C53BEE">
        <w:rPr>
          <w:sz w:val="24"/>
        </w:rPr>
        <w:t>Assistance militaire : 157, 268.</w:t>
      </w:r>
    </w:p>
    <w:p w14:paraId="4C8BDE23" w14:textId="77777777" w:rsidR="0039793A" w:rsidRPr="00C53BEE" w:rsidRDefault="0039793A" w:rsidP="0039793A">
      <w:pPr>
        <w:ind w:left="540" w:hanging="540"/>
        <w:jc w:val="both"/>
        <w:rPr>
          <w:sz w:val="24"/>
        </w:rPr>
      </w:pPr>
      <w:r w:rsidRPr="00C53BEE">
        <w:rPr>
          <w:sz w:val="24"/>
        </w:rPr>
        <w:t>A</w:t>
      </w:r>
      <w:r w:rsidRPr="00C53BEE">
        <w:rPr>
          <w:sz w:val="24"/>
        </w:rPr>
        <w:t>s</w:t>
      </w:r>
      <w:r w:rsidRPr="00C53BEE">
        <w:rPr>
          <w:sz w:val="24"/>
        </w:rPr>
        <w:t>sistant-secrétaire d’État : 181.</w:t>
      </w:r>
    </w:p>
    <w:p w14:paraId="2CD5D4E2" w14:textId="77777777" w:rsidR="0039793A" w:rsidRPr="00C53BEE" w:rsidRDefault="0039793A" w:rsidP="0039793A">
      <w:pPr>
        <w:ind w:left="540" w:hanging="540"/>
        <w:jc w:val="both"/>
        <w:rPr>
          <w:sz w:val="24"/>
        </w:rPr>
      </w:pPr>
      <w:r w:rsidRPr="00C53BEE">
        <w:rPr>
          <w:sz w:val="24"/>
        </w:rPr>
        <w:t>Assistants : 223, 255, 275, 280.</w:t>
      </w:r>
    </w:p>
    <w:p w14:paraId="2254B8B9" w14:textId="77777777" w:rsidR="0039793A" w:rsidRPr="00C53BEE" w:rsidRDefault="0039793A" w:rsidP="0039793A">
      <w:pPr>
        <w:pStyle w:val="i2"/>
      </w:pPr>
      <w:r w:rsidRPr="00C53BEE">
        <w:t>- assistants parlementaires : 288.</w:t>
      </w:r>
    </w:p>
    <w:p w14:paraId="273F43C9" w14:textId="77777777" w:rsidR="0039793A" w:rsidRPr="00C53BEE" w:rsidRDefault="0039793A" w:rsidP="0039793A">
      <w:pPr>
        <w:pStyle w:val="i2"/>
      </w:pPr>
      <w:r w:rsidRPr="00C53BEE">
        <w:t>- assistants-secrétaires : 180, 189, 196</w:t>
      </w:r>
      <w:r w:rsidRPr="00C53BEE">
        <w:rPr>
          <w:rStyle w:val="Corpsdutexte1165ptGras"/>
          <w:sz w:val="24"/>
        </w:rPr>
        <w:t xml:space="preserve">, </w:t>
      </w:r>
      <w:r w:rsidRPr="00C53BEE">
        <w:t>222</w:t>
      </w:r>
      <w:r w:rsidRPr="00C53BEE">
        <w:rPr>
          <w:rStyle w:val="Corpsdutexte1165ptGras"/>
          <w:sz w:val="24"/>
        </w:rPr>
        <w:t>.</w:t>
      </w:r>
    </w:p>
    <w:p w14:paraId="411840CC" w14:textId="77777777" w:rsidR="0039793A" w:rsidRPr="00C53BEE" w:rsidRDefault="0039793A" w:rsidP="0039793A">
      <w:pPr>
        <w:ind w:left="540" w:hanging="540"/>
        <w:jc w:val="both"/>
        <w:rPr>
          <w:sz w:val="24"/>
        </w:rPr>
      </w:pPr>
      <w:r w:rsidRPr="00C53BEE">
        <w:rPr>
          <w:sz w:val="24"/>
        </w:rPr>
        <w:t>Associations : 19, 49, 274, 317-318, 322-324, 326, 338, 340.</w:t>
      </w:r>
    </w:p>
    <w:p w14:paraId="5A7AB696" w14:textId="77777777" w:rsidR="0039793A" w:rsidRPr="00C53BEE" w:rsidRDefault="0039793A" w:rsidP="0039793A">
      <w:pPr>
        <w:ind w:left="540" w:hanging="540"/>
        <w:jc w:val="both"/>
        <w:rPr>
          <w:sz w:val="24"/>
        </w:rPr>
      </w:pPr>
      <w:r w:rsidRPr="00C53BEE">
        <w:rPr>
          <w:sz w:val="24"/>
        </w:rPr>
        <w:t>Attaque :</w:t>
      </w:r>
    </w:p>
    <w:p w14:paraId="30BB8896" w14:textId="77777777" w:rsidR="0039793A" w:rsidRPr="00C53BEE" w:rsidRDefault="0039793A" w:rsidP="0039793A">
      <w:pPr>
        <w:pStyle w:val="i2"/>
      </w:pPr>
      <w:r w:rsidRPr="00C53BEE">
        <w:t>- biologique : 202.</w:t>
      </w:r>
    </w:p>
    <w:p w14:paraId="2573B225" w14:textId="77777777" w:rsidR="0039793A" w:rsidRPr="00C53BEE" w:rsidRDefault="0039793A" w:rsidP="0039793A">
      <w:pPr>
        <w:pStyle w:val="i2"/>
      </w:pPr>
      <w:r w:rsidRPr="00C53BEE">
        <w:t>- chimique : 202.</w:t>
      </w:r>
    </w:p>
    <w:p w14:paraId="6285EC23" w14:textId="77777777" w:rsidR="0039793A" w:rsidRPr="00C53BEE" w:rsidRDefault="0039793A" w:rsidP="0039793A">
      <w:pPr>
        <w:pStyle w:val="i2"/>
      </w:pPr>
      <w:r w:rsidRPr="00C53BEE">
        <w:t>- nucléaire : 202.</w:t>
      </w:r>
    </w:p>
    <w:p w14:paraId="46C0EB7B" w14:textId="77777777" w:rsidR="0039793A" w:rsidRPr="00C53BEE" w:rsidRDefault="0039793A" w:rsidP="0039793A">
      <w:pPr>
        <w:pStyle w:val="i2"/>
      </w:pPr>
      <w:r w:rsidRPr="00C53BEE">
        <w:t xml:space="preserve">- radiologique : 202 </w:t>
      </w:r>
    </w:p>
    <w:p w14:paraId="7216B5AE" w14:textId="77777777" w:rsidR="0039793A" w:rsidRPr="00C53BEE" w:rsidRDefault="0039793A" w:rsidP="0039793A">
      <w:pPr>
        <w:ind w:left="540" w:hanging="540"/>
        <w:jc w:val="both"/>
        <w:rPr>
          <w:sz w:val="24"/>
        </w:rPr>
      </w:pPr>
      <w:r w:rsidRPr="00C53BEE">
        <w:rPr>
          <w:sz w:val="24"/>
        </w:rPr>
        <w:t>Audimat : 306.</w:t>
      </w:r>
    </w:p>
    <w:p w14:paraId="6C44D8E8" w14:textId="77777777" w:rsidR="0039793A" w:rsidRPr="00C53BEE" w:rsidRDefault="0039793A" w:rsidP="0039793A">
      <w:pPr>
        <w:ind w:left="540" w:hanging="540"/>
        <w:jc w:val="both"/>
        <w:rPr>
          <w:sz w:val="24"/>
        </w:rPr>
      </w:pPr>
      <w:r w:rsidRPr="00C53BEE">
        <w:rPr>
          <w:sz w:val="24"/>
        </w:rPr>
        <w:t>Auditions publiques : 266, 278.</w:t>
      </w:r>
    </w:p>
    <w:p w14:paraId="2842307F" w14:textId="77777777" w:rsidR="0039793A" w:rsidRPr="00C53BEE" w:rsidRDefault="0039793A" w:rsidP="0039793A">
      <w:pPr>
        <w:ind w:left="540" w:hanging="540"/>
        <w:jc w:val="both"/>
        <w:rPr>
          <w:sz w:val="24"/>
        </w:rPr>
      </w:pPr>
      <w:r w:rsidRPr="00C53BEE">
        <w:rPr>
          <w:sz w:val="24"/>
        </w:rPr>
        <w:t>Autodétermination : 57.</w:t>
      </w:r>
    </w:p>
    <w:p w14:paraId="0E4B477D" w14:textId="77777777" w:rsidR="0039793A" w:rsidRPr="00C53BEE" w:rsidRDefault="0039793A" w:rsidP="0039793A">
      <w:pPr>
        <w:ind w:left="540" w:hanging="540"/>
        <w:jc w:val="both"/>
        <w:rPr>
          <w:sz w:val="24"/>
        </w:rPr>
      </w:pPr>
      <w:r w:rsidRPr="00C53BEE">
        <w:rPr>
          <w:sz w:val="24"/>
        </w:rPr>
        <w:t>Avortement (voir contrôle des naissances) : 22, 261.</w:t>
      </w:r>
    </w:p>
    <w:p w14:paraId="79024798" w14:textId="77777777" w:rsidR="0039793A" w:rsidRPr="00C53BEE" w:rsidRDefault="0039793A" w:rsidP="0039793A">
      <w:pPr>
        <w:ind w:left="540" w:hanging="540"/>
        <w:jc w:val="both"/>
        <w:rPr>
          <w:sz w:val="24"/>
        </w:rPr>
      </w:pPr>
      <w:r w:rsidRPr="00C53BEE">
        <w:rPr>
          <w:sz w:val="24"/>
        </w:rPr>
        <w:t>Axe du mal : 90.</w:t>
      </w:r>
    </w:p>
    <w:p w14:paraId="67819378" w14:textId="77777777" w:rsidR="0039793A" w:rsidRPr="00C53BEE" w:rsidRDefault="0039793A" w:rsidP="0039793A">
      <w:pPr>
        <w:ind w:left="540" w:hanging="540"/>
        <w:jc w:val="both"/>
        <w:rPr>
          <w:sz w:val="24"/>
        </w:rPr>
      </w:pPr>
      <w:r w:rsidRPr="00C53BEE">
        <w:rPr>
          <w:sz w:val="24"/>
        </w:rPr>
        <w:t>Azerbaïdjan : 327, 339, 340.</w:t>
      </w:r>
    </w:p>
    <w:p w14:paraId="7103492B" w14:textId="77777777" w:rsidR="0039793A" w:rsidRPr="00C53BEE" w:rsidRDefault="0039793A" w:rsidP="0039793A">
      <w:pPr>
        <w:ind w:left="540" w:hanging="540"/>
        <w:jc w:val="both"/>
        <w:rPr>
          <w:sz w:val="24"/>
        </w:rPr>
      </w:pPr>
    </w:p>
    <w:p w14:paraId="261AEA03" w14:textId="77777777" w:rsidR="0039793A" w:rsidRPr="00C53BEE" w:rsidRDefault="0039793A" w:rsidP="0039793A">
      <w:pPr>
        <w:ind w:left="540" w:hanging="540"/>
        <w:jc w:val="both"/>
        <w:rPr>
          <w:sz w:val="24"/>
        </w:rPr>
      </w:pPr>
      <w:r w:rsidRPr="00C53BEE">
        <w:rPr>
          <w:sz w:val="24"/>
        </w:rPr>
        <w:t>Baie des Cochons : 199, 235.</w:t>
      </w:r>
    </w:p>
    <w:p w14:paraId="71904470" w14:textId="77777777" w:rsidR="0039793A" w:rsidRPr="00C53BEE" w:rsidRDefault="0039793A" w:rsidP="0039793A">
      <w:pPr>
        <w:ind w:left="540" w:hanging="540"/>
        <w:jc w:val="both"/>
        <w:rPr>
          <w:sz w:val="24"/>
        </w:rPr>
      </w:pPr>
      <w:r w:rsidRPr="00C53BEE">
        <w:rPr>
          <w:sz w:val="24"/>
        </w:rPr>
        <w:t>Bakou : 339.</w:t>
      </w:r>
    </w:p>
    <w:p w14:paraId="469E643D" w14:textId="77777777" w:rsidR="0039793A" w:rsidRPr="00C53BEE" w:rsidRDefault="0039793A" w:rsidP="0039793A">
      <w:pPr>
        <w:ind w:left="540" w:hanging="540"/>
        <w:jc w:val="both"/>
        <w:rPr>
          <w:sz w:val="24"/>
        </w:rPr>
      </w:pPr>
      <w:r w:rsidRPr="00C53BEE">
        <w:rPr>
          <w:sz w:val="24"/>
        </w:rPr>
        <w:t>Banque import-export : 205.</w:t>
      </w:r>
    </w:p>
    <w:p w14:paraId="45785333" w14:textId="77777777" w:rsidR="0039793A" w:rsidRPr="00C53BEE" w:rsidRDefault="0039793A" w:rsidP="0039793A">
      <w:pPr>
        <w:ind w:left="540" w:hanging="540"/>
        <w:jc w:val="both"/>
        <w:rPr>
          <w:sz w:val="24"/>
        </w:rPr>
      </w:pPr>
      <w:r w:rsidRPr="00C53BEE">
        <w:rPr>
          <w:sz w:val="24"/>
        </w:rPr>
        <w:t>Banque mondiale : 204.</w:t>
      </w:r>
    </w:p>
    <w:p w14:paraId="341C999B" w14:textId="77777777" w:rsidR="0039793A" w:rsidRPr="00C53BEE" w:rsidRDefault="0039793A" w:rsidP="0039793A">
      <w:pPr>
        <w:ind w:left="540" w:hanging="540"/>
        <w:jc w:val="both"/>
        <w:rPr>
          <w:sz w:val="24"/>
        </w:rPr>
      </w:pPr>
      <w:r w:rsidRPr="00C53BEE">
        <w:rPr>
          <w:sz w:val="24"/>
        </w:rPr>
        <w:t>Barrières</w:t>
      </w:r>
    </w:p>
    <w:p w14:paraId="483D8D20" w14:textId="77777777" w:rsidR="0039793A" w:rsidRPr="00C53BEE" w:rsidRDefault="0039793A" w:rsidP="0039793A">
      <w:pPr>
        <w:pStyle w:val="i2"/>
      </w:pPr>
      <w:r w:rsidRPr="00C53BEE">
        <w:t>non tarifaires : 205.</w:t>
      </w:r>
    </w:p>
    <w:p w14:paraId="7C5BD8D7" w14:textId="77777777" w:rsidR="0039793A" w:rsidRPr="00C53BEE" w:rsidRDefault="0039793A" w:rsidP="0039793A">
      <w:pPr>
        <w:pStyle w:val="i2"/>
      </w:pPr>
      <w:r w:rsidRPr="00C53BEE">
        <w:t>tarifaires : 205.</w:t>
      </w:r>
    </w:p>
    <w:p w14:paraId="6A9AB699" w14:textId="77777777" w:rsidR="0039793A" w:rsidRPr="00C53BEE" w:rsidRDefault="0039793A" w:rsidP="0039793A">
      <w:pPr>
        <w:ind w:left="540" w:hanging="540"/>
        <w:jc w:val="both"/>
        <w:rPr>
          <w:sz w:val="24"/>
        </w:rPr>
      </w:pPr>
      <w:r w:rsidRPr="00C53BEE">
        <w:rPr>
          <w:sz w:val="24"/>
        </w:rPr>
        <w:t>Base militaire : 20, 274.</w:t>
      </w:r>
    </w:p>
    <w:p w14:paraId="4C5C0D95" w14:textId="77777777" w:rsidR="0039793A" w:rsidRPr="00C53BEE" w:rsidRDefault="0039793A" w:rsidP="0039793A">
      <w:pPr>
        <w:ind w:left="540" w:hanging="540"/>
        <w:jc w:val="both"/>
        <w:rPr>
          <w:sz w:val="24"/>
        </w:rPr>
      </w:pPr>
      <w:r w:rsidRPr="00C53BEE">
        <w:rPr>
          <w:sz w:val="24"/>
        </w:rPr>
        <w:t>Bicamérisme : 22.</w:t>
      </w:r>
    </w:p>
    <w:p w14:paraId="0281EC97" w14:textId="77777777" w:rsidR="0039793A" w:rsidRPr="00C53BEE" w:rsidRDefault="0039793A" w:rsidP="0039793A">
      <w:pPr>
        <w:ind w:left="540" w:hanging="540"/>
        <w:jc w:val="both"/>
        <w:rPr>
          <w:sz w:val="24"/>
        </w:rPr>
      </w:pPr>
      <w:r w:rsidRPr="00C53BEE">
        <w:rPr>
          <w:i/>
          <w:iCs/>
          <w:sz w:val="24"/>
        </w:rPr>
        <w:t>Bipartisan Campaign Reform Act</w:t>
      </w:r>
      <w:r w:rsidRPr="00C53BEE">
        <w:rPr>
          <w:sz w:val="24"/>
        </w:rPr>
        <w:t> : 333.</w:t>
      </w:r>
    </w:p>
    <w:p w14:paraId="4D5E2011" w14:textId="77777777" w:rsidR="0039793A" w:rsidRPr="00C53BEE" w:rsidRDefault="0039793A" w:rsidP="0039793A">
      <w:pPr>
        <w:ind w:left="540" w:hanging="540"/>
        <w:jc w:val="both"/>
        <w:rPr>
          <w:sz w:val="24"/>
        </w:rPr>
      </w:pPr>
      <w:r w:rsidRPr="00C53BEE">
        <w:rPr>
          <w:i/>
          <w:iCs/>
          <w:sz w:val="24"/>
        </w:rPr>
        <w:t>Black Caucus</w:t>
      </w:r>
      <w:r w:rsidRPr="00C53BEE">
        <w:rPr>
          <w:sz w:val="24"/>
        </w:rPr>
        <w:t> : 266, 273, 327, 344.</w:t>
      </w:r>
    </w:p>
    <w:p w14:paraId="2F010365" w14:textId="77777777" w:rsidR="0039793A" w:rsidRPr="00C53BEE" w:rsidRDefault="0039793A" w:rsidP="0039793A">
      <w:pPr>
        <w:ind w:left="540" w:hanging="540"/>
        <w:jc w:val="both"/>
        <w:rPr>
          <w:sz w:val="24"/>
        </w:rPr>
      </w:pPr>
      <w:r w:rsidRPr="00C53BEE">
        <w:rPr>
          <w:sz w:val="24"/>
        </w:rPr>
        <w:t>Blanchiment d’argent : 204.</w:t>
      </w:r>
    </w:p>
    <w:p w14:paraId="54EC14A7" w14:textId="77777777" w:rsidR="0039793A" w:rsidRPr="00C53BEE" w:rsidRDefault="0039793A" w:rsidP="0039793A">
      <w:pPr>
        <w:ind w:left="540" w:hanging="540"/>
        <w:jc w:val="both"/>
        <w:rPr>
          <w:sz w:val="24"/>
        </w:rPr>
      </w:pPr>
      <w:r w:rsidRPr="00C53BEE">
        <w:rPr>
          <w:sz w:val="24"/>
        </w:rPr>
        <w:t>Boeing : 323, 341.</w:t>
      </w:r>
    </w:p>
    <w:p w14:paraId="7FE13822" w14:textId="77777777" w:rsidR="0039793A" w:rsidRPr="00C53BEE" w:rsidRDefault="0039793A" w:rsidP="0039793A">
      <w:pPr>
        <w:ind w:left="540" w:hanging="540"/>
        <w:jc w:val="both"/>
        <w:rPr>
          <w:sz w:val="24"/>
        </w:rPr>
      </w:pPr>
      <w:r w:rsidRPr="00C53BEE">
        <w:rPr>
          <w:sz w:val="24"/>
        </w:rPr>
        <w:t>Bombe atomique : 63.</w:t>
      </w:r>
    </w:p>
    <w:p w14:paraId="7E337F03" w14:textId="77777777" w:rsidR="0039793A" w:rsidRPr="00C53BEE" w:rsidRDefault="0039793A" w:rsidP="0039793A">
      <w:pPr>
        <w:ind w:left="540" w:hanging="540"/>
        <w:jc w:val="both"/>
        <w:rPr>
          <w:sz w:val="24"/>
        </w:rPr>
      </w:pPr>
      <w:r w:rsidRPr="00C53BEE">
        <w:rPr>
          <w:sz w:val="24"/>
        </w:rPr>
        <w:t>Bosnie : 68, 88, 98, 120, 148, 154-156, 167, 192, 207, 243-244, 259, 264, 266, 274, 281,309.</w:t>
      </w:r>
    </w:p>
    <w:p w14:paraId="189C904D" w14:textId="77777777" w:rsidR="0039793A" w:rsidRPr="00C53BEE" w:rsidRDefault="0039793A" w:rsidP="0039793A">
      <w:pPr>
        <w:ind w:left="540" w:hanging="540"/>
        <w:jc w:val="both"/>
        <w:rPr>
          <w:sz w:val="24"/>
        </w:rPr>
      </w:pPr>
      <w:r w:rsidRPr="00C53BEE">
        <w:rPr>
          <w:sz w:val="24"/>
        </w:rPr>
        <w:t>Bouclier antimissile : voir Défenses antimissiles.</w:t>
      </w:r>
    </w:p>
    <w:p w14:paraId="49589757" w14:textId="77777777" w:rsidR="0039793A" w:rsidRPr="00C53BEE" w:rsidRDefault="0039793A" w:rsidP="0039793A">
      <w:pPr>
        <w:ind w:left="540" w:hanging="540"/>
        <w:jc w:val="both"/>
        <w:rPr>
          <w:sz w:val="24"/>
        </w:rPr>
      </w:pPr>
      <w:r w:rsidRPr="00C53BEE">
        <w:rPr>
          <w:i/>
          <w:iCs/>
          <w:sz w:val="24"/>
        </w:rPr>
        <w:t>Brookings</w:t>
      </w:r>
      <w:r w:rsidRPr="00C53BEE">
        <w:rPr>
          <w:sz w:val="24"/>
        </w:rPr>
        <w:t> : 319-320.</w:t>
      </w:r>
    </w:p>
    <w:p w14:paraId="66B2B560" w14:textId="77777777" w:rsidR="0039793A" w:rsidRPr="00C53BEE" w:rsidRDefault="0039793A" w:rsidP="0039793A">
      <w:pPr>
        <w:ind w:left="540" w:hanging="540"/>
        <w:jc w:val="both"/>
        <w:rPr>
          <w:sz w:val="24"/>
        </w:rPr>
      </w:pPr>
      <w:r w:rsidRPr="00C53BEE">
        <w:rPr>
          <w:sz w:val="24"/>
        </w:rPr>
        <w:t>Budget</w:t>
      </w:r>
    </w:p>
    <w:p w14:paraId="70E51CBB" w14:textId="77777777" w:rsidR="0039793A" w:rsidRPr="00C53BEE" w:rsidRDefault="0039793A" w:rsidP="0039793A">
      <w:pPr>
        <w:pStyle w:val="i2"/>
      </w:pPr>
      <w:r w:rsidRPr="00C53BEE">
        <w:t>- de la CIA : 198.</w:t>
      </w:r>
    </w:p>
    <w:p w14:paraId="208C319D" w14:textId="77777777" w:rsidR="0039793A" w:rsidRPr="00C53BEE" w:rsidRDefault="0039793A" w:rsidP="0039793A">
      <w:pPr>
        <w:pStyle w:val="i2"/>
      </w:pPr>
      <w:r w:rsidRPr="00C53BEE">
        <w:t>- de la Défense : 106, 179, 185, 187- 189, 191-192, 196, 286, 294, 302, 324, 347, 350.</w:t>
      </w:r>
    </w:p>
    <w:p w14:paraId="3D581B4B" w14:textId="77777777" w:rsidR="0039793A" w:rsidRPr="00C53BEE" w:rsidRDefault="0039793A" w:rsidP="0039793A">
      <w:pPr>
        <w:pStyle w:val="i2"/>
      </w:pPr>
      <w:r w:rsidRPr="00C53BEE">
        <w:t>- du Conseil de sécurité nationale : 211, 218,231.</w:t>
      </w:r>
    </w:p>
    <w:p w14:paraId="781BDC1E" w14:textId="77777777" w:rsidR="0039793A" w:rsidRPr="00C53BEE" w:rsidRDefault="0039793A" w:rsidP="0039793A">
      <w:pPr>
        <w:pStyle w:val="i2"/>
      </w:pPr>
      <w:r w:rsidRPr="00C53BEE">
        <w:t>- du Département d’État : 47, 179, 272, 292.</w:t>
      </w:r>
    </w:p>
    <w:p w14:paraId="5FD85CDD" w14:textId="77777777" w:rsidR="0039793A" w:rsidRPr="00C53BEE" w:rsidRDefault="0039793A" w:rsidP="0039793A">
      <w:pPr>
        <w:pStyle w:val="i2"/>
      </w:pPr>
      <w:r w:rsidRPr="00C53BEE">
        <w:t>- du département de la Sécurité intérieure : 201.</w:t>
      </w:r>
    </w:p>
    <w:p w14:paraId="0A6F6EC5" w14:textId="77777777" w:rsidR="0039793A" w:rsidRPr="00C53BEE" w:rsidRDefault="0039793A" w:rsidP="0039793A">
      <w:pPr>
        <w:pStyle w:val="i2"/>
      </w:pPr>
      <w:r w:rsidRPr="00C53BEE">
        <w:t>- du renseignement : 260.</w:t>
      </w:r>
    </w:p>
    <w:p w14:paraId="6FF91EEE" w14:textId="77777777" w:rsidR="0039793A" w:rsidRPr="00C53BEE" w:rsidRDefault="0039793A" w:rsidP="0039793A">
      <w:pPr>
        <w:pStyle w:val="i2"/>
      </w:pPr>
      <w:r w:rsidRPr="00C53BEE">
        <w:t>- fédéral : 151, 179, 185, 206, 281, 292.</w:t>
      </w:r>
    </w:p>
    <w:p w14:paraId="43248679" w14:textId="77777777" w:rsidR="0039793A" w:rsidRPr="00C53BEE" w:rsidRDefault="0039793A" w:rsidP="0039793A">
      <w:pPr>
        <w:ind w:left="540" w:hanging="540"/>
        <w:jc w:val="both"/>
        <w:rPr>
          <w:sz w:val="24"/>
        </w:rPr>
      </w:pPr>
      <w:r w:rsidRPr="00C53BEE">
        <w:rPr>
          <w:sz w:val="24"/>
        </w:rPr>
        <w:t>Bureau</w:t>
      </w:r>
    </w:p>
    <w:p w14:paraId="6B47AD17" w14:textId="77777777" w:rsidR="0039793A" w:rsidRPr="00C53BEE" w:rsidRDefault="0039793A" w:rsidP="0039793A">
      <w:pPr>
        <w:pStyle w:val="i2"/>
      </w:pPr>
      <w:r w:rsidRPr="00C53BEE">
        <w:t>- de la lutte antiterroriste : 245.</w:t>
      </w:r>
    </w:p>
    <w:p w14:paraId="37C84317" w14:textId="77777777" w:rsidR="0039793A" w:rsidRPr="00C53BEE" w:rsidRDefault="0039793A" w:rsidP="0039793A">
      <w:pPr>
        <w:pStyle w:val="i2"/>
      </w:pPr>
      <w:r w:rsidRPr="00C53BEE">
        <w:t>- de la Sécurité du territoire national : 201.</w:t>
      </w:r>
    </w:p>
    <w:p w14:paraId="18C2AD63" w14:textId="77777777" w:rsidR="0039793A" w:rsidRPr="00C53BEE" w:rsidRDefault="0039793A" w:rsidP="0039793A">
      <w:pPr>
        <w:pStyle w:val="i2"/>
      </w:pPr>
      <w:r w:rsidRPr="00C53BEE">
        <w:t>- de Planification : 181.</w:t>
      </w:r>
    </w:p>
    <w:p w14:paraId="7F82753E" w14:textId="77777777" w:rsidR="0039793A" w:rsidRPr="00C53BEE" w:rsidRDefault="0039793A" w:rsidP="0039793A">
      <w:pPr>
        <w:pStyle w:val="i2"/>
      </w:pPr>
      <w:r w:rsidRPr="00C53BEE">
        <w:t>- de recherche et du renseignement : 196.</w:t>
      </w:r>
    </w:p>
    <w:p w14:paraId="4AD8DA43" w14:textId="77777777" w:rsidR="0039793A" w:rsidRPr="00C53BEE" w:rsidRDefault="0039793A" w:rsidP="0039793A">
      <w:pPr>
        <w:pStyle w:val="i2"/>
      </w:pPr>
      <w:r w:rsidRPr="00C53BEE">
        <w:t>- des conseillers économiques : 205.</w:t>
      </w:r>
    </w:p>
    <w:p w14:paraId="7C3A1739" w14:textId="77777777" w:rsidR="0039793A" w:rsidRPr="00C53BEE" w:rsidRDefault="0039793A" w:rsidP="0039793A">
      <w:pPr>
        <w:pStyle w:val="i2"/>
      </w:pPr>
      <w:r w:rsidRPr="00C53BEE">
        <w:t xml:space="preserve">- du secrétaire à la Défense, </w:t>
      </w:r>
      <w:r w:rsidRPr="00C53BEE">
        <w:rPr>
          <w:i/>
          <w:iCs/>
        </w:rPr>
        <w:t>Office of the Secretary of Defe</w:t>
      </w:r>
      <w:r w:rsidRPr="00C53BEE">
        <w:rPr>
          <w:i/>
          <w:iCs/>
        </w:rPr>
        <w:t>n</w:t>
      </w:r>
      <w:r w:rsidRPr="00C53BEE">
        <w:rPr>
          <w:i/>
          <w:iCs/>
        </w:rPr>
        <w:t>se</w:t>
      </w:r>
      <w:r w:rsidRPr="00C53BEE">
        <w:t> : 181, 189.</w:t>
      </w:r>
    </w:p>
    <w:p w14:paraId="5B99F292" w14:textId="77777777" w:rsidR="0039793A" w:rsidRPr="00C53BEE" w:rsidRDefault="0039793A" w:rsidP="0039793A">
      <w:pPr>
        <w:pStyle w:val="i2"/>
      </w:pPr>
      <w:r w:rsidRPr="00C53BEE">
        <w:t>- exécutif : 211.</w:t>
      </w:r>
    </w:p>
    <w:p w14:paraId="3BFBB776" w14:textId="77777777" w:rsidR="0039793A" w:rsidRPr="00C53BEE" w:rsidRDefault="0039793A" w:rsidP="0039793A">
      <w:pPr>
        <w:ind w:left="540" w:hanging="540"/>
        <w:jc w:val="both"/>
        <w:rPr>
          <w:sz w:val="24"/>
        </w:rPr>
      </w:pPr>
      <w:r w:rsidRPr="00C53BEE">
        <w:rPr>
          <w:sz w:val="24"/>
        </w:rPr>
        <w:t>Bureaucraties : 169, 172, 173, 177, 178, 184, 206-209, 221-224, 226, 228-230, 234-238, 245, 252, 272.</w:t>
      </w:r>
    </w:p>
    <w:p w14:paraId="42B9FD56" w14:textId="77777777" w:rsidR="0039793A" w:rsidRPr="00C53BEE" w:rsidRDefault="0039793A" w:rsidP="0039793A">
      <w:pPr>
        <w:ind w:left="540" w:hanging="540"/>
        <w:jc w:val="both"/>
        <w:rPr>
          <w:sz w:val="24"/>
        </w:rPr>
      </w:pPr>
      <w:r w:rsidRPr="00C53BEE">
        <w:rPr>
          <w:sz w:val="24"/>
        </w:rPr>
        <w:t>Business Roundtable</w:t>
      </w:r>
      <w:r w:rsidRPr="00C53BEE">
        <w:rPr>
          <w:i/>
          <w:iCs/>
          <w:sz w:val="24"/>
        </w:rPr>
        <w:t xml:space="preserve"> : </w:t>
      </w:r>
      <w:r w:rsidRPr="00C53BEE">
        <w:rPr>
          <w:iCs/>
          <w:sz w:val="24"/>
        </w:rPr>
        <w:t>323</w:t>
      </w:r>
      <w:r w:rsidRPr="00C53BEE">
        <w:rPr>
          <w:i/>
          <w:iCs/>
          <w:sz w:val="24"/>
        </w:rPr>
        <w:t>.</w:t>
      </w:r>
    </w:p>
    <w:p w14:paraId="7438B36A" w14:textId="77777777" w:rsidR="0039793A" w:rsidRPr="00C53BEE" w:rsidRDefault="0039793A" w:rsidP="0039793A">
      <w:pPr>
        <w:ind w:left="540" w:hanging="540"/>
        <w:jc w:val="both"/>
        <w:rPr>
          <w:sz w:val="24"/>
        </w:rPr>
      </w:pPr>
    </w:p>
    <w:p w14:paraId="3E47EE48" w14:textId="77777777" w:rsidR="0039793A" w:rsidRPr="00C53BEE" w:rsidRDefault="0039793A" w:rsidP="0039793A">
      <w:pPr>
        <w:ind w:left="540" w:hanging="540"/>
        <w:jc w:val="both"/>
        <w:rPr>
          <w:sz w:val="24"/>
        </w:rPr>
      </w:pPr>
      <w:r w:rsidRPr="00C53BEE">
        <w:rPr>
          <w:sz w:val="24"/>
        </w:rPr>
        <w:t>Cabinet : 151, 329, 335-336,</w:t>
      </w:r>
    </w:p>
    <w:p w14:paraId="688D14E6" w14:textId="77777777" w:rsidR="0039793A" w:rsidRPr="00C53BEE" w:rsidRDefault="0039793A" w:rsidP="0039793A">
      <w:pPr>
        <w:pStyle w:val="i2"/>
      </w:pPr>
      <w:r w:rsidRPr="00C53BEE">
        <w:t>- Akin Gurnp : 336.</w:t>
      </w:r>
    </w:p>
    <w:p w14:paraId="0767A61B" w14:textId="77777777" w:rsidR="0039793A" w:rsidRPr="00C53BEE" w:rsidRDefault="0039793A" w:rsidP="0039793A">
      <w:pPr>
        <w:pStyle w:val="i2"/>
      </w:pPr>
      <w:r w:rsidRPr="00C53BEE">
        <w:t>- Verner Liipfert</w:t>
      </w:r>
      <w:r w:rsidRPr="00C53BEE">
        <w:rPr>
          <w:rStyle w:val="Corpsdutexte108ptNonItalique"/>
          <w:sz w:val="24"/>
        </w:rPr>
        <w:t> </w:t>
      </w:r>
      <w:r w:rsidRPr="00C53BEE">
        <w:t>: 336.</w:t>
      </w:r>
    </w:p>
    <w:p w14:paraId="2E5C1886" w14:textId="77777777" w:rsidR="0039793A" w:rsidRPr="00C53BEE" w:rsidRDefault="0039793A" w:rsidP="0039793A">
      <w:pPr>
        <w:ind w:left="540" w:hanging="540"/>
        <w:jc w:val="both"/>
        <w:rPr>
          <w:sz w:val="24"/>
        </w:rPr>
      </w:pPr>
      <w:r w:rsidRPr="00C53BEE">
        <w:rPr>
          <w:sz w:val="24"/>
        </w:rPr>
        <w:t>Californie : 320, 326, 330.</w:t>
      </w:r>
    </w:p>
    <w:p w14:paraId="1E25A7CB" w14:textId="77777777" w:rsidR="0039793A" w:rsidRPr="00C53BEE" w:rsidRDefault="0039793A" w:rsidP="0039793A">
      <w:pPr>
        <w:ind w:left="540" w:hanging="540"/>
        <w:jc w:val="both"/>
        <w:rPr>
          <w:sz w:val="24"/>
        </w:rPr>
      </w:pPr>
      <w:r w:rsidRPr="00C53BEE">
        <w:rPr>
          <w:sz w:val="24"/>
        </w:rPr>
        <w:t>Cambodge : 32, 259.</w:t>
      </w:r>
    </w:p>
    <w:p w14:paraId="25A2EBCB" w14:textId="77777777" w:rsidR="0039793A" w:rsidRPr="00C53BEE" w:rsidRDefault="0039793A" w:rsidP="0039793A">
      <w:pPr>
        <w:ind w:left="540" w:hanging="540"/>
        <w:jc w:val="both"/>
        <w:rPr>
          <w:sz w:val="24"/>
        </w:rPr>
      </w:pPr>
      <w:r w:rsidRPr="00C53BEE">
        <w:rPr>
          <w:sz w:val="24"/>
        </w:rPr>
        <w:t>Canada : 20, 51, 150, 278.</w:t>
      </w:r>
    </w:p>
    <w:p w14:paraId="763C8470" w14:textId="77777777" w:rsidR="0039793A" w:rsidRPr="00C53BEE" w:rsidRDefault="0039793A" w:rsidP="0039793A">
      <w:pPr>
        <w:ind w:left="540" w:hanging="540"/>
        <w:jc w:val="both"/>
        <w:rPr>
          <w:sz w:val="24"/>
        </w:rPr>
      </w:pPr>
      <w:r w:rsidRPr="00C53BEE">
        <w:rPr>
          <w:sz w:val="24"/>
        </w:rPr>
        <w:t>Capitalisme : 83, 88, 126, 132.</w:t>
      </w:r>
    </w:p>
    <w:p w14:paraId="0AB1B7A6" w14:textId="77777777" w:rsidR="0039793A" w:rsidRPr="00C53BEE" w:rsidRDefault="0039793A" w:rsidP="0039793A">
      <w:pPr>
        <w:ind w:left="540" w:hanging="540"/>
        <w:jc w:val="both"/>
        <w:rPr>
          <w:sz w:val="24"/>
        </w:rPr>
      </w:pPr>
      <w:r w:rsidRPr="00C53BEE">
        <w:rPr>
          <w:sz w:val="24"/>
        </w:rPr>
        <w:t>Caractère national : 41.</w:t>
      </w:r>
    </w:p>
    <w:p w14:paraId="5EDF11A0" w14:textId="77777777" w:rsidR="0039793A" w:rsidRPr="00C53BEE" w:rsidRDefault="0039793A" w:rsidP="0039793A">
      <w:pPr>
        <w:ind w:left="540" w:hanging="540"/>
        <w:jc w:val="both"/>
        <w:rPr>
          <w:i/>
          <w:sz w:val="24"/>
        </w:rPr>
      </w:pPr>
      <w:r w:rsidRPr="00C53BEE">
        <w:rPr>
          <w:i/>
          <w:sz w:val="24"/>
        </w:rPr>
        <w:t>Carnegie</w:t>
      </w:r>
      <w:r w:rsidRPr="00C53BEE">
        <w:rPr>
          <w:i/>
          <w:iCs/>
          <w:sz w:val="24"/>
        </w:rPr>
        <w:t xml:space="preserve"> : </w:t>
      </w:r>
      <w:r w:rsidRPr="00C53BEE">
        <w:rPr>
          <w:iCs/>
          <w:sz w:val="24"/>
        </w:rPr>
        <w:t>319</w:t>
      </w:r>
      <w:r w:rsidRPr="00C53BEE">
        <w:rPr>
          <w:i/>
          <w:iCs/>
          <w:sz w:val="24"/>
        </w:rPr>
        <w:t>.</w:t>
      </w:r>
    </w:p>
    <w:p w14:paraId="2EB41B6A" w14:textId="77777777" w:rsidR="0039793A" w:rsidRPr="00C53BEE" w:rsidRDefault="0039793A" w:rsidP="0039793A">
      <w:pPr>
        <w:ind w:left="540" w:hanging="540"/>
        <w:jc w:val="both"/>
        <w:rPr>
          <w:i/>
          <w:sz w:val="24"/>
        </w:rPr>
      </w:pPr>
      <w:r w:rsidRPr="00C53BEE">
        <w:rPr>
          <w:i/>
          <w:sz w:val="24"/>
        </w:rPr>
        <w:t>Carter Center</w:t>
      </w:r>
      <w:r w:rsidRPr="00C53BEE">
        <w:rPr>
          <w:i/>
          <w:iCs/>
          <w:sz w:val="24"/>
        </w:rPr>
        <w:t xml:space="preserve"> : </w:t>
      </w:r>
      <w:r w:rsidRPr="00C53BEE">
        <w:rPr>
          <w:iCs/>
          <w:sz w:val="24"/>
        </w:rPr>
        <w:t>320</w:t>
      </w:r>
      <w:r w:rsidRPr="00C53BEE">
        <w:rPr>
          <w:i/>
          <w:iCs/>
          <w:sz w:val="24"/>
        </w:rPr>
        <w:t>.</w:t>
      </w:r>
    </w:p>
    <w:p w14:paraId="4E8C87C0" w14:textId="77777777" w:rsidR="0039793A" w:rsidRPr="00C53BEE" w:rsidRDefault="0039793A" w:rsidP="0039793A">
      <w:pPr>
        <w:ind w:left="540" w:hanging="540"/>
        <w:jc w:val="both"/>
        <w:rPr>
          <w:sz w:val="24"/>
        </w:rPr>
      </w:pPr>
      <w:r w:rsidRPr="00C53BEE">
        <w:rPr>
          <w:sz w:val="24"/>
        </w:rPr>
        <w:t>Cartographie : 189, 196.</w:t>
      </w:r>
    </w:p>
    <w:p w14:paraId="0040AD37" w14:textId="77777777" w:rsidR="0039793A" w:rsidRPr="00C53BEE" w:rsidRDefault="0039793A" w:rsidP="0039793A">
      <w:pPr>
        <w:ind w:left="540" w:hanging="540"/>
        <w:jc w:val="both"/>
        <w:rPr>
          <w:sz w:val="24"/>
        </w:rPr>
      </w:pPr>
      <w:r w:rsidRPr="00C53BEE">
        <w:rPr>
          <w:sz w:val="24"/>
        </w:rPr>
        <w:t>Caucus : 266, 273, 327, 339, 344.</w:t>
      </w:r>
    </w:p>
    <w:p w14:paraId="4C41D000" w14:textId="77777777" w:rsidR="0039793A" w:rsidRPr="00C53BEE" w:rsidRDefault="0039793A" w:rsidP="0039793A">
      <w:pPr>
        <w:ind w:left="540" w:hanging="540"/>
        <w:jc w:val="both"/>
        <w:rPr>
          <w:sz w:val="24"/>
        </w:rPr>
      </w:pPr>
      <w:r w:rsidRPr="00C53BEE">
        <w:rPr>
          <w:iCs/>
          <w:sz w:val="24"/>
        </w:rPr>
        <w:t>CBS</w:t>
      </w:r>
      <w:r w:rsidRPr="00C53BEE">
        <w:rPr>
          <w:sz w:val="24"/>
        </w:rPr>
        <w:t> : 292, 305, 307.</w:t>
      </w:r>
    </w:p>
    <w:p w14:paraId="13D5729C" w14:textId="77777777" w:rsidR="0039793A" w:rsidRPr="00C53BEE" w:rsidRDefault="0039793A" w:rsidP="0039793A">
      <w:pPr>
        <w:ind w:left="540" w:hanging="540"/>
        <w:jc w:val="both"/>
        <w:rPr>
          <w:sz w:val="24"/>
        </w:rPr>
      </w:pPr>
      <w:r w:rsidRPr="00C53BEE">
        <w:rPr>
          <w:i/>
          <w:iCs/>
          <w:sz w:val="24"/>
        </w:rPr>
        <w:t xml:space="preserve">Center for Security </w:t>
      </w:r>
      <w:r w:rsidRPr="00C53BEE">
        <w:rPr>
          <w:i/>
          <w:sz w:val="24"/>
        </w:rPr>
        <w:t>Policy</w:t>
      </w:r>
      <w:r w:rsidRPr="00C53BEE">
        <w:rPr>
          <w:i/>
          <w:iCs/>
          <w:sz w:val="24"/>
        </w:rPr>
        <w:t xml:space="preserve"> : </w:t>
      </w:r>
      <w:r w:rsidRPr="00C53BEE">
        <w:rPr>
          <w:iCs/>
          <w:sz w:val="24"/>
        </w:rPr>
        <w:t>325</w:t>
      </w:r>
      <w:r w:rsidRPr="00C53BEE">
        <w:rPr>
          <w:i/>
          <w:iCs/>
          <w:sz w:val="24"/>
        </w:rPr>
        <w:t>.</w:t>
      </w:r>
    </w:p>
    <w:p w14:paraId="7E9A8E07" w14:textId="77777777" w:rsidR="0039793A" w:rsidRPr="00C53BEE" w:rsidRDefault="0039793A" w:rsidP="0039793A">
      <w:pPr>
        <w:ind w:left="540" w:hanging="540"/>
        <w:jc w:val="both"/>
        <w:rPr>
          <w:sz w:val="24"/>
        </w:rPr>
      </w:pPr>
      <w:r w:rsidRPr="00C53BEE">
        <w:rPr>
          <w:sz w:val="24"/>
        </w:rPr>
        <w:t>Centres de recherche : 66, 101, 184, 317, 319, 324.</w:t>
      </w:r>
    </w:p>
    <w:p w14:paraId="0A47AE10" w14:textId="77777777" w:rsidR="0039793A" w:rsidRPr="00C53BEE" w:rsidRDefault="0039793A" w:rsidP="0039793A">
      <w:pPr>
        <w:ind w:left="540" w:hanging="540"/>
        <w:jc w:val="both"/>
        <w:rPr>
          <w:sz w:val="24"/>
        </w:rPr>
      </w:pPr>
      <w:r w:rsidRPr="00C53BEE">
        <w:rPr>
          <w:i/>
          <w:iCs/>
          <w:sz w:val="24"/>
        </w:rPr>
        <w:t>Century Fund</w:t>
      </w:r>
      <w:r w:rsidRPr="00C53BEE">
        <w:rPr>
          <w:rStyle w:val="Corpsdutexte108ptNonItalique"/>
          <w:sz w:val="24"/>
        </w:rPr>
        <w:t> </w:t>
      </w:r>
      <w:r w:rsidRPr="00C53BEE">
        <w:rPr>
          <w:iCs/>
          <w:sz w:val="24"/>
        </w:rPr>
        <w:t>: 319.</w:t>
      </w:r>
    </w:p>
    <w:p w14:paraId="7AED57AD" w14:textId="77777777" w:rsidR="0039793A" w:rsidRPr="00C53BEE" w:rsidRDefault="0039793A" w:rsidP="0039793A">
      <w:pPr>
        <w:ind w:left="540" w:hanging="540"/>
        <w:jc w:val="both"/>
        <w:rPr>
          <w:sz w:val="24"/>
        </w:rPr>
      </w:pPr>
      <w:r w:rsidRPr="00C53BEE">
        <w:rPr>
          <w:sz w:val="24"/>
        </w:rPr>
        <w:t>Chambre des représentants : 22, 29, 33-34, 155, 266, 273, 292, 310.</w:t>
      </w:r>
    </w:p>
    <w:p w14:paraId="7E498D11" w14:textId="77777777" w:rsidR="0039793A" w:rsidRPr="00C53BEE" w:rsidRDefault="0039793A" w:rsidP="0039793A">
      <w:pPr>
        <w:ind w:left="540" w:hanging="540"/>
        <w:jc w:val="both"/>
        <w:rPr>
          <w:sz w:val="24"/>
        </w:rPr>
      </w:pPr>
      <w:r w:rsidRPr="00C53BEE">
        <w:rPr>
          <w:sz w:val="24"/>
        </w:rPr>
        <w:t>Charte</w:t>
      </w:r>
    </w:p>
    <w:p w14:paraId="66B5C3E1" w14:textId="77777777" w:rsidR="0039793A" w:rsidRPr="00C53BEE" w:rsidRDefault="0039793A" w:rsidP="0039793A">
      <w:pPr>
        <w:pStyle w:val="i2"/>
      </w:pPr>
      <w:r w:rsidRPr="00C53BEE">
        <w:t>- de l’Atlantique : 86.</w:t>
      </w:r>
    </w:p>
    <w:p w14:paraId="66286E92" w14:textId="77777777" w:rsidR="0039793A" w:rsidRPr="00C53BEE" w:rsidRDefault="0039793A" w:rsidP="0039793A">
      <w:pPr>
        <w:pStyle w:val="i2"/>
      </w:pPr>
      <w:r w:rsidRPr="00C53BEE">
        <w:t>- de l’ONU : 155.</w:t>
      </w:r>
    </w:p>
    <w:p w14:paraId="3826BD18" w14:textId="77777777" w:rsidR="0039793A" w:rsidRPr="00C53BEE" w:rsidRDefault="0039793A" w:rsidP="0039793A">
      <w:pPr>
        <w:pStyle w:val="i2"/>
      </w:pPr>
      <w:r w:rsidRPr="00C53BEE">
        <w:t>- de l’OTAN : 155.</w:t>
      </w:r>
    </w:p>
    <w:p w14:paraId="41310455" w14:textId="77777777" w:rsidR="0039793A" w:rsidRPr="00C53BEE" w:rsidRDefault="0039793A" w:rsidP="0039793A">
      <w:pPr>
        <w:ind w:left="540" w:hanging="540"/>
        <w:jc w:val="both"/>
        <w:rPr>
          <w:sz w:val="24"/>
        </w:rPr>
      </w:pPr>
      <w:r w:rsidRPr="00C53BEE">
        <w:rPr>
          <w:sz w:val="24"/>
        </w:rPr>
        <w:t>fondamentale (voir Constitution) : 16, 256.</w:t>
      </w:r>
    </w:p>
    <w:p w14:paraId="107FF6B7" w14:textId="77777777" w:rsidR="0039793A" w:rsidRPr="00C53BEE" w:rsidRDefault="0039793A" w:rsidP="0039793A">
      <w:pPr>
        <w:ind w:left="540" w:hanging="540"/>
        <w:jc w:val="both"/>
        <w:rPr>
          <w:sz w:val="24"/>
        </w:rPr>
      </w:pPr>
      <w:r w:rsidRPr="00C53BEE">
        <w:rPr>
          <w:sz w:val="24"/>
        </w:rPr>
        <w:t>Checks and balances (voir poids et contrepoids) : 23, 145.</w:t>
      </w:r>
    </w:p>
    <w:p w14:paraId="1828890C" w14:textId="77777777" w:rsidR="0039793A" w:rsidRPr="00C53BEE" w:rsidRDefault="0039793A" w:rsidP="0039793A">
      <w:pPr>
        <w:ind w:left="540" w:hanging="540"/>
        <w:jc w:val="both"/>
        <w:rPr>
          <w:sz w:val="24"/>
        </w:rPr>
      </w:pPr>
      <w:r w:rsidRPr="00C53BEE">
        <w:rPr>
          <w:sz w:val="24"/>
        </w:rPr>
        <w:t>Chef</w:t>
      </w:r>
    </w:p>
    <w:p w14:paraId="661E5E89" w14:textId="77777777" w:rsidR="0039793A" w:rsidRPr="00C53BEE" w:rsidRDefault="0039793A" w:rsidP="0039793A">
      <w:pPr>
        <w:pStyle w:val="i2"/>
      </w:pPr>
      <w:r w:rsidRPr="00C53BEE">
        <w:t>- de gouvernement : 22, 146-147, 151.</w:t>
      </w:r>
    </w:p>
    <w:p w14:paraId="361D8B0E" w14:textId="77777777" w:rsidR="0039793A" w:rsidRPr="00C53BEE" w:rsidRDefault="0039793A" w:rsidP="0039793A">
      <w:pPr>
        <w:pStyle w:val="i2"/>
      </w:pPr>
      <w:r w:rsidRPr="00C53BEE">
        <w:t>- de la majorité : 280, 281, 315.</w:t>
      </w:r>
    </w:p>
    <w:p w14:paraId="266C7766" w14:textId="77777777" w:rsidR="0039793A" w:rsidRPr="00C53BEE" w:rsidRDefault="0039793A" w:rsidP="0039793A">
      <w:pPr>
        <w:pStyle w:val="i2"/>
      </w:pPr>
      <w:r w:rsidRPr="00C53BEE">
        <w:t>- de l’exécutif : 27, 31, 147.</w:t>
      </w:r>
    </w:p>
    <w:p w14:paraId="2A2D3955" w14:textId="77777777" w:rsidR="0039793A" w:rsidRPr="00C53BEE" w:rsidRDefault="0039793A" w:rsidP="0039793A">
      <w:pPr>
        <w:pStyle w:val="i2"/>
      </w:pPr>
      <w:r w:rsidRPr="00C53BEE">
        <w:t>- de parti : 35, 280.</w:t>
      </w:r>
    </w:p>
    <w:p w14:paraId="23FD2AFA" w14:textId="77777777" w:rsidR="0039793A" w:rsidRPr="00C53BEE" w:rsidRDefault="0039793A" w:rsidP="0039793A">
      <w:pPr>
        <w:ind w:left="540" w:hanging="540"/>
        <w:jc w:val="both"/>
        <w:rPr>
          <w:sz w:val="24"/>
        </w:rPr>
      </w:pPr>
      <w:r w:rsidRPr="00C53BEE">
        <w:rPr>
          <w:sz w:val="24"/>
        </w:rPr>
        <w:t>[373]</w:t>
      </w:r>
    </w:p>
    <w:p w14:paraId="42667C08" w14:textId="77777777" w:rsidR="0039793A" w:rsidRPr="00C53BEE" w:rsidRDefault="0039793A" w:rsidP="0039793A">
      <w:pPr>
        <w:pStyle w:val="i2"/>
      </w:pPr>
      <w:r w:rsidRPr="00C53BEE">
        <w:t>- des armées : 146-147, 256.</w:t>
      </w:r>
    </w:p>
    <w:p w14:paraId="70B1161F" w14:textId="77777777" w:rsidR="0039793A" w:rsidRPr="00C53BEE" w:rsidRDefault="0039793A" w:rsidP="0039793A">
      <w:pPr>
        <w:pStyle w:val="i2"/>
      </w:pPr>
      <w:r w:rsidRPr="00C53BEE">
        <w:t>- d'État : 22, 141, 143, 146-147, 149-150, 164, 200, 226.</w:t>
      </w:r>
    </w:p>
    <w:p w14:paraId="54AA8D96" w14:textId="77777777" w:rsidR="0039793A" w:rsidRPr="00C53BEE" w:rsidRDefault="0039793A" w:rsidP="0039793A">
      <w:pPr>
        <w:pStyle w:val="i2"/>
      </w:pPr>
      <w:r w:rsidRPr="00C53BEE">
        <w:t>- d'État-Major : 187-188, 190-191, 213-214, 216.</w:t>
      </w:r>
    </w:p>
    <w:p w14:paraId="2E0683BE" w14:textId="77777777" w:rsidR="0039793A" w:rsidRPr="00C53BEE" w:rsidRDefault="0039793A" w:rsidP="0039793A">
      <w:pPr>
        <w:ind w:left="540" w:hanging="540"/>
        <w:jc w:val="both"/>
        <w:rPr>
          <w:sz w:val="24"/>
        </w:rPr>
      </w:pPr>
      <w:r w:rsidRPr="00C53BEE">
        <w:rPr>
          <w:i/>
          <w:iCs/>
          <w:sz w:val="24"/>
        </w:rPr>
        <w:t>Chicago Council on Foreign Relations</w:t>
      </w:r>
      <w:r w:rsidRPr="00C53BEE">
        <w:rPr>
          <w:rStyle w:val="Corpsdutexte108ptNonItalique"/>
          <w:sz w:val="24"/>
        </w:rPr>
        <w:t> </w:t>
      </w:r>
      <w:r w:rsidRPr="00C53BEE">
        <w:rPr>
          <w:iCs/>
          <w:sz w:val="24"/>
        </w:rPr>
        <w:t>: 290, 295-296.</w:t>
      </w:r>
    </w:p>
    <w:p w14:paraId="4AF8D81B" w14:textId="77777777" w:rsidR="0039793A" w:rsidRPr="00C53BEE" w:rsidRDefault="0039793A" w:rsidP="0039793A">
      <w:pPr>
        <w:ind w:left="540" w:hanging="540"/>
        <w:jc w:val="both"/>
        <w:rPr>
          <w:sz w:val="24"/>
        </w:rPr>
      </w:pPr>
      <w:r w:rsidRPr="00C53BEE">
        <w:rPr>
          <w:sz w:val="24"/>
        </w:rPr>
        <w:t>Chili : 93, 198, 238.</w:t>
      </w:r>
    </w:p>
    <w:p w14:paraId="4787539B" w14:textId="77777777" w:rsidR="0039793A" w:rsidRPr="00C53BEE" w:rsidRDefault="0039793A" w:rsidP="0039793A">
      <w:pPr>
        <w:ind w:left="540" w:hanging="540"/>
        <w:jc w:val="both"/>
        <w:rPr>
          <w:sz w:val="24"/>
        </w:rPr>
      </w:pPr>
      <w:r w:rsidRPr="00C53BEE">
        <w:rPr>
          <w:sz w:val="24"/>
        </w:rPr>
        <w:t>Chine : 48, 93, 117, 127, 150, 228, 238, 243, 265, 269, 277, 313, 323, 329.</w:t>
      </w:r>
    </w:p>
    <w:p w14:paraId="2D9F4C4F" w14:textId="77777777" w:rsidR="0039793A" w:rsidRPr="00C53BEE" w:rsidRDefault="0039793A" w:rsidP="0039793A">
      <w:pPr>
        <w:ind w:left="540" w:hanging="540"/>
        <w:jc w:val="both"/>
        <w:rPr>
          <w:sz w:val="24"/>
        </w:rPr>
      </w:pPr>
      <w:r w:rsidRPr="00C53BEE">
        <w:rPr>
          <w:i/>
          <w:iCs/>
          <w:sz w:val="24"/>
        </w:rPr>
        <w:t>Christian Coalition</w:t>
      </w:r>
      <w:r w:rsidRPr="00C53BEE">
        <w:rPr>
          <w:sz w:val="24"/>
        </w:rPr>
        <w:t> : 337, 339.</w:t>
      </w:r>
    </w:p>
    <w:p w14:paraId="533F34DC" w14:textId="77777777" w:rsidR="0039793A" w:rsidRPr="00C53BEE" w:rsidRDefault="0039793A" w:rsidP="0039793A">
      <w:pPr>
        <w:ind w:left="540" w:hanging="540"/>
        <w:jc w:val="both"/>
        <w:rPr>
          <w:sz w:val="24"/>
        </w:rPr>
      </w:pPr>
      <w:r w:rsidRPr="00C53BEE">
        <w:rPr>
          <w:sz w:val="24"/>
        </w:rPr>
        <w:t xml:space="preserve">CIA, </w:t>
      </w:r>
      <w:r w:rsidRPr="00C53BEE">
        <w:rPr>
          <w:i/>
          <w:iCs/>
          <w:sz w:val="24"/>
        </w:rPr>
        <w:t>Central Intelligence Agency :</w:t>
      </w:r>
      <w:r w:rsidRPr="00C53BEE">
        <w:rPr>
          <w:sz w:val="24"/>
        </w:rPr>
        <w:t xml:space="preserve"> 33, 63, 194-199, 201, 203, 207, 214, 235, 238, 260, 309, 322.</w:t>
      </w:r>
    </w:p>
    <w:p w14:paraId="3ADBC4AC" w14:textId="77777777" w:rsidR="0039793A" w:rsidRPr="00C53BEE" w:rsidRDefault="0039793A" w:rsidP="0039793A">
      <w:pPr>
        <w:ind w:left="540" w:hanging="540"/>
        <w:jc w:val="both"/>
        <w:rPr>
          <w:sz w:val="24"/>
        </w:rPr>
      </w:pPr>
      <w:r w:rsidRPr="00C53BEE">
        <w:rPr>
          <w:sz w:val="24"/>
        </w:rPr>
        <w:t xml:space="preserve">CJCS, </w:t>
      </w:r>
      <w:r w:rsidRPr="00C53BEE">
        <w:rPr>
          <w:i/>
          <w:iCs/>
          <w:sz w:val="24"/>
        </w:rPr>
        <w:t>Chairman of the Joint Chiefs of Staff</w:t>
      </w:r>
      <w:r w:rsidRPr="00C53BEE">
        <w:rPr>
          <w:sz w:val="24"/>
        </w:rPr>
        <w:t xml:space="preserve"> : 187-188, 190, 194-195, 207, 216. </w:t>
      </w:r>
      <w:r w:rsidRPr="00C53BEE">
        <w:rPr>
          <w:i/>
          <w:iCs/>
          <w:sz w:val="24"/>
        </w:rPr>
        <w:t>CNBC</w:t>
      </w:r>
      <w:r w:rsidRPr="00C53BEE">
        <w:rPr>
          <w:sz w:val="24"/>
        </w:rPr>
        <w:t> : 305.</w:t>
      </w:r>
    </w:p>
    <w:p w14:paraId="1C14D1C7" w14:textId="77777777" w:rsidR="0039793A" w:rsidRPr="00C53BEE" w:rsidRDefault="0039793A" w:rsidP="0039793A">
      <w:pPr>
        <w:ind w:left="540" w:hanging="540"/>
        <w:jc w:val="both"/>
        <w:rPr>
          <w:sz w:val="24"/>
        </w:rPr>
      </w:pPr>
      <w:r w:rsidRPr="00C53BEE">
        <w:rPr>
          <w:caps/>
          <w:sz w:val="24"/>
        </w:rPr>
        <w:t>cnn </w:t>
      </w:r>
      <w:r w:rsidRPr="00C53BEE">
        <w:rPr>
          <w:sz w:val="24"/>
        </w:rPr>
        <w:t>: 305, 308-309, 312.</w:t>
      </w:r>
    </w:p>
    <w:p w14:paraId="65C08A38" w14:textId="77777777" w:rsidR="0039793A" w:rsidRPr="00C53BEE" w:rsidRDefault="0039793A" w:rsidP="0039793A">
      <w:pPr>
        <w:ind w:left="540" w:hanging="540"/>
        <w:jc w:val="both"/>
        <w:rPr>
          <w:sz w:val="24"/>
        </w:rPr>
      </w:pPr>
      <w:r w:rsidRPr="00C53BEE">
        <w:rPr>
          <w:sz w:val="24"/>
        </w:rPr>
        <w:t>Colombie : 35, 157, 204, 347.</w:t>
      </w:r>
    </w:p>
    <w:p w14:paraId="268378C3" w14:textId="77777777" w:rsidR="0039793A" w:rsidRPr="00C53BEE" w:rsidRDefault="0039793A" w:rsidP="0039793A">
      <w:pPr>
        <w:ind w:left="540" w:hanging="540"/>
        <w:jc w:val="both"/>
        <w:rPr>
          <w:sz w:val="24"/>
        </w:rPr>
      </w:pPr>
      <w:r w:rsidRPr="00C53BEE">
        <w:rPr>
          <w:sz w:val="24"/>
        </w:rPr>
        <w:t>Comité des chefs d’État-major : 187, 191, 214, 216.</w:t>
      </w:r>
    </w:p>
    <w:p w14:paraId="1CBC9254" w14:textId="77777777" w:rsidR="0039793A" w:rsidRPr="00C53BEE" w:rsidRDefault="0039793A" w:rsidP="0039793A">
      <w:pPr>
        <w:ind w:left="540" w:hanging="540"/>
        <w:jc w:val="both"/>
        <w:rPr>
          <w:sz w:val="24"/>
        </w:rPr>
      </w:pPr>
      <w:r w:rsidRPr="00C53BEE">
        <w:rPr>
          <w:sz w:val="24"/>
        </w:rPr>
        <w:t>Comité interdépartemental : 217, 219, 220-224, 230-231, 234-235, 237-240.</w:t>
      </w:r>
    </w:p>
    <w:p w14:paraId="094670EB" w14:textId="77777777" w:rsidR="0039793A" w:rsidRPr="00C53BEE" w:rsidRDefault="0039793A" w:rsidP="0039793A">
      <w:pPr>
        <w:ind w:left="540" w:hanging="540"/>
        <w:jc w:val="both"/>
        <w:rPr>
          <w:sz w:val="24"/>
        </w:rPr>
      </w:pPr>
      <w:r w:rsidRPr="00C53BEE">
        <w:rPr>
          <w:sz w:val="24"/>
        </w:rPr>
        <w:t>Commandement</w:t>
      </w:r>
    </w:p>
    <w:p w14:paraId="6E669706" w14:textId="77777777" w:rsidR="0039793A" w:rsidRPr="00C53BEE" w:rsidRDefault="0039793A" w:rsidP="0039793A">
      <w:pPr>
        <w:pStyle w:val="i2"/>
      </w:pPr>
      <w:r w:rsidRPr="00C53BEE">
        <w:t>- fonctionnel : 190.</w:t>
      </w:r>
    </w:p>
    <w:p w14:paraId="70BCAF19" w14:textId="77777777" w:rsidR="0039793A" w:rsidRPr="00C53BEE" w:rsidRDefault="0039793A" w:rsidP="0039793A">
      <w:pPr>
        <w:pStyle w:val="i2"/>
      </w:pPr>
      <w:r w:rsidRPr="00C53BEE">
        <w:t>- interarmes : 188.</w:t>
      </w:r>
    </w:p>
    <w:p w14:paraId="11963DE8" w14:textId="77777777" w:rsidR="0039793A" w:rsidRPr="00C53BEE" w:rsidRDefault="0039793A" w:rsidP="0039793A">
      <w:pPr>
        <w:pStyle w:val="i2"/>
      </w:pPr>
      <w:r w:rsidRPr="00C53BEE">
        <w:t>- militaire : 190, 346.</w:t>
      </w:r>
    </w:p>
    <w:p w14:paraId="4BD1AF71" w14:textId="77777777" w:rsidR="0039793A" w:rsidRPr="00C53BEE" w:rsidRDefault="0039793A" w:rsidP="0039793A">
      <w:pPr>
        <w:pStyle w:val="i2"/>
      </w:pPr>
      <w:r w:rsidRPr="00C53BEE">
        <w:t>- régional : 190.</w:t>
      </w:r>
    </w:p>
    <w:p w14:paraId="46446ACD" w14:textId="77777777" w:rsidR="0039793A" w:rsidRPr="00C53BEE" w:rsidRDefault="0039793A" w:rsidP="0039793A">
      <w:pPr>
        <w:pStyle w:val="i2"/>
      </w:pPr>
      <w:r w:rsidRPr="00C53BEE">
        <w:t>- spécifique : 190, 195.</w:t>
      </w:r>
    </w:p>
    <w:p w14:paraId="49C211C4" w14:textId="77777777" w:rsidR="0039793A" w:rsidRPr="00C53BEE" w:rsidRDefault="0039793A" w:rsidP="0039793A">
      <w:pPr>
        <w:pStyle w:val="i2"/>
      </w:pPr>
      <w:r w:rsidRPr="00C53BEE">
        <w:t>- unifié : 187, 190, 195, 346.</w:t>
      </w:r>
    </w:p>
    <w:p w14:paraId="35305722" w14:textId="77777777" w:rsidR="0039793A" w:rsidRPr="00C53BEE" w:rsidRDefault="0039793A" w:rsidP="0039793A">
      <w:pPr>
        <w:ind w:left="540" w:hanging="540"/>
        <w:jc w:val="both"/>
        <w:rPr>
          <w:sz w:val="24"/>
        </w:rPr>
      </w:pPr>
      <w:r w:rsidRPr="00C53BEE">
        <w:rPr>
          <w:sz w:val="24"/>
        </w:rPr>
        <w:t>Commerce : 24, 48, 55, 72, 79, 81, 89, 105, 131, 133, 135, 151, 205, 256, 264, 269, 299-300, 318.</w:t>
      </w:r>
    </w:p>
    <w:p w14:paraId="1A8B7F68" w14:textId="77777777" w:rsidR="0039793A" w:rsidRPr="00C53BEE" w:rsidRDefault="0039793A" w:rsidP="0039793A">
      <w:pPr>
        <w:ind w:left="540" w:hanging="540"/>
        <w:jc w:val="both"/>
        <w:rPr>
          <w:sz w:val="24"/>
        </w:rPr>
      </w:pPr>
      <w:r w:rsidRPr="00C53BEE">
        <w:rPr>
          <w:sz w:val="24"/>
        </w:rPr>
        <w:t>Commission</w:t>
      </w:r>
    </w:p>
    <w:p w14:paraId="74A37A44" w14:textId="77777777" w:rsidR="0039793A" w:rsidRPr="00C53BEE" w:rsidRDefault="0039793A" w:rsidP="0039793A">
      <w:pPr>
        <w:pStyle w:val="i2"/>
      </w:pPr>
      <w:r w:rsidRPr="00C53BEE">
        <w:t>- d’enquête : 24, 33, 193, 348.</w:t>
      </w:r>
    </w:p>
    <w:p w14:paraId="3E967977" w14:textId="77777777" w:rsidR="0039793A" w:rsidRPr="00C53BEE" w:rsidRDefault="0039793A" w:rsidP="0039793A">
      <w:pPr>
        <w:pStyle w:val="i2"/>
      </w:pPr>
      <w:r w:rsidRPr="00C53BEE">
        <w:t>- des affaires étrangères : 32, 38, 69, 77, 82, 94, 97, 261-263, 272, 275-276, 292, 339.</w:t>
      </w:r>
    </w:p>
    <w:p w14:paraId="2DBEA053" w14:textId="77777777" w:rsidR="0039793A" w:rsidRPr="00C53BEE" w:rsidRDefault="0039793A" w:rsidP="0039793A">
      <w:pPr>
        <w:pStyle w:val="i2"/>
      </w:pPr>
      <w:r w:rsidRPr="00C53BEE">
        <w:t>- des appropriations : 33, 275-277.</w:t>
      </w:r>
    </w:p>
    <w:p w14:paraId="05195EAE" w14:textId="77777777" w:rsidR="0039793A" w:rsidRPr="00C53BEE" w:rsidRDefault="0039793A" w:rsidP="0039793A">
      <w:pPr>
        <w:pStyle w:val="i2"/>
      </w:pPr>
      <w:r w:rsidRPr="00C53BEE">
        <w:t>- des forces armées : 33, 275.</w:t>
      </w:r>
    </w:p>
    <w:p w14:paraId="3951FA79" w14:textId="77777777" w:rsidR="0039793A" w:rsidRPr="00C53BEE" w:rsidRDefault="0039793A" w:rsidP="0039793A">
      <w:pPr>
        <w:pStyle w:val="i2"/>
      </w:pPr>
      <w:r w:rsidRPr="00C53BEE">
        <w:t>- du commerce international : 205.</w:t>
      </w:r>
    </w:p>
    <w:p w14:paraId="1902D5D1" w14:textId="77777777" w:rsidR="0039793A" w:rsidRPr="00C53BEE" w:rsidRDefault="0039793A" w:rsidP="0039793A">
      <w:pPr>
        <w:pStyle w:val="i2"/>
      </w:pPr>
      <w:r w:rsidRPr="00C53BEE">
        <w:t>- électorale : 333-</w:t>
      </w:r>
    </w:p>
    <w:p w14:paraId="1CD16EF2" w14:textId="77777777" w:rsidR="0039793A" w:rsidRPr="00C53BEE" w:rsidRDefault="0039793A" w:rsidP="0039793A">
      <w:pPr>
        <w:pStyle w:val="i2"/>
      </w:pPr>
      <w:r w:rsidRPr="00C53BEE">
        <w:t>- législative : 31, 267, 272.</w:t>
      </w:r>
    </w:p>
    <w:p w14:paraId="299A0059" w14:textId="77777777" w:rsidR="0039793A" w:rsidRPr="00C53BEE" w:rsidRDefault="0039793A" w:rsidP="0039793A">
      <w:pPr>
        <w:pStyle w:val="i2"/>
      </w:pPr>
      <w:r w:rsidRPr="00C53BEE">
        <w:t>- permanente : 241, 275.</w:t>
      </w:r>
    </w:p>
    <w:p w14:paraId="140C2649" w14:textId="77777777" w:rsidR="0039793A" w:rsidRPr="00C53BEE" w:rsidRDefault="0039793A" w:rsidP="0039793A">
      <w:pPr>
        <w:pStyle w:val="i2"/>
      </w:pPr>
      <w:r w:rsidRPr="00C53BEE">
        <w:t>- spéciale : 33.</w:t>
      </w:r>
    </w:p>
    <w:p w14:paraId="31256ABA" w14:textId="77777777" w:rsidR="0039793A" w:rsidRPr="00C53BEE" w:rsidRDefault="0039793A" w:rsidP="0039793A">
      <w:pPr>
        <w:pStyle w:val="i2"/>
      </w:pPr>
      <w:r w:rsidRPr="00C53BEE">
        <w:t xml:space="preserve">- sur la sécurité nationale : 275. </w:t>
      </w:r>
    </w:p>
    <w:p w14:paraId="037C41DB" w14:textId="77777777" w:rsidR="0039793A" w:rsidRPr="00C53BEE" w:rsidRDefault="0039793A" w:rsidP="0039793A">
      <w:pPr>
        <w:ind w:left="540" w:hanging="540"/>
        <w:jc w:val="both"/>
        <w:rPr>
          <w:sz w:val="24"/>
        </w:rPr>
      </w:pPr>
      <w:r w:rsidRPr="00C53BEE">
        <w:rPr>
          <w:sz w:val="24"/>
        </w:rPr>
        <w:t>Committee</w:t>
      </w:r>
    </w:p>
    <w:p w14:paraId="50F731B2" w14:textId="77777777" w:rsidR="0039793A" w:rsidRPr="00C53BEE" w:rsidRDefault="0039793A" w:rsidP="0039793A">
      <w:pPr>
        <w:pStyle w:val="i2"/>
      </w:pPr>
      <w:r w:rsidRPr="00C53BEE">
        <w:t>- for the Liberation of Iraq</w:t>
      </w:r>
      <w:r w:rsidRPr="00C53BEE">
        <w:rPr>
          <w:rStyle w:val="Corpsdutexte108ptNonItalique"/>
          <w:sz w:val="24"/>
        </w:rPr>
        <w:t> </w:t>
      </w:r>
      <w:r w:rsidRPr="00C53BEE">
        <w:t>: 325.</w:t>
      </w:r>
    </w:p>
    <w:p w14:paraId="363A49EA" w14:textId="77777777" w:rsidR="0039793A" w:rsidRPr="00C53BEE" w:rsidRDefault="0039793A" w:rsidP="0039793A">
      <w:pPr>
        <w:pStyle w:val="i2"/>
      </w:pPr>
      <w:r w:rsidRPr="00C53BEE">
        <w:t xml:space="preserve">- to Expand NATO : 325, 340. </w:t>
      </w:r>
    </w:p>
    <w:p w14:paraId="75325E16" w14:textId="77777777" w:rsidR="0039793A" w:rsidRPr="00C53BEE" w:rsidRDefault="0039793A" w:rsidP="0039793A">
      <w:pPr>
        <w:ind w:left="540" w:hanging="540"/>
        <w:jc w:val="both"/>
        <w:rPr>
          <w:sz w:val="24"/>
        </w:rPr>
      </w:pPr>
      <w:r w:rsidRPr="00C53BEE">
        <w:rPr>
          <w:sz w:val="24"/>
        </w:rPr>
        <w:t>Communautarisme : 45.</w:t>
      </w:r>
    </w:p>
    <w:p w14:paraId="28506828" w14:textId="77777777" w:rsidR="0039793A" w:rsidRPr="00C53BEE" w:rsidRDefault="0039793A" w:rsidP="0039793A">
      <w:pPr>
        <w:ind w:left="540" w:hanging="540"/>
        <w:jc w:val="both"/>
        <w:rPr>
          <w:sz w:val="24"/>
        </w:rPr>
      </w:pPr>
      <w:r w:rsidRPr="00C53BEE">
        <w:rPr>
          <w:sz w:val="24"/>
        </w:rPr>
        <w:t>Communauté internationale : 17, 79, 96-110, 114, 120, 124, 146.</w:t>
      </w:r>
    </w:p>
    <w:p w14:paraId="2FB88B3E" w14:textId="77777777" w:rsidR="0039793A" w:rsidRPr="00C53BEE" w:rsidRDefault="0039793A" w:rsidP="0039793A">
      <w:pPr>
        <w:ind w:left="540" w:hanging="540"/>
        <w:jc w:val="both"/>
        <w:rPr>
          <w:sz w:val="24"/>
        </w:rPr>
      </w:pPr>
      <w:r w:rsidRPr="00C53BEE">
        <w:rPr>
          <w:sz w:val="24"/>
        </w:rPr>
        <w:t>Communications : 183, 189, 196, 211, 218.</w:t>
      </w:r>
    </w:p>
    <w:p w14:paraId="55C292A7" w14:textId="77777777" w:rsidR="0039793A" w:rsidRPr="00C53BEE" w:rsidRDefault="0039793A" w:rsidP="0039793A">
      <w:pPr>
        <w:ind w:left="540" w:hanging="540"/>
        <w:jc w:val="both"/>
        <w:rPr>
          <w:sz w:val="24"/>
        </w:rPr>
      </w:pPr>
      <w:r w:rsidRPr="00C53BEE">
        <w:rPr>
          <w:sz w:val="24"/>
        </w:rPr>
        <w:t>Compétition (voir rivalités) : 25, 117, 122, 174, 198, 206, 228, 240, 306.</w:t>
      </w:r>
    </w:p>
    <w:p w14:paraId="2480F54C" w14:textId="77777777" w:rsidR="0039793A" w:rsidRPr="00C53BEE" w:rsidRDefault="0039793A" w:rsidP="0039793A">
      <w:pPr>
        <w:ind w:left="540" w:hanging="540"/>
        <w:jc w:val="both"/>
        <w:rPr>
          <w:sz w:val="24"/>
        </w:rPr>
      </w:pPr>
      <w:r w:rsidRPr="00C53BEE">
        <w:rPr>
          <w:sz w:val="24"/>
        </w:rPr>
        <w:t>Compétitivité économique : 134, 299.</w:t>
      </w:r>
    </w:p>
    <w:p w14:paraId="024F3C48" w14:textId="77777777" w:rsidR="0039793A" w:rsidRPr="00C53BEE" w:rsidRDefault="0039793A" w:rsidP="0039793A">
      <w:pPr>
        <w:ind w:left="540" w:hanging="540"/>
        <w:jc w:val="both"/>
        <w:rPr>
          <w:sz w:val="24"/>
        </w:rPr>
      </w:pPr>
      <w:r w:rsidRPr="00C53BEE">
        <w:rPr>
          <w:sz w:val="24"/>
        </w:rPr>
        <w:t>Complexe militaro-industriel : 184, 341.</w:t>
      </w:r>
    </w:p>
    <w:p w14:paraId="34C83733" w14:textId="77777777" w:rsidR="0039793A" w:rsidRPr="00C53BEE" w:rsidRDefault="0039793A" w:rsidP="0039793A">
      <w:pPr>
        <w:ind w:left="540" w:hanging="540"/>
        <w:jc w:val="both"/>
        <w:rPr>
          <w:sz w:val="24"/>
        </w:rPr>
      </w:pPr>
      <w:r w:rsidRPr="00C53BEE">
        <w:rPr>
          <w:sz w:val="24"/>
        </w:rPr>
        <w:t>Confédération : 19-20, 298.</w:t>
      </w:r>
    </w:p>
    <w:p w14:paraId="7FFA7D56" w14:textId="77777777" w:rsidR="0039793A" w:rsidRPr="00C53BEE" w:rsidRDefault="0039793A" w:rsidP="0039793A">
      <w:pPr>
        <w:ind w:left="540" w:hanging="540"/>
        <w:jc w:val="both"/>
        <w:rPr>
          <w:sz w:val="24"/>
        </w:rPr>
      </w:pPr>
      <w:r w:rsidRPr="00C53BEE">
        <w:rPr>
          <w:sz w:val="24"/>
        </w:rPr>
        <w:t>Conférence Chair</w:t>
      </w:r>
      <w:r w:rsidRPr="00C53BEE">
        <w:rPr>
          <w:rStyle w:val="Corpsdutexte108ptNonItalique"/>
          <w:sz w:val="24"/>
        </w:rPr>
        <w:t> : 280.</w:t>
      </w:r>
    </w:p>
    <w:p w14:paraId="47A74CF8" w14:textId="77777777" w:rsidR="0039793A" w:rsidRPr="00C53BEE" w:rsidRDefault="0039793A" w:rsidP="0039793A">
      <w:pPr>
        <w:ind w:left="540" w:hanging="540"/>
        <w:jc w:val="both"/>
        <w:rPr>
          <w:sz w:val="24"/>
        </w:rPr>
      </w:pPr>
      <w:r w:rsidRPr="00C53BEE">
        <w:rPr>
          <w:sz w:val="24"/>
        </w:rPr>
        <w:t>Conférence de Yalta : 87.</w:t>
      </w:r>
    </w:p>
    <w:p w14:paraId="7840A254" w14:textId="77777777" w:rsidR="0039793A" w:rsidRPr="00C53BEE" w:rsidRDefault="0039793A" w:rsidP="0039793A">
      <w:pPr>
        <w:ind w:left="540" w:hanging="540"/>
        <w:jc w:val="both"/>
        <w:rPr>
          <w:sz w:val="24"/>
        </w:rPr>
      </w:pPr>
      <w:r w:rsidRPr="00C53BEE">
        <w:rPr>
          <w:sz w:val="24"/>
        </w:rPr>
        <w:t>Congo : 276.</w:t>
      </w:r>
    </w:p>
    <w:p w14:paraId="62A0615B" w14:textId="77777777" w:rsidR="0039793A" w:rsidRPr="00C53BEE" w:rsidRDefault="0039793A" w:rsidP="0039793A">
      <w:pPr>
        <w:ind w:left="540" w:hanging="540"/>
        <w:jc w:val="both"/>
        <w:rPr>
          <w:sz w:val="24"/>
        </w:rPr>
      </w:pPr>
      <w:r w:rsidRPr="00C53BEE">
        <w:rPr>
          <w:sz w:val="24"/>
        </w:rPr>
        <w:t>Congrès :</w:t>
      </w:r>
    </w:p>
    <w:p w14:paraId="3DC3CF2D" w14:textId="77777777" w:rsidR="0039793A" w:rsidRPr="00C53BEE" w:rsidRDefault="0039793A" w:rsidP="0039793A">
      <w:pPr>
        <w:pStyle w:val="i2"/>
      </w:pPr>
      <w:r w:rsidRPr="00C53BEE">
        <w:t>- des États-Unis : 10, 17, 19, 21, 22- 24, 25-26, 28-39, 52, 63, 69, 85, 87, 94, 97, 118, 129, 134-135, 143-157, 161, 181-182, 184-185, 187-188, 193, 195-196, 198, 213-214, 220, 231, 234, 241, 247-248, 249-261, 263-265, 267-272, 274-278, 280- 285, 288-290, 293, 301, 303, 311, 313, 314-316, 327, 329, 331, 333, 335, 337, 339, 342, 346, 348-351</w:t>
      </w:r>
    </w:p>
    <w:p w14:paraId="1BEFD980" w14:textId="77777777" w:rsidR="0039793A" w:rsidRPr="00C53BEE" w:rsidRDefault="0039793A" w:rsidP="0039793A">
      <w:pPr>
        <w:pStyle w:val="i2"/>
      </w:pPr>
      <w:r w:rsidRPr="00C53BEE">
        <w:t>- confédéral : 19.</w:t>
      </w:r>
    </w:p>
    <w:p w14:paraId="5B77C968" w14:textId="77777777" w:rsidR="0039793A" w:rsidRPr="00C53BEE" w:rsidRDefault="0039793A" w:rsidP="0039793A">
      <w:pPr>
        <w:pStyle w:val="i2"/>
      </w:pPr>
      <w:r w:rsidRPr="00C53BEE">
        <w:t>- impérial : 251.</w:t>
      </w:r>
    </w:p>
    <w:p w14:paraId="1D7686AE" w14:textId="77777777" w:rsidR="0039793A" w:rsidRPr="00C53BEE" w:rsidRDefault="0039793A" w:rsidP="0039793A">
      <w:pPr>
        <w:ind w:left="540" w:hanging="540"/>
        <w:jc w:val="both"/>
        <w:rPr>
          <w:sz w:val="24"/>
        </w:rPr>
      </w:pPr>
      <w:r w:rsidRPr="00C53BEE">
        <w:rPr>
          <w:i/>
          <w:iCs/>
          <w:sz w:val="24"/>
        </w:rPr>
        <w:t>Congressional Research Service</w:t>
      </w:r>
      <w:r w:rsidRPr="00C53BEE">
        <w:rPr>
          <w:sz w:val="24"/>
        </w:rPr>
        <w:t> :</w:t>
      </w:r>
      <w:r w:rsidRPr="00C53BEE">
        <w:rPr>
          <w:rStyle w:val="Corpsdutexte108ptNonItalique"/>
          <w:sz w:val="24"/>
        </w:rPr>
        <w:t xml:space="preserve"> </w:t>
      </w:r>
      <w:r w:rsidRPr="00C53BEE">
        <w:rPr>
          <w:iCs/>
          <w:sz w:val="24"/>
        </w:rPr>
        <w:t>252, 278.</w:t>
      </w:r>
    </w:p>
    <w:p w14:paraId="67198A44" w14:textId="77777777" w:rsidR="0039793A" w:rsidRPr="00C53BEE" w:rsidRDefault="0039793A" w:rsidP="0039793A">
      <w:pPr>
        <w:ind w:left="540" w:hanging="540"/>
        <w:jc w:val="both"/>
        <w:rPr>
          <w:sz w:val="24"/>
        </w:rPr>
      </w:pPr>
      <w:r w:rsidRPr="00C53BEE">
        <w:rPr>
          <w:sz w:val="24"/>
        </w:rPr>
        <w:t>Conscription : 186.</w:t>
      </w:r>
    </w:p>
    <w:p w14:paraId="59DA305D" w14:textId="77777777" w:rsidR="0039793A" w:rsidRPr="00C53BEE" w:rsidRDefault="0039793A" w:rsidP="0039793A">
      <w:pPr>
        <w:ind w:left="540" w:hanging="540"/>
        <w:jc w:val="both"/>
        <w:rPr>
          <w:sz w:val="24"/>
        </w:rPr>
      </w:pPr>
      <w:r w:rsidRPr="00C53BEE">
        <w:rPr>
          <w:sz w:val="24"/>
        </w:rPr>
        <w:t>Conseil</w:t>
      </w:r>
    </w:p>
    <w:p w14:paraId="227E3B93" w14:textId="77777777" w:rsidR="0039793A" w:rsidRPr="00C53BEE" w:rsidRDefault="0039793A" w:rsidP="0039793A">
      <w:pPr>
        <w:pStyle w:val="i2"/>
      </w:pPr>
      <w:r w:rsidRPr="00C53BEE">
        <w:t>- de sécurité des Nations unies : 32, 96, 113, 120, 124, 150, 156, 296.</w:t>
      </w:r>
    </w:p>
    <w:p w14:paraId="5FC03D6F" w14:textId="77777777" w:rsidR="0039793A" w:rsidRPr="00C53BEE" w:rsidRDefault="0039793A" w:rsidP="0039793A">
      <w:pPr>
        <w:pStyle w:val="i2"/>
      </w:pPr>
      <w:r w:rsidRPr="00C53BEE">
        <w:t>- de la Sécurité du territoire national : 202, 245.</w:t>
      </w:r>
    </w:p>
    <w:p w14:paraId="6D01ACA7" w14:textId="77777777" w:rsidR="0039793A" w:rsidRPr="00C53BEE" w:rsidRDefault="0039793A" w:rsidP="0039793A">
      <w:pPr>
        <w:pStyle w:val="i2"/>
      </w:pPr>
      <w:r w:rsidRPr="00C53BEE">
        <w:t>- de Sécurité éc</w:t>
      </w:r>
      <w:r w:rsidRPr="00C53BEE">
        <w:t>o</w:t>
      </w:r>
      <w:r w:rsidRPr="00C53BEE">
        <w:t>nomique : 205.</w:t>
      </w:r>
    </w:p>
    <w:p w14:paraId="744980FF" w14:textId="77777777" w:rsidR="0039793A" w:rsidRPr="00C53BEE" w:rsidRDefault="0039793A" w:rsidP="0039793A">
      <w:pPr>
        <w:pStyle w:val="i2"/>
      </w:pPr>
      <w:r w:rsidRPr="00C53BEE">
        <w:t>- de Sécurité nationale : 10-12, 37, 141, 209, 211-245.</w:t>
      </w:r>
    </w:p>
    <w:p w14:paraId="42E69A11" w14:textId="77777777" w:rsidR="0039793A" w:rsidRPr="00C53BEE" w:rsidRDefault="0039793A" w:rsidP="0039793A">
      <w:pPr>
        <w:pStyle w:val="i2"/>
      </w:pPr>
      <w:r w:rsidRPr="00C53BEE">
        <w:t>- des ministres de l’OTAN : 156.</w:t>
      </w:r>
    </w:p>
    <w:p w14:paraId="23B15984" w14:textId="77777777" w:rsidR="0039793A" w:rsidRPr="00C53BEE" w:rsidRDefault="0039793A" w:rsidP="0039793A">
      <w:pPr>
        <w:pStyle w:val="i2"/>
      </w:pPr>
      <w:r w:rsidRPr="00C53BEE">
        <w:t>- du renseign</w:t>
      </w:r>
      <w:r w:rsidRPr="00C53BEE">
        <w:t>e</w:t>
      </w:r>
      <w:r w:rsidRPr="00C53BEE">
        <w:t>ment : 197.</w:t>
      </w:r>
    </w:p>
    <w:p w14:paraId="65C3E089" w14:textId="77777777" w:rsidR="0039793A" w:rsidRPr="00C53BEE" w:rsidRDefault="0039793A" w:rsidP="0039793A">
      <w:pPr>
        <w:ind w:left="540" w:hanging="540"/>
        <w:jc w:val="both"/>
        <w:rPr>
          <w:sz w:val="24"/>
        </w:rPr>
      </w:pPr>
      <w:r w:rsidRPr="00C53BEE">
        <w:rPr>
          <w:sz w:val="24"/>
        </w:rPr>
        <w:t>Conseiller pour la Sécurité nationale : 151, 212, 215-220, 222-223, 224- 229, 230-232, 234-245, 305, 312.</w:t>
      </w:r>
    </w:p>
    <w:p w14:paraId="2689E1D4" w14:textId="77777777" w:rsidR="0039793A" w:rsidRPr="00C53BEE" w:rsidRDefault="0039793A" w:rsidP="0039793A">
      <w:pPr>
        <w:ind w:left="540" w:hanging="540"/>
        <w:jc w:val="both"/>
        <w:rPr>
          <w:sz w:val="24"/>
        </w:rPr>
      </w:pPr>
      <w:r w:rsidRPr="00C53BEE">
        <w:rPr>
          <w:sz w:val="24"/>
        </w:rPr>
        <w:t>Consensus bipartisan : 35, 251, 253, 279, 283, 348.</w:t>
      </w:r>
    </w:p>
    <w:p w14:paraId="12A957BD" w14:textId="77777777" w:rsidR="0039793A" w:rsidRPr="00C53BEE" w:rsidRDefault="0039793A" w:rsidP="0039793A">
      <w:pPr>
        <w:ind w:left="540" w:hanging="540"/>
        <w:jc w:val="both"/>
        <w:rPr>
          <w:sz w:val="24"/>
        </w:rPr>
      </w:pPr>
      <w:r w:rsidRPr="00C53BEE">
        <w:rPr>
          <w:sz w:val="24"/>
        </w:rPr>
        <w:t>Consentement</w:t>
      </w:r>
    </w:p>
    <w:p w14:paraId="05979959" w14:textId="77777777" w:rsidR="0039793A" w:rsidRPr="00C53BEE" w:rsidRDefault="0039793A" w:rsidP="0039793A">
      <w:pPr>
        <w:pStyle w:val="i2"/>
      </w:pPr>
      <w:r w:rsidRPr="00C53BEE">
        <w:t>- à l’impôt : 17.</w:t>
      </w:r>
    </w:p>
    <w:p w14:paraId="23E29AD7" w14:textId="77777777" w:rsidR="0039793A" w:rsidRPr="00C53BEE" w:rsidRDefault="0039793A" w:rsidP="0039793A">
      <w:pPr>
        <w:pStyle w:val="i2"/>
      </w:pPr>
      <w:r w:rsidRPr="00C53BEE">
        <w:t>- des gouvernés : 18, 21, 23, 39, 82, 86, 167-168.</w:t>
      </w:r>
    </w:p>
    <w:p w14:paraId="475AE3BA" w14:textId="77777777" w:rsidR="0039793A" w:rsidRPr="00C53BEE" w:rsidRDefault="0039793A" w:rsidP="0039793A">
      <w:pPr>
        <w:ind w:left="540" w:hanging="540"/>
        <w:jc w:val="both"/>
        <w:rPr>
          <w:sz w:val="24"/>
        </w:rPr>
      </w:pPr>
      <w:r w:rsidRPr="00C53BEE">
        <w:rPr>
          <w:sz w:val="24"/>
        </w:rPr>
        <w:t>Constitution : 12-13, 15, 19, 21-28, 30, 32-34, 36, 39, 46-47, 50, 55, 57, 71, 74, 105-106, 128-129, 143, 145-152, 154, 156, 177, 249, 255-257, 261, 264, 278.</w:t>
      </w:r>
    </w:p>
    <w:p w14:paraId="04DF2433" w14:textId="77777777" w:rsidR="0039793A" w:rsidRPr="00C53BEE" w:rsidRDefault="0039793A" w:rsidP="0039793A">
      <w:pPr>
        <w:ind w:left="540" w:hanging="540"/>
        <w:jc w:val="both"/>
        <w:rPr>
          <w:sz w:val="24"/>
        </w:rPr>
      </w:pPr>
      <w:r w:rsidRPr="00C53BEE">
        <w:rPr>
          <w:sz w:val="24"/>
        </w:rPr>
        <w:t>Constitutionnalisation : 15.</w:t>
      </w:r>
    </w:p>
    <w:p w14:paraId="7F7C72E5" w14:textId="77777777" w:rsidR="0039793A" w:rsidRPr="00C53BEE" w:rsidRDefault="0039793A" w:rsidP="0039793A">
      <w:pPr>
        <w:ind w:left="540" w:hanging="540"/>
        <w:jc w:val="both"/>
        <w:rPr>
          <w:sz w:val="24"/>
        </w:rPr>
      </w:pPr>
      <w:r w:rsidRPr="00C53BEE">
        <w:rPr>
          <w:sz w:val="24"/>
        </w:rPr>
        <w:t>Constitutionnalité</w:t>
      </w:r>
    </w:p>
    <w:p w14:paraId="6450A823" w14:textId="77777777" w:rsidR="0039793A" w:rsidRPr="00C53BEE" w:rsidRDefault="0039793A" w:rsidP="0039793A">
      <w:pPr>
        <w:pStyle w:val="i2"/>
      </w:pPr>
      <w:r w:rsidRPr="00C53BEE">
        <w:t>- contrôle : 22, 26, 35.</w:t>
      </w:r>
    </w:p>
    <w:p w14:paraId="054F24C1" w14:textId="77777777" w:rsidR="0039793A" w:rsidRPr="00C53BEE" w:rsidRDefault="0039793A" w:rsidP="0039793A">
      <w:pPr>
        <w:pStyle w:val="i2"/>
      </w:pPr>
      <w:r w:rsidRPr="00C53BEE">
        <w:t>- de la Loi sur les pouvoirs de guerre : 258.</w:t>
      </w:r>
    </w:p>
    <w:p w14:paraId="4841B204" w14:textId="77777777" w:rsidR="0039793A" w:rsidRPr="00C53BEE" w:rsidRDefault="0039793A" w:rsidP="0039793A">
      <w:pPr>
        <w:ind w:left="540" w:hanging="540"/>
        <w:jc w:val="both"/>
        <w:rPr>
          <w:sz w:val="24"/>
        </w:rPr>
      </w:pPr>
      <w:r w:rsidRPr="00C53BEE">
        <w:rPr>
          <w:sz w:val="24"/>
        </w:rPr>
        <w:t>Contrôle des armements : 181-182, 206, 262, 277, 286.</w:t>
      </w:r>
    </w:p>
    <w:p w14:paraId="1B571C3F" w14:textId="77777777" w:rsidR="0039793A" w:rsidRPr="00C53BEE" w:rsidRDefault="0039793A" w:rsidP="0039793A">
      <w:pPr>
        <w:ind w:left="540" w:hanging="540"/>
        <w:jc w:val="both"/>
        <w:rPr>
          <w:sz w:val="24"/>
        </w:rPr>
      </w:pPr>
      <w:r w:rsidRPr="00C53BEE">
        <w:rPr>
          <w:sz w:val="24"/>
        </w:rPr>
        <w:t>Convention</w:t>
      </w:r>
    </w:p>
    <w:p w14:paraId="77E359BA" w14:textId="77777777" w:rsidR="0039793A" w:rsidRPr="00C53BEE" w:rsidRDefault="0039793A" w:rsidP="0039793A">
      <w:pPr>
        <w:ind w:left="540" w:hanging="540"/>
        <w:jc w:val="both"/>
        <w:rPr>
          <w:sz w:val="24"/>
        </w:rPr>
      </w:pPr>
      <w:r w:rsidRPr="00C53BEE">
        <w:rPr>
          <w:sz w:val="24"/>
        </w:rPr>
        <w:t>[374]</w:t>
      </w:r>
    </w:p>
    <w:p w14:paraId="67F6214A" w14:textId="77777777" w:rsidR="0039793A" w:rsidRPr="00C53BEE" w:rsidRDefault="0039793A" w:rsidP="0039793A">
      <w:pPr>
        <w:pStyle w:val="i2"/>
      </w:pPr>
      <w:r w:rsidRPr="00C53BEE">
        <w:t>- de Philadelphie : 15-16, 20, 27, 28.</w:t>
      </w:r>
    </w:p>
    <w:p w14:paraId="6868034D" w14:textId="77777777" w:rsidR="0039793A" w:rsidRPr="00C53BEE" w:rsidRDefault="0039793A" w:rsidP="0039793A">
      <w:pPr>
        <w:pStyle w:val="i2"/>
      </w:pPr>
      <w:r w:rsidRPr="00C53BEE">
        <w:t>- sur le Droit de la mer de Montego Bay : 263-</w:t>
      </w:r>
    </w:p>
    <w:p w14:paraId="79537EA1" w14:textId="77777777" w:rsidR="0039793A" w:rsidRPr="00C53BEE" w:rsidRDefault="0039793A" w:rsidP="0039793A">
      <w:pPr>
        <w:pStyle w:val="i2"/>
      </w:pPr>
      <w:r w:rsidRPr="00C53BEE">
        <w:t>- sur les armes chimiques : 262.</w:t>
      </w:r>
    </w:p>
    <w:p w14:paraId="132DE8A4" w14:textId="77777777" w:rsidR="0039793A" w:rsidRPr="00C53BEE" w:rsidRDefault="0039793A" w:rsidP="0039793A">
      <w:pPr>
        <w:ind w:left="540" w:hanging="540"/>
        <w:jc w:val="both"/>
        <w:rPr>
          <w:sz w:val="24"/>
        </w:rPr>
      </w:pPr>
      <w:r w:rsidRPr="00C53BEE">
        <w:rPr>
          <w:sz w:val="24"/>
        </w:rPr>
        <w:t>Coopération internationale : 68, 78, 82-83, 296.</w:t>
      </w:r>
    </w:p>
    <w:p w14:paraId="6342A2AF" w14:textId="77777777" w:rsidR="0039793A" w:rsidRPr="00C53BEE" w:rsidRDefault="0039793A" w:rsidP="0039793A">
      <w:pPr>
        <w:ind w:left="540" w:hanging="540"/>
        <w:jc w:val="both"/>
        <w:rPr>
          <w:sz w:val="24"/>
        </w:rPr>
      </w:pPr>
      <w:r w:rsidRPr="00C53BEE">
        <w:rPr>
          <w:sz w:val="24"/>
        </w:rPr>
        <w:t>Corée : 65, 113, 148, 169, 185, 200, 220, 233, 243, 296, 311.</w:t>
      </w:r>
    </w:p>
    <w:p w14:paraId="0E67FBE1" w14:textId="77777777" w:rsidR="0039793A" w:rsidRPr="00C53BEE" w:rsidRDefault="0039793A" w:rsidP="0039793A">
      <w:pPr>
        <w:ind w:left="540" w:hanging="540"/>
        <w:jc w:val="both"/>
        <w:rPr>
          <w:sz w:val="24"/>
        </w:rPr>
      </w:pPr>
      <w:r w:rsidRPr="00C53BEE">
        <w:rPr>
          <w:sz w:val="24"/>
        </w:rPr>
        <w:t>Council</w:t>
      </w:r>
    </w:p>
    <w:p w14:paraId="46369438" w14:textId="77777777" w:rsidR="0039793A" w:rsidRPr="00C53BEE" w:rsidRDefault="0039793A" w:rsidP="0039793A">
      <w:pPr>
        <w:pStyle w:val="i2"/>
      </w:pPr>
      <w:r w:rsidRPr="00C53BEE">
        <w:t>- for a Livable World :</w:t>
      </w:r>
      <w:r w:rsidRPr="00C53BEE">
        <w:rPr>
          <w:rStyle w:val="Corpsdutexte108ptNonItalique"/>
          <w:sz w:val="24"/>
        </w:rPr>
        <w:t xml:space="preserve"> </w:t>
      </w:r>
      <w:r w:rsidRPr="00C53BEE">
        <w:t>324.</w:t>
      </w:r>
    </w:p>
    <w:p w14:paraId="36E10C00" w14:textId="77777777" w:rsidR="0039793A" w:rsidRPr="00C53BEE" w:rsidRDefault="0039793A" w:rsidP="0039793A">
      <w:pPr>
        <w:pStyle w:val="i2"/>
      </w:pPr>
      <w:r w:rsidRPr="00C53BEE">
        <w:t>- of Life Insurers</w:t>
      </w:r>
      <w:r w:rsidRPr="00C53BEE">
        <w:rPr>
          <w:rStyle w:val="Corpsdutexte108ptNonItalique"/>
          <w:sz w:val="24"/>
        </w:rPr>
        <w:t> </w:t>
      </w:r>
      <w:r w:rsidRPr="00C53BEE">
        <w:t>: 323.</w:t>
      </w:r>
    </w:p>
    <w:p w14:paraId="729625CD" w14:textId="77777777" w:rsidR="0039793A" w:rsidRPr="00C53BEE" w:rsidRDefault="0039793A" w:rsidP="0039793A">
      <w:pPr>
        <w:pStyle w:val="i2"/>
      </w:pPr>
      <w:r w:rsidRPr="00C53BEE">
        <w:t xml:space="preserve">- </w:t>
      </w:r>
      <w:r w:rsidRPr="00C53BEE">
        <w:rPr>
          <w:i/>
        </w:rPr>
        <w:t>on Foreign Relations</w:t>
      </w:r>
      <w:r w:rsidRPr="00C53BEE">
        <w:t> :</w:t>
      </w:r>
      <w:r w:rsidRPr="00C53BEE">
        <w:rPr>
          <w:rStyle w:val="Corpsdutexte108ptNonItalique"/>
          <w:sz w:val="24"/>
        </w:rPr>
        <w:t xml:space="preserve"> </w:t>
      </w:r>
      <w:r w:rsidRPr="00C53BEE">
        <w:t>290, 296, 319- 320.</w:t>
      </w:r>
    </w:p>
    <w:p w14:paraId="05352675" w14:textId="77777777" w:rsidR="0039793A" w:rsidRPr="00C53BEE" w:rsidRDefault="0039793A" w:rsidP="0039793A">
      <w:pPr>
        <w:ind w:left="540" w:hanging="540"/>
        <w:jc w:val="both"/>
        <w:rPr>
          <w:sz w:val="24"/>
        </w:rPr>
      </w:pPr>
      <w:r w:rsidRPr="00C53BEE">
        <w:rPr>
          <w:sz w:val="24"/>
        </w:rPr>
        <w:t>Cour pénale internationale : 82, 254, 294,325.</w:t>
      </w:r>
    </w:p>
    <w:p w14:paraId="63110914" w14:textId="77777777" w:rsidR="0039793A" w:rsidRPr="00C53BEE" w:rsidRDefault="0039793A" w:rsidP="0039793A">
      <w:pPr>
        <w:ind w:left="540" w:hanging="540"/>
        <w:jc w:val="both"/>
        <w:rPr>
          <w:sz w:val="24"/>
        </w:rPr>
      </w:pPr>
      <w:r w:rsidRPr="00C53BEE">
        <w:rPr>
          <w:sz w:val="24"/>
        </w:rPr>
        <w:t>Cour suprême : 16, 22, 27, 34, 145, 147, 154, 258, 282.</w:t>
      </w:r>
    </w:p>
    <w:p w14:paraId="1F963569" w14:textId="77777777" w:rsidR="0039793A" w:rsidRPr="00C53BEE" w:rsidRDefault="0039793A" w:rsidP="0039793A">
      <w:pPr>
        <w:ind w:left="540" w:hanging="540"/>
        <w:jc w:val="both"/>
        <w:rPr>
          <w:sz w:val="24"/>
        </w:rPr>
      </w:pPr>
      <w:r w:rsidRPr="00C53BEE">
        <w:rPr>
          <w:sz w:val="24"/>
        </w:rPr>
        <w:t>Covenant</w:t>
      </w:r>
      <w:r w:rsidRPr="00C53BEE">
        <w:rPr>
          <w:rStyle w:val="Corpsdutexte108ptNonItalique"/>
          <w:sz w:val="24"/>
        </w:rPr>
        <w:t xml:space="preserve"> : </w:t>
      </w:r>
      <w:r w:rsidRPr="00C53BEE">
        <w:rPr>
          <w:sz w:val="24"/>
        </w:rPr>
        <w:t>45.</w:t>
      </w:r>
    </w:p>
    <w:p w14:paraId="608BBB42" w14:textId="77777777" w:rsidR="0039793A" w:rsidRPr="00C53BEE" w:rsidRDefault="0039793A" w:rsidP="0039793A">
      <w:pPr>
        <w:ind w:left="540" w:hanging="540"/>
        <w:jc w:val="both"/>
        <w:rPr>
          <w:sz w:val="24"/>
        </w:rPr>
      </w:pPr>
      <w:r w:rsidRPr="00C53BEE">
        <w:rPr>
          <w:sz w:val="24"/>
        </w:rPr>
        <w:t>C-SPAN : 304.</w:t>
      </w:r>
    </w:p>
    <w:p w14:paraId="6B9BC311" w14:textId="77777777" w:rsidR="0039793A" w:rsidRPr="00C53BEE" w:rsidRDefault="0039793A" w:rsidP="0039793A">
      <w:pPr>
        <w:ind w:left="540" w:hanging="540"/>
        <w:jc w:val="both"/>
        <w:rPr>
          <w:sz w:val="24"/>
        </w:rPr>
      </w:pPr>
      <w:r w:rsidRPr="00C53BEE">
        <w:rPr>
          <w:sz w:val="24"/>
        </w:rPr>
        <w:t>Cuba : 20, 129, 150-151, 185, 200, 207, 220, 235, 264, 282, 297, 309, 331, 347.</w:t>
      </w:r>
    </w:p>
    <w:p w14:paraId="51975930" w14:textId="77777777" w:rsidR="0039793A" w:rsidRPr="00C53BEE" w:rsidRDefault="0039793A" w:rsidP="0039793A">
      <w:pPr>
        <w:ind w:left="540" w:hanging="540"/>
        <w:jc w:val="both"/>
        <w:rPr>
          <w:sz w:val="24"/>
        </w:rPr>
      </w:pPr>
      <w:r w:rsidRPr="00C53BEE">
        <w:rPr>
          <w:i/>
          <w:iCs/>
          <w:sz w:val="24"/>
        </w:rPr>
        <w:t>Cuban Democracy Act</w:t>
      </w:r>
      <w:r w:rsidRPr="00C53BEE">
        <w:rPr>
          <w:rStyle w:val="Corpsdutexte108ptNonItalique"/>
          <w:sz w:val="24"/>
        </w:rPr>
        <w:t> </w:t>
      </w:r>
      <w:r w:rsidRPr="00C53BEE">
        <w:rPr>
          <w:iCs/>
          <w:sz w:val="24"/>
        </w:rPr>
        <w:t>: 331.</w:t>
      </w:r>
    </w:p>
    <w:p w14:paraId="36456393" w14:textId="77777777" w:rsidR="0039793A" w:rsidRPr="00C53BEE" w:rsidRDefault="0039793A" w:rsidP="0039793A">
      <w:pPr>
        <w:ind w:left="540" w:hanging="540"/>
        <w:jc w:val="both"/>
        <w:rPr>
          <w:sz w:val="24"/>
        </w:rPr>
      </w:pPr>
      <w:r w:rsidRPr="00C53BEE">
        <w:rPr>
          <w:i/>
          <w:iCs/>
          <w:sz w:val="24"/>
        </w:rPr>
        <w:t>Cuban Liberty and Democratic Solidarity [Libertad] Act</w:t>
      </w:r>
      <w:r w:rsidRPr="00C53BEE">
        <w:rPr>
          <w:rStyle w:val="Corpsdutexte108ptNonItalique"/>
          <w:sz w:val="24"/>
        </w:rPr>
        <w:t> </w:t>
      </w:r>
      <w:r w:rsidRPr="00C53BEE">
        <w:rPr>
          <w:sz w:val="24"/>
        </w:rPr>
        <w:t>: 264.</w:t>
      </w:r>
    </w:p>
    <w:p w14:paraId="1F09CFC7" w14:textId="77777777" w:rsidR="0039793A" w:rsidRPr="00C53BEE" w:rsidRDefault="0039793A" w:rsidP="0039793A">
      <w:pPr>
        <w:ind w:left="540" w:hanging="540"/>
        <w:jc w:val="both"/>
        <w:rPr>
          <w:sz w:val="24"/>
        </w:rPr>
      </w:pPr>
      <w:r w:rsidRPr="00C53BEE">
        <w:rPr>
          <w:i/>
          <w:iCs/>
          <w:sz w:val="24"/>
        </w:rPr>
        <w:t>Cuban-American National Foundation</w:t>
      </w:r>
      <w:r w:rsidRPr="00C53BEE">
        <w:rPr>
          <w:rStyle w:val="Corpsdutexte108ptNonItalique"/>
          <w:sz w:val="24"/>
        </w:rPr>
        <w:t>,</w:t>
      </w:r>
    </w:p>
    <w:p w14:paraId="5674C2CF" w14:textId="77777777" w:rsidR="0039793A" w:rsidRPr="00C53BEE" w:rsidRDefault="0039793A" w:rsidP="0039793A">
      <w:pPr>
        <w:ind w:left="540" w:hanging="540"/>
        <w:jc w:val="both"/>
        <w:rPr>
          <w:sz w:val="24"/>
        </w:rPr>
      </w:pPr>
      <w:r w:rsidRPr="00C53BEE">
        <w:rPr>
          <w:caps/>
          <w:sz w:val="24"/>
        </w:rPr>
        <w:t>canf :</w:t>
      </w:r>
      <w:r w:rsidRPr="00C53BEE">
        <w:rPr>
          <w:sz w:val="24"/>
        </w:rPr>
        <w:t xml:space="preserve"> 329, 339.</w:t>
      </w:r>
    </w:p>
    <w:p w14:paraId="58625DE8" w14:textId="77777777" w:rsidR="0039793A" w:rsidRPr="00C53BEE" w:rsidRDefault="0039793A" w:rsidP="0039793A">
      <w:pPr>
        <w:ind w:left="540" w:hanging="540"/>
        <w:jc w:val="both"/>
        <w:rPr>
          <w:sz w:val="24"/>
        </w:rPr>
      </w:pPr>
      <w:r w:rsidRPr="00C53BEE">
        <w:rPr>
          <w:sz w:val="24"/>
        </w:rPr>
        <w:t>Cyber-sécurité : 202.</w:t>
      </w:r>
    </w:p>
    <w:p w14:paraId="50B97DE6" w14:textId="77777777" w:rsidR="0039793A" w:rsidRPr="00C53BEE" w:rsidRDefault="0039793A" w:rsidP="0039793A">
      <w:pPr>
        <w:ind w:left="540" w:hanging="540"/>
        <w:jc w:val="both"/>
        <w:rPr>
          <w:sz w:val="24"/>
        </w:rPr>
      </w:pPr>
    </w:p>
    <w:p w14:paraId="771FBA9E" w14:textId="77777777" w:rsidR="0039793A" w:rsidRPr="00C53BEE" w:rsidRDefault="0039793A" w:rsidP="0039793A">
      <w:pPr>
        <w:ind w:left="540" w:hanging="540"/>
        <w:jc w:val="both"/>
        <w:rPr>
          <w:sz w:val="24"/>
        </w:rPr>
      </w:pPr>
      <w:r w:rsidRPr="00C53BEE">
        <w:rPr>
          <w:sz w:val="24"/>
        </w:rPr>
        <w:t>Dakota du Sud : 342.</w:t>
      </w:r>
    </w:p>
    <w:p w14:paraId="174725FA" w14:textId="77777777" w:rsidR="0039793A" w:rsidRPr="00C53BEE" w:rsidRDefault="0039793A" w:rsidP="0039793A">
      <w:pPr>
        <w:ind w:left="540" w:hanging="540"/>
        <w:jc w:val="both"/>
        <w:rPr>
          <w:sz w:val="24"/>
        </w:rPr>
      </w:pPr>
      <w:r w:rsidRPr="00C53BEE">
        <w:rPr>
          <w:caps/>
          <w:sz w:val="24"/>
        </w:rPr>
        <w:t>dci</w:t>
      </w:r>
      <w:r w:rsidRPr="00C53BEE">
        <w:rPr>
          <w:smallCaps/>
          <w:sz w:val="24"/>
        </w:rPr>
        <w:t> :</w:t>
      </w:r>
      <w:r w:rsidRPr="00C53BEE">
        <w:rPr>
          <w:sz w:val="24"/>
        </w:rPr>
        <w:t xml:space="preserve"> 151, 194-195, 197-198, 201, 216.</w:t>
      </w:r>
    </w:p>
    <w:p w14:paraId="1F88B4ED" w14:textId="77777777" w:rsidR="0039793A" w:rsidRPr="00C53BEE" w:rsidRDefault="0039793A" w:rsidP="0039793A">
      <w:pPr>
        <w:ind w:left="540" w:hanging="540"/>
        <w:jc w:val="both"/>
        <w:rPr>
          <w:sz w:val="24"/>
        </w:rPr>
      </w:pPr>
      <w:r w:rsidRPr="00C53BEE">
        <w:rPr>
          <w:caps/>
          <w:sz w:val="24"/>
        </w:rPr>
        <w:t>ddi</w:t>
      </w:r>
      <w:r w:rsidRPr="00C53BEE">
        <w:rPr>
          <w:smallCaps/>
          <w:sz w:val="24"/>
        </w:rPr>
        <w:t> :</w:t>
      </w:r>
      <w:r w:rsidRPr="00C53BEE">
        <w:rPr>
          <w:sz w:val="24"/>
        </w:rPr>
        <w:t xml:space="preserve"> 195.</w:t>
      </w:r>
    </w:p>
    <w:p w14:paraId="5A91980D" w14:textId="77777777" w:rsidR="0039793A" w:rsidRPr="00C53BEE" w:rsidRDefault="0039793A" w:rsidP="0039793A">
      <w:pPr>
        <w:ind w:left="540" w:hanging="540"/>
        <w:jc w:val="both"/>
        <w:rPr>
          <w:sz w:val="24"/>
        </w:rPr>
      </w:pPr>
      <w:r w:rsidRPr="00C53BEE">
        <w:rPr>
          <w:caps/>
          <w:sz w:val="24"/>
        </w:rPr>
        <w:t>ddO</w:t>
      </w:r>
      <w:r w:rsidRPr="00C53BEE">
        <w:rPr>
          <w:smallCaps/>
          <w:sz w:val="24"/>
        </w:rPr>
        <w:t> :</w:t>
      </w:r>
      <w:r w:rsidRPr="00C53BEE">
        <w:rPr>
          <w:sz w:val="24"/>
        </w:rPr>
        <w:t xml:space="preserve"> 195.</w:t>
      </w:r>
    </w:p>
    <w:p w14:paraId="1E830E28" w14:textId="77777777" w:rsidR="0039793A" w:rsidRPr="00C53BEE" w:rsidRDefault="0039793A" w:rsidP="0039793A">
      <w:pPr>
        <w:ind w:left="540" w:hanging="540"/>
        <w:jc w:val="both"/>
        <w:rPr>
          <w:sz w:val="24"/>
        </w:rPr>
      </w:pPr>
      <w:r w:rsidRPr="00C53BEE">
        <w:rPr>
          <w:sz w:val="24"/>
        </w:rPr>
        <w:t>DEA : 204.</w:t>
      </w:r>
    </w:p>
    <w:p w14:paraId="24C2C96F" w14:textId="77777777" w:rsidR="0039793A" w:rsidRPr="00C53BEE" w:rsidRDefault="0039793A" w:rsidP="0039793A">
      <w:pPr>
        <w:ind w:left="540" w:hanging="540"/>
        <w:jc w:val="both"/>
        <w:rPr>
          <w:sz w:val="24"/>
        </w:rPr>
      </w:pPr>
      <w:r w:rsidRPr="00C53BEE">
        <w:rPr>
          <w:sz w:val="24"/>
        </w:rPr>
        <w:t>Décentralisation : 20, 74, 169, 189- Déclaration d’indépendance : 17-18, 39, 46, 49-50, 57, 74, 89.</w:t>
      </w:r>
    </w:p>
    <w:p w14:paraId="5FB663F1" w14:textId="77777777" w:rsidR="0039793A" w:rsidRPr="00C53BEE" w:rsidRDefault="0039793A" w:rsidP="0039793A">
      <w:pPr>
        <w:ind w:left="540" w:hanging="540"/>
        <w:jc w:val="both"/>
        <w:rPr>
          <w:sz w:val="24"/>
        </w:rPr>
      </w:pPr>
      <w:r w:rsidRPr="00C53BEE">
        <w:rPr>
          <w:sz w:val="24"/>
        </w:rPr>
        <w:t>Déclaration des droits (1689) : 18.</w:t>
      </w:r>
    </w:p>
    <w:p w14:paraId="7324EC5D" w14:textId="77777777" w:rsidR="0039793A" w:rsidRPr="00C53BEE" w:rsidRDefault="0039793A" w:rsidP="0039793A">
      <w:pPr>
        <w:ind w:left="540" w:hanging="540"/>
        <w:jc w:val="both"/>
        <w:rPr>
          <w:sz w:val="24"/>
        </w:rPr>
      </w:pPr>
      <w:r w:rsidRPr="00C53BEE">
        <w:rPr>
          <w:sz w:val="24"/>
        </w:rPr>
        <w:t>Déclassification : 221-222.</w:t>
      </w:r>
    </w:p>
    <w:p w14:paraId="6A8CA77D" w14:textId="77777777" w:rsidR="0039793A" w:rsidRPr="00C53BEE" w:rsidRDefault="0039793A" w:rsidP="0039793A">
      <w:pPr>
        <w:ind w:left="540" w:hanging="540"/>
        <w:jc w:val="both"/>
        <w:rPr>
          <w:sz w:val="24"/>
        </w:rPr>
      </w:pPr>
      <w:r w:rsidRPr="00C53BEE">
        <w:rPr>
          <w:i/>
          <w:iCs/>
          <w:sz w:val="24"/>
        </w:rPr>
        <w:t xml:space="preserve">Defense Advanced Research Programs Agency, </w:t>
      </w:r>
      <w:r w:rsidRPr="00C53BEE">
        <w:rPr>
          <w:sz w:val="24"/>
        </w:rPr>
        <w:t>DARPA : 189.</w:t>
      </w:r>
    </w:p>
    <w:p w14:paraId="3102626B" w14:textId="77777777" w:rsidR="0039793A" w:rsidRPr="00C53BEE" w:rsidRDefault="0039793A" w:rsidP="0039793A">
      <w:pPr>
        <w:ind w:left="540" w:hanging="540"/>
        <w:jc w:val="both"/>
        <w:rPr>
          <w:sz w:val="24"/>
        </w:rPr>
      </w:pPr>
      <w:r w:rsidRPr="00C53BEE">
        <w:rPr>
          <w:sz w:val="24"/>
        </w:rPr>
        <w:t xml:space="preserve"> Défenses antimissiles : 64, 90, 325, 341.</w:t>
      </w:r>
    </w:p>
    <w:p w14:paraId="43866DF3" w14:textId="77777777" w:rsidR="0039793A" w:rsidRPr="00C53BEE" w:rsidRDefault="0039793A" w:rsidP="0039793A">
      <w:pPr>
        <w:ind w:left="540" w:hanging="540"/>
        <w:jc w:val="both"/>
        <w:rPr>
          <w:sz w:val="24"/>
        </w:rPr>
      </w:pPr>
      <w:r w:rsidRPr="00C53BEE">
        <w:rPr>
          <w:sz w:val="24"/>
        </w:rPr>
        <w:t>Démocrate : 32-33, 67-69, 74-75, 77, 80, 83, 86, 94-99, 139, 243, 251-253, 261, 265, 271, 278, 281-284, 296, 298-300, 310, 313, 315, 323, 329-330, 332, 334-337, 342-343, 346, 350.</w:t>
      </w:r>
    </w:p>
    <w:p w14:paraId="1734DD45" w14:textId="77777777" w:rsidR="0039793A" w:rsidRPr="00C53BEE" w:rsidRDefault="0039793A" w:rsidP="0039793A">
      <w:pPr>
        <w:ind w:left="540" w:hanging="540"/>
        <w:jc w:val="both"/>
        <w:rPr>
          <w:sz w:val="24"/>
        </w:rPr>
      </w:pPr>
      <w:r w:rsidRPr="00C53BEE">
        <w:rPr>
          <w:sz w:val="24"/>
        </w:rPr>
        <w:t>Démocratie : 42, 65, 72, 74-75, 83, 85- 86, 89, 104, 108, 111, 117, 119, 123, 125-127, 137, 181, 247-248, 255, 261, 270, 285, 316, 328, 343-344.</w:t>
      </w:r>
    </w:p>
    <w:p w14:paraId="6219594F" w14:textId="77777777" w:rsidR="0039793A" w:rsidRPr="00C53BEE" w:rsidRDefault="0039793A" w:rsidP="0039793A">
      <w:pPr>
        <w:ind w:left="540" w:hanging="540"/>
        <w:jc w:val="both"/>
        <w:rPr>
          <w:sz w:val="24"/>
        </w:rPr>
      </w:pPr>
      <w:r w:rsidRPr="00C53BEE">
        <w:rPr>
          <w:sz w:val="24"/>
        </w:rPr>
        <w:t>Démocratisation : 86, 132, 275.</w:t>
      </w:r>
    </w:p>
    <w:p w14:paraId="01842337" w14:textId="77777777" w:rsidR="0039793A" w:rsidRPr="00C53BEE" w:rsidRDefault="0039793A" w:rsidP="0039793A">
      <w:pPr>
        <w:ind w:left="540" w:hanging="540"/>
        <w:jc w:val="both"/>
        <w:rPr>
          <w:sz w:val="24"/>
        </w:rPr>
      </w:pPr>
      <w:r w:rsidRPr="00C53BEE">
        <w:rPr>
          <w:sz w:val="24"/>
        </w:rPr>
        <w:t>Départ</w:t>
      </w:r>
      <w:r w:rsidRPr="00C53BEE">
        <w:rPr>
          <w:sz w:val="24"/>
        </w:rPr>
        <w:t>e</w:t>
      </w:r>
      <w:r w:rsidRPr="00C53BEE">
        <w:rPr>
          <w:sz w:val="24"/>
        </w:rPr>
        <w:t>ment</w:t>
      </w:r>
    </w:p>
    <w:p w14:paraId="45479D97" w14:textId="77777777" w:rsidR="0039793A" w:rsidRPr="00C53BEE" w:rsidRDefault="0039793A" w:rsidP="0039793A">
      <w:pPr>
        <w:pStyle w:val="i2"/>
      </w:pPr>
      <w:r w:rsidRPr="00C53BEE">
        <w:t>- de l’Agriculture : 205.</w:t>
      </w:r>
    </w:p>
    <w:p w14:paraId="677594ED" w14:textId="77777777" w:rsidR="0039793A" w:rsidRPr="00C53BEE" w:rsidRDefault="0039793A" w:rsidP="0039793A">
      <w:pPr>
        <w:pStyle w:val="i2"/>
      </w:pPr>
      <w:r w:rsidRPr="00C53BEE">
        <w:t>- de l’Énergie : 197, 202, 205.</w:t>
      </w:r>
    </w:p>
    <w:p w14:paraId="24DF430F" w14:textId="77777777" w:rsidR="0039793A" w:rsidRPr="00C53BEE" w:rsidRDefault="0039793A" w:rsidP="0039793A">
      <w:pPr>
        <w:pStyle w:val="i2"/>
      </w:pPr>
      <w:r w:rsidRPr="00C53BEE">
        <w:t>- de la Défense : 47, 63, 141, 151, 178-179, 183-184, 185-192, 195, 201, 205, 207, 214-215, 224, 233, 236-238, 347.</w:t>
      </w:r>
    </w:p>
    <w:p w14:paraId="241C4CB3" w14:textId="77777777" w:rsidR="0039793A" w:rsidRPr="00C53BEE" w:rsidRDefault="0039793A" w:rsidP="0039793A">
      <w:pPr>
        <w:pStyle w:val="i2"/>
      </w:pPr>
      <w:r w:rsidRPr="00C53BEE">
        <w:t>- de la Guerre : 178, 186, 213-214.</w:t>
      </w:r>
    </w:p>
    <w:p w14:paraId="6CB735FB" w14:textId="77777777" w:rsidR="0039793A" w:rsidRPr="00C53BEE" w:rsidRDefault="0039793A" w:rsidP="0039793A">
      <w:pPr>
        <w:pStyle w:val="i2"/>
      </w:pPr>
      <w:r w:rsidRPr="00C53BEE">
        <w:t>- de la Justice : 197, 202, 204, 207.</w:t>
      </w:r>
    </w:p>
    <w:p w14:paraId="4B9EDEE9" w14:textId="77777777" w:rsidR="0039793A" w:rsidRPr="00C53BEE" w:rsidRDefault="0039793A" w:rsidP="0039793A">
      <w:pPr>
        <w:pStyle w:val="i2"/>
      </w:pPr>
      <w:r w:rsidRPr="00C53BEE">
        <w:t>- de la Marine : 186, 191, 213-214.</w:t>
      </w:r>
    </w:p>
    <w:p w14:paraId="28DA6CE2" w14:textId="77777777" w:rsidR="0039793A" w:rsidRPr="00C53BEE" w:rsidRDefault="0039793A" w:rsidP="0039793A">
      <w:pPr>
        <w:pStyle w:val="i2"/>
      </w:pPr>
      <w:r w:rsidRPr="00C53BEE">
        <w:t>- de la Santé : 202.</w:t>
      </w:r>
    </w:p>
    <w:p w14:paraId="5E8FE494" w14:textId="77777777" w:rsidR="0039793A" w:rsidRPr="00C53BEE" w:rsidRDefault="0039793A" w:rsidP="0039793A">
      <w:pPr>
        <w:pStyle w:val="i2"/>
      </w:pPr>
      <w:r w:rsidRPr="00C53BEE">
        <w:t>- de la Sécurité intérieure : 201-203, 348.</w:t>
      </w:r>
    </w:p>
    <w:p w14:paraId="5140F0BC" w14:textId="77777777" w:rsidR="0039793A" w:rsidRPr="00C53BEE" w:rsidRDefault="0039793A" w:rsidP="0039793A">
      <w:pPr>
        <w:pStyle w:val="i2"/>
      </w:pPr>
      <w:r w:rsidRPr="00C53BEE">
        <w:t>- des Vétérans : 201.</w:t>
      </w:r>
    </w:p>
    <w:p w14:paraId="43603683" w14:textId="77777777" w:rsidR="0039793A" w:rsidRPr="00C53BEE" w:rsidRDefault="0039793A" w:rsidP="0039793A">
      <w:pPr>
        <w:pStyle w:val="i2"/>
      </w:pPr>
      <w:r w:rsidRPr="00C53BEE">
        <w:t>- d’État : 47-49, 59, 91, 141, 151, 178-185, 186, 192, 196, 207, 211, 224, 226-227, 229, 232-239, 245, 255, 262, 268, 272, 276-277, 281, 292, 309-310, 321, 334-335, 347.</w:t>
      </w:r>
    </w:p>
    <w:p w14:paraId="5D180DBD" w14:textId="77777777" w:rsidR="0039793A" w:rsidRPr="00C53BEE" w:rsidRDefault="0039793A" w:rsidP="0039793A">
      <w:pPr>
        <w:pStyle w:val="i2"/>
      </w:pPr>
      <w:r w:rsidRPr="00C53BEE">
        <w:t>- du Commerce : 205, 207, 334-335.</w:t>
      </w:r>
    </w:p>
    <w:p w14:paraId="7ED3F6CE" w14:textId="77777777" w:rsidR="0039793A" w:rsidRPr="00C53BEE" w:rsidRDefault="0039793A" w:rsidP="0039793A">
      <w:pPr>
        <w:pStyle w:val="i2"/>
      </w:pPr>
      <w:r w:rsidRPr="00C53BEE">
        <w:t>- du Travail : 205.</w:t>
      </w:r>
    </w:p>
    <w:p w14:paraId="24B0334D" w14:textId="77777777" w:rsidR="0039793A" w:rsidRPr="00C53BEE" w:rsidRDefault="0039793A" w:rsidP="0039793A">
      <w:pPr>
        <w:pStyle w:val="i2"/>
      </w:pPr>
      <w:r w:rsidRPr="00C53BEE">
        <w:t>- du Trésor : 197, 202, 204.</w:t>
      </w:r>
    </w:p>
    <w:p w14:paraId="16ACCB32" w14:textId="77777777" w:rsidR="0039793A" w:rsidRPr="00C53BEE" w:rsidRDefault="0039793A" w:rsidP="0039793A">
      <w:pPr>
        <w:ind w:left="540" w:hanging="540"/>
        <w:jc w:val="both"/>
        <w:rPr>
          <w:sz w:val="24"/>
        </w:rPr>
      </w:pPr>
      <w:r w:rsidRPr="00C53BEE">
        <w:rPr>
          <w:i/>
          <w:iCs/>
          <w:sz w:val="24"/>
        </w:rPr>
        <w:t>Deputy Secretary of Defense</w:t>
      </w:r>
      <w:r w:rsidRPr="00C53BEE">
        <w:rPr>
          <w:sz w:val="24"/>
        </w:rPr>
        <w:t> : 188. Désarmement : 32, 157, 182, 189, 324.</w:t>
      </w:r>
    </w:p>
    <w:p w14:paraId="7DFBF5CE" w14:textId="77777777" w:rsidR="0039793A" w:rsidRPr="00C53BEE" w:rsidRDefault="0039793A" w:rsidP="0039793A">
      <w:pPr>
        <w:ind w:left="540" w:hanging="540"/>
        <w:jc w:val="both"/>
        <w:rPr>
          <w:sz w:val="24"/>
        </w:rPr>
      </w:pPr>
      <w:r w:rsidRPr="00C53BEE">
        <w:rPr>
          <w:sz w:val="24"/>
        </w:rPr>
        <w:t>Dest</w:t>
      </w:r>
      <w:r w:rsidRPr="00C53BEE">
        <w:rPr>
          <w:sz w:val="24"/>
        </w:rPr>
        <w:t>i</w:t>
      </w:r>
      <w:r w:rsidRPr="00C53BEE">
        <w:rPr>
          <w:sz w:val="24"/>
        </w:rPr>
        <w:t>née manifeste : 56, 70.</w:t>
      </w:r>
    </w:p>
    <w:p w14:paraId="4611EC54" w14:textId="77777777" w:rsidR="0039793A" w:rsidRPr="00C53BEE" w:rsidRDefault="0039793A" w:rsidP="0039793A">
      <w:pPr>
        <w:ind w:left="540" w:hanging="540"/>
        <w:jc w:val="both"/>
        <w:rPr>
          <w:sz w:val="24"/>
        </w:rPr>
      </w:pPr>
      <w:r w:rsidRPr="00C53BEE">
        <w:rPr>
          <w:sz w:val="24"/>
        </w:rPr>
        <w:t>Destitution : 159, 282, 315.</w:t>
      </w:r>
    </w:p>
    <w:p w14:paraId="38A41C2C" w14:textId="77777777" w:rsidR="0039793A" w:rsidRPr="00C53BEE" w:rsidRDefault="0039793A" w:rsidP="0039793A">
      <w:pPr>
        <w:ind w:left="540" w:hanging="540"/>
        <w:jc w:val="both"/>
        <w:rPr>
          <w:sz w:val="24"/>
        </w:rPr>
      </w:pPr>
      <w:r w:rsidRPr="00C53BEE">
        <w:rPr>
          <w:sz w:val="24"/>
        </w:rPr>
        <w:t>Détente : 96, 286.</w:t>
      </w:r>
    </w:p>
    <w:p w14:paraId="0AD98CAB" w14:textId="77777777" w:rsidR="0039793A" w:rsidRPr="00C53BEE" w:rsidRDefault="0039793A" w:rsidP="0039793A">
      <w:pPr>
        <w:ind w:left="540" w:hanging="540"/>
        <w:jc w:val="both"/>
        <w:rPr>
          <w:sz w:val="24"/>
        </w:rPr>
      </w:pPr>
      <w:r w:rsidRPr="00C53BEE">
        <w:rPr>
          <w:caps/>
          <w:sz w:val="24"/>
        </w:rPr>
        <w:t>dia </w:t>
      </w:r>
      <w:r w:rsidRPr="00C53BEE">
        <w:rPr>
          <w:sz w:val="24"/>
        </w:rPr>
        <w:t>: 189, 195-196, 207.</w:t>
      </w:r>
    </w:p>
    <w:p w14:paraId="56F636F0" w14:textId="77777777" w:rsidR="0039793A" w:rsidRPr="00C53BEE" w:rsidRDefault="0039793A" w:rsidP="0039793A">
      <w:pPr>
        <w:ind w:left="540" w:hanging="540"/>
        <w:jc w:val="both"/>
        <w:rPr>
          <w:sz w:val="24"/>
        </w:rPr>
      </w:pPr>
      <w:r w:rsidRPr="00C53BEE">
        <w:rPr>
          <w:sz w:val="24"/>
        </w:rPr>
        <w:t>Diaspora : 326-327, 343.</w:t>
      </w:r>
    </w:p>
    <w:p w14:paraId="3EA68595" w14:textId="77777777" w:rsidR="0039793A" w:rsidRPr="00C53BEE" w:rsidRDefault="0039793A" w:rsidP="0039793A">
      <w:pPr>
        <w:ind w:left="540" w:hanging="540"/>
        <w:jc w:val="both"/>
        <w:rPr>
          <w:sz w:val="24"/>
        </w:rPr>
      </w:pPr>
      <w:r w:rsidRPr="00C53BEE">
        <w:rPr>
          <w:sz w:val="24"/>
        </w:rPr>
        <w:t>Diplomates : 42, 47-48, 67, 88, 91, 179, 181, 304.</w:t>
      </w:r>
    </w:p>
    <w:p w14:paraId="155F6A4A" w14:textId="77777777" w:rsidR="0039793A" w:rsidRPr="00C53BEE" w:rsidRDefault="0039793A" w:rsidP="0039793A">
      <w:pPr>
        <w:ind w:left="540" w:hanging="540"/>
        <w:jc w:val="both"/>
        <w:rPr>
          <w:sz w:val="24"/>
        </w:rPr>
      </w:pPr>
      <w:r w:rsidRPr="00C53BEE">
        <w:rPr>
          <w:sz w:val="24"/>
        </w:rPr>
        <w:t>Diplomatie</w:t>
      </w:r>
    </w:p>
    <w:p w14:paraId="087D6577" w14:textId="77777777" w:rsidR="0039793A" w:rsidRPr="00C53BEE" w:rsidRDefault="0039793A" w:rsidP="0039793A">
      <w:pPr>
        <w:pStyle w:val="i2"/>
      </w:pPr>
      <w:r w:rsidRPr="00C53BEE">
        <w:t>- active : 47.</w:t>
      </w:r>
    </w:p>
    <w:p w14:paraId="4DAA2BC5" w14:textId="77777777" w:rsidR="0039793A" w:rsidRPr="00C53BEE" w:rsidRDefault="0039793A" w:rsidP="0039793A">
      <w:pPr>
        <w:pStyle w:val="i2"/>
      </w:pPr>
      <w:r w:rsidRPr="00C53BEE">
        <w:t>- concurrente : 183.</w:t>
      </w:r>
    </w:p>
    <w:p w14:paraId="145DFE7C" w14:textId="77777777" w:rsidR="0039793A" w:rsidRPr="00C53BEE" w:rsidRDefault="0039793A" w:rsidP="0039793A">
      <w:pPr>
        <w:pStyle w:val="i2"/>
      </w:pPr>
      <w:r w:rsidRPr="00C53BEE">
        <w:t>- parallèle : 183.</w:t>
      </w:r>
    </w:p>
    <w:p w14:paraId="74F88D52" w14:textId="77777777" w:rsidR="0039793A" w:rsidRPr="00C53BEE" w:rsidRDefault="0039793A" w:rsidP="0039793A">
      <w:pPr>
        <w:pStyle w:val="i2"/>
      </w:pPr>
      <w:r w:rsidRPr="00C53BEE">
        <w:t>- publique : 183.</w:t>
      </w:r>
    </w:p>
    <w:p w14:paraId="7E527E6B" w14:textId="77777777" w:rsidR="0039793A" w:rsidRPr="00C53BEE" w:rsidRDefault="0039793A" w:rsidP="0039793A">
      <w:pPr>
        <w:ind w:left="540" w:hanging="540"/>
        <w:jc w:val="both"/>
        <w:rPr>
          <w:sz w:val="24"/>
        </w:rPr>
      </w:pPr>
      <w:r w:rsidRPr="00C53BEE">
        <w:rPr>
          <w:sz w:val="24"/>
        </w:rPr>
        <w:t>Directeur</w:t>
      </w:r>
    </w:p>
    <w:p w14:paraId="3DC8C3FC" w14:textId="77777777" w:rsidR="0039793A" w:rsidRPr="00C53BEE" w:rsidRDefault="0039793A" w:rsidP="0039793A">
      <w:pPr>
        <w:pStyle w:val="i2"/>
      </w:pPr>
      <w:r w:rsidRPr="00C53BEE">
        <w:t>- de la CIA : 194-195.</w:t>
      </w:r>
    </w:p>
    <w:p w14:paraId="5A1370CA" w14:textId="77777777" w:rsidR="0039793A" w:rsidRPr="00C53BEE" w:rsidRDefault="0039793A" w:rsidP="0039793A">
      <w:pPr>
        <w:pStyle w:val="i2"/>
      </w:pPr>
      <w:r w:rsidRPr="00C53BEE">
        <w:t>- de la communauté du Renseignement : 151, 194-195, 197-198, 201, 216.</w:t>
      </w:r>
    </w:p>
    <w:p w14:paraId="36DAD1D8" w14:textId="77777777" w:rsidR="0039793A" w:rsidRPr="00C53BEE" w:rsidRDefault="0039793A" w:rsidP="0039793A">
      <w:pPr>
        <w:pStyle w:val="i2"/>
      </w:pPr>
      <w:r w:rsidRPr="00C53BEE">
        <w:t>- de la division analytique : 195.</w:t>
      </w:r>
    </w:p>
    <w:p w14:paraId="03B12ADB" w14:textId="77777777" w:rsidR="0039793A" w:rsidRPr="00C53BEE" w:rsidRDefault="0039793A" w:rsidP="0039793A">
      <w:pPr>
        <w:pStyle w:val="i2"/>
      </w:pPr>
      <w:r w:rsidRPr="00C53BEE">
        <w:t>- de la division opérationnelle : 195.</w:t>
      </w:r>
    </w:p>
    <w:p w14:paraId="3EC5CFCD" w14:textId="77777777" w:rsidR="0039793A" w:rsidRPr="00C53BEE" w:rsidRDefault="0039793A" w:rsidP="0039793A">
      <w:pPr>
        <w:pStyle w:val="i2"/>
      </w:pPr>
      <w:r w:rsidRPr="00C53BEE">
        <w:t xml:space="preserve">- des services de renseignement : 216. </w:t>
      </w:r>
    </w:p>
    <w:p w14:paraId="45C1C6CF" w14:textId="77777777" w:rsidR="0039793A" w:rsidRPr="00C53BEE" w:rsidRDefault="0039793A" w:rsidP="0039793A">
      <w:pPr>
        <w:ind w:left="540" w:hanging="540"/>
        <w:jc w:val="both"/>
        <w:rPr>
          <w:sz w:val="24"/>
        </w:rPr>
      </w:pPr>
      <w:r w:rsidRPr="00C53BEE">
        <w:rPr>
          <w:sz w:val="24"/>
        </w:rPr>
        <w:t>Directives présidentielles : 219, 221, 244,348.</w:t>
      </w:r>
    </w:p>
    <w:p w14:paraId="35F4DD26" w14:textId="77777777" w:rsidR="0039793A" w:rsidRPr="00C53BEE" w:rsidRDefault="0039793A" w:rsidP="0039793A">
      <w:pPr>
        <w:ind w:left="540" w:hanging="540"/>
        <w:jc w:val="both"/>
        <w:rPr>
          <w:sz w:val="24"/>
        </w:rPr>
      </w:pPr>
      <w:r w:rsidRPr="00C53BEE">
        <w:rPr>
          <w:sz w:val="24"/>
        </w:rPr>
        <w:t>Dissuasion : 35, 63, 92, 116, 347.</w:t>
      </w:r>
    </w:p>
    <w:p w14:paraId="0DD4CE81" w14:textId="77777777" w:rsidR="0039793A" w:rsidRPr="00C53BEE" w:rsidRDefault="0039793A" w:rsidP="0039793A">
      <w:pPr>
        <w:ind w:left="540" w:hanging="540"/>
        <w:jc w:val="both"/>
        <w:rPr>
          <w:sz w:val="24"/>
        </w:rPr>
      </w:pPr>
      <w:r w:rsidRPr="00C53BEE">
        <w:rPr>
          <w:sz w:val="24"/>
        </w:rPr>
        <w:t>District de Columbia : 257-258.</w:t>
      </w:r>
    </w:p>
    <w:p w14:paraId="3802DA38" w14:textId="77777777" w:rsidR="0039793A" w:rsidRPr="00C53BEE" w:rsidRDefault="0039793A" w:rsidP="0039793A">
      <w:pPr>
        <w:ind w:left="540" w:hanging="540"/>
        <w:jc w:val="both"/>
        <w:rPr>
          <w:i/>
          <w:iCs/>
          <w:sz w:val="24"/>
        </w:rPr>
      </w:pPr>
      <w:r w:rsidRPr="00C53BEE">
        <w:rPr>
          <w:i/>
          <w:iCs/>
          <w:sz w:val="24"/>
        </w:rPr>
        <w:t xml:space="preserve">DNI, </w:t>
      </w:r>
      <w:r w:rsidRPr="00C53BEE">
        <w:rPr>
          <w:sz w:val="24"/>
        </w:rPr>
        <w:t>Director of National Intelligence</w:t>
      </w:r>
      <w:r w:rsidRPr="00C53BEE">
        <w:rPr>
          <w:i/>
          <w:iCs/>
          <w:sz w:val="24"/>
        </w:rPr>
        <w:t xml:space="preserve"> : </w:t>
      </w:r>
      <w:r w:rsidRPr="00C53BEE">
        <w:rPr>
          <w:iCs/>
          <w:sz w:val="24"/>
        </w:rPr>
        <w:t>195.</w:t>
      </w:r>
      <w:r w:rsidRPr="00C53BEE">
        <w:rPr>
          <w:i/>
          <w:iCs/>
          <w:sz w:val="24"/>
        </w:rPr>
        <w:t xml:space="preserve"> </w:t>
      </w:r>
    </w:p>
    <w:p w14:paraId="607A6863" w14:textId="77777777" w:rsidR="0039793A" w:rsidRPr="00C53BEE" w:rsidRDefault="0039793A" w:rsidP="0039793A">
      <w:pPr>
        <w:ind w:left="540" w:hanging="540"/>
        <w:jc w:val="both"/>
        <w:rPr>
          <w:sz w:val="24"/>
        </w:rPr>
      </w:pPr>
      <w:r w:rsidRPr="00C53BEE">
        <w:rPr>
          <w:i/>
          <w:iCs/>
          <w:sz w:val="24"/>
        </w:rPr>
        <w:t>Doctrine</w:t>
      </w:r>
    </w:p>
    <w:p w14:paraId="53039A32" w14:textId="77777777" w:rsidR="0039793A" w:rsidRPr="00C53BEE" w:rsidRDefault="0039793A" w:rsidP="0039793A">
      <w:pPr>
        <w:pStyle w:val="i2"/>
      </w:pPr>
      <w:r w:rsidRPr="00C53BEE">
        <w:t>- de la question politique : 26, 154.</w:t>
      </w:r>
    </w:p>
    <w:p w14:paraId="4C3F5026" w14:textId="77777777" w:rsidR="0039793A" w:rsidRPr="00C53BEE" w:rsidRDefault="0039793A" w:rsidP="0039793A">
      <w:pPr>
        <w:pStyle w:val="i2"/>
      </w:pPr>
      <w:r w:rsidRPr="00C53BEE">
        <w:t>- de la transformation sociale : 16.</w:t>
      </w:r>
    </w:p>
    <w:p w14:paraId="33F28F6E" w14:textId="77777777" w:rsidR="0039793A" w:rsidRPr="00C53BEE" w:rsidRDefault="0039793A" w:rsidP="0039793A">
      <w:pPr>
        <w:pStyle w:val="i2"/>
      </w:pPr>
      <w:r w:rsidRPr="00C53BEE">
        <w:t>- de l’endiguement : 35, 168.</w:t>
      </w:r>
    </w:p>
    <w:p w14:paraId="7B754FB1" w14:textId="77777777" w:rsidR="0039793A" w:rsidRPr="00C53BEE" w:rsidRDefault="0039793A" w:rsidP="0039793A">
      <w:pPr>
        <w:pStyle w:val="i2"/>
      </w:pPr>
      <w:r w:rsidRPr="00C53BEE">
        <w:t>- de Monroe : 52, 76, 162.</w:t>
      </w:r>
    </w:p>
    <w:p w14:paraId="5E7F263F" w14:textId="77777777" w:rsidR="0039793A" w:rsidRPr="00C53BEE" w:rsidRDefault="0039793A" w:rsidP="0039793A">
      <w:pPr>
        <w:pStyle w:val="i2"/>
      </w:pPr>
      <w:r w:rsidRPr="00C53BEE">
        <w:t>- de Nixon : 267, 286, 302.</w:t>
      </w:r>
    </w:p>
    <w:p w14:paraId="4EEB1CEC" w14:textId="77777777" w:rsidR="0039793A" w:rsidRPr="00C53BEE" w:rsidRDefault="0039793A" w:rsidP="0039793A">
      <w:pPr>
        <w:pStyle w:val="i2"/>
      </w:pPr>
      <w:r w:rsidRPr="00C53BEE">
        <w:t>- de Roosevelt : 162.</w:t>
      </w:r>
    </w:p>
    <w:p w14:paraId="2CC16200" w14:textId="77777777" w:rsidR="0039793A" w:rsidRPr="00C53BEE" w:rsidRDefault="0039793A" w:rsidP="0039793A">
      <w:pPr>
        <w:ind w:left="540" w:hanging="540"/>
        <w:jc w:val="both"/>
        <w:rPr>
          <w:sz w:val="24"/>
        </w:rPr>
      </w:pPr>
      <w:r w:rsidRPr="00C53BEE">
        <w:rPr>
          <w:sz w:val="24"/>
        </w:rPr>
        <w:t>[375]</w:t>
      </w:r>
    </w:p>
    <w:p w14:paraId="11D972CB" w14:textId="77777777" w:rsidR="0039793A" w:rsidRPr="00C53BEE" w:rsidRDefault="0039793A" w:rsidP="0039793A">
      <w:pPr>
        <w:pStyle w:val="i2"/>
      </w:pPr>
      <w:r w:rsidRPr="00C53BEE">
        <w:t>- de Washington : 162.</w:t>
      </w:r>
    </w:p>
    <w:p w14:paraId="5E159296" w14:textId="77777777" w:rsidR="0039793A" w:rsidRPr="00C53BEE" w:rsidRDefault="0039793A" w:rsidP="0039793A">
      <w:pPr>
        <w:pStyle w:val="i2"/>
      </w:pPr>
      <w:r w:rsidRPr="00C53BEE">
        <w:t>- des intentions premières : 16.</w:t>
      </w:r>
    </w:p>
    <w:p w14:paraId="7CA57136" w14:textId="77777777" w:rsidR="0039793A" w:rsidRPr="00C53BEE" w:rsidRDefault="0039793A" w:rsidP="0039793A">
      <w:pPr>
        <w:pStyle w:val="i2"/>
      </w:pPr>
      <w:r w:rsidRPr="00C53BEE">
        <w:t>- des trois principes : 192.</w:t>
      </w:r>
    </w:p>
    <w:p w14:paraId="71F513F5" w14:textId="77777777" w:rsidR="0039793A" w:rsidRPr="00C53BEE" w:rsidRDefault="0039793A" w:rsidP="0039793A">
      <w:pPr>
        <w:pStyle w:val="i2"/>
      </w:pPr>
      <w:r w:rsidRPr="00C53BEE">
        <w:t>- du zéro mort : 314.</w:t>
      </w:r>
    </w:p>
    <w:p w14:paraId="620B9B35" w14:textId="77777777" w:rsidR="0039793A" w:rsidRPr="00C53BEE" w:rsidRDefault="0039793A" w:rsidP="0039793A">
      <w:pPr>
        <w:pStyle w:val="i2"/>
      </w:pPr>
      <w:r w:rsidRPr="00C53BEE">
        <w:t>- Truman : 87, 162, 168.</w:t>
      </w:r>
    </w:p>
    <w:p w14:paraId="724E2E2C" w14:textId="77777777" w:rsidR="0039793A" w:rsidRPr="00C53BEE" w:rsidRDefault="0039793A" w:rsidP="0039793A">
      <w:pPr>
        <w:ind w:left="540" w:hanging="540"/>
        <w:jc w:val="both"/>
        <w:rPr>
          <w:sz w:val="24"/>
        </w:rPr>
      </w:pPr>
      <w:r w:rsidRPr="00C53BEE">
        <w:rPr>
          <w:sz w:val="24"/>
        </w:rPr>
        <w:t>Droit</w:t>
      </w:r>
    </w:p>
    <w:p w14:paraId="3C4E39BB" w14:textId="77777777" w:rsidR="0039793A" w:rsidRPr="00C53BEE" w:rsidRDefault="0039793A" w:rsidP="0039793A">
      <w:pPr>
        <w:pStyle w:val="i2"/>
      </w:pPr>
      <w:r w:rsidRPr="00C53BEE">
        <w:t>- à l’insurrection : 18.</w:t>
      </w:r>
    </w:p>
    <w:p w14:paraId="20099C91" w14:textId="77777777" w:rsidR="0039793A" w:rsidRPr="00C53BEE" w:rsidRDefault="0039793A" w:rsidP="0039793A">
      <w:pPr>
        <w:pStyle w:val="i2"/>
      </w:pPr>
      <w:r w:rsidRPr="00C53BEE">
        <w:t>- de grâce : 151.</w:t>
      </w:r>
    </w:p>
    <w:p w14:paraId="2BC83427" w14:textId="77777777" w:rsidR="0039793A" w:rsidRPr="00C53BEE" w:rsidRDefault="0039793A" w:rsidP="0039793A">
      <w:pPr>
        <w:pStyle w:val="i2"/>
      </w:pPr>
      <w:r w:rsidRPr="00C53BEE">
        <w:t>- de vote : 15.</w:t>
      </w:r>
    </w:p>
    <w:p w14:paraId="3A858EF7" w14:textId="77777777" w:rsidR="0039793A" w:rsidRPr="00C53BEE" w:rsidRDefault="0039793A" w:rsidP="0039793A">
      <w:pPr>
        <w:pStyle w:val="i2"/>
      </w:pPr>
      <w:r w:rsidRPr="00C53BEE">
        <w:t>- international : 104, 107, 109, 118, 123-124, 129, 137, 150, 325.</w:t>
      </w:r>
    </w:p>
    <w:p w14:paraId="30CA688E" w14:textId="77777777" w:rsidR="0039793A" w:rsidRPr="00C53BEE" w:rsidRDefault="0039793A" w:rsidP="0039793A">
      <w:pPr>
        <w:pStyle w:val="i2"/>
      </w:pPr>
      <w:r w:rsidRPr="00C53BEE">
        <w:t>- naturel : 17.</w:t>
      </w:r>
    </w:p>
    <w:p w14:paraId="6019ECB8" w14:textId="77777777" w:rsidR="0039793A" w:rsidRPr="00C53BEE" w:rsidRDefault="0039793A" w:rsidP="0039793A">
      <w:pPr>
        <w:ind w:left="540" w:hanging="540"/>
        <w:jc w:val="both"/>
        <w:rPr>
          <w:sz w:val="24"/>
        </w:rPr>
      </w:pPr>
      <w:r w:rsidRPr="00C53BEE">
        <w:rPr>
          <w:sz w:val="24"/>
        </w:rPr>
        <w:t xml:space="preserve">Droite chrétienne : 323, 337, 339-340. </w:t>
      </w:r>
    </w:p>
    <w:p w14:paraId="5D9B4694" w14:textId="77777777" w:rsidR="0039793A" w:rsidRPr="00C53BEE" w:rsidRDefault="0039793A" w:rsidP="0039793A">
      <w:pPr>
        <w:ind w:left="540" w:hanging="540"/>
        <w:jc w:val="both"/>
        <w:rPr>
          <w:sz w:val="24"/>
        </w:rPr>
      </w:pPr>
      <w:r w:rsidRPr="00C53BEE">
        <w:rPr>
          <w:sz w:val="24"/>
        </w:rPr>
        <w:t>Droits</w:t>
      </w:r>
    </w:p>
    <w:p w14:paraId="28EF7FA6" w14:textId="77777777" w:rsidR="0039793A" w:rsidRPr="00C53BEE" w:rsidRDefault="0039793A" w:rsidP="0039793A">
      <w:pPr>
        <w:pStyle w:val="i2"/>
      </w:pPr>
      <w:r w:rsidRPr="00C53BEE">
        <w:t>- de douane : 247, 297.</w:t>
      </w:r>
    </w:p>
    <w:p w14:paraId="0700BBA8" w14:textId="77777777" w:rsidR="0039793A" w:rsidRPr="00C53BEE" w:rsidRDefault="0039793A" w:rsidP="0039793A">
      <w:pPr>
        <w:pStyle w:val="i2"/>
      </w:pPr>
      <w:r w:rsidRPr="00C53BEE">
        <w:t>- de la défense : 15.</w:t>
      </w:r>
    </w:p>
    <w:p w14:paraId="422BBFEC" w14:textId="77777777" w:rsidR="0039793A" w:rsidRPr="00C53BEE" w:rsidRDefault="0039793A" w:rsidP="0039793A">
      <w:pPr>
        <w:pStyle w:val="i2"/>
      </w:pPr>
      <w:r w:rsidRPr="00C53BEE">
        <w:t>- de la personne : 15, 18, 38, 46, 66- 67, 72, 74-75, 79, 87, 104, 125, 137-138, 152, 181, 268, 273, 324, 343-344.</w:t>
      </w:r>
    </w:p>
    <w:p w14:paraId="236E9ACD" w14:textId="77777777" w:rsidR="0039793A" w:rsidRPr="00C53BEE" w:rsidRDefault="0039793A" w:rsidP="0039793A">
      <w:pPr>
        <w:pStyle w:val="i2"/>
      </w:pPr>
      <w:r w:rsidRPr="00C53BEE">
        <w:t>- fondamentaux : 18, 69, 123, 327.</w:t>
      </w:r>
    </w:p>
    <w:p w14:paraId="65356AAF" w14:textId="77777777" w:rsidR="0039793A" w:rsidRPr="00C53BEE" w:rsidRDefault="0039793A" w:rsidP="0039793A">
      <w:pPr>
        <w:pStyle w:val="i2"/>
      </w:pPr>
      <w:r w:rsidRPr="00C53BEE">
        <w:t>- sur la correspondance : 17.</w:t>
      </w:r>
    </w:p>
    <w:p w14:paraId="4D4AAEF7" w14:textId="77777777" w:rsidR="0039793A" w:rsidRPr="00C53BEE" w:rsidRDefault="0039793A" w:rsidP="0039793A">
      <w:pPr>
        <w:pStyle w:val="i2"/>
      </w:pPr>
      <w:r w:rsidRPr="00C53BEE">
        <w:t>- sur les sucres : 17.</w:t>
      </w:r>
    </w:p>
    <w:p w14:paraId="45270914" w14:textId="77777777" w:rsidR="0039793A" w:rsidRPr="00C53BEE" w:rsidRDefault="0039793A" w:rsidP="0039793A">
      <w:pPr>
        <w:ind w:left="540" w:hanging="540"/>
        <w:jc w:val="both"/>
        <w:rPr>
          <w:sz w:val="24"/>
        </w:rPr>
      </w:pPr>
    </w:p>
    <w:p w14:paraId="05942BD2" w14:textId="77777777" w:rsidR="0039793A" w:rsidRPr="00C53BEE" w:rsidRDefault="0039793A" w:rsidP="0039793A">
      <w:pPr>
        <w:ind w:left="540" w:hanging="540"/>
        <w:jc w:val="both"/>
        <w:rPr>
          <w:sz w:val="24"/>
        </w:rPr>
      </w:pPr>
      <w:r w:rsidRPr="00C53BEE">
        <w:rPr>
          <w:sz w:val="24"/>
        </w:rPr>
        <w:t>Économie politique internationale : 80.</w:t>
      </w:r>
    </w:p>
    <w:p w14:paraId="2061CBD1" w14:textId="77777777" w:rsidR="0039793A" w:rsidRPr="00C53BEE" w:rsidRDefault="0039793A" w:rsidP="0039793A">
      <w:pPr>
        <w:ind w:left="540" w:hanging="540"/>
        <w:jc w:val="both"/>
        <w:rPr>
          <w:sz w:val="24"/>
        </w:rPr>
      </w:pPr>
      <w:r w:rsidRPr="00C53BEE">
        <w:rPr>
          <w:sz w:val="24"/>
        </w:rPr>
        <w:t>Éducation : 164, 291.</w:t>
      </w:r>
    </w:p>
    <w:p w14:paraId="62D4D110" w14:textId="77777777" w:rsidR="0039793A" w:rsidRPr="00C53BEE" w:rsidRDefault="0039793A" w:rsidP="0039793A">
      <w:pPr>
        <w:ind w:left="540" w:hanging="540"/>
        <w:jc w:val="both"/>
        <w:rPr>
          <w:sz w:val="24"/>
        </w:rPr>
      </w:pPr>
      <w:r w:rsidRPr="00C53BEE">
        <w:rPr>
          <w:sz w:val="24"/>
        </w:rPr>
        <w:t>Égalité : 15, 18.</w:t>
      </w:r>
    </w:p>
    <w:p w14:paraId="19653F3D" w14:textId="77777777" w:rsidR="0039793A" w:rsidRPr="00C53BEE" w:rsidRDefault="0039793A" w:rsidP="0039793A">
      <w:pPr>
        <w:ind w:left="540" w:hanging="540"/>
        <w:jc w:val="both"/>
        <w:rPr>
          <w:sz w:val="24"/>
        </w:rPr>
      </w:pPr>
      <w:r w:rsidRPr="00C53BEE">
        <w:rPr>
          <w:sz w:val="24"/>
        </w:rPr>
        <w:t>Élection : 15, 44, 47, 64, 81, 84, 105, 171, 235, 258, 262, 270-274, 333.</w:t>
      </w:r>
    </w:p>
    <w:p w14:paraId="5C37B444" w14:textId="77777777" w:rsidR="0039793A" w:rsidRPr="00C53BEE" w:rsidRDefault="0039793A" w:rsidP="0039793A">
      <w:pPr>
        <w:ind w:left="540" w:hanging="540"/>
        <w:jc w:val="both"/>
        <w:rPr>
          <w:sz w:val="24"/>
        </w:rPr>
      </w:pPr>
      <w:r w:rsidRPr="00C53BEE">
        <w:rPr>
          <w:sz w:val="24"/>
        </w:rPr>
        <w:t>Éligibilité : 15.</w:t>
      </w:r>
    </w:p>
    <w:p w14:paraId="600B7BE1" w14:textId="77777777" w:rsidR="0039793A" w:rsidRPr="00C53BEE" w:rsidRDefault="0039793A" w:rsidP="0039793A">
      <w:pPr>
        <w:ind w:left="540" w:hanging="540"/>
        <w:jc w:val="both"/>
        <w:rPr>
          <w:sz w:val="24"/>
        </w:rPr>
      </w:pPr>
      <w:r w:rsidRPr="00C53BEE">
        <w:rPr>
          <w:sz w:val="24"/>
        </w:rPr>
        <w:t>Élites : 42, 44, 67, 93, 105, 136-137, 287-290, 295-296, 304.</w:t>
      </w:r>
    </w:p>
    <w:p w14:paraId="339C4526" w14:textId="77777777" w:rsidR="0039793A" w:rsidRPr="00C53BEE" w:rsidRDefault="0039793A" w:rsidP="0039793A">
      <w:pPr>
        <w:ind w:left="540" w:hanging="540"/>
        <w:jc w:val="both"/>
        <w:rPr>
          <w:sz w:val="24"/>
        </w:rPr>
      </w:pPr>
      <w:r w:rsidRPr="00C53BEE">
        <w:rPr>
          <w:sz w:val="24"/>
        </w:rPr>
        <w:t>Embargo : 151, 264, 282, 297, 327, 331.</w:t>
      </w:r>
    </w:p>
    <w:p w14:paraId="0D15978D" w14:textId="77777777" w:rsidR="0039793A" w:rsidRPr="00C53BEE" w:rsidRDefault="0039793A" w:rsidP="0039793A">
      <w:pPr>
        <w:ind w:left="540" w:hanging="540"/>
        <w:jc w:val="both"/>
        <w:rPr>
          <w:sz w:val="24"/>
        </w:rPr>
      </w:pPr>
      <w:r w:rsidRPr="00C53BEE">
        <w:rPr>
          <w:sz w:val="24"/>
        </w:rPr>
        <w:t>Emprunt : 19.</w:t>
      </w:r>
    </w:p>
    <w:p w14:paraId="1063C069" w14:textId="77777777" w:rsidR="0039793A" w:rsidRPr="00C53BEE" w:rsidRDefault="0039793A" w:rsidP="0039793A">
      <w:pPr>
        <w:ind w:left="540" w:hanging="540"/>
        <w:jc w:val="both"/>
        <w:rPr>
          <w:sz w:val="24"/>
        </w:rPr>
      </w:pPr>
      <w:r w:rsidRPr="00C53BEE">
        <w:rPr>
          <w:sz w:val="24"/>
        </w:rPr>
        <w:t>Endettement : 204.</w:t>
      </w:r>
    </w:p>
    <w:p w14:paraId="5DD93ADC" w14:textId="77777777" w:rsidR="0039793A" w:rsidRPr="00C53BEE" w:rsidRDefault="0039793A" w:rsidP="0039793A">
      <w:pPr>
        <w:ind w:left="540" w:hanging="540"/>
        <w:jc w:val="both"/>
        <w:rPr>
          <w:sz w:val="24"/>
        </w:rPr>
      </w:pPr>
      <w:r w:rsidRPr="00C53BEE">
        <w:rPr>
          <w:sz w:val="24"/>
        </w:rPr>
        <w:t xml:space="preserve">Endiguement : 35, 168. </w:t>
      </w:r>
      <w:r w:rsidRPr="00C53BEE">
        <w:rPr>
          <w:rStyle w:val="Corpsdutexte865ptPetitesmajuscules"/>
          <w:sz w:val="24"/>
        </w:rPr>
        <w:t>epa :</w:t>
      </w:r>
      <w:r w:rsidRPr="00C53BEE">
        <w:rPr>
          <w:sz w:val="24"/>
        </w:rPr>
        <w:t xml:space="preserve"> 263-</w:t>
      </w:r>
    </w:p>
    <w:p w14:paraId="71B3E508" w14:textId="77777777" w:rsidR="0039793A" w:rsidRPr="00C53BEE" w:rsidRDefault="0039793A" w:rsidP="0039793A">
      <w:pPr>
        <w:ind w:left="540" w:hanging="540"/>
        <w:jc w:val="both"/>
        <w:rPr>
          <w:sz w:val="24"/>
        </w:rPr>
      </w:pPr>
      <w:r w:rsidRPr="00C53BEE">
        <w:rPr>
          <w:sz w:val="24"/>
        </w:rPr>
        <w:t>Épidémie : 202, 295.</w:t>
      </w:r>
    </w:p>
    <w:p w14:paraId="1D665F51" w14:textId="77777777" w:rsidR="0039793A" w:rsidRPr="00C53BEE" w:rsidRDefault="0039793A" w:rsidP="0039793A">
      <w:pPr>
        <w:ind w:left="540" w:hanging="540"/>
        <w:jc w:val="both"/>
        <w:rPr>
          <w:sz w:val="24"/>
        </w:rPr>
      </w:pPr>
      <w:r w:rsidRPr="00C53BEE">
        <w:rPr>
          <w:sz w:val="24"/>
        </w:rPr>
        <w:t>Équilibre des puissances : 87, 93, 99, 111-112, 115,120-121, 125.</w:t>
      </w:r>
    </w:p>
    <w:p w14:paraId="7B636031" w14:textId="77777777" w:rsidR="0039793A" w:rsidRPr="00C53BEE" w:rsidRDefault="0039793A" w:rsidP="0039793A">
      <w:pPr>
        <w:ind w:left="540" w:hanging="540"/>
        <w:jc w:val="both"/>
        <w:rPr>
          <w:sz w:val="24"/>
        </w:rPr>
      </w:pPr>
      <w:r w:rsidRPr="00C53BEE">
        <w:rPr>
          <w:sz w:val="24"/>
        </w:rPr>
        <w:t>Équilibristes : 102, 104, 109, 113, 114, 117, 121, 139.</w:t>
      </w:r>
    </w:p>
    <w:p w14:paraId="2E6E39BA" w14:textId="77777777" w:rsidR="0039793A" w:rsidRPr="00C53BEE" w:rsidRDefault="0039793A" w:rsidP="0039793A">
      <w:pPr>
        <w:ind w:left="540" w:hanging="540"/>
        <w:jc w:val="both"/>
        <w:rPr>
          <w:sz w:val="24"/>
        </w:rPr>
      </w:pPr>
      <w:r w:rsidRPr="00C53BEE">
        <w:rPr>
          <w:sz w:val="24"/>
        </w:rPr>
        <w:t>Esclavage : 15, 58.</w:t>
      </w:r>
    </w:p>
    <w:p w14:paraId="55A96D36" w14:textId="77777777" w:rsidR="0039793A" w:rsidRPr="00C53BEE" w:rsidRDefault="0039793A" w:rsidP="0039793A">
      <w:pPr>
        <w:ind w:left="540" w:hanging="540"/>
        <w:jc w:val="both"/>
        <w:rPr>
          <w:sz w:val="24"/>
        </w:rPr>
      </w:pPr>
      <w:r w:rsidRPr="00C53BEE">
        <w:rPr>
          <w:sz w:val="24"/>
        </w:rPr>
        <w:t>État de l’Union : 90, 346.</w:t>
      </w:r>
    </w:p>
    <w:p w14:paraId="5FCF85E2" w14:textId="77777777" w:rsidR="0039793A" w:rsidRPr="00C53BEE" w:rsidRDefault="0039793A" w:rsidP="0039793A">
      <w:pPr>
        <w:ind w:left="540" w:hanging="540"/>
        <w:jc w:val="both"/>
        <w:rPr>
          <w:sz w:val="24"/>
        </w:rPr>
      </w:pPr>
      <w:r w:rsidRPr="00C53BEE">
        <w:rPr>
          <w:sz w:val="24"/>
        </w:rPr>
        <w:t>État</w:t>
      </w:r>
    </w:p>
    <w:p w14:paraId="37502411" w14:textId="77777777" w:rsidR="0039793A" w:rsidRPr="00C53BEE" w:rsidRDefault="0039793A" w:rsidP="0039793A">
      <w:pPr>
        <w:pStyle w:val="i2"/>
      </w:pPr>
      <w:r w:rsidRPr="00C53BEE">
        <w:t>- fédéral : 20, 281, 317.</w:t>
      </w:r>
    </w:p>
    <w:p w14:paraId="18846869" w14:textId="77777777" w:rsidR="0039793A" w:rsidRPr="00C53BEE" w:rsidRDefault="0039793A" w:rsidP="0039793A">
      <w:pPr>
        <w:pStyle w:val="i2"/>
      </w:pPr>
      <w:r w:rsidRPr="00C53BEE">
        <w:t xml:space="preserve">- fédéré : 20, 69, 185, 281, 298. </w:t>
      </w:r>
    </w:p>
    <w:p w14:paraId="2AA63B85" w14:textId="77777777" w:rsidR="0039793A" w:rsidRPr="00C53BEE" w:rsidRDefault="0039793A" w:rsidP="0039793A">
      <w:pPr>
        <w:ind w:left="540" w:hanging="540"/>
        <w:jc w:val="both"/>
        <w:rPr>
          <w:sz w:val="24"/>
        </w:rPr>
      </w:pPr>
      <w:r w:rsidRPr="00C53BEE">
        <w:rPr>
          <w:sz w:val="24"/>
        </w:rPr>
        <w:t>État-major : 187, 188, 190-192, 214, 216, 314.</w:t>
      </w:r>
    </w:p>
    <w:p w14:paraId="464619B5" w14:textId="77777777" w:rsidR="0039793A" w:rsidRPr="00C53BEE" w:rsidRDefault="0039793A" w:rsidP="0039793A">
      <w:pPr>
        <w:ind w:left="540" w:hanging="540"/>
        <w:jc w:val="both"/>
        <w:rPr>
          <w:sz w:val="24"/>
        </w:rPr>
      </w:pPr>
      <w:r w:rsidRPr="00C53BEE">
        <w:rPr>
          <w:sz w:val="24"/>
        </w:rPr>
        <w:t>États déliquescents : 194, 346.</w:t>
      </w:r>
    </w:p>
    <w:p w14:paraId="0A551E08" w14:textId="77777777" w:rsidR="0039793A" w:rsidRPr="00C53BEE" w:rsidRDefault="0039793A" w:rsidP="0039793A">
      <w:pPr>
        <w:ind w:left="540" w:hanging="540"/>
        <w:jc w:val="both"/>
        <w:rPr>
          <w:sz w:val="24"/>
        </w:rPr>
      </w:pPr>
      <w:r w:rsidRPr="00C53BEE">
        <w:rPr>
          <w:sz w:val="24"/>
        </w:rPr>
        <w:t>Ethnocentrisme : 57-58, 82, 163.</w:t>
      </w:r>
    </w:p>
    <w:p w14:paraId="7E6DD43F" w14:textId="77777777" w:rsidR="0039793A" w:rsidRPr="00C53BEE" w:rsidRDefault="0039793A" w:rsidP="0039793A">
      <w:pPr>
        <w:ind w:left="540" w:hanging="540"/>
        <w:jc w:val="both"/>
        <w:rPr>
          <w:sz w:val="24"/>
        </w:rPr>
      </w:pPr>
      <w:r w:rsidRPr="00C53BEE">
        <w:rPr>
          <w:sz w:val="24"/>
        </w:rPr>
        <w:t>Europe : 29, 49-50, 52, 54, 69, 75-77, 107, 121-122, 133-134, 181, 190, 250, 273, 278, 298, 326.</w:t>
      </w:r>
    </w:p>
    <w:p w14:paraId="56746FB1" w14:textId="77777777" w:rsidR="0039793A" w:rsidRPr="00C53BEE" w:rsidRDefault="0039793A" w:rsidP="0039793A">
      <w:pPr>
        <w:ind w:left="540" w:hanging="540"/>
        <w:jc w:val="both"/>
        <w:rPr>
          <w:sz w:val="24"/>
        </w:rPr>
      </w:pPr>
      <w:r w:rsidRPr="00C53BEE">
        <w:rPr>
          <w:sz w:val="24"/>
        </w:rPr>
        <w:t>Exceptionnalisme : 44, 56, 68, 70, 72, 84, 89.</w:t>
      </w:r>
    </w:p>
    <w:p w14:paraId="4BEDCE6A" w14:textId="77777777" w:rsidR="0039793A" w:rsidRPr="00C53BEE" w:rsidRDefault="0039793A" w:rsidP="0039793A">
      <w:pPr>
        <w:ind w:left="540" w:hanging="540"/>
        <w:jc w:val="both"/>
        <w:rPr>
          <w:sz w:val="24"/>
        </w:rPr>
      </w:pPr>
      <w:r w:rsidRPr="00C53BEE">
        <w:rPr>
          <w:i/>
          <w:iCs/>
          <w:sz w:val="24"/>
        </w:rPr>
        <w:t>Executive Agreements</w:t>
      </w:r>
      <w:r w:rsidRPr="00C53BEE">
        <w:rPr>
          <w:sz w:val="24"/>
        </w:rPr>
        <w:t xml:space="preserve"> (voir accords en forme simplifiée) : 26, 31, 149.</w:t>
      </w:r>
    </w:p>
    <w:p w14:paraId="7D148EAC" w14:textId="77777777" w:rsidR="0039793A" w:rsidRPr="00C53BEE" w:rsidRDefault="0039793A" w:rsidP="0039793A">
      <w:pPr>
        <w:ind w:left="540" w:hanging="540"/>
        <w:jc w:val="both"/>
        <w:rPr>
          <w:sz w:val="24"/>
        </w:rPr>
      </w:pPr>
      <w:r w:rsidRPr="00C53BEE">
        <w:rPr>
          <w:i/>
          <w:iCs/>
          <w:sz w:val="24"/>
        </w:rPr>
        <w:t>Executive Committee</w:t>
      </w:r>
      <w:r w:rsidRPr="00C53BEE">
        <w:rPr>
          <w:sz w:val="24"/>
        </w:rPr>
        <w:t> : 220.</w:t>
      </w:r>
    </w:p>
    <w:p w14:paraId="18B25858" w14:textId="77777777" w:rsidR="0039793A" w:rsidRPr="00C53BEE" w:rsidRDefault="0039793A" w:rsidP="0039793A">
      <w:pPr>
        <w:ind w:left="540" w:hanging="540"/>
        <w:jc w:val="both"/>
        <w:rPr>
          <w:sz w:val="24"/>
        </w:rPr>
      </w:pPr>
      <w:r w:rsidRPr="00C53BEE">
        <w:rPr>
          <w:i/>
          <w:iCs/>
          <w:sz w:val="24"/>
        </w:rPr>
        <w:t>Executive Office</w:t>
      </w:r>
      <w:r w:rsidRPr="00C53BEE">
        <w:rPr>
          <w:sz w:val="24"/>
        </w:rPr>
        <w:t xml:space="preserve"> (voir bureau exécutif) : 211. </w:t>
      </w:r>
    </w:p>
    <w:p w14:paraId="0CF3E530" w14:textId="77777777" w:rsidR="0039793A" w:rsidRPr="00C53BEE" w:rsidRDefault="0039793A" w:rsidP="0039793A">
      <w:pPr>
        <w:ind w:left="540" w:hanging="540"/>
        <w:jc w:val="both"/>
        <w:rPr>
          <w:sz w:val="24"/>
        </w:rPr>
      </w:pPr>
      <w:r w:rsidRPr="00C53BEE">
        <w:rPr>
          <w:sz w:val="24"/>
        </w:rPr>
        <w:t>Extrémisme : 60-61, 282, 289.</w:t>
      </w:r>
    </w:p>
    <w:p w14:paraId="03AC2547" w14:textId="77777777" w:rsidR="0039793A" w:rsidRPr="00C53BEE" w:rsidRDefault="0039793A" w:rsidP="0039793A">
      <w:pPr>
        <w:ind w:left="540" w:hanging="540"/>
        <w:jc w:val="both"/>
        <w:rPr>
          <w:sz w:val="24"/>
        </w:rPr>
      </w:pPr>
    </w:p>
    <w:p w14:paraId="7E1EC92A" w14:textId="77777777" w:rsidR="0039793A" w:rsidRPr="00C53BEE" w:rsidRDefault="0039793A" w:rsidP="0039793A">
      <w:pPr>
        <w:ind w:left="540" w:hanging="540"/>
        <w:jc w:val="both"/>
        <w:rPr>
          <w:sz w:val="24"/>
        </w:rPr>
      </w:pPr>
      <w:r w:rsidRPr="00C53BEE">
        <w:rPr>
          <w:sz w:val="24"/>
        </w:rPr>
        <w:t>Fait majoritaire (voir consensus bipar- tisan) : 35.</w:t>
      </w:r>
    </w:p>
    <w:p w14:paraId="7E184F2F" w14:textId="77777777" w:rsidR="0039793A" w:rsidRPr="00C53BEE" w:rsidRDefault="0039793A" w:rsidP="0039793A">
      <w:pPr>
        <w:ind w:left="540" w:hanging="540"/>
        <w:jc w:val="both"/>
        <w:rPr>
          <w:sz w:val="24"/>
        </w:rPr>
      </w:pPr>
      <w:r w:rsidRPr="00C53BEE">
        <w:rPr>
          <w:sz w:val="24"/>
        </w:rPr>
        <w:t>Family Research Council</w:t>
      </w:r>
      <w:r w:rsidRPr="00C53BEE">
        <w:rPr>
          <w:i/>
          <w:iCs/>
          <w:sz w:val="24"/>
        </w:rPr>
        <w:t xml:space="preserve"> : </w:t>
      </w:r>
      <w:r w:rsidRPr="00C53BEE">
        <w:rPr>
          <w:iCs/>
          <w:sz w:val="24"/>
        </w:rPr>
        <w:t>340</w:t>
      </w:r>
      <w:r w:rsidRPr="00C53BEE">
        <w:rPr>
          <w:i/>
          <w:iCs/>
          <w:sz w:val="24"/>
        </w:rPr>
        <w:t>.</w:t>
      </w:r>
    </w:p>
    <w:p w14:paraId="05A2B2E4" w14:textId="77777777" w:rsidR="0039793A" w:rsidRPr="00C53BEE" w:rsidRDefault="0039793A" w:rsidP="0039793A">
      <w:pPr>
        <w:ind w:left="540" w:hanging="540"/>
        <w:jc w:val="both"/>
        <w:rPr>
          <w:sz w:val="24"/>
        </w:rPr>
      </w:pPr>
      <w:r w:rsidRPr="00C53BEE">
        <w:rPr>
          <w:i/>
          <w:iCs/>
          <w:sz w:val="24"/>
        </w:rPr>
        <w:t>Fast-track</w:t>
      </w:r>
      <w:r w:rsidRPr="00C53BEE">
        <w:rPr>
          <w:sz w:val="24"/>
        </w:rPr>
        <w:t> : 33, 134-135, 254, 310, 323.</w:t>
      </w:r>
    </w:p>
    <w:p w14:paraId="4DB58F32" w14:textId="77777777" w:rsidR="0039793A" w:rsidRPr="00C53BEE" w:rsidRDefault="0039793A" w:rsidP="0039793A">
      <w:pPr>
        <w:ind w:left="540" w:hanging="540"/>
        <w:jc w:val="both"/>
        <w:rPr>
          <w:sz w:val="24"/>
        </w:rPr>
      </w:pPr>
      <w:r w:rsidRPr="00C53BEE">
        <w:rPr>
          <w:sz w:val="24"/>
        </w:rPr>
        <w:t xml:space="preserve">FBI, </w:t>
      </w:r>
      <w:r w:rsidRPr="00C53BEE">
        <w:rPr>
          <w:i/>
          <w:iCs/>
          <w:sz w:val="24"/>
        </w:rPr>
        <w:t>Federal Bureau of Investigation</w:t>
      </w:r>
      <w:r w:rsidRPr="00C53BEE">
        <w:rPr>
          <w:sz w:val="24"/>
        </w:rPr>
        <w:t> : 33, 197, 201, 203-204, 346, 348-349.</w:t>
      </w:r>
    </w:p>
    <w:p w14:paraId="49435E1C" w14:textId="77777777" w:rsidR="0039793A" w:rsidRPr="00C53BEE" w:rsidRDefault="0039793A" w:rsidP="0039793A">
      <w:pPr>
        <w:ind w:left="540" w:hanging="540"/>
        <w:jc w:val="both"/>
        <w:rPr>
          <w:sz w:val="24"/>
        </w:rPr>
      </w:pPr>
      <w:r w:rsidRPr="00C53BEE">
        <w:rPr>
          <w:i/>
          <w:iCs/>
          <w:sz w:val="24"/>
        </w:rPr>
        <w:t>Fédéral Régul</w:t>
      </w:r>
      <w:r w:rsidRPr="00C53BEE">
        <w:rPr>
          <w:i/>
          <w:iCs/>
          <w:sz w:val="24"/>
        </w:rPr>
        <w:t>a</w:t>
      </w:r>
      <w:r w:rsidRPr="00C53BEE">
        <w:rPr>
          <w:i/>
          <w:iCs/>
          <w:sz w:val="24"/>
        </w:rPr>
        <w:t>tion of Lobbying Act</w:t>
      </w:r>
      <w:r w:rsidRPr="00C53BEE">
        <w:rPr>
          <w:sz w:val="24"/>
        </w:rPr>
        <w:t> : 335.</w:t>
      </w:r>
    </w:p>
    <w:p w14:paraId="387E360F" w14:textId="77777777" w:rsidR="0039793A" w:rsidRPr="00C53BEE" w:rsidRDefault="0039793A" w:rsidP="0039793A">
      <w:pPr>
        <w:ind w:left="540" w:hanging="540"/>
        <w:jc w:val="both"/>
        <w:rPr>
          <w:sz w:val="24"/>
        </w:rPr>
      </w:pPr>
      <w:r w:rsidRPr="00C53BEE">
        <w:rPr>
          <w:sz w:val="24"/>
        </w:rPr>
        <w:t>Fédéralisme : 15, 20-21.</w:t>
      </w:r>
    </w:p>
    <w:p w14:paraId="5CECA7C7" w14:textId="77777777" w:rsidR="0039793A" w:rsidRPr="00C53BEE" w:rsidRDefault="0039793A" w:rsidP="0039793A">
      <w:pPr>
        <w:ind w:left="540" w:hanging="540"/>
        <w:jc w:val="both"/>
        <w:rPr>
          <w:sz w:val="24"/>
        </w:rPr>
      </w:pPr>
      <w:r w:rsidRPr="00C53BEE">
        <w:rPr>
          <w:sz w:val="24"/>
        </w:rPr>
        <w:t>Federalist Papers</w:t>
      </w:r>
      <w:r w:rsidRPr="00C53BEE">
        <w:rPr>
          <w:rStyle w:val="Corpsdutexte108ptNonItalique"/>
          <w:sz w:val="24"/>
        </w:rPr>
        <w:t> </w:t>
      </w:r>
      <w:r w:rsidRPr="00C53BEE">
        <w:rPr>
          <w:i/>
          <w:sz w:val="24"/>
        </w:rPr>
        <w:t xml:space="preserve">: </w:t>
      </w:r>
      <w:r w:rsidRPr="00C53BEE">
        <w:rPr>
          <w:sz w:val="24"/>
        </w:rPr>
        <w:t>27</w:t>
      </w:r>
      <w:r w:rsidRPr="00C53BEE">
        <w:rPr>
          <w:i/>
          <w:sz w:val="24"/>
        </w:rPr>
        <w:t>.</w:t>
      </w:r>
    </w:p>
    <w:p w14:paraId="7DED5E52" w14:textId="77777777" w:rsidR="0039793A" w:rsidRPr="00C53BEE" w:rsidRDefault="0039793A" w:rsidP="0039793A">
      <w:pPr>
        <w:ind w:left="540" w:hanging="540"/>
        <w:jc w:val="both"/>
        <w:rPr>
          <w:sz w:val="24"/>
        </w:rPr>
      </w:pPr>
      <w:r w:rsidRPr="00C53BEE">
        <w:rPr>
          <w:sz w:val="24"/>
        </w:rPr>
        <w:t>Fédération : 19-20, 74.</w:t>
      </w:r>
    </w:p>
    <w:p w14:paraId="1648789C" w14:textId="77777777" w:rsidR="0039793A" w:rsidRPr="00C53BEE" w:rsidRDefault="0039793A" w:rsidP="0039793A">
      <w:pPr>
        <w:ind w:left="540" w:hanging="540"/>
        <w:jc w:val="both"/>
        <w:rPr>
          <w:rStyle w:val="Corpsdutexte108ptNonItalique"/>
          <w:sz w:val="24"/>
        </w:rPr>
      </w:pPr>
      <w:r w:rsidRPr="00C53BEE">
        <w:rPr>
          <w:sz w:val="24"/>
        </w:rPr>
        <w:t>Fédération of American Scientists</w:t>
      </w:r>
      <w:r w:rsidRPr="00C53BEE">
        <w:rPr>
          <w:rStyle w:val="Corpsdutexte108ptNonItalique"/>
          <w:sz w:val="24"/>
        </w:rPr>
        <w:t> </w:t>
      </w:r>
      <w:r w:rsidRPr="00C53BEE">
        <w:rPr>
          <w:iCs/>
          <w:sz w:val="24"/>
        </w:rPr>
        <w:t>: 324.</w:t>
      </w:r>
    </w:p>
    <w:p w14:paraId="7547C638" w14:textId="77777777" w:rsidR="0039793A" w:rsidRPr="00C53BEE" w:rsidRDefault="0039793A" w:rsidP="0039793A">
      <w:pPr>
        <w:ind w:left="540" w:hanging="540"/>
        <w:jc w:val="both"/>
        <w:rPr>
          <w:sz w:val="24"/>
        </w:rPr>
      </w:pPr>
      <w:r w:rsidRPr="00C53BEE">
        <w:rPr>
          <w:sz w:val="24"/>
        </w:rPr>
        <w:t>Fenian Brotherhood</w:t>
      </w:r>
      <w:r w:rsidRPr="00C53BEE">
        <w:rPr>
          <w:rStyle w:val="Corpsdutexte108ptNonItalique"/>
          <w:sz w:val="24"/>
        </w:rPr>
        <w:t> </w:t>
      </w:r>
      <w:r w:rsidRPr="00C53BEE">
        <w:rPr>
          <w:iCs/>
          <w:sz w:val="24"/>
        </w:rPr>
        <w:t>: 326.</w:t>
      </w:r>
    </w:p>
    <w:p w14:paraId="5D8C5278" w14:textId="77777777" w:rsidR="0039793A" w:rsidRPr="00C53BEE" w:rsidRDefault="0039793A" w:rsidP="0039793A">
      <w:pPr>
        <w:ind w:left="540" w:hanging="540"/>
        <w:jc w:val="both"/>
        <w:rPr>
          <w:sz w:val="24"/>
        </w:rPr>
      </w:pPr>
      <w:r w:rsidRPr="00C53BEE">
        <w:rPr>
          <w:iCs/>
          <w:sz w:val="24"/>
        </w:rPr>
        <w:t xml:space="preserve">FIAB </w:t>
      </w:r>
      <w:r w:rsidRPr="00C53BEE">
        <w:rPr>
          <w:sz w:val="24"/>
        </w:rPr>
        <w:t xml:space="preserve">(Foreign Intelligence Advisory Board) : </w:t>
      </w:r>
      <w:r w:rsidRPr="00C53BEE">
        <w:rPr>
          <w:iCs/>
          <w:sz w:val="24"/>
        </w:rPr>
        <w:t>197.</w:t>
      </w:r>
    </w:p>
    <w:p w14:paraId="6B44B6CF" w14:textId="77777777" w:rsidR="0039793A" w:rsidRPr="00C53BEE" w:rsidRDefault="0039793A" w:rsidP="0039793A">
      <w:pPr>
        <w:ind w:left="540" w:hanging="540"/>
        <w:jc w:val="both"/>
        <w:rPr>
          <w:sz w:val="24"/>
        </w:rPr>
      </w:pPr>
      <w:r w:rsidRPr="00C53BEE">
        <w:rPr>
          <w:sz w:val="24"/>
        </w:rPr>
        <w:t>Filibustering</w:t>
      </w:r>
      <w:r w:rsidRPr="00C53BEE">
        <w:rPr>
          <w:rStyle w:val="Corpsdutexte108ptNonItalique"/>
          <w:sz w:val="24"/>
        </w:rPr>
        <w:t xml:space="preserve"> : </w:t>
      </w:r>
      <w:r w:rsidRPr="00C53BEE">
        <w:rPr>
          <w:sz w:val="24"/>
        </w:rPr>
        <w:t>278.</w:t>
      </w:r>
    </w:p>
    <w:p w14:paraId="46260EA5" w14:textId="77777777" w:rsidR="0039793A" w:rsidRPr="00C53BEE" w:rsidRDefault="0039793A" w:rsidP="0039793A">
      <w:pPr>
        <w:ind w:left="540" w:hanging="540"/>
        <w:jc w:val="both"/>
        <w:rPr>
          <w:sz w:val="24"/>
        </w:rPr>
      </w:pPr>
      <w:r w:rsidRPr="00C53BEE">
        <w:rPr>
          <w:sz w:val="24"/>
        </w:rPr>
        <w:t>Financial Times</w:t>
      </w:r>
      <w:r w:rsidRPr="00C53BEE">
        <w:rPr>
          <w:rStyle w:val="Corpsdutexte108ptNonItalique"/>
          <w:sz w:val="24"/>
        </w:rPr>
        <w:t> </w:t>
      </w:r>
      <w:r w:rsidRPr="00C53BEE">
        <w:rPr>
          <w:iCs/>
          <w:sz w:val="24"/>
        </w:rPr>
        <w:t>: 304, 322.</w:t>
      </w:r>
    </w:p>
    <w:p w14:paraId="3D0CBC10" w14:textId="77777777" w:rsidR="0039793A" w:rsidRPr="00C53BEE" w:rsidRDefault="0039793A" w:rsidP="0039793A">
      <w:pPr>
        <w:ind w:left="540" w:hanging="540"/>
        <w:jc w:val="both"/>
        <w:rPr>
          <w:sz w:val="24"/>
        </w:rPr>
      </w:pPr>
      <w:r w:rsidRPr="00C53BEE">
        <w:rPr>
          <w:sz w:val="24"/>
        </w:rPr>
        <w:t>Firmes multinationales : 105, 131.</w:t>
      </w:r>
    </w:p>
    <w:p w14:paraId="2C978FC6" w14:textId="77777777" w:rsidR="0039793A" w:rsidRPr="00C53BEE" w:rsidRDefault="0039793A" w:rsidP="0039793A">
      <w:pPr>
        <w:ind w:left="540" w:hanging="540"/>
        <w:jc w:val="both"/>
        <w:rPr>
          <w:sz w:val="24"/>
        </w:rPr>
      </w:pPr>
      <w:r w:rsidRPr="00C53BEE">
        <w:rPr>
          <w:sz w:val="24"/>
        </w:rPr>
        <w:t>Floride : 20, 278, 282, 331-332.</w:t>
      </w:r>
    </w:p>
    <w:p w14:paraId="4D73703A" w14:textId="77777777" w:rsidR="0039793A" w:rsidRPr="00C53BEE" w:rsidRDefault="0039793A" w:rsidP="0039793A">
      <w:pPr>
        <w:ind w:left="540" w:hanging="540"/>
        <w:jc w:val="both"/>
        <w:rPr>
          <w:sz w:val="24"/>
        </w:rPr>
      </w:pPr>
      <w:r w:rsidRPr="00C53BEE">
        <w:rPr>
          <w:caps/>
          <w:sz w:val="24"/>
        </w:rPr>
        <w:t>fmi </w:t>
      </w:r>
      <w:r w:rsidRPr="00C53BEE">
        <w:rPr>
          <w:sz w:val="24"/>
        </w:rPr>
        <w:t>: 204, 273.</w:t>
      </w:r>
    </w:p>
    <w:p w14:paraId="60A53DFB" w14:textId="77777777" w:rsidR="0039793A" w:rsidRPr="00C53BEE" w:rsidRDefault="0039793A" w:rsidP="0039793A">
      <w:pPr>
        <w:ind w:left="540" w:hanging="540"/>
        <w:jc w:val="both"/>
        <w:rPr>
          <w:sz w:val="24"/>
        </w:rPr>
      </w:pPr>
      <w:r w:rsidRPr="00C53BEE">
        <w:rPr>
          <w:sz w:val="24"/>
        </w:rPr>
        <w:t>Fondamentalisme : 44-45, 81.</w:t>
      </w:r>
    </w:p>
    <w:p w14:paraId="3E47A904" w14:textId="77777777" w:rsidR="0039793A" w:rsidRPr="00C53BEE" w:rsidRDefault="0039793A" w:rsidP="0039793A">
      <w:pPr>
        <w:ind w:left="540" w:hanging="540"/>
        <w:jc w:val="both"/>
        <w:rPr>
          <w:i/>
          <w:iCs/>
          <w:sz w:val="24"/>
        </w:rPr>
      </w:pPr>
      <w:r w:rsidRPr="00C53BEE">
        <w:rPr>
          <w:sz w:val="24"/>
        </w:rPr>
        <w:t>Ford Foundation</w:t>
      </w:r>
      <w:r w:rsidRPr="00C53BEE">
        <w:rPr>
          <w:i/>
          <w:iCs/>
          <w:sz w:val="24"/>
        </w:rPr>
        <w:t xml:space="preserve"> : </w:t>
      </w:r>
      <w:r w:rsidRPr="00C53BEE">
        <w:rPr>
          <w:iCs/>
          <w:sz w:val="24"/>
        </w:rPr>
        <w:t>319</w:t>
      </w:r>
      <w:r w:rsidRPr="00C53BEE">
        <w:rPr>
          <w:i/>
          <w:iCs/>
          <w:sz w:val="24"/>
        </w:rPr>
        <w:t>.</w:t>
      </w:r>
    </w:p>
    <w:p w14:paraId="5E2BC855" w14:textId="77777777" w:rsidR="0039793A" w:rsidRPr="00C53BEE" w:rsidRDefault="0039793A" w:rsidP="0039793A">
      <w:pPr>
        <w:ind w:left="540" w:hanging="540"/>
        <w:jc w:val="both"/>
        <w:rPr>
          <w:sz w:val="24"/>
        </w:rPr>
      </w:pPr>
      <w:r w:rsidRPr="00C53BEE">
        <w:rPr>
          <w:sz w:val="24"/>
        </w:rPr>
        <w:t>Foreign Affairs</w:t>
      </w:r>
      <w:r w:rsidRPr="00C53BEE">
        <w:rPr>
          <w:rStyle w:val="Corpsdutexte108ptNonItalique"/>
          <w:sz w:val="24"/>
        </w:rPr>
        <w:t> </w:t>
      </w:r>
      <w:r w:rsidRPr="00C53BEE">
        <w:rPr>
          <w:sz w:val="24"/>
        </w:rPr>
        <w:t>: 11, 91, 322.</w:t>
      </w:r>
    </w:p>
    <w:p w14:paraId="50B14277" w14:textId="77777777" w:rsidR="0039793A" w:rsidRPr="00C53BEE" w:rsidRDefault="0039793A" w:rsidP="0039793A">
      <w:pPr>
        <w:ind w:left="540" w:hanging="540"/>
        <w:jc w:val="both"/>
        <w:rPr>
          <w:sz w:val="24"/>
        </w:rPr>
      </w:pPr>
      <w:r w:rsidRPr="00C53BEE">
        <w:rPr>
          <w:sz w:val="24"/>
        </w:rPr>
        <w:t>Foreign Policy</w:t>
      </w:r>
      <w:r w:rsidRPr="00C53BEE">
        <w:rPr>
          <w:rStyle w:val="Corpsdutexte108ptNonItalique"/>
          <w:sz w:val="24"/>
        </w:rPr>
        <w:t> </w:t>
      </w:r>
      <w:r w:rsidRPr="00C53BEE">
        <w:rPr>
          <w:iCs/>
          <w:sz w:val="24"/>
        </w:rPr>
        <w:t>: 11, 322.</w:t>
      </w:r>
    </w:p>
    <w:p w14:paraId="3B4FA40D" w14:textId="77777777" w:rsidR="0039793A" w:rsidRPr="00C53BEE" w:rsidRDefault="0039793A" w:rsidP="0039793A">
      <w:pPr>
        <w:ind w:left="540" w:hanging="540"/>
        <w:jc w:val="both"/>
        <w:rPr>
          <w:sz w:val="24"/>
        </w:rPr>
      </w:pPr>
      <w:r w:rsidRPr="00C53BEE">
        <w:rPr>
          <w:i/>
          <w:sz w:val="24"/>
        </w:rPr>
        <w:t>Foreign Service Officers</w:t>
      </w:r>
      <w:r w:rsidRPr="00C53BEE">
        <w:rPr>
          <w:sz w:val="24"/>
        </w:rPr>
        <w:t xml:space="preserve"> (FSO) : 179, 183, 191, 196, 208.</w:t>
      </w:r>
    </w:p>
    <w:p w14:paraId="795551DF" w14:textId="77777777" w:rsidR="0039793A" w:rsidRPr="00C53BEE" w:rsidRDefault="0039793A" w:rsidP="0039793A">
      <w:pPr>
        <w:ind w:left="540" w:hanging="540"/>
        <w:jc w:val="both"/>
        <w:rPr>
          <w:sz w:val="24"/>
        </w:rPr>
      </w:pPr>
      <w:r w:rsidRPr="00C53BEE">
        <w:rPr>
          <w:sz w:val="24"/>
        </w:rPr>
        <w:t>Forteresse Amérique : 81, 105, 128, 130.</w:t>
      </w:r>
    </w:p>
    <w:p w14:paraId="5932DF55" w14:textId="77777777" w:rsidR="0039793A" w:rsidRPr="00C53BEE" w:rsidRDefault="0039793A" w:rsidP="0039793A">
      <w:pPr>
        <w:ind w:left="540" w:hanging="540"/>
        <w:jc w:val="both"/>
        <w:rPr>
          <w:sz w:val="24"/>
        </w:rPr>
      </w:pPr>
      <w:r w:rsidRPr="00C53BEE">
        <w:rPr>
          <w:i/>
          <w:iCs/>
          <w:sz w:val="24"/>
        </w:rPr>
        <w:t>Fortune :</w:t>
      </w:r>
      <w:r w:rsidRPr="00C53BEE">
        <w:rPr>
          <w:sz w:val="24"/>
        </w:rPr>
        <w:t xml:space="preserve"> 326, 335-337.</w:t>
      </w:r>
    </w:p>
    <w:p w14:paraId="0FAE9B85" w14:textId="77777777" w:rsidR="0039793A" w:rsidRPr="00C53BEE" w:rsidRDefault="0039793A" w:rsidP="0039793A">
      <w:pPr>
        <w:ind w:left="540" w:hanging="540"/>
        <w:jc w:val="both"/>
        <w:rPr>
          <w:sz w:val="24"/>
        </w:rPr>
      </w:pPr>
      <w:r w:rsidRPr="00C53BEE">
        <w:rPr>
          <w:sz w:val="24"/>
        </w:rPr>
        <w:t>Fox News : 61, 305, 309.</w:t>
      </w:r>
    </w:p>
    <w:p w14:paraId="3890F66A" w14:textId="77777777" w:rsidR="0039793A" w:rsidRPr="00C53BEE" w:rsidRDefault="0039793A" w:rsidP="0039793A">
      <w:pPr>
        <w:ind w:left="540" w:hanging="540"/>
        <w:jc w:val="both"/>
        <w:rPr>
          <w:sz w:val="24"/>
        </w:rPr>
      </w:pPr>
      <w:r w:rsidRPr="00C53BEE">
        <w:rPr>
          <w:sz w:val="24"/>
        </w:rPr>
        <w:t>France : 17-18, 23, 28-29, 51, 64, 75, 85, 95, 251, 278, 311, 318, 332.</w:t>
      </w:r>
    </w:p>
    <w:p w14:paraId="2C4A03B8" w14:textId="77777777" w:rsidR="0039793A" w:rsidRPr="00C53BEE" w:rsidRDefault="0039793A" w:rsidP="0039793A">
      <w:pPr>
        <w:ind w:left="540" w:hanging="540"/>
        <w:jc w:val="both"/>
        <w:rPr>
          <w:sz w:val="24"/>
        </w:rPr>
      </w:pPr>
      <w:r w:rsidRPr="00C53BEE">
        <w:rPr>
          <w:i/>
          <w:iCs/>
          <w:sz w:val="24"/>
        </w:rPr>
        <w:t>Freedomfrom Religions Persécution Act</w:t>
      </w:r>
      <w:r w:rsidRPr="00C53BEE">
        <w:rPr>
          <w:sz w:val="24"/>
        </w:rPr>
        <w:t> : 338.</w:t>
      </w:r>
    </w:p>
    <w:p w14:paraId="2E7D8110" w14:textId="77777777" w:rsidR="0039793A" w:rsidRPr="00C53BEE" w:rsidRDefault="0039793A" w:rsidP="0039793A">
      <w:pPr>
        <w:ind w:left="540" w:hanging="540"/>
        <w:jc w:val="both"/>
        <w:rPr>
          <w:sz w:val="24"/>
        </w:rPr>
      </w:pPr>
      <w:r w:rsidRPr="00C53BEE">
        <w:rPr>
          <w:i/>
          <w:iCs/>
          <w:sz w:val="24"/>
        </w:rPr>
        <w:t>Freedom House :</w:t>
      </w:r>
      <w:r w:rsidRPr="00C53BEE">
        <w:rPr>
          <w:sz w:val="24"/>
        </w:rPr>
        <w:t xml:space="preserve"> 324.</w:t>
      </w:r>
    </w:p>
    <w:p w14:paraId="1FCD06C6" w14:textId="77777777" w:rsidR="0039793A" w:rsidRPr="00C53BEE" w:rsidRDefault="0039793A" w:rsidP="0039793A">
      <w:pPr>
        <w:ind w:left="540" w:hanging="540"/>
        <w:jc w:val="both"/>
        <w:rPr>
          <w:iCs/>
          <w:sz w:val="24"/>
        </w:rPr>
      </w:pPr>
      <w:r w:rsidRPr="00C53BEE">
        <w:rPr>
          <w:sz w:val="24"/>
        </w:rPr>
        <w:t>Freedom Support Act</w:t>
      </w:r>
      <w:r w:rsidRPr="00C53BEE">
        <w:rPr>
          <w:i/>
          <w:iCs/>
          <w:sz w:val="24"/>
        </w:rPr>
        <w:t xml:space="preserve"> : </w:t>
      </w:r>
      <w:r w:rsidRPr="00C53BEE">
        <w:rPr>
          <w:iCs/>
          <w:sz w:val="24"/>
        </w:rPr>
        <w:t>339.</w:t>
      </w:r>
    </w:p>
    <w:p w14:paraId="1789AA1B" w14:textId="77777777" w:rsidR="0039793A" w:rsidRPr="00C53BEE" w:rsidRDefault="0039793A" w:rsidP="0039793A">
      <w:pPr>
        <w:ind w:left="540" w:hanging="540"/>
        <w:jc w:val="both"/>
        <w:rPr>
          <w:i/>
          <w:iCs/>
          <w:sz w:val="24"/>
        </w:rPr>
      </w:pPr>
      <w:r w:rsidRPr="00C53BEE">
        <w:rPr>
          <w:sz w:val="24"/>
        </w:rPr>
        <w:t>Friday Morning Breakfasts</w:t>
      </w:r>
      <w:r w:rsidRPr="00C53BEE">
        <w:rPr>
          <w:i/>
          <w:iCs/>
          <w:sz w:val="24"/>
        </w:rPr>
        <w:t xml:space="preserve"> : </w:t>
      </w:r>
      <w:r w:rsidRPr="00C53BEE">
        <w:rPr>
          <w:iCs/>
          <w:sz w:val="24"/>
        </w:rPr>
        <w:t>221, 239.</w:t>
      </w:r>
    </w:p>
    <w:p w14:paraId="174F8EED" w14:textId="77777777" w:rsidR="0039793A" w:rsidRPr="00C53BEE" w:rsidRDefault="0039793A" w:rsidP="0039793A">
      <w:pPr>
        <w:ind w:left="540" w:hanging="540"/>
        <w:jc w:val="both"/>
        <w:rPr>
          <w:i/>
          <w:iCs/>
          <w:sz w:val="24"/>
        </w:rPr>
      </w:pPr>
      <w:r w:rsidRPr="00C53BEE">
        <w:rPr>
          <w:i/>
          <w:iCs/>
          <w:sz w:val="24"/>
        </w:rPr>
        <w:t>Frontière :</w:t>
      </w:r>
    </w:p>
    <w:p w14:paraId="622AC7A7" w14:textId="77777777" w:rsidR="0039793A" w:rsidRPr="00C53BEE" w:rsidRDefault="0039793A" w:rsidP="0039793A">
      <w:pPr>
        <w:pStyle w:val="i2"/>
      </w:pPr>
      <w:r w:rsidRPr="00C53BEE">
        <w:t xml:space="preserve">- </w:t>
      </w:r>
      <w:r w:rsidRPr="00C53BEE">
        <w:rPr>
          <w:i/>
        </w:rPr>
        <w:t xml:space="preserve">fin : </w:t>
      </w:r>
      <w:r w:rsidRPr="00C53BEE">
        <w:t>58</w:t>
      </w:r>
      <w:r w:rsidRPr="00C53BEE">
        <w:rPr>
          <w:i/>
        </w:rPr>
        <w:t>.</w:t>
      </w:r>
    </w:p>
    <w:p w14:paraId="1E3A3C4B" w14:textId="77777777" w:rsidR="0039793A" w:rsidRPr="00C53BEE" w:rsidRDefault="0039793A" w:rsidP="0039793A">
      <w:pPr>
        <w:pStyle w:val="i2"/>
      </w:pPr>
      <w:r w:rsidRPr="00C53BEE">
        <w:t>- ouverture : 96, 105.</w:t>
      </w:r>
    </w:p>
    <w:p w14:paraId="3B27CEEE" w14:textId="77777777" w:rsidR="0039793A" w:rsidRPr="00C53BEE" w:rsidRDefault="0039793A" w:rsidP="0039793A">
      <w:pPr>
        <w:pStyle w:val="i2"/>
      </w:pPr>
      <w:r w:rsidRPr="00C53BEE">
        <w:t>- sécurité : 202.</w:t>
      </w:r>
    </w:p>
    <w:p w14:paraId="013A5775" w14:textId="77777777" w:rsidR="0039793A" w:rsidRPr="00C53BEE" w:rsidRDefault="0039793A" w:rsidP="0039793A">
      <w:pPr>
        <w:ind w:left="540" w:hanging="540"/>
        <w:jc w:val="both"/>
        <w:rPr>
          <w:sz w:val="24"/>
        </w:rPr>
      </w:pPr>
      <w:r w:rsidRPr="00C53BEE">
        <w:rPr>
          <w:sz w:val="24"/>
        </w:rPr>
        <w:t>Fusées : 334.</w:t>
      </w:r>
    </w:p>
    <w:p w14:paraId="3639D28F" w14:textId="77777777" w:rsidR="0039793A" w:rsidRPr="00C53BEE" w:rsidRDefault="0039793A" w:rsidP="0039793A">
      <w:pPr>
        <w:ind w:left="540" w:hanging="540"/>
        <w:jc w:val="both"/>
        <w:rPr>
          <w:sz w:val="24"/>
        </w:rPr>
      </w:pPr>
      <w:r w:rsidRPr="00C53BEE">
        <w:rPr>
          <w:sz w:val="24"/>
        </w:rPr>
        <w:t>Fusiliers marins : 189-191, 196.</w:t>
      </w:r>
    </w:p>
    <w:p w14:paraId="634F947C" w14:textId="77777777" w:rsidR="0039793A" w:rsidRPr="00C53BEE" w:rsidRDefault="0039793A" w:rsidP="0039793A">
      <w:pPr>
        <w:ind w:left="540" w:hanging="540"/>
        <w:jc w:val="both"/>
        <w:rPr>
          <w:sz w:val="24"/>
        </w:rPr>
      </w:pPr>
    </w:p>
    <w:p w14:paraId="7F004ADC" w14:textId="77777777" w:rsidR="0039793A" w:rsidRPr="00C53BEE" w:rsidRDefault="0039793A" w:rsidP="0039793A">
      <w:pPr>
        <w:ind w:left="540" w:hanging="540"/>
        <w:jc w:val="both"/>
        <w:rPr>
          <w:sz w:val="24"/>
        </w:rPr>
      </w:pPr>
      <w:r w:rsidRPr="00C53BEE">
        <w:rPr>
          <w:sz w:val="24"/>
        </w:rPr>
        <w:t>G8 : 204.</w:t>
      </w:r>
    </w:p>
    <w:p w14:paraId="4944D6C1" w14:textId="77777777" w:rsidR="0039793A" w:rsidRPr="00C53BEE" w:rsidRDefault="0039793A" w:rsidP="0039793A">
      <w:pPr>
        <w:ind w:left="540" w:hanging="540"/>
        <w:jc w:val="both"/>
        <w:rPr>
          <w:sz w:val="24"/>
        </w:rPr>
      </w:pPr>
      <w:r w:rsidRPr="00C53BEE">
        <w:rPr>
          <w:sz w:val="24"/>
        </w:rPr>
        <w:t>Garde</w:t>
      </w:r>
    </w:p>
    <w:p w14:paraId="70EF7544" w14:textId="77777777" w:rsidR="0039793A" w:rsidRPr="00C53BEE" w:rsidRDefault="0039793A" w:rsidP="0039793A">
      <w:pPr>
        <w:pStyle w:val="i2"/>
      </w:pPr>
      <w:r w:rsidRPr="00C53BEE">
        <w:t>- côtière : 202.</w:t>
      </w:r>
    </w:p>
    <w:p w14:paraId="2D7292A9" w14:textId="77777777" w:rsidR="0039793A" w:rsidRPr="00C53BEE" w:rsidRDefault="0039793A" w:rsidP="0039793A">
      <w:pPr>
        <w:pStyle w:val="i2"/>
      </w:pPr>
      <w:r w:rsidRPr="00C53BEE">
        <w:t>- nationale : 270.</w:t>
      </w:r>
    </w:p>
    <w:p w14:paraId="1F713909" w14:textId="77777777" w:rsidR="0039793A" w:rsidRPr="00C53BEE" w:rsidRDefault="0039793A" w:rsidP="0039793A">
      <w:pPr>
        <w:ind w:left="540" w:hanging="540"/>
        <w:jc w:val="both"/>
        <w:rPr>
          <w:sz w:val="24"/>
        </w:rPr>
      </w:pPr>
      <w:r w:rsidRPr="00C53BEE">
        <w:rPr>
          <w:sz w:val="24"/>
        </w:rPr>
        <w:t>GATT : 96.</w:t>
      </w:r>
    </w:p>
    <w:p w14:paraId="55A5C75D" w14:textId="77777777" w:rsidR="0039793A" w:rsidRPr="00C53BEE" w:rsidRDefault="0039793A" w:rsidP="0039793A">
      <w:pPr>
        <w:ind w:left="540" w:hanging="540"/>
        <w:jc w:val="both"/>
        <w:rPr>
          <w:sz w:val="24"/>
        </w:rPr>
      </w:pPr>
      <w:r w:rsidRPr="00C53BEE">
        <w:rPr>
          <w:sz w:val="24"/>
        </w:rPr>
        <w:t>Gel des avoirs : 151.</w:t>
      </w:r>
    </w:p>
    <w:p w14:paraId="53DE245C" w14:textId="77777777" w:rsidR="0039793A" w:rsidRPr="00C53BEE" w:rsidRDefault="0039793A" w:rsidP="0039793A">
      <w:pPr>
        <w:ind w:left="540" w:hanging="540"/>
        <w:jc w:val="both"/>
        <w:rPr>
          <w:sz w:val="24"/>
        </w:rPr>
      </w:pPr>
      <w:r w:rsidRPr="00C53BEE">
        <w:rPr>
          <w:sz w:val="24"/>
        </w:rPr>
        <w:t>[376]</w:t>
      </w:r>
    </w:p>
    <w:p w14:paraId="0C25B4A4" w14:textId="77777777" w:rsidR="0039793A" w:rsidRPr="00C53BEE" w:rsidRDefault="0039793A" w:rsidP="0039793A">
      <w:pPr>
        <w:ind w:left="540" w:hanging="540"/>
        <w:jc w:val="both"/>
        <w:rPr>
          <w:sz w:val="24"/>
        </w:rPr>
      </w:pPr>
      <w:r w:rsidRPr="00C53BEE">
        <w:rPr>
          <w:i/>
          <w:iCs/>
          <w:sz w:val="24"/>
        </w:rPr>
        <w:t xml:space="preserve">General Accounting </w:t>
      </w:r>
      <w:r w:rsidRPr="00C53BEE">
        <w:rPr>
          <w:sz w:val="24"/>
        </w:rPr>
        <w:t>Office</w:t>
      </w:r>
      <w:r w:rsidRPr="00C53BEE">
        <w:rPr>
          <w:i/>
          <w:iCs/>
          <w:sz w:val="24"/>
        </w:rPr>
        <w:t xml:space="preserve"> : </w:t>
      </w:r>
      <w:r w:rsidRPr="00C53BEE">
        <w:rPr>
          <w:iCs/>
          <w:sz w:val="24"/>
        </w:rPr>
        <w:t>251</w:t>
      </w:r>
      <w:r w:rsidRPr="00C53BEE">
        <w:rPr>
          <w:i/>
          <w:iCs/>
          <w:sz w:val="24"/>
        </w:rPr>
        <w:t>.</w:t>
      </w:r>
    </w:p>
    <w:p w14:paraId="1D8FBB8A" w14:textId="77777777" w:rsidR="0039793A" w:rsidRPr="00C53BEE" w:rsidRDefault="0039793A" w:rsidP="0039793A">
      <w:pPr>
        <w:ind w:left="540" w:hanging="540"/>
        <w:jc w:val="both"/>
        <w:rPr>
          <w:sz w:val="24"/>
        </w:rPr>
      </w:pPr>
      <w:r w:rsidRPr="00C53BEE">
        <w:rPr>
          <w:sz w:val="24"/>
        </w:rPr>
        <w:t>Géographie : 13,43, 117, 281.</w:t>
      </w:r>
    </w:p>
    <w:p w14:paraId="2E1A6D4F" w14:textId="77777777" w:rsidR="0039793A" w:rsidRPr="00C53BEE" w:rsidRDefault="0039793A" w:rsidP="0039793A">
      <w:pPr>
        <w:ind w:left="540" w:hanging="540"/>
        <w:jc w:val="both"/>
        <w:rPr>
          <w:sz w:val="24"/>
        </w:rPr>
      </w:pPr>
      <w:r w:rsidRPr="00C53BEE">
        <w:rPr>
          <w:sz w:val="24"/>
        </w:rPr>
        <w:t>Géopolitique : 75-76, 121, 124, 168, 204, 226, 342, 345.</w:t>
      </w:r>
    </w:p>
    <w:p w14:paraId="46E030D0" w14:textId="77777777" w:rsidR="0039793A" w:rsidRPr="00C53BEE" w:rsidRDefault="0039793A" w:rsidP="0039793A">
      <w:pPr>
        <w:ind w:left="540" w:hanging="540"/>
        <w:jc w:val="both"/>
        <w:rPr>
          <w:sz w:val="24"/>
        </w:rPr>
      </w:pPr>
      <w:r w:rsidRPr="00C53BEE">
        <w:rPr>
          <w:sz w:val="24"/>
        </w:rPr>
        <w:t>Gettysburg : 50.</w:t>
      </w:r>
    </w:p>
    <w:p w14:paraId="21BD6F7C" w14:textId="77777777" w:rsidR="0039793A" w:rsidRPr="00C53BEE" w:rsidRDefault="0039793A" w:rsidP="0039793A">
      <w:pPr>
        <w:ind w:left="540" w:hanging="540"/>
        <w:jc w:val="both"/>
        <w:rPr>
          <w:sz w:val="24"/>
        </w:rPr>
      </w:pPr>
      <w:r w:rsidRPr="00C53BEE">
        <w:rPr>
          <w:sz w:val="24"/>
        </w:rPr>
        <w:t>Ghana : 276.</w:t>
      </w:r>
    </w:p>
    <w:p w14:paraId="7B6AAC4E" w14:textId="77777777" w:rsidR="0039793A" w:rsidRPr="00C53BEE" w:rsidRDefault="0039793A" w:rsidP="0039793A">
      <w:pPr>
        <w:ind w:left="540" w:hanging="540"/>
        <w:jc w:val="both"/>
        <w:rPr>
          <w:sz w:val="24"/>
        </w:rPr>
      </w:pPr>
      <w:r w:rsidRPr="00C53BEE">
        <w:rPr>
          <w:sz w:val="24"/>
        </w:rPr>
        <w:t>Gouvernance globale : 104, 123-124.</w:t>
      </w:r>
    </w:p>
    <w:p w14:paraId="46611862" w14:textId="77777777" w:rsidR="0039793A" w:rsidRPr="00C53BEE" w:rsidRDefault="0039793A" w:rsidP="0039793A">
      <w:pPr>
        <w:ind w:left="540" w:hanging="540"/>
        <w:jc w:val="both"/>
        <w:rPr>
          <w:sz w:val="24"/>
        </w:rPr>
      </w:pPr>
      <w:r w:rsidRPr="00C53BEE">
        <w:rPr>
          <w:sz w:val="24"/>
        </w:rPr>
        <w:t>Gouvernement des juges : 16, 26.</w:t>
      </w:r>
    </w:p>
    <w:p w14:paraId="15F13EBF" w14:textId="77777777" w:rsidR="0039793A" w:rsidRPr="00C53BEE" w:rsidRDefault="0039793A" w:rsidP="0039793A">
      <w:pPr>
        <w:ind w:left="540" w:hanging="540"/>
        <w:jc w:val="both"/>
        <w:rPr>
          <w:sz w:val="24"/>
        </w:rPr>
      </w:pPr>
      <w:r w:rsidRPr="00C53BEE">
        <w:rPr>
          <w:i/>
          <w:iCs/>
          <w:sz w:val="24"/>
        </w:rPr>
        <w:t>Grand Old Party</w:t>
      </w:r>
      <w:r w:rsidRPr="00C53BEE">
        <w:rPr>
          <w:rStyle w:val="Corpsdutexte108ptNonItalique"/>
          <w:sz w:val="24"/>
        </w:rPr>
        <w:t> </w:t>
      </w:r>
      <w:r w:rsidRPr="00C53BEE">
        <w:rPr>
          <w:iCs/>
          <w:sz w:val="24"/>
        </w:rPr>
        <w:t>: 300.</w:t>
      </w:r>
    </w:p>
    <w:p w14:paraId="6300E260" w14:textId="77777777" w:rsidR="0039793A" w:rsidRPr="00C53BEE" w:rsidRDefault="0039793A" w:rsidP="0039793A">
      <w:pPr>
        <w:ind w:left="540" w:hanging="540"/>
        <w:jc w:val="both"/>
        <w:rPr>
          <w:sz w:val="24"/>
        </w:rPr>
      </w:pPr>
      <w:r w:rsidRPr="00C53BEE">
        <w:rPr>
          <w:sz w:val="24"/>
        </w:rPr>
        <w:t>Grande Charte : 18.</w:t>
      </w:r>
    </w:p>
    <w:p w14:paraId="33F97789" w14:textId="77777777" w:rsidR="0039793A" w:rsidRPr="00C53BEE" w:rsidRDefault="0039793A" w:rsidP="0039793A">
      <w:pPr>
        <w:ind w:left="540" w:hanging="540"/>
        <w:jc w:val="both"/>
        <w:rPr>
          <w:sz w:val="24"/>
        </w:rPr>
      </w:pPr>
      <w:r w:rsidRPr="00C53BEE">
        <w:rPr>
          <w:sz w:val="24"/>
        </w:rPr>
        <w:t>Grande-Bretagne : 17-18, 28-29, 43, 49, 51,56, 74, 76, 85-87,93, 299.</w:t>
      </w:r>
    </w:p>
    <w:p w14:paraId="046B8383" w14:textId="77777777" w:rsidR="0039793A" w:rsidRPr="00C53BEE" w:rsidRDefault="0039793A" w:rsidP="0039793A">
      <w:pPr>
        <w:ind w:left="540" w:hanging="540"/>
        <w:jc w:val="both"/>
        <w:rPr>
          <w:sz w:val="24"/>
        </w:rPr>
      </w:pPr>
      <w:r w:rsidRPr="00C53BEE">
        <w:rPr>
          <w:sz w:val="24"/>
        </w:rPr>
        <w:t>Grenade : 65, 148, 188.</w:t>
      </w:r>
    </w:p>
    <w:p w14:paraId="2BA0E9AB" w14:textId="77777777" w:rsidR="0039793A" w:rsidRPr="00C53BEE" w:rsidRDefault="0039793A" w:rsidP="0039793A">
      <w:pPr>
        <w:ind w:left="540" w:hanging="540"/>
        <w:jc w:val="both"/>
        <w:rPr>
          <w:sz w:val="24"/>
        </w:rPr>
      </w:pPr>
      <w:r w:rsidRPr="00C53BEE">
        <w:rPr>
          <w:sz w:val="24"/>
        </w:rPr>
        <w:t>Groupe interdépartemental (voir comité) : 222-223.</w:t>
      </w:r>
    </w:p>
    <w:p w14:paraId="57311DFC" w14:textId="77777777" w:rsidR="0039793A" w:rsidRPr="00C53BEE" w:rsidRDefault="0039793A" w:rsidP="0039793A">
      <w:pPr>
        <w:ind w:left="540" w:hanging="540"/>
        <w:jc w:val="both"/>
        <w:rPr>
          <w:sz w:val="24"/>
        </w:rPr>
      </w:pPr>
      <w:r w:rsidRPr="00C53BEE">
        <w:rPr>
          <w:sz w:val="24"/>
        </w:rPr>
        <w:t>Groupes</w:t>
      </w:r>
    </w:p>
    <w:p w14:paraId="125836B9" w14:textId="77777777" w:rsidR="0039793A" w:rsidRPr="00C53BEE" w:rsidRDefault="0039793A" w:rsidP="0039793A">
      <w:pPr>
        <w:pStyle w:val="i2"/>
      </w:pPr>
      <w:r w:rsidRPr="00C53BEE">
        <w:t>- d’intérêt : 144, 160, 177, 184, 206, 271, 322-323, 328-329, 333.</w:t>
      </w:r>
    </w:p>
    <w:p w14:paraId="5D381971" w14:textId="77777777" w:rsidR="0039793A" w:rsidRPr="00C53BEE" w:rsidRDefault="0039793A" w:rsidP="0039793A">
      <w:pPr>
        <w:pStyle w:val="i2"/>
      </w:pPr>
      <w:r w:rsidRPr="00C53BEE">
        <w:t>- de pression : 160, 318, 321, 322, 324-325, 329-330, 340.</w:t>
      </w:r>
    </w:p>
    <w:p w14:paraId="4C34F3C5" w14:textId="77777777" w:rsidR="0039793A" w:rsidRPr="00C53BEE" w:rsidRDefault="0039793A" w:rsidP="0039793A">
      <w:pPr>
        <w:pStyle w:val="i2"/>
      </w:pPr>
      <w:r w:rsidRPr="00C53BEE">
        <w:t>- ethniques : 66, 271, 296-297, 322, 326-328, 329, 340, 343.</w:t>
      </w:r>
    </w:p>
    <w:p w14:paraId="26789FBD" w14:textId="77777777" w:rsidR="0039793A" w:rsidRPr="00C53BEE" w:rsidRDefault="0039793A" w:rsidP="0039793A">
      <w:pPr>
        <w:ind w:left="540" w:hanging="540"/>
        <w:jc w:val="both"/>
        <w:rPr>
          <w:sz w:val="24"/>
        </w:rPr>
      </w:pPr>
      <w:r w:rsidRPr="00C53BEE">
        <w:rPr>
          <w:sz w:val="24"/>
        </w:rPr>
        <w:t>Guantanamo : 129.</w:t>
      </w:r>
    </w:p>
    <w:p w14:paraId="7C94E0F6" w14:textId="77777777" w:rsidR="0039793A" w:rsidRPr="00C53BEE" w:rsidRDefault="0039793A" w:rsidP="0039793A">
      <w:pPr>
        <w:ind w:left="540" w:hanging="540"/>
        <w:jc w:val="both"/>
        <w:rPr>
          <w:sz w:val="24"/>
        </w:rPr>
      </w:pPr>
      <w:r w:rsidRPr="00C53BEE">
        <w:rPr>
          <w:sz w:val="24"/>
        </w:rPr>
        <w:t>Guatemala : 322.</w:t>
      </w:r>
    </w:p>
    <w:p w14:paraId="76872C42" w14:textId="77777777" w:rsidR="0039793A" w:rsidRPr="00C53BEE" w:rsidRDefault="0039793A" w:rsidP="0039793A">
      <w:pPr>
        <w:ind w:left="540" w:hanging="540"/>
        <w:jc w:val="both"/>
        <w:rPr>
          <w:sz w:val="24"/>
        </w:rPr>
      </w:pPr>
      <w:r w:rsidRPr="00C53BEE">
        <w:rPr>
          <w:sz w:val="24"/>
        </w:rPr>
        <w:t>Guerre</w:t>
      </w:r>
    </w:p>
    <w:p w14:paraId="3AB9D996" w14:textId="77777777" w:rsidR="0039793A" w:rsidRPr="00C53BEE" w:rsidRDefault="0039793A" w:rsidP="0039793A">
      <w:pPr>
        <w:pStyle w:val="i2"/>
      </w:pPr>
      <w:r w:rsidRPr="00C53BEE">
        <w:t>- acte de guerre : 37.</w:t>
      </w:r>
    </w:p>
    <w:p w14:paraId="06DD21D8" w14:textId="77777777" w:rsidR="0039793A" w:rsidRPr="00C53BEE" w:rsidRDefault="0039793A" w:rsidP="0039793A">
      <w:pPr>
        <w:pStyle w:val="i2"/>
      </w:pPr>
      <w:r w:rsidRPr="00C53BEE">
        <w:t>- civile : 50, 58, 71, 152.</w:t>
      </w:r>
    </w:p>
    <w:p w14:paraId="6C68007B" w14:textId="77777777" w:rsidR="0039793A" w:rsidRPr="00C53BEE" w:rsidRDefault="0039793A" w:rsidP="0039793A">
      <w:pPr>
        <w:pStyle w:val="i2"/>
      </w:pPr>
      <w:r w:rsidRPr="00C53BEE">
        <w:t>- de Corée : 65, 148, 200, 220, 233.</w:t>
      </w:r>
    </w:p>
    <w:p w14:paraId="6CE7648B" w14:textId="77777777" w:rsidR="0039793A" w:rsidRPr="00C53BEE" w:rsidRDefault="0039793A" w:rsidP="0039793A">
      <w:pPr>
        <w:pStyle w:val="i2"/>
      </w:pPr>
      <w:r w:rsidRPr="00C53BEE">
        <w:t>- de sécession : 250.</w:t>
      </w:r>
    </w:p>
    <w:p w14:paraId="04091E10" w14:textId="77777777" w:rsidR="0039793A" w:rsidRPr="00C53BEE" w:rsidRDefault="0039793A" w:rsidP="0039793A">
      <w:pPr>
        <w:pStyle w:val="i2"/>
      </w:pPr>
      <w:r w:rsidRPr="00C53BEE">
        <w:t>- de Sept Ans : 17.</w:t>
      </w:r>
    </w:p>
    <w:p w14:paraId="6CD2FF23" w14:textId="77777777" w:rsidR="0039793A" w:rsidRPr="00C53BEE" w:rsidRDefault="0039793A" w:rsidP="0039793A">
      <w:pPr>
        <w:pStyle w:val="i2"/>
      </w:pPr>
      <w:r w:rsidRPr="00C53BEE">
        <w:t>- déclaration de guerre : 29, 85, 150, 152.</w:t>
      </w:r>
    </w:p>
    <w:p w14:paraId="7592CBCF" w14:textId="77777777" w:rsidR="0039793A" w:rsidRPr="00C53BEE" w:rsidRDefault="0039793A" w:rsidP="0039793A">
      <w:pPr>
        <w:pStyle w:val="i2"/>
      </w:pPr>
      <w:r w:rsidRPr="00C53BEE">
        <w:t>- du Golfe : 65, 68, 96, 108, 113, 154, 156, 158, 207, 242, 266, 290, 347.</w:t>
      </w:r>
    </w:p>
    <w:p w14:paraId="1BA1CC32" w14:textId="77777777" w:rsidR="0039793A" w:rsidRPr="00C53BEE" w:rsidRDefault="0039793A" w:rsidP="0039793A">
      <w:pPr>
        <w:pStyle w:val="i2"/>
      </w:pPr>
      <w:r w:rsidRPr="00C53BEE">
        <w:t>- du Vietnam : 64, 66, 137, 139, 158, 174, 228, 248, 251, 261, 279, 302, 306-307, 312, 314.</w:t>
      </w:r>
    </w:p>
    <w:p w14:paraId="292367B7" w14:textId="77777777" w:rsidR="0039793A" w:rsidRPr="00C53BEE" w:rsidRDefault="0039793A" w:rsidP="0039793A">
      <w:pPr>
        <w:pStyle w:val="i2"/>
      </w:pPr>
      <w:r w:rsidRPr="00C53BEE">
        <w:t>- état de guerre : 37.</w:t>
      </w:r>
    </w:p>
    <w:p w14:paraId="4E4EB13E" w14:textId="77777777" w:rsidR="0039793A" w:rsidRPr="00C53BEE" w:rsidRDefault="0039793A" w:rsidP="0039793A">
      <w:pPr>
        <w:pStyle w:val="i2"/>
      </w:pPr>
      <w:r w:rsidRPr="00C53BEE">
        <w:t>- froide : 42, 53, 59, 62-64, 67-68, 78, 87-89, 91-92, 96, 102, 105-106, 108, 110, 112, 114-115, 117, 120- 121, 124-128, 132-134, 137-138, 141, 145-146, 148, 152, 158, 168, 174, 185-186, 198, 213, 233, 242, 248, 250, 252-253, 268-269, 271- 273, 279, 286-287, 290, 293, 295, 299, 302, 309, 312-313, 326, 328, 331, 337, 338.</w:t>
      </w:r>
    </w:p>
    <w:p w14:paraId="3BF28897" w14:textId="77777777" w:rsidR="0039793A" w:rsidRPr="00C53BEE" w:rsidRDefault="0039793A" w:rsidP="0039793A">
      <w:pPr>
        <w:pStyle w:val="i2"/>
      </w:pPr>
      <w:r w:rsidRPr="00C53BEE">
        <w:t>- loi sur les pouvoirs de guerre : 148, 152-155, 156, 251, 256-259-</w:t>
      </w:r>
    </w:p>
    <w:p w14:paraId="626EE65D" w14:textId="77777777" w:rsidR="0039793A" w:rsidRPr="00C53BEE" w:rsidRDefault="0039793A" w:rsidP="0039793A">
      <w:pPr>
        <w:pStyle w:val="i2"/>
      </w:pPr>
      <w:r w:rsidRPr="00C53BEE">
        <w:t>- mondiale : 34, 58, 63, 86, 90, 92, 101, 106, 111-112, 127, 129, 137, 145, 148, 162, 166, 178, 186, 213, 253, 294, 306, 312-313, 315, 320, 326, 343.</w:t>
      </w:r>
    </w:p>
    <w:p w14:paraId="53887200" w14:textId="77777777" w:rsidR="0039793A" w:rsidRPr="00C53BEE" w:rsidRDefault="0039793A" w:rsidP="0039793A">
      <w:pPr>
        <w:pStyle w:val="i2"/>
      </w:pPr>
      <w:r w:rsidRPr="00C53BEE">
        <w:t>- pouvoir de faire : 28.</w:t>
      </w:r>
    </w:p>
    <w:p w14:paraId="348A3946" w14:textId="77777777" w:rsidR="0039793A" w:rsidRPr="00C53BEE" w:rsidRDefault="0039793A" w:rsidP="0039793A">
      <w:pPr>
        <w:pStyle w:val="i2"/>
      </w:pPr>
      <w:r w:rsidRPr="00C53BEE">
        <w:t>- préventive : 346-347.</w:t>
      </w:r>
    </w:p>
    <w:p w14:paraId="35C41303" w14:textId="77777777" w:rsidR="0039793A" w:rsidRPr="00C53BEE" w:rsidRDefault="0039793A" w:rsidP="0039793A">
      <w:pPr>
        <w:ind w:left="540" w:hanging="540"/>
        <w:jc w:val="both"/>
        <w:rPr>
          <w:sz w:val="24"/>
        </w:rPr>
      </w:pPr>
    </w:p>
    <w:p w14:paraId="3E1A3919" w14:textId="77777777" w:rsidR="0039793A" w:rsidRPr="00C53BEE" w:rsidRDefault="0039793A" w:rsidP="0039793A">
      <w:pPr>
        <w:ind w:left="540" w:hanging="540"/>
        <w:jc w:val="both"/>
        <w:rPr>
          <w:sz w:val="24"/>
        </w:rPr>
      </w:pPr>
      <w:r w:rsidRPr="00C53BEE">
        <w:rPr>
          <w:sz w:val="24"/>
        </w:rPr>
        <w:t>Haïti : 68, 88, 98, 120, 149, 155, 243, 266, 297, 307, 328, 344. Haut-Karabakh : 297, 327, 339.</w:t>
      </w:r>
    </w:p>
    <w:p w14:paraId="0F0D5A36" w14:textId="77777777" w:rsidR="0039793A" w:rsidRPr="00C53BEE" w:rsidRDefault="0039793A" w:rsidP="0039793A">
      <w:pPr>
        <w:ind w:left="540" w:hanging="540"/>
        <w:jc w:val="both"/>
        <w:rPr>
          <w:sz w:val="24"/>
        </w:rPr>
      </w:pPr>
      <w:r w:rsidRPr="00C53BEE">
        <w:rPr>
          <w:i/>
          <w:iCs/>
          <w:sz w:val="24"/>
        </w:rPr>
        <w:t>Hearings</w:t>
      </w:r>
      <w:r w:rsidRPr="00C53BEE">
        <w:rPr>
          <w:sz w:val="24"/>
        </w:rPr>
        <w:t> : 255, 266.</w:t>
      </w:r>
    </w:p>
    <w:p w14:paraId="0E4A9333" w14:textId="77777777" w:rsidR="0039793A" w:rsidRPr="00C53BEE" w:rsidRDefault="0039793A" w:rsidP="0039793A">
      <w:pPr>
        <w:ind w:left="540" w:hanging="540"/>
        <w:jc w:val="both"/>
        <w:rPr>
          <w:sz w:val="24"/>
        </w:rPr>
      </w:pPr>
      <w:r w:rsidRPr="00C53BEE">
        <w:rPr>
          <w:i/>
          <w:iCs/>
          <w:sz w:val="24"/>
        </w:rPr>
        <w:t>Hégémon</w:t>
      </w:r>
      <w:r w:rsidRPr="00C53BEE">
        <w:rPr>
          <w:sz w:val="24"/>
        </w:rPr>
        <w:t> : 102, 104, 109.</w:t>
      </w:r>
    </w:p>
    <w:p w14:paraId="5DFDCD3D" w14:textId="77777777" w:rsidR="0039793A" w:rsidRPr="00C53BEE" w:rsidRDefault="0039793A" w:rsidP="0039793A">
      <w:pPr>
        <w:ind w:left="540" w:hanging="540"/>
        <w:jc w:val="both"/>
        <w:rPr>
          <w:sz w:val="24"/>
        </w:rPr>
      </w:pPr>
      <w:r w:rsidRPr="00C53BEE">
        <w:rPr>
          <w:sz w:val="24"/>
        </w:rPr>
        <w:t>Hégémonie : 47-48, 75, 100, 103, 104, 106, 108-110, 113, 115, 121-122, 139.</w:t>
      </w:r>
    </w:p>
    <w:p w14:paraId="6CB78276" w14:textId="77777777" w:rsidR="0039793A" w:rsidRPr="00C53BEE" w:rsidRDefault="0039793A" w:rsidP="0039793A">
      <w:pPr>
        <w:ind w:left="540" w:hanging="540"/>
        <w:jc w:val="both"/>
        <w:rPr>
          <w:sz w:val="24"/>
        </w:rPr>
      </w:pPr>
      <w:r w:rsidRPr="00C53BEE">
        <w:rPr>
          <w:sz w:val="24"/>
        </w:rPr>
        <w:t>Hégémonistes : 80, 102, 104, 109, 113, 120, 139.</w:t>
      </w:r>
    </w:p>
    <w:p w14:paraId="5714D8E2" w14:textId="77777777" w:rsidR="0039793A" w:rsidRPr="00C53BEE" w:rsidRDefault="0039793A" w:rsidP="0039793A">
      <w:pPr>
        <w:ind w:left="540" w:hanging="540"/>
        <w:jc w:val="both"/>
        <w:rPr>
          <w:sz w:val="24"/>
        </w:rPr>
      </w:pPr>
      <w:r w:rsidRPr="00C53BEE">
        <w:rPr>
          <w:sz w:val="24"/>
        </w:rPr>
        <w:t>Heritage Foundation</w:t>
      </w:r>
      <w:r w:rsidRPr="00C53BEE">
        <w:rPr>
          <w:rStyle w:val="Corpsdutexte108ptNonItalique"/>
          <w:sz w:val="24"/>
        </w:rPr>
        <w:t> </w:t>
      </w:r>
      <w:r w:rsidRPr="00C53BEE">
        <w:rPr>
          <w:iCs/>
          <w:sz w:val="24"/>
        </w:rPr>
        <w:t>: 320-321.</w:t>
      </w:r>
    </w:p>
    <w:p w14:paraId="55D14538" w14:textId="77777777" w:rsidR="0039793A" w:rsidRPr="00C53BEE" w:rsidRDefault="0039793A" w:rsidP="0039793A">
      <w:pPr>
        <w:ind w:left="540" w:hanging="540"/>
        <w:jc w:val="both"/>
        <w:rPr>
          <w:sz w:val="24"/>
        </w:rPr>
      </w:pPr>
      <w:r w:rsidRPr="00C53BEE">
        <w:rPr>
          <w:sz w:val="24"/>
        </w:rPr>
        <w:t>Hong Kong : 133.</w:t>
      </w:r>
    </w:p>
    <w:p w14:paraId="58595D7E" w14:textId="77777777" w:rsidR="0039793A" w:rsidRPr="00C53BEE" w:rsidRDefault="0039793A" w:rsidP="0039793A">
      <w:pPr>
        <w:ind w:left="540" w:hanging="540"/>
        <w:jc w:val="both"/>
        <w:rPr>
          <w:sz w:val="24"/>
        </w:rPr>
      </w:pPr>
      <w:r w:rsidRPr="00C53BEE">
        <w:rPr>
          <w:sz w:val="24"/>
        </w:rPr>
        <w:t>Hughes Electronics :</w:t>
      </w:r>
      <w:r w:rsidRPr="00C53BEE">
        <w:rPr>
          <w:rStyle w:val="Corpsdutexte108ptNonItalique"/>
          <w:sz w:val="24"/>
        </w:rPr>
        <w:t xml:space="preserve"> </w:t>
      </w:r>
      <w:r w:rsidRPr="00C53BEE">
        <w:rPr>
          <w:sz w:val="24"/>
        </w:rPr>
        <w:t>334.</w:t>
      </w:r>
    </w:p>
    <w:p w14:paraId="7764970B" w14:textId="77777777" w:rsidR="0039793A" w:rsidRPr="00C53BEE" w:rsidRDefault="0039793A" w:rsidP="0039793A">
      <w:pPr>
        <w:ind w:left="540" w:hanging="540"/>
        <w:jc w:val="both"/>
        <w:rPr>
          <w:sz w:val="24"/>
        </w:rPr>
      </w:pPr>
      <w:r w:rsidRPr="00C53BEE">
        <w:rPr>
          <w:sz w:val="24"/>
        </w:rPr>
        <w:t>Hughes-Ryan : 267.</w:t>
      </w:r>
    </w:p>
    <w:p w14:paraId="69036CE4" w14:textId="77777777" w:rsidR="0039793A" w:rsidRPr="00C53BEE" w:rsidRDefault="0039793A" w:rsidP="0039793A">
      <w:pPr>
        <w:ind w:left="540" w:hanging="540"/>
        <w:jc w:val="both"/>
        <w:rPr>
          <w:sz w:val="24"/>
        </w:rPr>
      </w:pPr>
      <w:r w:rsidRPr="00C53BEE">
        <w:rPr>
          <w:i/>
          <w:iCs/>
          <w:sz w:val="24"/>
        </w:rPr>
        <w:t>Human Rights Watch</w:t>
      </w:r>
      <w:r w:rsidRPr="00C53BEE">
        <w:rPr>
          <w:sz w:val="24"/>
        </w:rPr>
        <w:t> : 324-325, 339.</w:t>
      </w:r>
    </w:p>
    <w:p w14:paraId="4375563F" w14:textId="77777777" w:rsidR="0039793A" w:rsidRPr="00C53BEE" w:rsidRDefault="0039793A" w:rsidP="0039793A">
      <w:pPr>
        <w:ind w:left="540" w:hanging="540"/>
        <w:jc w:val="both"/>
        <w:rPr>
          <w:sz w:val="24"/>
        </w:rPr>
      </w:pPr>
      <w:r w:rsidRPr="00C53BEE">
        <w:rPr>
          <w:sz w:val="24"/>
        </w:rPr>
        <w:t>Hyper-puissance : 141, 158, 248.</w:t>
      </w:r>
    </w:p>
    <w:p w14:paraId="077A8C8D" w14:textId="77777777" w:rsidR="0039793A" w:rsidRPr="00C53BEE" w:rsidRDefault="0039793A" w:rsidP="0039793A">
      <w:pPr>
        <w:ind w:left="540" w:hanging="540"/>
        <w:jc w:val="both"/>
        <w:rPr>
          <w:sz w:val="24"/>
        </w:rPr>
      </w:pPr>
    </w:p>
    <w:p w14:paraId="036EB2A7" w14:textId="77777777" w:rsidR="0039793A" w:rsidRPr="00C53BEE" w:rsidRDefault="0039793A" w:rsidP="0039793A">
      <w:pPr>
        <w:ind w:left="540" w:hanging="540"/>
        <w:jc w:val="both"/>
        <w:rPr>
          <w:sz w:val="24"/>
        </w:rPr>
      </w:pPr>
      <w:r w:rsidRPr="00C53BEE">
        <w:rPr>
          <w:sz w:val="24"/>
        </w:rPr>
        <w:t>Idéalisme : 44, 77-78, 80, 84-88, 89-90, 92, 94-95, 99, 169, 313.</w:t>
      </w:r>
    </w:p>
    <w:p w14:paraId="48C85156" w14:textId="77777777" w:rsidR="0039793A" w:rsidRPr="00C53BEE" w:rsidRDefault="0039793A" w:rsidP="0039793A">
      <w:pPr>
        <w:ind w:left="540" w:hanging="540"/>
        <w:jc w:val="both"/>
        <w:rPr>
          <w:sz w:val="24"/>
        </w:rPr>
      </w:pPr>
      <w:r w:rsidRPr="00C53BEE">
        <w:rPr>
          <w:sz w:val="24"/>
        </w:rPr>
        <w:t>Idéalistes : 42, 77-78, 84, 86-89, 93-94, 100, 102, 104, 109, 123-126.</w:t>
      </w:r>
    </w:p>
    <w:p w14:paraId="47E53193" w14:textId="77777777" w:rsidR="0039793A" w:rsidRPr="00C53BEE" w:rsidRDefault="0039793A" w:rsidP="0039793A">
      <w:pPr>
        <w:ind w:left="540" w:hanging="540"/>
        <w:jc w:val="both"/>
        <w:rPr>
          <w:sz w:val="24"/>
        </w:rPr>
      </w:pPr>
      <w:r w:rsidRPr="00C53BEE">
        <w:rPr>
          <w:sz w:val="24"/>
        </w:rPr>
        <w:t>IFOR : 259.</w:t>
      </w:r>
    </w:p>
    <w:p w14:paraId="3EABAC5E" w14:textId="77777777" w:rsidR="0039793A" w:rsidRPr="00C53BEE" w:rsidRDefault="0039793A" w:rsidP="0039793A">
      <w:pPr>
        <w:ind w:left="540" w:hanging="540"/>
        <w:jc w:val="both"/>
        <w:rPr>
          <w:sz w:val="24"/>
        </w:rPr>
      </w:pPr>
      <w:r w:rsidRPr="00C53BEE">
        <w:rPr>
          <w:sz w:val="24"/>
        </w:rPr>
        <w:t>Immigration</w:t>
      </w:r>
    </w:p>
    <w:p w14:paraId="5B00756D" w14:textId="77777777" w:rsidR="0039793A" w:rsidRPr="00C53BEE" w:rsidRDefault="0039793A" w:rsidP="0039793A">
      <w:pPr>
        <w:ind w:left="540" w:hanging="540"/>
        <w:jc w:val="both"/>
        <w:rPr>
          <w:sz w:val="24"/>
        </w:rPr>
      </w:pPr>
      <w:r w:rsidRPr="00C53BEE">
        <w:rPr>
          <w:sz w:val="24"/>
        </w:rPr>
        <w:t>Immigrants illégaux : 205.</w:t>
      </w:r>
    </w:p>
    <w:p w14:paraId="3BA5CA4A" w14:textId="77777777" w:rsidR="0039793A" w:rsidRPr="00C53BEE" w:rsidRDefault="0039793A" w:rsidP="0039793A">
      <w:pPr>
        <w:ind w:left="540" w:hanging="540"/>
        <w:jc w:val="both"/>
        <w:rPr>
          <w:sz w:val="24"/>
        </w:rPr>
      </w:pPr>
      <w:r w:rsidRPr="00C53BEE">
        <w:rPr>
          <w:sz w:val="24"/>
        </w:rPr>
        <w:t>Immigration and Naturalization Service : 257,267.</w:t>
      </w:r>
    </w:p>
    <w:p w14:paraId="624E3DBD" w14:textId="77777777" w:rsidR="0039793A" w:rsidRPr="00C53BEE" w:rsidRDefault="0039793A" w:rsidP="0039793A">
      <w:pPr>
        <w:ind w:left="540" w:hanging="540"/>
        <w:jc w:val="both"/>
        <w:rPr>
          <w:sz w:val="24"/>
        </w:rPr>
      </w:pPr>
      <w:r w:rsidRPr="00C53BEE">
        <w:rPr>
          <w:sz w:val="24"/>
        </w:rPr>
        <w:t>Impérialisme : 77, 83, 97, 105, 136, 138, 162, 345, 346.</w:t>
      </w:r>
    </w:p>
    <w:p w14:paraId="6EA37916" w14:textId="77777777" w:rsidR="0039793A" w:rsidRPr="00C53BEE" w:rsidRDefault="0039793A" w:rsidP="0039793A">
      <w:pPr>
        <w:ind w:left="540" w:hanging="540"/>
        <w:jc w:val="both"/>
        <w:rPr>
          <w:sz w:val="24"/>
        </w:rPr>
      </w:pPr>
      <w:r w:rsidRPr="00C53BEE">
        <w:rPr>
          <w:sz w:val="24"/>
        </w:rPr>
        <w:t>Impôt : 17, 19, 321.</w:t>
      </w:r>
    </w:p>
    <w:p w14:paraId="106943BF" w14:textId="77777777" w:rsidR="0039793A" w:rsidRPr="00C53BEE" w:rsidRDefault="0039793A" w:rsidP="0039793A">
      <w:pPr>
        <w:ind w:left="540" w:hanging="540"/>
        <w:jc w:val="both"/>
        <w:rPr>
          <w:sz w:val="24"/>
        </w:rPr>
      </w:pPr>
      <w:r w:rsidRPr="00C53BEE">
        <w:rPr>
          <w:sz w:val="24"/>
        </w:rPr>
        <w:t>Inde : 276, 311, 342.</w:t>
      </w:r>
    </w:p>
    <w:p w14:paraId="3158A884" w14:textId="77777777" w:rsidR="0039793A" w:rsidRPr="00C53BEE" w:rsidRDefault="0039793A" w:rsidP="0039793A">
      <w:pPr>
        <w:ind w:left="540" w:hanging="540"/>
        <w:jc w:val="both"/>
        <w:rPr>
          <w:sz w:val="24"/>
        </w:rPr>
      </w:pPr>
      <w:r w:rsidRPr="00C53BEE">
        <w:rPr>
          <w:sz w:val="24"/>
        </w:rPr>
        <w:t>Indépendance : 17-19, 22, 39, 44, 46, 48-50, 55-57, 61, 74, 86, 89, 185, 188, 293, 301-302.</w:t>
      </w:r>
    </w:p>
    <w:p w14:paraId="31459749" w14:textId="77777777" w:rsidR="0039793A" w:rsidRPr="00C53BEE" w:rsidRDefault="0039793A" w:rsidP="0039793A">
      <w:pPr>
        <w:ind w:left="540" w:hanging="540"/>
        <w:jc w:val="both"/>
        <w:rPr>
          <w:sz w:val="24"/>
        </w:rPr>
      </w:pPr>
      <w:r w:rsidRPr="00C53BEE">
        <w:rPr>
          <w:sz w:val="24"/>
        </w:rPr>
        <w:t>Individualisme : 45, 86, 276, 280, 283.</w:t>
      </w:r>
    </w:p>
    <w:p w14:paraId="55C9A25C" w14:textId="77777777" w:rsidR="0039793A" w:rsidRPr="00C53BEE" w:rsidRDefault="0039793A" w:rsidP="0039793A">
      <w:pPr>
        <w:ind w:left="540" w:hanging="540"/>
        <w:jc w:val="both"/>
        <w:rPr>
          <w:sz w:val="24"/>
        </w:rPr>
      </w:pPr>
      <w:r w:rsidRPr="00C53BEE">
        <w:rPr>
          <w:sz w:val="24"/>
        </w:rPr>
        <w:t>Indochine : 35.</w:t>
      </w:r>
    </w:p>
    <w:p w14:paraId="33669145" w14:textId="77777777" w:rsidR="0039793A" w:rsidRPr="00C53BEE" w:rsidRDefault="0039793A" w:rsidP="0039793A">
      <w:pPr>
        <w:ind w:left="540" w:hanging="540"/>
        <w:jc w:val="both"/>
        <w:rPr>
          <w:sz w:val="24"/>
        </w:rPr>
      </w:pPr>
      <w:r w:rsidRPr="00C53BEE">
        <w:rPr>
          <w:sz w:val="24"/>
        </w:rPr>
        <w:t>Indonésie : 87, 277.</w:t>
      </w:r>
    </w:p>
    <w:p w14:paraId="00DFC27C" w14:textId="77777777" w:rsidR="0039793A" w:rsidRPr="00C53BEE" w:rsidRDefault="0039793A" w:rsidP="0039793A">
      <w:pPr>
        <w:ind w:left="540" w:hanging="540"/>
        <w:jc w:val="both"/>
        <w:rPr>
          <w:sz w:val="24"/>
        </w:rPr>
      </w:pPr>
      <w:r w:rsidRPr="00C53BEE">
        <w:rPr>
          <w:sz w:val="24"/>
        </w:rPr>
        <w:t>Ingénierie sociale : 62.</w:t>
      </w:r>
    </w:p>
    <w:p w14:paraId="2334CE4A" w14:textId="77777777" w:rsidR="0039793A" w:rsidRPr="00C53BEE" w:rsidRDefault="0039793A" w:rsidP="0039793A">
      <w:pPr>
        <w:ind w:left="540" w:hanging="540"/>
        <w:jc w:val="both"/>
        <w:rPr>
          <w:sz w:val="24"/>
        </w:rPr>
      </w:pPr>
      <w:r w:rsidRPr="00C53BEE">
        <w:rPr>
          <w:sz w:val="24"/>
        </w:rPr>
        <w:t xml:space="preserve">INR </w:t>
      </w:r>
      <w:r w:rsidRPr="00C53BEE">
        <w:rPr>
          <w:i/>
          <w:iCs/>
          <w:sz w:val="24"/>
        </w:rPr>
        <w:t>(Intelligence and Research)</w:t>
      </w:r>
      <w:r w:rsidRPr="00C53BEE">
        <w:rPr>
          <w:sz w:val="24"/>
        </w:rPr>
        <w:t> : 196.</w:t>
      </w:r>
    </w:p>
    <w:p w14:paraId="3BDAAC0D" w14:textId="77777777" w:rsidR="0039793A" w:rsidRPr="00C53BEE" w:rsidRDefault="0039793A" w:rsidP="0039793A">
      <w:pPr>
        <w:ind w:left="540" w:hanging="540"/>
        <w:jc w:val="both"/>
        <w:rPr>
          <w:sz w:val="24"/>
        </w:rPr>
      </w:pPr>
      <w:r w:rsidRPr="00C53BEE">
        <w:rPr>
          <w:sz w:val="24"/>
        </w:rPr>
        <w:t>Institutionnalistes : 102, 104, 109, 110- 114, 139.</w:t>
      </w:r>
    </w:p>
    <w:p w14:paraId="4F07326B" w14:textId="77777777" w:rsidR="0039793A" w:rsidRPr="00C53BEE" w:rsidRDefault="0039793A" w:rsidP="0039793A">
      <w:pPr>
        <w:ind w:left="540" w:hanging="540"/>
        <w:jc w:val="both"/>
        <w:rPr>
          <w:sz w:val="24"/>
        </w:rPr>
      </w:pPr>
      <w:r w:rsidRPr="00C53BEE">
        <w:rPr>
          <w:sz w:val="24"/>
        </w:rPr>
        <w:t>Institutions internationales : 72, 77, 81, 94,97, 100, 104, 108-111, 114, 116, 118-119, 124-125, 129.</w:t>
      </w:r>
    </w:p>
    <w:p w14:paraId="62262429" w14:textId="77777777" w:rsidR="0039793A" w:rsidRPr="00C53BEE" w:rsidRDefault="0039793A" w:rsidP="0039793A">
      <w:pPr>
        <w:ind w:left="540" w:hanging="540"/>
        <w:jc w:val="both"/>
        <w:rPr>
          <w:sz w:val="24"/>
        </w:rPr>
      </w:pPr>
      <w:r w:rsidRPr="00C53BEE">
        <w:rPr>
          <w:sz w:val="24"/>
        </w:rPr>
        <w:t>Institutions militaires : 185, 189, 301- 302.</w:t>
      </w:r>
    </w:p>
    <w:p w14:paraId="6C462B4F" w14:textId="77777777" w:rsidR="0039793A" w:rsidRPr="00C53BEE" w:rsidRDefault="0039793A" w:rsidP="0039793A">
      <w:pPr>
        <w:ind w:left="540" w:hanging="540"/>
        <w:jc w:val="both"/>
        <w:rPr>
          <w:sz w:val="24"/>
        </w:rPr>
      </w:pPr>
      <w:r w:rsidRPr="00C53BEE">
        <w:rPr>
          <w:i/>
          <w:iCs/>
          <w:sz w:val="24"/>
        </w:rPr>
        <w:t>Intelligence Oversight</w:t>
      </w:r>
      <w:r w:rsidRPr="00C53BEE">
        <w:rPr>
          <w:sz w:val="24"/>
        </w:rPr>
        <w:t> : 197, 199.</w:t>
      </w:r>
    </w:p>
    <w:p w14:paraId="5AF85D8C" w14:textId="77777777" w:rsidR="0039793A" w:rsidRPr="00C53BEE" w:rsidRDefault="0039793A" w:rsidP="0039793A">
      <w:pPr>
        <w:ind w:left="540" w:hanging="540"/>
        <w:jc w:val="both"/>
        <w:rPr>
          <w:sz w:val="24"/>
        </w:rPr>
      </w:pPr>
      <w:r w:rsidRPr="00C53BEE">
        <w:rPr>
          <w:sz w:val="24"/>
        </w:rPr>
        <w:t>Interdépendance : 96, 105, 132, 159, 183.204.</w:t>
      </w:r>
    </w:p>
    <w:p w14:paraId="0529BAC6" w14:textId="77777777" w:rsidR="0039793A" w:rsidRPr="00C53BEE" w:rsidRDefault="0039793A" w:rsidP="0039793A">
      <w:pPr>
        <w:ind w:left="540" w:hanging="540"/>
        <w:jc w:val="both"/>
        <w:rPr>
          <w:sz w:val="24"/>
        </w:rPr>
      </w:pPr>
      <w:r w:rsidRPr="00C53BEE">
        <w:rPr>
          <w:sz w:val="24"/>
        </w:rPr>
        <w:t>Intérêt</w:t>
      </w:r>
    </w:p>
    <w:p w14:paraId="2CEEFB86" w14:textId="77777777" w:rsidR="0039793A" w:rsidRPr="00C53BEE" w:rsidRDefault="0039793A" w:rsidP="0039793A">
      <w:pPr>
        <w:pStyle w:val="i2"/>
      </w:pPr>
      <w:r w:rsidRPr="00C53BEE">
        <w:t xml:space="preserve">- bureaucratique : 189, 191, 209, 237. </w:t>
      </w:r>
    </w:p>
    <w:p w14:paraId="673402FE" w14:textId="77777777" w:rsidR="0039793A" w:rsidRPr="00C53BEE" w:rsidRDefault="0039793A" w:rsidP="0039793A">
      <w:pPr>
        <w:pStyle w:val="i2"/>
      </w:pPr>
      <w:r w:rsidRPr="00C53BEE">
        <w:t>- général : 30, 297, 318.</w:t>
      </w:r>
    </w:p>
    <w:p w14:paraId="5163B6C5" w14:textId="77777777" w:rsidR="0039793A" w:rsidRPr="00C53BEE" w:rsidRDefault="0039793A" w:rsidP="0039793A">
      <w:pPr>
        <w:ind w:left="540" w:hanging="540"/>
        <w:jc w:val="both"/>
        <w:rPr>
          <w:sz w:val="24"/>
        </w:rPr>
      </w:pPr>
      <w:r w:rsidRPr="00C53BEE">
        <w:rPr>
          <w:sz w:val="24"/>
        </w:rPr>
        <w:t>[377]</w:t>
      </w:r>
    </w:p>
    <w:p w14:paraId="79677E00" w14:textId="77777777" w:rsidR="0039793A" w:rsidRPr="00C53BEE" w:rsidRDefault="0039793A" w:rsidP="0039793A">
      <w:pPr>
        <w:pStyle w:val="i2"/>
      </w:pPr>
      <w:r w:rsidRPr="00C53BEE">
        <w:t>- national : 36, 38, 71-72, 74, 77, 79, 85, 90, 93-94, 97, 102-104, 108, 110, 114, 116, 118-119, 124-125, 133, 137, 160, 168, 183, 198, 205-206, 208, 213, 250, 277, 284, 298, 300, 312, 323-324, 329, 332, 336, 338, 342-343.</w:t>
      </w:r>
    </w:p>
    <w:p w14:paraId="1259CF6C" w14:textId="77777777" w:rsidR="0039793A" w:rsidRPr="00C53BEE" w:rsidRDefault="0039793A" w:rsidP="0039793A">
      <w:pPr>
        <w:ind w:left="540" w:hanging="540"/>
        <w:jc w:val="both"/>
        <w:rPr>
          <w:sz w:val="24"/>
        </w:rPr>
      </w:pPr>
      <w:r w:rsidRPr="00C53BEE">
        <w:rPr>
          <w:sz w:val="24"/>
        </w:rPr>
        <w:t>Intérêts</w:t>
      </w:r>
    </w:p>
    <w:p w14:paraId="1A771ACF" w14:textId="77777777" w:rsidR="0039793A" w:rsidRPr="00C53BEE" w:rsidRDefault="0039793A" w:rsidP="0039793A">
      <w:pPr>
        <w:pStyle w:val="i2"/>
      </w:pPr>
      <w:r w:rsidRPr="00C53BEE">
        <w:t>- locaux : 36.</w:t>
      </w:r>
    </w:p>
    <w:p w14:paraId="664C2FFE" w14:textId="77777777" w:rsidR="0039793A" w:rsidRPr="00C53BEE" w:rsidRDefault="0039793A" w:rsidP="0039793A">
      <w:pPr>
        <w:pStyle w:val="i2"/>
      </w:pPr>
      <w:r w:rsidRPr="00C53BEE">
        <w:t>- particuliers : 30, 178, 188, 248, 316, 318, 322, 329-330, 332, 335, 337, 342-343, 349.</w:t>
      </w:r>
    </w:p>
    <w:p w14:paraId="13DA1757" w14:textId="77777777" w:rsidR="0039793A" w:rsidRPr="00C53BEE" w:rsidRDefault="0039793A" w:rsidP="0039793A">
      <w:pPr>
        <w:pStyle w:val="i2"/>
      </w:pPr>
      <w:r w:rsidRPr="00C53BEE">
        <w:t>- privés : 318, 323, 336.</w:t>
      </w:r>
    </w:p>
    <w:p w14:paraId="30BE25F2" w14:textId="77777777" w:rsidR="0039793A" w:rsidRPr="00C53BEE" w:rsidRDefault="0039793A" w:rsidP="0039793A">
      <w:pPr>
        <w:ind w:left="540" w:hanging="540"/>
        <w:jc w:val="both"/>
        <w:rPr>
          <w:sz w:val="24"/>
        </w:rPr>
      </w:pPr>
      <w:r w:rsidRPr="00C53BEE">
        <w:rPr>
          <w:i/>
          <w:iCs/>
          <w:sz w:val="24"/>
        </w:rPr>
        <w:t>International Religious Freedom Act</w:t>
      </w:r>
      <w:r w:rsidRPr="00C53BEE">
        <w:rPr>
          <w:rStyle w:val="Corpsdutexte108ptNonItalique"/>
          <w:sz w:val="24"/>
        </w:rPr>
        <w:t> </w:t>
      </w:r>
      <w:r w:rsidRPr="00C53BEE">
        <w:rPr>
          <w:iCs/>
          <w:sz w:val="24"/>
        </w:rPr>
        <w:t>: 337- 338.</w:t>
      </w:r>
    </w:p>
    <w:p w14:paraId="09C27761" w14:textId="77777777" w:rsidR="0039793A" w:rsidRPr="00C53BEE" w:rsidRDefault="0039793A" w:rsidP="0039793A">
      <w:pPr>
        <w:ind w:left="540" w:hanging="540"/>
        <w:jc w:val="both"/>
        <w:rPr>
          <w:sz w:val="24"/>
        </w:rPr>
      </w:pPr>
      <w:r w:rsidRPr="00C53BEE">
        <w:rPr>
          <w:sz w:val="24"/>
        </w:rPr>
        <w:t>Internationalisme : 75, 77, 78, 108, 179, 250, 271, 289-290, 292-296, 299, 303, 323.</w:t>
      </w:r>
    </w:p>
    <w:p w14:paraId="046A7C24" w14:textId="77777777" w:rsidR="0039793A" w:rsidRPr="00C53BEE" w:rsidRDefault="0039793A" w:rsidP="0039793A">
      <w:pPr>
        <w:ind w:left="540" w:hanging="540"/>
        <w:jc w:val="both"/>
        <w:rPr>
          <w:sz w:val="24"/>
        </w:rPr>
      </w:pPr>
      <w:r w:rsidRPr="00C53BEE">
        <w:rPr>
          <w:sz w:val="24"/>
        </w:rPr>
        <w:t>Internationalisme libéral : 77-78, 80, 94, 99, 108-109, 299.</w:t>
      </w:r>
    </w:p>
    <w:p w14:paraId="04291187" w14:textId="77777777" w:rsidR="0039793A" w:rsidRPr="00C53BEE" w:rsidRDefault="0039793A" w:rsidP="0039793A">
      <w:pPr>
        <w:ind w:left="540" w:hanging="540"/>
        <w:jc w:val="both"/>
        <w:rPr>
          <w:sz w:val="24"/>
        </w:rPr>
      </w:pPr>
      <w:r w:rsidRPr="00C53BEE">
        <w:rPr>
          <w:sz w:val="24"/>
        </w:rPr>
        <w:t xml:space="preserve">Internet : 305, 309- </w:t>
      </w:r>
    </w:p>
    <w:p w14:paraId="36920E1C" w14:textId="77777777" w:rsidR="0039793A" w:rsidRPr="00C53BEE" w:rsidRDefault="0039793A" w:rsidP="0039793A">
      <w:pPr>
        <w:ind w:left="540" w:hanging="540"/>
        <w:jc w:val="both"/>
        <w:rPr>
          <w:sz w:val="24"/>
        </w:rPr>
      </w:pPr>
      <w:r w:rsidRPr="00C53BEE">
        <w:rPr>
          <w:sz w:val="24"/>
        </w:rPr>
        <w:t>Intervention</w:t>
      </w:r>
    </w:p>
    <w:p w14:paraId="1C340624" w14:textId="77777777" w:rsidR="0039793A" w:rsidRPr="00C53BEE" w:rsidRDefault="0039793A" w:rsidP="0039793A">
      <w:pPr>
        <w:pStyle w:val="i2"/>
      </w:pPr>
      <w:r w:rsidRPr="00C53BEE">
        <w:t>- armée : 37, 120, 148, 192.</w:t>
      </w:r>
    </w:p>
    <w:p w14:paraId="12DC4EE0" w14:textId="77777777" w:rsidR="0039793A" w:rsidRPr="00C53BEE" w:rsidRDefault="0039793A" w:rsidP="0039793A">
      <w:pPr>
        <w:pStyle w:val="i2"/>
      </w:pPr>
      <w:r w:rsidRPr="00C53BEE">
        <w:t>- humanitaire : 97, 125.</w:t>
      </w:r>
    </w:p>
    <w:p w14:paraId="28CA98E8" w14:textId="77777777" w:rsidR="0039793A" w:rsidRPr="00C53BEE" w:rsidRDefault="0039793A" w:rsidP="0039793A">
      <w:pPr>
        <w:pStyle w:val="i2"/>
      </w:pPr>
      <w:r w:rsidRPr="00C53BEE">
        <w:t>- militaire : 27, 32-33, 35-36, 65, 103, 137, 144, 147-148, 155, 161, 183, 186, 244, 270, 307, 310, 312, 314, 325, 349.</w:t>
      </w:r>
    </w:p>
    <w:p w14:paraId="7F58B23A" w14:textId="77777777" w:rsidR="0039793A" w:rsidRPr="00C53BEE" w:rsidRDefault="0039793A" w:rsidP="0039793A">
      <w:pPr>
        <w:ind w:left="540" w:hanging="540"/>
        <w:jc w:val="both"/>
        <w:rPr>
          <w:sz w:val="24"/>
        </w:rPr>
      </w:pPr>
      <w:r w:rsidRPr="00C53BEE">
        <w:rPr>
          <w:sz w:val="24"/>
        </w:rPr>
        <w:t>Irak : 32-33, 35, 48, 65, 72, 96, 112- 114, 116, 120, 124, 139, 148, 151, 155, 159, 185, 192, 199, 200, 253, 257-260, 262, 283, 292, 296, 297, 307,310-315, 346-350.</w:t>
      </w:r>
    </w:p>
    <w:p w14:paraId="08BA52E2" w14:textId="77777777" w:rsidR="0039793A" w:rsidRPr="00C53BEE" w:rsidRDefault="0039793A" w:rsidP="0039793A">
      <w:pPr>
        <w:ind w:left="540" w:hanging="540"/>
        <w:jc w:val="both"/>
        <w:rPr>
          <w:sz w:val="24"/>
        </w:rPr>
      </w:pPr>
      <w:r w:rsidRPr="00C53BEE">
        <w:rPr>
          <w:sz w:val="24"/>
        </w:rPr>
        <w:t>Iran : 30, 67, 88, 151, 156, 158, 161, 185, 188, 200, 227, 239, 241, 260- 261, 264, 278, 307.</w:t>
      </w:r>
    </w:p>
    <w:p w14:paraId="6F0A6CA9" w14:textId="77777777" w:rsidR="0039793A" w:rsidRPr="00C53BEE" w:rsidRDefault="0039793A" w:rsidP="0039793A">
      <w:pPr>
        <w:ind w:left="540" w:hanging="540"/>
        <w:jc w:val="both"/>
        <w:rPr>
          <w:sz w:val="24"/>
        </w:rPr>
      </w:pPr>
      <w:r w:rsidRPr="00C53BEE">
        <w:rPr>
          <w:sz w:val="24"/>
        </w:rPr>
        <w:t>Iran-Contra : 158, 174, 199, 228, 241- 242, 260, 267.</w:t>
      </w:r>
    </w:p>
    <w:p w14:paraId="7DF770F3" w14:textId="77777777" w:rsidR="0039793A" w:rsidRPr="00C53BEE" w:rsidRDefault="0039793A" w:rsidP="0039793A">
      <w:pPr>
        <w:ind w:left="540" w:hanging="540"/>
        <w:jc w:val="both"/>
        <w:rPr>
          <w:sz w:val="24"/>
        </w:rPr>
      </w:pPr>
      <w:r w:rsidRPr="00C53BEE">
        <w:rPr>
          <w:sz w:val="24"/>
        </w:rPr>
        <w:t>Irlande du Nord : 68, 97, 151, 332.</w:t>
      </w:r>
    </w:p>
    <w:p w14:paraId="18B5074D" w14:textId="77777777" w:rsidR="0039793A" w:rsidRPr="00C53BEE" w:rsidRDefault="0039793A" w:rsidP="0039793A">
      <w:pPr>
        <w:ind w:left="540" w:hanging="540"/>
        <w:jc w:val="both"/>
        <w:rPr>
          <w:sz w:val="24"/>
        </w:rPr>
      </w:pPr>
      <w:r w:rsidRPr="00C53BEE">
        <w:rPr>
          <w:sz w:val="24"/>
        </w:rPr>
        <w:t>Islamabad : 342.</w:t>
      </w:r>
    </w:p>
    <w:p w14:paraId="73E5D389" w14:textId="77777777" w:rsidR="0039793A" w:rsidRPr="00C53BEE" w:rsidRDefault="0039793A" w:rsidP="0039793A">
      <w:pPr>
        <w:ind w:left="540" w:hanging="540"/>
        <w:jc w:val="both"/>
        <w:rPr>
          <w:sz w:val="24"/>
        </w:rPr>
      </w:pPr>
      <w:r w:rsidRPr="00C53BEE">
        <w:rPr>
          <w:sz w:val="24"/>
        </w:rPr>
        <w:t>Isolationnisme : 51, 53, 56, 75-77, 80, 81-84, 91, 94, 99-100, 102, 105, 108, 128, 130-131, 136-139, 168, 250, 286-287, 289-290, 292-294, 297, 299, 302.</w:t>
      </w:r>
    </w:p>
    <w:p w14:paraId="52F1224F" w14:textId="77777777" w:rsidR="0039793A" w:rsidRPr="00C53BEE" w:rsidRDefault="0039793A" w:rsidP="0039793A">
      <w:pPr>
        <w:ind w:left="540" w:hanging="540"/>
        <w:jc w:val="both"/>
        <w:rPr>
          <w:sz w:val="24"/>
        </w:rPr>
      </w:pPr>
      <w:r w:rsidRPr="00C53BEE">
        <w:rPr>
          <w:sz w:val="24"/>
        </w:rPr>
        <w:t>Israël : 67, 69, 97, 150, 157, 330, 337.</w:t>
      </w:r>
    </w:p>
    <w:p w14:paraId="07BE0E23" w14:textId="77777777" w:rsidR="0039793A" w:rsidRPr="00C53BEE" w:rsidRDefault="0039793A" w:rsidP="0039793A">
      <w:pPr>
        <w:ind w:left="540" w:hanging="540"/>
        <w:jc w:val="both"/>
        <w:rPr>
          <w:sz w:val="24"/>
        </w:rPr>
      </w:pPr>
    </w:p>
    <w:p w14:paraId="21311B99" w14:textId="77777777" w:rsidR="0039793A" w:rsidRPr="00C53BEE" w:rsidRDefault="0039793A" w:rsidP="0039793A">
      <w:pPr>
        <w:ind w:left="540" w:hanging="540"/>
        <w:jc w:val="both"/>
        <w:rPr>
          <w:sz w:val="24"/>
        </w:rPr>
      </w:pPr>
      <w:r w:rsidRPr="00C53BEE">
        <w:rPr>
          <w:sz w:val="24"/>
        </w:rPr>
        <w:t>Jacksonisme : 302, 314.</w:t>
      </w:r>
    </w:p>
    <w:p w14:paraId="73FC8FF9" w14:textId="77777777" w:rsidR="0039793A" w:rsidRPr="00C53BEE" w:rsidRDefault="0039793A" w:rsidP="0039793A">
      <w:pPr>
        <w:ind w:left="540" w:hanging="540"/>
        <w:jc w:val="both"/>
        <w:rPr>
          <w:sz w:val="24"/>
        </w:rPr>
      </w:pPr>
      <w:r w:rsidRPr="00C53BEE">
        <w:rPr>
          <w:sz w:val="24"/>
        </w:rPr>
        <w:t>Japon : 31, 53, 58, 63, 122, 127, 185, 266, 298, 343.</w:t>
      </w:r>
    </w:p>
    <w:p w14:paraId="3B2C4A07" w14:textId="77777777" w:rsidR="0039793A" w:rsidRPr="00C53BEE" w:rsidRDefault="0039793A" w:rsidP="0039793A">
      <w:pPr>
        <w:ind w:left="540" w:hanging="540"/>
        <w:jc w:val="both"/>
        <w:rPr>
          <w:sz w:val="24"/>
        </w:rPr>
      </w:pPr>
      <w:r w:rsidRPr="00C53BEE">
        <w:rPr>
          <w:sz w:val="24"/>
        </w:rPr>
        <w:t xml:space="preserve">JCS </w:t>
      </w:r>
      <w:r w:rsidRPr="00C53BEE">
        <w:rPr>
          <w:i/>
          <w:iCs/>
          <w:sz w:val="24"/>
        </w:rPr>
        <w:t>(Joint Chiefs of Staff)</w:t>
      </w:r>
      <w:r w:rsidRPr="00C53BEE">
        <w:rPr>
          <w:sz w:val="24"/>
        </w:rPr>
        <w:t> : 187, 190.</w:t>
      </w:r>
    </w:p>
    <w:p w14:paraId="2D20D113" w14:textId="77777777" w:rsidR="0039793A" w:rsidRPr="00C53BEE" w:rsidRDefault="0039793A" w:rsidP="0039793A">
      <w:pPr>
        <w:ind w:left="540" w:hanging="540"/>
        <w:jc w:val="both"/>
        <w:rPr>
          <w:sz w:val="24"/>
        </w:rPr>
      </w:pPr>
      <w:r w:rsidRPr="00C53BEE">
        <w:rPr>
          <w:sz w:val="24"/>
        </w:rPr>
        <w:t>Jérusalem : 264.</w:t>
      </w:r>
    </w:p>
    <w:p w14:paraId="5F019A45" w14:textId="77777777" w:rsidR="0039793A" w:rsidRPr="00C53BEE" w:rsidRDefault="0039793A" w:rsidP="0039793A">
      <w:pPr>
        <w:ind w:left="540" w:hanging="540"/>
        <w:jc w:val="both"/>
        <w:rPr>
          <w:sz w:val="24"/>
        </w:rPr>
      </w:pPr>
      <w:r w:rsidRPr="00C53BEE">
        <w:rPr>
          <w:sz w:val="24"/>
        </w:rPr>
        <w:t xml:space="preserve">Jeu bureaucratique : 142, 177, 206, 208. </w:t>
      </w:r>
    </w:p>
    <w:p w14:paraId="5B883722" w14:textId="77777777" w:rsidR="0039793A" w:rsidRPr="00C53BEE" w:rsidRDefault="0039793A" w:rsidP="0039793A">
      <w:pPr>
        <w:ind w:left="540" w:hanging="540"/>
        <w:jc w:val="both"/>
        <w:rPr>
          <w:sz w:val="24"/>
        </w:rPr>
      </w:pPr>
      <w:r w:rsidRPr="00C53BEE">
        <w:rPr>
          <w:i/>
          <w:iCs/>
          <w:sz w:val="24"/>
        </w:rPr>
        <w:t>John Olin Foundation</w:t>
      </w:r>
      <w:r w:rsidRPr="00C53BEE">
        <w:rPr>
          <w:sz w:val="24"/>
        </w:rPr>
        <w:t> : 319.</w:t>
      </w:r>
    </w:p>
    <w:p w14:paraId="13B80D0A" w14:textId="77777777" w:rsidR="0039793A" w:rsidRPr="00C53BEE" w:rsidRDefault="0039793A" w:rsidP="0039793A">
      <w:pPr>
        <w:ind w:left="540" w:hanging="540"/>
        <w:jc w:val="both"/>
        <w:rPr>
          <w:sz w:val="24"/>
        </w:rPr>
      </w:pPr>
      <w:r w:rsidRPr="00C53BEE">
        <w:rPr>
          <w:sz w:val="24"/>
        </w:rPr>
        <w:t>Journalistes : 68, 138, 289-290, 309- 310, 314.</w:t>
      </w:r>
    </w:p>
    <w:p w14:paraId="16D8EB83" w14:textId="77777777" w:rsidR="0039793A" w:rsidRPr="00C53BEE" w:rsidRDefault="0039793A" w:rsidP="0039793A">
      <w:pPr>
        <w:ind w:left="540" w:hanging="540"/>
        <w:jc w:val="both"/>
        <w:rPr>
          <w:sz w:val="24"/>
        </w:rPr>
      </w:pPr>
      <w:r w:rsidRPr="00C53BEE">
        <w:rPr>
          <w:sz w:val="24"/>
        </w:rPr>
        <w:t>Judaïsme : 59, 269, 326-327, 330, 332, 337.</w:t>
      </w:r>
    </w:p>
    <w:p w14:paraId="1ACFC0E2" w14:textId="77777777" w:rsidR="0039793A" w:rsidRPr="00C53BEE" w:rsidRDefault="0039793A" w:rsidP="0039793A">
      <w:pPr>
        <w:ind w:left="540" w:hanging="540"/>
        <w:jc w:val="both"/>
        <w:rPr>
          <w:sz w:val="24"/>
        </w:rPr>
      </w:pPr>
    </w:p>
    <w:p w14:paraId="2F274BBC" w14:textId="77777777" w:rsidR="0039793A" w:rsidRPr="00C53BEE" w:rsidRDefault="0039793A" w:rsidP="0039793A">
      <w:pPr>
        <w:ind w:left="540" w:hanging="540"/>
        <w:jc w:val="both"/>
        <w:rPr>
          <w:sz w:val="24"/>
        </w:rPr>
      </w:pPr>
      <w:r w:rsidRPr="00C53BEE">
        <w:rPr>
          <w:sz w:val="24"/>
        </w:rPr>
        <w:t>Kosovo : 68, 88, 97-98, 120, 148, 154, 266, 276, 300.</w:t>
      </w:r>
    </w:p>
    <w:p w14:paraId="11913687" w14:textId="77777777" w:rsidR="0039793A" w:rsidRPr="00C53BEE" w:rsidRDefault="0039793A" w:rsidP="0039793A">
      <w:pPr>
        <w:ind w:left="540" w:hanging="540"/>
        <w:jc w:val="both"/>
        <w:rPr>
          <w:i/>
          <w:iCs/>
          <w:sz w:val="24"/>
        </w:rPr>
      </w:pPr>
    </w:p>
    <w:p w14:paraId="0AE59A9C" w14:textId="77777777" w:rsidR="0039793A" w:rsidRPr="00C53BEE" w:rsidRDefault="0039793A" w:rsidP="0039793A">
      <w:pPr>
        <w:ind w:left="540" w:hanging="540"/>
        <w:jc w:val="both"/>
        <w:rPr>
          <w:sz w:val="24"/>
        </w:rPr>
      </w:pPr>
      <w:r w:rsidRPr="00C53BEE">
        <w:rPr>
          <w:i/>
          <w:iCs/>
          <w:sz w:val="24"/>
        </w:rPr>
        <w:t>Leadership</w:t>
      </w:r>
      <w:r w:rsidRPr="00C53BEE">
        <w:rPr>
          <w:rStyle w:val="Corpsdutexte108ptNonItalique"/>
          <w:sz w:val="24"/>
        </w:rPr>
        <w:t> :</w:t>
      </w:r>
    </w:p>
    <w:p w14:paraId="256903AD" w14:textId="77777777" w:rsidR="0039793A" w:rsidRPr="00C53BEE" w:rsidRDefault="0039793A" w:rsidP="0039793A">
      <w:pPr>
        <w:pStyle w:val="i2"/>
      </w:pPr>
      <w:r w:rsidRPr="00C53BEE">
        <w:t>- américain : 72, 83, 94, 100, 104, 107, 110, 112, 116, 122, 131, 134-135, 139, 263, 266.</w:t>
      </w:r>
    </w:p>
    <w:p w14:paraId="48BED5BE" w14:textId="77777777" w:rsidR="0039793A" w:rsidRPr="00C53BEE" w:rsidRDefault="0039793A" w:rsidP="0039793A">
      <w:pPr>
        <w:pStyle w:val="i2"/>
      </w:pPr>
      <w:r w:rsidRPr="00C53BEE">
        <w:t>- présidentiel : 142, 161, 164-165, 167, 169, 238, 243, 249, 254, 283-284, 286, 312, 316.</w:t>
      </w:r>
    </w:p>
    <w:p w14:paraId="5C1AC851" w14:textId="77777777" w:rsidR="0039793A" w:rsidRPr="00C53BEE" w:rsidRDefault="0039793A" w:rsidP="0039793A">
      <w:pPr>
        <w:ind w:left="540" w:hanging="540"/>
        <w:jc w:val="both"/>
        <w:rPr>
          <w:sz w:val="24"/>
        </w:rPr>
      </w:pPr>
      <w:r w:rsidRPr="00C53BEE">
        <w:rPr>
          <w:sz w:val="24"/>
        </w:rPr>
        <w:t>Légitime défense : 36, 148.</w:t>
      </w:r>
    </w:p>
    <w:p w14:paraId="0A83B3A8" w14:textId="77777777" w:rsidR="0039793A" w:rsidRPr="00C53BEE" w:rsidRDefault="0039793A" w:rsidP="0039793A">
      <w:pPr>
        <w:ind w:left="540" w:hanging="540"/>
        <w:jc w:val="both"/>
        <w:rPr>
          <w:sz w:val="24"/>
        </w:rPr>
      </w:pPr>
      <w:r w:rsidRPr="00C53BEE">
        <w:rPr>
          <w:sz w:val="24"/>
        </w:rPr>
        <w:t>Lewinsky (affaire) : 167, 253, 282, 315.</w:t>
      </w:r>
    </w:p>
    <w:p w14:paraId="798FDA8B" w14:textId="77777777" w:rsidR="0039793A" w:rsidRPr="00C53BEE" w:rsidRDefault="0039793A" w:rsidP="0039793A">
      <w:pPr>
        <w:ind w:left="540" w:hanging="540"/>
        <w:jc w:val="both"/>
        <w:rPr>
          <w:sz w:val="24"/>
        </w:rPr>
      </w:pPr>
      <w:r w:rsidRPr="00C53BEE">
        <w:rPr>
          <w:sz w:val="24"/>
        </w:rPr>
        <w:t>Liban : 123, 148, 156-158, 174, 188, 189.</w:t>
      </w:r>
    </w:p>
    <w:p w14:paraId="1EBFEE46" w14:textId="77777777" w:rsidR="0039793A" w:rsidRPr="00C53BEE" w:rsidRDefault="0039793A" w:rsidP="0039793A">
      <w:pPr>
        <w:ind w:left="540" w:hanging="540"/>
        <w:jc w:val="both"/>
        <w:rPr>
          <w:sz w:val="24"/>
        </w:rPr>
      </w:pPr>
      <w:r w:rsidRPr="00C53BEE">
        <w:rPr>
          <w:sz w:val="24"/>
        </w:rPr>
        <w:t>Libéralisation :</w:t>
      </w:r>
    </w:p>
    <w:p w14:paraId="4424BCEF" w14:textId="77777777" w:rsidR="0039793A" w:rsidRPr="00C53BEE" w:rsidRDefault="0039793A" w:rsidP="0039793A">
      <w:pPr>
        <w:pStyle w:val="i2"/>
      </w:pPr>
      <w:r w:rsidRPr="00C53BEE">
        <w:t>- démocratique : 104, 123.</w:t>
      </w:r>
    </w:p>
    <w:p w14:paraId="5070FDEE" w14:textId="77777777" w:rsidR="0039793A" w:rsidRPr="00C53BEE" w:rsidRDefault="0039793A" w:rsidP="0039793A">
      <w:pPr>
        <w:pStyle w:val="i2"/>
      </w:pPr>
      <w:r w:rsidRPr="00C53BEE">
        <w:t>- des échanges : 33, 81, 99, 119, 105, 131, 134-135, 207, 298, 300, 323, 325.</w:t>
      </w:r>
    </w:p>
    <w:p w14:paraId="19CA7CE3" w14:textId="77777777" w:rsidR="0039793A" w:rsidRPr="00C53BEE" w:rsidRDefault="0039793A" w:rsidP="0039793A">
      <w:pPr>
        <w:ind w:left="540" w:hanging="540"/>
        <w:jc w:val="both"/>
        <w:rPr>
          <w:sz w:val="24"/>
        </w:rPr>
      </w:pPr>
      <w:r w:rsidRPr="00C53BEE">
        <w:rPr>
          <w:sz w:val="24"/>
        </w:rPr>
        <w:t>Libéralisme : 46, 48, 61, 71, 103, 105, 111, 126-127, 131, 139, 281.</w:t>
      </w:r>
    </w:p>
    <w:p w14:paraId="0825D9C0" w14:textId="77777777" w:rsidR="0039793A" w:rsidRPr="00C53BEE" w:rsidRDefault="0039793A" w:rsidP="0039793A">
      <w:pPr>
        <w:ind w:left="540" w:hanging="540"/>
        <w:jc w:val="both"/>
        <w:rPr>
          <w:sz w:val="24"/>
        </w:rPr>
      </w:pPr>
      <w:r w:rsidRPr="00C53BEE">
        <w:rPr>
          <w:sz w:val="24"/>
        </w:rPr>
        <w:t>Liberia : 276.</w:t>
      </w:r>
    </w:p>
    <w:p w14:paraId="2F1F4097" w14:textId="77777777" w:rsidR="0039793A" w:rsidRPr="00C53BEE" w:rsidRDefault="0039793A" w:rsidP="0039793A">
      <w:pPr>
        <w:ind w:left="540" w:hanging="540"/>
        <w:jc w:val="both"/>
        <w:rPr>
          <w:sz w:val="24"/>
        </w:rPr>
      </w:pPr>
      <w:r w:rsidRPr="00C53BEE">
        <w:rPr>
          <w:i/>
          <w:iCs/>
          <w:sz w:val="24"/>
        </w:rPr>
        <w:t>Liberté</w:t>
      </w:r>
      <w:r w:rsidRPr="00C53BEE">
        <w:rPr>
          <w:sz w:val="24"/>
        </w:rPr>
        <w:t xml:space="preserve"> (opération)</w:t>
      </w:r>
    </w:p>
    <w:p w14:paraId="5CFDB047" w14:textId="77777777" w:rsidR="0039793A" w:rsidRPr="00C53BEE" w:rsidRDefault="0039793A" w:rsidP="0039793A">
      <w:pPr>
        <w:pStyle w:val="i2"/>
      </w:pPr>
      <w:r w:rsidRPr="00C53BEE">
        <w:t xml:space="preserve">- </w:t>
      </w:r>
      <w:r w:rsidRPr="00C53BEE">
        <w:rPr>
          <w:i/>
          <w:iCs/>
        </w:rPr>
        <w:t>en Irak</w:t>
      </w:r>
      <w:r w:rsidRPr="00C53BEE">
        <w:t> : 72, 113.</w:t>
      </w:r>
    </w:p>
    <w:p w14:paraId="0B608251" w14:textId="77777777" w:rsidR="0039793A" w:rsidRPr="00C53BEE" w:rsidRDefault="0039793A" w:rsidP="0039793A">
      <w:pPr>
        <w:pStyle w:val="i2"/>
      </w:pPr>
      <w:r w:rsidRPr="00C53BEE">
        <w:t xml:space="preserve">- </w:t>
      </w:r>
      <w:r w:rsidRPr="00C53BEE">
        <w:rPr>
          <w:i/>
          <w:iCs/>
        </w:rPr>
        <w:t>immuable</w:t>
      </w:r>
      <w:r w:rsidRPr="00C53BEE">
        <w:t> : 129.</w:t>
      </w:r>
    </w:p>
    <w:p w14:paraId="10740DD5" w14:textId="77777777" w:rsidR="0039793A" w:rsidRPr="00C53BEE" w:rsidRDefault="0039793A" w:rsidP="0039793A">
      <w:pPr>
        <w:ind w:left="540" w:hanging="540"/>
        <w:jc w:val="both"/>
        <w:rPr>
          <w:sz w:val="24"/>
        </w:rPr>
      </w:pPr>
      <w:r w:rsidRPr="00C53BEE">
        <w:rPr>
          <w:sz w:val="24"/>
        </w:rPr>
        <w:t>Libertés fondamentales : 15, 46.</w:t>
      </w:r>
    </w:p>
    <w:p w14:paraId="4F4364E4" w14:textId="77777777" w:rsidR="0039793A" w:rsidRPr="00C53BEE" w:rsidRDefault="0039793A" w:rsidP="0039793A">
      <w:pPr>
        <w:ind w:left="540" w:hanging="540"/>
        <w:jc w:val="both"/>
        <w:rPr>
          <w:sz w:val="24"/>
        </w:rPr>
      </w:pPr>
      <w:r w:rsidRPr="00C53BEE">
        <w:rPr>
          <w:sz w:val="24"/>
        </w:rPr>
        <w:t>Libre marché : 105, 125, 127, 131.</w:t>
      </w:r>
    </w:p>
    <w:p w14:paraId="678267BA" w14:textId="77777777" w:rsidR="0039793A" w:rsidRPr="00C53BEE" w:rsidRDefault="0039793A" w:rsidP="0039793A">
      <w:pPr>
        <w:ind w:left="540" w:hanging="540"/>
        <w:jc w:val="both"/>
        <w:rPr>
          <w:sz w:val="24"/>
        </w:rPr>
      </w:pPr>
      <w:r w:rsidRPr="00C53BEE">
        <w:rPr>
          <w:sz w:val="24"/>
        </w:rPr>
        <w:t>Libre-échange : 33, 81-83, 96, 126, 134, 150, 205, 297, 299.</w:t>
      </w:r>
    </w:p>
    <w:p w14:paraId="10D22FCD" w14:textId="77777777" w:rsidR="0039793A" w:rsidRPr="00C53BEE" w:rsidRDefault="0039793A" w:rsidP="0039793A">
      <w:pPr>
        <w:ind w:left="540" w:hanging="540"/>
        <w:jc w:val="both"/>
        <w:rPr>
          <w:sz w:val="24"/>
        </w:rPr>
      </w:pPr>
      <w:r w:rsidRPr="00C53BEE">
        <w:rPr>
          <w:sz w:val="24"/>
        </w:rPr>
        <w:t>Ligue arabe : 96.</w:t>
      </w:r>
    </w:p>
    <w:p w14:paraId="6A808E28" w14:textId="77777777" w:rsidR="0039793A" w:rsidRPr="00C53BEE" w:rsidRDefault="0039793A" w:rsidP="0039793A">
      <w:pPr>
        <w:ind w:left="540" w:hanging="540"/>
        <w:jc w:val="both"/>
        <w:rPr>
          <w:sz w:val="24"/>
        </w:rPr>
      </w:pPr>
      <w:r w:rsidRPr="00C53BEE">
        <w:rPr>
          <w:sz w:val="24"/>
        </w:rPr>
        <w:t>Limitation des naissances : 38, 82.</w:t>
      </w:r>
    </w:p>
    <w:p w14:paraId="60DA87B2" w14:textId="77777777" w:rsidR="0039793A" w:rsidRPr="00C53BEE" w:rsidRDefault="0039793A" w:rsidP="0039793A">
      <w:pPr>
        <w:ind w:left="540" w:hanging="540"/>
        <w:jc w:val="both"/>
        <w:rPr>
          <w:sz w:val="24"/>
        </w:rPr>
      </w:pPr>
      <w:r w:rsidRPr="00C53BEE">
        <w:rPr>
          <w:i/>
          <w:iCs/>
          <w:sz w:val="24"/>
        </w:rPr>
        <w:t>Linkage</w:t>
      </w:r>
      <w:r w:rsidRPr="00C53BEE">
        <w:rPr>
          <w:sz w:val="24"/>
        </w:rPr>
        <w:t> : 286.</w:t>
      </w:r>
    </w:p>
    <w:p w14:paraId="3A949879" w14:textId="77777777" w:rsidR="0039793A" w:rsidRPr="00C53BEE" w:rsidRDefault="0039793A" w:rsidP="0039793A">
      <w:pPr>
        <w:ind w:left="540" w:hanging="540"/>
        <w:jc w:val="both"/>
        <w:rPr>
          <w:sz w:val="24"/>
        </w:rPr>
      </w:pPr>
      <w:r w:rsidRPr="00C53BEE">
        <w:rPr>
          <w:sz w:val="24"/>
        </w:rPr>
        <w:t>Lobby : 247-248, 255, 273-275, 283- 284, 316, 318, 321-322, 324-326, 328-329, 335-337, 340, 344, 349.</w:t>
      </w:r>
    </w:p>
    <w:p w14:paraId="71AA2781" w14:textId="77777777" w:rsidR="0039793A" w:rsidRPr="00C53BEE" w:rsidRDefault="0039793A" w:rsidP="0039793A">
      <w:pPr>
        <w:pStyle w:val="i2"/>
      </w:pPr>
      <w:r w:rsidRPr="00C53BEE">
        <w:t>- agricole : 338.</w:t>
      </w:r>
    </w:p>
    <w:p w14:paraId="27BA7FFE" w14:textId="77777777" w:rsidR="0039793A" w:rsidRPr="00C53BEE" w:rsidRDefault="0039793A" w:rsidP="0039793A">
      <w:pPr>
        <w:pStyle w:val="i2"/>
      </w:pPr>
      <w:r w:rsidRPr="00C53BEE">
        <w:t xml:space="preserve">- ethnique : 266, 278, 318, 326, 329, 331, 336-337, 339-340, 343-344. </w:t>
      </w:r>
    </w:p>
    <w:p w14:paraId="38CCFE21" w14:textId="77777777" w:rsidR="0039793A" w:rsidRPr="00C53BEE" w:rsidRDefault="0039793A" w:rsidP="0039793A">
      <w:pPr>
        <w:pStyle w:val="i2"/>
      </w:pPr>
      <w:r w:rsidRPr="00C53BEE">
        <w:t>- économique : 322-323, 337-338, 341-342.</w:t>
      </w:r>
    </w:p>
    <w:p w14:paraId="2B3DFD13" w14:textId="77777777" w:rsidR="0039793A" w:rsidRPr="00C53BEE" w:rsidRDefault="0039793A" w:rsidP="0039793A">
      <w:pPr>
        <w:pStyle w:val="i2"/>
      </w:pPr>
      <w:r w:rsidRPr="00C53BEE">
        <w:t>- patronal : 323, 329.</w:t>
      </w:r>
    </w:p>
    <w:p w14:paraId="04228784" w14:textId="77777777" w:rsidR="0039793A" w:rsidRPr="00C53BEE" w:rsidRDefault="0039793A" w:rsidP="0039793A">
      <w:pPr>
        <w:ind w:left="540" w:hanging="540"/>
        <w:jc w:val="both"/>
        <w:rPr>
          <w:sz w:val="24"/>
        </w:rPr>
      </w:pPr>
      <w:r w:rsidRPr="00C53BEE">
        <w:rPr>
          <w:sz w:val="24"/>
        </w:rPr>
        <w:t>Lobbying</w:t>
      </w:r>
    </w:p>
    <w:p w14:paraId="3BB57C9D" w14:textId="77777777" w:rsidR="0039793A" w:rsidRPr="00C53BEE" w:rsidRDefault="0039793A" w:rsidP="0039793A">
      <w:pPr>
        <w:pStyle w:val="i2"/>
      </w:pPr>
      <w:r w:rsidRPr="00C53BEE">
        <w:t>- Disclosure Act</w:t>
      </w:r>
      <w:r w:rsidRPr="00C53BEE">
        <w:rPr>
          <w:rStyle w:val="Corpsdutexte108ptNonItalique"/>
          <w:sz w:val="24"/>
        </w:rPr>
        <w:t> </w:t>
      </w:r>
      <w:r w:rsidRPr="00C53BEE">
        <w:t>: 335.</w:t>
      </w:r>
    </w:p>
    <w:p w14:paraId="3C7A6C93" w14:textId="77777777" w:rsidR="0039793A" w:rsidRPr="00C53BEE" w:rsidRDefault="0039793A" w:rsidP="0039793A">
      <w:pPr>
        <w:pStyle w:val="i2"/>
        <w:rPr>
          <w:rStyle w:val="Corpsdutexte108ptNonItalique"/>
          <w:sz w:val="24"/>
        </w:rPr>
      </w:pPr>
      <w:r w:rsidRPr="00C53BEE">
        <w:t>- in-house lobbying</w:t>
      </w:r>
      <w:r w:rsidRPr="00C53BEE">
        <w:rPr>
          <w:rStyle w:val="Corpsdutexte108ptNonItalique"/>
          <w:sz w:val="24"/>
        </w:rPr>
        <w:t> </w:t>
      </w:r>
      <w:r w:rsidRPr="00C53BEE">
        <w:t>: 336.</w:t>
      </w:r>
      <w:r w:rsidRPr="00C53BEE">
        <w:rPr>
          <w:rStyle w:val="Corpsdutexte108ptNonItalique"/>
          <w:sz w:val="24"/>
        </w:rPr>
        <w:t xml:space="preserve"> </w:t>
      </w:r>
    </w:p>
    <w:p w14:paraId="3FA41F91" w14:textId="77777777" w:rsidR="0039793A" w:rsidRPr="00C53BEE" w:rsidRDefault="0039793A" w:rsidP="0039793A">
      <w:pPr>
        <w:ind w:left="540" w:hanging="540"/>
        <w:jc w:val="both"/>
        <w:rPr>
          <w:sz w:val="24"/>
        </w:rPr>
      </w:pPr>
      <w:r w:rsidRPr="00C53BEE">
        <w:rPr>
          <w:i/>
          <w:iCs/>
          <w:sz w:val="24"/>
        </w:rPr>
        <w:t>Lockheed-Martin</w:t>
      </w:r>
      <w:r w:rsidRPr="00C53BEE">
        <w:rPr>
          <w:rStyle w:val="Corpsdutexte108ptNonItalique"/>
          <w:sz w:val="24"/>
        </w:rPr>
        <w:t> </w:t>
      </w:r>
      <w:r w:rsidRPr="00C53BEE">
        <w:rPr>
          <w:sz w:val="24"/>
        </w:rPr>
        <w:t>: 323.</w:t>
      </w:r>
    </w:p>
    <w:p w14:paraId="165BC130" w14:textId="77777777" w:rsidR="0039793A" w:rsidRPr="00C53BEE" w:rsidRDefault="0039793A" w:rsidP="0039793A">
      <w:pPr>
        <w:ind w:left="540" w:hanging="540"/>
        <w:jc w:val="both"/>
        <w:rPr>
          <w:sz w:val="24"/>
        </w:rPr>
      </w:pPr>
      <w:r w:rsidRPr="00C53BEE">
        <w:rPr>
          <w:sz w:val="24"/>
        </w:rPr>
        <w:t>Loi</w:t>
      </w:r>
    </w:p>
    <w:p w14:paraId="590F1B2A" w14:textId="77777777" w:rsidR="0039793A" w:rsidRPr="00C53BEE" w:rsidRDefault="0039793A" w:rsidP="0039793A">
      <w:pPr>
        <w:pStyle w:val="i2"/>
      </w:pPr>
      <w:r w:rsidRPr="00C53BEE">
        <w:t>- Case-Zablocki : 251, 267.</w:t>
      </w:r>
    </w:p>
    <w:p w14:paraId="3391F419" w14:textId="77777777" w:rsidR="0039793A" w:rsidRPr="00C53BEE" w:rsidRDefault="0039793A" w:rsidP="0039793A">
      <w:pPr>
        <w:pStyle w:val="i2"/>
      </w:pPr>
      <w:r w:rsidRPr="00C53BEE">
        <w:t>- D’Amato-Kennedy : 264.</w:t>
      </w:r>
    </w:p>
    <w:p w14:paraId="014E34C2" w14:textId="77777777" w:rsidR="0039793A" w:rsidRPr="00C53BEE" w:rsidRDefault="0039793A" w:rsidP="0039793A">
      <w:pPr>
        <w:pStyle w:val="i2"/>
      </w:pPr>
      <w:r w:rsidRPr="00C53BEE">
        <w:t>- de réorganis</w:t>
      </w:r>
      <w:r w:rsidRPr="00C53BEE">
        <w:t>a</w:t>
      </w:r>
      <w:r w:rsidRPr="00C53BEE">
        <w:t>tion Nichols-Goldwater : 187, 346.</w:t>
      </w:r>
    </w:p>
    <w:p w14:paraId="304AA981" w14:textId="77777777" w:rsidR="0039793A" w:rsidRPr="00C53BEE" w:rsidRDefault="0039793A" w:rsidP="0039793A">
      <w:pPr>
        <w:ind w:left="540" w:hanging="540"/>
        <w:jc w:val="both"/>
        <w:rPr>
          <w:sz w:val="24"/>
        </w:rPr>
      </w:pPr>
      <w:r w:rsidRPr="00C53BEE">
        <w:rPr>
          <w:sz w:val="24"/>
        </w:rPr>
        <w:t>[378]</w:t>
      </w:r>
    </w:p>
    <w:p w14:paraId="3B558817" w14:textId="77777777" w:rsidR="0039793A" w:rsidRPr="00C53BEE" w:rsidRDefault="0039793A" w:rsidP="0039793A">
      <w:pPr>
        <w:pStyle w:val="i2"/>
      </w:pPr>
      <w:r w:rsidRPr="00C53BEE">
        <w:t>- Helms-Burton : 264, 278, 331.</w:t>
      </w:r>
    </w:p>
    <w:p w14:paraId="5B52B19C" w14:textId="77777777" w:rsidR="0039793A" w:rsidRPr="00C53BEE" w:rsidRDefault="0039793A" w:rsidP="0039793A">
      <w:pPr>
        <w:pStyle w:val="i2"/>
      </w:pPr>
      <w:r w:rsidRPr="00C53BEE">
        <w:t>- sur la sécurité nationale : 186-188.</w:t>
      </w:r>
    </w:p>
    <w:p w14:paraId="0E748857" w14:textId="77777777" w:rsidR="0039793A" w:rsidRPr="00C53BEE" w:rsidRDefault="0039793A" w:rsidP="0039793A">
      <w:pPr>
        <w:pStyle w:val="i2"/>
      </w:pPr>
      <w:r w:rsidRPr="00C53BEE">
        <w:t>- sur les pouvoirs de guerre : 148, 152- 155, 156, 251, 256-259.</w:t>
      </w:r>
    </w:p>
    <w:p w14:paraId="279F1CD7" w14:textId="77777777" w:rsidR="0039793A" w:rsidRPr="00C53BEE" w:rsidRDefault="0039793A" w:rsidP="0039793A">
      <w:pPr>
        <w:ind w:left="540" w:hanging="540"/>
        <w:jc w:val="both"/>
        <w:rPr>
          <w:sz w:val="24"/>
        </w:rPr>
      </w:pPr>
      <w:r w:rsidRPr="00C53BEE">
        <w:rPr>
          <w:i/>
          <w:iCs/>
          <w:sz w:val="24"/>
        </w:rPr>
        <w:t>Loral</w:t>
      </w:r>
      <w:r w:rsidRPr="00C53BEE">
        <w:rPr>
          <w:sz w:val="24"/>
        </w:rPr>
        <w:t> : 323, 334.</w:t>
      </w:r>
    </w:p>
    <w:p w14:paraId="1E223687" w14:textId="77777777" w:rsidR="0039793A" w:rsidRPr="00C53BEE" w:rsidRDefault="0039793A" w:rsidP="0039793A">
      <w:pPr>
        <w:ind w:left="540" w:hanging="540"/>
        <w:jc w:val="both"/>
        <w:rPr>
          <w:sz w:val="24"/>
        </w:rPr>
      </w:pPr>
      <w:r w:rsidRPr="00C53BEE">
        <w:rPr>
          <w:i/>
          <w:iCs/>
          <w:sz w:val="24"/>
        </w:rPr>
        <w:t>Los Angeles Times</w:t>
      </w:r>
      <w:r w:rsidRPr="00C53BEE">
        <w:rPr>
          <w:rStyle w:val="Corpsdutexte108ptNonItalique"/>
          <w:sz w:val="24"/>
        </w:rPr>
        <w:t> </w:t>
      </w:r>
      <w:r w:rsidRPr="00C53BEE">
        <w:rPr>
          <w:iCs/>
          <w:sz w:val="24"/>
        </w:rPr>
        <w:t>: 304.</w:t>
      </w:r>
    </w:p>
    <w:p w14:paraId="2192AB64" w14:textId="77777777" w:rsidR="0039793A" w:rsidRPr="00C53BEE" w:rsidRDefault="0039793A" w:rsidP="0039793A">
      <w:pPr>
        <w:ind w:left="540" w:hanging="540"/>
        <w:jc w:val="both"/>
        <w:rPr>
          <w:sz w:val="24"/>
        </w:rPr>
      </w:pPr>
      <w:r w:rsidRPr="00C53BEE">
        <w:rPr>
          <w:sz w:val="24"/>
        </w:rPr>
        <w:t>Louisiane : 76, 147, 274.</w:t>
      </w:r>
    </w:p>
    <w:p w14:paraId="12C5E6B6" w14:textId="77777777" w:rsidR="0039793A" w:rsidRPr="00C53BEE" w:rsidRDefault="0039793A" w:rsidP="0039793A">
      <w:pPr>
        <w:ind w:left="540" w:hanging="540"/>
        <w:jc w:val="both"/>
        <w:rPr>
          <w:sz w:val="24"/>
        </w:rPr>
      </w:pPr>
    </w:p>
    <w:p w14:paraId="4D307D41" w14:textId="77777777" w:rsidR="0039793A" w:rsidRPr="00C53BEE" w:rsidRDefault="0039793A" w:rsidP="0039793A">
      <w:pPr>
        <w:ind w:left="540" w:hanging="540"/>
        <w:jc w:val="both"/>
        <w:rPr>
          <w:sz w:val="24"/>
        </w:rPr>
      </w:pPr>
      <w:r w:rsidRPr="00C53BEE">
        <w:rPr>
          <w:sz w:val="24"/>
        </w:rPr>
        <w:t>Maccarthysme : 59.</w:t>
      </w:r>
    </w:p>
    <w:p w14:paraId="5841F5BD" w14:textId="77777777" w:rsidR="0039793A" w:rsidRPr="00C53BEE" w:rsidRDefault="0039793A" w:rsidP="0039793A">
      <w:pPr>
        <w:ind w:left="540" w:hanging="540"/>
        <w:jc w:val="both"/>
        <w:rPr>
          <w:sz w:val="24"/>
        </w:rPr>
      </w:pPr>
      <w:r w:rsidRPr="00C53BEE">
        <w:rPr>
          <w:sz w:val="24"/>
        </w:rPr>
        <w:t>Macédoine : 157.</w:t>
      </w:r>
    </w:p>
    <w:p w14:paraId="757D264E" w14:textId="77777777" w:rsidR="0039793A" w:rsidRPr="00C53BEE" w:rsidRDefault="0039793A" w:rsidP="0039793A">
      <w:pPr>
        <w:ind w:left="540" w:hanging="540"/>
        <w:jc w:val="both"/>
        <w:rPr>
          <w:sz w:val="24"/>
        </w:rPr>
      </w:pPr>
      <w:r w:rsidRPr="00C53BEE">
        <w:rPr>
          <w:sz w:val="24"/>
        </w:rPr>
        <w:t>Maison-Blanche : 28, 36, 88, 97, 144, 155, 159, 161, 163-168, 172-173, 180, 184, 201, 205, 211, 216-218, 220-221, 225, 227, 229, 233, 235, 238-239, 241-242, 245, 252-253, 255, 266, 277-278, 282, 308, 310- 311, 314, 340.</w:t>
      </w:r>
    </w:p>
    <w:p w14:paraId="5D336596" w14:textId="77777777" w:rsidR="0039793A" w:rsidRPr="00C53BEE" w:rsidRDefault="0039793A" w:rsidP="0039793A">
      <w:pPr>
        <w:ind w:left="540" w:hanging="540"/>
        <w:jc w:val="both"/>
        <w:rPr>
          <w:sz w:val="24"/>
        </w:rPr>
      </w:pPr>
      <w:r w:rsidRPr="00C53BEE">
        <w:rPr>
          <w:sz w:val="24"/>
        </w:rPr>
        <w:t>Manichéisme : 59, 67.</w:t>
      </w:r>
    </w:p>
    <w:p w14:paraId="17CD1106" w14:textId="77777777" w:rsidR="0039793A" w:rsidRPr="00C53BEE" w:rsidRDefault="0039793A" w:rsidP="0039793A">
      <w:pPr>
        <w:ind w:left="540" w:hanging="540"/>
        <w:jc w:val="both"/>
        <w:rPr>
          <w:sz w:val="24"/>
        </w:rPr>
      </w:pPr>
      <w:r w:rsidRPr="00C53BEE">
        <w:rPr>
          <w:sz w:val="24"/>
        </w:rPr>
        <w:t>Marine : 24, 186-187, 189-191, 196, 206-207, 213-216, 256-257.</w:t>
      </w:r>
    </w:p>
    <w:p w14:paraId="3112CB61" w14:textId="77777777" w:rsidR="0039793A" w:rsidRPr="00C53BEE" w:rsidRDefault="0039793A" w:rsidP="0039793A">
      <w:pPr>
        <w:ind w:left="540" w:hanging="540"/>
        <w:jc w:val="both"/>
        <w:rPr>
          <w:sz w:val="24"/>
        </w:rPr>
      </w:pPr>
      <w:r w:rsidRPr="00C53BEE">
        <w:rPr>
          <w:i/>
          <w:iCs/>
          <w:sz w:val="24"/>
        </w:rPr>
        <w:t>Marines</w:t>
      </w:r>
      <w:r w:rsidRPr="00C53BEE">
        <w:rPr>
          <w:sz w:val="24"/>
        </w:rPr>
        <w:t xml:space="preserve"> (voir fusiliers marins) : 189-190.</w:t>
      </w:r>
    </w:p>
    <w:p w14:paraId="3911048E" w14:textId="77777777" w:rsidR="0039793A" w:rsidRPr="00C53BEE" w:rsidRDefault="0039793A" w:rsidP="0039793A">
      <w:pPr>
        <w:ind w:left="540" w:hanging="540"/>
        <w:jc w:val="both"/>
        <w:rPr>
          <w:sz w:val="24"/>
        </w:rPr>
      </w:pPr>
      <w:r w:rsidRPr="00C53BEE">
        <w:rPr>
          <w:sz w:val="24"/>
        </w:rPr>
        <w:t>Massachusetts : 43, 137, 330.</w:t>
      </w:r>
    </w:p>
    <w:p w14:paraId="5CE89DE4" w14:textId="77777777" w:rsidR="0039793A" w:rsidRPr="00C53BEE" w:rsidRDefault="0039793A" w:rsidP="0039793A">
      <w:pPr>
        <w:ind w:left="540" w:hanging="540"/>
        <w:jc w:val="both"/>
        <w:rPr>
          <w:sz w:val="24"/>
        </w:rPr>
      </w:pPr>
      <w:r w:rsidRPr="00C53BEE">
        <w:rPr>
          <w:i/>
          <w:iCs/>
          <w:sz w:val="24"/>
        </w:rPr>
        <w:t>Mayflower</w:t>
      </w:r>
      <w:r w:rsidRPr="00C53BEE">
        <w:rPr>
          <w:sz w:val="24"/>
        </w:rPr>
        <w:t xml:space="preserve"> : 43, 45, 49, 70, 81. </w:t>
      </w:r>
    </w:p>
    <w:p w14:paraId="62FE19A7" w14:textId="77777777" w:rsidR="0039793A" w:rsidRPr="00C53BEE" w:rsidRDefault="0039793A" w:rsidP="0039793A">
      <w:pPr>
        <w:ind w:left="540" w:hanging="540"/>
        <w:jc w:val="both"/>
        <w:rPr>
          <w:sz w:val="24"/>
        </w:rPr>
      </w:pPr>
      <w:r w:rsidRPr="00C53BEE">
        <w:rPr>
          <w:i/>
          <w:iCs/>
          <w:sz w:val="24"/>
        </w:rPr>
        <w:t>McCain-Feingold-Shays-Meehan Act</w:t>
      </w:r>
      <w:r w:rsidRPr="00C53BEE">
        <w:rPr>
          <w:sz w:val="24"/>
        </w:rPr>
        <w:t> : 333.</w:t>
      </w:r>
    </w:p>
    <w:p w14:paraId="492B161A" w14:textId="77777777" w:rsidR="0039793A" w:rsidRPr="00C53BEE" w:rsidRDefault="0039793A" w:rsidP="0039793A">
      <w:pPr>
        <w:ind w:left="540" w:hanging="540"/>
        <w:jc w:val="both"/>
        <w:rPr>
          <w:sz w:val="24"/>
        </w:rPr>
      </w:pPr>
      <w:r w:rsidRPr="00C53BEE">
        <w:rPr>
          <w:sz w:val="24"/>
        </w:rPr>
        <w:t>Médias : 61, 160, 161, 226, 228, 231, 248, 265-266, 287, 289, 303-313, 315, 322.</w:t>
      </w:r>
    </w:p>
    <w:p w14:paraId="14FBB5A5" w14:textId="77777777" w:rsidR="0039793A" w:rsidRPr="00C53BEE" w:rsidRDefault="0039793A" w:rsidP="0039793A">
      <w:pPr>
        <w:ind w:left="540" w:hanging="540"/>
        <w:jc w:val="both"/>
        <w:rPr>
          <w:sz w:val="24"/>
        </w:rPr>
      </w:pPr>
      <w:r w:rsidRPr="00C53BEE">
        <w:rPr>
          <w:sz w:val="24"/>
        </w:rPr>
        <w:t>Médiation : 60, 97, 244.</w:t>
      </w:r>
    </w:p>
    <w:p w14:paraId="17743863" w14:textId="77777777" w:rsidR="0039793A" w:rsidRPr="00C53BEE" w:rsidRDefault="0039793A" w:rsidP="0039793A">
      <w:pPr>
        <w:ind w:left="540" w:hanging="540"/>
        <w:jc w:val="both"/>
        <w:rPr>
          <w:sz w:val="24"/>
        </w:rPr>
      </w:pPr>
      <w:r w:rsidRPr="00C53BEE">
        <w:rPr>
          <w:i/>
          <w:iCs/>
          <w:sz w:val="24"/>
        </w:rPr>
        <w:t>Melting-Pot</w:t>
      </w:r>
      <w:r w:rsidRPr="00C53BEE">
        <w:rPr>
          <w:rStyle w:val="Corpsdutexte108ptNonItalique"/>
          <w:sz w:val="24"/>
        </w:rPr>
        <w:t> </w:t>
      </w:r>
      <w:r w:rsidRPr="00C53BEE">
        <w:rPr>
          <w:iCs/>
          <w:sz w:val="24"/>
        </w:rPr>
        <w:t>: 66.</w:t>
      </w:r>
    </w:p>
    <w:p w14:paraId="60A3DF57" w14:textId="77777777" w:rsidR="0039793A" w:rsidRPr="00C53BEE" w:rsidRDefault="0039793A" w:rsidP="0039793A">
      <w:pPr>
        <w:ind w:left="540" w:hanging="540"/>
        <w:jc w:val="both"/>
        <w:rPr>
          <w:sz w:val="24"/>
        </w:rPr>
      </w:pPr>
      <w:r w:rsidRPr="00C53BEE">
        <w:rPr>
          <w:sz w:val="24"/>
        </w:rPr>
        <w:t>Message d’adieu</w:t>
      </w:r>
    </w:p>
    <w:p w14:paraId="09BC0159" w14:textId="77777777" w:rsidR="0039793A" w:rsidRPr="00C53BEE" w:rsidRDefault="0039793A" w:rsidP="0039793A">
      <w:pPr>
        <w:pStyle w:val="i2"/>
      </w:pPr>
      <w:r w:rsidRPr="00C53BEE">
        <w:t>- de Washington : 29, 31, 51, 55, 76.</w:t>
      </w:r>
    </w:p>
    <w:p w14:paraId="0C8C66A9" w14:textId="77777777" w:rsidR="0039793A" w:rsidRPr="00C53BEE" w:rsidRDefault="0039793A" w:rsidP="0039793A">
      <w:pPr>
        <w:pStyle w:val="i2"/>
      </w:pPr>
      <w:r w:rsidRPr="00C53BEE">
        <w:t>- d’Eisenhower : 341.</w:t>
      </w:r>
    </w:p>
    <w:p w14:paraId="014B2522" w14:textId="77777777" w:rsidR="0039793A" w:rsidRPr="00C53BEE" w:rsidRDefault="0039793A" w:rsidP="0039793A">
      <w:pPr>
        <w:ind w:left="540" w:hanging="540"/>
        <w:jc w:val="both"/>
        <w:rPr>
          <w:sz w:val="24"/>
        </w:rPr>
      </w:pPr>
      <w:r w:rsidRPr="00C53BEE">
        <w:rPr>
          <w:sz w:val="24"/>
        </w:rPr>
        <w:t>Mexique : 76, 82, 205, 269, 281, 340.</w:t>
      </w:r>
    </w:p>
    <w:p w14:paraId="3ADC449F" w14:textId="77777777" w:rsidR="0039793A" w:rsidRPr="00C53BEE" w:rsidRDefault="0039793A" w:rsidP="0039793A">
      <w:pPr>
        <w:ind w:left="540" w:hanging="540"/>
        <w:jc w:val="both"/>
        <w:rPr>
          <w:sz w:val="24"/>
        </w:rPr>
      </w:pPr>
      <w:r w:rsidRPr="00C53BEE">
        <w:rPr>
          <w:sz w:val="24"/>
        </w:rPr>
        <w:t>Milice : 148, 256, 289.</w:t>
      </w:r>
    </w:p>
    <w:p w14:paraId="2F41553D" w14:textId="77777777" w:rsidR="0039793A" w:rsidRPr="00C53BEE" w:rsidRDefault="0039793A" w:rsidP="0039793A">
      <w:pPr>
        <w:ind w:left="540" w:hanging="540"/>
        <w:jc w:val="both"/>
        <w:rPr>
          <w:sz w:val="24"/>
        </w:rPr>
      </w:pPr>
      <w:r w:rsidRPr="00C53BEE">
        <w:rPr>
          <w:sz w:val="24"/>
        </w:rPr>
        <w:t>M</w:t>
      </w:r>
      <w:r w:rsidRPr="00C53BEE">
        <w:rPr>
          <w:sz w:val="24"/>
        </w:rPr>
        <w:t>i</w:t>
      </w:r>
      <w:r w:rsidRPr="00C53BEE">
        <w:rPr>
          <w:sz w:val="24"/>
        </w:rPr>
        <w:t>nimalisme : 81, 83, 99, 102, 105, 128, 136.</w:t>
      </w:r>
    </w:p>
    <w:p w14:paraId="786FE36B" w14:textId="77777777" w:rsidR="0039793A" w:rsidRPr="00C53BEE" w:rsidRDefault="0039793A" w:rsidP="0039793A">
      <w:pPr>
        <w:ind w:left="540" w:hanging="540"/>
        <w:jc w:val="both"/>
        <w:rPr>
          <w:sz w:val="24"/>
        </w:rPr>
      </w:pPr>
      <w:r w:rsidRPr="00C53BEE">
        <w:rPr>
          <w:sz w:val="24"/>
        </w:rPr>
        <w:t>Ministères (voir départements) : 37, 141, 178-179, 183, 189, 191, 201, 203-204, 217, 231.</w:t>
      </w:r>
    </w:p>
    <w:p w14:paraId="77746D0A" w14:textId="77777777" w:rsidR="0039793A" w:rsidRPr="00C53BEE" w:rsidRDefault="0039793A" w:rsidP="0039793A">
      <w:pPr>
        <w:ind w:left="540" w:hanging="540"/>
        <w:jc w:val="both"/>
        <w:rPr>
          <w:sz w:val="24"/>
        </w:rPr>
      </w:pPr>
      <w:r w:rsidRPr="00C53BEE">
        <w:rPr>
          <w:sz w:val="24"/>
        </w:rPr>
        <w:t>Modèle.</w:t>
      </w:r>
    </w:p>
    <w:p w14:paraId="48880B7F" w14:textId="77777777" w:rsidR="0039793A" w:rsidRPr="00C53BEE" w:rsidRDefault="0039793A" w:rsidP="0039793A">
      <w:pPr>
        <w:pStyle w:val="i2"/>
      </w:pPr>
      <w:r w:rsidRPr="00C53BEE">
        <w:t>- constitutionnel : 111.</w:t>
      </w:r>
    </w:p>
    <w:p w14:paraId="262DF283" w14:textId="77777777" w:rsidR="0039793A" w:rsidRPr="00C53BEE" w:rsidRDefault="0039793A" w:rsidP="0039793A">
      <w:pPr>
        <w:pStyle w:val="i2"/>
      </w:pPr>
      <w:r w:rsidRPr="00C53BEE">
        <w:t>- pluraliste : 318.</w:t>
      </w:r>
    </w:p>
    <w:p w14:paraId="4BBD4A3B" w14:textId="77777777" w:rsidR="0039793A" w:rsidRPr="00C53BEE" w:rsidRDefault="0039793A" w:rsidP="0039793A">
      <w:pPr>
        <w:ind w:left="540" w:hanging="540"/>
        <w:jc w:val="both"/>
        <w:rPr>
          <w:sz w:val="24"/>
        </w:rPr>
      </w:pPr>
      <w:r w:rsidRPr="00C53BEE">
        <w:rPr>
          <w:sz w:val="24"/>
        </w:rPr>
        <w:t>Mondialisation : 81, 83, 96, 97, 99, 105, 117, 132-133, 135-136, 159, 183, 297-299, 315.</w:t>
      </w:r>
    </w:p>
    <w:p w14:paraId="37D58D94" w14:textId="77777777" w:rsidR="0039793A" w:rsidRPr="00C53BEE" w:rsidRDefault="0039793A" w:rsidP="0039793A">
      <w:pPr>
        <w:ind w:left="540" w:hanging="540"/>
        <w:jc w:val="both"/>
        <w:rPr>
          <w:sz w:val="24"/>
        </w:rPr>
      </w:pPr>
      <w:r w:rsidRPr="00C53BEE">
        <w:rPr>
          <w:sz w:val="24"/>
        </w:rPr>
        <w:t>Mondialistes : 102, 105, 109, 128, 131.</w:t>
      </w:r>
    </w:p>
    <w:p w14:paraId="16A53FEF" w14:textId="77777777" w:rsidR="0039793A" w:rsidRPr="00C53BEE" w:rsidRDefault="0039793A" w:rsidP="0039793A">
      <w:pPr>
        <w:ind w:left="540" w:hanging="540"/>
        <w:jc w:val="both"/>
        <w:rPr>
          <w:sz w:val="24"/>
        </w:rPr>
      </w:pPr>
      <w:r w:rsidRPr="00C53BEE">
        <w:rPr>
          <w:sz w:val="24"/>
        </w:rPr>
        <w:t>Monnaie : 19, 259.</w:t>
      </w:r>
    </w:p>
    <w:p w14:paraId="5C926D25" w14:textId="77777777" w:rsidR="0039793A" w:rsidRPr="00C53BEE" w:rsidRDefault="0039793A" w:rsidP="0039793A">
      <w:pPr>
        <w:ind w:left="540" w:hanging="540"/>
        <w:jc w:val="both"/>
        <w:rPr>
          <w:sz w:val="24"/>
        </w:rPr>
      </w:pPr>
      <w:r w:rsidRPr="00C53BEE">
        <w:rPr>
          <w:sz w:val="24"/>
        </w:rPr>
        <w:t>Mon</w:t>
      </w:r>
      <w:r w:rsidRPr="00C53BEE">
        <w:rPr>
          <w:sz w:val="24"/>
        </w:rPr>
        <w:t>o</w:t>
      </w:r>
      <w:r w:rsidRPr="00C53BEE">
        <w:rPr>
          <w:sz w:val="24"/>
        </w:rPr>
        <w:t>céphalisme : 27.</w:t>
      </w:r>
    </w:p>
    <w:p w14:paraId="7871FC8E" w14:textId="77777777" w:rsidR="0039793A" w:rsidRPr="00C53BEE" w:rsidRDefault="0039793A" w:rsidP="0039793A">
      <w:pPr>
        <w:ind w:left="540" w:hanging="540"/>
        <w:jc w:val="both"/>
        <w:rPr>
          <w:sz w:val="24"/>
        </w:rPr>
      </w:pPr>
      <w:r w:rsidRPr="00C53BEE">
        <w:rPr>
          <w:sz w:val="24"/>
        </w:rPr>
        <w:t>Moyen-Orient : 88, 106, 123, 181, 228, 244, 294.</w:t>
      </w:r>
    </w:p>
    <w:p w14:paraId="47F2C4CD" w14:textId="77777777" w:rsidR="0039793A" w:rsidRPr="00C53BEE" w:rsidRDefault="0039793A" w:rsidP="0039793A">
      <w:pPr>
        <w:ind w:left="540" w:hanging="540"/>
        <w:jc w:val="both"/>
        <w:rPr>
          <w:sz w:val="24"/>
        </w:rPr>
      </w:pPr>
      <w:r w:rsidRPr="00C53BEE">
        <w:rPr>
          <w:sz w:val="24"/>
        </w:rPr>
        <w:t>Mozambique : 88.</w:t>
      </w:r>
    </w:p>
    <w:p w14:paraId="4774D7FF" w14:textId="77777777" w:rsidR="0039793A" w:rsidRPr="00C53BEE" w:rsidRDefault="0039793A" w:rsidP="0039793A">
      <w:pPr>
        <w:ind w:left="540" w:hanging="540"/>
        <w:jc w:val="both"/>
        <w:rPr>
          <w:sz w:val="24"/>
        </w:rPr>
      </w:pPr>
      <w:r w:rsidRPr="00C53BEE">
        <w:rPr>
          <w:sz w:val="24"/>
        </w:rPr>
        <w:t>Multiculturalisme : 66, 343.</w:t>
      </w:r>
    </w:p>
    <w:p w14:paraId="688F1E36" w14:textId="77777777" w:rsidR="0039793A" w:rsidRPr="00C53BEE" w:rsidRDefault="0039793A" w:rsidP="0039793A">
      <w:pPr>
        <w:ind w:left="540" w:hanging="540"/>
        <w:jc w:val="both"/>
        <w:rPr>
          <w:sz w:val="24"/>
        </w:rPr>
      </w:pPr>
      <w:r w:rsidRPr="00C53BEE">
        <w:rPr>
          <w:sz w:val="24"/>
        </w:rPr>
        <w:t>Multilatéralisme : 68, 94-96, 102, 104, 107-109, 112-114, 118, 122, 139, 168, 271, 287-288, 290, 292-294.</w:t>
      </w:r>
    </w:p>
    <w:p w14:paraId="5586EFE2" w14:textId="77777777" w:rsidR="0039793A" w:rsidRPr="00C53BEE" w:rsidRDefault="0039793A" w:rsidP="0039793A">
      <w:pPr>
        <w:ind w:left="540" w:hanging="540"/>
        <w:jc w:val="both"/>
        <w:rPr>
          <w:sz w:val="24"/>
        </w:rPr>
      </w:pPr>
      <w:r w:rsidRPr="00C53BEE">
        <w:rPr>
          <w:sz w:val="24"/>
        </w:rPr>
        <w:t>Multipolarité : 122, 134.</w:t>
      </w:r>
    </w:p>
    <w:p w14:paraId="34AD8B04" w14:textId="77777777" w:rsidR="0039793A" w:rsidRPr="00C53BEE" w:rsidRDefault="0039793A" w:rsidP="0039793A">
      <w:pPr>
        <w:ind w:left="540" w:hanging="540"/>
        <w:jc w:val="both"/>
        <w:rPr>
          <w:sz w:val="24"/>
        </w:rPr>
      </w:pPr>
      <w:r w:rsidRPr="00C53BEE">
        <w:rPr>
          <w:sz w:val="24"/>
        </w:rPr>
        <w:t>Mythes fondateurs : 50.</w:t>
      </w:r>
    </w:p>
    <w:p w14:paraId="00BAF119" w14:textId="77777777" w:rsidR="0039793A" w:rsidRPr="00C53BEE" w:rsidRDefault="0039793A" w:rsidP="0039793A">
      <w:pPr>
        <w:ind w:left="540" w:hanging="540"/>
        <w:jc w:val="both"/>
        <w:rPr>
          <w:sz w:val="24"/>
        </w:rPr>
      </w:pPr>
    </w:p>
    <w:p w14:paraId="1EBFFAFD" w14:textId="77777777" w:rsidR="0039793A" w:rsidRPr="00C53BEE" w:rsidRDefault="0039793A" w:rsidP="0039793A">
      <w:pPr>
        <w:ind w:left="540" w:hanging="540"/>
        <w:jc w:val="both"/>
        <w:rPr>
          <w:sz w:val="24"/>
        </w:rPr>
      </w:pPr>
      <w:r w:rsidRPr="00C53BEE">
        <w:rPr>
          <w:i/>
          <w:iCs/>
          <w:sz w:val="24"/>
        </w:rPr>
        <w:t>National Association of Manufacturers</w:t>
      </w:r>
      <w:r w:rsidRPr="00C53BEE">
        <w:rPr>
          <w:rStyle w:val="Corpsdutexte108ptNonItalique"/>
          <w:sz w:val="24"/>
        </w:rPr>
        <w:t> </w:t>
      </w:r>
      <w:r w:rsidRPr="00C53BEE">
        <w:rPr>
          <w:iCs/>
          <w:sz w:val="24"/>
        </w:rPr>
        <w:t>: 323, 338.</w:t>
      </w:r>
    </w:p>
    <w:p w14:paraId="460C8A83" w14:textId="77777777" w:rsidR="0039793A" w:rsidRPr="00C53BEE" w:rsidRDefault="0039793A" w:rsidP="0039793A">
      <w:pPr>
        <w:ind w:left="540" w:hanging="540"/>
        <w:jc w:val="both"/>
        <w:rPr>
          <w:rStyle w:val="Corpsdutexte108ptNonItalique"/>
          <w:sz w:val="24"/>
        </w:rPr>
      </w:pPr>
      <w:r w:rsidRPr="00C53BEE">
        <w:rPr>
          <w:i/>
          <w:iCs/>
          <w:sz w:val="24"/>
        </w:rPr>
        <w:t>National Economie Council</w:t>
      </w:r>
      <w:r w:rsidRPr="00C53BEE">
        <w:rPr>
          <w:rStyle w:val="Corpsdutexte108ptNonItalique"/>
          <w:sz w:val="24"/>
        </w:rPr>
        <w:t> </w:t>
      </w:r>
      <w:r w:rsidRPr="00C53BEE">
        <w:rPr>
          <w:sz w:val="24"/>
        </w:rPr>
        <w:t>: 243.</w:t>
      </w:r>
    </w:p>
    <w:p w14:paraId="6A2A9752" w14:textId="77777777" w:rsidR="0039793A" w:rsidRPr="00C53BEE" w:rsidRDefault="0039793A" w:rsidP="0039793A">
      <w:pPr>
        <w:ind w:left="540" w:hanging="540"/>
        <w:jc w:val="both"/>
        <w:rPr>
          <w:i/>
          <w:iCs/>
          <w:sz w:val="24"/>
        </w:rPr>
      </w:pPr>
      <w:r w:rsidRPr="00C53BEE">
        <w:rPr>
          <w:i/>
          <w:iCs/>
          <w:sz w:val="24"/>
        </w:rPr>
        <w:t>National Farmer’s Union</w:t>
      </w:r>
      <w:r w:rsidRPr="00C53BEE">
        <w:rPr>
          <w:rStyle w:val="Corpsdutexte108ptNonItalique"/>
          <w:sz w:val="24"/>
        </w:rPr>
        <w:t> </w:t>
      </w:r>
      <w:r w:rsidRPr="00C53BEE">
        <w:rPr>
          <w:i/>
          <w:iCs/>
          <w:sz w:val="24"/>
        </w:rPr>
        <w:t xml:space="preserve">: </w:t>
      </w:r>
      <w:r w:rsidRPr="00C53BEE">
        <w:rPr>
          <w:iCs/>
          <w:sz w:val="24"/>
        </w:rPr>
        <w:t>323.</w:t>
      </w:r>
    </w:p>
    <w:p w14:paraId="7EFC1122" w14:textId="77777777" w:rsidR="0039793A" w:rsidRPr="00C53BEE" w:rsidRDefault="0039793A" w:rsidP="0039793A">
      <w:pPr>
        <w:ind w:left="540" w:hanging="540"/>
        <w:jc w:val="both"/>
        <w:rPr>
          <w:sz w:val="24"/>
        </w:rPr>
      </w:pPr>
      <w:r w:rsidRPr="00C53BEE">
        <w:rPr>
          <w:i/>
          <w:iCs/>
          <w:sz w:val="24"/>
        </w:rPr>
        <w:t>National Grange</w:t>
      </w:r>
      <w:r w:rsidRPr="00C53BEE">
        <w:rPr>
          <w:rStyle w:val="Corpsdutexte108ptNonItalique"/>
          <w:i w:val="0"/>
          <w:iCs w:val="0"/>
          <w:sz w:val="24"/>
        </w:rPr>
        <w:t> </w:t>
      </w:r>
      <w:r w:rsidRPr="00C53BEE">
        <w:rPr>
          <w:iCs/>
          <w:sz w:val="24"/>
        </w:rPr>
        <w:t>: 323.</w:t>
      </w:r>
    </w:p>
    <w:p w14:paraId="272A3838" w14:textId="77777777" w:rsidR="0039793A" w:rsidRPr="00C53BEE" w:rsidRDefault="0039793A" w:rsidP="0039793A">
      <w:pPr>
        <w:ind w:left="540" w:hanging="540"/>
        <w:jc w:val="both"/>
        <w:rPr>
          <w:sz w:val="24"/>
        </w:rPr>
      </w:pPr>
      <w:r w:rsidRPr="00C53BEE">
        <w:rPr>
          <w:i/>
          <w:iCs/>
          <w:sz w:val="24"/>
        </w:rPr>
        <w:t>National Imagery and Mapping Agency</w:t>
      </w:r>
      <w:r w:rsidRPr="00C53BEE">
        <w:rPr>
          <w:i/>
          <w:sz w:val="24"/>
        </w:rPr>
        <w:t xml:space="preserve"> : </w:t>
      </w:r>
      <w:r w:rsidRPr="00C53BEE">
        <w:rPr>
          <w:sz w:val="24"/>
        </w:rPr>
        <w:t>196</w:t>
      </w:r>
      <w:r w:rsidRPr="00C53BEE">
        <w:rPr>
          <w:rStyle w:val="Corpsdutexte108ptNonItalique"/>
          <w:sz w:val="24"/>
        </w:rPr>
        <w:t>.</w:t>
      </w:r>
    </w:p>
    <w:p w14:paraId="19BB815B" w14:textId="77777777" w:rsidR="0039793A" w:rsidRPr="00C53BEE" w:rsidRDefault="0039793A" w:rsidP="0039793A">
      <w:pPr>
        <w:ind w:left="540" w:hanging="540"/>
        <w:jc w:val="both"/>
        <w:rPr>
          <w:rStyle w:val="Corpsdutexte108ptNonItalique"/>
          <w:sz w:val="24"/>
        </w:rPr>
      </w:pPr>
      <w:r w:rsidRPr="00C53BEE">
        <w:rPr>
          <w:i/>
          <w:iCs/>
          <w:sz w:val="24"/>
        </w:rPr>
        <w:t>National Intelligence Council</w:t>
      </w:r>
      <w:r w:rsidRPr="00C53BEE">
        <w:rPr>
          <w:rStyle w:val="Corpsdutexte108ptNonItalique"/>
          <w:sz w:val="24"/>
        </w:rPr>
        <w:t> </w:t>
      </w:r>
      <w:r w:rsidRPr="00C53BEE">
        <w:rPr>
          <w:iCs/>
          <w:sz w:val="24"/>
        </w:rPr>
        <w:t>: 197.</w:t>
      </w:r>
      <w:r w:rsidRPr="00C53BEE">
        <w:rPr>
          <w:rStyle w:val="Corpsdutexte108ptNonItalique"/>
          <w:sz w:val="24"/>
        </w:rPr>
        <w:t xml:space="preserve"> </w:t>
      </w:r>
    </w:p>
    <w:p w14:paraId="495E3EB3" w14:textId="77777777" w:rsidR="0039793A" w:rsidRPr="00C53BEE" w:rsidRDefault="0039793A" w:rsidP="0039793A">
      <w:pPr>
        <w:ind w:left="540" w:hanging="540"/>
        <w:jc w:val="both"/>
        <w:rPr>
          <w:rStyle w:val="Corpsdutexte108ptNonItalique"/>
          <w:sz w:val="24"/>
        </w:rPr>
      </w:pPr>
      <w:r w:rsidRPr="00C53BEE">
        <w:rPr>
          <w:i/>
          <w:iCs/>
          <w:sz w:val="24"/>
        </w:rPr>
        <w:t>National Intelligence Estimates</w:t>
      </w:r>
      <w:r w:rsidRPr="00C53BEE">
        <w:rPr>
          <w:rStyle w:val="Corpsdutexte108ptNonItalique"/>
          <w:sz w:val="24"/>
        </w:rPr>
        <w:t> </w:t>
      </w:r>
      <w:r w:rsidRPr="00C53BEE">
        <w:rPr>
          <w:sz w:val="24"/>
        </w:rPr>
        <w:t>: 197.</w:t>
      </w:r>
      <w:r w:rsidRPr="00C53BEE">
        <w:rPr>
          <w:rStyle w:val="Corpsdutexte108ptNonItalique"/>
          <w:sz w:val="24"/>
        </w:rPr>
        <w:t xml:space="preserve"> </w:t>
      </w:r>
    </w:p>
    <w:p w14:paraId="3F982D2C" w14:textId="77777777" w:rsidR="0039793A" w:rsidRPr="00C53BEE" w:rsidRDefault="0039793A" w:rsidP="0039793A">
      <w:pPr>
        <w:ind w:left="540" w:hanging="540"/>
        <w:jc w:val="both"/>
        <w:rPr>
          <w:rStyle w:val="Corpsdutexte108ptNonItalique"/>
          <w:sz w:val="24"/>
        </w:rPr>
      </w:pPr>
      <w:r w:rsidRPr="00C53BEE">
        <w:rPr>
          <w:i/>
          <w:iCs/>
          <w:sz w:val="24"/>
        </w:rPr>
        <w:t xml:space="preserve">National Reconnaissance Office (NRO) : </w:t>
      </w:r>
      <w:r w:rsidRPr="00C53BEE">
        <w:rPr>
          <w:iCs/>
          <w:sz w:val="24"/>
        </w:rPr>
        <w:t xml:space="preserve">196. </w:t>
      </w:r>
    </w:p>
    <w:p w14:paraId="4C09CA26" w14:textId="77777777" w:rsidR="0039793A" w:rsidRPr="00C53BEE" w:rsidRDefault="0039793A" w:rsidP="0039793A">
      <w:pPr>
        <w:ind w:left="540" w:hanging="540"/>
        <w:jc w:val="both"/>
        <w:rPr>
          <w:sz w:val="24"/>
        </w:rPr>
      </w:pPr>
      <w:r w:rsidRPr="00C53BEE">
        <w:rPr>
          <w:i/>
          <w:iCs/>
          <w:sz w:val="24"/>
        </w:rPr>
        <w:t>National Rifle Association</w:t>
      </w:r>
      <w:r w:rsidRPr="00C53BEE">
        <w:rPr>
          <w:rStyle w:val="Corpsdutexte108ptNonItalique"/>
          <w:i w:val="0"/>
          <w:iCs w:val="0"/>
          <w:sz w:val="24"/>
        </w:rPr>
        <w:t> </w:t>
      </w:r>
      <w:r w:rsidRPr="00C53BEE">
        <w:rPr>
          <w:sz w:val="24"/>
        </w:rPr>
        <w:t>: 326.</w:t>
      </w:r>
    </w:p>
    <w:p w14:paraId="2E9CF37D" w14:textId="77777777" w:rsidR="0039793A" w:rsidRPr="00C53BEE" w:rsidRDefault="0039793A" w:rsidP="0039793A">
      <w:pPr>
        <w:ind w:left="540" w:hanging="540"/>
        <w:jc w:val="both"/>
        <w:rPr>
          <w:sz w:val="24"/>
        </w:rPr>
      </w:pPr>
      <w:r w:rsidRPr="00C53BEE">
        <w:rPr>
          <w:i/>
          <w:iCs/>
          <w:sz w:val="24"/>
        </w:rPr>
        <w:t>National Security Act :</w:t>
      </w:r>
      <w:r w:rsidRPr="00C53BEE">
        <w:rPr>
          <w:sz w:val="24"/>
        </w:rPr>
        <w:t xml:space="preserve"> 186, 197, 212, 214-215, 219, 229, 348.</w:t>
      </w:r>
    </w:p>
    <w:p w14:paraId="5635DA86" w14:textId="77777777" w:rsidR="0039793A" w:rsidRPr="00C53BEE" w:rsidRDefault="0039793A" w:rsidP="0039793A">
      <w:pPr>
        <w:ind w:left="540" w:hanging="540"/>
        <w:jc w:val="both"/>
        <w:rPr>
          <w:sz w:val="24"/>
        </w:rPr>
      </w:pPr>
      <w:r w:rsidRPr="00C53BEE">
        <w:rPr>
          <w:sz w:val="24"/>
        </w:rPr>
        <w:t>National Security Agency</w:t>
      </w:r>
      <w:r w:rsidRPr="00C53BEE">
        <w:rPr>
          <w:i/>
          <w:iCs/>
          <w:sz w:val="24"/>
        </w:rPr>
        <w:t xml:space="preserve"> (NSA) : </w:t>
      </w:r>
      <w:r w:rsidRPr="00C53BEE">
        <w:rPr>
          <w:iCs/>
          <w:sz w:val="24"/>
        </w:rPr>
        <w:t>63, 196, 203.</w:t>
      </w:r>
    </w:p>
    <w:p w14:paraId="6B0D37E5" w14:textId="77777777" w:rsidR="0039793A" w:rsidRPr="00C53BEE" w:rsidRDefault="0039793A" w:rsidP="0039793A">
      <w:pPr>
        <w:ind w:left="540" w:hanging="540"/>
        <w:jc w:val="both"/>
        <w:rPr>
          <w:sz w:val="24"/>
        </w:rPr>
      </w:pPr>
      <w:r w:rsidRPr="00C53BEE">
        <w:rPr>
          <w:i/>
          <w:iCs/>
          <w:sz w:val="24"/>
        </w:rPr>
        <w:t>National Security Council</w:t>
      </w:r>
      <w:r w:rsidRPr="00C53BEE">
        <w:rPr>
          <w:sz w:val="24"/>
        </w:rPr>
        <w:t xml:space="preserve"> (NSC) : 10-12, 37, 141, 209, 211-245.</w:t>
      </w:r>
    </w:p>
    <w:p w14:paraId="752637A3" w14:textId="77777777" w:rsidR="0039793A" w:rsidRPr="00C53BEE" w:rsidRDefault="0039793A" w:rsidP="0039793A">
      <w:pPr>
        <w:ind w:left="540" w:hanging="540"/>
        <w:jc w:val="both"/>
        <w:rPr>
          <w:sz w:val="24"/>
        </w:rPr>
      </w:pPr>
      <w:r w:rsidRPr="00C53BEE">
        <w:rPr>
          <w:sz w:val="24"/>
        </w:rPr>
        <w:t>National Security Planning Group</w:t>
      </w:r>
      <w:r w:rsidRPr="00C53BEE">
        <w:rPr>
          <w:i/>
          <w:iCs/>
          <w:sz w:val="24"/>
        </w:rPr>
        <w:t xml:space="preserve"> : </w:t>
      </w:r>
      <w:r w:rsidRPr="00C53BEE">
        <w:rPr>
          <w:iCs/>
          <w:sz w:val="24"/>
        </w:rPr>
        <w:t>221, 240.</w:t>
      </w:r>
    </w:p>
    <w:p w14:paraId="56315456" w14:textId="77777777" w:rsidR="0039793A" w:rsidRPr="00C53BEE" w:rsidRDefault="0039793A" w:rsidP="0039793A">
      <w:pPr>
        <w:ind w:left="540" w:hanging="540"/>
        <w:jc w:val="both"/>
        <w:rPr>
          <w:sz w:val="24"/>
        </w:rPr>
      </w:pPr>
      <w:r w:rsidRPr="00C53BEE">
        <w:rPr>
          <w:sz w:val="24"/>
        </w:rPr>
        <w:t>Nations unies (voir ONU) : 68-69, 81, 89, 96, 124-125, 131, 182, 216, 259, 265, 294.</w:t>
      </w:r>
    </w:p>
    <w:p w14:paraId="3D7D4547" w14:textId="77777777" w:rsidR="0039793A" w:rsidRPr="00C53BEE" w:rsidRDefault="0039793A" w:rsidP="0039793A">
      <w:pPr>
        <w:ind w:left="540" w:hanging="540"/>
        <w:jc w:val="both"/>
        <w:rPr>
          <w:sz w:val="24"/>
        </w:rPr>
      </w:pPr>
      <w:r w:rsidRPr="00C53BEE">
        <w:rPr>
          <w:i/>
          <w:iCs/>
          <w:sz w:val="24"/>
        </w:rPr>
        <w:t>NBC</w:t>
      </w:r>
      <w:r w:rsidRPr="00C53BEE">
        <w:rPr>
          <w:sz w:val="24"/>
        </w:rPr>
        <w:t> : 305.</w:t>
      </w:r>
    </w:p>
    <w:p w14:paraId="09D78D10" w14:textId="77777777" w:rsidR="0039793A" w:rsidRPr="00C53BEE" w:rsidRDefault="0039793A" w:rsidP="0039793A">
      <w:pPr>
        <w:ind w:left="540" w:hanging="540"/>
        <w:jc w:val="both"/>
        <w:rPr>
          <w:sz w:val="24"/>
        </w:rPr>
      </w:pPr>
      <w:r w:rsidRPr="00C53BEE">
        <w:rPr>
          <w:sz w:val="24"/>
        </w:rPr>
        <w:t>Néo-conservateur : 80, 294, 300, 346.</w:t>
      </w:r>
    </w:p>
    <w:p w14:paraId="2D4B513E" w14:textId="77777777" w:rsidR="0039793A" w:rsidRPr="00C53BEE" w:rsidRDefault="0039793A" w:rsidP="0039793A">
      <w:pPr>
        <w:ind w:left="540" w:hanging="540"/>
        <w:jc w:val="both"/>
        <w:rPr>
          <w:sz w:val="24"/>
        </w:rPr>
      </w:pPr>
      <w:r w:rsidRPr="00C53BEE">
        <w:rPr>
          <w:sz w:val="24"/>
        </w:rPr>
        <w:t>Néo-impérialiste : 112, 120. Néo-reaganien : 139.</w:t>
      </w:r>
    </w:p>
    <w:p w14:paraId="3D78745E" w14:textId="77777777" w:rsidR="0039793A" w:rsidRPr="00C53BEE" w:rsidRDefault="0039793A" w:rsidP="0039793A">
      <w:pPr>
        <w:ind w:left="540" w:hanging="540"/>
        <w:jc w:val="both"/>
        <w:rPr>
          <w:sz w:val="24"/>
        </w:rPr>
      </w:pPr>
      <w:r w:rsidRPr="00C53BEE">
        <w:rPr>
          <w:sz w:val="24"/>
        </w:rPr>
        <w:t>Neutralité : 29, 51, 150, 227-228, 250.</w:t>
      </w:r>
    </w:p>
    <w:p w14:paraId="51150081" w14:textId="77777777" w:rsidR="0039793A" w:rsidRPr="00C53BEE" w:rsidRDefault="0039793A" w:rsidP="0039793A">
      <w:pPr>
        <w:ind w:left="540" w:hanging="540"/>
        <w:jc w:val="both"/>
        <w:rPr>
          <w:sz w:val="24"/>
        </w:rPr>
      </w:pPr>
      <w:r w:rsidRPr="00C53BEE">
        <w:rPr>
          <w:sz w:val="24"/>
        </w:rPr>
        <w:t>New Deal : 320.</w:t>
      </w:r>
    </w:p>
    <w:p w14:paraId="2DC14435" w14:textId="77777777" w:rsidR="0039793A" w:rsidRPr="00C53BEE" w:rsidRDefault="0039793A" w:rsidP="0039793A">
      <w:pPr>
        <w:ind w:left="540" w:hanging="540"/>
        <w:jc w:val="both"/>
        <w:rPr>
          <w:sz w:val="24"/>
        </w:rPr>
      </w:pPr>
      <w:r w:rsidRPr="00C53BEE">
        <w:rPr>
          <w:sz w:val="24"/>
        </w:rPr>
        <w:t>New Delhi : 311, 342.</w:t>
      </w:r>
    </w:p>
    <w:p w14:paraId="6A627BF2" w14:textId="77777777" w:rsidR="0039793A" w:rsidRPr="00C53BEE" w:rsidRDefault="0039793A" w:rsidP="0039793A">
      <w:pPr>
        <w:ind w:left="540" w:hanging="540"/>
        <w:jc w:val="both"/>
        <w:rPr>
          <w:sz w:val="24"/>
        </w:rPr>
      </w:pPr>
      <w:r w:rsidRPr="00C53BEE">
        <w:rPr>
          <w:i/>
          <w:iCs/>
          <w:sz w:val="24"/>
        </w:rPr>
        <w:t>New York Times</w:t>
      </w:r>
      <w:r w:rsidRPr="00C53BEE">
        <w:rPr>
          <w:sz w:val="24"/>
        </w:rPr>
        <w:t xml:space="preserve"> : 132, 292, 304, 322. </w:t>
      </w:r>
    </w:p>
    <w:p w14:paraId="5F39D2D2" w14:textId="77777777" w:rsidR="0039793A" w:rsidRPr="00C53BEE" w:rsidRDefault="0039793A" w:rsidP="0039793A">
      <w:pPr>
        <w:ind w:left="540" w:hanging="540"/>
        <w:jc w:val="both"/>
        <w:rPr>
          <w:sz w:val="24"/>
        </w:rPr>
      </w:pPr>
      <w:r w:rsidRPr="00C53BEE">
        <w:rPr>
          <w:i/>
          <w:iCs/>
          <w:sz w:val="24"/>
        </w:rPr>
        <w:t>Newsweek</w:t>
      </w:r>
      <w:r w:rsidRPr="00C53BEE">
        <w:rPr>
          <w:sz w:val="24"/>
        </w:rPr>
        <w:t> : 306.</w:t>
      </w:r>
    </w:p>
    <w:p w14:paraId="4859AF4F" w14:textId="77777777" w:rsidR="0039793A" w:rsidRPr="00C53BEE" w:rsidRDefault="0039793A" w:rsidP="0039793A">
      <w:pPr>
        <w:ind w:left="540" w:hanging="540"/>
        <w:jc w:val="both"/>
        <w:rPr>
          <w:sz w:val="24"/>
        </w:rPr>
      </w:pPr>
      <w:r w:rsidRPr="00C53BEE">
        <w:rPr>
          <w:sz w:val="24"/>
        </w:rPr>
        <w:t>Nicaragua : 30, 32, 88, 151, 158, 241, 260, 267.</w:t>
      </w:r>
    </w:p>
    <w:p w14:paraId="33A74E8E" w14:textId="77777777" w:rsidR="0039793A" w:rsidRPr="00C53BEE" w:rsidRDefault="0039793A" w:rsidP="0039793A">
      <w:pPr>
        <w:ind w:left="540" w:hanging="540"/>
        <w:jc w:val="both"/>
        <w:rPr>
          <w:sz w:val="24"/>
        </w:rPr>
      </w:pPr>
      <w:r w:rsidRPr="00C53BEE">
        <w:rPr>
          <w:sz w:val="24"/>
        </w:rPr>
        <w:t>Nigeria : 276.</w:t>
      </w:r>
    </w:p>
    <w:p w14:paraId="347D63CB" w14:textId="77777777" w:rsidR="0039793A" w:rsidRPr="00C53BEE" w:rsidRDefault="0039793A" w:rsidP="0039793A">
      <w:pPr>
        <w:ind w:left="540" w:hanging="540"/>
        <w:jc w:val="both"/>
        <w:rPr>
          <w:sz w:val="24"/>
        </w:rPr>
      </w:pPr>
      <w:r w:rsidRPr="00C53BEE">
        <w:rPr>
          <w:sz w:val="24"/>
        </w:rPr>
        <w:t>Nixon Center : 320.</w:t>
      </w:r>
    </w:p>
    <w:p w14:paraId="496A4427" w14:textId="77777777" w:rsidR="0039793A" w:rsidRPr="00C53BEE" w:rsidRDefault="0039793A" w:rsidP="0039793A">
      <w:pPr>
        <w:ind w:left="540" w:hanging="540"/>
        <w:jc w:val="both"/>
        <w:rPr>
          <w:sz w:val="24"/>
        </w:rPr>
      </w:pPr>
      <w:r w:rsidRPr="00C53BEE">
        <w:rPr>
          <w:sz w:val="24"/>
        </w:rPr>
        <w:t>Non-prolifération : 278.</w:t>
      </w:r>
    </w:p>
    <w:p w14:paraId="0CC56B1B" w14:textId="77777777" w:rsidR="0039793A" w:rsidRPr="00C53BEE" w:rsidRDefault="0039793A" w:rsidP="0039793A">
      <w:pPr>
        <w:ind w:left="540" w:hanging="540"/>
        <w:jc w:val="both"/>
        <w:rPr>
          <w:sz w:val="24"/>
        </w:rPr>
      </w:pPr>
      <w:r w:rsidRPr="00C53BEE">
        <w:rPr>
          <w:sz w:val="24"/>
        </w:rPr>
        <w:t xml:space="preserve">Normes : 48, 72, 107, 111, 124, 128. </w:t>
      </w:r>
    </w:p>
    <w:p w14:paraId="0CAAA39C" w14:textId="77777777" w:rsidR="0039793A" w:rsidRPr="00C53BEE" w:rsidRDefault="0039793A" w:rsidP="0039793A">
      <w:pPr>
        <w:ind w:left="540" w:hanging="540"/>
        <w:jc w:val="both"/>
        <w:rPr>
          <w:sz w:val="24"/>
        </w:rPr>
      </w:pPr>
      <w:r w:rsidRPr="00C53BEE">
        <w:rPr>
          <w:i/>
          <w:iCs/>
          <w:sz w:val="24"/>
        </w:rPr>
        <w:t>Northern Command</w:t>
      </w:r>
      <w:r w:rsidRPr="00C53BEE">
        <w:rPr>
          <w:sz w:val="24"/>
        </w:rPr>
        <w:t> : 346.</w:t>
      </w:r>
    </w:p>
    <w:p w14:paraId="09533F03" w14:textId="77777777" w:rsidR="0039793A" w:rsidRPr="00C53BEE" w:rsidRDefault="0039793A" w:rsidP="0039793A">
      <w:pPr>
        <w:ind w:left="540" w:hanging="540"/>
        <w:jc w:val="both"/>
        <w:rPr>
          <w:sz w:val="24"/>
        </w:rPr>
      </w:pPr>
      <w:r w:rsidRPr="00C53BEE">
        <w:rPr>
          <w:caps/>
          <w:sz w:val="24"/>
        </w:rPr>
        <w:t>npr </w:t>
      </w:r>
      <w:r w:rsidRPr="00C53BEE">
        <w:rPr>
          <w:smallCaps/>
          <w:sz w:val="24"/>
        </w:rPr>
        <w:t>:</w:t>
      </w:r>
      <w:r w:rsidRPr="00C53BEE">
        <w:rPr>
          <w:sz w:val="24"/>
        </w:rPr>
        <w:t xml:space="preserve"> 304.</w:t>
      </w:r>
    </w:p>
    <w:p w14:paraId="59A5176D" w14:textId="77777777" w:rsidR="0039793A" w:rsidRPr="00C53BEE" w:rsidRDefault="0039793A" w:rsidP="0039793A">
      <w:pPr>
        <w:ind w:left="540" w:hanging="540"/>
        <w:jc w:val="both"/>
        <w:rPr>
          <w:sz w:val="24"/>
        </w:rPr>
      </w:pPr>
      <w:r w:rsidRPr="00C53BEE">
        <w:rPr>
          <w:sz w:val="24"/>
        </w:rPr>
        <w:t>Nucléaire</w:t>
      </w:r>
    </w:p>
    <w:p w14:paraId="2D80996C" w14:textId="77777777" w:rsidR="0039793A" w:rsidRPr="00C53BEE" w:rsidRDefault="0039793A" w:rsidP="0039793A">
      <w:pPr>
        <w:pStyle w:val="i2"/>
      </w:pPr>
      <w:r w:rsidRPr="00C53BEE">
        <w:t>- arme : 35, 37, 42, 63, 89, 158, 190, 205, 236, 324.</w:t>
      </w:r>
    </w:p>
    <w:p w14:paraId="398AA27F" w14:textId="77777777" w:rsidR="0039793A" w:rsidRPr="00C53BEE" w:rsidRDefault="0039793A" w:rsidP="0039793A">
      <w:pPr>
        <w:pStyle w:val="i2"/>
      </w:pPr>
      <w:r w:rsidRPr="00C53BEE">
        <w:t>- conflit : 32, 189, 202.</w:t>
      </w:r>
    </w:p>
    <w:p w14:paraId="1688A8F2" w14:textId="77777777" w:rsidR="0039793A" w:rsidRPr="00C53BEE" w:rsidRDefault="0039793A" w:rsidP="0039793A">
      <w:pPr>
        <w:pStyle w:val="i2"/>
      </w:pPr>
      <w:r w:rsidRPr="00C53BEE">
        <w:t>- dissuasion : 63.</w:t>
      </w:r>
    </w:p>
    <w:p w14:paraId="13C61858" w14:textId="77777777" w:rsidR="0039793A" w:rsidRPr="00C53BEE" w:rsidRDefault="0039793A" w:rsidP="0039793A">
      <w:pPr>
        <w:pStyle w:val="i2"/>
      </w:pPr>
      <w:r w:rsidRPr="00C53BEE">
        <w:t>- énergie : 202, 205, 311, 342.</w:t>
      </w:r>
    </w:p>
    <w:p w14:paraId="31A0A5F0" w14:textId="77777777" w:rsidR="0039793A" w:rsidRPr="00C53BEE" w:rsidRDefault="0039793A" w:rsidP="0039793A">
      <w:pPr>
        <w:pStyle w:val="i2"/>
      </w:pPr>
      <w:r w:rsidRPr="00C53BEE">
        <w:t>- essais : 97, 149, 262, 306.</w:t>
      </w:r>
    </w:p>
    <w:p w14:paraId="7B0AA3FA" w14:textId="77777777" w:rsidR="0039793A" w:rsidRPr="00C53BEE" w:rsidRDefault="0039793A" w:rsidP="0039793A">
      <w:pPr>
        <w:pStyle w:val="i2"/>
      </w:pPr>
      <w:r w:rsidRPr="00C53BEE">
        <w:t>- pouvoir de feu : 26, 32, 37.</w:t>
      </w:r>
    </w:p>
    <w:p w14:paraId="6241AC13" w14:textId="77777777" w:rsidR="0039793A" w:rsidRPr="00C53BEE" w:rsidRDefault="0039793A" w:rsidP="0039793A">
      <w:pPr>
        <w:pStyle w:val="i2"/>
      </w:pPr>
      <w:r w:rsidRPr="00C53BEE">
        <w:t>- Nuremberg : 129.</w:t>
      </w:r>
    </w:p>
    <w:p w14:paraId="0C73314B" w14:textId="77777777" w:rsidR="0039793A" w:rsidRPr="00C53BEE" w:rsidRDefault="0039793A" w:rsidP="0039793A">
      <w:pPr>
        <w:ind w:left="540" w:hanging="540"/>
        <w:jc w:val="both"/>
        <w:rPr>
          <w:sz w:val="24"/>
        </w:rPr>
      </w:pPr>
      <w:r w:rsidRPr="00C53BEE">
        <w:rPr>
          <w:sz w:val="24"/>
        </w:rPr>
        <w:t>Ohio : 298.</w:t>
      </w:r>
    </w:p>
    <w:p w14:paraId="3A36BC4D" w14:textId="77777777" w:rsidR="0039793A" w:rsidRPr="00C53BEE" w:rsidRDefault="0039793A" w:rsidP="0039793A">
      <w:pPr>
        <w:ind w:left="540" w:hanging="540"/>
        <w:jc w:val="both"/>
        <w:rPr>
          <w:sz w:val="24"/>
        </w:rPr>
      </w:pPr>
      <w:r w:rsidRPr="00C53BEE">
        <w:rPr>
          <w:sz w:val="24"/>
        </w:rPr>
        <w:t>OMC : 205, 268, 324-325, 329.</w:t>
      </w:r>
    </w:p>
    <w:p w14:paraId="60E29656" w14:textId="77777777" w:rsidR="0039793A" w:rsidRPr="00C53BEE" w:rsidRDefault="0039793A" w:rsidP="0039793A">
      <w:pPr>
        <w:ind w:left="540" w:hanging="540"/>
        <w:jc w:val="both"/>
        <w:rPr>
          <w:sz w:val="24"/>
        </w:rPr>
      </w:pPr>
      <w:r w:rsidRPr="00C53BEE">
        <w:rPr>
          <w:caps/>
          <w:sz w:val="24"/>
        </w:rPr>
        <w:t>ong </w:t>
      </w:r>
      <w:r w:rsidRPr="00C53BEE">
        <w:rPr>
          <w:smallCaps/>
          <w:sz w:val="24"/>
        </w:rPr>
        <w:t>:</w:t>
      </w:r>
      <w:r w:rsidRPr="00C53BEE">
        <w:rPr>
          <w:sz w:val="24"/>
        </w:rPr>
        <w:t xml:space="preserve"> 184, 324-325, 339.</w:t>
      </w:r>
    </w:p>
    <w:p w14:paraId="6FAE3C34" w14:textId="77777777" w:rsidR="0039793A" w:rsidRPr="00C53BEE" w:rsidRDefault="0039793A" w:rsidP="0039793A">
      <w:pPr>
        <w:ind w:left="540" w:hanging="540"/>
        <w:jc w:val="both"/>
        <w:rPr>
          <w:sz w:val="24"/>
        </w:rPr>
      </w:pPr>
      <w:r w:rsidRPr="00C53BEE">
        <w:rPr>
          <w:sz w:val="24"/>
        </w:rPr>
        <w:t>[379]</w:t>
      </w:r>
    </w:p>
    <w:p w14:paraId="0A48845D" w14:textId="77777777" w:rsidR="0039793A" w:rsidRPr="00C53BEE" w:rsidRDefault="0039793A" w:rsidP="0039793A">
      <w:pPr>
        <w:ind w:left="540" w:hanging="540"/>
        <w:jc w:val="both"/>
        <w:rPr>
          <w:sz w:val="24"/>
        </w:rPr>
      </w:pPr>
      <w:r w:rsidRPr="00C53BEE">
        <w:rPr>
          <w:sz w:val="24"/>
        </w:rPr>
        <w:t>ONU (voir Nations unies) : 82, 120, 150, 155, 258, 261-262, 264-265, 276, 288.</w:t>
      </w:r>
    </w:p>
    <w:p w14:paraId="1B0AA5CD" w14:textId="77777777" w:rsidR="0039793A" w:rsidRPr="00C53BEE" w:rsidRDefault="0039793A" w:rsidP="0039793A">
      <w:pPr>
        <w:ind w:left="540" w:hanging="540"/>
        <w:jc w:val="both"/>
        <w:rPr>
          <w:sz w:val="24"/>
        </w:rPr>
      </w:pPr>
      <w:r w:rsidRPr="00C53BEE">
        <w:rPr>
          <w:sz w:val="24"/>
        </w:rPr>
        <w:t>Opérations</w:t>
      </w:r>
    </w:p>
    <w:p w14:paraId="02875DED" w14:textId="77777777" w:rsidR="0039793A" w:rsidRPr="00C53BEE" w:rsidRDefault="0039793A" w:rsidP="0039793A">
      <w:pPr>
        <w:pStyle w:val="i2"/>
      </w:pPr>
      <w:r w:rsidRPr="00C53BEE">
        <w:t>clandestines : 158, 198-199, 231.</w:t>
      </w:r>
    </w:p>
    <w:p w14:paraId="1E2B0645" w14:textId="77777777" w:rsidR="0039793A" w:rsidRPr="00C53BEE" w:rsidRDefault="0039793A" w:rsidP="0039793A">
      <w:pPr>
        <w:pStyle w:val="i2"/>
      </w:pPr>
      <w:r w:rsidRPr="00C53BEE">
        <w:t>préventives : 116.</w:t>
      </w:r>
    </w:p>
    <w:p w14:paraId="739C4F3F" w14:textId="77777777" w:rsidR="0039793A" w:rsidRPr="00C53BEE" w:rsidRDefault="0039793A" w:rsidP="0039793A">
      <w:pPr>
        <w:pStyle w:val="i2"/>
      </w:pPr>
      <w:r w:rsidRPr="00C53BEE">
        <w:t>secrètes : 26, 227.</w:t>
      </w:r>
    </w:p>
    <w:p w14:paraId="4E990DFC" w14:textId="77777777" w:rsidR="0039793A" w:rsidRPr="00C53BEE" w:rsidRDefault="0039793A" w:rsidP="0039793A">
      <w:pPr>
        <w:ind w:left="540" w:hanging="540"/>
        <w:jc w:val="both"/>
        <w:rPr>
          <w:sz w:val="24"/>
        </w:rPr>
      </w:pPr>
      <w:r w:rsidRPr="00C53BEE">
        <w:rPr>
          <w:sz w:val="24"/>
        </w:rPr>
        <w:t>Opinion publique : 65, 156, 158-162, 166, 168, 206, 247-248, 254, 266- 267, 271, 283, 285-316, 325, 329, 337, 340-341, 348, 351.</w:t>
      </w:r>
    </w:p>
    <w:p w14:paraId="60BA5E2D" w14:textId="77777777" w:rsidR="0039793A" w:rsidRPr="00C53BEE" w:rsidRDefault="0039793A" w:rsidP="0039793A">
      <w:pPr>
        <w:pStyle w:val="i2"/>
      </w:pPr>
      <w:r w:rsidRPr="00C53BEE">
        <w:t>- clivages : 295.</w:t>
      </w:r>
    </w:p>
    <w:p w14:paraId="68BBD82F" w14:textId="77777777" w:rsidR="0039793A" w:rsidRPr="00C53BEE" w:rsidRDefault="0039793A" w:rsidP="0039793A">
      <w:pPr>
        <w:pStyle w:val="i2"/>
      </w:pPr>
      <w:r w:rsidRPr="00C53BEE">
        <w:t>- clivages ethniques : 297, 302.</w:t>
      </w:r>
    </w:p>
    <w:p w14:paraId="09617C3D" w14:textId="77777777" w:rsidR="0039793A" w:rsidRPr="00C53BEE" w:rsidRDefault="0039793A" w:rsidP="0039793A">
      <w:pPr>
        <w:pStyle w:val="i2"/>
      </w:pPr>
      <w:r w:rsidRPr="00C53BEE">
        <w:t>- clivages idéologiques : 297.</w:t>
      </w:r>
    </w:p>
    <w:p w14:paraId="7BE7D89E" w14:textId="77777777" w:rsidR="0039793A" w:rsidRPr="00C53BEE" w:rsidRDefault="0039793A" w:rsidP="0039793A">
      <w:pPr>
        <w:pStyle w:val="i2"/>
      </w:pPr>
      <w:r w:rsidRPr="00C53BEE">
        <w:t>- clivages régionaux : 298, 302.</w:t>
      </w:r>
    </w:p>
    <w:p w14:paraId="086E28E7" w14:textId="77777777" w:rsidR="0039793A" w:rsidRPr="00C53BEE" w:rsidRDefault="0039793A" w:rsidP="0039793A">
      <w:pPr>
        <w:pStyle w:val="i2"/>
      </w:pPr>
      <w:r w:rsidRPr="00C53BEE">
        <w:t>- clivages religieux : 297.</w:t>
      </w:r>
    </w:p>
    <w:p w14:paraId="0523D101" w14:textId="77777777" w:rsidR="0039793A" w:rsidRPr="00C53BEE" w:rsidRDefault="0039793A" w:rsidP="0039793A">
      <w:pPr>
        <w:pStyle w:val="i2"/>
      </w:pPr>
      <w:r w:rsidRPr="00C53BEE">
        <w:t>- clivages sociaux : 295, 297.</w:t>
      </w:r>
    </w:p>
    <w:p w14:paraId="4A15D7D9" w14:textId="77777777" w:rsidR="0039793A" w:rsidRPr="00C53BEE" w:rsidRDefault="0039793A" w:rsidP="0039793A">
      <w:pPr>
        <w:pStyle w:val="i2"/>
      </w:pPr>
      <w:r w:rsidRPr="00C53BEE">
        <w:t>- clivages spatiaux : 298.</w:t>
      </w:r>
    </w:p>
    <w:p w14:paraId="43067A6C" w14:textId="77777777" w:rsidR="0039793A" w:rsidRPr="00C53BEE" w:rsidRDefault="0039793A" w:rsidP="0039793A">
      <w:pPr>
        <w:pStyle w:val="i2"/>
      </w:pPr>
      <w:r w:rsidRPr="00C53BEE">
        <w:t>- clivages temporels : 302.</w:t>
      </w:r>
    </w:p>
    <w:p w14:paraId="6A934BDC" w14:textId="77777777" w:rsidR="0039793A" w:rsidRPr="00C53BEE" w:rsidRDefault="0039793A" w:rsidP="0039793A">
      <w:pPr>
        <w:pStyle w:val="i2"/>
      </w:pPr>
      <w:r w:rsidRPr="00C53BEE">
        <w:t>- extraversion : 250, 252, 302-303, 351.</w:t>
      </w:r>
    </w:p>
    <w:p w14:paraId="2FD233D4" w14:textId="77777777" w:rsidR="0039793A" w:rsidRPr="00C53BEE" w:rsidRDefault="0039793A" w:rsidP="0039793A">
      <w:pPr>
        <w:pStyle w:val="i2"/>
      </w:pPr>
      <w:r w:rsidRPr="00C53BEE">
        <w:t>- introversion : 250-251, 271, 286, 289, 290, 292-293, 302-303, 351.</w:t>
      </w:r>
    </w:p>
    <w:p w14:paraId="2E1B1DFD" w14:textId="77777777" w:rsidR="0039793A" w:rsidRPr="00C53BEE" w:rsidRDefault="0039793A" w:rsidP="0039793A">
      <w:pPr>
        <w:ind w:left="540" w:hanging="540"/>
        <w:jc w:val="both"/>
        <w:rPr>
          <w:sz w:val="24"/>
        </w:rPr>
      </w:pPr>
      <w:r w:rsidRPr="00C53BEE">
        <w:rPr>
          <w:sz w:val="24"/>
        </w:rPr>
        <w:t>Ordre international : 38, 46, 75, 77-78, 83, 90, 95, 99, 103-104, 106-112, 114-115, 119-120, 122, 127-128, 139-140.</w:t>
      </w:r>
    </w:p>
    <w:p w14:paraId="615A41CF" w14:textId="77777777" w:rsidR="0039793A" w:rsidRPr="00C53BEE" w:rsidRDefault="0039793A" w:rsidP="0039793A">
      <w:pPr>
        <w:ind w:left="540" w:hanging="540"/>
        <w:jc w:val="both"/>
        <w:rPr>
          <w:sz w:val="24"/>
        </w:rPr>
      </w:pPr>
      <w:r w:rsidRPr="00C53BEE">
        <w:rPr>
          <w:sz w:val="24"/>
        </w:rPr>
        <w:t>Organisations criminelles : 194.</w:t>
      </w:r>
    </w:p>
    <w:p w14:paraId="5E9B864D" w14:textId="77777777" w:rsidR="0039793A" w:rsidRPr="00C53BEE" w:rsidRDefault="0039793A" w:rsidP="0039793A">
      <w:pPr>
        <w:ind w:left="540" w:hanging="540"/>
        <w:jc w:val="both"/>
        <w:rPr>
          <w:sz w:val="24"/>
        </w:rPr>
      </w:pPr>
      <w:r w:rsidRPr="00C53BEE">
        <w:rPr>
          <w:sz w:val="24"/>
        </w:rPr>
        <w:t>Organisations internationales : 82, 105, 136, 168, 181, 261, 293.</w:t>
      </w:r>
    </w:p>
    <w:p w14:paraId="0F7C2B97" w14:textId="77777777" w:rsidR="0039793A" w:rsidRPr="00C53BEE" w:rsidRDefault="0039793A" w:rsidP="0039793A">
      <w:pPr>
        <w:ind w:left="540" w:hanging="540"/>
        <w:jc w:val="both"/>
        <w:rPr>
          <w:sz w:val="24"/>
        </w:rPr>
      </w:pPr>
      <w:r w:rsidRPr="00C53BEE">
        <w:rPr>
          <w:caps/>
          <w:sz w:val="24"/>
        </w:rPr>
        <w:t>otan </w:t>
      </w:r>
      <w:r w:rsidRPr="00C53BEE">
        <w:rPr>
          <w:sz w:val="24"/>
        </w:rPr>
        <w:t>: 53, 68, 95, 97-98, 115, 155-156, 185, 244, 257, 259, 283, 288, 297, 309, 311, 325, 340.</w:t>
      </w:r>
    </w:p>
    <w:p w14:paraId="29A0FDBF" w14:textId="77777777" w:rsidR="0039793A" w:rsidRPr="00C53BEE" w:rsidRDefault="0039793A" w:rsidP="0039793A">
      <w:pPr>
        <w:ind w:left="540" w:hanging="540"/>
        <w:jc w:val="both"/>
        <w:rPr>
          <w:sz w:val="24"/>
        </w:rPr>
      </w:pPr>
      <w:r w:rsidRPr="00C53BEE">
        <w:rPr>
          <w:i/>
          <w:iCs/>
          <w:sz w:val="24"/>
        </w:rPr>
        <w:t>Overseas Development Council</w:t>
      </w:r>
      <w:r w:rsidRPr="00C53BEE">
        <w:rPr>
          <w:rStyle w:val="Corpsdutexte136ptNonItalique"/>
          <w:sz w:val="24"/>
        </w:rPr>
        <w:t> :</w:t>
      </w:r>
      <w:r w:rsidRPr="00C53BEE">
        <w:rPr>
          <w:sz w:val="24"/>
        </w:rPr>
        <w:t xml:space="preserve"> 324.</w:t>
      </w:r>
    </w:p>
    <w:p w14:paraId="20336394" w14:textId="77777777" w:rsidR="0039793A" w:rsidRPr="00C53BEE" w:rsidRDefault="0039793A" w:rsidP="0039793A">
      <w:pPr>
        <w:ind w:left="540" w:hanging="540"/>
        <w:jc w:val="both"/>
        <w:rPr>
          <w:sz w:val="24"/>
        </w:rPr>
      </w:pPr>
      <w:r w:rsidRPr="00C53BEE">
        <w:rPr>
          <w:i/>
          <w:iCs/>
          <w:sz w:val="24"/>
        </w:rPr>
        <w:t xml:space="preserve">PAC </w:t>
      </w:r>
      <w:r w:rsidRPr="00C53BEE">
        <w:rPr>
          <w:sz w:val="24"/>
        </w:rPr>
        <w:t>(</w:t>
      </w:r>
      <w:r w:rsidRPr="00C53BEE">
        <w:rPr>
          <w:i/>
          <w:iCs/>
          <w:sz w:val="24"/>
        </w:rPr>
        <w:t>Political Action Committees</w:t>
      </w:r>
      <w:r w:rsidRPr="00C53BEE">
        <w:rPr>
          <w:sz w:val="24"/>
        </w:rPr>
        <w:t>)</w:t>
      </w:r>
      <w:r w:rsidRPr="00C53BEE">
        <w:rPr>
          <w:rStyle w:val="Corpsdutexte136ptNonItalique"/>
          <w:sz w:val="24"/>
        </w:rPr>
        <w:t xml:space="preserve"> : </w:t>
      </w:r>
      <w:r w:rsidRPr="00C53BEE">
        <w:rPr>
          <w:sz w:val="24"/>
        </w:rPr>
        <w:t>333.</w:t>
      </w:r>
    </w:p>
    <w:p w14:paraId="6E7FDA69" w14:textId="77777777" w:rsidR="0039793A" w:rsidRPr="00C53BEE" w:rsidRDefault="0039793A" w:rsidP="0039793A">
      <w:pPr>
        <w:ind w:left="540" w:hanging="540"/>
        <w:jc w:val="both"/>
        <w:rPr>
          <w:sz w:val="24"/>
        </w:rPr>
      </w:pPr>
      <w:r w:rsidRPr="00C53BEE">
        <w:rPr>
          <w:sz w:val="24"/>
        </w:rPr>
        <w:t>Pacifisme : 91, 301.</w:t>
      </w:r>
    </w:p>
    <w:p w14:paraId="39EAF072" w14:textId="77777777" w:rsidR="0039793A" w:rsidRPr="00C53BEE" w:rsidRDefault="0039793A" w:rsidP="0039793A">
      <w:pPr>
        <w:ind w:left="540" w:hanging="540"/>
        <w:jc w:val="both"/>
        <w:rPr>
          <w:sz w:val="24"/>
        </w:rPr>
      </w:pPr>
      <w:r w:rsidRPr="00C53BEE">
        <w:rPr>
          <w:sz w:val="24"/>
        </w:rPr>
        <w:t>Paix :</w:t>
      </w:r>
    </w:p>
    <w:p w14:paraId="05171A76" w14:textId="77777777" w:rsidR="0039793A" w:rsidRPr="00C53BEE" w:rsidRDefault="0039793A" w:rsidP="0039793A">
      <w:pPr>
        <w:pStyle w:val="i2"/>
      </w:pPr>
      <w:r w:rsidRPr="00C53BEE">
        <w:t>- consolidation : 65.</w:t>
      </w:r>
    </w:p>
    <w:p w14:paraId="625EDA8F" w14:textId="77777777" w:rsidR="0039793A" w:rsidRPr="00C53BEE" w:rsidRDefault="0039793A" w:rsidP="0039793A">
      <w:pPr>
        <w:pStyle w:val="i2"/>
      </w:pPr>
      <w:r w:rsidRPr="00C53BEE">
        <w:t>- démocratique : 72.</w:t>
      </w:r>
    </w:p>
    <w:p w14:paraId="6BF39AE7" w14:textId="77777777" w:rsidR="0039793A" w:rsidRPr="00C53BEE" w:rsidRDefault="0039793A" w:rsidP="0039793A">
      <w:pPr>
        <w:pStyle w:val="i2"/>
      </w:pPr>
      <w:r w:rsidRPr="00C53BEE">
        <w:t>- imposition : 157.</w:t>
      </w:r>
    </w:p>
    <w:p w14:paraId="7B8A92E4" w14:textId="77777777" w:rsidR="0039793A" w:rsidRPr="00C53BEE" w:rsidRDefault="0039793A" w:rsidP="0039793A">
      <w:pPr>
        <w:pStyle w:val="i2"/>
      </w:pPr>
      <w:r w:rsidRPr="00C53BEE">
        <w:t>- maintien : 157, 259, 261, 266, 270, 276.</w:t>
      </w:r>
    </w:p>
    <w:p w14:paraId="0E322227" w14:textId="77777777" w:rsidR="0039793A" w:rsidRPr="00C53BEE" w:rsidRDefault="0039793A" w:rsidP="0039793A">
      <w:pPr>
        <w:pStyle w:val="i2"/>
      </w:pPr>
      <w:r w:rsidRPr="00C53BEE">
        <w:t xml:space="preserve">- missions : 157, 186, 207. </w:t>
      </w:r>
    </w:p>
    <w:p w14:paraId="3454E63F" w14:textId="77777777" w:rsidR="0039793A" w:rsidRPr="00C53BEE" w:rsidRDefault="0039793A" w:rsidP="0039793A">
      <w:pPr>
        <w:pStyle w:val="i2"/>
      </w:pPr>
      <w:r w:rsidRPr="00C53BEE">
        <w:t>- perpétuelle : 104, 123.</w:t>
      </w:r>
    </w:p>
    <w:p w14:paraId="3811BB94" w14:textId="77777777" w:rsidR="0039793A" w:rsidRPr="00C53BEE" w:rsidRDefault="0039793A" w:rsidP="0039793A">
      <w:pPr>
        <w:ind w:left="540" w:hanging="540"/>
        <w:jc w:val="both"/>
        <w:rPr>
          <w:sz w:val="24"/>
        </w:rPr>
      </w:pPr>
      <w:r w:rsidRPr="00C53BEE">
        <w:rPr>
          <w:sz w:val="24"/>
        </w:rPr>
        <w:t>Pakistan : 49, 277, 342.</w:t>
      </w:r>
    </w:p>
    <w:p w14:paraId="1B55FB8D" w14:textId="77777777" w:rsidR="0039793A" w:rsidRPr="00C53BEE" w:rsidRDefault="0039793A" w:rsidP="0039793A">
      <w:pPr>
        <w:ind w:left="540" w:hanging="540"/>
        <w:jc w:val="both"/>
        <w:rPr>
          <w:sz w:val="24"/>
        </w:rPr>
      </w:pPr>
      <w:r w:rsidRPr="00C53BEE">
        <w:rPr>
          <w:sz w:val="24"/>
        </w:rPr>
        <w:t>Panama : 65, 67, 69, 88, 148, 253.</w:t>
      </w:r>
    </w:p>
    <w:p w14:paraId="4CA02172" w14:textId="77777777" w:rsidR="0039793A" w:rsidRPr="00C53BEE" w:rsidRDefault="0039793A" w:rsidP="0039793A">
      <w:pPr>
        <w:ind w:left="540" w:hanging="540"/>
        <w:jc w:val="both"/>
        <w:rPr>
          <w:sz w:val="24"/>
        </w:rPr>
      </w:pPr>
      <w:r w:rsidRPr="00C53BEE">
        <w:rPr>
          <w:sz w:val="24"/>
        </w:rPr>
        <w:t>Parallélisme des procédures : 150.</w:t>
      </w:r>
    </w:p>
    <w:p w14:paraId="362FE85C" w14:textId="77777777" w:rsidR="0039793A" w:rsidRPr="00C53BEE" w:rsidRDefault="0039793A" w:rsidP="0039793A">
      <w:pPr>
        <w:ind w:left="540" w:hanging="540"/>
        <w:jc w:val="both"/>
        <w:rPr>
          <w:sz w:val="24"/>
        </w:rPr>
      </w:pPr>
      <w:r w:rsidRPr="00C53BEE">
        <w:rPr>
          <w:sz w:val="24"/>
        </w:rPr>
        <w:t>Paranoïa : 59-61, 313.</w:t>
      </w:r>
    </w:p>
    <w:p w14:paraId="66F1D202" w14:textId="77777777" w:rsidR="0039793A" w:rsidRPr="00C53BEE" w:rsidRDefault="0039793A" w:rsidP="0039793A">
      <w:pPr>
        <w:ind w:left="540" w:hanging="540"/>
        <w:jc w:val="both"/>
        <w:rPr>
          <w:sz w:val="24"/>
        </w:rPr>
      </w:pPr>
      <w:r w:rsidRPr="00C53BEE">
        <w:rPr>
          <w:sz w:val="24"/>
        </w:rPr>
        <w:t>Parti</w:t>
      </w:r>
    </w:p>
    <w:p w14:paraId="66128698" w14:textId="77777777" w:rsidR="0039793A" w:rsidRPr="00C53BEE" w:rsidRDefault="0039793A" w:rsidP="0039793A">
      <w:pPr>
        <w:pStyle w:val="i2"/>
      </w:pPr>
      <w:r w:rsidRPr="00C53BEE">
        <w:t>- de la réforme : 82.</w:t>
      </w:r>
    </w:p>
    <w:p w14:paraId="6FC25653" w14:textId="77777777" w:rsidR="0039793A" w:rsidRPr="00C53BEE" w:rsidRDefault="0039793A" w:rsidP="0039793A">
      <w:pPr>
        <w:pStyle w:val="i2"/>
      </w:pPr>
      <w:r w:rsidRPr="00C53BEE">
        <w:t>- démocrate : 67, 69, 74-75, 77, 98, 253, 298, 323, 329, 334, 336-337, 345-346.</w:t>
      </w:r>
    </w:p>
    <w:p w14:paraId="0D769794" w14:textId="77777777" w:rsidR="0039793A" w:rsidRPr="00C53BEE" w:rsidRDefault="0039793A" w:rsidP="0039793A">
      <w:pPr>
        <w:pStyle w:val="i2"/>
      </w:pPr>
      <w:r w:rsidRPr="00C53BEE">
        <w:t>- fédéraliste : 55, 73.</w:t>
      </w:r>
    </w:p>
    <w:p w14:paraId="19A1D220" w14:textId="77777777" w:rsidR="0039793A" w:rsidRPr="00C53BEE" w:rsidRDefault="0039793A" w:rsidP="0039793A">
      <w:pPr>
        <w:pStyle w:val="i2"/>
      </w:pPr>
      <w:r w:rsidRPr="00C53BEE">
        <w:t>- républicain : 68, 75, 94, 191, 281-282, 300, 323, 329.</w:t>
      </w:r>
    </w:p>
    <w:p w14:paraId="7006C26E" w14:textId="77777777" w:rsidR="0039793A" w:rsidRPr="00C53BEE" w:rsidRDefault="0039793A" w:rsidP="0039793A">
      <w:pPr>
        <w:pStyle w:val="i2"/>
      </w:pPr>
      <w:r w:rsidRPr="00C53BEE">
        <w:t>- républicain-démocrate : 74.</w:t>
      </w:r>
    </w:p>
    <w:p w14:paraId="4E5DE7A0" w14:textId="77777777" w:rsidR="0039793A" w:rsidRPr="00C53BEE" w:rsidRDefault="0039793A" w:rsidP="0039793A">
      <w:pPr>
        <w:pStyle w:val="i2"/>
      </w:pPr>
      <w:r w:rsidRPr="00C53BEE">
        <w:t>- vert : 84.</w:t>
      </w:r>
    </w:p>
    <w:p w14:paraId="038BD419" w14:textId="77777777" w:rsidR="0039793A" w:rsidRPr="00C53BEE" w:rsidRDefault="0039793A" w:rsidP="0039793A">
      <w:pPr>
        <w:ind w:left="540" w:hanging="540"/>
        <w:jc w:val="both"/>
        <w:rPr>
          <w:sz w:val="24"/>
        </w:rPr>
      </w:pPr>
      <w:r w:rsidRPr="00C53BEE">
        <w:rPr>
          <w:sz w:val="24"/>
        </w:rPr>
        <w:t>Patriotisme : 349.</w:t>
      </w:r>
    </w:p>
    <w:p w14:paraId="265476EF" w14:textId="77777777" w:rsidR="0039793A" w:rsidRPr="00C53BEE" w:rsidRDefault="0039793A" w:rsidP="0039793A">
      <w:pPr>
        <w:ind w:left="540" w:hanging="540"/>
        <w:jc w:val="both"/>
        <w:rPr>
          <w:sz w:val="24"/>
        </w:rPr>
      </w:pPr>
      <w:r w:rsidRPr="00C53BEE">
        <w:rPr>
          <w:sz w:val="24"/>
        </w:rPr>
        <w:t>Pax americana : 117, 121-122, 299.</w:t>
      </w:r>
    </w:p>
    <w:p w14:paraId="11637CFA" w14:textId="77777777" w:rsidR="0039793A" w:rsidRPr="00C53BEE" w:rsidRDefault="0039793A" w:rsidP="0039793A">
      <w:pPr>
        <w:ind w:left="540" w:hanging="540"/>
        <w:jc w:val="both"/>
        <w:rPr>
          <w:sz w:val="24"/>
        </w:rPr>
      </w:pPr>
      <w:r w:rsidRPr="00C53BEE">
        <w:rPr>
          <w:sz w:val="24"/>
        </w:rPr>
        <w:t>Pearl Harbor : 31, 78, 186, 193.</w:t>
      </w:r>
    </w:p>
    <w:p w14:paraId="30BE479B" w14:textId="77777777" w:rsidR="0039793A" w:rsidRPr="00C53BEE" w:rsidRDefault="0039793A" w:rsidP="0039793A">
      <w:pPr>
        <w:ind w:left="540" w:hanging="540"/>
        <w:jc w:val="both"/>
        <w:rPr>
          <w:sz w:val="24"/>
        </w:rPr>
      </w:pPr>
      <w:r w:rsidRPr="00C53BEE">
        <w:rPr>
          <w:sz w:val="24"/>
        </w:rPr>
        <w:t>Pensée experte : 56, 61-62, 65, 70.</w:t>
      </w:r>
    </w:p>
    <w:p w14:paraId="0ECDD569" w14:textId="77777777" w:rsidR="0039793A" w:rsidRPr="00C53BEE" w:rsidRDefault="0039793A" w:rsidP="0039793A">
      <w:pPr>
        <w:ind w:left="540" w:hanging="540"/>
        <w:jc w:val="both"/>
        <w:rPr>
          <w:sz w:val="24"/>
        </w:rPr>
      </w:pPr>
      <w:r w:rsidRPr="00C53BEE">
        <w:rPr>
          <w:sz w:val="24"/>
        </w:rPr>
        <w:t>Pennsylvanie : 298.</w:t>
      </w:r>
    </w:p>
    <w:p w14:paraId="0980D74B" w14:textId="77777777" w:rsidR="0039793A" w:rsidRPr="00C53BEE" w:rsidRDefault="0039793A" w:rsidP="0039793A">
      <w:pPr>
        <w:ind w:left="540" w:hanging="540"/>
        <w:jc w:val="both"/>
        <w:rPr>
          <w:sz w:val="24"/>
        </w:rPr>
      </w:pPr>
      <w:r w:rsidRPr="00C53BEE">
        <w:rPr>
          <w:sz w:val="24"/>
        </w:rPr>
        <w:t>Pentagone : 64, 185, 192, 207, 216, 233, 255, 260, 275, 310, 314, 320-321, 334, 347, 351.</w:t>
      </w:r>
    </w:p>
    <w:p w14:paraId="2ED009ED" w14:textId="77777777" w:rsidR="0039793A" w:rsidRPr="00C53BEE" w:rsidRDefault="0039793A" w:rsidP="0039793A">
      <w:pPr>
        <w:ind w:left="540" w:hanging="540"/>
        <w:jc w:val="both"/>
        <w:rPr>
          <w:sz w:val="24"/>
        </w:rPr>
      </w:pPr>
      <w:r w:rsidRPr="00C53BEE">
        <w:rPr>
          <w:sz w:val="24"/>
        </w:rPr>
        <w:t>Pères fondateurs : 15-16, 19, 22, 25, 27, 36, 51, 57, 131, 144, 156.</w:t>
      </w:r>
    </w:p>
    <w:p w14:paraId="7E198CFB" w14:textId="77777777" w:rsidR="0039793A" w:rsidRPr="00C53BEE" w:rsidRDefault="0039793A" w:rsidP="0039793A">
      <w:pPr>
        <w:ind w:left="540" w:hanging="540"/>
        <w:jc w:val="both"/>
        <w:rPr>
          <w:sz w:val="24"/>
        </w:rPr>
      </w:pPr>
      <w:r w:rsidRPr="00C53BEE">
        <w:rPr>
          <w:sz w:val="24"/>
        </w:rPr>
        <w:t>Philippines : 76.</w:t>
      </w:r>
    </w:p>
    <w:p w14:paraId="354268C1" w14:textId="77777777" w:rsidR="0039793A" w:rsidRPr="00C53BEE" w:rsidRDefault="0039793A" w:rsidP="0039793A">
      <w:pPr>
        <w:ind w:left="540" w:hanging="540"/>
        <w:jc w:val="both"/>
        <w:rPr>
          <w:sz w:val="24"/>
        </w:rPr>
      </w:pPr>
      <w:r w:rsidRPr="00C53BEE">
        <w:rPr>
          <w:sz w:val="24"/>
        </w:rPr>
        <w:t>Plan Marshall : 69, 95.</w:t>
      </w:r>
    </w:p>
    <w:p w14:paraId="4FB9796C" w14:textId="77777777" w:rsidR="0039793A" w:rsidRPr="00C53BEE" w:rsidRDefault="0039793A" w:rsidP="0039793A">
      <w:pPr>
        <w:ind w:left="540" w:hanging="540"/>
        <w:jc w:val="both"/>
        <w:rPr>
          <w:sz w:val="24"/>
        </w:rPr>
      </w:pPr>
      <w:r w:rsidRPr="00C53BEE">
        <w:rPr>
          <w:sz w:val="24"/>
        </w:rPr>
        <w:t>Pluralisme : 57, 317, 344.</w:t>
      </w:r>
    </w:p>
    <w:p w14:paraId="1973FEC0" w14:textId="77777777" w:rsidR="0039793A" w:rsidRPr="00C53BEE" w:rsidRDefault="0039793A" w:rsidP="0039793A">
      <w:pPr>
        <w:ind w:left="540" w:hanging="540"/>
        <w:jc w:val="both"/>
        <w:rPr>
          <w:sz w:val="24"/>
        </w:rPr>
      </w:pPr>
      <w:r w:rsidRPr="00C53BEE">
        <w:rPr>
          <w:sz w:val="24"/>
        </w:rPr>
        <w:t xml:space="preserve">Poids et contrepoids (voir </w:t>
      </w:r>
      <w:r w:rsidRPr="00C53BEE">
        <w:rPr>
          <w:i/>
          <w:iCs/>
          <w:sz w:val="24"/>
        </w:rPr>
        <w:t>Checks and Balances)</w:t>
      </w:r>
      <w:r w:rsidRPr="00C53BEE">
        <w:rPr>
          <w:sz w:val="24"/>
        </w:rPr>
        <w:t> : 47, 145, 177, 206.</w:t>
      </w:r>
    </w:p>
    <w:p w14:paraId="1200CF6A" w14:textId="77777777" w:rsidR="0039793A" w:rsidRPr="00C53BEE" w:rsidRDefault="0039793A" w:rsidP="0039793A">
      <w:pPr>
        <w:ind w:left="540" w:hanging="540"/>
        <w:jc w:val="both"/>
        <w:rPr>
          <w:sz w:val="24"/>
        </w:rPr>
      </w:pPr>
      <w:r w:rsidRPr="00C53BEE">
        <w:rPr>
          <w:i/>
          <w:iCs/>
          <w:sz w:val="24"/>
        </w:rPr>
        <w:t>Policy Planning Board</w:t>
      </w:r>
      <w:r w:rsidRPr="00C53BEE">
        <w:rPr>
          <w:rStyle w:val="Corpsdutexte108ptNonItalique"/>
          <w:i w:val="0"/>
          <w:iCs w:val="0"/>
          <w:sz w:val="24"/>
        </w:rPr>
        <w:t> </w:t>
      </w:r>
      <w:r w:rsidRPr="00C53BEE">
        <w:rPr>
          <w:iCs/>
          <w:sz w:val="24"/>
        </w:rPr>
        <w:t>: 234.</w:t>
      </w:r>
    </w:p>
    <w:p w14:paraId="4421C9CF" w14:textId="77777777" w:rsidR="0039793A" w:rsidRPr="00C53BEE" w:rsidRDefault="0039793A" w:rsidP="0039793A">
      <w:pPr>
        <w:ind w:left="540" w:hanging="540"/>
        <w:jc w:val="both"/>
        <w:rPr>
          <w:sz w:val="24"/>
        </w:rPr>
      </w:pPr>
      <w:r w:rsidRPr="00C53BEE">
        <w:rPr>
          <w:i/>
          <w:iCs/>
          <w:sz w:val="24"/>
        </w:rPr>
        <w:t>Policy Planning Staff</w:t>
      </w:r>
      <w:r w:rsidRPr="00C53BEE">
        <w:rPr>
          <w:rStyle w:val="Corpsdutexte108ptNonItalique"/>
          <w:sz w:val="24"/>
        </w:rPr>
        <w:t> </w:t>
      </w:r>
      <w:r w:rsidRPr="00C53BEE">
        <w:rPr>
          <w:sz w:val="24"/>
        </w:rPr>
        <w:t>: 309.</w:t>
      </w:r>
    </w:p>
    <w:p w14:paraId="5F47DBCB" w14:textId="77777777" w:rsidR="0039793A" w:rsidRPr="00C53BEE" w:rsidRDefault="0039793A" w:rsidP="0039793A">
      <w:pPr>
        <w:ind w:left="540" w:hanging="540"/>
        <w:jc w:val="both"/>
        <w:rPr>
          <w:sz w:val="24"/>
        </w:rPr>
      </w:pPr>
      <w:r w:rsidRPr="00C53BEE">
        <w:rPr>
          <w:i/>
          <w:iCs/>
          <w:sz w:val="24"/>
        </w:rPr>
        <w:t>Policy Review</w:t>
      </w:r>
      <w:r w:rsidRPr="00C53BEE">
        <w:rPr>
          <w:rStyle w:val="Corpsdutexte108ptNonItalique"/>
          <w:sz w:val="24"/>
        </w:rPr>
        <w:t> </w:t>
      </w:r>
      <w:r w:rsidRPr="00C53BEE">
        <w:rPr>
          <w:iCs/>
          <w:sz w:val="24"/>
        </w:rPr>
        <w:t>: 322.</w:t>
      </w:r>
    </w:p>
    <w:p w14:paraId="62C7F387" w14:textId="77777777" w:rsidR="0039793A" w:rsidRPr="00C53BEE" w:rsidRDefault="0039793A" w:rsidP="0039793A">
      <w:pPr>
        <w:ind w:left="540" w:hanging="540"/>
        <w:jc w:val="both"/>
        <w:rPr>
          <w:sz w:val="24"/>
        </w:rPr>
      </w:pPr>
      <w:r w:rsidRPr="00C53BEE">
        <w:rPr>
          <w:i/>
          <w:iCs/>
          <w:sz w:val="24"/>
        </w:rPr>
        <w:t>Pork-barrel spending</w:t>
      </w:r>
      <w:r w:rsidRPr="00C53BEE">
        <w:rPr>
          <w:rStyle w:val="Corpsdutexte108ptNonItalique"/>
          <w:sz w:val="24"/>
        </w:rPr>
        <w:t> </w:t>
      </w:r>
      <w:r w:rsidRPr="00C53BEE">
        <w:rPr>
          <w:sz w:val="24"/>
        </w:rPr>
        <w:t>: 274.</w:t>
      </w:r>
    </w:p>
    <w:p w14:paraId="2BD67AC1" w14:textId="77777777" w:rsidR="0039793A" w:rsidRPr="00C53BEE" w:rsidRDefault="0039793A" w:rsidP="0039793A">
      <w:pPr>
        <w:ind w:left="540" w:hanging="540"/>
        <w:jc w:val="both"/>
        <w:rPr>
          <w:sz w:val="24"/>
        </w:rPr>
      </w:pPr>
      <w:r w:rsidRPr="00C53BEE">
        <w:rPr>
          <w:sz w:val="24"/>
        </w:rPr>
        <w:t>Pouvoir</w:t>
      </w:r>
    </w:p>
    <w:p w14:paraId="5E30097D" w14:textId="77777777" w:rsidR="0039793A" w:rsidRPr="00C53BEE" w:rsidRDefault="0039793A" w:rsidP="0039793A">
      <w:pPr>
        <w:pStyle w:val="i2"/>
      </w:pPr>
      <w:r w:rsidRPr="00C53BEE">
        <w:t>- exécutif : 12, 20-23, 25-26, 28-29, 31-32, 34, 38-39, 141-142, 154, 182, 257, 329.</w:t>
      </w:r>
    </w:p>
    <w:p w14:paraId="73E8F645" w14:textId="77777777" w:rsidR="0039793A" w:rsidRPr="00C53BEE" w:rsidRDefault="0039793A" w:rsidP="0039793A">
      <w:pPr>
        <w:pStyle w:val="i2"/>
      </w:pPr>
      <w:r w:rsidRPr="00C53BEE">
        <w:t>- judiciaire : 26.</w:t>
      </w:r>
    </w:p>
    <w:p w14:paraId="4B3CAA8E" w14:textId="77777777" w:rsidR="0039793A" w:rsidRPr="00C53BEE" w:rsidRDefault="0039793A" w:rsidP="0039793A">
      <w:pPr>
        <w:pStyle w:val="i2"/>
      </w:pPr>
      <w:r w:rsidRPr="00C53BEE">
        <w:t>- législatif : 12, 23, 39, 146, 150, 154, 182, 247-248, 254, 263.</w:t>
      </w:r>
    </w:p>
    <w:p w14:paraId="7167DC3B" w14:textId="77777777" w:rsidR="0039793A" w:rsidRPr="00C53BEE" w:rsidRDefault="0039793A" w:rsidP="0039793A">
      <w:pPr>
        <w:ind w:left="540" w:hanging="540"/>
        <w:jc w:val="both"/>
        <w:rPr>
          <w:sz w:val="24"/>
        </w:rPr>
      </w:pPr>
      <w:r w:rsidRPr="00C53BEE">
        <w:rPr>
          <w:sz w:val="24"/>
        </w:rPr>
        <w:t>Pouvoirs publics : 15.</w:t>
      </w:r>
    </w:p>
    <w:p w14:paraId="3878AAB0" w14:textId="77777777" w:rsidR="0039793A" w:rsidRPr="00C53BEE" w:rsidRDefault="0039793A" w:rsidP="0039793A">
      <w:pPr>
        <w:ind w:left="540" w:hanging="540"/>
        <w:jc w:val="both"/>
        <w:rPr>
          <w:sz w:val="24"/>
        </w:rPr>
      </w:pPr>
      <w:r w:rsidRPr="00C53BEE">
        <w:rPr>
          <w:sz w:val="24"/>
        </w:rPr>
        <w:t>Présidence impériale : 33, 211, 248, 250, 258, 348.</w:t>
      </w:r>
    </w:p>
    <w:p w14:paraId="0838E11B" w14:textId="77777777" w:rsidR="0039793A" w:rsidRPr="00C53BEE" w:rsidRDefault="0039793A" w:rsidP="0039793A">
      <w:pPr>
        <w:ind w:left="540" w:hanging="540"/>
        <w:jc w:val="both"/>
        <w:rPr>
          <w:sz w:val="24"/>
        </w:rPr>
      </w:pPr>
      <w:r w:rsidRPr="00C53BEE">
        <w:rPr>
          <w:sz w:val="24"/>
        </w:rPr>
        <w:t xml:space="preserve">Président de la Chambre : 272, 280, 292. </w:t>
      </w:r>
    </w:p>
    <w:p w14:paraId="09208102" w14:textId="77777777" w:rsidR="0039793A" w:rsidRPr="00C53BEE" w:rsidRDefault="0039793A" w:rsidP="0039793A">
      <w:pPr>
        <w:ind w:left="540" w:hanging="540"/>
        <w:jc w:val="both"/>
        <w:rPr>
          <w:sz w:val="24"/>
        </w:rPr>
      </w:pPr>
      <w:r w:rsidRPr="00C53BEE">
        <w:rPr>
          <w:sz w:val="24"/>
        </w:rPr>
        <w:t>Président des États-Unis : 9, 12, 15, 19, 22-23, 26-39, 44-45, 47-49, 51- 53, 55, 63-64,67-69, 75-77, 79, 81- 82, 86-87, 89, 94-101, 103, 114, 127, 135, 141, 142-175, 177-182, 184-185, 187-190, 192, 194-195, 197-199, 202, 205-206, 208-209, 211-231, 233-238, 240-245, 247, 250-262, 264, 266-267, 270, 272, 276-285, 290, 292, 294, 296, 303, 306-312, 315-316, 323, 328, 331-332, 334, 339, 342, 346-348, 350-351.</w:t>
      </w:r>
    </w:p>
    <w:p w14:paraId="3F01E60B" w14:textId="77777777" w:rsidR="0039793A" w:rsidRPr="00C53BEE" w:rsidRDefault="0039793A" w:rsidP="0039793A">
      <w:pPr>
        <w:pStyle w:val="i2"/>
      </w:pPr>
      <w:r w:rsidRPr="00C53BEE">
        <w:t>- leadership : 142, 161, 164-165, 167, 169, 238, 243, 249, 254, 283-284, 286, 312, 316.</w:t>
      </w:r>
    </w:p>
    <w:p w14:paraId="46E3164D" w14:textId="77777777" w:rsidR="0039793A" w:rsidRPr="00C53BEE" w:rsidRDefault="0039793A" w:rsidP="0039793A">
      <w:pPr>
        <w:pStyle w:val="i2"/>
      </w:pPr>
      <w:r w:rsidRPr="00C53BEE">
        <w:t>- modes de gestion : 171-174.</w:t>
      </w:r>
    </w:p>
    <w:p w14:paraId="10DB6DCE" w14:textId="77777777" w:rsidR="0039793A" w:rsidRPr="00C53BEE" w:rsidRDefault="0039793A" w:rsidP="0039793A">
      <w:pPr>
        <w:pStyle w:val="i2"/>
      </w:pPr>
      <w:r w:rsidRPr="00C53BEE">
        <w:t>- personnalité : 159, 163-167, 171, 175,237.</w:t>
      </w:r>
    </w:p>
    <w:p w14:paraId="4D10258B" w14:textId="77777777" w:rsidR="0039793A" w:rsidRPr="00C53BEE" w:rsidRDefault="0039793A" w:rsidP="0039793A">
      <w:pPr>
        <w:ind w:left="540" w:hanging="540"/>
        <w:jc w:val="both"/>
        <w:rPr>
          <w:sz w:val="24"/>
        </w:rPr>
      </w:pPr>
      <w:r w:rsidRPr="00C53BEE">
        <w:rPr>
          <w:sz w:val="24"/>
        </w:rPr>
        <w:t>[380]</w:t>
      </w:r>
    </w:p>
    <w:p w14:paraId="7F7D17B0" w14:textId="77777777" w:rsidR="0039793A" w:rsidRPr="00C53BEE" w:rsidRDefault="0039793A" w:rsidP="0039793A">
      <w:pPr>
        <w:pStyle w:val="i2"/>
      </w:pPr>
      <w:r w:rsidRPr="00C53BEE">
        <w:t>- pouvoir de persuasion : 160.</w:t>
      </w:r>
    </w:p>
    <w:p w14:paraId="7D02C51A" w14:textId="77777777" w:rsidR="0039793A" w:rsidRPr="00C53BEE" w:rsidRDefault="0039793A" w:rsidP="0039793A">
      <w:pPr>
        <w:pStyle w:val="i2"/>
      </w:pPr>
      <w:r w:rsidRPr="00C53BEE">
        <w:t>- pouvoirs formels : 24-25, 34-36, 147-152, 162.</w:t>
      </w:r>
    </w:p>
    <w:p w14:paraId="6E50748C" w14:textId="77777777" w:rsidR="0039793A" w:rsidRPr="00C53BEE" w:rsidRDefault="0039793A" w:rsidP="0039793A">
      <w:pPr>
        <w:pStyle w:val="i2"/>
      </w:pPr>
      <w:r w:rsidRPr="00C53BEE">
        <w:t>- pouvoirs informels : 157-162.</w:t>
      </w:r>
    </w:p>
    <w:p w14:paraId="1F9413AD" w14:textId="77777777" w:rsidR="0039793A" w:rsidRPr="00C53BEE" w:rsidRDefault="0039793A" w:rsidP="0039793A">
      <w:pPr>
        <w:pStyle w:val="i2"/>
      </w:pPr>
      <w:r w:rsidRPr="00C53BEE">
        <w:t>- prédispositions : 163-164. -psychologie : 165.</w:t>
      </w:r>
    </w:p>
    <w:p w14:paraId="0EC38E38" w14:textId="77777777" w:rsidR="0039793A" w:rsidRPr="00C53BEE" w:rsidRDefault="0039793A" w:rsidP="0039793A">
      <w:pPr>
        <w:pStyle w:val="i2"/>
      </w:pPr>
      <w:r w:rsidRPr="00C53BEE">
        <w:t>- sens de l’anticipation : 166-167, 263.</w:t>
      </w:r>
    </w:p>
    <w:p w14:paraId="7F33C0EC" w14:textId="77777777" w:rsidR="0039793A" w:rsidRPr="00C53BEE" w:rsidRDefault="0039793A" w:rsidP="0039793A">
      <w:pPr>
        <w:pStyle w:val="i2"/>
      </w:pPr>
      <w:r w:rsidRPr="00C53BEE">
        <w:t>- style décisionnel : 164-171.</w:t>
      </w:r>
    </w:p>
    <w:p w14:paraId="7F7D21FB" w14:textId="77777777" w:rsidR="0039793A" w:rsidRPr="00C53BEE" w:rsidRDefault="0039793A" w:rsidP="0039793A">
      <w:pPr>
        <w:pStyle w:val="i2"/>
      </w:pPr>
      <w:r w:rsidRPr="00C53BEE">
        <w:t>- suprématie : 34-36.</w:t>
      </w:r>
    </w:p>
    <w:p w14:paraId="7E8D8AF2" w14:textId="77777777" w:rsidR="0039793A" w:rsidRPr="00C53BEE" w:rsidRDefault="0039793A" w:rsidP="0039793A">
      <w:pPr>
        <w:pStyle w:val="i2"/>
      </w:pPr>
      <w:r w:rsidRPr="00C53BEE">
        <w:t xml:space="preserve">- système de valeurs : 165, 168. </w:t>
      </w:r>
    </w:p>
    <w:p w14:paraId="1718745B" w14:textId="77777777" w:rsidR="0039793A" w:rsidRPr="00C53BEE" w:rsidRDefault="0039793A" w:rsidP="0039793A">
      <w:pPr>
        <w:ind w:left="540" w:hanging="540"/>
        <w:jc w:val="both"/>
        <w:rPr>
          <w:sz w:val="24"/>
        </w:rPr>
      </w:pPr>
      <w:r w:rsidRPr="00C53BEE">
        <w:rPr>
          <w:i/>
          <w:iCs/>
          <w:sz w:val="24"/>
        </w:rPr>
        <w:t>Principals Committee</w:t>
      </w:r>
      <w:r w:rsidRPr="00C53BEE">
        <w:rPr>
          <w:sz w:val="24"/>
        </w:rPr>
        <w:t> : 221, 242-243.</w:t>
      </w:r>
    </w:p>
    <w:p w14:paraId="20348613" w14:textId="77777777" w:rsidR="0039793A" w:rsidRPr="00C53BEE" w:rsidRDefault="0039793A" w:rsidP="0039793A">
      <w:pPr>
        <w:ind w:left="540" w:hanging="540"/>
        <w:jc w:val="both"/>
        <w:rPr>
          <w:sz w:val="24"/>
        </w:rPr>
      </w:pPr>
      <w:r w:rsidRPr="00C53BEE">
        <w:rPr>
          <w:sz w:val="24"/>
        </w:rPr>
        <w:t>Privilège de l’exécutif : 26.</w:t>
      </w:r>
    </w:p>
    <w:p w14:paraId="1A085787" w14:textId="77777777" w:rsidR="0039793A" w:rsidRPr="00C53BEE" w:rsidRDefault="0039793A" w:rsidP="0039793A">
      <w:pPr>
        <w:ind w:left="540" w:hanging="540"/>
        <w:jc w:val="both"/>
        <w:rPr>
          <w:sz w:val="24"/>
        </w:rPr>
      </w:pPr>
      <w:r w:rsidRPr="00C53BEE">
        <w:rPr>
          <w:sz w:val="24"/>
        </w:rPr>
        <w:t>Prolifération : 73, 194, 268, 276-277, 320, 338, 347, 351.</w:t>
      </w:r>
    </w:p>
    <w:p w14:paraId="4D129A9A" w14:textId="77777777" w:rsidR="0039793A" w:rsidRPr="00C53BEE" w:rsidRDefault="0039793A" w:rsidP="0039793A">
      <w:pPr>
        <w:ind w:left="540" w:hanging="540"/>
        <w:jc w:val="both"/>
        <w:rPr>
          <w:sz w:val="24"/>
        </w:rPr>
      </w:pPr>
      <w:r w:rsidRPr="00C53BEE">
        <w:rPr>
          <w:sz w:val="24"/>
        </w:rPr>
        <w:t>Propriété privée : 15.</w:t>
      </w:r>
    </w:p>
    <w:p w14:paraId="5DC1E780" w14:textId="77777777" w:rsidR="0039793A" w:rsidRPr="00C53BEE" w:rsidRDefault="0039793A" w:rsidP="0039793A">
      <w:pPr>
        <w:ind w:left="540" w:hanging="540"/>
        <w:jc w:val="both"/>
        <w:rPr>
          <w:sz w:val="24"/>
        </w:rPr>
      </w:pPr>
      <w:r w:rsidRPr="00C53BEE">
        <w:rPr>
          <w:sz w:val="24"/>
        </w:rPr>
        <w:t>Protectionnisme : 80, 96-98, 134-135, 250, 297-298, 323.</w:t>
      </w:r>
    </w:p>
    <w:p w14:paraId="72DB065E" w14:textId="77777777" w:rsidR="0039793A" w:rsidRPr="00C53BEE" w:rsidRDefault="0039793A" w:rsidP="0039793A">
      <w:pPr>
        <w:ind w:left="540" w:hanging="540"/>
        <w:jc w:val="both"/>
        <w:rPr>
          <w:sz w:val="24"/>
        </w:rPr>
      </w:pPr>
      <w:r w:rsidRPr="00C53BEE">
        <w:rPr>
          <w:sz w:val="24"/>
        </w:rPr>
        <w:t>Protoc</w:t>
      </w:r>
      <w:r w:rsidRPr="00C53BEE">
        <w:rPr>
          <w:sz w:val="24"/>
        </w:rPr>
        <w:t>o</w:t>
      </w:r>
      <w:r w:rsidRPr="00C53BEE">
        <w:rPr>
          <w:sz w:val="24"/>
        </w:rPr>
        <w:t>le de Kyoto : 82, 97, 254, 294, 324.</w:t>
      </w:r>
    </w:p>
    <w:p w14:paraId="5790416D" w14:textId="77777777" w:rsidR="0039793A" w:rsidRPr="00C53BEE" w:rsidRDefault="0039793A" w:rsidP="0039793A">
      <w:pPr>
        <w:ind w:left="540" w:hanging="540"/>
        <w:jc w:val="both"/>
        <w:rPr>
          <w:sz w:val="24"/>
        </w:rPr>
      </w:pPr>
      <w:r w:rsidRPr="00C53BEE">
        <w:rPr>
          <w:sz w:val="24"/>
        </w:rPr>
        <w:t>Providence : 55-57.</w:t>
      </w:r>
    </w:p>
    <w:p w14:paraId="542AE769" w14:textId="77777777" w:rsidR="0039793A" w:rsidRPr="00C53BEE" w:rsidRDefault="0039793A" w:rsidP="0039793A">
      <w:pPr>
        <w:ind w:left="540" w:hanging="540"/>
        <w:jc w:val="both"/>
        <w:rPr>
          <w:sz w:val="24"/>
        </w:rPr>
      </w:pPr>
      <w:r w:rsidRPr="00C53BEE">
        <w:rPr>
          <w:i/>
          <w:iCs/>
          <w:sz w:val="24"/>
        </w:rPr>
        <w:t>Public Citizen</w:t>
      </w:r>
      <w:r w:rsidRPr="00C53BEE">
        <w:rPr>
          <w:rStyle w:val="Corpsdutexte108ptNonItalique"/>
          <w:sz w:val="24"/>
        </w:rPr>
        <w:t> </w:t>
      </w:r>
      <w:r w:rsidRPr="00C53BEE">
        <w:rPr>
          <w:iCs/>
          <w:sz w:val="24"/>
        </w:rPr>
        <w:t>: 325.</w:t>
      </w:r>
    </w:p>
    <w:p w14:paraId="0CFC87CE" w14:textId="77777777" w:rsidR="0039793A" w:rsidRPr="00C53BEE" w:rsidRDefault="0039793A" w:rsidP="0039793A">
      <w:pPr>
        <w:ind w:left="540" w:hanging="540"/>
        <w:jc w:val="both"/>
        <w:rPr>
          <w:sz w:val="24"/>
        </w:rPr>
      </w:pPr>
      <w:r w:rsidRPr="00C53BEE">
        <w:rPr>
          <w:sz w:val="24"/>
        </w:rPr>
        <w:t>Puissance</w:t>
      </w:r>
    </w:p>
    <w:p w14:paraId="4EF2A973" w14:textId="77777777" w:rsidR="0039793A" w:rsidRPr="00C53BEE" w:rsidRDefault="0039793A" w:rsidP="0039793A">
      <w:pPr>
        <w:pStyle w:val="i2"/>
      </w:pPr>
      <w:r w:rsidRPr="00C53BEE">
        <w:t>vbrute : 112-114.</w:t>
      </w:r>
    </w:p>
    <w:p w14:paraId="4E5B82C8" w14:textId="77777777" w:rsidR="0039793A" w:rsidRPr="00C53BEE" w:rsidRDefault="0039793A" w:rsidP="0039793A">
      <w:pPr>
        <w:pStyle w:val="i2"/>
      </w:pPr>
      <w:r w:rsidRPr="00C53BEE">
        <w:t>- économique : 78, 127, 133-134.</w:t>
      </w:r>
    </w:p>
    <w:p w14:paraId="27B522FA" w14:textId="77777777" w:rsidR="0039793A" w:rsidRPr="00C53BEE" w:rsidRDefault="0039793A" w:rsidP="0039793A">
      <w:pPr>
        <w:pStyle w:val="i2"/>
      </w:pPr>
      <w:r w:rsidRPr="00C53BEE">
        <w:t>- maximisation : 93.</w:t>
      </w:r>
    </w:p>
    <w:p w14:paraId="6B0B8F02" w14:textId="77777777" w:rsidR="0039793A" w:rsidRPr="00C53BEE" w:rsidRDefault="0039793A" w:rsidP="0039793A">
      <w:pPr>
        <w:pStyle w:val="i2"/>
      </w:pPr>
      <w:r w:rsidRPr="00C53BEE">
        <w:t>- souple : 112-113, 119-120.</w:t>
      </w:r>
    </w:p>
    <w:p w14:paraId="357A36CA" w14:textId="77777777" w:rsidR="0039793A" w:rsidRPr="00C53BEE" w:rsidRDefault="0039793A" w:rsidP="0039793A">
      <w:pPr>
        <w:ind w:left="540" w:hanging="540"/>
        <w:jc w:val="both"/>
        <w:rPr>
          <w:sz w:val="24"/>
        </w:rPr>
      </w:pPr>
      <w:r w:rsidRPr="00C53BEE">
        <w:rPr>
          <w:sz w:val="24"/>
        </w:rPr>
        <w:t>Puritanisme : 43, 45, 69-70, 89, 301.</w:t>
      </w:r>
    </w:p>
    <w:p w14:paraId="2C94AEFD" w14:textId="77777777" w:rsidR="0039793A" w:rsidRPr="00C53BEE" w:rsidRDefault="0039793A" w:rsidP="0039793A">
      <w:pPr>
        <w:ind w:left="540" w:hanging="540"/>
        <w:jc w:val="both"/>
        <w:rPr>
          <w:sz w:val="24"/>
        </w:rPr>
      </w:pPr>
    </w:p>
    <w:p w14:paraId="5F09DDF3" w14:textId="77777777" w:rsidR="0039793A" w:rsidRPr="00C53BEE" w:rsidRDefault="0039793A" w:rsidP="0039793A">
      <w:pPr>
        <w:ind w:left="540" w:hanging="540"/>
        <w:jc w:val="both"/>
        <w:rPr>
          <w:sz w:val="24"/>
        </w:rPr>
      </w:pPr>
      <w:r w:rsidRPr="00C53BEE">
        <w:rPr>
          <w:sz w:val="24"/>
        </w:rPr>
        <w:t>Radicalisme : 18, 48, 50, 84, 137, 281, 340.</w:t>
      </w:r>
    </w:p>
    <w:p w14:paraId="18949C68" w14:textId="77777777" w:rsidR="0039793A" w:rsidRPr="00C53BEE" w:rsidRDefault="0039793A" w:rsidP="0039793A">
      <w:pPr>
        <w:ind w:left="540" w:hanging="540"/>
        <w:jc w:val="both"/>
        <w:rPr>
          <w:sz w:val="24"/>
        </w:rPr>
      </w:pPr>
      <w:r w:rsidRPr="00C53BEE">
        <w:rPr>
          <w:sz w:val="24"/>
        </w:rPr>
        <w:t>Radio : 304-305, 322.</w:t>
      </w:r>
    </w:p>
    <w:p w14:paraId="1840EF31" w14:textId="77777777" w:rsidR="0039793A" w:rsidRPr="00C53BEE" w:rsidRDefault="0039793A" w:rsidP="0039793A">
      <w:pPr>
        <w:ind w:left="540" w:hanging="540"/>
        <w:jc w:val="both"/>
        <w:rPr>
          <w:sz w:val="24"/>
        </w:rPr>
      </w:pPr>
      <w:r w:rsidRPr="00C53BEE">
        <w:rPr>
          <w:sz w:val="24"/>
        </w:rPr>
        <w:t>RAND : 320.</w:t>
      </w:r>
    </w:p>
    <w:p w14:paraId="0E24E121" w14:textId="77777777" w:rsidR="0039793A" w:rsidRPr="00C53BEE" w:rsidRDefault="0039793A" w:rsidP="0039793A">
      <w:pPr>
        <w:ind w:left="540" w:hanging="540"/>
        <w:jc w:val="both"/>
        <w:rPr>
          <w:sz w:val="24"/>
        </w:rPr>
      </w:pPr>
      <w:r w:rsidRPr="00C53BEE">
        <w:rPr>
          <w:i/>
          <w:iCs/>
          <w:sz w:val="24"/>
        </w:rPr>
        <w:t>Reagan Democrats</w:t>
      </w:r>
      <w:r w:rsidRPr="00C53BEE">
        <w:rPr>
          <w:rStyle w:val="Corpsdutexte108ptNonItalique"/>
          <w:sz w:val="24"/>
        </w:rPr>
        <w:t> </w:t>
      </w:r>
      <w:r w:rsidRPr="00C53BEE">
        <w:rPr>
          <w:iCs/>
          <w:sz w:val="24"/>
        </w:rPr>
        <w:t>: 300, 332.</w:t>
      </w:r>
    </w:p>
    <w:p w14:paraId="37DD568D" w14:textId="77777777" w:rsidR="0039793A" w:rsidRPr="00C53BEE" w:rsidRDefault="0039793A" w:rsidP="0039793A">
      <w:pPr>
        <w:ind w:left="540" w:hanging="540"/>
        <w:jc w:val="both"/>
        <w:rPr>
          <w:sz w:val="24"/>
        </w:rPr>
      </w:pPr>
      <w:r w:rsidRPr="00C53BEE">
        <w:rPr>
          <w:sz w:val="24"/>
        </w:rPr>
        <w:t>Réalisme : 74, 78, 80, 87-89, 90-94, 95- 96, 98-100, 102, 104, 107, 109, 112, 118-119, 123-125.</w:t>
      </w:r>
    </w:p>
    <w:p w14:paraId="414E3577" w14:textId="77777777" w:rsidR="0039793A" w:rsidRPr="00C53BEE" w:rsidRDefault="0039793A" w:rsidP="0039793A">
      <w:pPr>
        <w:ind w:left="540" w:hanging="540"/>
        <w:jc w:val="both"/>
        <w:rPr>
          <w:sz w:val="24"/>
        </w:rPr>
      </w:pPr>
      <w:r w:rsidRPr="00C53BEE">
        <w:rPr>
          <w:i/>
          <w:iCs/>
          <w:sz w:val="24"/>
        </w:rPr>
        <w:t>Realpolitik</w:t>
      </w:r>
      <w:r w:rsidRPr="00C53BEE">
        <w:rPr>
          <w:rStyle w:val="Corpsdutexte108ptNonItalique"/>
          <w:sz w:val="24"/>
        </w:rPr>
        <w:t> </w:t>
      </w:r>
      <w:r w:rsidRPr="00C53BEE">
        <w:rPr>
          <w:iCs/>
          <w:sz w:val="24"/>
        </w:rPr>
        <w:t>: 106.</w:t>
      </w:r>
    </w:p>
    <w:p w14:paraId="7065F2B0" w14:textId="77777777" w:rsidR="0039793A" w:rsidRPr="00C53BEE" w:rsidRDefault="0039793A" w:rsidP="0039793A">
      <w:pPr>
        <w:ind w:left="540" w:hanging="540"/>
        <w:jc w:val="both"/>
        <w:rPr>
          <w:sz w:val="24"/>
        </w:rPr>
      </w:pPr>
      <w:r w:rsidRPr="00C53BEE">
        <w:rPr>
          <w:sz w:val="24"/>
        </w:rPr>
        <w:t>Rébellion du Whisky : 148.</w:t>
      </w:r>
    </w:p>
    <w:p w14:paraId="121C4FB0" w14:textId="77777777" w:rsidR="0039793A" w:rsidRPr="00C53BEE" w:rsidRDefault="0039793A" w:rsidP="0039793A">
      <w:pPr>
        <w:ind w:left="540" w:hanging="540"/>
        <w:jc w:val="both"/>
        <w:rPr>
          <w:sz w:val="24"/>
        </w:rPr>
      </w:pPr>
      <w:r w:rsidRPr="00C53BEE">
        <w:rPr>
          <w:sz w:val="24"/>
        </w:rPr>
        <w:t>Régime</w:t>
      </w:r>
    </w:p>
    <w:p w14:paraId="6329CF41" w14:textId="77777777" w:rsidR="0039793A" w:rsidRPr="00C53BEE" w:rsidRDefault="0039793A" w:rsidP="0039793A">
      <w:pPr>
        <w:pStyle w:val="i2"/>
      </w:pPr>
      <w:r w:rsidRPr="00C53BEE">
        <w:t>- autoritaire : 89.</w:t>
      </w:r>
    </w:p>
    <w:p w14:paraId="5600D2EB" w14:textId="77777777" w:rsidR="0039793A" w:rsidRPr="00C53BEE" w:rsidRDefault="0039793A" w:rsidP="0039793A">
      <w:pPr>
        <w:pStyle w:val="i2"/>
      </w:pPr>
      <w:r w:rsidRPr="00C53BEE">
        <w:t>- congressionnel : 29, 39.</w:t>
      </w:r>
    </w:p>
    <w:p w14:paraId="78A86732" w14:textId="77777777" w:rsidR="0039793A" w:rsidRPr="00C53BEE" w:rsidRDefault="0039793A" w:rsidP="0039793A">
      <w:pPr>
        <w:pStyle w:val="i2"/>
      </w:pPr>
      <w:r w:rsidRPr="00C53BEE">
        <w:t>- dictatorial : 91, 106, 137.</w:t>
      </w:r>
    </w:p>
    <w:p w14:paraId="6F8BE398" w14:textId="77777777" w:rsidR="0039793A" w:rsidRPr="00C53BEE" w:rsidRDefault="0039793A" w:rsidP="0039793A">
      <w:pPr>
        <w:pStyle w:val="i2"/>
      </w:pPr>
      <w:r w:rsidRPr="00C53BEE">
        <w:t>- parlementaire : 23.</w:t>
      </w:r>
    </w:p>
    <w:p w14:paraId="64A736ED" w14:textId="77777777" w:rsidR="0039793A" w:rsidRPr="00C53BEE" w:rsidRDefault="0039793A" w:rsidP="0039793A">
      <w:pPr>
        <w:pStyle w:val="i2"/>
      </w:pPr>
      <w:r w:rsidRPr="00C53BEE">
        <w:t>- politique américain : 13, 16, 29, 31, 35, 145.</w:t>
      </w:r>
    </w:p>
    <w:p w14:paraId="7DF313E9" w14:textId="77777777" w:rsidR="0039793A" w:rsidRPr="00C53BEE" w:rsidRDefault="0039793A" w:rsidP="0039793A">
      <w:pPr>
        <w:pStyle w:val="i2"/>
      </w:pPr>
      <w:r w:rsidRPr="00C53BEE">
        <w:t xml:space="preserve">- présidentiel : 23, 29, 39. </w:t>
      </w:r>
    </w:p>
    <w:p w14:paraId="714FCE79" w14:textId="77777777" w:rsidR="0039793A" w:rsidRPr="00C53BEE" w:rsidRDefault="0039793A" w:rsidP="0039793A">
      <w:pPr>
        <w:pStyle w:val="i2"/>
      </w:pPr>
      <w:r w:rsidRPr="00C53BEE">
        <w:t>- présidentialisation du : 35, 37, 345.</w:t>
      </w:r>
    </w:p>
    <w:p w14:paraId="1DB0E97A" w14:textId="77777777" w:rsidR="0039793A" w:rsidRPr="00C53BEE" w:rsidRDefault="0039793A" w:rsidP="0039793A">
      <w:pPr>
        <w:pStyle w:val="i2"/>
      </w:pPr>
      <w:r w:rsidRPr="00C53BEE">
        <w:t>- totalitaire : 89, 302.</w:t>
      </w:r>
    </w:p>
    <w:p w14:paraId="26F9A7FE" w14:textId="77777777" w:rsidR="0039793A" w:rsidRPr="00C53BEE" w:rsidRDefault="0039793A" w:rsidP="0039793A">
      <w:pPr>
        <w:ind w:left="540" w:hanging="540"/>
        <w:jc w:val="both"/>
        <w:rPr>
          <w:sz w:val="24"/>
        </w:rPr>
      </w:pPr>
      <w:r w:rsidRPr="00C53BEE">
        <w:rPr>
          <w:sz w:val="24"/>
        </w:rPr>
        <w:t>Renard du désert (opération) : 262, 315.</w:t>
      </w:r>
    </w:p>
    <w:p w14:paraId="52AE775D" w14:textId="77777777" w:rsidR="0039793A" w:rsidRPr="00C53BEE" w:rsidRDefault="0039793A" w:rsidP="0039793A">
      <w:pPr>
        <w:ind w:left="540" w:hanging="540"/>
        <w:jc w:val="both"/>
        <w:rPr>
          <w:sz w:val="24"/>
        </w:rPr>
      </w:pPr>
      <w:r w:rsidRPr="00C53BEE">
        <w:rPr>
          <w:sz w:val="24"/>
        </w:rPr>
        <w:t>Renseignement : 178, 189, 193, 196-197, 199-200, 203, 251, 267, 351.</w:t>
      </w:r>
    </w:p>
    <w:p w14:paraId="0A261E8E" w14:textId="77777777" w:rsidR="0039793A" w:rsidRPr="00C53BEE" w:rsidRDefault="0039793A" w:rsidP="0039793A">
      <w:pPr>
        <w:pStyle w:val="i2"/>
      </w:pPr>
      <w:r w:rsidRPr="00C53BEE">
        <w:t>- analytique : 198.</w:t>
      </w:r>
    </w:p>
    <w:p w14:paraId="736ED30C" w14:textId="77777777" w:rsidR="0039793A" w:rsidRPr="00C53BEE" w:rsidRDefault="0039793A" w:rsidP="0039793A">
      <w:pPr>
        <w:pStyle w:val="i2"/>
      </w:pPr>
      <w:r w:rsidRPr="00C53BEE">
        <w:t>- budget : 260.</w:t>
      </w:r>
    </w:p>
    <w:p w14:paraId="7DA36CAA" w14:textId="77777777" w:rsidR="0039793A" w:rsidRPr="00C53BEE" w:rsidRDefault="0039793A" w:rsidP="0039793A">
      <w:pPr>
        <w:pStyle w:val="i2"/>
      </w:pPr>
      <w:r w:rsidRPr="00C53BEE">
        <w:t>- collecte : 63, 196, 200.</w:t>
      </w:r>
    </w:p>
    <w:p w14:paraId="018CB8F6" w14:textId="77777777" w:rsidR="0039793A" w:rsidRPr="00C53BEE" w:rsidRDefault="0039793A" w:rsidP="0039793A">
      <w:pPr>
        <w:pStyle w:val="i2"/>
      </w:pPr>
      <w:r w:rsidRPr="00C53BEE">
        <w:t>- communauté : 183, 193, 195, 198, 200.</w:t>
      </w:r>
    </w:p>
    <w:p w14:paraId="0EA06AF2" w14:textId="77777777" w:rsidR="0039793A" w:rsidRPr="00C53BEE" w:rsidRDefault="0039793A" w:rsidP="0039793A">
      <w:pPr>
        <w:pStyle w:val="i2"/>
      </w:pPr>
      <w:r w:rsidRPr="00C53BEE">
        <w:t>- conseil : 197.</w:t>
      </w:r>
    </w:p>
    <w:p w14:paraId="3B337485" w14:textId="77777777" w:rsidR="0039793A" w:rsidRPr="00C53BEE" w:rsidRDefault="0039793A" w:rsidP="0039793A">
      <w:pPr>
        <w:pStyle w:val="i2"/>
      </w:pPr>
      <w:r w:rsidRPr="00C53BEE">
        <w:t>- de terrain : 198.</w:t>
      </w:r>
    </w:p>
    <w:p w14:paraId="4009F6E8" w14:textId="77777777" w:rsidR="0039793A" w:rsidRPr="00C53BEE" w:rsidRDefault="0039793A" w:rsidP="0039793A">
      <w:pPr>
        <w:pStyle w:val="i2"/>
      </w:pPr>
      <w:r w:rsidRPr="00C53BEE">
        <w:t>- directeur de la communauté : 194, 216</w:t>
      </w:r>
      <w:r w:rsidRPr="00C53BEE">
        <w:rPr>
          <w:rStyle w:val="Corpsdutexte855ptGras"/>
          <w:sz w:val="24"/>
        </w:rPr>
        <w:t>.</w:t>
      </w:r>
    </w:p>
    <w:p w14:paraId="595209AE" w14:textId="77777777" w:rsidR="0039793A" w:rsidRPr="00C53BEE" w:rsidRDefault="0039793A" w:rsidP="0039793A">
      <w:pPr>
        <w:pStyle w:val="i2"/>
      </w:pPr>
      <w:r w:rsidRPr="00C53BEE">
        <w:t>- économique : 199.</w:t>
      </w:r>
    </w:p>
    <w:p w14:paraId="3B4A4B87" w14:textId="77777777" w:rsidR="0039793A" w:rsidRPr="00C53BEE" w:rsidRDefault="0039793A" w:rsidP="0039793A">
      <w:pPr>
        <w:pStyle w:val="i2"/>
      </w:pPr>
      <w:r w:rsidRPr="00C53BEE">
        <w:t>- électronique : 196.</w:t>
      </w:r>
    </w:p>
    <w:p w14:paraId="2C40426D" w14:textId="77777777" w:rsidR="0039793A" w:rsidRPr="00C53BEE" w:rsidRDefault="0039793A" w:rsidP="0039793A">
      <w:pPr>
        <w:pStyle w:val="i2"/>
      </w:pPr>
      <w:r w:rsidRPr="00C53BEE">
        <w:t>- militaire : 195.</w:t>
      </w:r>
    </w:p>
    <w:p w14:paraId="384114E8" w14:textId="77777777" w:rsidR="0039793A" w:rsidRPr="00C53BEE" w:rsidRDefault="0039793A" w:rsidP="0039793A">
      <w:pPr>
        <w:pStyle w:val="i2"/>
      </w:pPr>
      <w:r w:rsidRPr="00C53BEE">
        <w:t>- politisation : 199.</w:t>
      </w:r>
    </w:p>
    <w:p w14:paraId="33CBE2CC" w14:textId="77777777" w:rsidR="0039793A" w:rsidRPr="00C53BEE" w:rsidRDefault="0039793A" w:rsidP="0039793A">
      <w:pPr>
        <w:pStyle w:val="i2"/>
      </w:pPr>
      <w:r w:rsidRPr="00C53BEE">
        <w:t>- services : 189, 193, 196, 199, 200, 231, 311.</w:t>
      </w:r>
    </w:p>
    <w:p w14:paraId="2FC86FC5" w14:textId="77777777" w:rsidR="0039793A" w:rsidRPr="00C53BEE" w:rsidRDefault="0039793A" w:rsidP="0039793A">
      <w:pPr>
        <w:ind w:left="540" w:hanging="540"/>
        <w:jc w:val="both"/>
        <w:rPr>
          <w:sz w:val="24"/>
        </w:rPr>
      </w:pPr>
      <w:r w:rsidRPr="00C53BEE">
        <w:rPr>
          <w:sz w:val="24"/>
        </w:rPr>
        <w:t>Représentant des États-Unis au commerce international : 205.</w:t>
      </w:r>
    </w:p>
    <w:p w14:paraId="3774B33B" w14:textId="77777777" w:rsidR="0039793A" w:rsidRPr="00C53BEE" w:rsidRDefault="0039793A" w:rsidP="0039793A">
      <w:pPr>
        <w:ind w:left="540" w:hanging="540"/>
        <w:jc w:val="both"/>
        <w:rPr>
          <w:sz w:val="24"/>
        </w:rPr>
      </w:pPr>
      <w:r w:rsidRPr="00C53BEE">
        <w:rPr>
          <w:sz w:val="24"/>
        </w:rPr>
        <w:t>Républicain : 32-33, 35, 59-60, 68-69, 74-75, 77, 82, 94-95, 97, 99, 139, 145, 159, 191, 251-252, 257, 260- 263, 271-273, 276-279, 281-284, 287-289, 292, 296, 300, 313, 315, 323, 329, 334-335, 337, 339-340, 342, 345,349-350.</w:t>
      </w:r>
    </w:p>
    <w:p w14:paraId="130CB009" w14:textId="77777777" w:rsidR="0039793A" w:rsidRPr="00C53BEE" w:rsidRDefault="0039793A" w:rsidP="0039793A">
      <w:pPr>
        <w:ind w:left="540" w:hanging="540"/>
        <w:jc w:val="both"/>
        <w:rPr>
          <w:sz w:val="24"/>
        </w:rPr>
      </w:pPr>
      <w:r w:rsidRPr="00C53BEE">
        <w:rPr>
          <w:sz w:val="24"/>
        </w:rPr>
        <w:t>République : 30, 51, 53-54, 56, 75, 85-86.</w:t>
      </w:r>
    </w:p>
    <w:p w14:paraId="68C9F553" w14:textId="77777777" w:rsidR="0039793A" w:rsidRPr="00C53BEE" w:rsidRDefault="0039793A" w:rsidP="0039793A">
      <w:pPr>
        <w:ind w:left="540" w:hanging="540"/>
        <w:jc w:val="both"/>
        <w:rPr>
          <w:sz w:val="24"/>
        </w:rPr>
      </w:pPr>
      <w:r w:rsidRPr="00C53BEE">
        <w:rPr>
          <w:sz w:val="24"/>
        </w:rPr>
        <w:t>Résolution</w:t>
      </w:r>
    </w:p>
    <w:p w14:paraId="26D569DD" w14:textId="77777777" w:rsidR="0039793A" w:rsidRPr="00C53BEE" w:rsidRDefault="0039793A" w:rsidP="0039793A">
      <w:pPr>
        <w:pStyle w:val="i2"/>
      </w:pPr>
      <w:r w:rsidRPr="00C53BEE">
        <w:t>- concurrente : 154, 257.</w:t>
      </w:r>
    </w:p>
    <w:p w14:paraId="644B0EA9" w14:textId="77777777" w:rsidR="0039793A" w:rsidRPr="00C53BEE" w:rsidRDefault="0039793A" w:rsidP="0039793A">
      <w:pPr>
        <w:pStyle w:val="i2"/>
      </w:pPr>
      <w:r w:rsidRPr="00C53BEE">
        <w:t>- conjointe : 31-32, 153, 257.</w:t>
      </w:r>
    </w:p>
    <w:p w14:paraId="2E7E5F42" w14:textId="77777777" w:rsidR="0039793A" w:rsidRPr="00C53BEE" w:rsidRDefault="0039793A" w:rsidP="0039793A">
      <w:pPr>
        <w:pStyle w:val="i2"/>
      </w:pPr>
      <w:r w:rsidRPr="00C53BEE">
        <w:t>- du Conseil de sécurité : 124.</w:t>
      </w:r>
    </w:p>
    <w:p w14:paraId="4119361A" w14:textId="77777777" w:rsidR="0039793A" w:rsidRPr="00C53BEE" w:rsidRDefault="0039793A" w:rsidP="0039793A">
      <w:pPr>
        <w:pStyle w:val="i2"/>
      </w:pPr>
      <w:r w:rsidRPr="00C53BEE">
        <w:t xml:space="preserve">- du golfe du Tonkin : 32, 251. </w:t>
      </w:r>
    </w:p>
    <w:p w14:paraId="7F3D5616" w14:textId="77777777" w:rsidR="0039793A" w:rsidRPr="00C53BEE" w:rsidRDefault="0039793A" w:rsidP="0039793A">
      <w:pPr>
        <w:ind w:left="540" w:hanging="540"/>
        <w:jc w:val="both"/>
        <w:rPr>
          <w:sz w:val="24"/>
        </w:rPr>
      </w:pPr>
      <w:r w:rsidRPr="00C53BEE">
        <w:rPr>
          <w:sz w:val="24"/>
        </w:rPr>
        <w:t>Révolution</w:t>
      </w:r>
    </w:p>
    <w:p w14:paraId="6F1C979B" w14:textId="77777777" w:rsidR="0039793A" w:rsidRPr="00C53BEE" w:rsidRDefault="0039793A" w:rsidP="0039793A">
      <w:pPr>
        <w:pStyle w:val="i2"/>
      </w:pPr>
      <w:r w:rsidRPr="00C53BEE">
        <w:t>- américaine : 18.</w:t>
      </w:r>
    </w:p>
    <w:p w14:paraId="36F0FAD6" w14:textId="77777777" w:rsidR="0039793A" w:rsidRPr="00C53BEE" w:rsidRDefault="0039793A" w:rsidP="0039793A">
      <w:pPr>
        <w:pStyle w:val="i2"/>
      </w:pPr>
      <w:r w:rsidRPr="00C53BEE">
        <w:t xml:space="preserve">- dans les affaires militaires : 192. </w:t>
      </w:r>
    </w:p>
    <w:p w14:paraId="55D3C260" w14:textId="77777777" w:rsidR="0039793A" w:rsidRPr="00C53BEE" w:rsidRDefault="0039793A" w:rsidP="0039793A">
      <w:pPr>
        <w:ind w:left="540" w:hanging="540"/>
        <w:jc w:val="both"/>
        <w:rPr>
          <w:sz w:val="24"/>
        </w:rPr>
      </w:pPr>
      <w:r w:rsidRPr="00C53BEE">
        <w:rPr>
          <w:i/>
          <w:iCs/>
          <w:sz w:val="24"/>
        </w:rPr>
        <w:t>Revolving door</w:t>
      </w:r>
      <w:r w:rsidRPr="00C53BEE">
        <w:rPr>
          <w:sz w:val="24"/>
        </w:rPr>
        <w:t> : 336, 341.</w:t>
      </w:r>
    </w:p>
    <w:p w14:paraId="37D4C686" w14:textId="77777777" w:rsidR="0039793A" w:rsidRPr="00C53BEE" w:rsidRDefault="0039793A" w:rsidP="0039793A">
      <w:pPr>
        <w:ind w:left="540" w:hanging="540"/>
        <w:jc w:val="both"/>
        <w:rPr>
          <w:sz w:val="24"/>
        </w:rPr>
      </w:pPr>
      <w:r w:rsidRPr="00C53BEE">
        <w:rPr>
          <w:sz w:val="24"/>
        </w:rPr>
        <w:t>Rigueur budgétaire : 292.</w:t>
      </w:r>
    </w:p>
    <w:p w14:paraId="78D0E0DD" w14:textId="77777777" w:rsidR="0039793A" w:rsidRPr="00C53BEE" w:rsidRDefault="0039793A" w:rsidP="0039793A">
      <w:pPr>
        <w:ind w:left="540" w:hanging="540"/>
        <w:jc w:val="both"/>
        <w:rPr>
          <w:sz w:val="24"/>
        </w:rPr>
      </w:pPr>
      <w:r w:rsidRPr="00C53BEE">
        <w:rPr>
          <w:sz w:val="24"/>
        </w:rPr>
        <w:t>Rivalités bureaucratiques : 184, 191, 209,231, 335.</w:t>
      </w:r>
    </w:p>
    <w:p w14:paraId="004F647E" w14:textId="77777777" w:rsidR="0039793A" w:rsidRPr="00C53BEE" w:rsidRDefault="0039793A" w:rsidP="0039793A">
      <w:pPr>
        <w:ind w:left="540" w:hanging="540"/>
        <w:jc w:val="both"/>
        <w:rPr>
          <w:sz w:val="24"/>
        </w:rPr>
      </w:pPr>
      <w:r w:rsidRPr="00C53BEE">
        <w:rPr>
          <w:i/>
          <w:iCs/>
          <w:sz w:val="24"/>
        </w:rPr>
        <w:t>Rogue States</w:t>
      </w:r>
      <w:r w:rsidRPr="00C53BEE">
        <w:rPr>
          <w:sz w:val="24"/>
        </w:rPr>
        <w:t> : 137, 264.</w:t>
      </w:r>
    </w:p>
    <w:p w14:paraId="00CEDFF6" w14:textId="77777777" w:rsidR="0039793A" w:rsidRPr="00C53BEE" w:rsidRDefault="0039793A" w:rsidP="0039793A">
      <w:pPr>
        <w:ind w:left="540" w:hanging="540"/>
        <w:jc w:val="both"/>
        <w:rPr>
          <w:sz w:val="24"/>
        </w:rPr>
      </w:pPr>
      <w:r w:rsidRPr="00C53BEE">
        <w:rPr>
          <w:sz w:val="24"/>
        </w:rPr>
        <w:t>Russie : 42, 52, 91, 98, 127, 157, 238, 278.</w:t>
      </w:r>
    </w:p>
    <w:p w14:paraId="1B729DF6" w14:textId="77777777" w:rsidR="0039793A" w:rsidRPr="00C53BEE" w:rsidRDefault="0039793A" w:rsidP="0039793A">
      <w:pPr>
        <w:ind w:left="540" w:hanging="540"/>
        <w:jc w:val="both"/>
        <w:rPr>
          <w:sz w:val="24"/>
        </w:rPr>
      </w:pPr>
      <w:r w:rsidRPr="00C53BEE">
        <w:rPr>
          <w:i/>
          <w:iCs/>
          <w:sz w:val="24"/>
        </w:rPr>
        <w:t>Rust Belt</w:t>
      </w:r>
      <w:r w:rsidRPr="00C53BEE">
        <w:rPr>
          <w:sz w:val="24"/>
        </w:rPr>
        <w:t> : 298-299.</w:t>
      </w:r>
    </w:p>
    <w:p w14:paraId="1722B40F" w14:textId="77777777" w:rsidR="0039793A" w:rsidRPr="00C53BEE" w:rsidRDefault="0039793A" w:rsidP="0039793A">
      <w:pPr>
        <w:ind w:left="540" w:hanging="540"/>
        <w:jc w:val="both"/>
        <w:rPr>
          <w:sz w:val="24"/>
        </w:rPr>
      </w:pPr>
      <w:r w:rsidRPr="00C53BEE">
        <w:rPr>
          <w:sz w:val="24"/>
        </w:rPr>
        <w:t>Rwanda : 98, 200, 243, 307, 309-</w:t>
      </w:r>
    </w:p>
    <w:p w14:paraId="29625966" w14:textId="77777777" w:rsidR="0039793A" w:rsidRPr="00C53BEE" w:rsidRDefault="0039793A" w:rsidP="0039793A">
      <w:pPr>
        <w:ind w:left="540" w:hanging="540"/>
        <w:jc w:val="both"/>
        <w:rPr>
          <w:caps/>
          <w:sz w:val="24"/>
        </w:rPr>
      </w:pPr>
    </w:p>
    <w:p w14:paraId="3D0C6F81" w14:textId="77777777" w:rsidR="0039793A" w:rsidRPr="00C53BEE" w:rsidRDefault="0039793A" w:rsidP="0039793A">
      <w:pPr>
        <w:ind w:left="540" w:hanging="540"/>
        <w:jc w:val="both"/>
        <w:rPr>
          <w:sz w:val="24"/>
        </w:rPr>
      </w:pPr>
      <w:r w:rsidRPr="00C53BEE">
        <w:rPr>
          <w:caps/>
          <w:sz w:val="24"/>
        </w:rPr>
        <w:t>salt</w:t>
      </w:r>
      <w:r w:rsidRPr="00C53BEE">
        <w:rPr>
          <w:sz w:val="24"/>
        </w:rPr>
        <w:t xml:space="preserve"> II : 254.</w:t>
      </w:r>
    </w:p>
    <w:p w14:paraId="211E6C5A" w14:textId="77777777" w:rsidR="0039793A" w:rsidRPr="00C53BEE" w:rsidRDefault="0039793A" w:rsidP="0039793A">
      <w:pPr>
        <w:ind w:left="540" w:hanging="540"/>
        <w:jc w:val="both"/>
        <w:rPr>
          <w:sz w:val="24"/>
        </w:rPr>
      </w:pPr>
      <w:r w:rsidRPr="00C53BEE">
        <w:rPr>
          <w:sz w:val="24"/>
        </w:rPr>
        <w:t>Salvador : 88, 154.</w:t>
      </w:r>
    </w:p>
    <w:p w14:paraId="272F6CEC" w14:textId="77777777" w:rsidR="0039793A" w:rsidRPr="00C53BEE" w:rsidRDefault="0039793A" w:rsidP="0039793A">
      <w:pPr>
        <w:ind w:left="540" w:hanging="540"/>
        <w:jc w:val="both"/>
        <w:rPr>
          <w:sz w:val="24"/>
        </w:rPr>
      </w:pPr>
      <w:r w:rsidRPr="00C53BEE">
        <w:rPr>
          <w:sz w:val="24"/>
        </w:rPr>
        <w:t>Sanctions économiques : 79, 247, 264, 268-269, 278, 318, 324, 338-339.</w:t>
      </w:r>
    </w:p>
    <w:p w14:paraId="6172645C" w14:textId="77777777" w:rsidR="0039793A" w:rsidRPr="00C53BEE" w:rsidRDefault="0039793A" w:rsidP="0039793A">
      <w:pPr>
        <w:ind w:left="540" w:hanging="540"/>
        <w:jc w:val="both"/>
        <w:rPr>
          <w:sz w:val="24"/>
        </w:rPr>
      </w:pPr>
      <w:r w:rsidRPr="00C53BEE">
        <w:rPr>
          <w:sz w:val="24"/>
        </w:rPr>
        <w:t>Santé publique : 159.</w:t>
      </w:r>
    </w:p>
    <w:p w14:paraId="7C811A53" w14:textId="77777777" w:rsidR="0039793A" w:rsidRPr="00C53BEE" w:rsidRDefault="0039793A" w:rsidP="0039793A">
      <w:pPr>
        <w:ind w:left="540" w:hanging="540"/>
        <w:jc w:val="both"/>
        <w:rPr>
          <w:sz w:val="24"/>
        </w:rPr>
      </w:pPr>
      <w:r w:rsidRPr="00C53BEE">
        <w:rPr>
          <w:sz w:val="24"/>
        </w:rPr>
        <w:t>Satellites : 309, 334.</w:t>
      </w:r>
    </w:p>
    <w:p w14:paraId="7FDBDA7C" w14:textId="77777777" w:rsidR="0039793A" w:rsidRPr="00C53BEE" w:rsidRDefault="0039793A" w:rsidP="0039793A">
      <w:pPr>
        <w:ind w:left="540" w:hanging="540"/>
        <w:jc w:val="both"/>
        <w:rPr>
          <w:sz w:val="24"/>
        </w:rPr>
      </w:pPr>
      <w:r w:rsidRPr="00C53BEE">
        <w:rPr>
          <w:i/>
          <w:iCs/>
          <w:sz w:val="24"/>
        </w:rPr>
        <w:t>Scaife Foundation</w:t>
      </w:r>
      <w:r w:rsidRPr="00C53BEE">
        <w:rPr>
          <w:sz w:val="24"/>
        </w:rPr>
        <w:t> : 319.</w:t>
      </w:r>
    </w:p>
    <w:p w14:paraId="3059BC76" w14:textId="77777777" w:rsidR="0039793A" w:rsidRPr="00C53BEE" w:rsidRDefault="0039793A" w:rsidP="0039793A">
      <w:pPr>
        <w:ind w:left="540" w:hanging="540"/>
        <w:jc w:val="both"/>
        <w:rPr>
          <w:sz w:val="24"/>
        </w:rPr>
      </w:pPr>
      <w:r w:rsidRPr="00C53BEE">
        <w:rPr>
          <w:sz w:val="24"/>
        </w:rPr>
        <w:t>Secrétaire</w:t>
      </w:r>
    </w:p>
    <w:p w14:paraId="7D9FC69E" w14:textId="77777777" w:rsidR="0039793A" w:rsidRPr="00C53BEE" w:rsidRDefault="0039793A" w:rsidP="0039793A">
      <w:pPr>
        <w:pStyle w:val="i2"/>
      </w:pPr>
      <w:r w:rsidRPr="00C53BEE">
        <w:t>- à l’armée de l’Air : 189, 196, 216.</w:t>
      </w:r>
    </w:p>
    <w:p w14:paraId="75938DBC" w14:textId="77777777" w:rsidR="0039793A" w:rsidRPr="00C53BEE" w:rsidRDefault="0039793A" w:rsidP="0039793A">
      <w:pPr>
        <w:pStyle w:val="i2"/>
      </w:pPr>
      <w:r w:rsidRPr="00C53BEE">
        <w:t>- à l’armée de Terre : 189, 216.</w:t>
      </w:r>
    </w:p>
    <w:p w14:paraId="38B16CB1" w14:textId="77777777" w:rsidR="0039793A" w:rsidRPr="00C53BEE" w:rsidRDefault="0039793A" w:rsidP="0039793A">
      <w:pPr>
        <w:pStyle w:val="i2"/>
      </w:pPr>
      <w:r w:rsidRPr="00C53BEE">
        <w:t>- à la Défense : 64, 151, 163, 187-190, 195, 207, 214, 216, 225, 227, 233, 240-241, 243-244, 261, 311, 347.</w:t>
      </w:r>
    </w:p>
    <w:p w14:paraId="09A3A4D6" w14:textId="77777777" w:rsidR="0039793A" w:rsidRPr="00C53BEE" w:rsidRDefault="0039793A" w:rsidP="0039793A">
      <w:pPr>
        <w:ind w:left="540" w:hanging="540"/>
        <w:jc w:val="both"/>
        <w:rPr>
          <w:sz w:val="24"/>
        </w:rPr>
      </w:pPr>
      <w:r w:rsidRPr="00C53BEE">
        <w:rPr>
          <w:sz w:val="24"/>
        </w:rPr>
        <w:t>[381]</w:t>
      </w:r>
    </w:p>
    <w:p w14:paraId="65F753BF" w14:textId="77777777" w:rsidR="0039793A" w:rsidRPr="00C53BEE" w:rsidRDefault="0039793A" w:rsidP="0039793A">
      <w:pPr>
        <w:pStyle w:val="i2"/>
      </w:pPr>
      <w:r w:rsidRPr="00C53BEE">
        <w:t>- à la Guerre : 187, 213.</w:t>
      </w:r>
    </w:p>
    <w:p w14:paraId="5C54B474" w14:textId="77777777" w:rsidR="0039793A" w:rsidRPr="00C53BEE" w:rsidRDefault="0039793A" w:rsidP="0039793A">
      <w:pPr>
        <w:pStyle w:val="i2"/>
      </w:pPr>
      <w:r w:rsidRPr="00C53BEE">
        <w:t>- à la Marine : 187, 189-190, 206, 213-214, 216.</w:t>
      </w:r>
    </w:p>
    <w:p w14:paraId="389BBFD3" w14:textId="77777777" w:rsidR="0039793A" w:rsidRPr="00C53BEE" w:rsidRDefault="0039793A" w:rsidP="0039793A">
      <w:pPr>
        <w:pStyle w:val="i2"/>
      </w:pPr>
      <w:r w:rsidRPr="00C53BEE">
        <w:t>- au Trésor : 27-28, 51, 78, 216.</w:t>
      </w:r>
    </w:p>
    <w:p w14:paraId="4A1ADAE4" w14:textId="77777777" w:rsidR="0039793A" w:rsidRPr="00C53BEE" w:rsidRDefault="0039793A" w:rsidP="0039793A">
      <w:pPr>
        <w:pStyle w:val="i2"/>
      </w:pPr>
      <w:r w:rsidRPr="00C53BEE">
        <w:t>- d’État : 28, 31, 48, 59, 87, 89, 93, 96, 162-163, 179-180, 182, 192, 207, 213-214, 216, 218, 223-225, 227, 233-235, 237-245, 305, 311, 313.</w:t>
      </w:r>
    </w:p>
    <w:p w14:paraId="034C437C" w14:textId="77777777" w:rsidR="0039793A" w:rsidRPr="00C53BEE" w:rsidRDefault="0039793A" w:rsidP="0039793A">
      <w:pPr>
        <w:pStyle w:val="i2"/>
      </w:pPr>
      <w:r w:rsidRPr="00C53BEE">
        <w:t>- d’État adjoint : 181.</w:t>
      </w:r>
    </w:p>
    <w:p w14:paraId="1FC599AE" w14:textId="77777777" w:rsidR="0039793A" w:rsidRPr="00C53BEE" w:rsidRDefault="0039793A" w:rsidP="0039793A">
      <w:pPr>
        <w:pStyle w:val="i2"/>
      </w:pPr>
      <w:r w:rsidRPr="00C53BEE">
        <w:t>- exécutif du NSC : 216-217, 225, 229, 231, 233-234.</w:t>
      </w:r>
    </w:p>
    <w:p w14:paraId="7AA57370" w14:textId="77777777" w:rsidR="0039793A" w:rsidRPr="00C53BEE" w:rsidRDefault="0039793A" w:rsidP="0039793A">
      <w:pPr>
        <w:ind w:left="540" w:hanging="540"/>
        <w:jc w:val="both"/>
        <w:rPr>
          <w:sz w:val="24"/>
        </w:rPr>
      </w:pPr>
      <w:r w:rsidRPr="00C53BEE">
        <w:rPr>
          <w:sz w:val="24"/>
        </w:rPr>
        <w:t>Sécurité nationale : 109, 113, 116, 120, 133, 138, 178, 206-207, 212, 218- 219, 230, 232, 238, 256, 261, 310- 311, 334-335, 346, 350.</w:t>
      </w:r>
    </w:p>
    <w:p w14:paraId="384A8E9E" w14:textId="77777777" w:rsidR="0039793A" w:rsidRPr="00C53BEE" w:rsidRDefault="0039793A" w:rsidP="0039793A">
      <w:pPr>
        <w:ind w:left="540" w:hanging="540"/>
        <w:jc w:val="both"/>
        <w:rPr>
          <w:sz w:val="24"/>
        </w:rPr>
      </w:pPr>
      <w:r w:rsidRPr="00C53BEE">
        <w:rPr>
          <w:sz w:val="24"/>
        </w:rPr>
        <w:t>Ségrégation : 22.</w:t>
      </w:r>
    </w:p>
    <w:p w14:paraId="1F4E11DA" w14:textId="77777777" w:rsidR="0039793A" w:rsidRPr="00C53BEE" w:rsidRDefault="0039793A" w:rsidP="0039793A">
      <w:pPr>
        <w:ind w:left="540" w:hanging="540"/>
        <w:jc w:val="both"/>
        <w:rPr>
          <w:sz w:val="24"/>
        </w:rPr>
      </w:pPr>
      <w:r w:rsidRPr="00C53BEE">
        <w:rPr>
          <w:sz w:val="24"/>
        </w:rPr>
        <w:t xml:space="preserve">Sénat : 22, 24-25, 28, 30-35, 39, 60, 96-97, 129, 149-151, 180, 188, 190, 194-195, 203, 225, 250, 252, 255-256, 260-263, 266, 273, 275-278, 280-281, 292, 310, 315, 339-340, 350. </w:t>
      </w:r>
    </w:p>
    <w:p w14:paraId="110F927E" w14:textId="77777777" w:rsidR="0039793A" w:rsidRPr="00C53BEE" w:rsidRDefault="0039793A" w:rsidP="0039793A">
      <w:pPr>
        <w:ind w:left="540" w:hanging="540"/>
        <w:jc w:val="both"/>
        <w:rPr>
          <w:sz w:val="24"/>
        </w:rPr>
      </w:pPr>
      <w:r w:rsidRPr="00C53BEE">
        <w:rPr>
          <w:sz w:val="24"/>
        </w:rPr>
        <w:t>Séparation des po</w:t>
      </w:r>
      <w:r w:rsidRPr="00C53BEE">
        <w:rPr>
          <w:sz w:val="24"/>
        </w:rPr>
        <w:t>u</w:t>
      </w:r>
      <w:r w:rsidRPr="00C53BEE">
        <w:rPr>
          <w:sz w:val="24"/>
        </w:rPr>
        <w:t>voirs : 21, 26, 30, 111, 145, 154.</w:t>
      </w:r>
    </w:p>
    <w:p w14:paraId="1D73AB64" w14:textId="77777777" w:rsidR="0039793A" w:rsidRPr="00C53BEE" w:rsidRDefault="0039793A" w:rsidP="0039793A">
      <w:pPr>
        <w:pStyle w:val="i2"/>
      </w:pPr>
      <w:r w:rsidRPr="00C53BEE">
        <w:t>- rigide : 23.</w:t>
      </w:r>
    </w:p>
    <w:p w14:paraId="7982D6F8" w14:textId="77777777" w:rsidR="0039793A" w:rsidRPr="00C53BEE" w:rsidRDefault="0039793A" w:rsidP="0039793A">
      <w:pPr>
        <w:pStyle w:val="i2"/>
      </w:pPr>
      <w:r w:rsidRPr="00C53BEE">
        <w:t>- souple : 23.</w:t>
      </w:r>
    </w:p>
    <w:p w14:paraId="2B7DD86A" w14:textId="77777777" w:rsidR="0039793A" w:rsidRPr="00C53BEE" w:rsidRDefault="0039793A" w:rsidP="0039793A">
      <w:pPr>
        <w:ind w:left="540" w:hanging="540"/>
        <w:jc w:val="both"/>
        <w:rPr>
          <w:sz w:val="24"/>
        </w:rPr>
      </w:pPr>
      <w:r w:rsidRPr="00C53BEE">
        <w:rPr>
          <w:sz w:val="24"/>
        </w:rPr>
        <w:t xml:space="preserve">Serbie : 97-98, 154-155, 257, 262. </w:t>
      </w:r>
    </w:p>
    <w:p w14:paraId="15E418C7" w14:textId="77777777" w:rsidR="0039793A" w:rsidRPr="00C53BEE" w:rsidRDefault="0039793A" w:rsidP="0039793A">
      <w:pPr>
        <w:ind w:left="540" w:hanging="540"/>
        <w:jc w:val="both"/>
        <w:rPr>
          <w:sz w:val="24"/>
        </w:rPr>
      </w:pPr>
      <w:r w:rsidRPr="00C53BEE">
        <w:rPr>
          <w:sz w:val="24"/>
        </w:rPr>
        <w:t>Services</w:t>
      </w:r>
    </w:p>
    <w:p w14:paraId="6A973B98" w14:textId="77777777" w:rsidR="0039793A" w:rsidRPr="00C53BEE" w:rsidRDefault="0039793A" w:rsidP="0039793A">
      <w:pPr>
        <w:pStyle w:val="i2"/>
      </w:pPr>
      <w:r w:rsidRPr="00C53BEE">
        <w:t>- d’urgence : 202.</w:t>
      </w:r>
    </w:p>
    <w:p w14:paraId="46D623FD" w14:textId="77777777" w:rsidR="0039793A" w:rsidRPr="00C53BEE" w:rsidRDefault="0039793A" w:rsidP="0039793A">
      <w:pPr>
        <w:pStyle w:val="i2"/>
      </w:pPr>
      <w:r w:rsidRPr="00C53BEE">
        <w:t>- secrets : 197, 202, 267.</w:t>
      </w:r>
    </w:p>
    <w:p w14:paraId="202F7EB9" w14:textId="77777777" w:rsidR="0039793A" w:rsidRPr="00C53BEE" w:rsidRDefault="0039793A" w:rsidP="0039793A">
      <w:pPr>
        <w:ind w:left="540" w:hanging="540"/>
        <w:jc w:val="both"/>
        <w:rPr>
          <w:sz w:val="24"/>
        </w:rPr>
      </w:pPr>
      <w:r w:rsidRPr="00C53BEE">
        <w:rPr>
          <w:sz w:val="24"/>
        </w:rPr>
        <w:t>SFOR : 259.</w:t>
      </w:r>
    </w:p>
    <w:p w14:paraId="591D4291" w14:textId="77777777" w:rsidR="0039793A" w:rsidRPr="00C53BEE" w:rsidRDefault="0039793A" w:rsidP="0039793A">
      <w:pPr>
        <w:ind w:left="540" w:hanging="540"/>
        <w:jc w:val="both"/>
        <w:rPr>
          <w:sz w:val="24"/>
        </w:rPr>
      </w:pPr>
      <w:r w:rsidRPr="00C53BEE">
        <w:rPr>
          <w:i/>
          <w:iCs/>
          <w:sz w:val="24"/>
        </w:rPr>
        <w:t>Sierra Club</w:t>
      </w:r>
      <w:r w:rsidRPr="00C53BEE">
        <w:rPr>
          <w:rStyle w:val="Corpsdutexte108ptNonItalique"/>
          <w:sz w:val="24"/>
        </w:rPr>
        <w:t> </w:t>
      </w:r>
      <w:r w:rsidRPr="00C53BEE">
        <w:rPr>
          <w:iCs/>
          <w:sz w:val="24"/>
        </w:rPr>
        <w:t>: 324.</w:t>
      </w:r>
    </w:p>
    <w:p w14:paraId="528F99D4" w14:textId="77777777" w:rsidR="0039793A" w:rsidRPr="00C53BEE" w:rsidRDefault="0039793A" w:rsidP="0039793A">
      <w:pPr>
        <w:ind w:left="540" w:hanging="540"/>
        <w:jc w:val="both"/>
        <w:rPr>
          <w:sz w:val="24"/>
        </w:rPr>
      </w:pPr>
      <w:r w:rsidRPr="00C53BEE">
        <w:rPr>
          <w:sz w:val="24"/>
        </w:rPr>
        <w:t>Sierra Leone : 276-277.</w:t>
      </w:r>
    </w:p>
    <w:p w14:paraId="6A0D3C18" w14:textId="77777777" w:rsidR="0039793A" w:rsidRPr="00C53BEE" w:rsidRDefault="0039793A" w:rsidP="0039793A">
      <w:pPr>
        <w:ind w:left="540" w:hanging="540"/>
        <w:jc w:val="both"/>
        <w:rPr>
          <w:sz w:val="24"/>
        </w:rPr>
      </w:pPr>
      <w:r w:rsidRPr="00C53BEE">
        <w:rPr>
          <w:i/>
          <w:iCs/>
          <w:sz w:val="24"/>
        </w:rPr>
        <w:t xml:space="preserve">SIGINT, </w:t>
      </w:r>
      <w:r w:rsidRPr="00C53BEE">
        <w:rPr>
          <w:sz w:val="24"/>
        </w:rPr>
        <w:t>Signais Intelligence</w:t>
      </w:r>
      <w:r w:rsidRPr="00C53BEE">
        <w:rPr>
          <w:i/>
          <w:iCs/>
          <w:sz w:val="24"/>
        </w:rPr>
        <w:t xml:space="preserve"> : </w:t>
      </w:r>
      <w:r w:rsidRPr="00C53BEE">
        <w:rPr>
          <w:iCs/>
          <w:sz w:val="24"/>
        </w:rPr>
        <w:t>196</w:t>
      </w:r>
      <w:r w:rsidRPr="00C53BEE">
        <w:rPr>
          <w:i/>
          <w:iCs/>
          <w:sz w:val="24"/>
        </w:rPr>
        <w:t>.</w:t>
      </w:r>
    </w:p>
    <w:p w14:paraId="18C75C02" w14:textId="77777777" w:rsidR="0039793A" w:rsidRPr="00C53BEE" w:rsidRDefault="0039793A" w:rsidP="0039793A">
      <w:pPr>
        <w:ind w:left="540" w:hanging="540"/>
        <w:jc w:val="both"/>
        <w:rPr>
          <w:sz w:val="24"/>
        </w:rPr>
      </w:pPr>
      <w:r w:rsidRPr="00C53BEE">
        <w:rPr>
          <w:sz w:val="24"/>
        </w:rPr>
        <w:t>Situation Room</w:t>
      </w:r>
      <w:r w:rsidRPr="00C53BEE">
        <w:rPr>
          <w:i/>
          <w:iCs/>
          <w:sz w:val="24"/>
        </w:rPr>
        <w:t xml:space="preserve"> : </w:t>
      </w:r>
      <w:r w:rsidRPr="00C53BEE">
        <w:rPr>
          <w:iCs/>
          <w:sz w:val="24"/>
        </w:rPr>
        <w:t>226, 235</w:t>
      </w:r>
      <w:r w:rsidRPr="00C53BEE">
        <w:rPr>
          <w:i/>
          <w:iCs/>
          <w:sz w:val="24"/>
        </w:rPr>
        <w:t>.</w:t>
      </w:r>
    </w:p>
    <w:p w14:paraId="332172CC" w14:textId="77777777" w:rsidR="0039793A" w:rsidRPr="00C53BEE" w:rsidRDefault="0039793A" w:rsidP="0039793A">
      <w:pPr>
        <w:ind w:left="540" w:hanging="540"/>
        <w:jc w:val="both"/>
        <w:rPr>
          <w:sz w:val="24"/>
        </w:rPr>
      </w:pPr>
      <w:r w:rsidRPr="00C53BEE">
        <w:rPr>
          <w:sz w:val="24"/>
        </w:rPr>
        <w:t>Skill Thinking</w:t>
      </w:r>
      <w:r w:rsidRPr="00C53BEE">
        <w:rPr>
          <w:i/>
          <w:iCs/>
          <w:sz w:val="24"/>
        </w:rPr>
        <w:t xml:space="preserve"> : </w:t>
      </w:r>
      <w:r w:rsidRPr="00C53BEE">
        <w:rPr>
          <w:iCs/>
          <w:sz w:val="24"/>
        </w:rPr>
        <w:t>61</w:t>
      </w:r>
      <w:r w:rsidRPr="00C53BEE">
        <w:rPr>
          <w:i/>
          <w:iCs/>
          <w:sz w:val="24"/>
        </w:rPr>
        <w:t>.</w:t>
      </w:r>
    </w:p>
    <w:p w14:paraId="253DCD2F" w14:textId="77777777" w:rsidR="0039793A" w:rsidRPr="00C53BEE" w:rsidRDefault="0039793A" w:rsidP="0039793A">
      <w:pPr>
        <w:ind w:left="540" w:hanging="540"/>
        <w:jc w:val="both"/>
        <w:rPr>
          <w:sz w:val="24"/>
        </w:rPr>
      </w:pPr>
      <w:r w:rsidRPr="00C53BEE">
        <w:rPr>
          <w:sz w:val="24"/>
        </w:rPr>
        <w:t>Socialisme : 46, 136.</w:t>
      </w:r>
    </w:p>
    <w:p w14:paraId="4EF54C14" w14:textId="77777777" w:rsidR="0039793A" w:rsidRPr="00C53BEE" w:rsidRDefault="0039793A" w:rsidP="0039793A">
      <w:pPr>
        <w:ind w:left="540" w:hanging="540"/>
        <w:jc w:val="both"/>
        <w:rPr>
          <w:sz w:val="24"/>
        </w:rPr>
      </w:pPr>
      <w:r w:rsidRPr="00C53BEE">
        <w:rPr>
          <w:sz w:val="24"/>
        </w:rPr>
        <w:t>Société des Nations : 34, 77, 94.</w:t>
      </w:r>
    </w:p>
    <w:p w14:paraId="33748A76" w14:textId="77777777" w:rsidR="0039793A" w:rsidRPr="00C53BEE" w:rsidRDefault="0039793A" w:rsidP="0039793A">
      <w:pPr>
        <w:ind w:left="540" w:hanging="540"/>
        <w:jc w:val="both"/>
        <w:rPr>
          <w:sz w:val="24"/>
        </w:rPr>
      </w:pPr>
      <w:r w:rsidRPr="00C53BEE">
        <w:rPr>
          <w:i/>
          <w:iCs/>
          <w:sz w:val="24"/>
        </w:rPr>
        <w:t>Soft Money</w:t>
      </w:r>
      <w:r w:rsidRPr="00C53BEE">
        <w:rPr>
          <w:sz w:val="24"/>
        </w:rPr>
        <w:t> : 332-334.</w:t>
      </w:r>
    </w:p>
    <w:p w14:paraId="18F099A0" w14:textId="77777777" w:rsidR="0039793A" w:rsidRPr="00C53BEE" w:rsidRDefault="0039793A" w:rsidP="0039793A">
      <w:pPr>
        <w:ind w:left="540" w:hanging="540"/>
        <w:jc w:val="both"/>
        <w:rPr>
          <w:sz w:val="24"/>
        </w:rPr>
      </w:pPr>
      <w:r w:rsidRPr="00C53BEE">
        <w:rPr>
          <w:sz w:val="24"/>
        </w:rPr>
        <w:t>Solid South :</w:t>
      </w:r>
      <w:r w:rsidRPr="00C53BEE">
        <w:rPr>
          <w:i/>
          <w:iCs/>
          <w:sz w:val="24"/>
        </w:rPr>
        <w:t xml:space="preserve"> </w:t>
      </w:r>
      <w:r w:rsidRPr="00C53BEE">
        <w:rPr>
          <w:iCs/>
          <w:sz w:val="24"/>
        </w:rPr>
        <w:t>300</w:t>
      </w:r>
      <w:r w:rsidRPr="00C53BEE">
        <w:rPr>
          <w:i/>
          <w:iCs/>
          <w:sz w:val="24"/>
        </w:rPr>
        <w:t>.</w:t>
      </w:r>
    </w:p>
    <w:p w14:paraId="614250E9" w14:textId="77777777" w:rsidR="0039793A" w:rsidRPr="00C53BEE" w:rsidRDefault="0039793A" w:rsidP="0039793A">
      <w:pPr>
        <w:ind w:left="540" w:hanging="540"/>
        <w:jc w:val="both"/>
        <w:rPr>
          <w:sz w:val="24"/>
        </w:rPr>
      </w:pPr>
      <w:r w:rsidRPr="00C53BEE">
        <w:rPr>
          <w:sz w:val="24"/>
        </w:rPr>
        <w:t>Somalie : 68, 88, 98, 123, 148, 155-157, 167, 243, 257, 259, 265, 307-308, 314.</w:t>
      </w:r>
    </w:p>
    <w:p w14:paraId="4826E6EA" w14:textId="77777777" w:rsidR="0039793A" w:rsidRPr="00C53BEE" w:rsidRDefault="0039793A" w:rsidP="0039793A">
      <w:pPr>
        <w:ind w:left="540" w:hanging="540"/>
        <w:jc w:val="both"/>
        <w:rPr>
          <w:sz w:val="24"/>
        </w:rPr>
      </w:pPr>
      <w:r w:rsidRPr="00C53BEE">
        <w:rPr>
          <w:sz w:val="24"/>
        </w:rPr>
        <w:t>Sondages : 144, 161, 254, 282, 285, 289-290, 292, 312, 316, 332, 347.</w:t>
      </w:r>
    </w:p>
    <w:p w14:paraId="17758AE8" w14:textId="77777777" w:rsidR="0039793A" w:rsidRPr="00C53BEE" w:rsidRDefault="0039793A" w:rsidP="0039793A">
      <w:pPr>
        <w:ind w:left="540" w:hanging="540"/>
        <w:jc w:val="both"/>
        <w:rPr>
          <w:sz w:val="24"/>
        </w:rPr>
      </w:pPr>
      <w:r w:rsidRPr="00C53BEE">
        <w:rPr>
          <w:sz w:val="24"/>
        </w:rPr>
        <w:t>Sous-secrétaires : 181-182, 189, 223, 236.</w:t>
      </w:r>
    </w:p>
    <w:p w14:paraId="135EAF57" w14:textId="77777777" w:rsidR="0039793A" w:rsidRPr="00C53BEE" w:rsidRDefault="0039793A" w:rsidP="0039793A">
      <w:pPr>
        <w:ind w:left="540" w:hanging="540"/>
        <w:jc w:val="both"/>
        <w:rPr>
          <w:sz w:val="24"/>
        </w:rPr>
      </w:pPr>
      <w:r w:rsidRPr="00C53BEE">
        <w:rPr>
          <w:sz w:val="24"/>
        </w:rPr>
        <w:t>Souveraineté : 19, 53, 55, 71, 73-75, 77, 80-83, 86, 89, 96-97, 105, 128-131, 287, 292-293, 346, 351.</w:t>
      </w:r>
    </w:p>
    <w:p w14:paraId="327953E7" w14:textId="77777777" w:rsidR="0039793A" w:rsidRPr="00C53BEE" w:rsidRDefault="0039793A" w:rsidP="0039793A">
      <w:pPr>
        <w:ind w:left="540" w:hanging="540"/>
        <w:jc w:val="both"/>
        <w:rPr>
          <w:sz w:val="24"/>
        </w:rPr>
      </w:pPr>
      <w:r w:rsidRPr="00C53BEE">
        <w:rPr>
          <w:sz w:val="24"/>
        </w:rPr>
        <w:t>Souverainisme : 54, 82, 99, 102, 105, 128-131, 277, 323, 339.</w:t>
      </w:r>
    </w:p>
    <w:p w14:paraId="7394A0B4" w14:textId="77777777" w:rsidR="0039793A" w:rsidRPr="00C53BEE" w:rsidRDefault="0039793A" w:rsidP="0039793A">
      <w:pPr>
        <w:ind w:left="540" w:hanging="540"/>
        <w:jc w:val="both"/>
        <w:rPr>
          <w:sz w:val="24"/>
        </w:rPr>
      </w:pPr>
      <w:r w:rsidRPr="00C53BEE">
        <w:rPr>
          <w:i/>
          <w:iCs/>
          <w:sz w:val="24"/>
        </w:rPr>
        <w:t>Speaker</w:t>
      </w:r>
      <w:r w:rsidRPr="00C53BEE">
        <w:rPr>
          <w:sz w:val="24"/>
        </w:rPr>
        <w:t> : 260-261, 272, 280-282.</w:t>
      </w:r>
    </w:p>
    <w:p w14:paraId="27E606CA" w14:textId="77777777" w:rsidR="0039793A" w:rsidRPr="00C53BEE" w:rsidRDefault="0039793A" w:rsidP="0039793A">
      <w:pPr>
        <w:ind w:left="540" w:hanging="540"/>
        <w:jc w:val="both"/>
        <w:rPr>
          <w:sz w:val="24"/>
        </w:rPr>
      </w:pPr>
      <w:r w:rsidRPr="00C53BEE">
        <w:rPr>
          <w:sz w:val="24"/>
        </w:rPr>
        <w:t>Spoils System</w:t>
      </w:r>
      <w:r w:rsidRPr="00C53BEE">
        <w:rPr>
          <w:i/>
          <w:iCs/>
          <w:sz w:val="24"/>
        </w:rPr>
        <w:t xml:space="preserve"> : </w:t>
      </w:r>
      <w:r w:rsidRPr="00C53BEE">
        <w:rPr>
          <w:iCs/>
          <w:sz w:val="24"/>
        </w:rPr>
        <w:t>22</w:t>
      </w:r>
      <w:r w:rsidRPr="00C53BEE">
        <w:rPr>
          <w:i/>
          <w:iCs/>
          <w:sz w:val="24"/>
        </w:rPr>
        <w:t>.</w:t>
      </w:r>
    </w:p>
    <w:p w14:paraId="3E9F2E5A" w14:textId="77777777" w:rsidR="0039793A" w:rsidRPr="00C53BEE" w:rsidRDefault="0039793A" w:rsidP="0039793A">
      <w:pPr>
        <w:ind w:left="540" w:hanging="540"/>
        <w:jc w:val="both"/>
        <w:rPr>
          <w:sz w:val="24"/>
        </w:rPr>
      </w:pPr>
      <w:r w:rsidRPr="00C53BEE">
        <w:rPr>
          <w:i/>
          <w:iCs/>
          <w:sz w:val="24"/>
        </w:rPr>
        <w:t>Staffers</w:t>
      </w:r>
      <w:r w:rsidRPr="00C53BEE">
        <w:rPr>
          <w:sz w:val="24"/>
        </w:rPr>
        <w:t> : 255, 275.</w:t>
      </w:r>
    </w:p>
    <w:p w14:paraId="7BC20AA8" w14:textId="77777777" w:rsidR="0039793A" w:rsidRPr="00C53BEE" w:rsidRDefault="0039793A" w:rsidP="0039793A">
      <w:pPr>
        <w:ind w:left="540" w:hanging="540"/>
        <w:jc w:val="both"/>
        <w:rPr>
          <w:sz w:val="24"/>
        </w:rPr>
      </w:pPr>
      <w:r w:rsidRPr="00C53BEE">
        <w:rPr>
          <w:sz w:val="24"/>
        </w:rPr>
        <w:t>Stimson Center</w:t>
      </w:r>
      <w:r w:rsidRPr="00C53BEE">
        <w:rPr>
          <w:i/>
          <w:iCs/>
          <w:sz w:val="24"/>
        </w:rPr>
        <w:t xml:space="preserve"> : </w:t>
      </w:r>
      <w:r w:rsidRPr="00C53BEE">
        <w:rPr>
          <w:iCs/>
          <w:sz w:val="24"/>
        </w:rPr>
        <w:t>320</w:t>
      </w:r>
      <w:r w:rsidRPr="00C53BEE">
        <w:rPr>
          <w:i/>
          <w:iCs/>
          <w:sz w:val="24"/>
        </w:rPr>
        <w:t>.</w:t>
      </w:r>
    </w:p>
    <w:p w14:paraId="5E1FD8AC" w14:textId="77777777" w:rsidR="0039793A" w:rsidRPr="00C53BEE" w:rsidRDefault="0039793A" w:rsidP="0039793A">
      <w:pPr>
        <w:ind w:left="540" w:hanging="540"/>
        <w:jc w:val="both"/>
        <w:rPr>
          <w:sz w:val="24"/>
        </w:rPr>
      </w:pPr>
      <w:r w:rsidRPr="00C53BEE">
        <w:rPr>
          <w:sz w:val="24"/>
        </w:rPr>
        <w:t xml:space="preserve">Stratégie cognitive : 169- </w:t>
      </w:r>
    </w:p>
    <w:p w14:paraId="06C83241" w14:textId="77777777" w:rsidR="0039793A" w:rsidRPr="00C53BEE" w:rsidRDefault="0039793A" w:rsidP="0039793A">
      <w:pPr>
        <w:ind w:left="540" w:hanging="540"/>
        <w:jc w:val="both"/>
        <w:rPr>
          <w:sz w:val="24"/>
        </w:rPr>
      </w:pPr>
      <w:r w:rsidRPr="00C53BEE">
        <w:rPr>
          <w:sz w:val="24"/>
        </w:rPr>
        <w:t>Style</w:t>
      </w:r>
    </w:p>
    <w:p w14:paraId="493C8D14" w14:textId="77777777" w:rsidR="0039793A" w:rsidRPr="00C53BEE" w:rsidRDefault="0039793A" w:rsidP="0039793A">
      <w:pPr>
        <w:pStyle w:val="i2"/>
      </w:pPr>
      <w:r w:rsidRPr="00C53BEE">
        <w:t>- cognitif : 166-167.</w:t>
      </w:r>
    </w:p>
    <w:p w14:paraId="32FD0B36" w14:textId="77777777" w:rsidR="0039793A" w:rsidRPr="00C53BEE" w:rsidRDefault="0039793A" w:rsidP="0039793A">
      <w:pPr>
        <w:pStyle w:val="i2"/>
      </w:pPr>
      <w:r w:rsidRPr="00C53BEE">
        <w:t>- décisionnel : 142, 163-164, 171, 240.</w:t>
      </w:r>
    </w:p>
    <w:p w14:paraId="30A3F361" w14:textId="77777777" w:rsidR="0039793A" w:rsidRPr="00C53BEE" w:rsidRDefault="0039793A" w:rsidP="0039793A">
      <w:pPr>
        <w:pStyle w:val="i2"/>
      </w:pPr>
      <w:r w:rsidRPr="00C53BEE">
        <w:t xml:space="preserve">- national : 11, 41-70, 73- </w:t>
      </w:r>
    </w:p>
    <w:p w14:paraId="1CBCA522" w14:textId="77777777" w:rsidR="0039793A" w:rsidRPr="00C53BEE" w:rsidRDefault="0039793A" w:rsidP="0039793A">
      <w:pPr>
        <w:pStyle w:val="i2"/>
      </w:pPr>
      <w:r w:rsidRPr="00C53BEE">
        <w:t>- présidentiel : 163, 164-165, 166, 169-171, 175.</w:t>
      </w:r>
    </w:p>
    <w:p w14:paraId="0C17DB7A" w14:textId="77777777" w:rsidR="0039793A" w:rsidRPr="00C53BEE" w:rsidRDefault="0039793A" w:rsidP="0039793A">
      <w:pPr>
        <w:ind w:left="540" w:hanging="540"/>
        <w:jc w:val="both"/>
        <w:rPr>
          <w:sz w:val="24"/>
        </w:rPr>
      </w:pPr>
      <w:r w:rsidRPr="00C53BEE">
        <w:rPr>
          <w:sz w:val="24"/>
        </w:rPr>
        <w:t>Suffrage universel</w:t>
      </w:r>
    </w:p>
    <w:p w14:paraId="0A4B8DCC" w14:textId="77777777" w:rsidR="0039793A" w:rsidRPr="00C53BEE" w:rsidRDefault="0039793A" w:rsidP="0039793A">
      <w:pPr>
        <w:pStyle w:val="i2"/>
      </w:pPr>
      <w:r w:rsidRPr="00C53BEE">
        <w:t>- direct : 22.</w:t>
      </w:r>
    </w:p>
    <w:p w14:paraId="0F8B809D" w14:textId="77777777" w:rsidR="0039793A" w:rsidRPr="00C53BEE" w:rsidRDefault="0039793A" w:rsidP="0039793A">
      <w:pPr>
        <w:pStyle w:val="i2"/>
      </w:pPr>
      <w:r w:rsidRPr="00C53BEE">
        <w:t>- indirect : 22, 31.</w:t>
      </w:r>
    </w:p>
    <w:p w14:paraId="75D1AEAB" w14:textId="77777777" w:rsidR="0039793A" w:rsidRPr="00C53BEE" w:rsidRDefault="0039793A" w:rsidP="0039793A">
      <w:pPr>
        <w:ind w:left="540" w:hanging="540"/>
        <w:jc w:val="both"/>
        <w:rPr>
          <w:sz w:val="24"/>
        </w:rPr>
      </w:pPr>
      <w:r w:rsidRPr="00C53BEE">
        <w:rPr>
          <w:sz w:val="24"/>
        </w:rPr>
        <w:t>Superpuissance : 36, 75, 79, 81, 94, 103,</w:t>
      </w:r>
    </w:p>
    <w:p w14:paraId="0826D9B3" w14:textId="77777777" w:rsidR="0039793A" w:rsidRPr="00C53BEE" w:rsidRDefault="0039793A" w:rsidP="0039793A">
      <w:pPr>
        <w:ind w:left="540" w:hanging="540"/>
        <w:jc w:val="both"/>
        <w:rPr>
          <w:sz w:val="24"/>
        </w:rPr>
      </w:pPr>
      <w:r w:rsidRPr="00C53BEE">
        <w:rPr>
          <w:sz w:val="24"/>
        </w:rPr>
        <w:t>105, 107-108, 113, 115, 119, 121, 123-124, 126, 128, 132-133, 138, 158.</w:t>
      </w:r>
    </w:p>
    <w:p w14:paraId="557A5A01" w14:textId="77777777" w:rsidR="0039793A" w:rsidRPr="00C53BEE" w:rsidRDefault="0039793A" w:rsidP="0039793A">
      <w:pPr>
        <w:ind w:left="540" w:hanging="540"/>
        <w:jc w:val="both"/>
        <w:rPr>
          <w:sz w:val="24"/>
        </w:rPr>
      </w:pPr>
      <w:r w:rsidRPr="00C53BEE">
        <w:rPr>
          <w:sz w:val="24"/>
        </w:rPr>
        <w:t>Supranationalité : 129, 293.</w:t>
      </w:r>
    </w:p>
    <w:p w14:paraId="51DBB81F" w14:textId="77777777" w:rsidR="0039793A" w:rsidRPr="00C53BEE" w:rsidRDefault="0039793A" w:rsidP="0039793A">
      <w:pPr>
        <w:ind w:left="540" w:hanging="540"/>
        <w:jc w:val="both"/>
        <w:rPr>
          <w:sz w:val="24"/>
        </w:rPr>
      </w:pPr>
      <w:r w:rsidRPr="00C53BEE">
        <w:rPr>
          <w:sz w:val="24"/>
        </w:rPr>
        <w:t>Syndicats : 96, 99, 298, 323-324, 337, 339-340.</w:t>
      </w:r>
    </w:p>
    <w:p w14:paraId="75335C58" w14:textId="77777777" w:rsidR="0039793A" w:rsidRPr="00C53BEE" w:rsidRDefault="0039793A" w:rsidP="0039793A">
      <w:pPr>
        <w:ind w:left="540" w:hanging="540"/>
        <w:jc w:val="both"/>
        <w:rPr>
          <w:sz w:val="24"/>
        </w:rPr>
      </w:pPr>
      <w:r w:rsidRPr="00C53BEE">
        <w:rPr>
          <w:sz w:val="24"/>
        </w:rPr>
        <w:t>Système international : 53, 59, 71, 81, 84, 91-92, 101-102, 104-105, 107-110, 112, 114-118, 121, 134, 136, 350, 351.</w:t>
      </w:r>
    </w:p>
    <w:p w14:paraId="4E6A8910" w14:textId="77777777" w:rsidR="0039793A" w:rsidRPr="00C53BEE" w:rsidRDefault="0039793A" w:rsidP="0039793A">
      <w:pPr>
        <w:ind w:left="540" w:hanging="540"/>
        <w:jc w:val="both"/>
        <w:rPr>
          <w:sz w:val="24"/>
        </w:rPr>
      </w:pPr>
    </w:p>
    <w:p w14:paraId="681916A2" w14:textId="77777777" w:rsidR="0039793A" w:rsidRPr="00C53BEE" w:rsidRDefault="0039793A" w:rsidP="0039793A">
      <w:pPr>
        <w:ind w:left="540" w:hanging="540"/>
        <w:jc w:val="both"/>
        <w:rPr>
          <w:sz w:val="24"/>
        </w:rPr>
      </w:pPr>
      <w:r w:rsidRPr="00C53BEE">
        <w:rPr>
          <w:sz w:val="24"/>
        </w:rPr>
        <w:t>Tchétchénie : 98.</w:t>
      </w:r>
    </w:p>
    <w:p w14:paraId="25862D4E" w14:textId="77777777" w:rsidR="0039793A" w:rsidRPr="00C53BEE" w:rsidRDefault="0039793A" w:rsidP="0039793A">
      <w:pPr>
        <w:ind w:left="540" w:hanging="540"/>
        <w:jc w:val="both"/>
        <w:rPr>
          <w:sz w:val="24"/>
        </w:rPr>
      </w:pPr>
      <w:r w:rsidRPr="00C53BEE">
        <w:rPr>
          <w:sz w:val="24"/>
        </w:rPr>
        <w:t>THCHINT (</w:t>
      </w:r>
      <w:r w:rsidRPr="00C53BEE">
        <w:rPr>
          <w:i/>
          <w:iCs/>
          <w:sz w:val="24"/>
        </w:rPr>
        <w:t>Technical Intelligence)</w:t>
      </w:r>
      <w:r w:rsidRPr="00C53BEE">
        <w:rPr>
          <w:sz w:val="24"/>
        </w:rPr>
        <w:t> : 196.</w:t>
      </w:r>
    </w:p>
    <w:p w14:paraId="2784C4C2" w14:textId="77777777" w:rsidR="0039793A" w:rsidRPr="00C53BEE" w:rsidRDefault="0039793A" w:rsidP="0039793A">
      <w:pPr>
        <w:ind w:left="540" w:hanging="540"/>
        <w:jc w:val="both"/>
        <w:rPr>
          <w:sz w:val="24"/>
        </w:rPr>
      </w:pPr>
      <w:r w:rsidRPr="00C53BEE">
        <w:rPr>
          <w:sz w:val="24"/>
        </w:rPr>
        <w:t>Télévision : 161, 227, 266, 304-306, 308, 322, 330.</w:t>
      </w:r>
    </w:p>
    <w:p w14:paraId="2B7CFB87" w14:textId="77777777" w:rsidR="0039793A" w:rsidRPr="00C53BEE" w:rsidRDefault="0039793A" w:rsidP="0039793A">
      <w:pPr>
        <w:ind w:left="540" w:hanging="540"/>
        <w:jc w:val="both"/>
        <w:rPr>
          <w:sz w:val="24"/>
        </w:rPr>
      </w:pPr>
      <w:r w:rsidRPr="00C53BEE">
        <w:rPr>
          <w:sz w:val="24"/>
        </w:rPr>
        <w:t xml:space="preserve">Terrorisme : 50, 90, 105, 114, 123, 126, 132-133, 168, 190, 193-194, 200, 204, 268, 290-295, 310, 346-351. </w:t>
      </w:r>
    </w:p>
    <w:p w14:paraId="74CA3498" w14:textId="77777777" w:rsidR="0039793A" w:rsidRPr="00C53BEE" w:rsidRDefault="0039793A" w:rsidP="0039793A">
      <w:pPr>
        <w:pStyle w:val="i2"/>
      </w:pPr>
      <w:r w:rsidRPr="00C53BEE">
        <w:t>- attaques : 116, 123, 158, 200, 203, 351.</w:t>
      </w:r>
    </w:p>
    <w:p w14:paraId="0C50A129" w14:textId="77777777" w:rsidR="0039793A" w:rsidRPr="00C53BEE" w:rsidRDefault="0039793A" w:rsidP="0039793A">
      <w:pPr>
        <w:pStyle w:val="i2"/>
      </w:pPr>
      <w:r w:rsidRPr="00C53BEE">
        <w:t>- financement : 204.</w:t>
      </w:r>
    </w:p>
    <w:p w14:paraId="0C4351C7" w14:textId="77777777" w:rsidR="0039793A" w:rsidRPr="00C53BEE" w:rsidRDefault="0039793A" w:rsidP="0039793A">
      <w:pPr>
        <w:pStyle w:val="i2"/>
      </w:pPr>
      <w:r w:rsidRPr="00C53BEE">
        <w:t>- menace : 293.</w:t>
      </w:r>
    </w:p>
    <w:p w14:paraId="0DA4F565" w14:textId="77777777" w:rsidR="0039793A" w:rsidRPr="00C53BEE" w:rsidRDefault="0039793A" w:rsidP="0039793A">
      <w:pPr>
        <w:pStyle w:val="i2"/>
      </w:pPr>
      <w:r w:rsidRPr="00C53BEE">
        <w:t>- réseaux : 130.</w:t>
      </w:r>
    </w:p>
    <w:p w14:paraId="0C66DCB7" w14:textId="77777777" w:rsidR="0039793A" w:rsidRPr="00C53BEE" w:rsidRDefault="0039793A" w:rsidP="0039793A">
      <w:pPr>
        <w:ind w:left="540" w:hanging="540"/>
        <w:jc w:val="both"/>
        <w:rPr>
          <w:sz w:val="24"/>
        </w:rPr>
      </w:pPr>
      <w:r w:rsidRPr="00C53BEE">
        <w:rPr>
          <w:i/>
          <w:iCs/>
          <w:sz w:val="24"/>
        </w:rPr>
        <w:t>The National Interest</w:t>
      </w:r>
      <w:r w:rsidRPr="00C53BEE">
        <w:rPr>
          <w:rStyle w:val="Corpsdutexte108ptNonItalique"/>
          <w:sz w:val="24"/>
        </w:rPr>
        <w:t> </w:t>
      </w:r>
      <w:r w:rsidRPr="00C53BEE">
        <w:rPr>
          <w:iCs/>
          <w:sz w:val="24"/>
        </w:rPr>
        <w:t>: 11, 322.</w:t>
      </w:r>
    </w:p>
    <w:p w14:paraId="612E14B9" w14:textId="77777777" w:rsidR="0039793A" w:rsidRPr="00C53BEE" w:rsidRDefault="0039793A" w:rsidP="0039793A">
      <w:pPr>
        <w:ind w:left="540" w:hanging="540"/>
        <w:jc w:val="both"/>
        <w:rPr>
          <w:sz w:val="24"/>
        </w:rPr>
      </w:pPr>
      <w:r w:rsidRPr="00C53BEE">
        <w:rPr>
          <w:i/>
          <w:iCs/>
          <w:sz w:val="24"/>
        </w:rPr>
        <w:t>The New Yorker</w:t>
      </w:r>
      <w:r w:rsidRPr="00C53BEE">
        <w:rPr>
          <w:rStyle w:val="Corpsdutexte108ptNonItalique"/>
          <w:sz w:val="24"/>
        </w:rPr>
        <w:t> </w:t>
      </w:r>
      <w:r w:rsidRPr="00C53BEE">
        <w:rPr>
          <w:sz w:val="24"/>
        </w:rPr>
        <w:t>: 322.</w:t>
      </w:r>
    </w:p>
    <w:p w14:paraId="3FDDD88C" w14:textId="77777777" w:rsidR="0039793A" w:rsidRPr="00C53BEE" w:rsidRDefault="0039793A" w:rsidP="0039793A">
      <w:pPr>
        <w:ind w:left="540" w:hanging="540"/>
        <w:jc w:val="both"/>
        <w:rPr>
          <w:sz w:val="24"/>
        </w:rPr>
      </w:pPr>
      <w:r w:rsidRPr="00C53BEE">
        <w:rPr>
          <w:i/>
          <w:iCs/>
          <w:sz w:val="24"/>
        </w:rPr>
        <w:t>The Washington Quarterly</w:t>
      </w:r>
      <w:r w:rsidRPr="00C53BEE">
        <w:rPr>
          <w:rStyle w:val="Corpsdutexte108ptNonItalique"/>
          <w:sz w:val="24"/>
        </w:rPr>
        <w:t> </w:t>
      </w:r>
      <w:r w:rsidRPr="00C53BEE">
        <w:rPr>
          <w:iCs/>
          <w:sz w:val="24"/>
        </w:rPr>
        <w:t>: 11, 322.</w:t>
      </w:r>
    </w:p>
    <w:p w14:paraId="3CC93672" w14:textId="77777777" w:rsidR="0039793A" w:rsidRPr="00C53BEE" w:rsidRDefault="0039793A" w:rsidP="0039793A">
      <w:pPr>
        <w:ind w:left="540" w:hanging="540"/>
        <w:jc w:val="both"/>
        <w:rPr>
          <w:sz w:val="24"/>
        </w:rPr>
      </w:pPr>
      <w:r w:rsidRPr="00C53BEE">
        <w:rPr>
          <w:i/>
          <w:iCs/>
          <w:sz w:val="24"/>
        </w:rPr>
        <w:t>The Weekly Standard</w:t>
      </w:r>
      <w:r w:rsidRPr="00C53BEE">
        <w:rPr>
          <w:rStyle w:val="Corpsdutexte108ptNonItalique"/>
          <w:sz w:val="24"/>
        </w:rPr>
        <w:t> </w:t>
      </w:r>
      <w:r w:rsidRPr="00C53BEE">
        <w:rPr>
          <w:sz w:val="24"/>
        </w:rPr>
        <w:t>: 322.</w:t>
      </w:r>
    </w:p>
    <w:p w14:paraId="0E3A871D" w14:textId="77777777" w:rsidR="0039793A" w:rsidRPr="00C53BEE" w:rsidRDefault="0039793A" w:rsidP="0039793A">
      <w:pPr>
        <w:ind w:left="540" w:hanging="540"/>
        <w:jc w:val="both"/>
        <w:rPr>
          <w:sz w:val="24"/>
        </w:rPr>
      </w:pPr>
      <w:r w:rsidRPr="00C53BEE">
        <w:rPr>
          <w:sz w:val="24"/>
        </w:rPr>
        <w:t>Théorie</w:t>
      </w:r>
    </w:p>
    <w:p w14:paraId="765E12E3" w14:textId="77777777" w:rsidR="0039793A" w:rsidRPr="00C53BEE" w:rsidRDefault="0039793A" w:rsidP="0039793A">
      <w:pPr>
        <w:pStyle w:val="i2"/>
      </w:pPr>
      <w:r w:rsidRPr="00C53BEE">
        <w:t>- des jeux : 62.</w:t>
      </w:r>
    </w:p>
    <w:p w14:paraId="120786E1" w14:textId="77777777" w:rsidR="0039793A" w:rsidRPr="00C53BEE" w:rsidRDefault="0039793A" w:rsidP="0039793A">
      <w:pPr>
        <w:pStyle w:val="i2"/>
      </w:pPr>
      <w:r w:rsidRPr="00C53BEE">
        <w:t>- du complot : 9, 59, 81.</w:t>
      </w:r>
    </w:p>
    <w:p w14:paraId="45CE1551" w14:textId="77777777" w:rsidR="0039793A" w:rsidRPr="00C53BEE" w:rsidRDefault="0039793A" w:rsidP="0039793A">
      <w:pPr>
        <w:ind w:left="540" w:hanging="540"/>
        <w:jc w:val="both"/>
        <w:rPr>
          <w:sz w:val="24"/>
        </w:rPr>
      </w:pPr>
      <w:r w:rsidRPr="00C53BEE">
        <w:rPr>
          <w:sz w:val="24"/>
        </w:rPr>
        <w:t>Thèse</w:t>
      </w:r>
    </w:p>
    <w:p w14:paraId="0E14AB61" w14:textId="77777777" w:rsidR="0039793A" w:rsidRPr="00C53BEE" w:rsidRDefault="0039793A" w:rsidP="0039793A">
      <w:pPr>
        <w:pStyle w:val="i2"/>
      </w:pPr>
      <w:r w:rsidRPr="00C53BEE">
        <w:t>- de la suprématie du président : 34-39.</w:t>
      </w:r>
    </w:p>
    <w:p w14:paraId="49FF71BE" w14:textId="77777777" w:rsidR="0039793A" w:rsidRPr="00C53BEE" w:rsidRDefault="0039793A" w:rsidP="0039793A">
      <w:pPr>
        <w:pStyle w:val="i2"/>
      </w:pPr>
      <w:r w:rsidRPr="00C53BEE">
        <w:t>- de l’autorité constitutionnelle du Congrès : 29-34.</w:t>
      </w:r>
    </w:p>
    <w:p w14:paraId="67BB6721" w14:textId="77777777" w:rsidR="0039793A" w:rsidRPr="00C53BEE" w:rsidRDefault="0039793A" w:rsidP="0039793A">
      <w:pPr>
        <w:pStyle w:val="i2"/>
      </w:pPr>
      <w:r w:rsidRPr="00C53BEE">
        <w:t>- des deux présidences : 158-159.</w:t>
      </w:r>
    </w:p>
    <w:p w14:paraId="1B70466A" w14:textId="77777777" w:rsidR="0039793A" w:rsidRPr="00C53BEE" w:rsidRDefault="0039793A" w:rsidP="0039793A">
      <w:pPr>
        <w:ind w:left="540" w:hanging="540"/>
        <w:jc w:val="both"/>
        <w:rPr>
          <w:sz w:val="24"/>
        </w:rPr>
      </w:pPr>
      <w:r w:rsidRPr="00C53BEE">
        <w:rPr>
          <w:i/>
          <w:iCs/>
          <w:sz w:val="24"/>
        </w:rPr>
        <w:t>Think Tanks</w:t>
      </w:r>
      <w:r w:rsidRPr="00C53BEE">
        <w:rPr>
          <w:sz w:val="24"/>
        </w:rPr>
        <w:t> : 101, 184, 319-322, 324-325, 340-341, 344.</w:t>
      </w:r>
    </w:p>
    <w:p w14:paraId="3D4A19CA" w14:textId="77777777" w:rsidR="0039793A" w:rsidRPr="00C53BEE" w:rsidRDefault="0039793A" w:rsidP="0039793A">
      <w:pPr>
        <w:ind w:left="540" w:hanging="540"/>
        <w:jc w:val="both"/>
        <w:rPr>
          <w:sz w:val="24"/>
        </w:rPr>
      </w:pPr>
      <w:r w:rsidRPr="00C53BEE">
        <w:rPr>
          <w:sz w:val="24"/>
        </w:rPr>
        <w:t>TICE (Traité d’interdiction complète des essais nucléaires) : 97, 262, 283, 294.</w:t>
      </w:r>
    </w:p>
    <w:p w14:paraId="5ECC2695" w14:textId="77777777" w:rsidR="0039793A" w:rsidRPr="00C53BEE" w:rsidRDefault="0039793A" w:rsidP="0039793A">
      <w:pPr>
        <w:ind w:left="540" w:hanging="540"/>
        <w:jc w:val="both"/>
        <w:rPr>
          <w:sz w:val="24"/>
        </w:rPr>
      </w:pPr>
      <w:r w:rsidRPr="00C53BEE">
        <w:rPr>
          <w:sz w:val="24"/>
        </w:rPr>
        <w:t>Tiers Monde : 137, 204.</w:t>
      </w:r>
    </w:p>
    <w:p w14:paraId="58F117EA" w14:textId="77777777" w:rsidR="0039793A" w:rsidRPr="00C53BEE" w:rsidRDefault="0039793A" w:rsidP="0039793A">
      <w:pPr>
        <w:ind w:left="540" w:hanging="540"/>
        <w:jc w:val="both"/>
        <w:rPr>
          <w:sz w:val="24"/>
        </w:rPr>
      </w:pPr>
      <w:r w:rsidRPr="00C53BEE">
        <w:rPr>
          <w:sz w:val="24"/>
        </w:rPr>
        <w:t>Timor : 68, 276.</w:t>
      </w:r>
    </w:p>
    <w:p w14:paraId="342F5A87" w14:textId="77777777" w:rsidR="0039793A" w:rsidRPr="00C53BEE" w:rsidRDefault="0039793A" w:rsidP="0039793A">
      <w:pPr>
        <w:ind w:left="540" w:hanging="540"/>
        <w:jc w:val="both"/>
        <w:rPr>
          <w:sz w:val="24"/>
        </w:rPr>
      </w:pPr>
      <w:r w:rsidRPr="00C53BEE">
        <w:rPr>
          <w:i/>
          <w:iCs/>
          <w:sz w:val="24"/>
        </w:rPr>
        <w:t>Trade and Development Act</w:t>
      </w:r>
      <w:r w:rsidRPr="00C53BEE">
        <w:rPr>
          <w:rStyle w:val="Corpsdutexte108ptNonItalique"/>
          <w:sz w:val="24"/>
        </w:rPr>
        <w:t> </w:t>
      </w:r>
      <w:r w:rsidRPr="00C53BEE">
        <w:rPr>
          <w:iCs/>
          <w:sz w:val="24"/>
        </w:rPr>
        <w:t>: 328.</w:t>
      </w:r>
    </w:p>
    <w:p w14:paraId="17B0C3D0" w14:textId="77777777" w:rsidR="0039793A" w:rsidRPr="00C53BEE" w:rsidRDefault="0039793A" w:rsidP="0039793A">
      <w:pPr>
        <w:ind w:left="540" w:hanging="540"/>
        <w:jc w:val="both"/>
        <w:rPr>
          <w:sz w:val="24"/>
        </w:rPr>
      </w:pPr>
      <w:r w:rsidRPr="00C53BEE">
        <w:rPr>
          <w:sz w:val="24"/>
        </w:rPr>
        <w:t>[382]</w:t>
      </w:r>
    </w:p>
    <w:p w14:paraId="7354C313" w14:textId="77777777" w:rsidR="0039793A" w:rsidRPr="00C53BEE" w:rsidRDefault="0039793A" w:rsidP="0039793A">
      <w:pPr>
        <w:ind w:left="540" w:hanging="540"/>
        <w:jc w:val="both"/>
        <w:rPr>
          <w:sz w:val="24"/>
        </w:rPr>
      </w:pPr>
      <w:r w:rsidRPr="00C53BEE">
        <w:rPr>
          <w:i/>
          <w:iCs/>
          <w:sz w:val="24"/>
        </w:rPr>
        <w:t>Trade Promotion Authority</w:t>
      </w:r>
      <w:r w:rsidRPr="00C53BEE">
        <w:rPr>
          <w:rStyle w:val="Corpsdutexte108ptNonItalique"/>
          <w:sz w:val="24"/>
        </w:rPr>
        <w:t> </w:t>
      </w:r>
      <w:r w:rsidRPr="00C53BEE">
        <w:rPr>
          <w:iCs/>
          <w:sz w:val="24"/>
        </w:rPr>
        <w:t>: 135.</w:t>
      </w:r>
    </w:p>
    <w:p w14:paraId="15CC98CE" w14:textId="77777777" w:rsidR="0039793A" w:rsidRPr="00C53BEE" w:rsidRDefault="0039793A" w:rsidP="0039793A">
      <w:pPr>
        <w:ind w:left="540" w:hanging="540"/>
        <w:jc w:val="both"/>
        <w:rPr>
          <w:sz w:val="24"/>
        </w:rPr>
      </w:pPr>
      <w:r w:rsidRPr="00C53BEE">
        <w:rPr>
          <w:sz w:val="24"/>
        </w:rPr>
        <w:t xml:space="preserve">Trafic de drogue : 181, 204, 268, 291, 347. </w:t>
      </w:r>
    </w:p>
    <w:p w14:paraId="650ED5B3" w14:textId="77777777" w:rsidR="0039793A" w:rsidRPr="00C53BEE" w:rsidRDefault="0039793A" w:rsidP="0039793A">
      <w:pPr>
        <w:ind w:left="540" w:hanging="540"/>
        <w:jc w:val="both"/>
        <w:rPr>
          <w:sz w:val="24"/>
        </w:rPr>
      </w:pPr>
      <w:r w:rsidRPr="00C53BEE">
        <w:rPr>
          <w:sz w:val="24"/>
        </w:rPr>
        <w:t>Traité</w:t>
      </w:r>
    </w:p>
    <w:p w14:paraId="05291D15" w14:textId="77777777" w:rsidR="0039793A" w:rsidRPr="00C53BEE" w:rsidRDefault="0039793A" w:rsidP="0039793A">
      <w:pPr>
        <w:pStyle w:val="i2"/>
      </w:pPr>
      <w:r w:rsidRPr="00C53BEE">
        <w:t>- ABM : 112, 149.</w:t>
      </w:r>
    </w:p>
    <w:p w14:paraId="154D5512" w14:textId="77777777" w:rsidR="0039793A" w:rsidRPr="00C53BEE" w:rsidRDefault="0039793A" w:rsidP="0039793A">
      <w:pPr>
        <w:pStyle w:val="i2"/>
      </w:pPr>
      <w:r w:rsidRPr="00C53BEE">
        <w:t>- de Versailles : 34, 77, 86, 149, 250, 254, 262.</w:t>
      </w:r>
    </w:p>
    <w:p w14:paraId="52C54DFB" w14:textId="77777777" w:rsidR="0039793A" w:rsidRPr="00C53BEE" w:rsidRDefault="0039793A" w:rsidP="0039793A">
      <w:pPr>
        <w:pStyle w:val="i2"/>
      </w:pPr>
      <w:r w:rsidRPr="00C53BEE">
        <w:t>- d’interdiction des essais nucléaires : 97, 149, 262, 283, 284, 294.</w:t>
      </w:r>
    </w:p>
    <w:p w14:paraId="764D8A18" w14:textId="77777777" w:rsidR="0039793A" w:rsidRPr="00C53BEE" w:rsidRDefault="0039793A" w:rsidP="0039793A">
      <w:pPr>
        <w:pStyle w:val="i2"/>
      </w:pPr>
      <w:r w:rsidRPr="00C53BEE">
        <w:t>- d’interdiction des mines antipersonnel : 294, 325.</w:t>
      </w:r>
    </w:p>
    <w:p w14:paraId="17B7BAD9" w14:textId="77777777" w:rsidR="0039793A" w:rsidRPr="00C53BEE" w:rsidRDefault="0039793A" w:rsidP="0039793A">
      <w:pPr>
        <w:pStyle w:val="i2"/>
      </w:pPr>
      <w:r w:rsidRPr="00C53BEE">
        <w:t>- sur la Cour pénale internationale : 82, 294, 325.</w:t>
      </w:r>
    </w:p>
    <w:p w14:paraId="7E87E1AF" w14:textId="77777777" w:rsidR="0039793A" w:rsidRPr="00C53BEE" w:rsidRDefault="0039793A" w:rsidP="0039793A">
      <w:pPr>
        <w:ind w:left="540" w:hanging="540"/>
        <w:jc w:val="both"/>
        <w:rPr>
          <w:sz w:val="24"/>
        </w:rPr>
      </w:pPr>
      <w:r w:rsidRPr="00C53BEE">
        <w:rPr>
          <w:sz w:val="24"/>
        </w:rPr>
        <w:t>Traités</w:t>
      </w:r>
    </w:p>
    <w:p w14:paraId="3DE9E206" w14:textId="77777777" w:rsidR="0039793A" w:rsidRPr="00C53BEE" w:rsidRDefault="0039793A" w:rsidP="0039793A">
      <w:pPr>
        <w:pStyle w:val="i2"/>
      </w:pPr>
      <w:r w:rsidRPr="00C53BEE">
        <w:t>- internationaux : 19, 97, 107, 135, 150,155.</w:t>
      </w:r>
    </w:p>
    <w:p w14:paraId="5090C5F0" w14:textId="77777777" w:rsidR="0039793A" w:rsidRPr="00C53BEE" w:rsidRDefault="0039793A" w:rsidP="0039793A">
      <w:pPr>
        <w:pStyle w:val="i2"/>
      </w:pPr>
      <w:r w:rsidRPr="00C53BEE">
        <w:t>- ratification : 28, 30, 96, 149-150, 250, 253-254, 262-263, 324.</w:t>
      </w:r>
    </w:p>
    <w:p w14:paraId="5D066625" w14:textId="77777777" w:rsidR="0039793A" w:rsidRPr="00C53BEE" w:rsidRDefault="0039793A" w:rsidP="0039793A">
      <w:pPr>
        <w:ind w:left="540" w:hanging="540"/>
        <w:jc w:val="both"/>
        <w:rPr>
          <w:sz w:val="24"/>
        </w:rPr>
      </w:pPr>
      <w:r w:rsidRPr="00C53BEE">
        <w:rPr>
          <w:sz w:val="24"/>
        </w:rPr>
        <w:t>Transafrica : 327.</w:t>
      </w:r>
    </w:p>
    <w:p w14:paraId="5989911A" w14:textId="77777777" w:rsidR="0039793A" w:rsidRPr="00C53BEE" w:rsidRDefault="0039793A" w:rsidP="0039793A">
      <w:pPr>
        <w:ind w:left="540" w:hanging="540"/>
        <w:jc w:val="both"/>
        <w:rPr>
          <w:sz w:val="24"/>
        </w:rPr>
      </w:pPr>
      <w:r w:rsidRPr="00C53BEE">
        <w:rPr>
          <w:sz w:val="24"/>
        </w:rPr>
        <w:t>Tribunal militaire : 348.</w:t>
      </w:r>
    </w:p>
    <w:p w14:paraId="0D906F5C" w14:textId="77777777" w:rsidR="0039793A" w:rsidRPr="00C53BEE" w:rsidRDefault="0039793A" w:rsidP="0039793A">
      <w:pPr>
        <w:ind w:left="540" w:hanging="540"/>
        <w:jc w:val="both"/>
        <w:rPr>
          <w:sz w:val="24"/>
        </w:rPr>
      </w:pPr>
      <w:r w:rsidRPr="00C53BEE">
        <w:rPr>
          <w:i/>
          <w:iCs/>
          <w:sz w:val="24"/>
        </w:rPr>
        <w:t>Tuesday Lunch Group</w:t>
      </w:r>
      <w:r w:rsidRPr="00C53BEE">
        <w:rPr>
          <w:rStyle w:val="Corpsdutexte108ptNonItalique"/>
          <w:sz w:val="24"/>
        </w:rPr>
        <w:t> </w:t>
      </w:r>
      <w:r w:rsidRPr="00C53BEE">
        <w:rPr>
          <w:iCs/>
          <w:sz w:val="24"/>
        </w:rPr>
        <w:t>: 220, 236.</w:t>
      </w:r>
    </w:p>
    <w:p w14:paraId="790CD8E3" w14:textId="77777777" w:rsidR="0039793A" w:rsidRPr="00C53BEE" w:rsidRDefault="0039793A" w:rsidP="0039793A">
      <w:pPr>
        <w:ind w:left="540" w:hanging="540"/>
        <w:jc w:val="both"/>
        <w:rPr>
          <w:sz w:val="24"/>
        </w:rPr>
      </w:pPr>
      <w:r w:rsidRPr="00C53BEE">
        <w:rPr>
          <w:sz w:val="24"/>
        </w:rPr>
        <w:t>Turquie : 48, 87, 340.</w:t>
      </w:r>
    </w:p>
    <w:p w14:paraId="7CE96CB4" w14:textId="77777777" w:rsidR="0039793A" w:rsidRPr="00C53BEE" w:rsidRDefault="0039793A" w:rsidP="0039793A">
      <w:pPr>
        <w:ind w:left="540" w:hanging="540"/>
        <w:jc w:val="both"/>
        <w:rPr>
          <w:sz w:val="24"/>
        </w:rPr>
      </w:pPr>
      <w:r w:rsidRPr="00C53BEE">
        <w:rPr>
          <w:sz w:val="24"/>
        </w:rPr>
        <w:t>Tyrannie : 18, 21, 23, 49, 61, 292.</w:t>
      </w:r>
    </w:p>
    <w:p w14:paraId="21FC397E" w14:textId="77777777" w:rsidR="0039793A" w:rsidRPr="00C53BEE" w:rsidRDefault="0039793A" w:rsidP="0039793A">
      <w:pPr>
        <w:ind w:left="540" w:hanging="540"/>
        <w:jc w:val="both"/>
        <w:rPr>
          <w:sz w:val="24"/>
        </w:rPr>
      </w:pPr>
    </w:p>
    <w:p w14:paraId="6436533D" w14:textId="77777777" w:rsidR="0039793A" w:rsidRPr="00C53BEE" w:rsidRDefault="0039793A" w:rsidP="0039793A">
      <w:pPr>
        <w:ind w:left="540" w:hanging="540"/>
        <w:jc w:val="both"/>
        <w:rPr>
          <w:sz w:val="24"/>
        </w:rPr>
      </w:pPr>
      <w:r w:rsidRPr="00C53BEE">
        <w:rPr>
          <w:i/>
          <w:iCs/>
          <w:sz w:val="24"/>
        </w:rPr>
        <w:t>Unified Commands</w:t>
      </w:r>
      <w:r w:rsidRPr="00C53BEE">
        <w:rPr>
          <w:rStyle w:val="Corpsdutexte108ptNonItalique"/>
          <w:sz w:val="24"/>
        </w:rPr>
        <w:t> </w:t>
      </w:r>
      <w:r w:rsidRPr="00C53BEE">
        <w:rPr>
          <w:sz w:val="24"/>
        </w:rPr>
        <w:t>: 190.</w:t>
      </w:r>
    </w:p>
    <w:p w14:paraId="13243B68" w14:textId="77777777" w:rsidR="0039793A" w:rsidRPr="00C53BEE" w:rsidRDefault="0039793A" w:rsidP="0039793A">
      <w:pPr>
        <w:ind w:left="540" w:hanging="540"/>
        <w:jc w:val="both"/>
        <w:rPr>
          <w:sz w:val="24"/>
        </w:rPr>
      </w:pPr>
      <w:r w:rsidRPr="00C53BEE">
        <w:rPr>
          <w:sz w:val="24"/>
        </w:rPr>
        <w:t>Unilatéralisme : 82, 102-109, 112-115, 117, 122, 126, 168, 283, 286-287, 289-290, 292-293, 296-297, 337, 347, 350.</w:t>
      </w:r>
    </w:p>
    <w:p w14:paraId="7007BC00" w14:textId="77777777" w:rsidR="0039793A" w:rsidRPr="00C53BEE" w:rsidRDefault="0039793A" w:rsidP="0039793A">
      <w:pPr>
        <w:ind w:left="540" w:hanging="540"/>
        <w:jc w:val="both"/>
        <w:rPr>
          <w:sz w:val="24"/>
        </w:rPr>
      </w:pPr>
      <w:r w:rsidRPr="00C53BEE">
        <w:rPr>
          <w:sz w:val="24"/>
        </w:rPr>
        <w:t>Union confédérale : 19.</w:t>
      </w:r>
    </w:p>
    <w:p w14:paraId="73C4472E" w14:textId="77777777" w:rsidR="0039793A" w:rsidRPr="00C53BEE" w:rsidRDefault="0039793A" w:rsidP="0039793A">
      <w:pPr>
        <w:ind w:left="540" w:hanging="540"/>
        <w:jc w:val="both"/>
        <w:rPr>
          <w:sz w:val="24"/>
        </w:rPr>
      </w:pPr>
      <w:r w:rsidRPr="00C53BEE">
        <w:rPr>
          <w:sz w:val="24"/>
        </w:rPr>
        <w:t>Union sacrée : 253, 296, 315, 348-349.</w:t>
      </w:r>
    </w:p>
    <w:p w14:paraId="4BEBA13A" w14:textId="77777777" w:rsidR="0039793A" w:rsidRPr="00C53BEE" w:rsidRDefault="0039793A" w:rsidP="0039793A">
      <w:pPr>
        <w:ind w:left="540" w:hanging="540"/>
        <w:jc w:val="both"/>
        <w:rPr>
          <w:sz w:val="24"/>
        </w:rPr>
      </w:pPr>
      <w:r w:rsidRPr="00C53BEE">
        <w:rPr>
          <w:sz w:val="24"/>
        </w:rPr>
        <w:t>Unipolarité : 109, 111, 117, 122.</w:t>
      </w:r>
    </w:p>
    <w:p w14:paraId="29950F1B" w14:textId="77777777" w:rsidR="0039793A" w:rsidRPr="00C53BEE" w:rsidRDefault="0039793A" w:rsidP="0039793A">
      <w:pPr>
        <w:ind w:left="540" w:hanging="540"/>
        <w:jc w:val="both"/>
        <w:rPr>
          <w:sz w:val="24"/>
        </w:rPr>
      </w:pPr>
      <w:r w:rsidRPr="00C53BEE">
        <w:rPr>
          <w:i/>
          <w:iCs/>
          <w:sz w:val="24"/>
        </w:rPr>
        <w:t>United Auto Workers</w:t>
      </w:r>
      <w:r w:rsidRPr="00C53BEE">
        <w:rPr>
          <w:sz w:val="24"/>
        </w:rPr>
        <w:t> : 323, 339.</w:t>
      </w:r>
    </w:p>
    <w:p w14:paraId="56713AE6" w14:textId="77777777" w:rsidR="0039793A" w:rsidRPr="00C53BEE" w:rsidRDefault="0039793A" w:rsidP="0039793A">
      <w:pPr>
        <w:ind w:left="540" w:hanging="540"/>
        <w:jc w:val="both"/>
        <w:rPr>
          <w:sz w:val="24"/>
        </w:rPr>
      </w:pPr>
      <w:r w:rsidRPr="00C53BEE">
        <w:rPr>
          <w:sz w:val="24"/>
        </w:rPr>
        <w:t>Universalisme : 58.</w:t>
      </w:r>
    </w:p>
    <w:p w14:paraId="50ED7D51" w14:textId="77777777" w:rsidR="0039793A" w:rsidRPr="00C53BEE" w:rsidRDefault="0039793A" w:rsidP="0039793A">
      <w:pPr>
        <w:ind w:left="540" w:hanging="540"/>
        <w:jc w:val="both"/>
        <w:rPr>
          <w:sz w:val="24"/>
        </w:rPr>
      </w:pPr>
      <w:r w:rsidRPr="00C53BEE">
        <w:rPr>
          <w:sz w:val="24"/>
        </w:rPr>
        <w:t>Université : 66, 92, 101, 112, 124, 138, 183, 265, 288, 311, 319-321.</w:t>
      </w:r>
    </w:p>
    <w:p w14:paraId="41ED7E9E" w14:textId="77777777" w:rsidR="0039793A" w:rsidRPr="00C53BEE" w:rsidRDefault="0039793A" w:rsidP="0039793A">
      <w:pPr>
        <w:ind w:left="540" w:hanging="540"/>
        <w:jc w:val="both"/>
        <w:rPr>
          <w:sz w:val="24"/>
        </w:rPr>
      </w:pPr>
      <w:r w:rsidRPr="00C53BEE">
        <w:rPr>
          <w:sz w:val="24"/>
        </w:rPr>
        <w:t>Urgence : 36, 148, 202, 216, 270, 281, 291, 306, 312.</w:t>
      </w:r>
    </w:p>
    <w:p w14:paraId="4F1F4658" w14:textId="77777777" w:rsidR="0039793A" w:rsidRPr="00C53BEE" w:rsidRDefault="0039793A" w:rsidP="0039793A">
      <w:pPr>
        <w:ind w:left="540" w:hanging="540"/>
        <w:jc w:val="both"/>
        <w:rPr>
          <w:sz w:val="24"/>
        </w:rPr>
      </w:pPr>
      <w:r w:rsidRPr="00C53BEE">
        <w:rPr>
          <w:sz w:val="24"/>
        </w:rPr>
        <w:t>URSS : 87-88, 96, 117, 200, 239, 269, 278, 286-287, 298, 300, 303, 306, 308.</w:t>
      </w:r>
    </w:p>
    <w:p w14:paraId="7DDA7ABA" w14:textId="77777777" w:rsidR="0039793A" w:rsidRPr="00C53BEE" w:rsidRDefault="0039793A" w:rsidP="0039793A">
      <w:pPr>
        <w:ind w:left="540" w:hanging="540"/>
        <w:jc w:val="both"/>
        <w:rPr>
          <w:iCs/>
          <w:sz w:val="24"/>
        </w:rPr>
      </w:pPr>
      <w:r w:rsidRPr="00C53BEE">
        <w:rPr>
          <w:sz w:val="24"/>
        </w:rPr>
        <w:t>US Chamher of Commerce</w:t>
      </w:r>
      <w:r w:rsidRPr="00C53BEE">
        <w:rPr>
          <w:i/>
          <w:iCs/>
          <w:sz w:val="24"/>
        </w:rPr>
        <w:t xml:space="preserve"> : </w:t>
      </w:r>
      <w:r w:rsidRPr="00C53BEE">
        <w:rPr>
          <w:iCs/>
          <w:sz w:val="24"/>
        </w:rPr>
        <w:t>323, 329, 338.</w:t>
      </w:r>
    </w:p>
    <w:p w14:paraId="41A32CD4" w14:textId="77777777" w:rsidR="0039793A" w:rsidRPr="00C53BEE" w:rsidRDefault="0039793A" w:rsidP="0039793A">
      <w:pPr>
        <w:ind w:left="540" w:hanging="540"/>
        <w:jc w:val="both"/>
        <w:rPr>
          <w:sz w:val="24"/>
        </w:rPr>
      </w:pPr>
      <w:r w:rsidRPr="00C53BEE">
        <w:rPr>
          <w:sz w:val="24"/>
        </w:rPr>
        <w:t>USA Patriot Act</w:t>
      </w:r>
      <w:r w:rsidRPr="00C53BEE">
        <w:rPr>
          <w:i/>
          <w:iCs/>
          <w:sz w:val="24"/>
        </w:rPr>
        <w:t xml:space="preserve"> : </w:t>
      </w:r>
      <w:r w:rsidRPr="00C53BEE">
        <w:rPr>
          <w:iCs/>
          <w:sz w:val="24"/>
        </w:rPr>
        <w:t>348</w:t>
      </w:r>
      <w:r w:rsidRPr="00C53BEE">
        <w:rPr>
          <w:i/>
          <w:iCs/>
          <w:sz w:val="24"/>
        </w:rPr>
        <w:t>.</w:t>
      </w:r>
    </w:p>
    <w:p w14:paraId="2BFB9337" w14:textId="77777777" w:rsidR="0039793A" w:rsidRPr="00C53BEE" w:rsidRDefault="0039793A" w:rsidP="0039793A">
      <w:pPr>
        <w:ind w:left="540" w:hanging="540"/>
        <w:jc w:val="both"/>
        <w:rPr>
          <w:sz w:val="24"/>
        </w:rPr>
      </w:pPr>
      <w:r w:rsidRPr="00C53BEE">
        <w:rPr>
          <w:i/>
          <w:sz w:val="24"/>
        </w:rPr>
        <w:t>USA</w:t>
      </w:r>
      <w:r w:rsidRPr="00C53BEE">
        <w:rPr>
          <w:sz w:val="24"/>
        </w:rPr>
        <w:t xml:space="preserve"> </w:t>
      </w:r>
      <w:r w:rsidRPr="00C53BEE">
        <w:rPr>
          <w:i/>
          <w:iCs/>
          <w:sz w:val="24"/>
        </w:rPr>
        <w:t>Today</w:t>
      </w:r>
      <w:r w:rsidRPr="00C53BEE">
        <w:rPr>
          <w:sz w:val="24"/>
        </w:rPr>
        <w:t> : 305.</w:t>
      </w:r>
    </w:p>
    <w:p w14:paraId="6D4B626B" w14:textId="77777777" w:rsidR="0039793A" w:rsidRPr="00C53BEE" w:rsidRDefault="0039793A" w:rsidP="0039793A">
      <w:pPr>
        <w:ind w:left="540" w:hanging="540"/>
        <w:jc w:val="both"/>
        <w:rPr>
          <w:sz w:val="24"/>
        </w:rPr>
      </w:pPr>
      <w:r w:rsidRPr="00C53BEE">
        <w:rPr>
          <w:i/>
          <w:sz w:val="24"/>
        </w:rPr>
        <w:t>USA*Engage </w:t>
      </w:r>
      <w:r w:rsidRPr="00C53BEE">
        <w:rPr>
          <w:sz w:val="24"/>
        </w:rPr>
        <w:t>: 338-339.</w:t>
      </w:r>
    </w:p>
    <w:p w14:paraId="000BA0FB" w14:textId="77777777" w:rsidR="0039793A" w:rsidRPr="00C53BEE" w:rsidRDefault="0039793A" w:rsidP="0039793A">
      <w:pPr>
        <w:ind w:left="540" w:hanging="540"/>
        <w:jc w:val="both"/>
        <w:rPr>
          <w:sz w:val="24"/>
        </w:rPr>
      </w:pPr>
      <w:r w:rsidRPr="00C53BEE">
        <w:rPr>
          <w:sz w:val="24"/>
        </w:rPr>
        <w:t>Usage de la force : 32, 37, 71, 85, 87, 148, 157, 258, 301, 346, 348.</w:t>
      </w:r>
    </w:p>
    <w:p w14:paraId="592B6545" w14:textId="77777777" w:rsidR="0039793A" w:rsidRPr="00C53BEE" w:rsidRDefault="0039793A" w:rsidP="0039793A">
      <w:pPr>
        <w:ind w:left="540" w:hanging="540"/>
        <w:jc w:val="both"/>
        <w:rPr>
          <w:sz w:val="24"/>
        </w:rPr>
      </w:pPr>
      <w:r w:rsidRPr="00C53BEE">
        <w:rPr>
          <w:caps/>
          <w:sz w:val="24"/>
        </w:rPr>
        <w:t>usaid </w:t>
      </w:r>
      <w:r w:rsidRPr="00C53BEE">
        <w:rPr>
          <w:smallCaps/>
          <w:sz w:val="24"/>
        </w:rPr>
        <w:t>:</w:t>
      </w:r>
      <w:r w:rsidRPr="00C53BEE">
        <w:rPr>
          <w:sz w:val="24"/>
        </w:rPr>
        <w:t xml:space="preserve"> 182, 262, 274, 277.</w:t>
      </w:r>
    </w:p>
    <w:p w14:paraId="70D8E8B9" w14:textId="77777777" w:rsidR="0039793A" w:rsidRPr="00C53BEE" w:rsidRDefault="0039793A" w:rsidP="0039793A">
      <w:pPr>
        <w:ind w:left="540" w:hanging="540"/>
        <w:jc w:val="both"/>
        <w:rPr>
          <w:sz w:val="24"/>
        </w:rPr>
      </w:pPr>
      <w:r w:rsidRPr="00C53BEE">
        <w:rPr>
          <w:i/>
          <w:iCs/>
          <w:sz w:val="24"/>
        </w:rPr>
        <w:t>USIA (</w:t>
      </w:r>
      <w:r w:rsidRPr="00C53BEE">
        <w:rPr>
          <w:sz w:val="24"/>
        </w:rPr>
        <w:t>United States Information Agency</w:t>
      </w:r>
      <w:r w:rsidRPr="00C53BEE">
        <w:rPr>
          <w:i/>
          <w:iCs/>
          <w:sz w:val="24"/>
        </w:rPr>
        <w:t xml:space="preserve">) : </w:t>
      </w:r>
      <w:r w:rsidRPr="00C53BEE">
        <w:rPr>
          <w:iCs/>
          <w:sz w:val="24"/>
        </w:rPr>
        <w:t>182, 262,</w:t>
      </w:r>
      <w:r>
        <w:rPr>
          <w:iCs/>
          <w:sz w:val="24"/>
        </w:rPr>
        <w:t xml:space="preserve"> </w:t>
      </w:r>
      <w:r w:rsidRPr="00C53BEE">
        <w:rPr>
          <w:iCs/>
          <w:sz w:val="24"/>
        </w:rPr>
        <w:t>277.</w:t>
      </w:r>
    </w:p>
    <w:p w14:paraId="4C64F4D2" w14:textId="77777777" w:rsidR="0039793A" w:rsidRPr="00C53BEE" w:rsidRDefault="0039793A" w:rsidP="0039793A">
      <w:pPr>
        <w:ind w:left="540" w:hanging="540"/>
        <w:jc w:val="both"/>
        <w:rPr>
          <w:sz w:val="24"/>
        </w:rPr>
      </w:pPr>
      <w:r w:rsidRPr="00C53BEE">
        <w:rPr>
          <w:sz w:val="24"/>
        </w:rPr>
        <w:t>Utopisme : 123, 125.</w:t>
      </w:r>
    </w:p>
    <w:p w14:paraId="5811009E" w14:textId="77777777" w:rsidR="0039793A" w:rsidRPr="00C53BEE" w:rsidRDefault="0039793A" w:rsidP="0039793A">
      <w:pPr>
        <w:ind w:left="540" w:hanging="540"/>
        <w:jc w:val="both"/>
        <w:rPr>
          <w:sz w:val="24"/>
        </w:rPr>
      </w:pPr>
    </w:p>
    <w:p w14:paraId="1F518F8F" w14:textId="77777777" w:rsidR="0039793A" w:rsidRPr="00C53BEE" w:rsidRDefault="0039793A" w:rsidP="0039793A">
      <w:pPr>
        <w:ind w:left="540" w:hanging="540"/>
        <w:jc w:val="both"/>
        <w:rPr>
          <w:sz w:val="24"/>
        </w:rPr>
      </w:pPr>
      <w:r w:rsidRPr="00C53BEE">
        <w:rPr>
          <w:sz w:val="24"/>
        </w:rPr>
        <w:t>Vacance du pouvoir : 15, 262.</w:t>
      </w:r>
    </w:p>
    <w:p w14:paraId="16FD127B" w14:textId="77777777" w:rsidR="0039793A" w:rsidRPr="00C53BEE" w:rsidRDefault="0039793A" w:rsidP="0039793A">
      <w:pPr>
        <w:ind w:left="540" w:hanging="540"/>
        <w:jc w:val="both"/>
        <w:rPr>
          <w:sz w:val="24"/>
        </w:rPr>
      </w:pPr>
      <w:r w:rsidRPr="00C53BEE">
        <w:rPr>
          <w:sz w:val="24"/>
        </w:rPr>
        <w:t>Valeurs américaines : 79.</w:t>
      </w:r>
    </w:p>
    <w:p w14:paraId="05BAAEA3" w14:textId="77777777" w:rsidR="0039793A" w:rsidRPr="00C53BEE" w:rsidRDefault="0039793A" w:rsidP="0039793A">
      <w:pPr>
        <w:ind w:left="540" w:hanging="540"/>
        <w:jc w:val="both"/>
        <w:rPr>
          <w:sz w:val="24"/>
        </w:rPr>
      </w:pPr>
      <w:r w:rsidRPr="00C53BEE">
        <w:rPr>
          <w:sz w:val="24"/>
        </w:rPr>
        <w:t>Veto</w:t>
      </w:r>
    </w:p>
    <w:p w14:paraId="65CA4E4C" w14:textId="77777777" w:rsidR="0039793A" w:rsidRPr="00C53BEE" w:rsidRDefault="0039793A" w:rsidP="0039793A">
      <w:pPr>
        <w:pStyle w:val="i2"/>
      </w:pPr>
      <w:r w:rsidRPr="00C53BEE">
        <w:t xml:space="preserve">- législatif : 154, 257, 267. </w:t>
      </w:r>
    </w:p>
    <w:p w14:paraId="1D2AA476" w14:textId="77777777" w:rsidR="0039793A" w:rsidRPr="00C53BEE" w:rsidRDefault="0039793A" w:rsidP="0039793A">
      <w:pPr>
        <w:pStyle w:val="i2"/>
      </w:pPr>
      <w:r w:rsidRPr="00C53BEE">
        <w:t>- présidentiel : 25, 33, 153, 251, 257, 264, 279, 338.</w:t>
      </w:r>
    </w:p>
    <w:p w14:paraId="07F3F719" w14:textId="77777777" w:rsidR="0039793A" w:rsidRPr="00C53BEE" w:rsidRDefault="0039793A" w:rsidP="0039793A">
      <w:pPr>
        <w:ind w:left="540" w:hanging="540"/>
        <w:jc w:val="both"/>
        <w:rPr>
          <w:sz w:val="24"/>
        </w:rPr>
      </w:pPr>
      <w:r w:rsidRPr="00C53BEE">
        <w:rPr>
          <w:sz w:val="24"/>
        </w:rPr>
        <w:t>Vice-président : 15, 53, 68, 146, 216, 244, 280.</w:t>
      </w:r>
    </w:p>
    <w:p w14:paraId="355B1E59" w14:textId="77777777" w:rsidR="0039793A" w:rsidRPr="00C53BEE" w:rsidRDefault="0039793A" w:rsidP="0039793A">
      <w:pPr>
        <w:ind w:left="540" w:hanging="540"/>
        <w:jc w:val="both"/>
        <w:rPr>
          <w:sz w:val="24"/>
        </w:rPr>
      </w:pPr>
      <w:r w:rsidRPr="00C53BEE">
        <w:rPr>
          <w:sz w:val="24"/>
        </w:rPr>
        <w:t>Vie privée : 15.</w:t>
      </w:r>
    </w:p>
    <w:p w14:paraId="03A812E1" w14:textId="77777777" w:rsidR="0039793A" w:rsidRPr="00C53BEE" w:rsidRDefault="0039793A" w:rsidP="0039793A">
      <w:pPr>
        <w:ind w:left="540" w:hanging="540"/>
        <w:jc w:val="both"/>
        <w:rPr>
          <w:sz w:val="24"/>
        </w:rPr>
      </w:pPr>
      <w:r w:rsidRPr="00C53BEE">
        <w:rPr>
          <w:sz w:val="24"/>
        </w:rPr>
        <w:t>Vietcong : 307.</w:t>
      </w:r>
    </w:p>
    <w:p w14:paraId="61E8ED58" w14:textId="77777777" w:rsidR="0039793A" w:rsidRPr="00C53BEE" w:rsidRDefault="0039793A" w:rsidP="0039793A">
      <w:pPr>
        <w:ind w:left="540" w:hanging="540"/>
        <w:jc w:val="both"/>
        <w:rPr>
          <w:sz w:val="24"/>
        </w:rPr>
      </w:pPr>
      <w:r w:rsidRPr="00C53BEE">
        <w:rPr>
          <w:sz w:val="24"/>
        </w:rPr>
        <w:t>Vietnam : 30, 32, 35, 49-50, 64-68, 87, 95,137-139, 148, 150, 156, 158, 161, 169, 174, 200, 228, 236-238, 248, 251, 259, 261, 279, 286, 300, 302, 306-307, 312, 314.</w:t>
      </w:r>
    </w:p>
    <w:p w14:paraId="3FE63E3B" w14:textId="77777777" w:rsidR="0039793A" w:rsidRPr="00C53BEE" w:rsidRDefault="0039793A" w:rsidP="0039793A">
      <w:pPr>
        <w:ind w:left="540" w:hanging="540"/>
        <w:jc w:val="both"/>
        <w:rPr>
          <w:sz w:val="24"/>
        </w:rPr>
      </w:pPr>
      <w:r w:rsidRPr="00C53BEE">
        <w:rPr>
          <w:sz w:val="24"/>
        </w:rPr>
        <w:t>Virginie : 298.</w:t>
      </w:r>
    </w:p>
    <w:p w14:paraId="7EEE4189" w14:textId="77777777" w:rsidR="0039793A" w:rsidRPr="00C53BEE" w:rsidRDefault="0039793A" w:rsidP="0039793A">
      <w:pPr>
        <w:ind w:left="540" w:hanging="540"/>
        <w:jc w:val="both"/>
        <w:rPr>
          <w:sz w:val="24"/>
        </w:rPr>
      </w:pPr>
    </w:p>
    <w:p w14:paraId="15551863" w14:textId="77777777" w:rsidR="0039793A" w:rsidRPr="00C53BEE" w:rsidRDefault="0039793A" w:rsidP="0039793A">
      <w:pPr>
        <w:ind w:left="540" w:hanging="540"/>
        <w:jc w:val="both"/>
        <w:rPr>
          <w:sz w:val="24"/>
        </w:rPr>
      </w:pPr>
      <w:r w:rsidRPr="00C53BEE">
        <w:rPr>
          <w:i/>
          <w:iCs/>
          <w:sz w:val="24"/>
        </w:rPr>
        <w:t>Wall Street Journal</w:t>
      </w:r>
      <w:r w:rsidRPr="00C53BEE">
        <w:rPr>
          <w:rStyle w:val="Corpsdutexte108ptNonItalique"/>
          <w:sz w:val="24"/>
        </w:rPr>
        <w:t> </w:t>
      </w:r>
      <w:r w:rsidRPr="00C53BEE">
        <w:rPr>
          <w:iCs/>
          <w:sz w:val="24"/>
        </w:rPr>
        <w:t>: 290, 304, 322.</w:t>
      </w:r>
    </w:p>
    <w:p w14:paraId="7C954BED" w14:textId="77777777" w:rsidR="0039793A" w:rsidRPr="00C53BEE" w:rsidRDefault="0039793A" w:rsidP="0039793A">
      <w:pPr>
        <w:ind w:left="540" w:hanging="540"/>
        <w:jc w:val="both"/>
        <w:rPr>
          <w:sz w:val="24"/>
        </w:rPr>
      </w:pPr>
      <w:r w:rsidRPr="00C53BEE">
        <w:rPr>
          <w:i/>
          <w:iCs/>
          <w:sz w:val="24"/>
        </w:rPr>
        <w:t>Washington Post</w:t>
      </w:r>
      <w:r w:rsidRPr="00C53BEE">
        <w:rPr>
          <w:rStyle w:val="Corpsdutexte108ptNonItalique"/>
          <w:sz w:val="24"/>
        </w:rPr>
        <w:t> </w:t>
      </w:r>
      <w:r w:rsidRPr="00C53BEE">
        <w:rPr>
          <w:sz w:val="24"/>
        </w:rPr>
        <w:t>: 304, 322.</w:t>
      </w:r>
    </w:p>
    <w:p w14:paraId="068ECB9F" w14:textId="77777777" w:rsidR="0039793A" w:rsidRPr="00C53BEE" w:rsidRDefault="0039793A" w:rsidP="0039793A">
      <w:pPr>
        <w:ind w:left="540" w:hanging="540"/>
        <w:jc w:val="both"/>
        <w:rPr>
          <w:sz w:val="24"/>
        </w:rPr>
      </w:pPr>
      <w:r w:rsidRPr="00C53BEE">
        <w:rPr>
          <w:caps/>
          <w:sz w:val="24"/>
        </w:rPr>
        <w:t>wasp </w:t>
      </w:r>
      <w:r w:rsidRPr="00C53BEE">
        <w:rPr>
          <w:smallCaps/>
          <w:sz w:val="24"/>
        </w:rPr>
        <w:t xml:space="preserve">: </w:t>
      </w:r>
      <w:r w:rsidRPr="00C53BEE">
        <w:rPr>
          <w:sz w:val="24"/>
        </w:rPr>
        <w:t>326, 343-</w:t>
      </w:r>
    </w:p>
    <w:p w14:paraId="2F264471" w14:textId="77777777" w:rsidR="0039793A" w:rsidRPr="00C53BEE" w:rsidRDefault="0039793A" w:rsidP="0039793A">
      <w:pPr>
        <w:ind w:left="540" w:hanging="540"/>
        <w:jc w:val="both"/>
        <w:rPr>
          <w:sz w:val="24"/>
        </w:rPr>
      </w:pPr>
      <w:r w:rsidRPr="00C53BEE">
        <w:rPr>
          <w:i/>
          <w:iCs/>
          <w:sz w:val="24"/>
        </w:rPr>
        <w:t>Watergate</w:t>
      </w:r>
      <w:r w:rsidRPr="00C53BEE">
        <w:rPr>
          <w:sz w:val="24"/>
        </w:rPr>
        <w:t> : 253, 286.</w:t>
      </w:r>
    </w:p>
    <w:p w14:paraId="6A1C66EF" w14:textId="77777777" w:rsidR="0039793A" w:rsidRPr="00C53BEE" w:rsidRDefault="0039793A" w:rsidP="0039793A">
      <w:pPr>
        <w:ind w:left="540" w:hanging="540"/>
        <w:jc w:val="both"/>
        <w:rPr>
          <w:sz w:val="24"/>
        </w:rPr>
      </w:pPr>
      <w:r w:rsidRPr="00C53BEE">
        <w:rPr>
          <w:i/>
          <w:iCs/>
          <w:sz w:val="24"/>
        </w:rPr>
        <w:t>Whip</w:t>
      </w:r>
      <w:r w:rsidRPr="00C53BEE">
        <w:rPr>
          <w:sz w:val="24"/>
        </w:rPr>
        <w:t> : 280.</w:t>
      </w:r>
    </w:p>
    <w:p w14:paraId="5EA5CE64" w14:textId="77777777" w:rsidR="0039793A" w:rsidRPr="00C53BEE" w:rsidRDefault="0039793A" w:rsidP="0039793A">
      <w:pPr>
        <w:ind w:left="540" w:hanging="540"/>
        <w:jc w:val="both"/>
        <w:rPr>
          <w:sz w:val="24"/>
        </w:rPr>
      </w:pPr>
      <w:r w:rsidRPr="00C53BEE">
        <w:rPr>
          <w:sz w:val="24"/>
        </w:rPr>
        <w:t>Wise Men Group</w:t>
      </w:r>
      <w:r w:rsidRPr="00C53BEE">
        <w:rPr>
          <w:i/>
          <w:iCs/>
          <w:sz w:val="24"/>
        </w:rPr>
        <w:t xml:space="preserve"> : </w:t>
      </w:r>
      <w:r w:rsidRPr="00C53BEE">
        <w:rPr>
          <w:iCs/>
          <w:sz w:val="24"/>
        </w:rPr>
        <w:t>236</w:t>
      </w:r>
      <w:r w:rsidRPr="00C53BEE">
        <w:rPr>
          <w:i/>
          <w:iCs/>
          <w:sz w:val="24"/>
        </w:rPr>
        <w:t>.</w:t>
      </w:r>
    </w:p>
    <w:p w14:paraId="19EBBDEE" w14:textId="77777777" w:rsidR="0039793A" w:rsidRPr="00C53BEE" w:rsidRDefault="0039793A" w:rsidP="0039793A">
      <w:pPr>
        <w:ind w:left="540" w:hanging="540"/>
        <w:jc w:val="both"/>
        <w:rPr>
          <w:sz w:val="24"/>
        </w:rPr>
      </w:pPr>
      <w:r w:rsidRPr="00C53BEE">
        <w:rPr>
          <w:sz w:val="24"/>
        </w:rPr>
        <w:t>Woodrow Wilson International Center for Scholars :</w:t>
      </w:r>
      <w:r w:rsidRPr="00C53BEE">
        <w:rPr>
          <w:i/>
          <w:iCs/>
          <w:sz w:val="24"/>
        </w:rPr>
        <w:t xml:space="preserve"> </w:t>
      </w:r>
      <w:r w:rsidRPr="00C53BEE">
        <w:rPr>
          <w:iCs/>
          <w:sz w:val="24"/>
        </w:rPr>
        <w:t>319.</w:t>
      </w:r>
    </w:p>
    <w:p w14:paraId="03E200A6" w14:textId="77777777" w:rsidR="0039793A" w:rsidRPr="00C53BEE" w:rsidRDefault="0039793A" w:rsidP="0039793A">
      <w:pPr>
        <w:ind w:left="540" w:hanging="540"/>
        <w:jc w:val="both"/>
        <w:rPr>
          <w:iCs/>
          <w:sz w:val="24"/>
        </w:rPr>
      </w:pPr>
      <w:r w:rsidRPr="00C53BEE">
        <w:rPr>
          <w:sz w:val="24"/>
        </w:rPr>
        <w:t>Worldwatch Institute</w:t>
      </w:r>
      <w:r w:rsidRPr="00C53BEE">
        <w:rPr>
          <w:i/>
          <w:iCs/>
          <w:sz w:val="24"/>
        </w:rPr>
        <w:t xml:space="preserve"> : </w:t>
      </w:r>
      <w:r w:rsidRPr="00C53BEE">
        <w:rPr>
          <w:iCs/>
          <w:sz w:val="24"/>
        </w:rPr>
        <w:t>324.</w:t>
      </w:r>
    </w:p>
    <w:p w14:paraId="103F81BA" w14:textId="77777777" w:rsidR="0039793A" w:rsidRPr="00C53BEE" w:rsidRDefault="0039793A" w:rsidP="0039793A">
      <w:pPr>
        <w:ind w:left="540" w:hanging="540"/>
        <w:jc w:val="both"/>
        <w:rPr>
          <w:sz w:val="24"/>
        </w:rPr>
      </w:pPr>
    </w:p>
    <w:p w14:paraId="6F60707E" w14:textId="77777777" w:rsidR="0039793A" w:rsidRPr="00C53BEE" w:rsidRDefault="0039793A" w:rsidP="0039793A">
      <w:pPr>
        <w:ind w:left="540" w:hanging="540"/>
        <w:jc w:val="both"/>
        <w:rPr>
          <w:sz w:val="24"/>
        </w:rPr>
      </w:pPr>
      <w:r w:rsidRPr="00C53BEE">
        <w:rPr>
          <w:sz w:val="24"/>
        </w:rPr>
        <w:t>Yémen : 123.</w:t>
      </w:r>
    </w:p>
    <w:p w14:paraId="61C88D41" w14:textId="77777777" w:rsidR="0039793A" w:rsidRPr="00C53BEE" w:rsidRDefault="0039793A" w:rsidP="0039793A">
      <w:pPr>
        <w:ind w:left="540" w:hanging="540"/>
        <w:jc w:val="both"/>
        <w:rPr>
          <w:sz w:val="24"/>
        </w:rPr>
      </w:pPr>
      <w:r w:rsidRPr="00C53BEE">
        <w:rPr>
          <w:sz w:val="24"/>
        </w:rPr>
        <w:t>Yougoslavie : 97-98, 151, 242, 266.</w:t>
      </w:r>
    </w:p>
    <w:p w14:paraId="65DFDDA3" w14:textId="77777777" w:rsidR="0039793A" w:rsidRPr="00C53BEE" w:rsidRDefault="0039793A" w:rsidP="0039793A">
      <w:pPr>
        <w:ind w:left="540" w:hanging="540"/>
        <w:jc w:val="both"/>
        <w:rPr>
          <w:sz w:val="24"/>
        </w:rPr>
      </w:pPr>
      <w:r w:rsidRPr="00C53BEE">
        <w:rPr>
          <w:sz w:val="24"/>
        </w:rPr>
        <w:t>11 septembre 2001 : 31, 35, 50, 65, 102, 103, 106, 112-113, 121, 122, 125- 126, 133, 146, 156, 174, 178, 193, 200-201, 203, 248, 253, 255, 258, 279, 283, 287, 290-291, 293-295, 303, 305, 307, 315, 345-346, 347-350.</w:t>
      </w:r>
    </w:p>
    <w:p w14:paraId="5846AD0D" w14:textId="77777777" w:rsidR="0039793A" w:rsidRPr="00C53BEE" w:rsidRDefault="0039793A" w:rsidP="0039793A">
      <w:pPr>
        <w:spacing w:before="120" w:after="120"/>
        <w:jc w:val="both"/>
        <w:rPr>
          <w:sz w:val="24"/>
        </w:rPr>
      </w:pPr>
    </w:p>
    <w:p w14:paraId="2A69A8B6" w14:textId="77777777" w:rsidR="0039793A" w:rsidRPr="00253D98" w:rsidRDefault="0039793A" w:rsidP="0039793A">
      <w:pPr>
        <w:spacing w:before="120" w:after="120"/>
        <w:jc w:val="both"/>
      </w:pPr>
    </w:p>
    <w:p w14:paraId="327A118E" w14:textId="77777777" w:rsidR="0039793A" w:rsidRDefault="0039793A" w:rsidP="0039793A">
      <w:pPr>
        <w:spacing w:before="120" w:after="120"/>
        <w:jc w:val="both"/>
      </w:pPr>
      <w:r w:rsidRPr="00253D98">
        <w:br w:type="page"/>
      </w:r>
    </w:p>
    <w:p w14:paraId="10003A59" w14:textId="77777777" w:rsidR="0039793A" w:rsidRDefault="0039793A" w:rsidP="0039793A">
      <w:pPr>
        <w:spacing w:before="120" w:after="120"/>
        <w:jc w:val="both"/>
      </w:pPr>
    </w:p>
    <w:p w14:paraId="73CB1FED" w14:textId="77777777" w:rsidR="0039793A" w:rsidRDefault="0039793A" w:rsidP="0039793A">
      <w:pPr>
        <w:spacing w:before="120" w:after="120"/>
        <w:ind w:firstLine="0"/>
        <w:jc w:val="center"/>
        <w:rPr>
          <w:i/>
          <w:iCs/>
        </w:rPr>
      </w:pPr>
      <w:r>
        <w:rPr>
          <w:i/>
          <w:iCs/>
        </w:rPr>
        <w:t>Transcodé et achevé d’imprimer</w:t>
      </w:r>
    </w:p>
    <w:p w14:paraId="5294BEC2" w14:textId="77777777" w:rsidR="0039793A" w:rsidRDefault="0039793A" w:rsidP="0039793A">
      <w:pPr>
        <w:spacing w:before="120" w:after="120"/>
        <w:ind w:firstLine="0"/>
        <w:jc w:val="center"/>
        <w:rPr>
          <w:i/>
          <w:iCs/>
        </w:rPr>
      </w:pPr>
      <w:r>
        <w:rPr>
          <w:i/>
          <w:iCs/>
        </w:rPr>
        <w:t>par l’Imprimerie Floch</w:t>
      </w:r>
    </w:p>
    <w:p w14:paraId="2F66F577" w14:textId="77777777" w:rsidR="0039793A" w:rsidRPr="00870AF0" w:rsidRDefault="0039793A" w:rsidP="0039793A">
      <w:pPr>
        <w:spacing w:before="120" w:after="120"/>
        <w:ind w:firstLine="0"/>
        <w:jc w:val="center"/>
        <w:rPr>
          <w:i/>
          <w:iCs/>
        </w:rPr>
      </w:pPr>
      <w:r w:rsidRPr="00870AF0">
        <w:rPr>
          <w:i/>
          <w:iCs/>
        </w:rPr>
        <w:t>à Maye</w:t>
      </w:r>
      <w:r w:rsidRPr="00870AF0">
        <w:rPr>
          <w:i/>
          <w:iCs/>
        </w:rPr>
        <w:t>n</w:t>
      </w:r>
      <w:r w:rsidRPr="00870AF0">
        <w:rPr>
          <w:i/>
          <w:iCs/>
        </w:rPr>
        <w:t>ne, en juillet 2003.</w:t>
      </w:r>
    </w:p>
    <w:p w14:paraId="1BE399AB" w14:textId="77777777" w:rsidR="0039793A" w:rsidRDefault="0039793A" w:rsidP="0039793A">
      <w:pPr>
        <w:spacing w:before="120" w:after="120"/>
        <w:ind w:firstLine="0"/>
        <w:jc w:val="center"/>
        <w:rPr>
          <w:i/>
          <w:iCs/>
        </w:rPr>
      </w:pPr>
      <w:r w:rsidRPr="00870AF0">
        <w:rPr>
          <w:i/>
          <w:iCs/>
        </w:rPr>
        <w:t>Dépôt légal : juillet 2003.</w:t>
      </w:r>
    </w:p>
    <w:p w14:paraId="058AFAE2" w14:textId="77777777" w:rsidR="0039793A" w:rsidRDefault="0039793A" w:rsidP="0039793A">
      <w:pPr>
        <w:spacing w:before="120" w:after="120"/>
        <w:ind w:firstLine="0"/>
        <w:jc w:val="center"/>
        <w:rPr>
          <w:i/>
          <w:iCs/>
        </w:rPr>
      </w:pPr>
      <w:r w:rsidRPr="00870AF0">
        <w:rPr>
          <w:i/>
          <w:iCs/>
        </w:rPr>
        <w:t>Numéro d’imprimeur : 37393.</w:t>
      </w:r>
    </w:p>
    <w:p w14:paraId="3FC767B3" w14:textId="77777777" w:rsidR="0039793A" w:rsidRPr="00870AF0" w:rsidRDefault="0039793A" w:rsidP="0039793A">
      <w:pPr>
        <w:spacing w:before="120" w:after="120"/>
        <w:ind w:firstLine="0"/>
        <w:jc w:val="center"/>
        <w:rPr>
          <w:i/>
          <w:iCs/>
        </w:rPr>
      </w:pPr>
      <w:r w:rsidRPr="00870AF0">
        <w:rPr>
          <w:i/>
          <w:iCs/>
        </w:rPr>
        <w:t>Imprimé en France.</w:t>
      </w:r>
    </w:p>
    <w:p w14:paraId="5FE20F53" w14:textId="77777777" w:rsidR="0039793A" w:rsidRPr="00C30976" w:rsidRDefault="0039793A" w:rsidP="0039793A">
      <w:pPr>
        <w:spacing w:before="120" w:after="120"/>
        <w:jc w:val="both"/>
      </w:pPr>
    </w:p>
    <w:p w14:paraId="7E72C00F" w14:textId="77777777" w:rsidR="0039793A" w:rsidRPr="00E07116" w:rsidRDefault="0039793A">
      <w:pPr>
        <w:jc w:val="both"/>
      </w:pPr>
    </w:p>
    <w:sectPr w:rsidR="0039793A" w:rsidRPr="00E07116" w:rsidSect="0039793A">
      <w:type w:val="continuous"/>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0ABD" w14:textId="77777777" w:rsidR="00540BA1" w:rsidRDefault="00540BA1">
      <w:r>
        <w:separator/>
      </w:r>
    </w:p>
  </w:endnote>
  <w:endnote w:type="continuationSeparator" w:id="0">
    <w:p w14:paraId="580B60EC" w14:textId="77777777" w:rsidR="00540BA1" w:rsidRDefault="0054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012B" w14:textId="77777777" w:rsidR="00540BA1" w:rsidRDefault="00540BA1">
      <w:pPr>
        <w:ind w:firstLine="0"/>
      </w:pPr>
      <w:r>
        <w:separator/>
      </w:r>
    </w:p>
  </w:footnote>
  <w:footnote w:type="continuationSeparator" w:id="0">
    <w:p w14:paraId="636B7B16" w14:textId="77777777" w:rsidR="00540BA1" w:rsidRDefault="00540BA1">
      <w:pPr>
        <w:ind w:firstLine="0"/>
      </w:pPr>
      <w:r>
        <w:separator/>
      </w:r>
    </w:p>
  </w:footnote>
  <w:footnote w:id="1">
    <w:p w14:paraId="7D74F0FB" w14:textId="77777777" w:rsidR="0039793A" w:rsidRDefault="0039793A">
      <w:pPr>
        <w:pStyle w:val="Notedebasdepage"/>
      </w:pPr>
      <w:r>
        <w:rPr>
          <w:rStyle w:val="Appelnotedebasdep"/>
        </w:rPr>
        <w:footnoteRef/>
      </w:r>
      <w:r>
        <w:t xml:space="preserve"> </w:t>
      </w:r>
      <w:r>
        <w:tab/>
      </w:r>
      <w:r>
        <w:rPr>
          <w:lang w:val="fr-FR" w:eastAsia="fr-FR" w:bidi="fr-FR"/>
        </w:rPr>
        <w:t xml:space="preserve">Voir en particulier les manuels de Howard Wiarda, </w:t>
      </w:r>
      <w:r w:rsidRPr="00952F50">
        <w:rPr>
          <w:i/>
          <w:iCs/>
        </w:rPr>
        <w:t>American Foreign Pol</w:t>
      </w:r>
      <w:r w:rsidRPr="00952F50">
        <w:rPr>
          <w:i/>
          <w:iCs/>
        </w:rPr>
        <w:t>i</w:t>
      </w:r>
      <w:r w:rsidRPr="00952F50">
        <w:rPr>
          <w:i/>
          <w:iCs/>
        </w:rPr>
        <w:t>cy : Actors and Processes</w:t>
      </w:r>
      <w:r>
        <w:t>,</w:t>
      </w:r>
      <w:r>
        <w:rPr>
          <w:lang w:val="fr-FR" w:eastAsia="fr-FR" w:bidi="fr-FR"/>
        </w:rPr>
        <w:t xml:space="preserve"> New York, Harper Collins, 1996</w:t>
      </w:r>
      <w:r>
        <w:t> ;</w:t>
      </w:r>
      <w:r>
        <w:rPr>
          <w:lang w:val="fr-FR" w:eastAsia="fr-FR" w:bidi="fr-FR"/>
        </w:rPr>
        <w:t xml:space="preserve"> Bruce Jentl</w:t>
      </w:r>
      <w:r>
        <w:rPr>
          <w:lang w:val="fr-FR" w:eastAsia="fr-FR" w:bidi="fr-FR"/>
        </w:rPr>
        <w:t>e</w:t>
      </w:r>
      <w:r>
        <w:rPr>
          <w:lang w:val="fr-FR" w:eastAsia="fr-FR" w:bidi="fr-FR"/>
        </w:rPr>
        <w:t xml:space="preserve">son, </w:t>
      </w:r>
      <w:r w:rsidRPr="00952F50">
        <w:rPr>
          <w:i/>
          <w:iCs/>
        </w:rPr>
        <w:t>American Foreign Policy. The D</w:t>
      </w:r>
      <w:r w:rsidRPr="00952F50">
        <w:rPr>
          <w:i/>
          <w:iCs/>
        </w:rPr>
        <w:t>y</w:t>
      </w:r>
      <w:r w:rsidRPr="00952F50">
        <w:rPr>
          <w:i/>
          <w:iCs/>
        </w:rPr>
        <w:t>namics of Choice in the 21st Century</w:t>
      </w:r>
      <w:r>
        <w:t>,</w:t>
      </w:r>
      <w:r>
        <w:rPr>
          <w:lang w:val="fr-FR" w:eastAsia="fr-FR" w:bidi="fr-FR"/>
        </w:rPr>
        <w:t xml:space="preserve"> New York, Norton, 2000</w:t>
      </w:r>
      <w:r>
        <w:t> ;</w:t>
      </w:r>
      <w:r>
        <w:rPr>
          <w:lang w:val="fr-FR" w:eastAsia="fr-FR" w:bidi="fr-FR"/>
        </w:rPr>
        <w:t xml:space="preserve"> Jerel Rosati, </w:t>
      </w:r>
      <w:r w:rsidRPr="00952F50">
        <w:rPr>
          <w:i/>
          <w:iCs/>
        </w:rPr>
        <w:t>The Politics of United States F</w:t>
      </w:r>
      <w:r w:rsidRPr="00952F50">
        <w:rPr>
          <w:i/>
          <w:iCs/>
        </w:rPr>
        <w:t>o</w:t>
      </w:r>
      <w:r w:rsidRPr="00952F50">
        <w:rPr>
          <w:i/>
          <w:iCs/>
        </w:rPr>
        <w:t>reign Policy</w:t>
      </w:r>
      <w:r>
        <w:rPr>
          <w:lang w:val="fr-FR" w:eastAsia="fr-FR" w:bidi="fr-FR"/>
        </w:rPr>
        <w:t>, New York, Harcourt Brace Jovanovich, 1993</w:t>
      </w:r>
      <w:r>
        <w:t> ;</w:t>
      </w:r>
      <w:r>
        <w:rPr>
          <w:lang w:val="fr-FR" w:eastAsia="fr-FR" w:bidi="fr-FR"/>
        </w:rPr>
        <w:t xml:space="preserve"> John Rourke et al., </w:t>
      </w:r>
      <w:r w:rsidRPr="00952F50">
        <w:rPr>
          <w:i/>
          <w:iCs/>
        </w:rPr>
        <w:t>Making American F</w:t>
      </w:r>
      <w:r w:rsidRPr="00952F50">
        <w:rPr>
          <w:i/>
          <w:iCs/>
        </w:rPr>
        <w:t>o</w:t>
      </w:r>
      <w:r w:rsidRPr="00952F50">
        <w:rPr>
          <w:i/>
          <w:iCs/>
        </w:rPr>
        <w:t>reign Policy</w:t>
      </w:r>
      <w:r>
        <w:t>,</w:t>
      </w:r>
      <w:r>
        <w:rPr>
          <w:lang w:val="fr-FR" w:eastAsia="fr-FR" w:bidi="fr-FR"/>
        </w:rPr>
        <w:t xml:space="preserve"> Guilford, Brown and Benchmark, 2</w:t>
      </w:r>
      <w:r>
        <w:rPr>
          <w:vertAlign w:val="superscript"/>
          <w:lang w:val="fr-FR" w:eastAsia="fr-FR" w:bidi="fr-FR"/>
        </w:rPr>
        <w:t xml:space="preserve">e </w:t>
      </w:r>
      <w:r>
        <w:rPr>
          <w:lang w:val="fr-FR" w:eastAsia="fr-FR" w:bidi="fr-FR"/>
        </w:rPr>
        <w:t>éd., 1996</w:t>
      </w:r>
      <w:r>
        <w:t> ;</w:t>
      </w:r>
      <w:r>
        <w:rPr>
          <w:lang w:val="fr-FR" w:eastAsia="fr-FR" w:bidi="fr-FR"/>
        </w:rPr>
        <w:t xml:space="preserve"> Charles Kegley et Eug</w:t>
      </w:r>
      <w:r>
        <w:rPr>
          <w:lang w:val="fr-FR" w:eastAsia="fr-FR" w:bidi="fr-FR"/>
        </w:rPr>
        <w:t>e</w:t>
      </w:r>
      <w:r>
        <w:rPr>
          <w:lang w:val="fr-FR" w:eastAsia="fr-FR" w:bidi="fr-FR"/>
        </w:rPr>
        <w:t xml:space="preserve">ne Wittkopf, </w:t>
      </w:r>
      <w:r w:rsidRPr="00952F50">
        <w:rPr>
          <w:i/>
          <w:iCs/>
        </w:rPr>
        <w:t>American Foreign Policy : Pattern and Process</w:t>
      </w:r>
      <w:r>
        <w:t>,</w:t>
      </w:r>
      <w:r>
        <w:rPr>
          <w:lang w:val="fr-FR" w:eastAsia="fr-FR" w:bidi="fr-FR"/>
        </w:rPr>
        <w:t xml:space="preserve"> New York, St. Martin’s Press, 5</w:t>
      </w:r>
      <w:r w:rsidRPr="00B35850">
        <w:rPr>
          <w:vertAlign w:val="superscript"/>
          <w:lang w:val="fr-FR" w:eastAsia="fr-FR" w:bidi="fr-FR"/>
        </w:rPr>
        <w:t>e</w:t>
      </w:r>
      <w:r>
        <w:rPr>
          <w:lang w:val="fr-FR" w:eastAsia="fr-FR" w:bidi="fr-FR"/>
        </w:rPr>
        <w:t xml:space="preserve"> éd., 1996.</w:t>
      </w:r>
    </w:p>
  </w:footnote>
  <w:footnote w:id="2">
    <w:p w14:paraId="0A4DC29A" w14:textId="77777777" w:rsidR="0039793A" w:rsidRDefault="0039793A" w:rsidP="0039793A">
      <w:pPr>
        <w:pStyle w:val="Notedebasdepage"/>
      </w:pPr>
      <w:r>
        <w:rPr>
          <w:rStyle w:val="Appelnotedebasdep"/>
        </w:rPr>
        <w:footnoteRef/>
      </w:r>
      <w:r>
        <w:t xml:space="preserve"> </w:t>
      </w:r>
      <w:r>
        <w:tab/>
        <w:t xml:space="preserve">Louis Fischer, </w:t>
      </w:r>
      <w:r w:rsidRPr="005F1295">
        <w:rPr>
          <w:i/>
          <w:iCs/>
        </w:rPr>
        <w:t>The Politics of Shared Power – Congress and the Executive</w:t>
      </w:r>
      <w:r>
        <w:t xml:space="preserve">, College, </w:t>
      </w:r>
      <w:r w:rsidRPr="00B35850">
        <w:t xml:space="preserve">Station, Texas A &amp; M, 1998 et </w:t>
      </w:r>
      <w:r w:rsidRPr="005F1295">
        <w:rPr>
          <w:i/>
          <w:iCs/>
        </w:rPr>
        <w:t>Congressional A</w:t>
      </w:r>
      <w:r w:rsidRPr="005F1295">
        <w:rPr>
          <w:i/>
          <w:iCs/>
        </w:rPr>
        <w:t>b</w:t>
      </w:r>
      <w:r w:rsidRPr="005F1295">
        <w:rPr>
          <w:i/>
          <w:iCs/>
        </w:rPr>
        <w:t>dication on War and Spending</w:t>
      </w:r>
      <w:r w:rsidRPr="00B35850">
        <w:t>, College Station, Texas A &amp; M Un</w:t>
      </w:r>
      <w:r w:rsidRPr="00B35850">
        <w:t>i</w:t>
      </w:r>
      <w:r w:rsidRPr="00B35850">
        <w:t xml:space="preserve">versity Press, 2000 ; Louis Henkin, </w:t>
      </w:r>
      <w:r w:rsidRPr="005F1295">
        <w:rPr>
          <w:i/>
          <w:iCs/>
        </w:rPr>
        <w:t>Foreign Affairs and the US Con</w:t>
      </w:r>
      <w:r w:rsidRPr="005F1295">
        <w:rPr>
          <w:i/>
          <w:iCs/>
        </w:rPr>
        <w:t>s</w:t>
      </w:r>
      <w:r w:rsidRPr="005F1295">
        <w:rPr>
          <w:i/>
          <w:iCs/>
        </w:rPr>
        <w:t>titution</w:t>
      </w:r>
      <w:r w:rsidRPr="00B35850">
        <w:t>, Oxford, Clarendon Press, 2</w:t>
      </w:r>
      <w:r w:rsidRPr="00BA7D08">
        <w:rPr>
          <w:vertAlign w:val="superscript"/>
        </w:rPr>
        <w:t>e</w:t>
      </w:r>
      <w:r>
        <w:t xml:space="preserve"> </w:t>
      </w:r>
      <w:r w:rsidRPr="00B35850">
        <w:t xml:space="preserve">éd., 1996 ; Michael Hunt, </w:t>
      </w:r>
      <w:r w:rsidRPr="005F1295">
        <w:rPr>
          <w:i/>
          <w:iCs/>
        </w:rPr>
        <w:t>Ide</w:t>
      </w:r>
      <w:r w:rsidRPr="005F1295">
        <w:rPr>
          <w:i/>
          <w:iCs/>
        </w:rPr>
        <w:t>o</w:t>
      </w:r>
      <w:r w:rsidRPr="005F1295">
        <w:rPr>
          <w:i/>
          <w:iCs/>
        </w:rPr>
        <w:t>logy and US Foreign Policy</w:t>
      </w:r>
      <w:r w:rsidRPr="00B35850">
        <w:t>, New Haven, Yale University Press, 1987</w:t>
      </w:r>
      <w:r>
        <w:t> </w:t>
      </w:r>
      <w:r w:rsidRPr="00B35850">
        <w:t xml:space="preserve">; Gabriel Kolko, </w:t>
      </w:r>
      <w:r w:rsidRPr="005F1295">
        <w:rPr>
          <w:i/>
          <w:iCs/>
        </w:rPr>
        <w:t>The Roots of American F</w:t>
      </w:r>
      <w:r w:rsidRPr="005F1295">
        <w:rPr>
          <w:i/>
          <w:iCs/>
        </w:rPr>
        <w:t>o</w:t>
      </w:r>
      <w:r w:rsidRPr="005F1295">
        <w:rPr>
          <w:i/>
          <w:iCs/>
        </w:rPr>
        <w:t>reign Policy</w:t>
      </w:r>
      <w:r w:rsidRPr="00B35850">
        <w:t>, Boston, Beacon Press, 1969</w:t>
      </w:r>
      <w:r>
        <w:t> </w:t>
      </w:r>
      <w:r w:rsidRPr="00B35850">
        <w:t xml:space="preserve">; Robert Dallek, </w:t>
      </w:r>
      <w:r w:rsidRPr="005F1295">
        <w:rPr>
          <w:i/>
          <w:iCs/>
        </w:rPr>
        <w:t>The American Style of Foreign Affairs : Cult</w:t>
      </w:r>
      <w:r w:rsidRPr="005F1295">
        <w:rPr>
          <w:i/>
          <w:iCs/>
        </w:rPr>
        <w:t>u</w:t>
      </w:r>
      <w:r w:rsidRPr="005F1295">
        <w:rPr>
          <w:i/>
          <w:iCs/>
        </w:rPr>
        <w:t>ral Politics and Foreign Affairs</w:t>
      </w:r>
      <w:r w:rsidRPr="00B35850">
        <w:t>, New York, Alfred A. Knopf, 1983</w:t>
      </w:r>
      <w:r>
        <w:t> </w:t>
      </w:r>
      <w:r w:rsidRPr="00B35850">
        <w:t xml:space="preserve">; Louis Hartz, </w:t>
      </w:r>
      <w:r w:rsidRPr="00BB3B2D">
        <w:rPr>
          <w:i/>
          <w:iCs/>
        </w:rPr>
        <w:t>The Liberal Tradition in America</w:t>
      </w:r>
      <w:r w:rsidRPr="00B35850">
        <w:t>, New York, Harcourt, Brace, 1955</w:t>
      </w:r>
      <w:r>
        <w:t> </w:t>
      </w:r>
      <w:r w:rsidRPr="00B35850">
        <w:t xml:space="preserve">; Walter Russell Mead, </w:t>
      </w:r>
      <w:r w:rsidRPr="00BB3B2D">
        <w:rPr>
          <w:i/>
          <w:iCs/>
        </w:rPr>
        <w:t>Sp</w:t>
      </w:r>
      <w:r>
        <w:rPr>
          <w:i/>
          <w:iCs/>
        </w:rPr>
        <w:t>e</w:t>
      </w:r>
      <w:r w:rsidRPr="00BB3B2D">
        <w:rPr>
          <w:i/>
          <w:iCs/>
        </w:rPr>
        <w:t>cial Provide</w:t>
      </w:r>
      <w:r w:rsidRPr="00BB3B2D">
        <w:rPr>
          <w:i/>
          <w:iCs/>
        </w:rPr>
        <w:t>n</w:t>
      </w:r>
      <w:r w:rsidRPr="00BB3B2D">
        <w:rPr>
          <w:i/>
          <w:iCs/>
        </w:rPr>
        <w:t>ce : American Foreign Policy and How it Changed the World</w:t>
      </w:r>
      <w:r w:rsidRPr="00B35850">
        <w:t>, New York, Alfred A. Knopf, 2001</w:t>
      </w:r>
      <w:r>
        <w:t> </w:t>
      </w:r>
      <w:r w:rsidRPr="00B35850">
        <w:t xml:space="preserve">; Richard Neustadt, </w:t>
      </w:r>
      <w:r w:rsidRPr="00BB3B2D">
        <w:rPr>
          <w:i/>
          <w:iCs/>
        </w:rPr>
        <w:t>Presidential Power and the M</w:t>
      </w:r>
      <w:r w:rsidRPr="00BB3B2D">
        <w:rPr>
          <w:i/>
          <w:iCs/>
        </w:rPr>
        <w:t>o</w:t>
      </w:r>
      <w:r w:rsidRPr="00BB3B2D">
        <w:rPr>
          <w:i/>
          <w:iCs/>
        </w:rPr>
        <w:t>dem Presidents : The Politics of Leadership from Roosevelt to Reagan</w:t>
      </w:r>
      <w:r w:rsidRPr="00B35850">
        <w:t>, New York, Free Press, 2</w:t>
      </w:r>
      <w:r>
        <w:rPr>
          <w:vertAlign w:val="superscript"/>
        </w:rPr>
        <w:t>è</w:t>
      </w:r>
      <w:r>
        <w:t xml:space="preserve"> </w:t>
      </w:r>
      <w:r w:rsidRPr="00B35850">
        <w:t>éd., 1991</w:t>
      </w:r>
      <w:r>
        <w:t> </w:t>
      </w:r>
      <w:r w:rsidRPr="00B35850">
        <w:t xml:space="preserve">; Alexander George, </w:t>
      </w:r>
      <w:r w:rsidRPr="00BB3B2D">
        <w:rPr>
          <w:i/>
          <w:iCs/>
        </w:rPr>
        <w:t>Presidential Decision-Making in Foreign Policy : the Effect</w:t>
      </w:r>
      <w:r w:rsidRPr="00BB3B2D">
        <w:rPr>
          <w:i/>
          <w:iCs/>
        </w:rPr>
        <w:t>i</w:t>
      </w:r>
      <w:r w:rsidRPr="00BB3B2D">
        <w:rPr>
          <w:i/>
          <w:iCs/>
        </w:rPr>
        <w:t>ve Use of Information and Advice</w:t>
      </w:r>
      <w:r w:rsidRPr="00B35850">
        <w:t>, Boulder, Westview Press, 1980</w:t>
      </w:r>
      <w:r>
        <w:t> </w:t>
      </w:r>
      <w:r w:rsidRPr="00B35850">
        <w:t xml:space="preserve">; Fred Greenstein, </w:t>
      </w:r>
      <w:r w:rsidRPr="00BB3B2D">
        <w:rPr>
          <w:i/>
          <w:iCs/>
        </w:rPr>
        <w:t>The Presidential Diff</w:t>
      </w:r>
      <w:r>
        <w:rPr>
          <w:i/>
          <w:iCs/>
        </w:rPr>
        <w:t>e</w:t>
      </w:r>
      <w:r w:rsidRPr="00BB3B2D">
        <w:rPr>
          <w:i/>
          <w:iCs/>
        </w:rPr>
        <w:t>rence. Leadership Style from FDR to Clinton</w:t>
      </w:r>
      <w:r w:rsidRPr="00B35850">
        <w:t>, Princeton, Princeton Univers</w:t>
      </w:r>
      <w:r w:rsidRPr="00B35850">
        <w:t>i</w:t>
      </w:r>
      <w:r w:rsidRPr="00B35850">
        <w:t>ty Press, 2001</w:t>
      </w:r>
      <w:r>
        <w:t> </w:t>
      </w:r>
      <w:r w:rsidRPr="00B35850">
        <w:t xml:space="preserve">; Hedrick Smith, </w:t>
      </w:r>
      <w:r w:rsidRPr="00BB3B2D">
        <w:rPr>
          <w:i/>
          <w:iCs/>
        </w:rPr>
        <w:t>The Power Game. How Washington Works</w:t>
      </w:r>
      <w:r w:rsidRPr="00B35850">
        <w:t>, New York, Ballantine Books, 2e éd., 1996</w:t>
      </w:r>
      <w:r>
        <w:t> </w:t>
      </w:r>
      <w:r w:rsidRPr="00B35850">
        <w:t xml:space="preserve">; Irving Destler, </w:t>
      </w:r>
      <w:r w:rsidRPr="00BB3B2D">
        <w:rPr>
          <w:i/>
          <w:iCs/>
        </w:rPr>
        <w:t>Presidents, B</w:t>
      </w:r>
      <w:r w:rsidRPr="00BB3B2D">
        <w:rPr>
          <w:i/>
          <w:iCs/>
        </w:rPr>
        <w:t>u</w:t>
      </w:r>
      <w:r w:rsidRPr="00BB3B2D">
        <w:rPr>
          <w:i/>
          <w:iCs/>
        </w:rPr>
        <w:t>reaucrats and Foreign Policy : The Politics of Organizational Reform</w:t>
      </w:r>
      <w:r w:rsidRPr="00B35850">
        <w:t>, Pri</w:t>
      </w:r>
      <w:r w:rsidRPr="00B35850">
        <w:t>n</w:t>
      </w:r>
      <w:r w:rsidRPr="00B35850">
        <w:t>ceton, Princeton Univers</w:t>
      </w:r>
      <w:r w:rsidRPr="00B35850">
        <w:t>i</w:t>
      </w:r>
      <w:r w:rsidRPr="00B35850">
        <w:t>ty Press, 1972, 329 p.</w:t>
      </w:r>
      <w:r>
        <w:t> </w:t>
      </w:r>
      <w:r w:rsidRPr="00B35850">
        <w:t xml:space="preserve">; John Prados, </w:t>
      </w:r>
      <w:r w:rsidRPr="00BB3B2D">
        <w:rPr>
          <w:i/>
          <w:iCs/>
        </w:rPr>
        <w:t>Keepers of the Key : A History of the National Security Council from Truman to Bush</w:t>
      </w:r>
      <w:r w:rsidRPr="00B35850">
        <w:t>, New York, Mo</w:t>
      </w:r>
      <w:r w:rsidRPr="00B35850">
        <w:t>r</w:t>
      </w:r>
      <w:r w:rsidRPr="00B35850">
        <w:t>row, 1991</w:t>
      </w:r>
      <w:r>
        <w:t> </w:t>
      </w:r>
      <w:r w:rsidRPr="00B35850">
        <w:t xml:space="preserve">; Amy Zegart, </w:t>
      </w:r>
      <w:r w:rsidRPr="00BB3B2D">
        <w:rPr>
          <w:i/>
          <w:iCs/>
        </w:rPr>
        <w:t>Flaw by Design : the Evolution of the C</w:t>
      </w:r>
      <w:r>
        <w:rPr>
          <w:i/>
          <w:iCs/>
        </w:rPr>
        <w:t>I</w:t>
      </w:r>
      <w:r w:rsidRPr="00BB3B2D">
        <w:rPr>
          <w:i/>
          <w:iCs/>
        </w:rPr>
        <w:t>A, JCS, and NSC</w:t>
      </w:r>
      <w:r w:rsidRPr="00B35850">
        <w:t>, Stanford, Stanford University Press, 1999</w:t>
      </w:r>
      <w:r>
        <w:t> </w:t>
      </w:r>
      <w:r w:rsidRPr="00B35850">
        <w:t xml:space="preserve">; Thomas Mann, </w:t>
      </w:r>
      <w:r w:rsidRPr="00BB3B2D">
        <w:rPr>
          <w:i/>
          <w:iCs/>
        </w:rPr>
        <w:t>A Question of Balance : the President, the Congress and Foreign P</w:t>
      </w:r>
      <w:r w:rsidRPr="00BB3B2D">
        <w:rPr>
          <w:i/>
          <w:iCs/>
        </w:rPr>
        <w:t>o</w:t>
      </w:r>
      <w:r w:rsidRPr="00BB3B2D">
        <w:rPr>
          <w:i/>
          <w:iCs/>
        </w:rPr>
        <w:t>licy</w:t>
      </w:r>
      <w:r w:rsidRPr="00B35850">
        <w:t>, Washington, Brookings</w:t>
      </w:r>
      <w:r>
        <w:t xml:space="preserve"> </w:t>
      </w:r>
      <w:r w:rsidRPr="00B35850">
        <w:t>Institution, 1990</w:t>
      </w:r>
      <w:r>
        <w:t> </w:t>
      </w:r>
      <w:r w:rsidRPr="00B35850">
        <w:t xml:space="preserve">; Thomas Franck, </w:t>
      </w:r>
      <w:r w:rsidRPr="00BB3B2D">
        <w:rPr>
          <w:i/>
          <w:iCs/>
        </w:rPr>
        <w:t>Foreign P</w:t>
      </w:r>
      <w:r w:rsidRPr="00BB3B2D">
        <w:rPr>
          <w:i/>
          <w:iCs/>
        </w:rPr>
        <w:t>o</w:t>
      </w:r>
      <w:r w:rsidRPr="00BB3B2D">
        <w:rPr>
          <w:i/>
          <w:iCs/>
        </w:rPr>
        <w:t>licy by Congress</w:t>
      </w:r>
      <w:r w:rsidRPr="00B35850">
        <w:t>, New York, Oxford University Press, 1979</w:t>
      </w:r>
      <w:r>
        <w:t> </w:t>
      </w:r>
      <w:r w:rsidRPr="00B35850">
        <w:t>; Bernard C</w:t>
      </w:r>
      <w:r w:rsidRPr="00B35850">
        <w:t>o</w:t>
      </w:r>
      <w:r w:rsidRPr="00B35850">
        <w:t xml:space="preserve">hen, </w:t>
      </w:r>
      <w:r w:rsidRPr="00BB3B2D">
        <w:rPr>
          <w:i/>
          <w:iCs/>
        </w:rPr>
        <w:t>The Public’s Impact on Foreign Policy</w:t>
      </w:r>
      <w:r w:rsidRPr="00B35850">
        <w:t>, Boston, Little, Brown, 1973</w:t>
      </w:r>
      <w:r>
        <w:t> </w:t>
      </w:r>
      <w:r w:rsidRPr="00B35850">
        <w:t xml:space="preserve">; Eugene Wittkopf, </w:t>
      </w:r>
      <w:r w:rsidRPr="00BB3B2D">
        <w:rPr>
          <w:i/>
          <w:iCs/>
        </w:rPr>
        <w:t>Faces of Internati</w:t>
      </w:r>
      <w:r w:rsidRPr="00BB3B2D">
        <w:rPr>
          <w:i/>
          <w:iCs/>
        </w:rPr>
        <w:t>o</w:t>
      </w:r>
      <w:r w:rsidRPr="00BB3B2D">
        <w:rPr>
          <w:i/>
          <w:iCs/>
        </w:rPr>
        <w:t>nalism : Public Opinion and American Foreign Policy</w:t>
      </w:r>
      <w:r w:rsidRPr="00B35850">
        <w:t>, Durham, Duke University Press, 1990</w:t>
      </w:r>
      <w:r>
        <w:t> </w:t>
      </w:r>
      <w:r w:rsidRPr="00B35850">
        <w:t xml:space="preserve">; Norman Ornstein et Shirley Elder, </w:t>
      </w:r>
      <w:r w:rsidRPr="00BB3B2D">
        <w:rPr>
          <w:i/>
          <w:iCs/>
        </w:rPr>
        <w:t>Interest Groups, Lobbying, and Policymaking</w:t>
      </w:r>
      <w:r w:rsidRPr="00B35850">
        <w:t>, Washington, Congressional Quarterly Press, 1978.</w:t>
      </w:r>
    </w:p>
  </w:footnote>
  <w:footnote w:id="3">
    <w:p w14:paraId="642F3355" w14:textId="77777777" w:rsidR="0039793A" w:rsidRDefault="0039793A">
      <w:pPr>
        <w:pStyle w:val="Notedebasdepage"/>
      </w:pPr>
      <w:r>
        <w:rPr>
          <w:rStyle w:val="Appelnotedebasdep"/>
        </w:rPr>
        <w:footnoteRef/>
      </w:r>
      <w:r>
        <w:tab/>
        <w:t xml:space="preserve">Gérard Chaliand et Arnaud Blin, </w:t>
      </w:r>
      <w:r w:rsidRPr="00A9662E">
        <w:rPr>
          <w:i/>
          <w:iCs/>
        </w:rPr>
        <w:t>America is Back. Les no</w:t>
      </w:r>
      <w:r w:rsidRPr="00A9662E">
        <w:rPr>
          <w:i/>
          <w:iCs/>
        </w:rPr>
        <w:t>u</w:t>
      </w:r>
      <w:r w:rsidRPr="00A9662E">
        <w:rPr>
          <w:i/>
          <w:iCs/>
        </w:rPr>
        <w:t>veaux césars du Pentagone</w:t>
      </w:r>
      <w:r>
        <w:t>, Paris, Bayard, 2003.</w:t>
      </w:r>
    </w:p>
  </w:footnote>
  <w:footnote w:id="4">
    <w:p w14:paraId="01D13639" w14:textId="77777777" w:rsidR="0039793A" w:rsidRDefault="0039793A" w:rsidP="0039793A">
      <w:pPr>
        <w:pStyle w:val="Notedebasdepage"/>
      </w:pPr>
      <w:r>
        <w:rPr>
          <w:rStyle w:val="Appelnotedebasdep"/>
        </w:rPr>
        <w:footnoteRef/>
      </w:r>
      <w:r>
        <w:tab/>
        <w:t xml:space="preserve">Yves-Henri Nouailhat, </w:t>
      </w:r>
      <w:r w:rsidRPr="00A9662E">
        <w:rPr>
          <w:i/>
          <w:iCs/>
        </w:rPr>
        <w:t>Les États-Unis et le monde au XX</w:t>
      </w:r>
      <w:r>
        <w:rPr>
          <w:i/>
          <w:iCs/>
          <w:szCs w:val="18"/>
          <w:vertAlign w:val="superscript"/>
        </w:rPr>
        <w:t>e</w:t>
      </w:r>
      <w:r w:rsidRPr="00A9662E">
        <w:rPr>
          <w:i/>
          <w:iCs/>
        </w:rPr>
        <w:t xml:space="preserve"> siècle</w:t>
      </w:r>
      <w:r>
        <w:t>, Paris, A</w:t>
      </w:r>
      <w:r>
        <w:t>r</w:t>
      </w:r>
      <w:r>
        <w:t xml:space="preserve">mand Colin, 2000. Pierre Melandri, </w:t>
      </w:r>
      <w:r w:rsidRPr="00A9662E">
        <w:rPr>
          <w:i/>
          <w:iCs/>
        </w:rPr>
        <w:t>La politique ext</w:t>
      </w:r>
      <w:r w:rsidRPr="00A9662E">
        <w:rPr>
          <w:i/>
          <w:iCs/>
        </w:rPr>
        <w:t>é</w:t>
      </w:r>
      <w:r w:rsidRPr="00A9662E">
        <w:rPr>
          <w:i/>
          <w:iCs/>
        </w:rPr>
        <w:t>rieure des États-Unis de 1943 à nos jours</w:t>
      </w:r>
      <w:r>
        <w:t xml:space="preserve">, Paris, PUF, 1995 ; André Kaspi, </w:t>
      </w:r>
      <w:r w:rsidRPr="00A9662E">
        <w:rPr>
          <w:i/>
          <w:iCs/>
        </w:rPr>
        <w:t>Les États-Unis de 1943 à nos jours</w:t>
      </w:r>
      <w:r>
        <w:t>, Paris, Seuil, 1986 ; Denise A</w:t>
      </w:r>
      <w:r>
        <w:t>r</w:t>
      </w:r>
      <w:r>
        <w:t xml:space="preserve">taud, </w:t>
      </w:r>
      <w:r w:rsidRPr="00A9662E">
        <w:rPr>
          <w:i/>
          <w:iCs/>
        </w:rPr>
        <w:t>La fin de l’innocence</w:t>
      </w:r>
      <w:r>
        <w:t>, Paris, Armand Colin, 1985 ; Murielle D</w:t>
      </w:r>
      <w:r>
        <w:t>e</w:t>
      </w:r>
      <w:r>
        <w:t xml:space="preserve">laporte, </w:t>
      </w:r>
      <w:r w:rsidRPr="00A9662E">
        <w:rPr>
          <w:i/>
          <w:iCs/>
        </w:rPr>
        <w:t>La politique étrangère américaine depuis 1943</w:t>
      </w:r>
      <w:r>
        <w:t>, Bruxelles, Complexe, 1996. Enfin, la communauté scientifique dispose, dans ce domaine précis de l’étude de la politique étra</w:t>
      </w:r>
      <w:r>
        <w:t>n</w:t>
      </w:r>
      <w:r>
        <w:t xml:space="preserve">gère américaine, d’un certain nombre de revues spécialisées : </w:t>
      </w:r>
      <w:r w:rsidRPr="00A9662E">
        <w:rPr>
          <w:i/>
          <w:iCs/>
        </w:rPr>
        <w:t>Foreign A</w:t>
      </w:r>
      <w:r w:rsidRPr="00A9662E">
        <w:rPr>
          <w:i/>
          <w:iCs/>
        </w:rPr>
        <w:t>f</w:t>
      </w:r>
      <w:r w:rsidRPr="00A9662E">
        <w:rPr>
          <w:i/>
          <w:iCs/>
        </w:rPr>
        <w:t>fairs, Foreign Pol</w:t>
      </w:r>
      <w:r w:rsidRPr="00A9662E">
        <w:rPr>
          <w:i/>
          <w:iCs/>
        </w:rPr>
        <w:t>i</w:t>
      </w:r>
      <w:r w:rsidRPr="00A9662E">
        <w:rPr>
          <w:i/>
          <w:iCs/>
        </w:rPr>
        <w:t>cy</w:t>
      </w:r>
      <w:r>
        <w:t xml:space="preserve">, </w:t>
      </w:r>
      <w:r w:rsidRPr="00A9662E">
        <w:rPr>
          <w:i/>
          <w:iCs/>
        </w:rPr>
        <w:t>The National Interest</w:t>
      </w:r>
      <w:r>
        <w:t xml:space="preserve">, </w:t>
      </w:r>
      <w:r w:rsidRPr="00A9662E">
        <w:rPr>
          <w:i/>
          <w:iCs/>
        </w:rPr>
        <w:t>The Washington Quarterly</w:t>
      </w:r>
      <w:r>
        <w:t xml:space="preserve">, </w:t>
      </w:r>
      <w:r w:rsidRPr="00A9662E">
        <w:rPr>
          <w:i/>
          <w:iCs/>
        </w:rPr>
        <w:t>SAIS Review</w:t>
      </w:r>
      <w:r>
        <w:t xml:space="preserve">, ou encore le </w:t>
      </w:r>
      <w:r w:rsidRPr="00A9662E">
        <w:rPr>
          <w:i/>
          <w:iCs/>
        </w:rPr>
        <w:t>World Policy Journal</w:t>
      </w:r>
      <w:r>
        <w:t>.</w:t>
      </w:r>
    </w:p>
  </w:footnote>
  <w:footnote w:id="5">
    <w:p w14:paraId="5219E33A" w14:textId="77777777" w:rsidR="0039793A" w:rsidRDefault="0039793A" w:rsidP="0039793A">
      <w:pPr>
        <w:pStyle w:val="Notedebasdepage"/>
      </w:pPr>
      <w:r>
        <w:rPr>
          <w:rStyle w:val="Appelnotedebasdep"/>
        </w:rPr>
        <w:footnoteRef/>
      </w:r>
      <w:r>
        <w:tab/>
        <w:t xml:space="preserve">Elise Marienstras, </w:t>
      </w:r>
      <w:r w:rsidRPr="00A9662E">
        <w:rPr>
          <w:i/>
          <w:iCs/>
        </w:rPr>
        <w:t>Les mythes fondateurs de la nation américa</w:t>
      </w:r>
      <w:r w:rsidRPr="00A9662E">
        <w:rPr>
          <w:i/>
          <w:iCs/>
        </w:rPr>
        <w:t>i</w:t>
      </w:r>
      <w:r w:rsidRPr="00A9662E">
        <w:rPr>
          <w:i/>
          <w:iCs/>
        </w:rPr>
        <w:t>ne</w:t>
      </w:r>
      <w:r>
        <w:t>, Paris, François Maspero, 1976.</w:t>
      </w:r>
    </w:p>
  </w:footnote>
  <w:footnote w:id="6">
    <w:p w14:paraId="462EFC97" w14:textId="77777777" w:rsidR="0039793A" w:rsidRDefault="0039793A" w:rsidP="0039793A">
      <w:pPr>
        <w:pStyle w:val="Notedebasdepage"/>
      </w:pPr>
      <w:r>
        <w:rPr>
          <w:rStyle w:val="Appelnotedebasdep"/>
        </w:rPr>
        <w:footnoteRef/>
      </w:r>
      <w:r>
        <w:tab/>
        <w:t xml:space="preserve">Marie-France Toinet et H. Kempf, </w:t>
      </w:r>
      <w:r w:rsidRPr="00A9662E">
        <w:rPr>
          <w:i/>
          <w:iCs/>
        </w:rPr>
        <w:t>La présidence américaine</w:t>
      </w:r>
      <w:r>
        <w:t>, Paris, Mon</w:t>
      </w:r>
      <w:r>
        <w:t>t</w:t>
      </w:r>
      <w:r>
        <w:t>chrestien, 2e éd., 1997.</w:t>
      </w:r>
    </w:p>
  </w:footnote>
  <w:footnote w:id="7">
    <w:p w14:paraId="139D1981" w14:textId="77777777" w:rsidR="0039793A" w:rsidRDefault="0039793A" w:rsidP="0039793A">
      <w:pPr>
        <w:pStyle w:val="Notedebasdepage"/>
      </w:pPr>
      <w:r>
        <w:rPr>
          <w:rStyle w:val="Appelnotedebasdep"/>
        </w:rPr>
        <w:footnoteRef/>
      </w:r>
      <w:r>
        <w:tab/>
        <w:t xml:space="preserve">Charles-Philippe David, </w:t>
      </w:r>
      <w:r w:rsidRPr="00A9662E">
        <w:rPr>
          <w:i/>
          <w:iCs/>
        </w:rPr>
        <w:t>Au sein de la Maison-Blanche. La fo</w:t>
      </w:r>
      <w:r w:rsidRPr="00A9662E">
        <w:rPr>
          <w:i/>
          <w:iCs/>
        </w:rPr>
        <w:t>r</w:t>
      </w:r>
      <w:r w:rsidRPr="00A9662E">
        <w:rPr>
          <w:i/>
          <w:iCs/>
        </w:rPr>
        <w:t>mulation de la politique étrangère des États-Unis de Truman à Cli</w:t>
      </w:r>
      <w:r w:rsidRPr="00A9662E">
        <w:rPr>
          <w:i/>
          <w:iCs/>
        </w:rPr>
        <w:t>n</w:t>
      </w:r>
      <w:r w:rsidRPr="00A9662E">
        <w:rPr>
          <w:i/>
          <w:iCs/>
        </w:rPr>
        <w:t>ton</w:t>
      </w:r>
      <w:r>
        <w:t>, Québec, Presses de l’Université Laval, 1994 (2</w:t>
      </w:r>
      <w:r w:rsidRPr="001545D9">
        <w:rPr>
          <w:vertAlign w:val="superscript"/>
        </w:rPr>
        <w:t>e</w:t>
      </w:r>
      <w:r>
        <w:t xml:space="preserve"> édition à par</w:t>
      </w:r>
      <w:r>
        <w:t>a</w:t>
      </w:r>
      <w:r>
        <w:t>ître en 2004).</w:t>
      </w:r>
    </w:p>
  </w:footnote>
  <w:footnote w:id="8">
    <w:p w14:paraId="0CE82BE1" w14:textId="77777777" w:rsidR="0039793A" w:rsidRDefault="0039793A" w:rsidP="0039793A">
      <w:pPr>
        <w:pStyle w:val="Notedebasdepage"/>
      </w:pPr>
      <w:r>
        <w:rPr>
          <w:rStyle w:val="Appelnotedebasdep"/>
        </w:rPr>
        <w:footnoteRef/>
      </w:r>
      <w:r>
        <w:tab/>
        <w:t xml:space="preserve">Le classique de Stanley Hoffmann, </w:t>
      </w:r>
      <w:r w:rsidRPr="00A9662E">
        <w:rPr>
          <w:i/>
          <w:iCs/>
        </w:rPr>
        <w:t>Gulliver empêtré. Essai sur la politique étrangère des États-Unis</w:t>
      </w:r>
      <w:r>
        <w:t>, Paris, Seuil, 1971.</w:t>
      </w:r>
    </w:p>
  </w:footnote>
  <w:footnote w:id="9">
    <w:p w14:paraId="41E80B30" w14:textId="77777777" w:rsidR="0039793A" w:rsidRDefault="0039793A" w:rsidP="0039793A">
      <w:pPr>
        <w:pStyle w:val="Notedebasdepage"/>
      </w:pPr>
      <w:r>
        <w:rPr>
          <w:rStyle w:val="Appelnotedebasdep"/>
        </w:rPr>
        <w:footnoteRef/>
      </w:r>
      <w:r>
        <w:tab/>
      </w:r>
      <w:r>
        <w:rPr>
          <w:lang w:val="fr-FR" w:eastAsia="fr-FR" w:bidi="fr-FR"/>
        </w:rPr>
        <w:t xml:space="preserve">Pierre Hassner et Justin Vaïsse, </w:t>
      </w:r>
      <w:r w:rsidRPr="00845A70">
        <w:rPr>
          <w:i/>
          <w:iCs/>
        </w:rPr>
        <w:t>Washington et le monde. D</w:t>
      </w:r>
      <w:r w:rsidRPr="00845A70">
        <w:rPr>
          <w:i/>
          <w:iCs/>
        </w:rPr>
        <w:t>i</w:t>
      </w:r>
      <w:r w:rsidRPr="00845A70">
        <w:rPr>
          <w:i/>
          <w:iCs/>
        </w:rPr>
        <w:t>lemmes d’une superpuissance</w:t>
      </w:r>
      <w:r>
        <w:t>,</w:t>
      </w:r>
      <w:r>
        <w:rPr>
          <w:lang w:val="fr-FR" w:eastAsia="fr-FR" w:bidi="fr-FR"/>
        </w:rPr>
        <w:t xml:space="preserve"> Paris, Autrement, 2003.</w:t>
      </w:r>
    </w:p>
  </w:footnote>
  <w:footnote w:id="10">
    <w:p w14:paraId="7E020FF8" w14:textId="77777777" w:rsidR="0039793A" w:rsidRDefault="0039793A" w:rsidP="0039793A">
      <w:pPr>
        <w:pStyle w:val="Notedebasdepage"/>
      </w:pPr>
      <w:r>
        <w:rPr>
          <w:rStyle w:val="Appelnotedebasdep"/>
        </w:rPr>
        <w:footnoteRef/>
      </w:r>
      <w:r>
        <w:tab/>
      </w:r>
      <w:r>
        <w:rPr>
          <w:lang w:val="fr-FR" w:eastAsia="fr-FR" w:bidi="fr-FR"/>
        </w:rPr>
        <w:t>La structure du fédéralisme américain est précisée notamment en termes judiciaires, en termes de droits de la personne (14</w:t>
      </w:r>
      <w:r w:rsidRPr="005A00D1">
        <w:rPr>
          <w:vertAlign w:val="superscript"/>
          <w:lang w:val="fr-FR" w:eastAsia="fr-FR" w:bidi="fr-FR"/>
        </w:rPr>
        <w:t>e</w:t>
      </w:r>
      <w:r>
        <w:rPr>
          <w:lang w:val="fr-FR" w:eastAsia="fr-FR" w:bidi="fr-FR"/>
        </w:rPr>
        <w:t xml:space="preserve"> amendement) et en m</w:t>
      </w:r>
      <w:r>
        <w:rPr>
          <w:lang w:val="fr-FR" w:eastAsia="fr-FR" w:bidi="fr-FR"/>
        </w:rPr>
        <w:t>a</w:t>
      </w:r>
      <w:r>
        <w:rPr>
          <w:lang w:val="fr-FR" w:eastAsia="fr-FR" w:bidi="fr-FR"/>
        </w:rPr>
        <w:t>tière fiscale (16</w:t>
      </w:r>
      <w:r w:rsidRPr="005A00D1">
        <w:rPr>
          <w:vertAlign w:val="superscript"/>
          <w:lang w:val="fr-FR" w:eastAsia="fr-FR" w:bidi="fr-FR"/>
        </w:rPr>
        <w:t>e</w:t>
      </w:r>
      <w:r>
        <w:rPr>
          <w:lang w:val="fr-FR" w:eastAsia="fr-FR" w:bidi="fr-FR"/>
        </w:rPr>
        <w:t xml:space="preserve"> amendement). Les amendements viennent déterminer les conditions d’éligibilité aux fonctions publ</w:t>
      </w:r>
      <w:r>
        <w:rPr>
          <w:lang w:val="fr-FR" w:eastAsia="fr-FR" w:bidi="fr-FR"/>
        </w:rPr>
        <w:t>i</w:t>
      </w:r>
      <w:r>
        <w:rPr>
          <w:lang w:val="fr-FR" w:eastAsia="fr-FR" w:bidi="fr-FR"/>
        </w:rPr>
        <w:t>ques (14</w:t>
      </w:r>
      <w:r>
        <w:rPr>
          <w:vertAlign w:val="superscript"/>
          <w:lang w:val="fr-FR" w:eastAsia="fr-FR" w:bidi="fr-FR"/>
        </w:rPr>
        <w:t>e</w:t>
      </w:r>
      <w:r>
        <w:rPr>
          <w:lang w:val="fr-FR" w:eastAsia="fr-FR" w:bidi="fr-FR"/>
        </w:rPr>
        <w:t xml:space="preserve"> et 22</w:t>
      </w:r>
      <w:r>
        <w:rPr>
          <w:vertAlign w:val="superscript"/>
          <w:lang w:val="fr-FR" w:eastAsia="fr-FR" w:bidi="fr-FR"/>
        </w:rPr>
        <w:t>e</w:t>
      </w:r>
      <w:r>
        <w:rPr>
          <w:lang w:val="fr-FR" w:eastAsia="fr-FR" w:bidi="fr-FR"/>
        </w:rPr>
        <w:t xml:space="preserve"> amendements), les conditions d’élection du président, du vice-président (12</w:t>
      </w:r>
      <w:r w:rsidRPr="005A00D1">
        <w:rPr>
          <w:vertAlign w:val="superscript"/>
          <w:lang w:val="fr-FR" w:eastAsia="fr-FR" w:bidi="fr-FR"/>
        </w:rPr>
        <w:t>e</w:t>
      </w:r>
      <w:r>
        <w:rPr>
          <w:lang w:val="fr-FR" w:eastAsia="fr-FR" w:bidi="fr-FR"/>
        </w:rPr>
        <w:t xml:space="preserve"> ame</w:t>
      </w:r>
      <w:r>
        <w:rPr>
          <w:lang w:val="fr-FR" w:eastAsia="fr-FR" w:bidi="fr-FR"/>
        </w:rPr>
        <w:t>n</w:t>
      </w:r>
      <w:r>
        <w:rPr>
          <w:lang w:val="fr-FR" w:eastAsia="fr-FR" w:bidi="fr-FR"/>
        </w:rPr>
        <w:t>dement) et des sénateurs (17</w:t>
      </w:r>
      <w:r w:rsidRPr="005A00D1">
        <w:rPr>
          <w:vertAlign w:val="superscript"/>
          <w:lang w:val="fr-FR" w:eastAsia="fr-FR" w:bidi="fr-FR"/>
        </w:rPr>
        <w:t>e</w:t>
      </w:r>
      <w:r>
        <w:rPr>
          <w:lang w:val="fr-FR" w:eastAsia="fr-FR" w:bidi="fr-FR"/>
        </w:rPr>
        <w:t>), le terme du mandat des élus (20</w:t>
      </w:r>
      <w:r>
        <w:rPr>
          <w:vertAlign w:val="superscript"/>
          <w:lang w:val="fr-FR" w:eastAsia="fr-FR" w:bidi="fr-FR"/>
        </w:rPr>
        <w:t>e</w:t>
      </w:r>
      <w:r>
        <w:rPr>
          <w:lang w:val="fr-FR" w:eastAsia="fr-FR" w:bidi="fr-FR"/>
        </w:rPr>
        <w:t xml:space="preserve"> amendement) et les indemnités des législ</w:t>
      </w:r>
      <w:r>
        <w:rPr>
          <w:lang w:val="fr-FR" w:eastAsia="fr-FR" w:bidi="fr-FR"/>
        </w:rPr>
        <w:t>a</w:t>
      </w:r>
      <w:r>
        <w:rPr>
          <w:lang w:val="fr-FR" w:eastAsia="fr-FR" w:bidi="fr-FR"/>
        </w:rPr>
        <w:t>teurs (27</w:t>
      </w:r>
      <w:r w:rsidRPr="005A00D1">
        <w:rPr>
          <w:vertAlign w:val="superscript"/>
          <w:lang w:val="fr-FR" w:eastAsia="fr-FR" w:bidi="fr-FR"/>
        </w:rPr>
        <w:t>e</w:t>
      </w:r>
      <w:r>
        <w:rPr>
          <w:lang w:val="fr-FR" w:eastAsia="fr-FR" w:bidi="fr-FR"/>
        </w:rPr>
        <w:t>). Ils régissent également les hypothèses de vacance du po</w:t>
      </w:r>
      <w:r>
        <w:rPr>
          <w:lang w:val="fr-FR" w:eastAsia="fr-FR" w:bidi="fr-FR"/>
        </w:rPr>
        <w:t>u</w:t>
      </w:r>
      <w:r>
        <w:rPr>
          <w:lang w:val="fr-FR" w:eastAsia="fr-FR" w:bidi="fr-FR"/>
        </w:rPr>
        <w:t>voir (20</w:t>
      </w:r>
      <w:r w:rsidRPr="005A00D1">
        <w:rPr>
          <w:vertAlign w:val="superscript"/>
          <w:lang w:val="fr-FR" w:eastAsia="fr-FR" w:bidi="fr-FR"/>
        </w:rPr>
        <w:t>e</w:t>
      </w:r>
      <w:r>
        <w:rPr>
          <w:lang w:val="fr-FR" w:eastAsia="fr-FR" w:bidi="fr-FR"/>
        </w:rPr>
        <w:t xml:space="preserve"> et 25</w:t>
      </w:r>
      <w:r w:rsidRPr="005A00D1">
        <w:rPr>
          <w:vertAlign w:val="superscript"/>
          <w:lang w:val="fr-FR" w:eastAsia="fr-FR" w:bidi="fr-FR"/>
        </w:rPr>
        <w:t>e</w:t>
      </w:r>
      <w:r>
        <w:rPr>
          <w:lang w:val="fr-FR" w:eastAsia="fr-FR" w:bidi="fr-FR"/>
        </w:rPr>
        <w:t xml:space="preserve"> amendements).</w:t>
      </w:r>
    </w:p>
  </w:footnote>
  <w:footnote w:id="11">
    <w:p w14:paraId="302B8DA3" w14:textId="77777777" w:rsidR="0039793A" w:rsidRDefault="0039793A" w:rsidP="0039793A">
      <w:pPr>
        <w:pStyle w:val="Notedebasdepage"/>
      </w:pPr>
      <w:r>
        <w:rPr>
          <w:rStyle w:val="Appelnotedebasdep"/>
        </w:rPr>
        <w:footnoteRef/>
      </w:r>
      <w:r>
        <w:tab/>
      </w:r>
      <w:r>
        <w:rPr>
          <w:lang w:val="fr-FR" w:eastAsia="fr-FR" w:bidi="fr-FR"/>
        </w:rPr>
        <w:t>Ainsi en est-il de la constitutionnalisation de la liberté d’expression (1</w:t>
      </w:r>
      <w:r w:rsidRPr="005A00D1">
        <w:rPr>
          <w:vertAlign w:val="superscript"/>
          <w:lang w:val="fr-FR" w:eastAsia="fr-FR" w:bidi="fr-FR"/>
        </w:rPr>
        <w:t>er</w:t>
      </w:r>
      <w:r>
        <w:rPr>
          <w:lang w:val="fr-FR" w:eastAsia="fr-FR" w:bidi="fr-FR"/>
        </w:rPr>
        <w:t xml:space="preserve"> amendement), de la liberté de porter des armes (2</w:t>
      </w:r>
      <w:r w:rsidRPr="005A00D1">
        <w:rPr>
          <w:vertAlign w:val="superscript"/>
          <w:lang w:val="fr-FR" w:eastAsia="fr-FR" w:bidi="fr-FR"/>
        </w:rPr>
        <w:t>e</w:t>
      </w:r>
      <w:r>
        <w:rPr>
          <w:vertAlign w:val="superscript"/>
          <w:lang w:val="fr-FR" w:eastAsia="fr-FR" w:bidi="fr-FR"/>
        </w:rPr>
        <w:t xml:space="preserve"> </w:t>
      </w:r>
      <w:r>
        <w:rPr>
          <w:lang w:val="fr-FR" w:eastAsia="fr-FR" w:bidi="fr-FR"/>
        </w:rPr>
        <w:t>amendement), de la pr</w:t>
      </w:r>
      <w:r>
        <w:rPr>
          <w:lang w:val="fr-FR" w:eastAsia="fr-FR" w:bidi="fr-FR"/>
        </w:rPr>
        <w:t>o</w:t>
      </w:r>
      <w:r>
        <w:rPr>
          <w:lang w:val="fr-FR" w:eastAsia="fr-FR" w:bidi="fr-FR"/>
        </w:rPr>
        <w:t>te</w:t>
      </w:r>
      <w:r>
        <w:rPr>
          <w:lang w:val="fr-FR" w:eastAsia="fr-FR" w:bidi="fr-FR"/>
        </w:rPr>
        <w:t>c</w:t>
      </w:r>
      <w:r>
        <w:rPr>
          <w:lang w:val="fr-FR" w:eastAsia="fr-FR" w:bidi="fr-FR"/>
        </w:rPr>
        <w:t>tion de la propriété et de la vie privées (3</w:t>
      </w:r>
      <w:r>
        <w:rPr>
          <w:vertAlign w:val="superscript"/>
          <w:lang w:val="fr-FR" w:eastAsia="fr-FR" w:bidi="fr-FR"/>
        </w:rPr>
        <w:t>e</w:t>
      </w:r>
      <w:r>
        <w:rPr>
          <w:lang w:val="fr-FR" w:eastAsia="fr-FR" w:bidi="fr-FR"/>
        </w:rPr>
        <w:t xml:space="preserve"> et 4</w:t>
      </w:r>
      <w:r w:rsidRPr="005A00D1">
        <w:rPr>
          <w:vertAlign w:val="superscript"/>
          <w:lang w:val="fr-FR" w:eastAsia="fr-FR" w:bidi="fr-FR"/>
        </w:rPr>
        <w:t>e</w:t>
      </w:r>
      <w:r>
        <w:rPr>
          <w:vertAlign w:val="superscript"/>
          <w:lang w:val="fr-FR" w:eastAsia="fr-FR" w:bidi="fr-FR"/>
        </w:rPr>
        <w:t xml:space="preserve"> </w:t>
      </w:r>
      <w:r>
        <w:rPr>
          <w:lang w:val="fr-FR" w:eastAsia="fr-FR" w:bidi="fr-FR"/>
        </w:rPr>
        <w:t>amendements), des droits de la défense (5</w:t>
      </w:r>
      <w:r w:rsidRPr="005A00D1">
        <w:rPr>
          <w:vertAlign w:val="superscript"/>
          <w:lang w:val="fr-FR" w:eastAsia="fr-FR" w:bidi="fr-FR"/>
        </w:rPr>
        <w:t>e</w:t>
      </w:r>
      <w:r>
        <w:rPr>
          <w:lang w:val="fr-FR" w:eastAsia="fr-FR" w:bidi="fr-FR"/>
        </w:rPr>
        <w:t>, 6</w:t>
      </w:r>
      <w:r w:rsidRPr="005A00D1">
        <w:rPr>
          <w:vertAlign w:val="superscript"/>
          <w:lang w:val="fr-FR" w:eastAsia="fr-FR" w:bidi="fr-FR"/>
        </w:rPr>
        <w:t>e</w:t>
      </w:r>
      <w:r>
        <w:rPr>
          <w:lang w:val="fr-FR" w:eastAsia="fr-FR" w:bidi="fr-FR"/>
        </w:rPr>
        <w:t>, 7</w:t>
      </w:r>
      <w:r w:rsidRPr="005A00D1">
        <w:rPr>
          <w:vertAlign w:val="superscript"/>
          <w:lang w:val="fr-FR" w:eastAsia="fr-FR" w:bidi="fr-FR"/>
        </w:rPr>
        <w:t>e</w:t>
      </w:r>
      <w:r>
        <w:rPr>
          <w:lang w:val="fr-FR" w:eastAsia="fr-FR" w:bidi="fr-FR"/>
        </w:rPr>
        <w:t xml:space="preserve"> et 8</w:t>
      </w:r>
      <w:r w:rsidRPr="005A00D1">
        <w:rPr>
          <w:vertAlign w:val="superscript"/>
          <w:lang w:val="fr-FR" w:eastAsia="fr-FR" w:bidi="fr-FR"/>
        </w:rPr>
        <w:t>e</w:t>
      </w:r>
      <w:r>
        <w:rPr>
          <w:lang w:val="fr-FR" w:eastAsia="fr-FR" w:bidi="fr-FR"/>
        </w:rPr>
        <w:t xml:space="preserve"> amend</w:t>
      </w:r>
      <w:r>
        <w:rPr>
          <w:lang w:val="fr-FR" w:eastAsia="fr-FR" w:bidi="fr-FR"/>
        </w:rPr>
        <w:t>e</w:t>
      </w:r>
      <w:r>
        <w:rPr>
          <w:lang w:val="fr-FR" w:eastAsia="fr-FR" w:bidi="fr-FR"/>
        </w:rPr>
        <w:t>ments), de la conciliation des droits (9</w:t>
      </w:r>
      <w:r w:rsidRPr="005A00D1">
        <w:rPr>
          <w:vertAlign w:val="superscript"/>
          <w:lang w:val="fr-FR" w:eastAsia="fr-FR" w:bidi="fr-FR"/>
        </w:rPr>
        <w:t>e</w:t>
      </w:r>
      <w:r>
        <w:rPr>
          <w:vertAlign w:val="superscript"/>
          <w:lang w:val="fr-FR" w:eastAsia="fr-FR" w:bidi="fr-FR"/>
        </w:rPr>
        <w:t xml:space="preserve"> </w:t>
      </w:r>
      <w:r>
        <w:rPr>
          <w:lang w:val="fr-FR" w:eastAsia="fr-FR" w:bidi="fr-FR"/>
        </w:rPr>
        <w:t>amendement), de l’abolition de l’esclavage (13</w:t>
      </w:r>
      <w:r>
        <w:rPr>
          <w:vertAlign w:val="superscript"/>
          <w:lang w:val="fr-FR" w:eastAsia="fr-FR" w:bidi="fr-FR"/>
        </w:rPr>
        <w:t>e</w:t>
      </w:r>
      <w:r>
        <w:rPr>
          <w:lang w:val="fr-FR" w:eastAsia="fr-FR" w:bidi="fr-FR"/>
        </w:rPr>
        <w:t xml:space="preserve"> amend</w:t>
      </w:r>
      <w:r>
        <w:rPr>
          <w:lang w:val="fr-FR" w:eastAsia="fr-FR" w:bidi="fr-FR"/>
        </w:rPr>
        <w:t>e</w:t>
      </w:r>
      <w:r>
        <w:rPr>
          <w:lang w:val="fr-FR" w:eastAsia="fr-FR" w:bidi="fr-FR"/>
        </w:rPr>
        <w:t>ment), de l’égalité (15</w:t>
      </w:r>
      <w:r w:rsidRPr="005A00D1">
        <w:rPr>
          <w:vertAlign w:val="superscript"/>
          <w:lang w:val="fr-FR" w:eastAsia="fr-FR" w:bidi="fr-FR"/>
        </w:rPr>
        <w:t>e</w:t>
      </w:r>
      <w:r>
        <w:rPr>
          <w:lang w:val="fr-FR" w:eastAsia="fr-FR" w:bidi="fr-FR"/>
        </w:rPr>
        <w:t>), du droit de vote (24</w:t>
      </w:r>
      <w:r w:rsidRPr="005A00D1">
        <w:rPr>
          <w:vertAlign w:val="superscript"/>
          <w:lang w:val="fr-FR" w:eastAsia="fr-FR" w:bidi="fr-FR"/>
        </w:rPr>
        <w:t>e</w:t>
      </w:r>
      <w:r>
        <w:rPr>
          <w:lang w:val="fr-FR" w:eastAsia="fr-FR" w:bidi="fr-FR"/>
        </w:rPr>
        <w:t>) sans distinction de sexe (19</w:t>
      </w:r>
      <w:r w:rsidRPr="005A00D1">
        <w:rPr>
          <w:vertAlign w:val="superscript"/>
          <w:lang w:val="fr-FR" w:eastAsia="fr-FR" w:bidi="fr-FR"/>
        </w:rPr>
        <w:t>e</w:t>
      </w:r>
      <w:r>
        <w:rPr>
          <w:lang w:val="fr-FR" w:eastAsia="fr-FR" w:bidi="fr-FR"/>
        </w:rPr>
        <w:t>) ou de couleur (25</w:t>
      </w:r>
      <w:r w:rsidRPr="005A00D1">
        <w:rPr>
          <w:vertAlign w:val="superscript"/>
          <w:lang w:val="fr-FR" w:eastAsia="fr-FR" w:bidi="fr-FR"/>
        </w:rPr>
        <w:t>e</w:t>
      </w:r>
      <w:r>
        <w:rPr>
          <w:lang w:val="fr-FR" w:eastAsia="fr-FR" w:bidi="fr-FR"/>
        </w:rPr>
        <w:t>) à 18 ans (26</w:t>
      </w:r>
      <w:r w:rsidRPr="005A00D1">
        <w:rPr>
          <w:vertAlign w:val="superscript"/>
          <w:lang w:val="fr-FR" w:eastAsia="fr-FR" w:bidi="fr-FR"/>
        </w:rPr>
        <w:t>e</w:t>
      </w:r>
      <w:r>
        <w:rPr>
          <w:lang w:val="fr-FR" w:eastAsia="fr-FR" w:bidi="fr-FR"/>
        </w:rPr>
        <w:t xml:space="preserve"> ame</w:t>
      </w:r>
      <w:r>
        <w:rPr>
          <w:lang w:val="fr-FR" w:eastAsia="fr-FR" w:bidi="fr-FR"/>
        </w:rPr>
        <w:t>n</w:t>
      </w:r>
      <w:r>
        <w:rPr>
          <w:lang w:val="fr-FR" w:eastAsia="fr-FR" w:bidi="fr-FR"/>
        </w:rPr>
        <w:t>dement).</w:t>
      </w:r>
    </w:p>
  </w:footnote>
  <w:footnote w:id="12">
    <w:p w14:paraId="11E57977" w14:textId="77777777" w:rsidR="0039793A" w:rsidRDefault="0039793A" w:rsidP="0039793A">
      <w:pPr>
        <w:pStyle w:val="Notedebasdepage"/>
      </w:pPr>
      <w:r>
        <w:rPr>
          <w:rStyle w:val="Appelnotedebasdep"/>
        </w:rPr>
        <w:footnoteRef/>
      </w:r>
      <w:r>
        <w:tab/>
      </w:r>
      <w:r>
        <w:rPr>
          <w:lang w:val="fr-FR" w:eastAsia="fr-FR" w:bidi="fr-FR"/>
        </w:rPr>
        <w:t xml:space="preserve">À tel point que le concept de </w:t>
      </w:r>
      <w:r>
        <w:t>« </w:t>
      </w:r>
      <w:r>
        <w:rPr>
          <w:lang w:val="fr-FR" w:eastAsia="fr-FR" w:bidi="fr-FR"/>
        </w:rPr>
        <w:t>gouvernement des juges</w:t>
      </w:r>
      <w:r>
        <w:t> »</w:t>
      </w:r>
      <w:r>
        <w:rPr>
          <w:lang w:val="fr-FR" w:eastAsia="fr-FR" w:bidi="fr-FR"/>
        </w:rPr>
        <w:t xml:space="preserve"> (selon l’expression consacrée d’Édouard Lambert, dans son ouvrage de 1921) fait régulièrement surface. Voir sur ce point, Dominique Tu</w:t>
      </w:r>
      <w:r>
        <w:rPr>
          <w:lang w:val="fr-FR" w:eastAsia="fr-FR" w:bidi="fr-FR"/>
        </w:rPr>
        <w:t>r</w:t>
      </w:r>
      <w:r>
        <w:rPr>
          <w:lang w:val="fr-FR" w:eastAsia="fr-FR" w:bidi="fr-FR"/>
        </w:rPr>
        <w:t xml:space="preserve">pin, </w:t>
      </w:r>
      <w:r w:rsidRPr="000515A4">
        <w:rPr>
          <w:i/>
          <w:iCs/>
          <w:lang w:val="fr-FR" w:eastAsia="fr-FR" w:bidi="fr-FR"/>
        </w:rPr>
        <w:t>Droit constitutionnel</w:t>
      </w:r>
      <w:r w:rsidRPr="005A00D1">
        <w:rPr>
          <w:lang w:val="fr-FR" w:eastAsia="fr-FR" w:bidi="fr-FR"/>
        </w:rPr>
        <w:t>,</w:t>
      </w:r>
      <w:r>
        <w:rPr>
          <w:lang w:val="fr-FR" w:eastAsia="fr-FR" w:bidi="fr-FR"/>
        </w:rPr>
        <w:t xml:space="preserve"> Paris, PUF</w:t>
      </w:r>
      <w:r w:rsidRPr="005A00D1">
        <w:rPr>
          <w:smallCaps/>
        </w:rPr>
        <w:t xml:space="preserve">, 1999, </w:t>
      </w:r>
      <w:r>
        <w:rPr>
          <w:lang w:val="fr-FR" w:eastAsia="fr-FR" w:bidi="fr-FR"/>
        </w:rPr>
        <w:t xml:space="preserve">p. </w:t>
      </w:r>
      <w:r w:rsidRPr="005A00D1">
        <w:rPr>
          <w:lang w:val="fr-FR" w:eastAsia="fr-FR" w:bidi="fr-FR"/>
        </w:rPr>
        <w:t>666.</w:t>
      </w:r>
    </w:p>
  </w:footnote>
  <w:footnote w:id="13">
    <w:p w14:paraId="2B717624" w14:textId="77777777" w:rsidR="0039793A" w:rsidRDefault="0039793A" w:rsidP="0039793A">
      <w:pPr>
        <w:pStyle w:val="Notedebasdepage"/>
      </w:pPr>
      <w:r>
        <w:rPr>
          <w:rStyle w:val="Appelnotedebasdep"/>
        </w:rPr>
        <w:footnoteRef/>
      </w:r>
      <w:r>
        <w:tab/>
      </w:r>
      <w:r>
        <w:rPr>
          <w:lang w:val="fr-FR" w:eastAsia="fr-FR" w:bidi="fr-FR"/>
        </w:rPr>
        <w:t xml:space="preserve">On se référera à l’arrêt de principe Marbury contre Madison de 1803 (5 </w:t>
      </w:r>
      <w:r>
        <w:t xml:space="preserve">US </w:t>
      </w:r>
      <w:r>
        <w:rPr>
          <w:lang w:val="fr-FR" w:eastAsia="fr-FR" w:bidi="fr-FR"/>
        </w:rPr>
        <w:t>137), étant entendu que l’étendue du pouvoir d’interprétation de la Cour s</w:t>
      </w:r>
      <w:r>
        <w:rPr>
          <w:lang w:val="fr-FR" w:eastAsia="fr-FR" w:bidi="fr-FR"/>
        </w:rPr>
        <w:t>u</w:t>
      </w:r>
      <w:r>
        <w:rPr>
          <w:lang w:val="fr-FR" w:eastAsia="fr-FR" w:bidi="fr-FR"/>
        </w:rPr>
        <w:t xml:space="preserve">prême fait l’objet, aujourd’hui encore, d’un réel débat. Voir Ronald Kahn, </w:t>
      </w:r>
      <w:r w:rsidRPr="000515A4">
        <w:rPr>
          <w:i/>
          <w:iCs/>
        </w:rPr>
        <w:t>The Supr</w:t>
      </w:r>
      <w:r>
        <w:rPr>
          <w:i/>
          <w:iCs/>
        </w:rPr>
        <w:t>e</w:t>
      </w:r>
      <w:r w:rsidRPr="000515A4">
        <w:rPr>
          <w:i/>
          <w:iCs/>
        </w:rPr>
        <w:t>me Court and Constitutional Theory 1953-1993</w:t>
      </w:r>
      <w:r>
        <w:t>,</w:t>
      </w:r>
      <w:r>
        <w:rPr>
          <w:lang w:val="fr-FR" w:eastAsia="fr-FR" w:bidi="fr-FR"/>
        </w:rPr>
        <w:t xml:space="preserve"> Lawrence, Un</w:t>
      </w:r>
      <w:r>
        <w:rPr>
          <w:lang w:val="fr-FR" w:eastAsia="fr-FR" w:bidi="fr-FR"/>
        </w:rPr>
        <w:t>i</w:t>
      </w:r>
      <w:r>
        <w:rPr>
          <w:lang w:val="fr-FR" w:eastAsia="fr-FR" w:bidi="fr-FR"/>
        </w:rPr>
        <w:t>versity Press of Kansas, 1994.</w:t>
      </w:r>
    </w:p>
  </w:footnote>
  <w:footnote w:id="14">
    <w:p w14:paraId="3ACE077D" w14:textId="77777777" w:rsidR="0039793A" w:rsidRDefault="0039793A" w:rsidP="0039793A">
      <w:pPr>
        <w:pStyle w:val="Notedebasdepage"/>
      </w:pPr>
      <w:r>
        <w:rPr>
          <w:rStyle w:val="Appelnotedebasdep"/>
        </w:rPr>
        <w:footnoteRef/>
      </w:r>
      <w:r>
        <w:tab/>
      </w:r>
      <w:r>
        <w:rPr>
          <w:lang w:val="fr-FR" w:eastAsia="fr-FR" w:bidi="fr-FR"/>
        </w:rPr>
        <w:t xml:space="preserve">Voir par exemple sur ce point, Leonard W. Levy, </w:t>
      </w:r>
      <w:r w:rsidRPr="000515A4">
        <w:rPr>
          <w:i/>
          <w:iCs/>
        </w:rPr>
        <w:t>Original I</w:t>
      </w:r>
      <w:r w:rsidRPr="000515A4">
        <w:rPr>
          <w:i/>
          <w:iCs/>
        </w:rPr>
        <w:t>n</w:t>
      </w:r>
      <w:r w:rsidRPr="000515A4">
        <w:rPr>
          <w:i/>
          <w:iCs/>
        </w:rPr>
        <w:t xml:space="preserve">tent and the </w:t>
      </w:r>
      <w:r>
        <w:rPr>
          <w:i/>
          <w:iCs/>
        </w:rPr>
        <w:t>F</w:t>
      </w:r>
      <w:r w:rsidRPr="000515A4">
        <w:rPr>
          <w:i/>
          <w:iCs/>
        </w:rPr>
        <w:t>ramers’</w:t>
      </w:r>
      <w:r>
        <w:rPr>
          <w:i/>
          <w:iCs/>
        </w:rPr>
        <w:t xml:space="preserve"> </w:t>
      </w:r>
      <w:r w:rsidRPr="000515A4">
        <w:rPr>
          <w:i/>
          <w:iCs/>
        </w:rPr>
        <w:t>Constitution</w:t>
      </w:r>
      <w:r>
        <w:t>,</w:t>
      </w:r>
      <w:r>
        <w:rPr>
          <w:lang w:val="fr-FR" w:eastAsia="fr-FR" w:bidi="fr-FR"/>
        </w:rPr>
        <w:t xml:space="preserve"> New York, Oxford University Press, 1988.</w:t>
      </w:r>
    </w:p>
  </w:footnote>
  <w:footnote w:id="15">
    <w:p w14:paraId="0D021A09" w14:textId="77777777" w:rsidR="0039793A" w:rsidRDefault="0039793A" w:rsidP="0039793A">
      <w:pPr>
        <w:pStyle w:val="Notedebasdepage"/>
      </w:pPr>
      <w:r>
        <w:rPr>
          <w:rStyle w:val="Appelnotedebasdep"/>
        </w:rPr>
        <w:footnoteRef/>
      </w:r>
      <w:r>
        <w:tab/>
      </w:r>
      <w:r>
        <w:rPr>
          <w:lang w:val="fr-FR" w:eastAsia="fr-FR" w:bidi="fr-FR"/>
        </w:rPr>
        <w:t xml:space="preserve">Les tenants de la doctrine de la </w:t>
      </w:r>
      <w:r>
        <w:t>« </w:t>
      </w:r>
      <w:r>
        <w:rPr>
          <w:lang w:val="fr-FR" w:eastAsia="fr-FR" w:bidi="fr-FR"/>
        </w:rPr>
        <w:t>transformation sociale</w:t>
      </w:r>
      <w:r>
        <w:t> »</w:t>
      </w:r>
      <w:r>
        <w:rPr>
          <w:lang w:val="fr-FR" w:eastAsia="fr-FR" w:bidi="fr-FR"/>
        </w:rPr>
        <w:t xml:space="preserve"> crit</w:t>
      </w:r>
      <w:r>
        <w:rPr>
          <w:lang w:val="fr-FR" w:eastAsia="fr-FR" w:bidi="fr-FR"/>
        </w:rPr>
        <w:t>i</w:t>
      </w:r>
      <w:r>
        <w:rPr>
          <w:lang w:val="fr-FR" w:eastAsia="fr-FR" w:bidi="fr-FR"/>
        </w:rPr>
        <w:t>quent en effet cette approche trop rigide, lui préférant une interprétation plus moderne fo</w:t>
      </w:r>
      <w:r>
        <w:rPr>
          <w:lang w:val="fr-FR" w:eastAsia="fr-FR" w:bidi="fr-FR"/>
        </w:rPr>
        <w:t>n</w:t>
      </w:r>
      <w:r>
        <w:rPr>
          <w:lang w:val="fr-FR" w:eastAsia="fr-FR" w:bidi="fr-FR"/>
        </w:rPr>
        <w:t>dée sur une vision évolutive du texte constit</w:t>
      </w:r>
      <w:r>
        <w:rPr>
          <w:lang w:val="fr-FR" w:eastAsia="fr-FR" w:bidi="fr-FR"/>
        </w:rPr>
        <w:t>u</w:t>
      </w:r>
      <w:r>
        <w:rPr>
          <w:lang w:val="fr-FR" w:eastAsia="fr-FR" w:bidi="fr-FR"/>
        </w:rPr>
        <w:t>tionnel.</w:t>
      </w:r>
    </w:p>
  </w:footnote>
  <w:footnote w:id="16">
    <w:p w14:paraId="24AD73A8" w14:textId="77777777" w:rsidR="0039793A" w:rsidRDefault="0039793A" w:rsidP="0039793A">
      <w:pPr>
        <w:pStyle w:val="Notedebasdepage"/>
      </w:pPr>
      <w:r>
        <w:rPr>
          <w:rStyle w:val="Appelnotedebasdep"/>
        </w:rPr>
        <w:footnoteRef/>
      </w:r>
      <w:r>
        <w:tab/>
      </w:r>
      <w:r>
        <w:rPr>
          <w:lang w:val="fr-FR" w:eastAsia="fr-FR" w:bidi="fr-FR"/>
        </w:rPr>
        <w:t>Ainsi en est-il de la mise en place de droits sur les sucres (</w:t>
      </w:r>
      <w:r w:rsidRPr="0093616A">
        <w:rPr>
          <w:i/>
          <w:iCs/>
        </w:rPr>
        <w:t>Sugar Act</w:t>
      </w:r>
      <w:r>
        <w:t>)</w:t>
      </w:r>
      <w:r>
        <w:rPr>
          <w:lang w:val="fr-FR" w:eastAsia="fr-FR" w:bidi="fr-FR"/>
        </w:rPr>
        <w:t xml:space="preserve"> ou sur la correspondance (</w:t>
      </w:r>
      <w:r w:rsidRPr="0093616A">
        <w:rPr>
          <w:i/>
          <w:iCs/>
        </w:rPr>
        <w:t>Stamp Act</w:t>
      </w:r>
      <w:r>
        <w:t>).</w:t>
      </w:r>
    </w:p>
  </w:footnote>
  <w:footnote w:id="17">
    <w:p w14:paraId="2D3ACA33" w14:textId="77777777" w:rsidR="0039793A" w:rsidRDefault="0039793A" w:rsidP="0039793A">
      <w:pPr>
        <w:pStyle w:val="Notedebasdepage"/>
      </w:pPr>
      <w:r>
        <w:rPr>
          <w:rStyle w:val="Appelnotedebasdep"/>
        </w:rPr>
        <w:footnoteRef/>
      </w:r>
      <w:r>
        <w:tab/>
      </w:r>
      <w:r>
        <w:rPr>
          <w:lang w:val="fr-FR" w:eastAsia="fr-FR" w:bidi="fr-FR"/>
        </w:rPr>
        <w:t>Non représentés au Parlement de Londres, les contribuables des colonies américaines s’approprient le vieil adage anglais du conse</w:t>
      </w:r>
      <w:r>
        <w:rPr>
          <w:lang w:val="fr-FR" w:eastAsia="fr-FR" w:bidi="fr-FR"/>
        </w:rPr>
        <w:t>n</w:t>
      </w:r>
      <w:r>
        <w:rPr>
          <w:lang w:val="fr-FR" w:eastAsia="fr-FR" w:bidi="fr-FR"/>
        </w:rPr>
        <w:t>tement à l’impôt</w:t>
      </w:r>
      <w:r>
        <w:t> :</w:t>
      </w:r>
      <w:r>
        <w:rPr>
          <w:lang w:val="fr-FR" w:eastAsia="fr-FR" w:bidi="fr-FR"/>
        </w:rPr>
        <w:t xml:space="preserve"> </w:t>
      </w:r>
      <w:r w:rsidRPr="0093616A">
        <w:rPr>
          <w:i/>
          <w:iCs/>
        </w:rPr>
        <w:t>no taxation without repr</w:t>
      </w:r>
      <w:r>
        <w:rPr>
          <w:i/>
          <w:iCs/>
        </w:rPr>
        <w:t>e</w:t>
      </w:r>
      <w:r w:rsidRPr="0093616A">
        <w:rPr>
          <w:i/>
          <w:iCs/>
        </w:rPr>
        <w:t>sent</w:t>
      </w:r>
      <w:r w:rsidRPr="0093616A">
        <w:rPr>
          <w:i/>
          <w:iCs/>
        </w:rPr>
        <w:t>a</w:t>
      </w:r>
      <w:r w:rsidRPr="0093616A">
        <w:rPr>
          <w:i/>
          <w:iCs/>
        </w:rPr>
        <w:t>tion</w:t>
      </w:r>
      <w:r>
        <w:t>.</w:t>
      </w:r>
    </w:p>
  </w:footnote>
  <w:footnote w:id="18">
    <w:p w14:paraId="436BDC05" w14:textId="77777777" w:rsidR="0039793A" w:rsidRDefault="0039793A" w:rsidP="0039793A">
      <w:pPr>
        <w:pStyle w:val="Notedebasdepage"/>
      </w:pPr>
      <w:r>
        <w:rPr>
          <w:rStyle w:val="Appelnotedebasdep"/>
        </w:rPr>
        <w:footnoteRef/>
      </w:r>
      <w:r>
        <w:tab/>
      </w:r>
      <w:r>
        <w:rPr>
          <w:lang w:val="fr-FR" w:eastAsia="fr-FR" w:bidi="fr-FR"/>
        </w:rPr>
        <w:t>Les révolutionnaires s’adressaient surtout à la France (on notera que le d</w:t>
      </w:r>
      <w:r>
        <w:rPr>
          <w:lang w:val="fr-FR" w:eastAsia="fr-FR" w:bidi="fr-FR"/>
        </w:rPr>
        <w:t>o</w:t>
      </w:r>
      <w:r>
        <w:rPr>
          <w:lang w:val="fr-FR" w:eastAsia="fr-FR" w:bidi="fr-FR"/>
        </w:rPr>
        <w:t>cument est rédigé en anglais et en français) qui s’avérera leur plus précieux allié (en 1780, Lafayette viendra leur appo</w:t>
      </w:r>
      <w:r>
        <w:rPr>
          <w:lang w:val="fr-FR" w:eastAsia="fr-FR" w:bidi="fr-FR"/>
        </w:rPr>
        <w:t>r</w:t>
      </w:r>
      <w:r>
        <w:rPr>
          <w:lang w:val="fr-FR" w:eastAsia="fr-FR" w:bidi="fr-FR"/>
        </w:rPr>
        <w:t>ter l’appui de 6 000 hommes) mais aussi à d’autres puissances européennes.</w:t>
      </w:r>
    </w:p>
  </w:footnote>
  <w:footnote w:id="19">
    <w:p w14:paraId="1BE48F53" w14:textId="77777777" w:rsidR="0039793A" w:rsidRDefault="0039793A" w:rsidP="0039793A">
      <w:pPr>
        <w:pStyle w:val="Notedebasdepage"/>
      </w:pPr>
      <w:r>
        <w:rPr>
          <w:rStyle w:val="Appelnotedebasdep"/>
        </w:rPr>
        <w:footnoteRef/>
      </w:r>
      <w:r>
        <w:tab/>
        <w:t>« </w:t>
      </w:r>
      <w:r>
        <w:rPr>
          <w:lang w:val="fr-FR" w:eastAsia="fr-FR" w:bidi="fr-FR"/>
        </w:rPr>
        <w:t>La Déclaration unanime des treize États-Unis d’Amérique</w:t>
      </w:r>
      <w:r>
        <w:t> »</w:t>
      </w:r>
      <w:r>
        <w:rPr>
          <w:lang w:val="fr-FR" w:eastAsia="fr-FR" w:bidi="fr-FR"/>
        </w:rPr>
        <w:t xml:space="preserve">, reproduite en annexe dans </w:t>
      </w:r>
      <w:r w:rsidRPr="0093616A">
        <w:rPr>
          <w:i/>
          <w:iCs/>
        </w:rPr>
        <w:t>L’Indépendance américaine</w:t>
      </w:r>
      <w:r>
        <w:t xml:space="preserve"> 1763-1789</w:t>
      </w:r>
      <w:r>
        <w:rPr>
          <w:lang w:val="fr-FR" w:eastAsia="fr-FR" w:bidi="fr-FR"/>
        </w:rPr>
        <w:t>, textes pr</w:t>
      </w:r>
      <w:r>
        <w:rPr>
          <w:lang w:val="fr-FR" w:eastAsia="fr-FR" w:bidi="fr-FR"/>
        </w:rPr>
        <w:t>é</w:t>
      </w:r>
      <w:r>
        <w:rPr>
          <w:lang w:val="fr-FR" w:eastAsia="fr-FR" w:bidi="fr-FR"/>
        </w:rPr>
        <w:t xml:space="preserve">sentés par André Kaspi, Paris, Gallimard/Julliard, coll. </w:t>
      </w:r>
      <w:r>
        <w:t>« </w:t>
      </w:r>
      <w:r>
        <w:rPr>
          <w:lang w:val="fr-FR" w:eastAsia="fr-FR" w:bidi="fr-FR"/>
        </w:rPr>
        <w:t>Archives</w:t>
      </w:r>
      <w:r>
        <w:t> »</w:t>
      </w:r>
      <w:r>
        <w:rPr>
          <w:lang w:val="fr-FR" w:eastAsia="fr-FR" w:bidi="fr-FR"/>
        </w:rPr>
        <w:t>, 1976, p. 213.</w:t>
      </w:r>
    </w:p>
  </w:footnote>
  <w:footnote w:id="20">
    <w:p w14:paraId="2A5B1F06" w14:textId="77777777" w:rsidR="0039793A" w:rsidRDefault="0039793A" w:rsidP="0039793A">
      <w:pPr>
        <w:pStyle w:val="Notedebasdepage"/>
      </w:pPr>
      <w:r>
        <w:rPr>
          <w:rStyle w:val="Appelnotedebasdep"/>
        </w:rPr>
        <w:footnoteRef/>
      </w:r>
      <w:r>
        <w:tab/>
      </w:r>
      <w:r>
        <w:rPr>
          <w:lang w:val="fr-FR" w:eastAsia="fr-FR" w:bidi="fr-FR"/>
        </w:rPr>
        <w:t>À condition toutefois, et conformément à l’approche prudente de Locke, qu’il ne s’agisse que d’une option envisagée en dernier r</w:t>
      </w:r>
      <w:r>
        <w:rPr>
          <w:lang w:val="fr-FR" w:eastAsia="fr-FR" w:bidi="fr-FR"/>
        </w:rPr>
        <w:t>e</w:t>
      </w:r>
      <w:r>
        <w:rPr>
          <w:lang w:val="fr-FR" w:eastAsia="fr-FR" w:bidi="fr-FR"/>
        </w:rPr>
        <w:t>cours.</w:t>
      </w:r>
    </w:p>
  </w:footnote>
  <w:footnote w:id="21">
    <w:p w14:paraId="04C1E1AE" w14:textId="77777777" w:rsidR="0039793A" w:rsidRDefault="0039793A" w:rsidP="0039793A">
      <w:pPr>
        <w:pStyle w:val="Notedebasdepage"/>
      </w:pPr>
      <w:r>
        <w:rPr>
          <w:rStyle w:val="Appelnotedebasdep"/>
        </w:rPr>
        <w:footnoteRef/>
      </w:r>
      <w:r>
        <w:tab/>
      </w:r>
      <w:r>
        <w:rPr>
          <w:lang w:val="fr-FR" w:eastAsia="fr-FR" w:bidi="fr-FR"/>
        </w:rPr>
        <w:t xml:space="preserve">Les </w:t>
      </w:r>
      <w:r>
        <w:t>« </w:t>
      </w:r>
      <w:r>
        <w:rPr>
          <w:lang w:val="fr-FR" w:eastAsia="fr-FR" w:bidi="fr-FR"/>
        </w:rPr>
        <w:t>Articles</w:t>
      </w:r>
      <w:r>
        <w:t> »</w:t>
      </w:r>
      <w:r>
        <w:rPr>
          <w:lang w:val="fr-FR" w:eastAsia="fr-FR" w:bidi="fr-FR"/>
        </w:rPr>
        <w:t xml:space="preserve"> ne seront ratifiés par tous les États, ce qui était nécessaire à leur mise en v</w:t>
      </w:r>
      <w:r>
        <w:rPr>
          <w:lang w:val="fr-FR" w:eastAsia="fr-FR" w:bidi="fr-FR"/>
        </w:rPr>
        <w:t>i</w:t>
      </w:r>
      <w:r>
        <w:rPr>
          <w:lang w:val="fr-FR" w:eastAsia="fr-FR" w:bidi="fr-FR"/>
        </w:rPr>
        <w:t>gueur, qu’en 1781.</w:t>
      </w:r>
    </w:p>
  </w:footnote>
  <w:footnote w:id="22">
    <w:p w14:paraId="1CFB820A" w14:textId="77777777" w:rsidR="0039793A" w:rsidRDefault="0039793A" w:rsidP="0039793A">
      <w:pPr>
        <w:pStyle w:val="Notedebasdepage"/>
      </w:pPr>
      <w:r>
        <w:rPr>
          <w:rStyle w:val="Appelnotedebasdep"/>
        </w:rPr>
        <w:footnoteRef/>
      </w:r>
      <w:r>
        <w:tab/>
      </w:r>
      <w:r>
        <w:rPr>
          <w:lang w:val="fr-FR" w:eastAsia="fr-FR" w:bidi="fr-FR"/>
        </w:rPr>
        <w:t>La confédération doit être distinguée de la structure fédérale. Tout d’abord, son fondement est un traité entre États souverains et non une constitution. Ensuite, les compétences qui lui sont dévolues sont toujours limitées et en général cantonnées aux questions de d</w:t>
      </w:r>
      <w:r>
        <w:rPr>
          <w:lang w:val="fr-FR" w:eastAsia="fr-FR" w:bidi="fr-FR"/>
        </w:rPr>
        <w:t>é</w:t>
      </w:r>
      <w:r>
        <w:rPr>
          <w:lang w:val="fr-FR" w:eastAsia="fr-FR" w:bidi="fr-FR"/>
        </w:rPr>
        <w:t>fense, de relations internationales et parfois à des compétences économiques (te</w:t>
      </w:r>
      <w:r>
        <w:rPr>
          <w:lang w:val="fr-FR" w:eastAsia="fr-FR" w:bidi="fr-FR"/>
        </w:rPr>
        <w:t>l</w:t>
      </w:r>
      <w:r>
        <w:rPr>
          <w:lang w:val="fr-FR" w:eastAsia="fr-FR" w:bidi="fr-FR"/>
        </w:rPr>
        <w:t>le que la monnaie). Déplus, les décisions y sont prises à l’unanimité et non à la majorité. Enfin, un État peut souverainement décider de se retirer de la confédération, alors que le droit de sécession n’est pas admis dans une fédération. Le fait que certaines féd</w:t>
      </w:r>
      <w:r>
        <w:rPr>
          <w:lang w:val="fr-FR" w:eastAsia="fr-FR" w:bidi="fr-FR"/>
        </w:rPr>
        <w:t>é</w:t>
      </w:r>
      <w:r>
        <w:rPr>
          <w:lang w:val="fr-FR" w:eastAsia="fr-FR" w:bidi="fr-FR"/>
        </w:rPr>
        <w:t>r</w:t>
      </w:r>
      <w:r>
        <w:rPr>
          <w:lang w:val="fr-FR" w:eastAsia="fr-FR" w:bidi="fr-FR"/>
        </w:rPr>
        <w:t>a</w:t>
      </w:r>
      <w:r>
        <w:rPr>
          <w:lang w:val="fr-FR" w:eastAsia="fr-FR" w:bidi="fr-FR"/>
        </w:rPr>
        <w:t>tions portent aujourd’hui le titre de Confédération (il en est ainsi de la Confédér</w:t>
      </w:r>
      <w:r>
        <w:rPr>
          <w:lang w:val="fr-FR" w:eastAsia="fr-FR" w:bidi="fr-FR"/>
        </w:rPr>
        <w:t>a</w:t>
      </w:r>
      <w:r>
        <w:rPr>
          <w:lang w:val="fr-FR" w:eastAsia="fr-FR" w:bidi="fr-FR"/>
        </w:rPr>
        <w:t>tion helvétique) ne doit pas induire en erreur.</w:t>
      </w:r>
    </w:p>
  </w:footnote>
  <w:footnote w:id="23">
    <w:p w14:paraId="77B88B74" w14:textId="77777777" w:rsidR="0039793A" w:rsidRDefault="0039793A" w:rsidP="0039793A">
      <w:pPr>
        <w:pStyle w:val="Notedebasdepage"/>
      </w:pPr>
      <w:r>
        <w:rPr>
          <w:rStyle w:val="Appelnotedebasdep"/>
        </w:rPr>
        <w:footnoteRef/>
      </w:r>
      <w:r>
        <w:tab/>
      </w:r>
      <w:r w:rsidRPr="00642FA3">
        <w:t>On notera que les États-Unis ont disposé d’un commandant en chef chargé de mener les opérations militaires - en la personne de Washington, avant même de se donner un président.</w:t>
      </w:r>
    </w:p>
  </w:footnote>
  <w:footnote w:id="24">
    <w:p w14:paraId="7DCAC877" w14:textId="77777777" w:rsidR="0039793A" w:rsidRDefault="0039793A" w:rsidP="0039793A">
      <w:pPr>
        <w:pStyle w:val="Notedebasdepage"/>
      </w:pPr>
      <w:r>
        <w:rPr>
          <w:rStyle w:val="Appelnotedebasdep"/>
        </w:rPr>
        <w:footnoteRef/>
      </w:r>
      <w:r>
        <w:tab/>
        <w:t xml:space="preserve">Bernard Schwartz, </w:t>
      </w:r>
      <w:r w:rsidRPr="003A226A">
        <w:rPr>
          <w:i/>
          <w:iCs/>
          <w:lang w:val="fr-FR" w:eastAsia="fr-FR" w:bidi="fr-FR"/>
        </w:rPr>
        <w:t>A Com</w:t>
      </w:r>
      <w:r>
        <w:rPr>
          <w:i/>
          <w:iCs/>
          <w:lang w:val="fr-FR" w:eastAsia="fr-FR" w:bidi="fr-FR"/>
        </w:rPr>
        <w:t>m</w:t>
      </w:r>
      <w:r w:rsidRPr="003A226A">
        <w:rPr>
          <w:i/>
          <w:iCs/>
          <w:lang w:val="fr-FR" w:eastAsia="fr-FR" w:bidi="fr-FR"/>
        </w:rPr>
        <w:t>entary on the Constitution of the United States</w:t>
      </w:r>
      <w:r>
        <w:rPr>
          <w:lang w:val="fr-FR" w:eastAsia="fr-FR" w:bidi="fr-FR"/>
        </w:rPr>
        <w:t xml:space="preserve">, </w:t>
      </w:r>
      <w:r>
        <w:t xml:space="preserve">Part I : </w:t>
      </w:r>
      <w:r>
        <w:rPr>
          <w:lang w:val="fr-FR" w:eastAsia="fr-FR" w:bidi="fr-FR"/>
        </w:rPr>
        <w:t>The Powers of Government,</w:t>
      </w:r>
      <w:r>
        <w:t xml:space="preserve"> vol. II, New York, Macmi</w:t>
      </w:r>
      <w:r>
        <w:t>l</w:t>
      </w:r>
      <w:r>
        <w:t>lan, 1963, p. 58.</w:t>
      </w:r>
    </w:p>
  </w:footnote>
  <w:footnote w:id="25">
    <w:p w14:paraId="677969A6" w14:textId="77777777" w:rsidR="0039793A" w:rsidRDefault="0039793A" w:rsidP="0039793A">
      <w:pPr>
        <w:pStyle w:val="Notedebasdepage"/>
      </w:pPr>
      <w:r>
        <w:rPr>
          <w:rStyle w:val="Appelnotedebasdep"/>
        </w:rPr>
        <w:footnoteRef/>
      </w:r>
      <w:r>
        <w:tab/>
      </w:r>
      <w:r>
        <w:rPr>
          <w:lang w:val="fr-FR" w:eastAsia="fr-FR" w:bidi="fr-FR"/>
        </w:rPr>
        <w:t xml:space="preserve">Ainsi, en 1990, 43 des 50 États de l’Union étaient représentés à l’étranger dans 163 missions officielles, pour la plupart en Asie ou en Europe. Earl H. Fry, </w:t>
      </w:r>
      <w:r>
        <w:t>« </w:t>
      </w:r>
      <w:r>
        <w:rPr>
          <w:lang w:val="fr-FR" w:eastAsia="fr-FR" w:bidi="fr-FR"/>
        </w:rPr>
        <w:t xml:space="preserve">The </w:t>
      </w:r>
      <w:r>
        <w:t xml:space="preserve">US </w:t>
      </w:r>
      <w:r>
        <w:rPr>
          <w:lang w:val="fr-FR" w:eastAsia="fr-FR" w:bidi="fr-FR"/>
        </w:rPr>
        <w:t>States and Foreign Econ</w:t>
      </w:r>
      <w:r>
        <w:rPr>
          <w:lang w:val="fr-FR" w:eastAsia="fr-FR" w:bidi="fr-FR"/>
        </w:rPr>
        <w:t>o</w:t>
      </w:r>
      <w:r>
        <w:rPr>
          <w:lang w:val="fr-FR" w:eastAsia="fr-FR" w:bidi="fr-FR"/>
        </w:rPr>
        <w:t>mic Policy</w:t>
      </w:r>
      <w:r>
        <w:t> »</w:t>
      </w:r>
      <w:r>
        <w:rPr>
          <w:lang w:val="fr-FR" w:eastAsia="fr-FR" w:bidi="fr-FR"/>
        </w:rPr>
        <w:t xml:space="preserve">, dans Brian Hocking (ed.), </w:t>
      </w:r>
      <w:r w:rsidRPr="003A226A">
        <w:rPr>
          <w:i/>
          <w:iCs/>
        </w:rPr>
        <w:t>Foreign Relations and F</w:t>
      </w:r>
      <w:r>
        <w:rPr>
          <w:i/>
          <w:iCs/>
        </w:rPr>
        <w:t>e</w:t>
      </w:r>
      <w:r w:rsidRPr="003A226A">
        <w:rPr>
          <w:i/>
          <w:iCs/>
        </w:rPr>
        <w:t>d</w:t>
      </w:r>
      <w:r>
        <w:rPr>
          <w:i/>
          <w:iCs/>
        </w:rPr>
        <w:t>e</w:t>
      </w:r>
      <w:r w:rsidRPr="003A226A">
        <w:rPr>
          <w:i/>
          <w:iCs/>
        </w:rPr>
        <w:t>ral States</w:t>
      </w:r>
      <w:r>
        <w:t>,</w:t>
      </w:r>
      <w:r>
        <w:rPr>
          <w:lang w:val="fr-FR" w:eastAsia="fr-FR" w:bidi="fr-FR"/>
        </w:rPr>
        <w:t xml:space="preserve"> Lo</w:t>
      </w:r>
      <w:r>
        <w:rPr>
          <w:lang w:val="fr-FR" w:eastAsia="fr-FR" w:bidi="fr-FR"/>
        </w:rPr>
        <w:t>n</w:t>
      </w:r>
      <w:r>
        <w:rPr>
          <w:lang w:val="fr-FR" w:eastAsia="fr-FR" w:bidi="fr-FR"/>
        </w:rPr>
        <w:t>dres, Leicester University Press, 1993, p. 124.</w:t>
      </w:r>
    </w:p>
  </w:footnote>
  <w:footnote w:id="26">
    <w:p w14:paraId="37D6FF37" w14:textId="77777777" w:rsidR="0039793A" w:rsidRDefault="0039793A" w:rsidP="0039793A">
      <w:pPr>
        <w:pStyle w:val="Notedebasdepage"/>
      </w:pPr>
      <w:r>
        <w:rPr>
          <w:rStyle w:val="Appelnotedebasdep"/>
        </w:rPr>
        <w:footnoteRef/>
      </w:r>
      <w:r>
        <w:tab/>
      </w:r>
      <w:r>
        <w:rPr>
          <w:lang w:val="fr-FR" w:eastAsia="fr-FR" w:bidi="fr-FR"/>
        </w:rPr>
        <w:t>Sur le rôle croissant des entités fédérées dans les affaires étra</w:t>
      </w:r>
      <w:r>
        <w:rPr>
          <w:lang w:val="fr-FR" w:eastAsia="fr-FR" w:bidi="fr-FR"/>
        </w:rPr>
        <w:t>n</w:t>
      </w:r>
      <w:r>
        <w:rPr>
          <w:lang w:val="fr-FR" w:eastAsia="fr-FR" w:bidi="fr-FR"/>
        </w:rPr>
        <w:t xml:space="preserve">gères, voir Earl H. Fry, </w:t>
      </w:r>
      <w:r w:rsidRPr="003A226A">
        <w:rPr>
          <w:i/>
          <w:iCs/>
        </w:rPr>
        <w:t>The Expanding Rôle of State and Local Gove</w:t>
      </w:r>
      <w:r>
        <w:rPr>
          <w:i/>
          <w:iCs/>
        </w:rPr>
        <w:t>rn</w:t>
      </w:r>
      <w:r w:rsidRPr="003A226A">
        <w:rPr>
          <w:i/>
          <w:iCs/>
        </w:rPr>
        <w:t>ments in F</w:t>
      </w:r>
      <w:r w:rsidRPr="003A226A">
        <w:rPr>
          <w:i/>
          <w:iCs/>
        </w:rPr>
        <w:t>o</w:t>
      </w:r>
      <w:r w:rsidRPr="003A226A">
        <w:rPr>
          <w:i/>
          <w:iCs/>
        </w:rPr>
        <w:t>reign Affairs</w:t>
      </w:r>
      <w:r>
        <w:t xml:space="preserve">, </w:t>
      </w:r>
      <w:r>
        <w:rPr>
          <w:lang w:val="fr-FR" w:eastAsia="fr-FR" w:bidi="fr-FR"/>
        </w:rPr>
        <w:t>New York, Council on Foreign Rel</w:t>
      </w:r>
      <w:r>
        <w:rPr>
          <w:lang w:val="fr-FR" w:eastAsia="fr-FR" w:bidi="fr-FR"/>
        </w:rPr>
        <w:t>a</w:t>
      </w:r>
      <w:r>
        <w:rPr>
          <w:lang w:val="fr-FR" w:eastAsia="fr-FR" w:bidi="fr-FR"/>
        </w:rPr>
        <w:t>tions Press, 1998, 141 p.</w:t>
      </w:r>
      <w:r>
        <w:t> ;</w:t>
      </w:r>
      <w:r>
        <w:rPr>
          <w:lang w:val="fr-FR" w:eastAsia="fr-FR" w:bidi="fr-FR"/>
        </w:rPr>
        <w:t xml:space="preserve"> et Richard B. Bilder, </w:t>
      </w:r>
      <w:r>
        <w:t>« </w:t>
      </w:r>
      <w:r>
        <w:rPr>
          <w:lang w:val="fr-FR" w:eastAsia="fr-FR" w:bidi="fr-FR"/>
        </w:rPr>
        <w:t>The Rôle of States and Cities in Foreign R</w:t>
      </w:r>
      <w:r>
        <w:rPr>
          <w:lang w:val="fr-FR" w:eastAsia="fr-FR" w:bidi="fr-FR"/>
        </w:rPr>
        <w:t>e</w:t>
      </w:r>
      <w:r>
        <w:rPr>
          <w:lang w:val="fr-FR" w:eastAsia="fr-FR" w:bidi="fr-FR"/>
        </w:rPr>
        <w:t>lations</w:t>
      </w:r>
      <w:r>
        <w:t> »</w:t>
      </w:r>
      <w:r>
        <w:rPr>
          <w:lang w:val="fr-FR" w:eastAsia="fr-FR" w:bidi="fr-FR"/>
        </w:rPr>
        <w:t xml:space="preserve">, </w:t>
      </w:r>
      <w:r w:rsidRPr="003A226A">
        <w:rPr>
          <w:i/>
          <w:iCs/>
        </w:rPr>
        <w:t>American Journal of International Law</w:t>
      </w:r>
      <w:r>
        <w:t>,</w:t>
      </w:r>
      <w:r>
        <w:rPr>
          <w:lang w:val="fr-FR" w:eastAsia="fr-FR" w:bidi="fr-FR"/>
        </w:rPr>
        <w:t xml:space="preserve"> 1989, p. 821-831.</w:t>
      </w:r>
    </w:p>
  </w:footnote>
  <w:footnote w:id="27">
    <w:p w14:paraId="4E09A8C3" w14:textId="77777777" w:rsidR="0039793A" w:rsidRDefault="0039793A" w:rsidP="0039793A">
      <w:pPr>
        <w:pStyle w:val="Notedebasdepage"/>
      </w:pPr>
      <w:r>
        <w:rPr>
          <w:rStyle w:val="Appelnotedebasdep"/>
        </w:rPr>
        <w:footnoteRef/>
      </w:r>
      <w:r>
        <w:tab/>
      </w:r>
      <w:r>
        <w:rPr>
          <w:lang w:val="fr-FR" w:eastAsia="fr-FR" w:bidi="fr-FR"/>
        </w:rPr>
        <w:t>Voir pour une approche critique</w:t>
      </w:r>
      <w:r>
        <w:t> :</w:t>
      </w:r>
      <w:r>
        <w:rPr>
          <w:lang w:val="fr-FR" w:eastAsia="fr-FR" w:bidi="fr-FR"/>
        </w:rPr>
        <w:t xml:space="preserve"> Peter J. Spiro, </w:t>
      </w:r>
      <w:r>
        <w:t>« </w:t>
      </w:r>
      <w:r>
        <w:rPr>
          <w:lang w:val="fr-FR" w:eastAsia="fr-FR" w:bidi="fr-FR"/>
        </w:rPr>
        <w:t>Taking F</w:t>
      </w:r>
      <w:r>
        <w:rPr>
          <w:lang w:val="fr-FR" w:eastAsia="fr-FR" w:bidi="fr-FR"/>
        </w:rPr>
        <w:t>o</w:t>
      </w:r>
      <w:r>
        <w:rPr>
          <w:lang w:val="fr-FR" w:eastAsia="fr-FR" w:bidi="fr-FR"/>
        </w:rPr>
        <w:t>reign Policy Away from the Feds</w:t>
      </w:r>
      <w:r>
        <w:t> »</w:t>
      </w:r>
      <w:r>
        <w:rPr>
          <w:lang w:val="fr-FR" w:eastAsia="fr-FR" w:bidi="fr-FR"/>
        </w:rPr>
        <w:t xml:space="preserve">, </w:t>
      </w:r>
      <w:r w:rsidRPr="003A226A">
        <w:rPr>
          <w:i/>
          <w:iCs/>
        </w:rPr>
        <w:t>Washington Quarterly</w:t>
      </w:r>
      <w:r>
        <w:t>,</w:t>
      </w:r>
      <w:r>
        <w:rPr>
          <w:lang w:val="fr-FR" w:eastAsia="fr-FR" w:bidi="fr-FR"/>
        </w:rPr>
        <w:t xml:space="preserve"> 1, 1988, p. 202-203.</w:t>
      </w:r>
    </w:p>
  </w:footnote>
  <w:footnote w:id="28">
    <w:p w14:paraId="639C1B20" w14:textId="77777777" w:rsidR="0039793A" w:rsidRDefault="0039793A" w:rsidP="0039793A">
      <w:pPr>
        <w:pStyle w:val="Notedebasdepage"/>
      </w:pPr>
      <w:r>
        <w:rPr>
          <w:rStyle w:val="Appelnotedebasdep"/>
        </w:rPr>
        <w:footnoteRef/>
      </w:r>
      <w:r>
        <w:tab/>
      </w:r>
      <w:r>
        <w:rPr>
          <w:lang w:val="fr-FR" w:eastAsia="fr-FR" w:bidi="fr-FR"/>
        </w:rPr>
        <w:t xml:space="preserve">Voir à cette fin, Madison dans Alexander Hamilton et al., </w:t>
      </w:r>
      <w:r w:rsidRPr="003A226A">
        <w:rPr>
          <w:i/>
          <w:iCs/>
        </w:rPr>
        <w:t>The Federalist Papers</w:t>
      </w:r>
      <w:r>
        <w:t>,</w:t>
      </w:r>
      <w:r>
        <w:rPr>
          <w:lang w:val="fr-FR" w:eastAsia="fr-FR" w:bidi="fr-FR"/>
        </w:rPr>
        <w:t xml:space="preserve"> New York, Bantam Books, 1982, p. 302-303.</w:t>
      </w:r>
    </w:p>
  </w:footnote>
  <w:footnote w:id="29">
    <w:p w14:paraId="76C9961B" w14:textId="77777777" w:rsidR="0039793A" w:rsidRDefault="0039793A" w:rsidP="0039793A">
      <w:pPr>
        <w:pStyle w:val="Notedebasdepage"/>
      </w:pPr>
      <w:r>
        <w:rPr>
          <w:rStyle w:val="Appelnotedebasdep"/>
        </w:rPr>
        <w:footnoteRef/>
      </w:r>
      <w:r>
        <w:tab/>
      </w:r>
      <w:r w:rsidRPr="001545D9">
        <w:rPr>
          <w:i/>
          <w:lang w:val="fr-FR" w:eastAsia="fr-FR" w:bidi="fr-FR"/>
        </w:rPr>
        <w:t>Op. cit.</w:t>
      </w:r>
    </w:p>
  </w:footnote>
  <w:footnote w:id="30">
    <w:p w14:paraId="2E9070D6" w14:textId="77777777" w:rsidR="0039793A" w:rsidRDefault="0039793A" w:rsidP="0039793A">
      <w:pPr>
        <w:pStyle w:val="Notedebasdepage"/>
      </w:pPr>
      <w:r>
        <w:rPr>
          <w:rStyle w:val="Appelnotedebasdep"/>
        </w:rPr>
        <w:footnoteRef/>
      </w:r>
      <w:r>
        <w:tab/>
      </w:r>
      <w:r>
        <w:rPr>
          <w:lang w:val="fr-FR" w:eastAsia="fr-FR" w:bidi="fr-FR"/>
        </w:rPr>
        <w:t>La Cour suprême s’est ainsi montrée tour à tour conservatrice et libérale en matière de ségr</w:t>
      </w:r>
      <w:r>
        <w:rPr>
          <w:lang w:val="fr-FR" w:eastAsia="fr-FR" w:bidi="fr-FR"/>
        </w:rPr>
        <w:t>é</w:t>
      </w:r>
      <w:r>
        <w:rPr>
          <w:lang w:val="fr-FR" w:eastAsia="fr-FR" w:bidi="fr-FR"/>
        </w:rPr>
        <w:t>gation raciale (Dred Scott, 1857</w:t>
      </w:r>
      <w:r>
        <w:t> ;</w:t>
      </w:r>
      <w:r>
        <w:rPr>
          <w:lang w:val="fr-FR" w:eastAsia="fr-FR" w:bidi="fr-FR"/>
        </w:rPr>
        <w:t xml:space="preserve"> Plessy contre Fergusson, 1896</w:t>
      </w:r>
      <w:r>
        <w:t> ;</w:t>
      </w:r>
      <w:r>
        <w:rPr>
          <w:lang w:val="fr-FR" w:eastAsia="fr-FR" w:bidi="fr-FR"/>
        </w:rPr>
        <w:t xml:space="preserve"> Brown contre Board of Educ</w:t>
      </w:r>
      <w:r>
        <w:rPr>
          <w:lang w:val="fr-FR" w:eastAsia="fr-FR" w:bidi="fr-FR"/>
        </w:rPr>
        <w:t>a</w:t>
      </w:r>
      <w:r>
        <w:rPr>
          <w:lang w:val="fr-FR" w:eastAsia="fr-FR" w:bidi="fr-FR"/>
        </w:rPr>
        <w:t>tion of Topeka, 1954) ou encore d’avortement.</w:t>
      </w:r>
    </w:p>
  </w:footnote>
  <w:footnote w:id="31">
    <w:p w14:paraId="7645924A" w14:textId="77777777" w:rsidR="0039793A" w:rsidRDefault="0039793A" w:rsidP="0039793A">
      <w:pPr>
        <w:pStyle w:val="Notedebasdepage"/>
      </w:pPr>
      <w:r>
        <w:rPr>
          <w:rStyle w:val="Appelnotedebasdep"/>
        </w:rPr>
        <w:footnoteRef/>
      </w:r>
      <w:r>
        <w:tab/>
        <w:t xml:space="preserve">Louis Henkin, </w:t>
      </w:r>
      <w:r w:rsidRPr="00EA68C4">
        <w:rPr>
          <w:i/>
          <w:iCs/>
        </w:rPr>
        <w:t>Foreign Affairs and the US Constitution</w:t>
      </w:r>
      <w:r>
        <w:t>. Oxford, Clarendon Press, 1996, p. 26.</w:t>
      </w:r>
    </w:p>
  </w:footnote>
  <w:footnote w:id="32">
    <w:p w14:paraId="660A04D6" w14:textId="77777777" w:rsidR="0039793A" w:rsidRDefault="0039793A" w:rsidP="0039793A">
      <w:pPr>
        <w:pStyle w:val="Notedebasdepage"/>
      </w:pPr>
      <w:r>
        <w:rPr>
          <w:rStyle w:val="Appelnotedebasdep"/>
        </w:rPr>
        <w:footnoteRef/>
      </w:r>
      <w:r>
        <w:tab/>
        <w:t xml:space="preserve">Edward S. Corwin, </w:t>
      </w:r>
      <w:r w:rsidRPr="00EA68C4">
        <w:rPr>
          <w:i/>
          <w:iCs/>
        </w:rPr>
        <w:t>The President : Office and Powers 1787-1957. History and Analysis of Practice and Opinion</w:t>
      </w:r>
      <w:r>
        <w:t>, New York, New York University Press, 1957, p. 171.</w:t>
      </w:r>
    </w:p>
  </w:footnote>
  <w:footnote w:id="33">
    <w:p w14:paraId="29686B92" w14:textId="77777777" w:rsidR="0039793A" w:rsidRDefault="0039793A" w:rsidP="0039793A">
      <w:pPr>
        <w:pStyle w:val="Notedebasdepage"/>
      </w:pPr>
      <w:r>
        <w:rPr>
          <w:rStyle w:val="Appelnotedebasdep"/>
        </w:rPr>
        <w:footnoteRef/>
      </w:r>
      <w:r>
        <w:tab/>
        <w:t>Selon les termes d'Arthur Schlesinger Jr., « The Legislative-Executive B</w:t>
      </w:r>
      <w:r>
        <w:t>a</w:t>
      </w:r>
      <w:r>
        <w:t>lance in International Affairs : the Intentions of the Fr</w:t>
      </w:r>
      <w:r>
        <w:t>a</w:t>
      </w:r>
      <w:r>
        <w:t xml:space="preserve">mers », </w:t>
      </w:r>
      <w:r w:rsidRPr="00EA68C4">
        <w:rPr>
          <w:i/>
          <w:iCs/>
        </w:rPr>
        <w:t>Washington Quarterly</w:t>
      </w:r>
      <w:r>
        <w:t>, hiver 1989, p. 102.</w:t>
      </w:r>
    </w:p>
  </w:footnote>
  <w:footnote w:id="34">
    <w:p w14:paraId="25F3941C" w14:textId="77777777" w:rsidR="0039793A" w:rsidRDefault="0039793A" w:rsidP="0039793A">
      <w:pPr>
        <w:pStyle w:val="Notedebasdepage"/>
      </w:pPr>
      <w:r>
        <w:rPr>
          <w:rStyle w:val="Appelnotedebasdep"/>
        </w:rPr>
        <w:footnoteRef/>
      </w:r>
      <w:r>
        <w:tab/>
      </w:r>
      <w:r>
        <w:rPr>
          <w:lang w:val="fr-FR" w:eastAsia="fr-FR" w:bidi="fr-FR"/>
        </w:rPr>
        <w:t xml:space="preserve">Louis Henkin, </w:t>
      </w:r>
      <w:r w:rsidRPr="00EA68C4">
        <w:rPr>
          <w:i/>
          <w:iCs/>
        </w:rPr>
        <w:t>op. cit</w:t>
      </w:r>
      <w:r>
        <w:t>.,</w:t>
      </w:r>
      <w:r>
        <w:rPr>
          <w:lang w:val="fr-FR" w:eastAsia="fr-FR" w:bidi="fr-FR"/>
        </w:rPr>
        <w:t xml:space="preserve"> p. 27.</w:t>
      </w:r>
    </w:p>
  </w:footnote>
  <w:footnote w:id="35">
    <w:p w14:paraId="0C85C85F" w14:textId="77777777" w:rsidR="0039793A" w:rsidRDefault="0039793A" w:rsidP="0039793A">
      <w:pPr>
        <w:pStyle w:val="Notedebasdepage"/>
      </w:pPr>
      <w:r>
        <w:rPr>
          <w:rStyle w:val="Appelnotedebasdep"/>
        </w:rPr>
        <w:footnoteRef/>
      </w:r>
      <w:r>
        <w:tab/>
      </w:r>
      <w:r>
        <w:rPr>
          <w:lang w:val="fr-FR" w:eastAsia="fr-FR" w:bidi="fr-FR"/>
        </w:rPr>
        <w:t xml:space="preserve">Bien qu’au demeurant, le terme de </w:t>
      </w:r>
      <w:r>
        <w:t>« </w:t>
      </w:r>
      <w:r>
        <w:rPr>
          <w:lang w:val="fr-FR" w:eastAsia="fr-FR" w:bidi="fr-FR"/>
        </w:rPr>
        <w:t>politique</w:t>
      </w:r>
      <w:r>
        <w:t> »</w:t>
      </w:r>
      <w:r>
        <w:rPr>
          <w:lang w:val="fr-FR" w:eastAsia="fr-FR" w:bidi="fr-FR"/>
        </w:rPr>
        <w:t xml:space="preserve"> ou </w:t>
      </w:r>
      <w:r>
        <w:t>« </w:t>
      </w:r>
      <w:r>
        <w:rPr>
          <w:lang w:val="fr-FR" w:eastAsia="fr-FR" w:bidi="fr-FR"/>
        </w:rPr>
        <w:t>d’affaires étrangères</w:t>
      </w:r>
      <w:r>
        <w:t> »</w:t>
      </w:r>
      <w:r>
        <w:rPr>
          <w:lang w:val="fr-FR" w:eastAsia="fr-FR" w:bidi="fr-FR"/>
        </w:rPr>
        <w:t xml:space="preserve"> ne soit pas mentionné.</w:t>
      </w:r>
    </w:p>
  </w:footnote>
  <w:footnote w:id="36">
    <w:p w14:paraId="0364A1F5" w14:textId="77777777" w:rsidR="0039793A" w:rsidRDefault="0039793A" w:rsidP="0039793A">
      <w:pPr>
        <w:pStyle w:val="Notedebasdepage"/>
      </w:pPr>
      <w:r>
        <w:rPr>
          <w:rStyle w:val="Appelnotedebasdep"/>
        </w:rPr>
        <w:footnoteRef/>
      </w:r>
      <w:r>
        <w:tab/>
      </w:r>
      <w:r>
        <w:rPr>
          <w:lang w:val="fr-FR" w:eastAsia="fr-FR" w:bidi="fr-FR"/>
        </w:rPr>
        <w:t xml:space="preserve">Voir Marie-France Toinet, </w:t>
      </w:r>
      <w:r w:rsidRPr="00EA68C4">
        <w:rPr>
          <w:i/>
          <w:iCs/>
        </w:rPr>
        <w:t>Le système politique des États-Unis</w:t>
      </w:r>
      <w:r>
        <w:t>,</w:t>
      </w:r>
      <w:r>
        <w:rPr>
          <w:lang w:val="fr-FR" w:eastAsia="fr-FR" w:bidi="fr-FR"/>
        </w:rPr>
        <w:t xml:space="preserve"> Paris, </w:t>
      </w:r>
      <w:r>
        <w:t xml:space="preserve">PUF, </w:t>
      </w:r>
      <w:r>
        <w:rPr>
          <w:lang w:val="fr-FR" w:eastAsia="fr-FR" w:bidi="fr-FR"/>
        </w:rPr>
        <w:t xml:space="preserve">coll. </w:t>
      </w:r>
      <w:r>
        <w:t>« </w:t>
      </w:r>
      <w:r>
        <w:rPr>
          <w:lang w:val="fr-FR" w:eastAsia="fr-FR" w:bidi="fr-FR"/>
        </w:rPr>
        <w:t>Thémis</w:t>
      </w:r>
      <w:r>
        <w:t> »</w:t>
      </w:r>
      <w:r>
        <w:rPr>
          <w:lang w:val="fr-FR" w:eastAsia="fr-FR" w:bidi="fr-FR"/>
        </w:rPr>
        <w:t>, 2</w:t>
      </w:r>
      <w:r w:rsidRPr="006039AE">
        <w:rPr>
          <w:vertAlign w:val="superscript"/>
          <w:lang w:val="fr-FR" w:eastAsia="fr-FR" w:bidi="fr-FR"/>
        </w:rPr>
        <w:t>e</w:t>
      </w:r>
      <w:r>
        <w:rPr>
          <w:lang w:val="fr-FR" w:eastAsia="fr-FR" w:bidi="fr-FR"/>
        </w:rPr>
        <w:t xml:space="preserve"> éd., 1990, p. 341-353.</w:t>
      </w:r>
    </w:p>
  </w:footnote>
  <w:footnote w:id="37">
    <w:p w14:paraId="46A5E562" w14:textId="77777777" w:rsidR="0039793A" w:rsidRDefault="0039793A" w:rsidP="0039793A">
      <w:pPr>
        <w:pStyle w:val="Notedebasdepage"/>
      </w:pPr>
      <w:r>
        <w:rPr>
          <w:rStyle w:val="Appelnotedebasdep"/>
        </w:rPr>
        <w:footnoteRef/>
      </w:r>
      <w:r>
        <w:tab/>
      </w:r>
      <w:r>
        <w:rPr>
          <w:lang w:val="fr-FR" w:eastAsia="fr-FR" w:bidi="fr-FR"/>
        </w:rPr>
        <w:t>Les redoutables commissions d’enquête du Congrès sont dotées de moyens cons</w:t>
      </w:r>
      <w:r>
        <w:rPr>
          <w:lang w:val="fr-FR" w:eastAsia="fr-FR" w:bidi="fr-FR"/>
        </w:rPr>
        <w:t>i</w:t>
      </w:r>
      <w:r>
        <w:rPr>
          <w:lang w:val="fr-FR" w:eastAsia="fr-FR" w:bidi="fr-FR"/>
        </w:rPr>
        <w:t>dérables pour se faire communiquer des documents et convoquer des témoins.</w:t>
      </w:r>
    </w:p>
  </w:footnote>
  <w:footnote w:id="38">
    <w:p w14:paraId="655DAEF9" w14:textId="77777777" w:rsidR="0039793A" w:rsidRDefault="0039793A" w:rsidP="0039793A">
      <w:pPr>
        <w:pStyle w:val="Notedebasdepage"/>
      </w:pPr>
      <w:r>
        <w:rPr>
          <w:rStyle w:val="Appelnotedebasdep"/>
        </w:rPr>
        <w:footnoteRef/>
      </w:r>
      <w:r>
        <w:tab/>
      </w:r>
      <w:r w:rsidRPr="00D2217B">
        <w:rPr>
          <w:lang w:eastAsia="fr-FR" w:bidi="fr-FR"/>
        </w:rPr>
        <w:t xml:space="preserve">Norman J. Ornstein, </w:t>
      </w:r>
      <w:r w:rsidRPr="00D2217B">
        <w:t>« </w:t>
      </w:r>
      <w:r w:rsidRPr="00D2217B">
        <w:rPr>
          <w:lang w:eastAsia="fr-FR" w:bidi="fr-FR"/>
        </w:rPr>
        <w:t>The Constitution and the Sharing of F</w:t>
      </w:r>
      <w:r w:rsidRPr="00D2217B">
        <w:rPr>
          <w:lang w:eastAsia="fr-FR" w:bidi="fr-FR"/>
        </w:rPr>
        <w:t>o</w:t>
      </w:r>
      <w:r w:rsidRPr="00D2217B">
        <w:rPr>
          <w:lang w:eastAsia="fr-FR" w:bidi="fr-FR"/>
        </w:rPr>
        <w:t>reign Policy Responsibility</w:t>
      </w:r>
      <w:r w:rsidRPr="00D2217B">
        <w:t> »</w:t>
      </w:r>
      <w:r w:rsidRPr="00D2217B">
        <w:rPr>
          <w:lang w:eastAsia="fr-FR" w:bidi="fr-FR"/>
        </w:rPr>
        <w:t xml:space="preserve">, cité par Thomas E. Mann dans </w:t>
      </w:r>
      <w:r w:rsidRPr="00D2217B">
        <w:t>« </w:t>
      </w:r>
      <w:r w:rsidRPr="00D2217B">
        <w:rPr>
          <w:lang w:eastAsia="fr-FR" w:bidi="fr-FR"/>
        </w:rPr>
        <w:t>Making Foreign Pol</w:t>
      </w:r>
      <w:r w:rsidRPr="00D2217B">
        <w:rPr>
          <w:lang w:eastAsia="fr-FR" w:bidi="fr-FR"/>
        </w:rPr>
        <w:t>i</w:t>
      </w:r>
      <w:r w:rsidRPr="00D2217B">
        <w:rPr>
          <w:lang w:eastAsia="fr-FR" w:bidi="fr-FR"/>
        </w:rPr>
        <w:t>cy</w:t>
      </w:r>
      <w:r w:rsidRPr="00D2217B">
        <w:t> ;</w:t>
      </w:r>
      <w:r w:rsidRPr="00D2217B">
        <w:rPr>
          <w:lang w:eastAsia="fr-FR" w:bidi="fr-FR"/>
        </w:rPr>
        <w:t xml:space="preserve"> President and Congress</w:t>
      </w:r>
      <w:r w:rsidRPr="00D2217B">
        <w:t> »</w:t>
      </w:r>
      <w:r w:rsidRPr="00D2217B">
        <w:rPr>
          <w:lang w:eastAsia="fr-FR" w:bidi="fr-FR"/>
        </w:rPr>
        <w:t xml:space="preserve">, Thomas E. Mann (ed.), </w:t>
      </w:r>
      <w:r w:rsidRPr="00EA68C4">
        <w:rPr>
          <w:i/>
          <w:iCs/>
        </w:rPr>
        <w:t>A Question of Balance : The President, The Congress and Foreign Policy</w:t>
      </w:r>
      <w:r w:rsidRPr="00D2217B">
        <w:rPr>
          <w:lang w:eastAsia="fr-FR" w:bidi="fr-FR"/>
        </w:rPr>
        <w:t>, Washington, The Bro</w:t>
      </w:r>
      <w:r w:rsidRPr="00D2217B">
        <w:rPr>
          <w:lang w:eastAsia="fr-FR" w:bidi="fr-FR"/>
        </w:rPr>
        <w:t>o</w:t>
      </w:r>
      <w:r w:rsidRPr="00D2217B">
        <w:rPr>
          <w:lang w:eastAsia="fr-FR" w:bidi="fr-FR"/>
        </w:rPr>
        <w:t>kings Institution, 1990, p. 5.</w:t>
      </w:r>
    </w:p>
  </w:footnote>
  <w:footnote w:id="39">
    <w:p w14:paraId="560E8682" w14:textId="77777777" w:rsidR="0039793A" w:rsidRDefault="0039793A" w:rsidP="0039793A">
      <w:pPr>
        <w:pStyle w:val="Notedebasdepage"/>
      </w:pPr>
      <w:r>
        <w:rPr>
          <w:rStyle w:val="Appelnotedebasdep"/>
        </w:rPr>
        <w:footnoteRef/>
      </w:r>
      <w:r>
        <w:tab/>
      </w:r>
      <w:r w:rsidRPr="00D2217B">
        <w:rPr>
          <w:lang w:eastAsia="fr-FR" w:bidi="fr-FR"/>
        </w:rPr>
        <w:t>Disposition qui, aux yeux des Pères fondateurs, n’avait pas, se</w:t>
      </w:r>
      <w:r w:rsidRPr="00D2217B">
        <w:rPr>
          <w:lang w:eastAsia="fr-FR" w:bidi="fr-FR"/>
        </w:rPr>
        <w:t>m</w:t>
      </w:r>
      <w:r w:rsidRPr="00D2217B">
        <w:rPr>
          <w:lang w:eastAsia="fr-FR" w:bidi="fr-FR"/>
        </w:rPr>
        <w:t>ble-t-il, la portée que les présidents lui ont par la suite accordée</w:t>
      </w:r>
      <w:r w:rsidRPr="00D2217B">
        <w:t> :</w:t>
      </w:r>
      <w:r w:rsidRPr="00D2217B">
        <w:rPr>
          <w:lang w:eastAsia="fr-FR" w:bidi="fr-FR"/>
        </w:rPr>
        <w:t xml:space="preserve"> voir Sabine Lavorel, </w:t>
      </w:r>
      <w:r w:rsidRPr="00EA68C4">
        <w:rPr>
          <w:i/>
          <w:iCs/>
        </w:rPr>
        <w:t>La politique de sécurité nationale des États-Unis sous la présidence de George W. Bush</w:t>
      </w:r>
      <w:r w:rsidRPr="00D2217B">
        <w:rPr>
          <w:lang w:eastAsia="fr-FR" w:bidi="fr-FR"/>
        </w:rPr>
        <w:t xml:space="preserve">, Paris, L’Harmattan, coll. </w:t>
      </w:r>
      <w:r w:rsidRPr="00D2217B">
        <w:t>« </w:t>
      </w:r>
      <w:r w:rsidRPr="00D2217B">
        <w:rPr>
          <w:lang w:eastAsia="fr-FR" w:bidi="fr-FR"/>
        </w:rPr>
        <w:t>Raoul-Dandurand</w:t>
      </w:r>
      <w:r w:rsidRPr="00D2217B">
        <w:t> »</w:t>
      </w:r>
      <w:r w:rsidRPr="00D2217B">
        <w:rPr>
          <w:lang w:eastAsia="fr-FR" w:bidi="fr-FR"/>
        </w:rPr>
        <w:t>, 2003.</w:t>
      </w:r>
    </w:p>
  </w:footnote>
  <w:footnote w:id="40">
    <w:p w14:paraId="064B1354" w14:textId="77777777" w:rsidR="0039793A" w:rsidRDefault="0039793A" w:rsidP="0039793A">
      <w:pPr>
        <w:pStyle w:val="Notedebasdepage"/>
      </w:pPr>
      <w:r>
        <w:rPr>
          <w:rStyle w:val="Appelnotedebasdep"/>
        </w:rPr>
        <w:footnoteRef/>
      </w:r>
      <w:r>
        <w:tab/>
      </w:r>
      <w:r w:rsidRPr="00D2217B">
        <w:rPr>
          <w:lang w:eastAsia="fr-FR" w:bidi="fr-FR"/>
        </w:rPr>
        <w:t>En vertu de l’article II, section 3 de la Constitution</w:t>
      </w:r>
      <w:r w:rsidRPr="00D2217B">
        <w:t> :</w:t>
      </w:r>
      <w:r w:rsidRPr="00D2217B">
        <w:rPr>
          <w:lang w:eastAsia="fr-FR" w:bidi="fr-FR"/>
        </w:rPr>
        <w:t xml:space="preserve"> </w:t>
      </w:r>
      <w:r w:rsidRPr="00D2217B">
        <w:t>« </w:t>
      </w:r>
      <w:r w:rsidRPr="00D2217B">
        <w:rPr>
          <w:lang w:eastAsia="fr-FR" w:bidi="fr-FR"/>
        </w:rPr>
        <w:t>Le président inform</w:t>
      </w:r>
      <w:r w:rsidRPr="00D2217B">
        <w:rPr>
          <w:lang w:eastAsia="fr-FR" w:bidi="fr-FR"/>
        </w:rPr>
        <w:t>e</w:t>
      </w:r>
      <w:r w:rsidRPr="00D2217B">
        <w:rPr>
          <w:lang w:eastAsia="fr-FR" w:bidi="fr-FR"/>
        </w:rPr>
        <w:t>ra le Congrès de l’État de l’Union [...], il pourra, dans des circonstances extraordinaires, convoquer l’une ou l’autre des cha</w:t>
      </w:r>
      <w:r w:rsidRPr="00D2217B">
        <w:rPr>
          <w:lang w:eastAsia="fr-FR" w:bidi="fr-FR"/>
        </w:rPr>
        <w:t>m</w:t>
      </w:r>
      <w:r w:rsidRPr="00D2217B">
        <w:rPr>
          <w:lang w:eastAsia="fr-FR" w:bidi="fr-FR"/>
        </w:rPr>
        <w:t>bres, ou les deux à la fois</w:t>
      </w:r>
      <w:r w:rsidRPr="00D2217B">
        <w:t> »</w:t>
      </w:r>
      <w:r w:rsidRPr="00D2217B">
        <w:rPr>
          <w:lang w:eastAsia="fr-FR" w:bidi="fr-FR"/>
        </w:rPr>
        <w:t>.</w:t>
      </w:r>
    </w:p>
  </w:footnote>
  <w:footnote w:id="41">
    <w:p w14:paraId="093138CA" w14:textId="77777777" w:rsidR="0039793A" w:rsidRDefault="0039793A" w:rsidP="0039793A">
      <w:pPr>
        <w:pStyle w:val="Notedebasdepage"/>
      </w:pPr>
      <w:r>
        <w:rPr>
          <w:rStyle w:val="Appelnotedebasdep"/>
        </w:rPr>
        <w:footnoteRef/>
      </w:r>
      <w:r>
        <w:tab/>
      </w:r>
      <w:r w:rsidRPr="00D2217B">
        <w:rPr>
          <w:lang w:eastAsia="fr-FR" w:bidi="fr-FR"/>
        </w:rPr>
        <w:t>Contrairement au Congrès, le président siège sans interruption. Seul, il r</w:t>
      </w:r>
      <w:r w:rsidRPr="00D2217B">
        <w:rPr>
          <w:lang w:eastAsia="fr-FR" w:bidi="fr-FR"/>
        </w:rPr>
        <w:t>e</w:t>
      </w:r>
      <w:r w:rsidRPr="00D2217B">
        <w:rPr>
          <w:lang w:eastAsia="fr-FR" w:bidi="fr-FR"/>
        </w:rPr>
        <w:t xml:space="preserve">présente </w:t>
      </w:r>
      <w:r w:rsidRPr="00D2217B">
        <w:t>« </w:t>
      </w:r>
      <w:r w:rsidRPr="00D2217B">
        <w:rPr>
          <w:lang w:eastAsia="fr-FR" w:bidi="fr-FR"/>
        </w:rPr>
        <w:t>les yeux et les oreilles</w:t>
      </w:r>
      <w:r w:rsidRPr="00D2217B">
        <w:t> »</w:t>
      </w:r>
      <w:r w:rsidRPr="00D2217B">
        <w:rPr>
          <w:lang w:eastAsia="fr-FR" w:bidi="fr-FR"/>
        </w:rPr>
        <w:t xml:space="preserve"> de la nation, selon Louis Henkin, </w:t>
      </w:r>
      <w:r w:rsidRPr="00D2217B">
        <w:t>« </w:t>
      </w:r>
      <w:r w:rsidRPr="00D2217B">
        <w:rPr>
          <w:lang w:eastAsia="fr-FR" w:bidi="fr-FR"/>
        </w:rPr>
        <w:t>Foreign Affairs and the Constitution</w:t>
      </w:r>
      <w:r w:rsidRPr="00D2217B">
        <w:t> »</w:t>
      </w:r>
      <w:r w:rsidRPr="00D2217B">
        <w:rPr>
          <w:lang w:eastAsia="fr-FR" w:bidi="fr-FR"/>
        </w:rPr>
        <w:t xml:space="preserve">, </w:t>
      </w:r>
      <w:r w:rsidRPr="007332DD">
        <w:rPr>
          <w:i/>
          <w:iCs/>
        </w:rPr>
        <w:t>Foreign Affairs</w:t>
      </w:r>
      <w:r w:rsidRPr="00D2217B">
        <w:t>,</w:t>
      </w:r>
      <w:r w:rsidRPr="00D2217B">
        <w:rPr>
          <w:lang w:eastAsia="fr-FR" w:bidi="fr-FR"/>
        </w:rPr>
        <w:t xml:space="preserve"> h</w:t>
      </w:r>
      <w:r w:rsidRPr="00D2217B">
        <w:rPr>
          <w:lang w:eastAsia="fr-FR" w:bidi="fr-FR"/>
        </w:rPr>
        <w:t>i</w:t>
      </w:r>
      <w:r w:rsidRPr="00D2217B">
        <w:rPr>
          <w:lang w:eastAsia="fr-FR" w:bidi="fr-FR"/>
        </w:rPr>
        <w:t>ver 1987-1988, p. 291.</w:t>
      </w:r>
    </w:p>
  </w:footnote>
  <w:footnote w:id="42">
    <w:p w14:paraId="405C447F" w14:textId="77777777" w:rsidR="0039793A" w:rsidRDefault="0039793A" w:rsidP="0039793A">
      <w:pPr>
        <w:pStyle w:val="Notedebasdepage"/>
      </w:pPr>
      <w:r>
        <w:rPr>
          <w:rStyle w:val="Appelnotedebasdep"/>
        </w:rPr>
        <w:footnoteRef/>
      </w:r>
      <w:r>
        <w:tab/>
      </w:r>
      <w:r>
        <w:rPr>
          <w:lang w:val="fr-FR" w:eastAsia="fr-FR" w:bidi="fr-FR"/>
        </w:rPr>
        <w:t>Mais pas toujours, si l’on se réfère aux termes de l’arrêt B</w:t>
      </w:r>
      <w:r>
        <w:rPr>
          <w:lang w:val="fr-FR" w:eastAsia="fr-FR" w:bidi="fr-FR"/>
        </w:rPr>
        <w:t>a</w:t>
      </w:r>
      <w:r>
        <w:rPr>
          <w:lang w:val="fr-FR" w:eastAsia="fr-FR" w:bidi="fr-FR"/>
        </w:rPr>
        <w:t>ker contre Carr, 369 us 186, 217 (1962).</w:t>
      </w:r>
    </w:p>
  </w:footnote>
  <w:footnote w:id="43">
    <w:p w14:paraId="2EBC8EEF" w14:textId="77777777" w:rsidR="0039793A" w:rsidRDefault="0039793A" w:rsidP="0039793A">
      <w:pPr>
        <w:pStyle w:val="Notedebasdepage"/>
      </w:pPr>
      <w:r>
        <w:rPr>
          <w:rStyle w:val="Appelnotedebasdep"/>
        </w:rPr>
        <w:footnoteRef/>
      </w:r>
      <w:r>
        <w:tab/>
      </w:r>
      <w:r>
        <w:rPr>
          <w:lang w:val="fr-FR" w:eastAsia="fr-FR" w:bidi="fr-FR"/>
        </w:rPr>
        <w:t xml:space="preserve">Cité par Louis Henkin, </w:t>
      </w:r>
      <w:r w:rsidRPr="000E644B">
        <w:rPr>
          <w:i/>
          <w:iCs/>
        </w:rPr>
        <w:t>op. cit.,</w:t>
      </w:r>
      <w:r w:rsidRPr="000E644B">
        <w:rPr>
          <w:lang w:val="fr-FR" w:eastAsia="fr-FR" w:bidi="fr-FR"/>
        </w:rPr>
        <w:t xml:space="preserve"> </w:t>
      </w:r>
      <w:r>
        <w:rPr>
          <w:lang w:val="fr-FR" w:eastAsia="fr-FR" w:bidi="fr-FR"/>
        </w:rPr>
        <w:t>p. 285.</w:t>
      </w:r>
    </w:p>
  </w:footnote>
  <w:footnote w:id="44">
    <w:p w14:paraId="12C435A7" w14:textId="77777777" w:rsidR="0039793A" w:rsidRDefault="0039793A" w:rsidP="0039793A">
      <w:pPr>
        <w:pStyle w:val="Notedebasdepage"/>
      </w:pPr>
      <w:r>
        <w:rPr>
          <w:rStyle w:val="Appelnotedebasdep"/>
        </w:rPr>
        <w:footnoteRef/>
      </w:r>
      <w:r>
        <w:tab/>
      </w:r>
      <w:r>
        <w:rPr>
          <w:lang w:val="fr-FR" w:eastAsia="fr-FR" w:bidi="fr-FR"/>
        </w:rPr>
        <w:t xml:space="preserve">Hamilton, </w:t>
      </w:r>
      <w:r w:rsidRPr="007843FD">
        <w:rPr>
          <w:i/>
          <w:iCs/>
        </w:rPr>
        <w:t>The Federalist</w:t>
      </w:r>
      <w:r>
        <w:t>,</w:t>
      </w:r>
      <w:r w:rsidRPr="000E644B">
        <w:t xml:space="preserve"> 15</w:t>
      </w:r>
      <w:r>
        <w:rPr>
          <w:lang w:val="fr-FR" w:eastAsia="fr-FR" w:bidi="fr-FR"/>
        </w:rPr>
        <w:t>, p. 69.</w:t>
      </w:r>
    </w:p>
  </w:footnote>
  <w:footnote w:id="45">
    <w:p w14:paraId="0C4AFE72" w14:textId="77777777" w:rsidR="0039793A" w:rsidRDefault="0039793A" w:rsidP="0039793A">
      <w:pPr>
        <w:pStyle w:val="Notedebasdepage"/>
      </w:pPr>
      <w:r>
        <w:rPr>
          <w:rStyle w:val="Appelnotedebasdep"/>
        </w:rPr>
        <w:footnoteRef/>
      </w:r>
      <w:r>
        <w:tab/>
      </w:r>
      <w:r w:rsidRPr="000E644B">
        <w:rPr>
          <w:i/>
          <w:iCs/>
        </w:rPr>
        <w:t>Ibid.,</w:t>
      </w:r>
      <w:r>
        <w:t xml:space="preserve"> </w:t>
      </w:r>
      <w:r w:rsidRPr="000E644B">
        <w:t>69, p. 348-354.</w:t>
      </w:r>
    </w:p>
  </w:footnote>
  <w:footnote w:id="46">
    <w:p w14:paraId="3410066D" w14:textId="77777777" w:rsidR="0039793A" w:rsidRDefault="0039793A" w:rsidP="0039793A">
      <w:pPr>
        <w:pStyle w:val="Notedebasdepage"/>
      </w:pPr>
      <w:r>
        <w:rPr>
          <w:rStyle w:val="Appelnotedebasdep"/>
        </w:rPr>
        <w:footnoteRef/>
      </w:r>
      <w:r>
        <w:tab/>
      </w:r>
      <w:r w:rsidRPr="000E644B">
        <w:rPr>
          <w:i/>
          <w:iCs/>
        </w:rPr>
        <w:t>Ibid.,</w:t>
      </w:r>
      <w:r>
        <w:t xml:space="preserve"> </w:t>
      </w:r>
      <w:r w:rsidRPr="000E644B">
        <w:t>64, p. 325.</w:t>
      </w:r>
    </w:p>
  </w:footnote>
  <w:footnote w:id="47">
    <w:p w14:paraId="65D3411D" w14:textId="77777777" w:rsidR="0039793A" w:rsidRDefault="0039793A" w:rsidP="0039793A">
      <w:pPr>
        <w:pStyle w:val="Notedebasdepage"/>
      </w:pPr>
      <w:r>
        <w:rPr>
          <w:rStyle w:val="Appelnotedebasdep"/>
        </w:rPr>
        <w:footnoteRef/>
      </w:r>
      <w:r>
        <w:tab/>
      </w:r>
      <w:r w:rsidRPr="000E644B">
        <w:rPr>
          <w:i/>
          <w:iCs/>
        </w:rPr>
        <w:t>Ibid.,</w:t>
      </w:r>
      <w:r>
        <w:t xml:space="preserve"> </w:t>
      </w:r>
      <w:r w:rsidRPr="000E644B">
        <w:t>69, p.</w:t>
      </w:r>
      <w:r>
        <w:rPr>
          <w:lang w:val="fr-FR" w:eastAsia="fr-FR" w:bidi="fr-FR"/>
        </w:rPr>
        <w:t xml:space="preserve"> 350.</w:t>
      </w:r>
    </w:p>
  </w:footnote>
  <w:footnote w:id="48">
    <w:p w14:paraId="7475D43E" w14:textId="77777777" w:rsidR="0039793A" w:rsidRDefault="0039793A" w:rsidP="0039793A">
      <w:pPr>
        <w:pStyle w:val="Notedebasdepage"/>
      </w:pPr>
      <w:r>
        <w:rPr>
          <w:rStyle w:val="Appelnotedebasdep"/>
        </w:rPr>
        <w:footnoteRef/>
      </w:r>
      <w:r>
        <w:tab/>
      </w:r>
      <w:r>
        <w:rPr>
          <w:lang w:val="fr-FR" w:eastAsia="fr-FR" w:bidi="fr-FR"/>
        </w:rPr>
        <w:t xml:space="preserve">Bernard Schwartz, </w:t>
      </w:r>
      <w:r w:rsidRPr="00E008FE">
        <w:rPr>
          <w:i/>
          <w:iCs/>
        </w:rPr>
        <w:t>op. cit</w:t>
      </w:r>
      <w:r>
        <w:t>.,</w:t>
      </w:r>
      <w:r>
        <w:rPr>
          <w:lang w:val="fr-FR" w:eastAsia="fr-FR" w:bidi="fr-FR"/>
        </w:rPr>
        <w:t xml:space="preserve"> p. 196.</w:t>
      </w:r>
    </w:p>
  </w:footnote>
  <w:footnote w:id="49">
    <w:p w14:paraId="675C3F23" w14:textId="77777777" w:rsidR="0039793A" w:rsidRDefault="0039793A" w:rsidP="0039793A">
      <w:pPr>
        <w:pStyle w:val="Notedebasdepage"/>
      </w:pPr>
      <w:r>
        <w:rPr>
          <w:rStyle w:val="Appelnotedebasdep"/>
        </w:rPr>
        <w:footnoteRef/>
      </w:r>
      <w:r>
        <w:tab/>
      </w:r>
      <w:r w:rsidRPr="000E644B">
        <w:rPr>
          <w:i/>
        </w:rPr>
        <w:t>Ibid</w:t>
      </w:r>
      <w:r>
        <w:t>,</w:t>
      </w:r>
      <w:r>
        <w:rPr>
          <w:lang w:val="fr-FR" w:eastAsia="fr-FR" w:bidi="fr-FR"/>
        </w:rPr>
        <w:t xml:space="preserve"> p. 118. Washington fait très vite l’expérience de cette disposition. R</w:t>
      </w:r>
      <w:r>
        <w:rPr>
          <w:lang w:val="fr-FR" w:eastAsia="fr-FR" w:bidi="fr-FR"/>
        </w:rPr>
        <w:t>é</w:t>
      </w:r>
      <w:r>
        <w:rPr>
          <w:lang w:val="fr-FR" w:eastAsia="fr-FR" w:bidi="fr-FR"/>
        </w:rPr>
        <w:t>solu d’appliquer la Constitution, il se rend lui-même au Sénat au mois d’août 1789 pour recueillir l’avis des législateurs s’agissant d’un traité qu’il se propose de négocier. Devant la lenteur des procédures, il revient à la Ma</w:t>
      </w:r>
      <w:r>
        <w:rPr>
          <w:lang w:val="fr-FR" w:eastAsia="fr-FR" w:bidi="fr-FR"/>
        </w:rPr>
        <w:t>i</w:t>
      </w:r>
      <w:r>
        <w:rPr>
          <w:lang w:val="fr-FR" w:eastAsia="fr-FR" w:bidi="fr-FR"/>
        </w:rPr>
        <w:t>son- Blanche sans avis concret, j</w:t>
      </w:r>
      <w:r>
        <w:rPr>
          <w:lang w:val="fr-FR" w:eastAsia="fr-FR" w:bidi="fr-FR"/>
        </w:rPr>
        <w:t>u</w:t>
      </w:r>
      <w:r>
        <w:rPr>
          <w:lang w:val="fr-FR" w:eastAsia="fr-FR" w:bidi="fr-FR"/>
        </w:rPr>
        <w:t>rant qu’on ne l’y prendrait plus.</w:t>
      </w:r>
    </w:p>
  </w:footnote>
  <w:footnote w:id="50">
    <w:p w14:paraId="58EF2237" w14:textId="77777777" w:rsidR="0039793A" w:rsidRDefault="0039793A" w:rsidP="0039793A">
      <w:pPr>
        <w:pStyle w:val="Notedebasdepage"/>
      </w:pPr>
      <w:r>
        <w:rPr>
          <w:rStyle w:val="Appelnotedebasdep"/>
        </w:rPr>
        <w:footnoteRef/>
      </w:r>
      <w:r>
        <w:tab/>
      </w:r>
      <w:r w:rsidRPr="000E644B">
        <w:rPr>
          <w:i/>
        </w:rPr>
        <w:t>The Federalist</w:t>
      </w:r>
      <w:r>
        <w:t>,</w:t>
      </w:r>
      <w:r>
        <w:rPr>
          <w:lang w:val="fr-FR" w:eastAsia="fr-FR" w:bidi="fr-FR"/>
        </w:rPr>
        <w:t xml:space="preserve"> 75, p. 382.</w:t>
      </w:r>
    </w:p>
  </w:footnote>
  <w:footnote w:id="51">
    <w:p w14:paraId="69008586" w14:textId="77777777" w:rsidR="0039793A" w:rsidRDefault="0039793A" w:rsidP="0039793A">
      <w:pPr>
        <w:pStyle w:val="Notedebasdepage"/>
      </w:pPr>
      <w:r>
        <w:rPr>
          <w:rStyle w:val="Appelnotedebasdep"/>
        </w:rPr>
        <w:footnoteRef/>
      </w:r>
      <w:r>
        <w:tab/>
      </w:r>
      <w:r w:rsidRPr="000E644B">
        <w:rPr>
          <w:i/>
        </w:rPr>
        <w:t>Op. cit</w:t>
      </w:r>
      <w:r>
        <w:t>.,</w:t>
      </w:r>
      <w:r>
        <w:rPr>
          <w:lang w:val="fr-FR" w:eastAsia="fr-FR" w:bidi="fr-FR"/>
        </w:rPr>
        <w:t xml:space="preserve"> 69, p. 349.</w:t>
      </w:r>
    </w:p>
  </w:footnote>
  <w:footnote w:id="52">
    <w:p w14:paraId="540F54F3" w14:textId="77777777" w:rsidR="0039793A" w:rsidRDefault="0039793A" w:rsidP="0039793A">
      <w:pPr>
        <w:pStyle w:val="Notedebasdepage"/>
      </w:pPr>
      <w:r>
        <w:rPr>
          <w:rStyle w:val="Appelnotedebasdep"/>
        </w:rPr>
        <w:footnoteRef/>
      </w:r>
      <w:r>
        <w:tab/>
      </w:r>
      <w:r>
        <w:rPr>
          <w:lang w:val="fr-FR" w:eastAsia="fr-FR" w:bidi="fr-FR"/>
        </w:rPr>
        <w:t xml:space="preserve">Voir Robert Katzmann, </w:t>
      </w:r>
      <w:r>
        <w:t>« </w:t>
      </w:r>
      <w:r>
        <w:rPr>
          <w:lang w:val="fr-FR" w:eastAsia="fr-FR" w:bidi="fr-FR"/>
        </w:rPr>
        <w:t>War Powers</w:t>
      </w:r>
      <w:r>
        <w:t> :</w:t>
      </w:r>
      <w:r>
        <w:rPr>
          <w:lang w:val="fr-FR" w:eastAsia="fr-FR" w:bidi="fr-FR"/>
        </w:rPr>
        <w:t xml:space="preserve"> Toward a New Acco</w:t>
      </w:r>
      <w:r>
        <w:rPr>
          <w:lang w:val="fr-FR" w:eastAsia="fr-FR" w:bidi="fr-FR"/>
        </w:rPr>
        <w:t>m</w:t>
      </w:r>
      <w:r>
        <w:rPr>
          <w:lang w:val="fr-FR" w:eastAsia="fr-FR" w:bidi="fr-FR"/>
        </w:rPr>
        <w:t>modation</w:t>
      </w:r>
      <w:r>
        <w:t> »</w:t>
      </w:r>
      <w:r>
        <w:rPr>
          <w:lang w:val="fr-FR" w:eastAsia="fr-FR" w:bidi="fr-FR"/>
        </w:rPr>
        <w:t xml:space="preserve">, dans Thomas Mann (ed.), </w:t>
      </w:r>
      <w:r>
        <w:t>op. cit.,</w:t>
      </w:r>
      <w:r>
        <w:rPr>
          <w:lang w:val="fr-FR" w:eastAsia="fr-FR" w:bidi="fr-FR"/>
        </w:rPr>
        <w:t xml:space="preserve"> p. 37-38</w:t>
      </w:r>
      <w:r>
        <w:t> ;</w:t>
      </w:r>
      <w:r>
        <w:rPr>
          <w:lang w:val="fr-FR" w:eastAsia="fr-FR" w:bidi="fr-FR"/>
        </w:rPr>
        <w:t xml:space="preserve"> Michael J. Glennon, </w:t>
      </w:r>
      <w:r>
        <w:t>« </w:t>
      </w:r>
      <w:r>
        <w:rPr>
          <w:lang w:val="fr-FR" w:eastAsia="fr-FR" w:bidi="fr-FR"/>
        </w:rPr>
        <w:t>The Gulf War and the Constit</w:t>
      </w:r>
      <w:r>
        <w:rPr>
          <w:lang w:val="fr-FR" w:eastAsia="fr-FR" w:bidi="fr-FR"/>
        </w:rPr>
        <w:t>u</w:t>
      </w:r>
      <w:r>
        <w:rPr>
          <w:lang w:val="fr-FR" w:eastAsia="fr-FR" w:bidi="fr-FR"/>
        </w:rPr>
        <w:t>tion</w:t>
      </w:r>
      <w:r>
        <w:t> »</w:t>
      </w:r>
      <w:r>
        <w:rPr>
          <w:lang w:val="fr-FR" w:eastAsia="fr-FR" w:bidi="fr-FR"/>
        </w:rPr>
        <w:t xml:space="preserve">, </w:t>
      </w:r>
      <w:r w:rsidRPr="00E008FE">
        <w:rPr>
          <w:i/>
          <w:iCs/>
        </w:rPr>
        <w:t>Foreign Affairs</w:t>
      </w:r>
      <w:r>
        <w:rPr>
          <w:lang w:val="fr-FR" w:eastAsia="fr-FR" w:bidi="fr-FR"/>
        </w:rPr>
        <w:t>, 70 (2) 1991, p. 87</w:t>
      </w:r>
      <w:r>
        <w:t> ;</w:t>
      </w:r>
      <w:r>
        <w:rPr>
          <w:lang w:val="fr-FR" w:eastAsia="fr-FR" w:bidi="fr-FR"/>
        </w:rPr>
        <w:t xml:space="preserve"> David Gray Adler, </w:t>
      </w:r>
      <w:r>
        <w:t>« </w:t>
      </w:r>
      <w:r>
        <w:rPr>
          <w:lang w:val="fr-FR" w:eastAsia="fr-FR" w:bidi="fr-FR"/>
        </w:rPr>
        <w:t>The Constitution and Presidential Warm</w:t>
      </w:r>
      <w:r>
        <w:rPr>
          <w:lang w:val="fr-FR" w:eastAsia="fr-FR" w:bidi="fr-FR"/>
        </w:rPr>
        <w:t>a</w:t>
      </w:r>
      <w:r>
        <w:rPr>
          <w:lang w:val="fr-FR" w:eastAsia="fr-FR" w:bidi="fr-FR"/>
        </w:rPr>
        <w:t>king</w:t>
      </w:r>
      <w:r>
        <w:t> »</w:t>
      </w:r>
      <w:r>
        <w:rPr>
          <w:lang w:val="fr-FR" w:eastAsia="fr-FR" w:bidi="fr-FR"/>
        </w:rPr>
        <w:t xml:space="preserve"> dans David Gray Adler et Larry N. George (eds), </w:t>
      </w:r>
      <w:r w:rsidRPr="00E008FE">
        <w:rPr>
          <w:i/>
          <w:iCs/>
        </w:rPr>
        <w:t>The Constitution and the Conduct of Amer</w:t>
      </w:r>
      <w:r w:rsidRPr="00E008FE">
        <w:rPr>
          <w:i/>
          <w:iCs/>
        </w:rPr>
        <w:t>i</w:t>
      </w:r>
      <w:r w:rsidRPr="00E008FE">
        <w:rPr>
          <w:i/>
          <w:iCs/>
        </w:rPr>
        <w:t>can Foreign Policy</w:t>
      </w:r>
      <w:r>
        <w:t>,</w:t>
      </w:r>
      <w:r>
        <w:rPr>
          <w:lang w:val="fr-FR" w:eastAsia="fr-FR" w:bidi="fr-FR"/>
        </w:rPr>
        <w:t xml:space="preserve"> L</w:t>
      </w:r>
      <w:r>
        <w:rPr>
          <w:lang w:val="fr-FR" w:eastAsia="fr-FR" w:bidi="fr-FR"/>
        </w:rPr>
        <w:t>a</w:t>
      </w:r>
      <w:r>
        <w:rPr>
          <w:lang w:val="fr-FR" w:eastAsia="fr-FR" w:bidi="fr-FR"/>
        </w:rPr>
        <w:t>wrence, KS, University Press of Kansas, 1996, p. 198-199.</w:t>
      </w:r>
    </w:p>
  </w:footnote>
  <w:footnote w:id="53">
    <w:p w14:paraId="6B3ABE00" w14:textId="77777777" w:rsidR="0039793A" w:rsidRDefault="0039793A" w:rsidP="0039793A">
      <w:pPr>
        <w:pStyle w:val="Notedebasdepage"/>
      </w:pPr>
      <w:r>
        <w:rPr>
          <w:rStyle w:val="Appelnotedebasdep"/>
        </w:rPr>
        <w:footnoteRef/>
      </w:r>
      <w:r>
        <w:tab/>
      </w:r>
      <w:r>
        <w:rPr>
          <w:lang w:val="fr-FR" w:eastAsia="fr-FR" w:bidi="fr-FR"/>
        </w:rPr>
        <w:t>Ce dernier déclarera d’ailleurs en tout et pour tout trois guerres (1812, 1846 et 1898).</w:t>
      </w:r>
    </w:p>
  </w:footnote>
  <w:footnote w:id="54">
    <w:p w14:paraId="4797EA07" w14:textId="77777777" w:rsidR="0039793A" w:rsidRDefault="0039793A" w:rsidP="0039793A">
      <w:pPr>
        <w:pStyle w:val="Notedebasdepage"/>
      </w:pPr>
      <w:r>
        <w:rPr>
          <w:rStyle w:val="Appelnotedebasdep"/>
        </w:rPr>
        <w:footnoteRef/>
      </w:r>
      <w:r>
        <w:tab/>
      </w:r>
      <w:r>
        <w:rPr>
          <w:lang w:val="fr-FR" w:eastAsia="fr-FR" w:bidi="fr-FR"/>
        </w:rPr>
        <w:t xml:space="preserve">Par opposition à la notion classique de </w:t>
      </w:r>
      <w:r>
        <w:t>« </w:t>
      </w:r>
      <w:r>
        <w:rPr>
          <w:lang w:val="fr-FR" w:eastAsia="fr-FR" w:bidi="fr-FR"/>
        </w:rPr>
        <w:t>régime présidentiel</w:t>
      </w:r>
      <w:r>
        <w:t> »</w:t>
      </w:r>
      <w:r>
        <w:rPr>
          <w:lang w:val="fr-FR" w:eastAsia="fr-FR" w:bidi="fr-FR"/>
        </w:rPr>
        <w:t>.</w:t>
      </w:r>
    </w:p>
  </w:footnote>
  <w:footnote w:id="55">
    <w:p w14:paraId="29F9FB44" w14:textId="77777777" w:rsidR="0039793A" w:rsidRDefault="0039793A" w:rsidP="0039793A">
      <w:pPr>
        <w:pStyle w:val="Notedebasdepage"/>
      </w:pPr>
      <w:r>
        <w:rPr>
          <w:rStyle w:val="Appelnotedebasdep"/>
        </w:rPr>
        <w:footnoteRef/>
      </w:r>
      <w:r>
        <w:tab/>
      </w:r>
      <w:r>
        <w:rPr>
          <w:lang w:val="fr-FR" w:eastAsia="fr-FR" w:bidi="fr-FR"/>
        </w:rPr>
        <w:t xml:space="preserve">Voir Larry N. George, </w:t>
      </w:r>
      <w:r>
        <w:t>« </w:t>
      </w:r>
      <w:r>
        <w:rPr>
          <w:lang w:val="fr-FR" w:eastAsia="fr-FR" w:bidi="fr-FR"/>
        </w:rPr>
        <w:t>Democratic Theory and the Conduct of American F</w:t>
      </w:r>
      <w:r>
        <w:rPr>
          <w:lang w:val="fr-FR" w:eastAsia="fr-FR" w:bidi="fr-FR"/>
        </w:rPr>
        <w:t>o</w:t>
      </w:r>
      <w:r>
        <w:rPr>
          <w:lang w:val="fr-FR" w:eastAsia="fr-FR" w:bidi="fr-FR"/>
        </w:rPr>
        <w:t>reign Policy</w:t>
      </w:r>
      <w:r>
        <w:t> »</w:t>
      </w:r>
      <w:r>
        <w:rPr>
          <w:lang w:val="fr-FR" w:eastAsia="fr-FR" w:bidi="fr-FR"/>
        </w:rPr>
        <w:t xml:space="preserve"> dans David Gray Adler et Larry N. George (eds), </w:t>
      </w:r>
      <w:r w:rsidRPr="004E39CD">
        <w:rPr>
          <w:i/>
          <w:iCs/>
        </w:rPr>
        <w:t>op. cit</w:t>
      </w:r>
      <w:r>
        <w:t>.,</w:t>
      </w:r>
      <w:r>
        <w:rPr>
          <w:lang w:val="fr-FR" w:eastAsia="fr-FR" w:bidi="fr-FR"/>
        </w:rPr>
        <w:t xml:space="preserve"> p. 65.</w:t>
      </w:r>
    </w:p>
  </w:footnote>
  <w:footnote w:id="56">
    <w:p w14:paraId="762928AE" w14:textId="77777777" w:rsidR="0039793A" w:rsidRDefault="0039793A" w:rsidP="0039793A">
      <w:pPr>
        <w:pStyle w:val="Notedebasdepage"/>
      </w:pPr>
      <w:r>
        <w:rPr>
          <w:rStyle w:val="Appelnotedebasdep"/>
        </w:rPr>
        <w:footnoteRef/>
      </w:r>
      <w:r>
        <w:tab/>
      </w:r>
      <w:r>
        <w:rPr>
          <w:lang w:val="fr-FR" w:eastAsia="fr-FR" w:bidi="fr-FR"/>
        </w:rPr>
        <w:t xml:space="preserve">Hamilton, </w:t>
      </w:r>
      <w:r w:rsidRPr="004E39CD">
        <w:rPr>
          <w:i/>
          <w:iCs/>
        </w:rPr>
        <w:t>The Federalist</w:t>
      </w:r>
      <w:r>
        <w:t>,</w:t>
      </w:r>
      <w:r>
        <w:rPr>
          <w:lang w:val="fr-FR" w:eastAsia="fr-FR" w:bidi="fr-FR"/>
        </w:rPr>
        <w:t xml:space="preserve"> 75, p. 382.</w:t>
      </w:r>
    </w:p>
  </w:footnote>
  <w:footnote w:id="57">
    <w:p w14:paraId="240A9845" w14:textId="77777777" w:rsidR="0039793A" w:rsidRDefault="0039793A" w:rsidP="0039793A">
      <w:pPr>
        <w:pStyle w:val="Notedebasdepage"/>
      </w:pPr>
      <w:r>
        <w:rPr>
          <w:rStyle w:val="Appelnotedebasdep"/>
        </w:rPr>
        <w:footnoteRef/>
      </w:r>
      <w:r>
        <w:tab/>
      </w:r>
      <w:r>
        <w:rPr>
          <w:lang w:val="fr-FR" w:eastAsia="fr-FR" w:bidi="fr-FR"/>
        </w:rPr>
        <w:t>En témoignent les exemples de Lyndon Johnson qui induit la population et le Congrès en erreur au moment où il s’engage profo</w:t>
      </w:r>
      <w:r>
        <w:rPr>
          <w:lang w:val="fr-FR" w:eastAsia="fr-FR" w:bidi="fr-FR"/>
        </w:rPr>
        <w:t>n</w:t>
      </w:r>
      <w:r>
        <w:rPr>
          <w:lang w:val="fr-FR" w:eastAsia="fr-FR" w:bidi="fr-FR"/>
        </w:rPr>
        <w:t>dément dans le conflit vietnamien, de Richard Nixon et Henry Kissi</w:t>
      </w:r>
      <w:r>
        <w:rPr>
          <w:lang w:val="fr-FR" w:eastAsia="fr-FR" w:bidi="fr-FR"/>
        </w:rPr>
        <w:t>n</w:t>
      </w:r>
      <w:r>
        <w:rPr>
          <w:lang w:val="fr-FR" w:eastAsia="fr-FR" w:bidi="fr-FR"/>
        </w:rPr>
        <w:t>ger qui mènent l’essentiel de leurs politiques dans le secret, de Jimmy Carter qui utilise la crise ir</w:t>
      </w:r>
      <w:r>
        <w:rPr>
          <w:lang w:val="fr-FR" w:eastAsia="fr-FR" w:bidi="fr-FR"/>
        </w:rPr>
        <w:t>a</w:t>
      </w:r>
      <w:r>
        <w:rPr>
          <w:lang w:val="fr-FR" w:eastAsia="fr-FR" w:bidi="fr-FR"/>
        </w:rPr>
        <w:t>nienne dans sa lutte contre son adversaire Edward Kennedy lors des primaires pr</w:t>
      </w:r>
      <w:r>
        <w:rPr>
          <w:lang w:val="fr-FR" w:eastAsia="fr-FR" w:bidi="fr-FR"/>
        </w:rPr>
        <w:t>é</w:t>
      </w:r>
      <w:r>
        <w:rPr>
          <w:lang w:val="fr-FR" w:eastAsia="fr-FR" w:bidi="fr-FR"/>
        </w:rPr>
        <w:t>sidentielles de 1980, de R</w:t>
      </w:r>
      <w:r>
        <w:rPr>
          <w:lang w:val="fr-FR" w:eastAsia="fr-FR" w:bidi="fr-FR"/>
        </w:rPr>
        <w:t>o</w:t>
      </w:r>
      <w:r>
        <w:rPr>
          <w:lang w:val="fr-FR" w:eastAsia="fr-FR" w:bidi="fr-FR"/>
        </w:rPr>
        <w:t>nald Reagan qui trompe le Congrès en autorisant des tractations secr</w:t>
      </w:r>
      <w:r>
        <w:rPr>
          <w:lang w:val="fr-FR" w:eastAsia="fr-FR" w:bidi="fr-FR"/>
        </w:rPr>
        <w:t>è</w:t>
      </w:r>
      <w:r>
        <w:rPr>
          <w:lang w:val="fr-FR" w:eastAsia="fr-FR" w:bidi="fr-FR"/>
        </w:rPr>
        <w:t xml:space="preserve">tes pour armer les rebelles au Nicaragua. </w:t>
      </w:r>
      <w:r>
        <w:t>« </w:t>
      </w:r>
      <w:r>
        <w:rPr>
          <w:lang w:val="fr-FR" w:eastAsia="fr-FR" w:bidi="fr-FR"/>
        </w:rPr>
        <w:t>Trop souvent depuis 1964, ils ont utilisé la politique étrangère pour appuyer leurs pos</w:t>
      </w:r>
      <w:r>
        <w:rPr>
          <w:lang w:val="fr-FR" w:eastAsia="fr-FR" w:bidi="fr-FR"/>
        </w:rPr>
        <w:t>i</w:t>
      </w:r>
      <w:r>
        <w:rPr>
          <w:lang w:val="fr-FR" w:eastAsia="fr-FR" w:bidi="fr-FR"/>
        </w:rPr>
        <w:t>tions personnelles...</w:t>
      </w:r>
      <w:r>
        <w:t> »</w:t>
      </w:r>
      <w:r>
        <w:rPr>
          <w:lang w:val="fr-FR" w:eastAsia="fr-FR" w:bidi="fr-FR"/>
        </w:rPr>
        <w:t>, I.M. Destler, Leslie H. Gelb et A</w:t>
      </w:r>
      <w:r>
        <w:rPr>
          <w:lang w:val="fr-FR" w:eastAsia="fr-FR" w:bidi="fr-FR"/>
        </w:rPr>
        <w:t>n</w:t>
      </w:r>
      <w:r>
        <w:rPr>
          <w:lang w:val="fr-FR" w:eastAsia="fr-FR" w:bidi="fr-FR"/>
        </w:rPr>
        <w:t xml:space="preserve">thony Lake, </w:t>
      </w:r>
      <w:r w:rsidRPr="004E39CD">
        <w:rPr>
          <w:i/>
          <w:iCs/>
        </w:rPr>
        <w:t>Our Own Worst Enemy : The Unmaking of Am</w:t>
      </w:r>
      <w:r w:rsidRPr="004E39CD">
        <w:rPr>
          <w:i/>
          <w:iCs/>
        </w:rPr>
        <w:t>e</w:t>
      </w:r>
      <w:r w:rsidRPr="004E39CD">
        <w:rPr>
          <w:i/>
          <w:iCs/>
        </w:rPr>
        <w:t>rican Foreign Policy</w:t>
      </w:r>
      <w:r>
        <w:t>,</w:t>
      </w:r>
      <w:r>
        <w:rPr>
          <w:lang w:val="fr-FR" w:eastAsia="fr-FR" w:bidi="fr-FR"/>
        </w:rPr>
        <w:t xml:space="preserve"> New York, Simon &amp; Schu</w:t>
      </w:r>
      <w:r>
        <w:rPr>
          <w:lang w:val="fr-FR" w:eastAsia="fr-FR" w:bidi="fr-FR"/>
        </w:rPr>
        <w:t>s</w:t>
      </w:r>
      <w:r>
        <w:rPr>
          <w:lang w:val="fr-FR" w:eastAsia="fr-FR" w:bidi="fr-FR"/>
        </w:rPr>
        <w:t>ter, 1984, p. 21.</w:t>
      </w:r>
    </w:p>
  </w:footnote>
  <w:footnote w:id="58">
    <w:p w14:paraId="458048B0" w14:textId="77777777" w:rsidR="0039793A" w:rsidRDefault="0039793A" w:rsidP="0039793A">
      <w:pPr>
        <w:pStyle w:val="Notedebasdepage"/>
      </w:pPr>
      <w:r>
        <w:rPr>
          <w:rStyle w:val="Appelnotedebasdep"/>
        </w:rPr>
        <w:footnoteRef/>
      </w:r>
      <w:r>
        <w:tab/>
      </w:r>
      <w:r>
        <w:rPr>
          <w:lang w:val="fr-FR" w:eastAsia="fr-FR" w:bidi="fr-FR"/>
        </w:rPr>
        <w:t>La question que pose Michael Glennon est d’ailleurs la suiva</w:t>
      </w:r>
      <w:r>
        <w:rPr>
          <w:lang w:val="fr-FR" w:eastAsia="fr-FR" w:bidi="fr-FR"/>
        </w:rPr>
        <w:t>n</w:t>
      </w:r>
      <w:r>
        <w:rPr>
          <w:lang w:val="fr-FR" w:eastAsia="fr-FR" w:bidi="fr-FR"/>
        </w:rPr>
        <w:t>te</w:t>
      </w:r>
      <w:r>
        <w:t> :</w:t>
      </w:r>
      <w:r>
        <w:rPr>
          <w:lang w:val="fr-FR" w:eastAsia="fr-FR" w:bidi="fr-FR"/>
        </w:rPr>
        <w:t xml:space="preserve"> pourquoi tous ces pouvoirs s’ils ne signifient rien</w:t>
      </w:r>
      <w:r>
        <w:t> ?</w:t>
      </w:r>
      <w:r>
        <w:rPr>
          <w:lang w:val="fr-FR" w:eastAsia="fr-FR" w:bidi="fr-FR"/>
        </w:rPr>
        <w:t xml:space="preserve">, </w:t>
      </w:r>
      <w:r w:rsidRPr="004E39CD">
        <w:rPr>
          <w:i/>
          <w:iCs/>
        </w:rPr>
        <w:t>op. cit</w:t>
      </w:r>
      <w:r>
        <w:t>.,</w:t>
      </w:r>
      <w:r>
        <w:rPr>
          <w:lang w:val="fr-FR" w:eastAsia="fr-FR" w:bidi="fr-FR"/>
        </w:rPr>
        <w:t xml:space="preserve"> p. 91. Ces pouvoirs n’ont au demeurant fait l’objet d’aucun amendement con</w:t>
      </w:r>
      <w:r>
        <w:rPr>
          <w:lang w:val="fr-FR" w:eastAsia="fr-FR" w:bidi="fr-FR"/>
        </w:rPr>
        <w:t>s</w:t>
      </w:r>
      <w:r>
        <w:rPr>
          <w:lang w:val="fr-FR" w:eastAsia="fr-FR" w:bidi="fr-FR"/>
        </w:rPr>
        <w:t>titutionnel.</w:t>
      </w:r>
    </w:p>
  </w:footnote>
  <w:footnote w:id="59">
    <w:p w14:paraId="65715590" w14:textId="77777777" w:rsidR="0039793A" w:rsidRDefault="0039793A" w:rsidP="0039793A">
      <w:pPr>
        <w:pStyle w:val="Notedebasdepage"/>
      </w:pPr>
      <w:r>
        <w:rPr>
          <w:rStyle w:val="Appelnotedebasdep"/>
        </w:rPr>
        <w:footnoteRef/>
      </w:r>
      <w:r>
        <w:tab/>
      </w:r>
      <w:r>
        <w:rPr>
          <w:lang w:val="fr-FR" w:eastAsia="fr-FR" w:bidi="fr-FR"/>
        </w:rPr>
        <w:t xml:space="preserve">Cité par Robert Spitzer, </w:t>
      </w:r>
      <w:r>
        <w:t>« </w:t>
      </w:r>
      <w:r>
        <w:rPr>
          <w:lang w:val="fr-FR" w:eastAsia="fr-FR" w:bidi="fr-FR"/>
        </w:rPr>
        <w:t>The President, Congress and the Fulcrum of F</w:t>
      </w:r>
      <w:r>
        <w:rPr>
          <w:lang w:val="fr-FR" w:eastAsia="fr-FR" w:bidi="fr-FR"/>
        </w:rPr>
        <w:t>o</w:t>
      </w:r>
      <w:r>
        <w:rPr>
          <w:lang w:val="fr-FR" w:eastAsia="fr-FR" w:bidi="fr-FR"/>
        </w:rPr>
        <w:t>reign Policy</w:t>
      </w:r>
      <w:r>
        <w:t> »</w:t>
      </w:r>
      <w:r>
        <w:rPr>
          <w:lang w:val="fr-FR" w:eastAsia="fr-FR" w:bidi="fr-FR"/>
        </w:rPr>
        <w:t>, dans David G. Adler et Larry N. Geo</w:t>
      </w:r>
      <w:r>
        <w:rPr>
          <w:lang w:val="fr-FR" w:eastAsia="fr-FR" w:bidi="fr-FR"/>
        </w:rPr>
        <w:t>r</w:t>
      </w:r>
      <w:r>
        <w:rPr>
          <w:lang w:val="fr-FR" w:eastAsia="fr-FR" w:bidi="fr-FR"/>
        </w:rPr>
        <w:t xml:space="preserve">ge (eds), </w:t>
      </w:r>
      <w:r w:rsidRPr="004E39CD">
        <w:rPr>
          <w:i/>
          <w:iCs/>
        </w:rPr>
        <w:t>op. cit</w:t>
      </w:r>
      <w:r>
        <w:t>.,</w:t>
      </w:r>
      <w:r>
        <w:rPr>
          <w:lang w:val="fr-FR" w:eastAsia="fr-FR" w:bidi="fr-FR"/>
        </w:rPr>
        <w:t xml:space="preserve"> p. 85.</w:t>
      </w:r>
    </w:p>
  </w:footnote>
  <w:footnote w:id="60">
    <w:p w14:paraId="47EC560B" w14:textId="77777777" w:rsidR="0039793A" w:rsidRDefault="0039793A" w:rsidP="0039793A">
      <w:pPr>
        <w:pStyle w:val="Notedebasdepage"/>
      </w:pPr>
      <w:r>
        <w:rPr>
          <w:rStyle w:val="Appelnotedebasdep"/>
        </w:rPr>
        <w:footnoteRef/>
      </w:r>
      <w:r>
        <w:tab/>
      </w:r>
      <w:r>
        <w:rPr>
          <w:lang w:val="fr-FR" w:eastAsia="fr-FR" w:bidi="fr-FR"/>
        </w:rPr>
        <w:t xml:space="preserve">Conformément au message d’adieu de Washington. </w:t>
      </w:r>
      <w:r w:rsidRPr="00F03160">
        <w:rPr>
          <w:i/>
          <w:iCs/>
        </w:rPr>
        <w:t>Les grands textes de l'histoire américaine</w:t>
      </w:r>
      <w:r>
        <w:t>,</w:t>
      </w:r>
      <w:r>
        <w:rPr>
          <w:lang w:val="fr-FR" w:eastAsia="fr-FR" w:bidi="fr-FR"/>
        </w:rPr>
        <w:t xml:space="preserve"> réunis par Henry Steele Co</w:t>
      </w:r>
      <w:r>
        <w:rPr>
          <w:lang w:val="fr-FR" w:eastAsia="fr-FR" w:bidi="fr-FR"/>
        </w:rPr>
        <w:t>m</w:t>
      </w:r>
      <w:r>
        <w:rPr>
          <w:lang w:val="fr-FR" w:eastAsia="fr-FR" w:bidi="fr-FR"/>
        </w:rPr>
        <w:t xml:space="preserve">mager, Washington, Le service américain d’information, 1977, p. 29. Voir aussi Félix Gilbert, </w:t>
      </w:r>
      <w:r w:rsidRPr="00F03160">
        <w:rPr>
          <w:i/>
          <w:iCs/>
        </w:rPr>
        <w:t>To the Farewell Address, Ideas of Early American Foreign Policy</w:t>
      </w:r>
      <w:r>
        <w:t>,</w:t>
      </w:r>
      <w:r>
        <w:rPr>
          <w:lang w:val="fr-FR" w:eastAsia="fr-FR" w:bidi="fr-FR"/>
        </w:rPr>
        <w:t xml:space="preserve"> Princ</w:t>
      </w:r>
      <w:r>
        <w:rPr>
          <w:lang w:val="fr-FR" w:eastAsia="fr-FR" w:bidi="fr-FR"/>
        </w:rPr>
        <w:t>e</w:t>
      </w:r>
      <w:r>
        <w:rPr>
          <w:lang w:val="fr-FR" w:eastAsia="fr-FR" w:bidi="fr-FR"/>
        </w:rPr>
        <w:t>ton, Princeton University Press, 1961, p. 145.</w:t>
      </w:r>
    </w:p>
  </w:footnote>
  <w:footnote w:id="61">
    <w:p w14:paraId="50ADD0F1" w14:textId="77777777" w:rsidR="0039793A" w:rsidRDefault="0039793A" w:rsidP="0039793A">
      <w:pPr>
        <w:pStyle w:val="Notedebasdepage"/>
      </w:pPr>
      <w:r>
        <w:rPr>
          <w:rStyle w:val="Appelnotedebasdep"/>
        </w:rPr>
        <w:footnoteRef/>
      </w:r>
      <w:r>
        <w:tab/>
      </w:r>
      <w:r>
        <w:rPr>
          <w:lang w:val="fr-FR" w:eastAsia="fr-FR" w:bidi="fr-FR"/>
        </w:rPr>
        <w:t xml:space="preserve">Voir Robert Spitzer, </w:t>
      </w:r>
      <w:r w:rsidRPr="00F03160">
        <w:rPr>
          <w:i/>
          <w:iCs/>
        </w:rPr>
        <w:t>op. cit</w:t>
      </w:r>
      <w:r>
        <w:t>.,</w:t>
      </w:r>
      <w:r>
        <w:rPr>
          <w:lang w:val="fr-FR" w:eastAsia="fr-FR" w:bidi="fr-FR"/>
        </w:rPr>
        <w:t xml:space="preserve"> p. 85-86.</w:t>
      </w:r>
    </w:p>
  </w:footnote>
  <w:footnote w:id="62">
    <w:p w14:paraId="37358B70" w14:textId="77777777" w:rsidR="0039793A" w:rsidRDefault="0039793A" w:rsidP="0039793A">
      <w:pPr>
        <w:pStyle w:val="Notedebasdepage"/>
      </w:pPr>
      <w:r>
        <w:rPr>
          <w:rStyle w:val="Appelnotedebasdep"/>
        </w:rPr>
        <w:footnoteRef/>
      </w:r>
      <w:r>
        <w:tab/>
      </w:r>
      <w:r>
        <w:rPr>
          <w:lang w:val="fr-FR" w:eastAsia="fr-FR" w:bidi="fr-FR"/>
        </w:rPr>
        <w:t>Loi parrainée par le sénateur Clifford Case et le représentant Clement Z</w:t>
      </w:r>
      <w:r>
        <w:rPr>
          <w:lang w:val="fr-FR" w:eastAsia="fr-FR" w:bidi="fr-FR"/>
        </w:rPr>
        <w:t>a</w:t>
      </w:r>
      <w:r>
        <w:rPr>
          <w:lang w:val="fr-FR" w:eastAsia="fr-FR" w:bidi="fr-FR"/>
        </w:rPr>
        <w:t>blocki, en janvier 1972 et adoptée en août de la même a</w:t>
      </w:r>
      <w:r>
        <w:rPr>
          <w:lang w:val="fr-FR" w:eastAsia="fr-FR" w:bidi="fr-FR"/>
        </w:rPr>
        <w:t>n</w:t>
      </w:r>
      <w:r>
        <w:rPr>
          <w:lang w:val="fr-FR" w:eastAsia="fr-FR" w:bidi="fr-FR"/>
        </w:rPr>
        <w:t>née.</w:t>
      </w:r>
    </w:p>
  </w:footnote>
  <w:footnote w:id="63">
    <w:p w14:paraId="1C331205" w14:textId="77777777" w:rsidR="0039793A" w:rsidRDefault="0039793A" w:rsidP="0039793A">
      <w:pPr>
        <w:pStyle w:val="Notedebasdepage"/>
      </w:pPr>
      <w:r>
        <w:rPr>
          <w:rStyle w:val="Appelnotedebasdep"/>
        </w:rPr>
        <w:footnoteRef/>
      </w:r>
      <w:r>
        <w:tab/>
      </w:r>
      <w:r>
        <w:rPr>
          <w:lang w:val="fr-FR" w:eastAsia="fr-FR" w:bidi="fr-FR"/>
        </w:rPr>
        <w:t>La différence est plutôt ténue entre une entente et un a</w:t>
      </w:r>
      <w:r>
        <w:rPr>
          <w:lang w:val="fr-FR" w:eastAsia="fr-FR" w:bidi="fr-FR"/>
        </w:rPr>
        <w:t>c</w:t>
      </w:r>
      <w:r>
        <w:rPr>
          <w:lang w:val="fr-FR" w:eastAsia="fr-FR" w:bidi="fr-FR"/>
        </w:rPr>
        <w:t>cord exécutif, ce qui ne simplifie pas les choses. L’entente, souvent purement verbale, est cons</w:t>
      </w:r>
      <w:r>
        <w:rPr>
          <w:lang w:val="fr-FR" w:eastAsia="fr-FR" w:bidi="fr-FR"/>
        </w:rPr>
        <w:t>i</w:t>
      </w:r>
      <w:r>
        <w:rPr>
          <w:lang w:val="fr-FR" w:eastAsia="fr-FR" w:bidi="fr-FR"/>
        </w:rPr>
        <w:t xml:space="preserve">dérée comme moins contraignante. Voir Robert J. Spitzer, </w:t>
      </w:r>
      <w:r w:rsidRPr="00F03160">
        <w:rPr>
          <w:i/>
          <w:iCs/>
        </w:rPr>
        <w:t>op. cit</w:t>
      </w:r>
      <w:r>
        <w:t>.,</w:t>
      </w:r>
      <w:r>
        <w:rPr>
          <w:lang w:val="fr-FR" w:eastAsia="fr-FR" w:bidi="fr-FR"/>
        </w:rPr>
        <w:t xml:space="preserve"> p. 96-97.</w:t>
      </w:r>
    </w:p>
  </w:footnote>
  <w:footnote w:id="64">
    <w:p w14:paraId="6E47047C" w14:textId="77777777" w:rsidR="0039793A" w:rsidRDefault="0039793A" w:rsidP="0039793A">
      <w:pPr>
        <w:pStyle w:val="Notedebasdepage"/>
      </w:pPr>
      <w:r>
        <w:rPr>
          <w:rStyle w:val="Appelnotedebasdep"/>
        </w:rPr>
        <w:footnoteRef/>
      </w:r>
      <w:r>
        <w:tab/>
      </w:r>
      <w:r>
        <w:rPr>
          <w:lang w:val="fr-FR" w:eastAsia="fr-FR" w:bidi="fr-FR"/>
        </w:rPr>
        <w:t>La guerre contre le Japon est déclarée par le Congrès, le 8 d</w:t>
      </w:r>
      <w:r>
        <w:rPr>
          <w:lang w:val="fr-FR" w:eastAsia="fr-FR" w:bidi="fr-FR"/>
        </w:rPr>
        <w:t>é</w:t>
      </w:r>
      <w:r>
        <w:rPr>
          <w:lang w:val="fr-FR" w:eastAsia="fr-FR" w:bidi="fr-FR"/>
        </w:rPr>
        <w:t>cembre 1941, avec une seule voix dissidente. Le 14 se</w:t>
      </w:r>
      <w:r>
        <w:rPr>
          <w:lang w:val="fr-FR" w:eastAsia="fr-FR" w:bidi="fr-FR"/>
        </w:rPr>
        <w:t>p</w:t>
      </w:r>
      <w:r>
        <w:rPr>
          <w:lang w:val="fr-FR" w:eastAsia="fr-FR" w:bidi="fr-FR"/>
        </w:rPr>
        <w:t>tembre 2001, une résolution conjointe des deux Chambres du Congrès autorise le président à utiliser la force contre les responsables des attaques terr</w:t>
      </w:r>
      <w:r>
        <w:rPr>
          <w:lang w:val="fr-FR" w:eastAsia="fr-FR" w:bidi="fr-FR"/>
        </w:rPr>
        <w:t>o</w:t>
      </w:r>
      <w:r>
        <w:rPr>
          <w:lang w:val="fr-FR" w:eastAsia="fr-FR" w:bidi="fr-FR"/>
        </w:rPr>
        <w:t>ristes.</w:t>
      </w:r>
    </w:p>
  </w:footnote>
  <w:footnote w:id="65">
    <w:p w14:paraId="3583EB81" w14:textId="77777777" w:rsidR="0039793A" w:rsidRDefault="0039793A" w:rsidP="0039793A">
      <w:pPr>
        <w:pStyle w:val="Notedebasdepage"/>
      </w:pPr>
      <w:r>
        <w:rPr>
          <w:rStyle w:val="Appelnotedebasdep"/>
        </w:rPr>
        <w:footnoteRef/>
      </w:r>
      <w:r>
        <w:tab/>
      </w:r>
      <w:r>
        <w:rPr>
          <w:lang w:val="fr-FR" w:eastAsia="fr-FR" w:bidi="fr-FR"/>
        </w:rPr>
        <w:t>Résolution conjointe, le 16 octobre 2002, autorisant l’usage de la force milita</w:t>
      </w:r>
      <w:r>
        <w:rPr>
          <w:lang w:val="fr-FR" w:eastAsia="fr-FR" w:bidi="fr-FR"/>
        </w:rPr>
        <w:t>i</w:t>
      </w:r>
      <w:r>
        <w:rPr>
          <w:lang w:val="fr-FR" w:eastAsia="fr-FR" w:bidi="fr-FR"/>
        </w:rPr>
        <w:t>re contre l’Irak. Votée à 77 voix contre 23 au Sénat et à 296 contre 133 à la Chambre.</w:t>
      </w:r>
    </w:p>
  </w:footnote>
  <w:footnote w:id="66">
    <w:p w14:paraId="20EE816B" w14:textId="77777777" w:rsidR="0039793A" w:rsidRDefault="0039793A" w:rsidP="0039793A">
      <w:pPr>
        <w:pStyle w:val="Notedebasdepage"/>
      </w:pPr>
      <w:r>
        <w:rPr>
          <w:rStyle w:val="Appelnotedebasdep"/>
        </w:rPr>
        <w:footnoteRef/>
      </w:r>
      <w:r>
        <w:tab/>
      </w:r>
      <w:r>
        <w:rPr>
          <w:lang w:val="fr-FR" w:eastAsia="fr-FR" w:bidi="fr-FR"/>
        </w:rPr>
        <w:t>D’après le témoignage d’Antony Blinken, alors directeur du pe</w:t>
      </w:r>
      <w:r>
        <w:rPr>
          <w:lang w:val="fr-FR" w:eastAsia="fr-FR" w:bidi="fr-FR"/>
        </w:rPr>
        <w:t>r</w:t>
      </w:r>
      <w:r>
        <w:rPr>
          <w:lang w:val="fr-FR" w:eastAsia="fr-FR" w:bidi="fr-FR"/>
        </w:rPr>
        <w:t>sonnel de la Commission sénatoriale sur les Affaires étrangères, la résolution restreint l’usage de la force à un seul pays, l’Irak, conditionnellement (</w:t>
      </w:r>
      <w:r>
        <w:t>« </w:t>
      </w:r>
      <w:r>
        <w:rPr>
          <w:lang w:val="fr-FR" w:eastAsia="fr-FR" w:bidi="fr-FR"/>
        </w:rPr>
        <w:t>si nécessa</w:t>
      </w:r>
      <w:r>
        <w:rPr>
          <w:lang w:val="fr-FR" w:eastAsia="fr-FR" w:bidi="fr-FR"/>
        </w:rPr>
        <w:t>i</w:t>
      </w:r>
      <w:r>
        <w:rPr>
          <w:lang w:val="fr-FR" w:eastAsia="fr-FR" w:bidi="fr-FR"/>
        </w:rPr>
        <w:t>re</w:t>
      </w:r>
      <w:r>
        <w:t> »</w:t>
      </w:r>
      <w:r>
        <w:rPr>
          <w:lang w:val="fr-FR" w:eastAsia="fr-FR" w:bidi="fr-FR"/>
        </w:rPr>
        <w:t>) et après avoir exploré les possibilités d’un désa</w:t>
      </w:r>
      <w:r>
        <w:rPr>
          <w:lang w:val="fr-FR" w:eastAsia="fr-FR" w:bidi="fr-FR"/>
        </w:rPr>
        <w:t>r</w:t>
      </w:r>
      <w:r>
        <w:rPr>
          <w:lang w:val="fr-FR" w:eastAsia="fr-FR" w:bidi="fr-FR"/>
        </w:rPr>
        <w:t>mement pacifique par l’intermédiaire du Conseil de sécurité des Nations unies.</w:t>
      </w:r>
    </w:p>
  </w:footnote>
  <w:footnote w:id="67">
    <w:p w14:paraId="78E79945" w14:textId="77777777" w:rsidR="0039793A" w:rsidRDefault="0039793A" w:rsidP="0039793A">
      <w:pPr>
        <w:pStyle w:val="Notedebasdepage"/>
      </w:pPr>
      <w:r>
        <w:rPr>
          <w:rStyle w:val="Appelnotedebasdep"/>
        </w:rPr>
        <w:footnoteRef/>
      </w:r>
      <w:r>
        <w:tab/>
      </w:r>
      <w:r>
        <w:rPr>
          <w:lang w:val="fr-FR" w:eastAsia="fr-FR" w:bidi="fr-FR"/>
        </w:rPr>
        <w:t xml:space="preserve">Louis Henkin, </w:t>
      </w:r>
      <w:r>
        <w:t>« </w:t>
      </w:r>
      <w:r>
        <w:rPr>
          <w:lang w:val="fr-FR" w:eastAsia="fr-FR" w:bidi="fr-FR"/>
        </w:rPr>
        <w:t>Foreign Affairs and the Constitution</w:t>
      </w:r>
      <w:r>
        <w:t> »</w:t>
      </w:r>
      <w:r>
        <w:rPr>
          <w:lang w:val="fr-FR" w:eastAsia="fr-FR" w:bidi="fr-FR"/>
        </w:rPr>
        <w:t xml:space="preserve">, </w:t>
      </w:r>
      <w:r w:rsidRPr="00472C8A">
        <w:rPr>
          <w:i/>
          <w:iCs/>
        </w:rPr>
        <w:t>F</w:t>
      </w:r>
      <w:r w:rsidRPr="00472C8A">
        <w:rPr>
          <w:i/>
          <w:iCs/>
        </w:rPr>
        <w:t>o</w:t>
      </w:r>
      <w:r w:rsidRPr="00472C8A">
        <w:rPr>
          <w:i/>
          <w:iCs/>
        </w:rPr>
        <w:t>reign Affairs</w:t>
      </w:r>
      <w:r>
        <w:t xml:space="preserve">, </w:t>
      </w:r>
      <w:r>
        <w:rPr>
          <w:lang w:val="fr-FR" w:eastAsia="fr-FR" w:bidi="fr-FR"/>
        </w:rPr>
        <w:t>p. 301.</w:t>
      </w:r>
    </w:p>
  </w:footnote>
  <w:footnote w:id="68">
    <w:p w14:paraId="67EFDD22" w14:textId="77777777" w:rsidR="0039793A" w:rsidRDefault="0039793A" w:rsidP="0039793A">
      <w:pPr>
        <w:pStyle w:val="Notedebasdepage"/>
      </w:pPr>
      <w:r>
        <w:rPr>
          <w:rStyle w:val="Appelnotedebasdep"/>
        </w:rPr>
        <w:footnoteRef/>
      </w:r>
      <w:r>
        <w:tab/>
      </w:r>
      <w:r>
        <w:rPr>
          <w:lang w:val="fr-FR" w:eastAsia="fr-FR" w:bidi="fr-FR"/>
        </w:rPr>
        <w:t xml:space="preserve">Nixon a vigoureusement dénoncé cette loi qui, selon lui, </w:t>
      </w:r>
      <w:r>
        <w:t>« </w:t>
      </w:r>
      <w:r>
        <w:rPr>
          <w:lang w:val="fr-FR" w:eastAsia="fr-FR" w:bidi="fr-FR"/>
        </w:rPr>
        <w:t>pouvait miner sérieusement la capacité d’agir de façon déc</w:t>
      </w:r>
      <w:r>
        <w:rPr>
          <w:lang w:val="fr-FR" w:eastAsia="fr-FR" w:bidi="fr-FR"/>
        </w:rPr>
        <w:t>i</w:t>
      </w:r>
      <w:r>
        <w:rPr>
          <w:lang w:val="fr-FR" w:eastAsia="fr-FR" w:bidi="fr-FR"/>
        </w:rPr>
        <w:t>sive et convaincante à l’occasion d’une crise i</w:t>
      </w:r>
      <w:r>
        <w:rPr>
          <w:lang w:val="fr-FR" w:eastAsia="fr-FR" w:bidi="fr-FR"/>
        </w:rPr>
        <w:t>n</w:t>
      </w:r>
      <w:r>
        <w:rPr>
          <w:lang w:val="fr-FR" w:eastAsia="fr-FR" w:bidi="fr-FR"/>
        </w:rPr>
        <w:t>ternationale</w:t>
      </w:r>
      <w:r>
        <w:t> »</w:t>
      </w:r>
      <w:r>
        <w:rPr>
          <w:lang w:val="fr-FR" w:eastAsia="fr-FR" w:bidi="fr-FR"/>
        </w:rPr>
        <w:t>. Il y oppose son veto qui est surmonté conformément aux te</w:t>
      </w:r>
      <w:r>
        <w:rPr>
          <w:lang w:val="fr-FR" w:eastAsia="fr-FR" w:bidi="fr-FR"/>
        </w:rPr>
        <w:t>r</w:t>
      </w:r>
      <w:r>
        <w:rPr>
          <w:lang w:val="fr-FR" w:eastAsia="fr-FR" w:bidi="fr-FR"/>
        </w:rPr>
        <w:t>mes de la Constitution par les deux tiers du Sénat et de la Chambre</w:t>
      </w:r>
      <w:r>
        <w:t> :</w:t>
      </w:r>
      <w:r>
        <w:rPr>
          <w:lang w:val="fr-FR" w:eastAsia="fr-FR" w:bidi="fr-FR"/>
        </w:rPr>
        <w:t xml:space="preserve"> le </w:t>
      </w:r>
      <w:r w:rsidRPr="00472C8A">
        <w:rPr>
          <w:i/>
          <w:iCs/>
        </w:rPr>
        <w:t>War Powers Act</w:t>
      </w:r>
      <w:r>
        <w:rPr>
          <w:lang w:val="fr-FR" w:eastAsia="fr-FR" w:bidi="fr-FR"/>
        </w:rPr>
        <w:t xml:space="preserve"> entre donc en vigueur.</w:t>
      </w:r>
    </w:p>
  </w:footnote>
  <w:footnote w:id="69">
    <w:p w14:paraId="78033EEF" w14:textId="77777777" w:rsidR="0039793A" w:rsidRDefault="0039793A" w:rsidP="0039793A">
      <w:pPr>
        <w:pStyle w:val="Notedebasdepage"/>
      </w:pPr>
      <w:r>
        <w:rPr>
          <w:rStyle w:val="Appelnotedebasdep"/>
        </w:rPr>
        <w:footnoteRef/>
      </w:r>
      <w:r>
        <w:tab/>
      </w:r>
      <w:r>
        <w:rPr>
          <w:lang w:val="fr-FR" w:eastAsia="fr-FR" w:bidi="fr-FR"/>
        </w:rPr>
        <w:t>Il s’agit d’une commission spéciale du Sénat chargée d’enquêter sur toutes les activités gouvernementales de renseignement, dont ce</w:t>
      </w:r>
      <w:r>
        <w:rPr>
          <w:lang w:val="fr-FR" w:eastAsia="fr-FR" w:bidi="fr-FR"/>
        </w:rPr>
        <w:t>l</w:t>
      </w:r>
      <w:r>
        <w:rPr>
          <w:lang w:val="fr-FR" w:eastAsia="fr-FR" w:bidi="fr-FR"/>
        </w:rPr>
        <w:t xml:space="preserve">les des forces de police internes, le </w:t>
      </w:r>
      <w:r w:rsidRPr="00472C8A">
        <w:rPr>
          <w:i/>
          <w:iCs/>
        </w:rPr>
        <w:t>Féd</w:t>
      </w:r>
      <w:r w:rsidRPr="00472C8A">
        <w:rPr>
          <w:i/>
          <w:iCs/>
        </w:rPr>
        <w:t>é</w:t>
      </w:r>
      <w:r w:rsidRPr="00472C8A">
        <w:rPr>
          <w:i/>
          <w:iCs/>
        </w:rPr>
        <w:t xml:space="preserve">ral Bureau of </w:t>
      </w:r>
      <w:r w:rsidRPr="00472C8A">
        <w:rPr>
          <w:i/>
          <w:iCs/>
          <w:lang w:val="fr-FR" w:eastAsia="fr-FR" w:bidi="fr-FR"/>
        </w:rPr>
        <w:t xml:space="preserve">Investigation </w:t>
      </w:r>
      <w:r w:rsidRPr="00472C8A">
        <w:rPr>
          <w:i/>
          <w:iCs/>
        </w:rPr>
        <w:t>(FBI)</w:t>
      </w:r>
      <w:r w:rsidRPr="003B68B8">
        <w:rPr>
          <w:i/>
          <w:iCs/>
        </w:rPr>
        <w:t>.</w:t>
      </w:r>
      <w:r w:rsidRPr="003B68B8">
        <w:rPr>
          <w:lang w:val="fr-FR" w:eastAsia="fr-FR" w:bidi="fr-FR"/>
        </w:rPr>
        <w:t xml:space="preserve"> </w:t>
      </w:r>
      <w:r>
        <w:rPr>
          <w:lang w:val="fr-FR" w:eastAsia="fr-FR" w:bidi="fr-FR"/>
        </w:rPr>
        <w:t>Cette commission fut créée (parallèlement à une autre à la Chambre des repr</w:t>
      </w:r>
      <w:r>
        <w:rPr>
          <w:lang w:val="fr-FR" w:eastAsia="fr-FR" w:bidi="fr-FR"/>
        </w:rPr>
        <w:t>é</w:t>
      </w:r>
      <w:r>
        <w:rPr>
          <w:lang w:val="fr-FR" w:eastAsia="fr-FR" w:bidi="fr-FR"/>
        </w:rPr>
        <w:t>sentants) en 1975 et le rapport, dit Rapport de la Commission Church, fut déposé en 1976.</w:t>
      </w:r>
    </w:p>
  </w:footnote>
  <w:footnote w:id="70">
    <w:p w14:paraId="2F925202" w14:textId="77777777" w:rsidR="0039793A" w:rsidRDefault="0039793A" w:rsidP="0039793A">
      <w:pPr>
        <w:pStyle w:val="Notedebasdepage"/>
      </w:pPr>
      <w:r>
        <w:rPr>
          <w:rStyle w:val="Appelnotedebasdep"/>
        </w:rPr>
        <w:footnoteRef/>
      </w:r>
      <w:r>
        <w:tab/>
      </w:r>
      <w:r>
        <w:rPr>
          <w:lang w:val="fr-FR" w:eastAsia="fr-FR" w:bidi="fr-FR"/>
        </w:rPr>
        <w:t xml:space="preserve">Voir Arthur Schlesinger Jr., </w:t>
      </w:r>
      <w:r w:rsidRPr="00472C8A">
        <w:rPr>
          <w:i/>
          <w:iCs/>
        </w:rPr>
        <w:t>La Préside</w:t>
      </w:r>
      <w:r w:rsidRPr="00472C8A">
        <w:rPr>
          <w:i/>
          <w:iCs/>
        </w:rPr>
        <w:t>n</w:t>
      </w:r>
      <w:r w:rsidRPr="00472C8A">
        <w:rPr>
          <w:i/>
          <w:iCs/>
        </w:rPr>
        <w:t>ce impériale</w:t>
      </w:r>
      <w:r>
        <w:rPr>
          <w:lang w:val="fr-FR" w:eastAsia="fr-FR" w:bidi="fr-FR"/>
        </w:rPr>
        <w:t xml:space="preserve">, Paris, </w:t>
      </w:r>
      <w:r>
        <w:t xml:space="preserve">PUF, </w:t>
      </w:r>
      <w:r>
        <w:rPr>
          <w:lang w:val="fr-FR" w:eastAsia="fr-FR" w:bidi="fr-FR"/>
        </w:rPr>
        <w:t>1976, 561 p.</w:t>
      </w:r>
    </w:p>
  </w:footnote>
  <w:footnote w:id="71">
    <w:p w14:paraId="1B60E1E2" w14:textId="77777777" w:rsidR="0039793A" w:rsidRDefault="0039793A" w:rsidP="0039793A">
      <w:pPr>
        <w:pStyle w:val="Notedebasdepage"/>
      </w:pPr>
      <w:r>
        <w:rPr>
          <w:rStyle w:val="Appelnotedebasdep"/>
        </w:rPr>
        <w:footnoteRef/>
      </w:r>
      <w:r>
        <w:tab/>
      </w:r>
      <w:r>
        <w:rPr>
          <w:lang w:val="fr-FR" w:eastAsia="fr-FR" w:bidi="fr-FR"/>
        </w:rPr>
        <w:t>En 1800, John Marshall, qui allait d</w:t>
      </w:r>
      <w:r>
        <w:rPr>
          <w:lang w:val="fr-FR" w:eastAsia="fr-FR" w:bidi="fr-FR"/>
        </w:rPr>
        <w:t>e</w:t>
      </w:r>
      <w:r>
        <w:rPr>
          <w:lang w:val="fr-FR" w:eastAsia="fr-FR" w:bidi="fr-FR"/>
        </w:rPr>
        <w:t>venir un célèbre juge en chef de la Cour suprême des États-Unis, prononça un discours souvent cité par les sp</w:t>
      </w:r>
      <w:r>
        <w:rPr>
          <w:lang w:val="fr-FR" w:eastAsia="fr-FR" w:bidi="fr-FR"/>
        </w:rPr>
        <w:t>é</w:t>
      </w:r>
      <w:r>
        <w:rPr>
          <w:lang w:val="fr-FR" w:eastAsia="fr-FR" w:bidi="fr-FR"/>
        </w:rPr>
        <w:t>cialistes de la Constitution am</w:t>
      </w:r>
      <w:r>
        <w:rPr>
          <w:lang w:val="fr-FR" w:eastAsia="fr-FR" w:bidi="fr-FR"/>
        </w:rPr>
        <w:t>é</w:t>
      </w:r>
      <w:r>
        <w:rPr>
          <w:lang w:val="fr-FR" w:eastAsia="fr-FR" w:bidi="fr-FR"/>
        </w:rPr>
        <w:t>ricaine. Marshall était alors membre de la Chambre des repr</w:t>
      </w:r>
      <w:r>
        <w:rPr>
          <w:lang w:val="fr-FR" w:eastAsia="fr-FR" w:bidi="fr-FR"/>
        </w:rPr>
        <w:t>é</w:t>
      </w:r>
      <w:r>
        <w:rPr>
          <w:lang w:val="fr-FR" w:eastAsia="fr-FR" w:bidi="fr-FR"/>
        </w:rPr>
        <w:t>sentants et n’en fit pas moins un plaidoyer en faveur du pouvoir présidentiel en matière de politique étrangère</w:t>
      </w:r>
      <w:r>
        <w:t> :</w:t>
      </w:r>
      <w:r>
        <w:rPr>
          <w:lang w:val="fr-FR" w:eastAsia="fr-FR" w:bidi="fr-FR"/>
        </w:rPr>
        <w:t xml:space="preserve"> </w:t>
      </w:r>
      <w:r>
        <w:t>« </w:t>
      </w:r>
      <w:r>
        <w:rPr>
          <w:lang w:val="fr-FR" w:eastAsia="fr-FR" w:bidi="fr-FR"/>
        </w:rPr>
        <w:t>Le président, d</w:t>
      </w:r>
      <w:r>
        <w:rPr>
          <w:lang w:val="fr-FR" w:eastAsia="fr-FR" w:bidi="fr-FR"/>
        </w:rPr>
        <w:t>é</w:t>
      </w:r>
      <w:r>
        <w:rPr>
          <w:lang w:val="fr-FR" w:eastAsia="fr-FR" w:bidi="fr-FR"/>
        </w:rPr>
        <w:t>clarait-il au cours d’un débat en Cha</w:t>
      </w:r>
      <w:r>
        <w:rPr>
          <w:lang w:val="fr-FR" w:eastAsia="fr-FR" w:bidi="fr-FR"/>
        </w:rPr>
        <w:t>m</w:t>
      </w:r>
      <w:r>
        <w:rPr>
          <w:lang w:val="fr-FR" w:eastAsia="fr-FR" w:bidi="fr-FR"/>
        </w:rPr>
        <w:t>bre, est le seul organe de la nation dans ses r</w:t>
      </w:r>
      <w:r>
        <w:rPr>
          <w:lang w:val="fr-FR" w:eastAsia="fr-FR" w:bidi="fr-FR"/>
        </w:rPr>
        <w:t>e</w:t>
      </w:r>
      <w:r>
        <w:rPr>
          <w:lang w:val="fr-FR" w:eastAsia="fr-FR" w:bidi="fr-FR"/>
        </w:rPr>
        <w:t>lations extérieures, et son seul représentant auprès des nations étrangères [...]. Il po</w:t>
      </w:r>
      <w:r>
        <w:rPr>
          <w:lang w:val="fr-FR" w:eastAsia="fr-FR" w:bidi="fr-FR"/>
        </w:rPr>
        <w:t>s</w:t>
      </w:r>
      <w:r>
        <w:rPr>
          <w:lang w:val="fr-FR" w:eastAsia="fr-FR" w:bidi="fr-FR"/>
        </w:rPr>
        <w:t>sède l’ensemble du pouvoir exécutif. Il détient et dirige la force de la nation. En conséquence, tout acte qui doit être posé par la fo</w:t>
      </w:r>
      <w:r>
        <w:rPr>
          <w:lang w:val="fr-FR" w:eastAsia="fr-FR" w:bidi="fr-FR"/>
        </w:rPr>
        <w:t>r</w:t>
      </w:r>
      <w:r>
        <w:rPr>
          <w:lang w:val="fr-FR" w:eastAsia="fr-FR" w:bidi="fr-FR"/>
        </w:rPr>
        <w:t>ce de la nation doit relever de lui.</w:t>
      </w:r>
      <w:r>
        <w:t> »</w:t>
      </w:r>
    </w:p>
  </w:footnote>
  <w:footnote w:id="72">
    <w:p w14:paraId="6EC655B1" w14:textId="77777777" w:rsidR="0039793A" w:rsidRDefault="0039793A" w:rsidP="0039793A">
      <w:pPr>
        <w:pStyle w:val="Notedebasdepage"/>
      </w:pPr>
      <w:r>
        <w:rPr>
          <w:rStyle w:val="Appelnotedebasdep"/>
        </w:rPr>
        <w:footnoteRef/>
      </w:r>
      <w:r>
        <w:tab/>
      </w:r>
      <w:r>
        <w:rPr>
          <w:lang w:val="fr-FR" w:eastAsia="fr-FR" w:bidi="fr-FR"/>
        </w:rPr>
        <w:t xml:space="preserve">Cité par Bernard Schwartz, </w:t>
      </w:r>
      <w:r w:rsidRPr="0019625E">
        <w:rPr>
          <w:i/>
          <w:iCs/>
        </w:rPr>
        <w:t>op. cit</w:t>
      </w:r>
      <w:r>
        <w:t>.,</w:t>
      </w:r>
      <w:r>
        <w:rPr>
          <w:lang w:val="fr-FR" w:eastAsia="fr-FR" w:bidi="fr-FR"/>
        </w:rPr>
        <w:t xml:space="preserve"> p. 101-102. Voir aussi David Gray Adler, </w:t>
      </w:r>
      <w:r w:rsidRPr="0019625E">
        <w:rPr>
          <w:i/>
          <w:iCs/>
        </w:rPr>
        <w:t>op. cit</w:t>
      </w:r>
      <w:r>
        <w:t>.,</w:t>
      </w:r>
      <w:r>
        <w:rPr>
          <w:lang w:val="fr-FR" w:eastAsia="fr-FR" w:bidi="fr-FR"/>
        </w:rPr>
        <w:t xml:space="preserve"> p. 25. La Cour entérinait ainsi la constitutionnalité d’une d</w:t>
      </w:r>
      <w:r>
        <w:rPr>
          <w:lang w:val="fr-FR" w:eastAsia="fr-FR" w:bidi="fr-FR"/>
        </w:rPr>
        <w:t>é</w:t>
      </w:r>
      <w:r>
        <w:rPr>
          <w:lang w:val="fr-FR" w:eastAsia="fr-FR" w:bidi="fr-FR"/>
        </w:rPr>
        <w:t>cision du président de suspendre des livraisons d’armes au Paraguay et à la Colombie alors e</w:t>
      </w:r>
      <w:r>
        <w:rPr>
          <w:lang w:val="fr-FR" w:eastAsia="fr-FR" w:bidi="fr-FR"/>
        </w:rPr>
        <w:t>n</w:t>
      </w:r>
      <w:r>
        <w:rPr>
          <w:lang w:val="fr-FR" w:eastAsia="fr-FR" w:bidi="fr-FR"/>
        </w:rPr>
        <w:t>gagés dans un conflit.</w:t>
      </w:r>
    </w:p>
  </w:footnote>
  <w:footnote w:id="73">
    <w:p w14:paraId="49D26927" w14:textId="77777777" w:rsidR="0039793A" w:rsidRDefault="0039793A" w:rsidP="0039793A">
      <w:pPr>
        <w:pStyle w:val="Notedebasdepage"/>
      </w:pPr>
      <w:r>
        <w:rPr>
          <w:rStyle w:val="Appelnotedebasdep"/>
        </w:rPr>
        <w:footnoteRef/>
      </w:r>
      <w:r>
        <w:tab/>
      </w:r>
      <w:r>
        <w:rPr>
          <w:lang w:val="fr-FR" w:eastAsia="fr-FR" w:bidi="fr-FR"/>
        </w:rPr>
        <w:t xml:space="preserve">Sabine Lavorel, </w:t>
      </w:r>
      <w:r w:rsidRPr="0019625E">
        <w:rPr>
          <w:i/>
          <w:iCs/>
        </w:rPr>
        <w:t>op. cit</w:t>
      </w:r>
      <w:r>
        <w:t>.</w:t>
      </w:r>
    </w:p>
  </w:footnote>
  <w:footnote w:id="74">
    <w:p w14:paraId="2818CEC4" w14:textId="77777777" w:rsidR="0039793A" w:rsidRDefault="0039793A" w:rsidP="0039793A">
      <w:pPr>
        <w:pStyle w:val="Notedebasdepage"/>
      </w:pPr>
      <w:r>
        <w:rPr>
          <w:rStyle w:val="Appelnotedebasdep"/>
        </w:rPr>
        <w:footnoteRef/>
      </w:r>
      <w:r>
        <w:tab/>
      </w:r>
      <w:r>
        <w:rPr>
          <w:lang w:val="fr-FR" w:eastAsia="fr-FR" w:bidi="fr-FR"/>
        </w:rPr>
        <w:t>La loi est mentionnée explicitement dans le libellé de la résolution et réf</w:t>
      </w:r>
      <w:r>
        <w:rPr>
          <w:lang w:val="fr-FR" w:eastAsia="fr-FR" w:bidi="fr-FR"/>
        </w:rPr>
        <w:t>é</w:t>
      </w:r>
      <w:r>
        <w:rPr>
          <w:lang w:val="fr-FR" w:eastAsia="fr-FR" w:bidi="fr-FR"/>
        </w:rPr>
        <w:t>rences sont faites à l’obligation du président de faire ra</w:t>
      </w:r>
      <w:r>
        <w:rPr>
          <w:lang w:val="fr-FR" w:eastAsia="fr-FR" w:bidi="fr-FR"/>
        </w:rPr>
        <w:t>p</w:t>
      </w:r>
      <w:r>
        <w:rPr>
          <w:lang w:val="fr-FR" w:eastAsia="fr-FR" w:bidi="fr-FR"/>
        </w:rPr>
        <w:t>port dans les 48 heures de l’intervention militaire et de respecter le délai prévu de 60 jours.</w:t>
      </w:r>
    </w:p>
  </w:footnote>
  <w:footnote w:id="75">
    <w:p w14:paraId="5AC1079F" w14:textId="77777777" w:rsidR="0039793A" w:rsidRDefault="0039793A" w:rsidP="0039793A">
      <w:pPr>
        <w:pStyle w:val="Notedebasdepage"/>
      </w:pPr>
      <w:r>
        <w:rPr>
          <w:rStyle w:val="Appelnotedebasdep"/>
        </w:rPr>
        <w:footnoteRef/>
      </w:r>
      <w:r>
        <w:tab/>
      </w:r>
      <w:r>
        <w:rPr>
          <w:lang w:val="fr-FR" w:eastAsia="fr-FR" w:bidi="fr-FR"/>
        </w:rPr>
        <w:t xml:space="preserve">Bernard Schwartz, </w:t>
      </w:r>
      <w:r w:rsidRPr="0019625E">
        <w:rPr>
          <w:i/>
          <w:iCs/>
        </w:rPr>
        <w:t>op. cit</w:t>
      </w:r>
      <w:r>
        <w:t>.,</w:t>
      </w:r>
      <w:r>
        <w:rPr>
          <w:lang w:val="fr-FR" w:eastAsia="fr-FR" w:bidi="fr-FR"/>
        </w:rPr>
        <w:t xml:space="preserve"> p. 100.</w:t>
      </w:r>
    </w:p>
  </w:footnote>
  <w:footnote w:id="76">
    <w:p w14:paraId="3A4E5779" w14:textId="77777777" w:rsidR="0039793A" w:rsidRDefault="0039793A" w:rsidP="0039793A">
      <w:pPr>
        <w:pStyle w:val="Notedebasdepage"/>
      </w:pPr>
      <w:r>
        <w:rPr>
          <w:rStyle w:val="Appelnotedebasdep"/>
        </w:rPr>
        <w:footnoteRef/>
      </w:r>
      <w:r>
        <w:tab/>
      </w:r>
      <w:r>
        <w:rPr>
          <w:lang w:val="fr-FR" w:eastAsia="fr-FR" w:bidi="fr-FR"/>
        </w:rPr>
        <w:t xml:space="preserve">Voir Thomas E. Mann, </w:t>
      </w:r>
      <w:r>
        <w:t>« </w:t>
      </w:r>
      <w:r>
        <w:rPr>
          <w:lang w:val="fr-FR" w:eastAsia="fr-FR" w:bidi="fr-FR"/>
        </w:rPr>
        <w:t>Making Foreign Policy</w:t>
      </w:r>
      <w:r>
        <w:t> :</w:t>
      </w:r>
      <w:r>
        <w:rPr>
          <w:lang w:val="fr-FR" w:eastAsia="fr-FR" w:bidi="fr-FR"/>
        </w:rPr>
        <w:t xml:space="preserve"> Pres</w:t>
      </w:r>
      <w:r>
        <w:rPr>
          <w:lang w:val="fr-FR" w:eastAsia="fr-FR" w:bidi="fr-FR"/>
        </w:rPr>
        <w:t>i</w:t>
      </w:r>
      <w:r>
        <w:rPr>
          <w:lang w:val="fr-FR" w:eastAsia="fr-FR" w:bidi="fr-FR"/>
        </w:rPr>
        <w:t>dent and Congress</w:t>
      </w:r>
      <w:r>
        <w:t> »</w:t>
      </w:r>
      <w:r>
        <w:rPr>
          <w:lang w:val="fr-FR" w:eastAsia="fr-FR" w:bidi="fr-FR"/>
        </w:rPr>
        <w:t xml:space="preserve">, </w:t>
      </w:r>
      <w:r w:rsidRPr="0019625E">
        <w:rPr>
          <w:i/>
          <w:iCs/>
        </w:rPr>
        <w:t>op. cit</w:t>
      </w:r>
      <w:r>
        <w:t>.,</w:t>
      </w:r>
      <w:r>
        <w:rPr>
          <w:lang w:val="fr-FR" w:eastAsia="fr-FR" w:bidi="fr-FR"/>
        </w:rPr>
        <w:t xml:space="preserve"> p. 6-7.</w:t>
      </w:r>
    </w:p>
  </w:footnote>
  <w:footnote w:id="77">
    <w:p w14:paraId="6A7E8855" w14:textId="77777777" w:rsidR="0039793A" w:rsidRDefault="0039793A" w:rsidP="0039793A">
      <w:pPr>
        <w:pStyle w:val="Notedebasdepage"/>
      </w:pPr>
      <w:r>
        <w:rPr>
          <w:rStyle w:val="Appelnotedebasdep"/>
        </w:rPr>
        <w:footnoteRef/>
      </w:r>
      <w:r>
        <w:tab/>
      </w:r>
      <w:r>
        <w:rPr>
          <w:lang w:val="fr-FR" w:eastAsia="fr-FR" w:bidi="fr-FR"/>
        </w:rPr>
        <w:t>Selon le président Howard Taft (1909-1913), l’usage de la force revêt un caract</w:t>
      </w:r>
      <w:r>
        <w:rPr>
          <w:lang w:val="fr-FR" w:eastAsia="fr-FR" w:bidi="fr-FR"/>
        </w:rPr>
        <w:t>è</w:t>
      </w:r>
      <w:r>
        <w:rPr>
          <w:lang w:val="fr-FR" w:eastAsia="fr-FR" w:bidi="fr-FR"/>
        </w:rPr>
        <w:t>re variable selon le type de nations dont les relations avec les États-Unis sont affectées. Félix Fran</w:t>
      </w:r>
      <w:r>
        <w:rPr>
          <w:lang w:val="fr-FR" w:eastAsia="fr-FR" w:bidi="fr-FR"/>
        </w:rPr>
        <w:t>k</w:t>
      </w:r>
      <w:r>
        <w:rPr>
          <w:lang w:val="fr-FR" w:eastAsia="fr-FR" w:bidi="fr-FR"/>
        </w:rPr>
        <w:t>furter (avant d’accéder à la Cour, au moment où il était conseiller juridique au ministère de la Guerre) aurait déclaré, pl</w:t>
      </w:r>
      <w:r>
        <w:rPr>
          <w:lang w:val="fr-FR" w:eastAsia="fr-FR" w:bidi="fr-FR"/>
        </w:rPr>
        <w:t>u</w:t>
      </w:r>
      <w:r>
        <w:rPr>
          <w:lang w:val="fr-FR" w:eastAsia="fr-FR" w:bidi="fr-FR"/>
        </w:rPr>
        <w:t>tôt cyniquement, quand on lui demandait si une opération américaine contre Veracruz en 1914 constituait une guerre</w:t>
      </w:r>
      <w:r>
        <w:t> :</w:t>
      </w:r>
      <w:r>
        <w:rPr>
          <w:lang w:val="fr-FR" w:eastAsia="fr-FR" w:bidi="fr-FR"/>
        </w:rPr>
        <w:t xml:space="preserve"> </w:t>
      </w:r>
      <w:r>
        <w:t>« </w:t>
      </w:r>
      <w:r>
        <w:rPr>
          <w:lang w:val="fr-FR" w:eastAsia="fr-FR" w:bidi="fr-FR"/>
        </w:rPr>
        <w:t>ce serait un acte de guerre contre une grande nation. Ce ne l’est pas contre une petite nation</w:t>
      </w:r>
      <w:r>
        <w:t> »</w:t>
      </w:r>
      <w:r>
        <w:rPr>
          <w:lang w:val="fr-FR" w:eastAsia="fr-FR" w:bidi="fr-FR"/>
        </w:rPr>
        <w:t xml:space="preserve">. Bernard Schwartz, </w:t>
      </w:r>
      <w:r w:rsidRPr="003E6B04">
        <w:rPr>
          <w:i/>
          <w:iCs/>
        </w:rPr>
        <w:t>op. cit</w:t>
      </w:r>
      <w:r>
        <w:t>.,</w:t>
      </w:r>
      <w:r>
        <w:rPr>
          <w:lang w:val="fr-FR" w:eastAsia="fr-FR" w:bidi="fr-FR"/>
        </w:rPr>
        <w:t xml:space="preserve"> p. 197.</w:t>
      </w:r>
    </w:p>
  </w:footnote>
  <w:footnote w:id="78">
    <w:p w14:paraId="13411ABF" w14:textId="77777777" w:rsidR="0039793A" w:rsidRDefault="0039793A" w:rsidP="0039793A">
      <w:pPr>
        <w:pStyle w:val="Notedebasdepage"/>
      </w:pPr>
      <w:r>
        <w:rPr>
          <w:rStyle w:val="Appelnotedebasdep"/>
        </w:rPr>
        <w:footnoteRef/>
      </w:r>
      <w:r>
        <w:tab/>
      </w:r>
      <w:r>
        <w:rPr>
          <w:lang w:val="fr-FR" w:eastAsia="fr-FR" w:bidi="fr-FR"/>
        </w:rPr>
        <w:t xml:space="preserve">Voir Sabine Lavorel, </w:t>
      </w:r>
      <w:r w:rsidRPr="003E6B04">
        <w:rPr>
          <w:i/>
          <w:iCs/>
        </w:rPr>
        <w:t>op. cit</w:t>
      </w:r>
      <w:r>
        <w:t>.,</w:t>
      </w:r>
      <w:r>
        <w:rPr>
          <w:lang w:val="fr-FR" w:eastAsia="fr-FR" w:bidi="fr-FR"/>
        </w:rPr>
        <w:t xml:space="preserve"> p. 52.</w:t>
      </w:r>
    </w:p>
  </w:footnote>
  <w:footnote w:id="79">
    <w:p w14:paraId="43ABBA26" w14:textId="77777777" w:rsidR="0039793A" w:rsidRDefault="0039793A" w:rsidP="0039793A">
      <w:pPr>
        <w:pStyle w:val="Notedebasdepage"/>
      </w:pPr>
      <w:r>
        <w:rPr>
          <w:rStyle w:val="Appelnotedebasdep"/>
        </w:rPr>
        <w:footnoteRef/>
      </w:r>
      <w:r>
        <w:tab/>
      </w:r>
      <w:r>
        <w:rPr>
          <w:lang w:val="fr-FR" w:eastAsia="fr-FR" w:bidi="fr-FR"/>
        </w:rPr>
        <w:t xml:space="preserve">Jacques Robert, </w:t>
      </w:r>
      <w:r>
        <w:t>« </w:t>
      </w:r>
      <w:r>
        <w:rPr>
          <w:lang w:val="fr-FR" w:eastAsia="fr-FR" w:bidi="fr-FR"/>
        </w:rPr>
        <w:t>Libertés publiques et défense</w:t>
      </w:r>
      <w:r>
        <w:t> »</w:t>
      </w:r>
      <w:r>
        <w:rPr>
          <w:lang w:val="fr-FR" w:eastAsia="fr-FR" w:bidi="fr-FR"/>
        </w:rPr>
        <w:t xml:space="preserve">, </w:t>
      </w:r>
      <w:r>
        <w:t>Revue du droit public</w:t>
      </w:r>
      <w:r>
        <w:rPr>
          <w:lang w:val="fr-FR" w:eastAsia="fr-FR" w:bidi="fr-FR"/>
        </w:rPr>
        <w:t>, septe</w:t>
      </w:r>
      <w:r>
        <w:rPr>
          <w:lang w:val="fr-FR" w:eastAsia="fr-FR" w:bidi="fr-FR"/>
        </w:rPr>
        <w:t>m</w:t>
      </w:r>
      <w:r>
        <w:rPr>
          <w:lang w:val="fr-FR" w:eastAsia="fr-FR" w:bidi="fr-FR"/>
        </w:rPr>
        <w:t>bre-octobre 1977, p. 941.</w:t>
      </w:r>
    </w:p>
  </w:footnote>
  <w:footnote w:id="80">
    <w:p w14:paraId="2E111674" w14:textId="77777777" w:rsidR="0039793A" w:rsidRDefault="0039793A" w:rsidP="0039793A">
      <w:pPr>
        <w:pStyle w:val="Notedebasdepage"/>
      </w:pPr>
      <w:r>
        <w:rPr>
          <w:rStyle w:val="Appelnotedebasdep"/>
        </w:rPr>
        <w:footnoteRef/>
      </w:r>
      <w:r>
        <w:tab/>
      </w:r>
      <w:r w:rsidRPr="00D2217B">
        <w:rPr>
          <w:lang w:eastAsia="fr-FR" w:bidi="fr-FR"/>
        </w:rPr>
        <w:t xml:space="preserve">Par exemple, en 1973, le Congrès a adopté la loi de l’aide à l’étranger </w:t>
      </w:r>
      <w:r w:rsidRPr="00D2217B">
        <w:t>(</w:t>
      </w:r>
      <w:r w:rsidRPr="00AA0D1D">
        <w:rPr>
          <w:i/>
          <w:iCs/>
        </w:rPr>
        <w:t>F</w:t>
      </w:r>
      <w:r w:rsidRPr="00AA0D1D">
        <w:rPr>
          <w:i/>
          <w:iCs/>
        </w:rPr>
        <w:t>o</w:t>
      </w:r>
      <w:r w:rsidRPr="00AA0D1D">
        <w:rPr>
          <w:i/>
          <w:iCs/>
        </w:rPr>
        <w:t>reign Assistance Act</w:t>
      </w:r>
      <w:r w:rsidRPr="00D2217B">
        <w:t>)</w:t>
      </w:r>
      <w:r w:rsidRPr="00D2217B">
        <w:rPr>
          <w:lang w:eastAsia="fr-FR" w:bidi="fr-FR"/>
        </w:rPr>
        <w:t xml:space="preserve"> qui oblige le président à refuser l’aide à un pays où les droits de l'homme ne sont pas respectés. De plus, le Congrès a pris l’habitude d’imposer un nombre très élevé de critères (système du </w:t>
      </w:r>
      <w:r w:rsidRPr="00AA0D1D">
        <w:rPr>
          <w:i/>
          <w:iCs/>
        </w:rPr>
        <w:t>earma</w:t>
      </w:r>
      <w:r w:rsidRPr="00AA0D1D">
        <w:rPr>
          <w:i/>
          <w:iCs/>
        </w:rPr>
        <w:t>r</w:t>
      </w:r>
      <w:r w:rsidRPr="00AA0D1D">
        <w:rPr>
          <w:i/>
          <w:iCs/>
        </w:rPr>
        <w:t>king</w:t>
      </w:r>
      <w:r w:rsidRPr="00D2217B">
        <w:t>)</w:t>
      </w:r>
      <w:r w:rsidRPr="00D2217B">
        <w:rPr>
          <w:lang w:eastAsia="fr-FR" w:bidi="fr-FR"/>
        </w:rPr>
        <w:t xml:space="preserve"> portant sur la nature des régimes, sur leur conduite et même leur co</w:t>
      </w:r>
      <w:r w:rsidRPr="00D2217B">
        <w:rPr>
          <w:lang w:eastAsia="fr-FR" w:bidi="fr-FR"/>
        </w:rPr>
        <w:t>m</w:t>
      </w:r>
      <w:r w:rsidRPr="00D2217B">
        <w:rPr>
          <w:lang w:eastAsia="fr-FR" w:bidi="fr-FR"/>
        </w:rPr>
        <w:t>portement envers les États-Unis. Ce système aboutit à restreindre considér</w:t>
      </w:r>
      <w:r w:rsidRPr="00D2217B">
        <w:rPr>
          <w:lang w:eastAsia="fr-FR" w:bidi="fr-FR"/>
        </w:rPr>
        <w:t>a</w:t>
      </w:r>
      <w:r w:rsidRPr="00D2217B">
        <w:rPr>
          <w:lang w:eastAsia="fr-FR" w:bidi="fr-FR"/>
        </w:rPr>
        <w:t xml:space="preserve">blement l’aide. Voir Bruce W. Jentleson, </w:t>
      </w:r>
      <w:r w:rsidRPr="00D2217B">
        <w:t>« </w:t>
      </w:r>
      <w:r w:rsidRPr="00D2217B">
        <w:rPr>
          <w:lang w:eastAsia="fr-FR" w:bidi="fr-FR"/>
        </w:rPr>
        <w:t>American Diplomacy</w:t>
      </w:r>
      <w:r w:rsidRPr="00D2217B">
        <w:t> :</w:t>
      </w:r>
      <w:r w:rsidRPr="00D2217B">
        <w:rPr>
          <w:lang w:eastAsia="fr-FR" w:bidi="fr-FR"/>
        </w:rPr>
        <w:t xml:space="preserve"> Around the World and along Pennsylvania Avenue</w:t>
      </w:r>
      <w:r w:rsidRPr="00D2217B">
        <w:t> »</w:t>
      </w:r>
      <w:r w:rsidRPr="00D2217B">
        <w:rPr>
          <w:lang w:eastAsia="fr-FR" w:bidi="fr-FR"/>
        </w:rPr>
        <w:t xml:space="preserve">, dans Thomas E. Mann (ed.), </w:t>
      </w:r>
      <w:r w:rsidRPr="00AA0D1D">
        <w:rPr>
          <w:i/>
          <w:iCs/>
        </w:rPr>
        <w:t>A Question of Balance : The President</w:t>
      </w:r>
      <w:r w:rsidRPr="00AA0D1D">
        <w:rPr>
          <w:i/>
          <w:iCs/>
          <w:lang w:eastAsia="fr-FR" w:bidi="fr-FR"/>
        </w:rPr>
        <w:t xml:space="preserve">, </w:t>
      </w:r>
      <w:r w:rsidRPr="00AA0D1D">
        <w:rPr>
          <w:i/>
          <w:iCs/>
        </w:rPr>
        <w:t>the Congress and Foreign Po</w:t>
      </w:r>
      <w:r>
        <w:rPr>
          <w:i/>
          <w:iCs/>
        </w:rPr>
        <w:t>l</w:t>
      </w:r>
      <w:r w:rsidRPr="00AA0D1D">
        <w:rPr>
          <w:i/>
          <w:iCs/>
        </w:rPr>
        <w:t>icy</w:t>
      </w:r>
      <w:r w:rsidRPr="00D2217B">
        <w:t>,</w:t>
      </w:r>
      <w:r w:rsidRPr="00D2217B">
        <w:rPr>
          <w:lang w:eastAsia="fr-FR" w:bidi="fr-FR"/>
        </w:rPr>
        <w:t xml:space="preserve"> Washington, The Brookings Institution, 1990, p. 171-174. Enfin, les pr</w:t>
      </w:r>
      <w:r w:rsidRPr="00D2217B">
        <w:rPr>
          <w:lang w:eastAsia="fr-FR" w:bidi="fr-FR"/>
        </w:rPr>
        <w:t>o</w:t>
      </w:r>
      <w:r w:rsidRPr="00D2217B">
        <w:rPr>
          <w:lang w:eastAsia="fr-FR" w:bidi="fr-FR"/>
        </w:rPr>
        <w:t>gra</w:t>
      </w:r>
      <w:r w:rsidRPr="00D2217B">
        <w:rPr>
          <w:lang w:eastAsia="fr-FR" w:bidi="fr-FR"/>
        </w:rPr>
        <w:t>m</w:t>
      </w:r>
      <w:r w:rsidRPr="00D2217B">
        <w:rPr>
          <w:lang w:eastAsia="fr-FR" w:bidi="fr-FR"/>
        </w:rPr>
        <w:t>mes d’aide de l’Administration Clinton ont été régulièrement soumis aux redoutables critères du très conservateur président de la Commi</w:t>
      </w:r>
      <w:r w:rsidRPr="00D2217B">
        <w:rPr>
          <w:lang w:eastAsia="fr-FR" w:bidi="fr-FR"/>
        </w:rPr>
        <w:t>s</w:t>
      </w:r>
      <w:r w:rsidRPr="00D2217B">
        <w:rPr>
          <w:lang w:eastAsia="fr-FR" w:bidi="fr-FR"/>
        </w:rPr>
        <w:t>sion sénatoriale des Affaires étrangères, Jesse Helms. Par exemple, dès qu’un programme de limitation des naissances faisait partie d’un plan d’assistance à un pays en voie de développement, les fonds étaient refusés par le Congrès.</w:t>
      </w:r>
    </w:p>
  </w:footnote>
  <w:footnote w:id="81">
    <w:p w14:paraId="60972107" w14:textId="77777777" w:rsidR="0039793A" w:rsidRDefault="0039793A" w:rsidP="0039793A">
      <w:pPr>
        <w:pStyle w:val="Notedebasdepage"/>
      </w:pPr>
      <w:r>
        <w:rPr>
          <w:rStyle w:val="Appelnotedebasdep"/>
        </w:rPr>
        <w:footnoteRef/>
      </w:r>
      <w:r>
        <w:tab/>
      </w:r>
      <w:r w:rsidRPr="00D2217B">
        <w:rPr>
          <w:lang w:eastAsia="fr-FR" w:bidi="fr-FR"/>
        </w:rPr>
        <w:t xml:space="preserve">Louis Henkin, </w:t>
      </w:r>
      <w:r w:rsidRPr="00AA0D1D">
        <w:rPr>
          <w:i/>
          <w:iCs/>
        </w:rPr>
        <w:t>op. cit</w:t>
      </w:r>
      <w:r w:rsidRPr="00D2217B">
        <w:t>.,</w:t>
      </w:r>
      <w:r w:rsidRPr="00D2217B">
        <w:rPr>
          <w:lang w:eastAsia="fr-FR" w:bidi="fr-FR"/>
        </w:rPr>
        <w:t xml:space="preserve"> p. 307.</w:t>
      </w:r>
    </w:p>
  </w:footnote>
  <w:footnote w:id="82">
    <w:p w14:paraId="20DAEEEC" w14:textId="77777777" w:rsidR="0039793A" w:rsidRDefault="0039793A" w:rsidP="0039793A">
      <w:pPr>
        <w:pStyle w:val="Notedebasdepage"/>
      </w:pPr>
      <w:r>
        <w:rPr>
          <w:rStyle w:val="Appelnotedebasdep"/>
        </w:rPr>
        <w:footnoteRef/>
      </w:r>
      <w:r>
        <w:tab/>
      </w:r>
      <w:r w:rsidRPr="00D2217B">
        <w:rPr>
          <w:lang w:eastAsia="fr-FR" w:bidi="fr-FR"/>
        </w:rPr>
        <w:t xml:space="preserve">Alexis de Tocqueville, </w:t>
      </w:r>
      <w:hyperlink r:id="rId1" w:history="1">
        <w:r w:rsidRPr="0053434A">
          <w:rPr>
            <w:rStyle w:val="Hyperlien"/>
            <w:i/>
            <w:iCs/>
          </w:rPr>
          <w:t>De la démocratie en Amérique</w:t>
        </w:r>
      </w:hyperlink>
      <w:r w:rsidRPr="00D2217B">
        <w:rPr>
          <w:lang w:eastAsia="fr-FR" w:bidi="fr-FR"/>
        </w:rPr>
        <w:t>, Paris, Ga</w:t>
      </w:r>
      <w:r w:rsidRPr="00D2217B">
        <w:rPr>
          <w:lang w:eastAsia="fr-FR" w:bidi="fr-FR"/>
        </w:rPr>
        <w:t>l</w:t>
      </w:r>
      <w:r w:rsidRPr="00D2217B">
        <w:rPr>
          <w:lang w:eastAsia="fr-FR" w:bidi="fr-FR"/>
        </w:rPr>
        <w:t>limard,</w:t>
      </w:r>
      <w:r>
        <w:rPr>
          <w:lang w:eastAsia="fr-FR" w:bidi="fr-FR"/>
        </w:rPr>
        <w:t xml:space="preserve"> </w:t>
      </w:r>
      <w:r w:rsidRPr="00D2217B">
        <w:rPr>
          <w:lang w:eastAsia="fr-FR" w:bidi="fr-FR"/>
        </w:rPr>
        <w:t>1986, p. 200.</w:t>
      </w:r>
    </w:p>
  </w:footnote>
  <w:footnote w:id="83">
    <w:p w14:paraId="0A0CA45C" w14:textId="77777777" w:rsidR="0039793A" w:rsidRDefault="0039793A">
      <w:pPr>
        <w:pStyle w:val="Notedebasdepage"/>
      </w:pPr>
      <w:r>
        <w:rPr>
          <w:rStyle w:val="Appelnotedebasdep"/>
        </w:rPr>
        <w:footnoteRef/>
      </w:r>
      <w:r>
        <w:tab/>
        <w:t xml:space="preserve">Voir Rebecca Hersman, </w:t>
      </w:r>
      <w:r w:rsidRPr="009256CE">
        <w:rPr>
          <w:i/>
          <w:iCs/>
          <w:lang w:val="fr-FR" w:eastAsia="fr-FR" w:bidi="fr-FR"/>
        </w:rPr>
        <w:t>Friends and Foes</w:t>
      </w:r>
      <w:r w:rsidRPr="009256CE">
        <w:rPr>
          <w:i/>
          <w:iCs/>
        </w:rPr>
        <w:t> :</w:t>
      </w:r>
      <w:r w:rsidRPr="009256CE">
        <w:rPr>
          <w:i/>
          <w:iCs/>
          <w:lang w:val="fr-FR" w:eastAsia="fr-FR" w:bidi="fr-FR"/>
        </w:rPr>
        <w:t xml:space="preserve"> How Congress and the Pres</w:t>
      </w:r>
      <w:r w:rsidRPr="009256CE">
        <w:rPr>
          <w:i/>
          <w:iCs/>
          <w:lang w:val="fr-FR" w:eastAsia="fr-FR" w:bidi="fr-FR"/>
        </w:rPr>
        <w:t>i</w:t>
      </w:r>
      <w:r w:rsidRPr="009256CE">
        <w:rPr>
          <w:i/>
          <w:iCs/>
          <w:lang w:val="fr-FR" w:eastAsia="fr-FR" w:bidi="fr-FR"/>
        </w:rPr>
        <w:t>dent Really Make Foreign Policy</w:t>
      </w:r>
      <w:r>
        <w:rPr>
          <w:lang w:val="fr-FR" w:eastAsia="fr-FR" w:bidi="fr-FR"/>
        </w:rPr>
        <w:t>,</w:t>
      </w:r>
      <w:r>
        <w:t xml:space="preserve"> Washington DC, Bro</w:t>
      </w:r>
      <w:r>
        <w:t>o</w:t>
      </w:r>
      <w:r>
        <w:t>kings, 2000, p. 2-8.</w:t>
      </w:r>
    </w:p>
  </w:footnote>
  <w:footnote w:id="84">
    <w:p w14:paraId="220A21FC" w14:textId="77777777" w:rsidR="0039793A" w:rsidRDefault="0039793A" w:rsidP="0039793A">
      <w:pPr>
        <w:pStyle w:val="Notedebasdepage"/>
      </w:pPr>
      <w:r>
        <w:rPr>
          <w:rStyle w:val="Appelnotedebasdep"/>
        </w:rPr>
        <w:footnoteRef/>
      </w:r>
      <w:r>
        <w:tab/>
      </w:r>
      <w:r>
        <w:rPr>
          <w:lang w:val="fr-FR" w:eastAsia="fr-FR" w:bidi="fr-FR"/>
        </w:rPr>
        <w:t xml:space="preserve">Stanley Hoffmann, </w:t>
      </w:r>
      <w:r w:rsidRPr="0048075B">
        <w:rPr>
          <w:i/>
          <w:iCs/>
        </w:rPr>
        <w:t>Gulliver empêtré : Essai sur la politique étrangère des États-Unis</w:t>
      </w:r>
      <w:r>
        <w:rPr>
          <w:lang w:val="fr-FR" w:eastAsia="fr-FR" w:bidi="fr-FR"/>
        </w:rPr>
        <w:t xml:space="preserve">, Paris, Seuil, 1971, p. 135 et suiv. Voir aussi Robert Dallek, </w:t>
      </w:r>
      <w:r w:rsidRPr="0048075B">
        <w:rPr>
          <w:i/>
          <w:iCs/>
        </w:rPr>
        <w:t>The American Style of Foreign Policy : Cultural Pol</w:t>
      </w:r>
      <w:r w:rsidRPr="0048075B">
        <w:rPr>
          <w:i/>
          <w:iCs/>
        </w:rPr>
        <w:t>i</w:t>
      </w:r>
      <w:r w:rsidRPr="0048075B">
        <w:rPr>
          <w:i/>
          <w:iCs/>
        </w:rPr>
        <w:t>tics and Foreign Affairs</w:t>
      </w:r>
      <w:r>
        <w:rPr>
          <w:lang w:val="fr-FR" w:eastAsia="fr-FR" w:bidi="fr-FR"/>
        </w:rPr>
        <w:t>, New York, Alfred A. Knopf, 1983, 313 p.</w:t>
      </w:r>
      <w:r>
        <w:t> ;</w:t>
      </w:r>
      <w:r>
        <w:rPr>
          <w:lang w:val="fr-FR" w:eastAsia="fr-FR" w:bidi="fr-FR"/>
        </w:rPr>
        <w:t xml:space="preserve"> et Michael Hunt, </w:t>
      </w:r>
      <w:r w:rsidRPr="0048075B">
        <w:rPr>
          <w:i/>
          <w:iCs/>
        </w:rPr>
        <w:t>Ideol</w:t>
      </w:r>
      <w:r w:rsidRPr="0048075B">
        <w:rPr>
          <w:i/>
          <w:iCs/>
        </w:rPr>
        <w:t>o</w:t>
      </w:r>
      <w:r w:rsidRPr="0048075B">
        <w:rPr>
          <w:i/>
          <w:iCs/>
        </w:rPr>
        <w:t>gy and US Foreign Policy</w:t>
      </w:r>
      <w:r>
        <w:rPr>
          <w:lang w:val="fr-FR" w:eastAsia="fr-FR" w:bidi="fr-FR"/>
        </w:rPr>
        <w:t xml:space="preserve">, New Haven </w:t>
      </w:r>
      <w:r>
        <w:t xml:space="preserve">(CT), </w:t>
      </w:r>
      <w:r>
        <w:rPr>
          <w:lang w:val="fr-FR" w:eastAsia="fr-FR" w:bidi="fr-FR"/>
        </w:rPr>
        <w:t xml:space="preserve">Yale University Press, 1987, 238 p. Hunt emploie le terme </w:t>
      </w:r>
      <w:r>
        <w:t>« </w:t>
      </w:r>
      <w:r>
        <w:rPr>
          <w:lang w:val="fr-FR" w:eastAsia="fr-FR" w:bidi="fr-FR"/>
        </w:rPr>
        <w:t>idéologie</w:t>
      </w:r>
      <w:r>
        <w:t> »</w:t>
      </w:r>
      <w:r>
        <w:rPr>
          <w:lang w:val="fr-FR" w:eastAsia="fr-FR" w:bidi="fr-FR"/>
        </w:rPr>
        <w:t xml:space="preserve"> pour évoquer les traits qui s’apparentent au style. Il définit ainsi l’idéologie comme </w:t>
      </w:r>
      <w:r>
        <w:t>« </w:t>
      </w:r>
      <w:r>
        <w:rPr>
          <w:lang w:val="fr-FR" w:eastAsia="fr-FR" w:bidi="fr-FR"/>
        </w:rPr>
        <w:t>un ensemble i</w:t>
      </w:r>
      <w:r>
        <w:rPr>
          <w:lang w:val="fr-FR" w:eastAsia="fr-FR" w:bidi="fr-FR"/>
        </w:rPr>
        <w:t>n</w:t>
      </w:r>
      <w:r>
        <w:rPr>
          <w:lang w:val="fr-FR" w:eastAsia="fr-FR" w:bidi="fr-FR"/>
        </w:rPr>
        <w:t>tégré de convictions ou de présupposés qui réduit les complexités d’une tranche particulière de la réalité en termes aisément intelligibles et qui pr</w:t>
      </w:r>
      <w:r>
        <w:rPr>
          <w:lang w:val="fr-FR" w:eastAsia="fr-FR" w:bidi="fr-FR"/>
        </w:rPr>
        <w:t>o</w:t>
      </w:r>
      <w:r>
        <w:rPr>
          <w:lang w:val="fr-FR" w:eastAsia="fr-FR" w:bidi="fr-FR"/>
        </w:rPr>
        <w:t>pose des moyens appropriés pour faire face à cette réalité</w:t>
      </w:r>
      <w:r>
        <w:t> »</w:t>
      </w:r>
      <w:r>
        <w:rPr>
          <w:lang w:val="fr-FR" w:eastAsia="fr-FR" w:bidi="fr-FR"/>
        </w:rPr>
        <w:t>, p. xi.</w:t>
      </w:r>
    </w:p>
  </w:footnote>
  <w:footnote w:id="85">
    <w:p w14:paraId="79C67BBD" w14:textId="77777777" w:rsidR="0039793A" w:rsidRDefault="0039793A" w:rsidP="0039793A">
      <w:pPr>
        <w:pStyle w:val="Notedebasdepage"/>
      </w:pPr>
      <w:r>
        <w:rPr>
          <w:rStyle w:val="Appelnotedebasdep"/>
        </w:rPr>
        <w:footnoteRef/>
      </w:r>
      <w:r>
        <w:tab/>
        <w:t>« </w:t>
      </w:r>
      <w:r>
        <w:rPr>
          <w:lang w:val="fr-FR" w:eastAsia="fr-FR" w:bidi="fr-FR"/>
        </w:rPr>
        <w:t>Tandis que l’étude du caractère national s’attache à la déco</w:t>
      </w:r>
      <w:r>
        <w:rPr>
          <w:lang w:val="fr-FR" w:eastAsia="fr-FR" w:bidi="fr-FR"/>
        </w:rPr>
        <w:t>u</w:t>
      </w:r>
      <w:r>
        <w:rPr>
          <w:lang w:val="fr-FR" w:eastAsia="fr-FR" w:bidi="fr-FR"/>
        </w:rPr>
        <w:t>verte de la personnalité collective, celle du style national cherche à déterminer la façon dont cette personnalité collective réagit à son m</w:t>
      </w:r>
      <w:r>
        <w:rPr>
          <w:lang w:val="fr-FR" w:eastAsia="fr-FR" w:bidi="fr-FR"/>
        </w:rPr>
        <w:t>i</w:t>
      </w:r>
      <w:r>
        <w:rPr>
          <w:lang w:val="fr-FR" w:eastAsia="fr-FR" w:bidi="fr-FR"/>
        </w:rPr>
        <w:t>lieu et agit sur lui.</w:t>
      </w:r>
      <w:r>
        <w:t> »</w:t>
      </w:r>
      <w:r>
        <w:rPr>
          <w:lang w:val="fr-FR" w:eastAsia="fr-FR" w:bidi="fr-FR"/>
        </w:rPr>
        <w:t xml:space="preserve"> Walt W. Rostow dans E</w:t>
      </w:r>
      <w:r>
        <w:rPr>
          <w:lang w:val="fr-FR" w:eastAsia="fr-FR" w:bidi="fr-FR"/>
        </w:rPr>
        <w:t>l</w:t>
      </w:r>
      <w:r>
        <w:rPr>
          <w:lang w:val="fr-FR" w:eastAsia="fr-FR" w:bidi="fr-FR"/>
        </w:rPr>
        <w:t xml:space="preserve">ting E. Morison (ed.), </w:t>
      </w:r>
      <w:r w:rsidRPr="0048075B">
        <w:rPr>
          <w:i/>
          <w:iCs/>
        </w:rPr>
        <w:t>The American Style</w:t>
      </w:r>
      <w:r>
        <w:t>,</w:t>
      </w:r>
      <w:r>
        <w:rPr>
          <w:lang w:val="fr-FR" w:eastAsia="fr-FR" w:bidi="fr-FR"/>
        </w:rPr>
        <w:t xml:space="preserve"> New York, Harper, 1958, p. 147.</w:t>
      </w:r>
    </w:p>
  </w:footnote>
  <w:footnote w:id="86">
    <w:p w14:paraId="4E85EE88" w14:textId="77777777" w:rsidR="0039793A" w:rsidRDefault="0039793A" w:rsidP="0039793A">
      <w:pPr>
        <w:pStyle w:val="Notedebasdepage"/>
      </w:pPr>
      <w:r>
        <w:rPr>
          <w:rStyle w:val="Appelnotedebasdep"/>
        </w:rPr>
        <w:footnoteRef/>
      </w:r>
      <w:r>
        <w:tab/>
      </w:r>
      <w:r>
        <w:rPr>
          <w:lang w:val="fr-FR" w:eastAsia="fr-FR" w:bidi="fr-FR"/>
        </w:rPr>
        <w:t>Voir à cet égard la superbe pièce de théâtre de Lee Ble</w:t>
      </w:r>
      <w:r>
        <w:rPr>
          <w:lang w:val="fr-FR" w:eastAsia="fr-FR" w:bidi="fr-FR"/>
        </w:rPr>
        <w:t>s</w:t>
      </w:r>
      <w:r>
        <w:rPr>
          <w:lang w:val="fr-FR" w:eastAsia="fr-FR" w:bidi="fr-FR"/>
        </w:rPr>
        <w:t xml:space="preserve">sing, </w:t>
      </w:r>
      <w:r w:rsidRPr="007A775B">
        <w:rPr>
          <w:i/>
          <w:iCs/>
        </w:rPr>
        <w:t>A Walk in the Woods : a Play in Two Acts</w:t>
      </w:r>
      <w:r>
        <w:t>,</w:t>
      </w:r>
      <w:r>
        <w:rPr>
          <w:lang w:val="fr-FR" w:eastAsia="fr-FR" w:bidi="fr-FR"/>
        </w:rPr>
        <w:t xml:space="preserve"> New York, Dramatists Play Service Inc., 1988. On y voit un diplomate russe et son collègue américain, tous deux respons</w:t>
      </w:r>
      <w:r>
        <w:rPr>
          <w:lang w:val="fr-FR" w:eastAsia="fr-FR" w:bidi="fr-FR"/>
        </w:rPr>
        <w:t>a</w:t>
      </w:r>
      <w:r>
        <w:rPr>
          <w:lang w:val="fr-FR" w:eastAsia="fr-FR" w:bidi="fr-FR"/>
        </w:rPr>
        <w:t>bles d’une pénible et complexe négociation sur les armes n</w:t>
      </w:r>
      <w:r>
        <w:rPr>
          <w:lang w:val="fr-FR" w:eastAsia="fr-FR" w:bidi="fr-FR"/>
        </w:rPr>
        <w:t>u</w:t>
      </w:r>
      <w:r>
        <w:rPr>
          <w:lang w:val="fr-FR" w:eastAsia="fr-FR" w:bidi="fr-FR"/>
        </w:rPr>
        <w:t>cléaires, réagir tout à fait différemment quant à l’objet de leur rencontre. Le Russe fait mo</w:t>
      </w:r>
      <w:r>
        <w:rPr>
          <w:lang w:val="fr-FR" w:eastAsia="fr-FR" w:bidi="fr-FR"/>
        </w:rPr>
        <w:t>n</w:t>
      </w:r>
      <w:r>
        <w:rPr>
          <w:lang w:val="fr-FR" w:eastAsia="fr-FR" w:bidi="fr-FR"/>
        </w:rPr>
        <w:t>tre d’un cynisme bien européen et de la culture déliquescente des élites sovi</w:t>
      </w:r>
      <w:r>
        <w:rPr>
          <w:lang w:val="fr-FR" w:eastAsia="fr-FR" w:bidi="fr-FR"/>
        </w:rPr>
        <w:t>é</w:t>
      </w:r>
      <w:r>
        <w:rPr>
          <w:lang w:val="fr-FR" w:eastAsia="fr-FR" w:bidi="fr-FR"/>
        </w:rPr>
        <w:t>tiques vieillissantes, tandis que l’Américain apparaît tout entier concentré sur la reche</w:t>
      </w:r>
      <w:r>
        <w:rPr>
          <w:lang w:val="fr-FR" w:eastAsia="fr-FR" w:bidi="fr-FR"/>
        </w:rPr>
        <w:t>r</w:t>
      </w:r>
      <w:r>
        <w:rPr>
          <w:lang w:val="fr-FR" w:eastAsia="fr-FR" w:bidi="fr-FR"/>
        </w:rPr>
        <w:t>che d’une solution concrète, plutôt optimiste et peu soucieux du contexte et des perce</w:t>
      </w:r>
      <w:r>
        <w:rPr>
          <w:lang w:val="fr-FR" w:eastAsia="fr-FR" w:bidi="fr-FR"/>
        </w:rPr>
        <w:t>p</w:t>
      </w:r>
      <w:r>
        <w:rPr>
          <w:lang w:val="fr-FR" w:eastAsia="fr-FR" w:bidi="fr-FR"/>
        </w:rPr>
        <w:t>tions de son homologue.</w:t>
      </w:r>
    </w:p>
  </w:footnote>
  <w:footnote w:id="87">
    <w:p w14:paraId="031CAE67" w14:textId="77777777" w:rsidR="0039793A" w:rsidRDefault="0039793A" w:rsidP="0039793A">
      <w:pPr>
        <w:pStyle w:val="Notedebasdepage"/>
      </w:pPr>
      <w:r>
        <w:rPr>
          <w:rStyle w:val="Appelnotedebasdep"/>
        </w:rPr>
        <w:footnoteRef/>
      </w:r>
      <w:r>
        <w:tab/>
      </w:r>
      <w:r>
        <w:rPr>
          <w:lang w:val="fr-FR" w:eastAsia="fr-FR" w:bidi="fr-FR"/>
        </w:rPr>
        <w:t xml:space="preserve">Voir Yosef Lapid et Friedrich Kratochwil (eds), </w:t>
      </w:r>
      <w:r w:rsidRPr="007A775B">
        <w:rPr>
          <w:i/>
          <w:iCs/>
        </w:rPr>
        <w:t>The R</w:t>
      </w:r>
      <w:r w:rsidRPr="007A775B">
        <w:rPr>
          <w:i/>
          <w:iCs/>
        </w:rPr>
        <w:t>e</w:t>
      </w:r>
      <w:r w:rsidRPr="007A775B">
        <w:rPr>
          <w:i/>
          <w:iCs/>
        </w:rPr>
        <w:t>turn of Culture and Identity in IR Theory</w:t>
      </w:r>
      <w:r>
        <w:t>,</w:t>
      </w:r>
      <w:r>
        <w:rPr>
          <w:lang w:val="fr-FR" w:eastAsia="fr-FR" w:bidi="fr-FR"/>
        </w:rPr>
        <w:t xml:space="preserve"> Boulder (Col.) et Londres, Lynne Rienner, 1996, 256 p.</w:t>
      </w:r>
      <w:r>
        <w:t> ;</w:t>
      </w:r>
      <w:r>
        <w:rPr>
          <w:lang w:val="fr-FR" w:eastAsia="fr-FR" w:bidi="fr-FR"/>
        </w:rPr>
        <w:t xml:space="preserve"> David Campbell, </w:t>
      </w:r>
      <w:r w:rsidRPr="007A775B">
        <w:rPr>
          <w:i/>
          <w:iCs/>
        </w:rPr>
        <w:t>Wr</w:t>
      </w:r>
      <w:r w:rsidRPr="007A775B">
        <w:rPr>
          <w:i/>
          <w:iCs/>
        </w:rPr>
        <w:t>i</w:t>
      </w:r>
      <w:r w:rsidRPr="007A775B">
        <w:rPr>
          <w:i/>
          <w:iCs/>
        </w:rPr>
        <w:t>ting Security : United States Foreign Pol</w:t>
      </w:r>
      <w:r>
        <w:rPr>
          <w:i/>
          <w:iCs/>
        </w:rPr>
        <w:t>i</w:t>
      </w:r>
      <w:r w:rsidRPr="007A775B">
        <w:rPr>
          <w:i/>
          <w:iCs/>
        </w:rPr>
        <w:t>cy and the Politics of Identity</w:t>
      </w:r>
      <w:r>
        <w:t>,</w:t>
      </w:r>
      <w:r>
        <w:rPr>
          <w:lang w:val="fr-FR" w:eastAsia="fr-FR" w:bidi="fr-FR"/>
        </w:rPr>
        <w:t xml:space="preserve"> Minneapolis, University of Minn</w:t>
      </w:r>
      <w:r>
        <w:rPr>
          <w:lang w:val="fr-FR" w:eastAsia="fr-FR" w:bidi="fr-FR"/>
        </w:rPr>
        <w:t>e</w:t>
      </w:r>
      <w:r>
        <w:rPr>
          <w:lang w:val="fr-FR" w:eastAsia="fr-FR" w:bidi="fr-FR"/>
        </w:rPr>
        <w:t>sota Press, 2'éd., 1998, 250 p.</w:t>
      </w:r>
    </w:p>
  </w:footnote>
  <w:footnote w:id="88">
    <w:p w14:paraId="7E5B5478" w14:textId="77777777" w:rsidR="0039793A" w:rsidRDefault="0039793A" w:rsidP="0039793A">
      <w:pPr>
        <w:pStyle w:val="Notedebasdepage"/>
      </w:pPr>
      <w:r>
        <w:rPr>
          <w:rStyle w:val="Appelnotedebasdep"/>
        </w:rPr>
        <w:footnoteRef/>
      </w:r>
      <w:r>
        <w:tab/>
      </w:r>
      <w:r>
        <w:rPr>
          <w:lang w:val="fr-FR" w:eastAsia="fr-FR" w:bidi="fr-FR"/>
        </w:rPr>
        <w:t xml:space="preserve">Voir à ce titre, l’étude très complète de Howard J. Wiarda, </w:t>
      </w:r>
      <w:r w:rsidRPr="007A775B">
        <w:rPr>
          <w:i/>
          <w:iCs/>
        </w:rPr>
        <w:t>American F</w:t>
      </w:r>
      <w:r w:rsidRPr="007A775B">
        <w:rPr>
          <w:i/>
          <w:iCs/>
        </w:rPr>
        <w:t>o</w:t>
      </w:r>
      <w:r w:rsidRPr="007A775B">
        <w:rPr>
          <w:i/>
          <w:iCs/>
        </w:rPr>
        <w:t>reign Poliy. Actors and Processes</w:t>
      </w:r>
      <w:r>
        <w:t>,</w:t>
      </w:r>
      <w:r>
        <w:rPr>
          <w:lang w:val="fr-FR" w:eastAsia="fr-FR" w:bidi="fr-FR"/>
        </w:rPr>
        <w:t xml:space="preserve"> New York, Harper Co</w:t>
      </w:r>
      <w:r>
        <w:rPr>
          <w:lang w:val="fr-FR" w:eastAsia="fr-FR" w:bidi="fr-FR"/>
        </w:rPr>
        <w:t>l</w:t>
      </w:r>
      <w:r>
        <w:rPr>
          <w:lang w:val="fr-FR" w:eastAsia="fr-FR" w:bidi="fr-FR"/>
        </w:rPr>
        <w:t>lins, 1996, p. 33-34.</w:t>
      </w:r>
    </w:p>
  </w:footnote>
  <w:footnote w:id="89">
    <w:p w14:paraId="10C48280" w14:textId="77777777" w:rsidR="0039793A" w:rsidRDefault="0039793A" w:rsidP="0039793A">
      <w:pPr>
        <w:pStyle w:val="Notedebasdepage"/>
      </w:pPr>
      <w:r>
        <w:rPr>
          <w:rStyle w:val="Appelnotedebasdep"/>
        </w:rPr>
        <w:footnoteRef/>
      </w:r>
      <w:r>
        <w:tab/>
      </w:r>
      <w:r>
        <w:rPr>
          <w:lang w:val="fr-FR" w:eastAsia="fr-FR" w:bidi="fr-FR"/>
        </w:rPr>
        <w:t xml:space="preserve">Voir Élise Marienstras, </w:t>
      </w:r>
      <w:r w:rsidRPr="007A775B">
        <w:rPr>
          <w:i/>
          <w:iCs/>
        </w:rPr>
        <w:t>Les mythes fondateurs de la nation américaine</w:t>
      </w:r>
      <w:r>
        <w:rPr>
          <w:lang w:val="fr-FR" w:eastAsia="fr-FR" w:bidi="fr-FR"/>
        </w:rPr>
        <w:t>, P</w:t>
      </w:r>
      <w:r>
        <w:rPr>
          <w:lang w:val="fr-FR" w:eastAsia="fr-FR" w:bidi="fr-FR"/>
        </w:rPr>
        <w:t>a</w:t>
      </w:r>
      <w:r>
        <w:rPr>
          <w:lang w:val="fr-FR" w:eastAsia="fr-FR" w:bidi="fr-FR"/>
        </w:rPr>
        <w:t>ris, François Maspero, 1976, 384 p. Cet ouvrage contient de multiples réf</w:t>
      </w:r>
      <w:r>
        <w:rPr>
          <w:lang w:val="fr-FR" w:eastAsia="fr-FR" w:bidi="fr-FR"/>
        </w:rPr>
        <w:t>é</w:t>
      </w:r>
      <w:r>
        <w:rPr>
          <w:lang w:val="fr-FR" w:eastAsia="fr-FR" w:bidi="fr-FR"/>
        </w:rPr>
        <w:t>rences aux écrits politiques américains durant la p</w:t>
      </w:r>
      <w:r>
        <w:rPr>
          <w:lang w:val="fr-FR" w:eastAsia="fr-FR" w:bidi="fr-FR"/>
        </w:rPr>
        <w:t>é</w:t>
      </w:r>
      <w:r>
        <w:rPr>
          <w:lang w:val="fr-FR" w:eastAsia="fr-FR" w:bidi="fr-FR"/>
        </w:rPr>
        <w:t xml:space="preserve">riode de l’indépendance, de 1763 à 1800. L’expression </w:t>
      </w:r>
      <w:r>
        <w:t>« </w:t>
      </w:r>
      <w:r>
        <w:rPr>
          <w:lang w:val="fr-FR" w:eastAsia="fr-FR" w:bidi="fr-FR"/>
        </w:rPr>
        <w:t>recommencer le monde</w:t>
      </w:r>
      <w:r>
        <w:t> »</w:t>
      </w:r>
      <w:r>
        <w:rPr>
          <w:lang w:val="fr-FR" w:eastAsia="fr-FR" w:bidi="fr-FR"/>
        </w:rPr>
        <w:t xml:space="preserve"> est de Thomas Paine (un écrivain anglais arrivé à Philadelphie en 1774 qui publia en ja</w:t>
      </w:r>
      <w:r>
        <w:rPr>
          <w:lang w:val="fr-FR" w:eastAsia="fr-FR" w:bidi="fr-FR"/>
        </w:rPr>
        <w:t>n</w:t>
      </w:r>
      <w:r>
        <w:rPr>
          <w:lang w:val="fr-FR" w:eastAsia="fr-FR" w:bidi="fr-FR"/>
        </w:rPr>
        <w:t>vier 1776 une brochure incendiaire int</w:t>
      </w:r>
      <w:r>
        <w:rPr>
          <w:lang w:val="fr-FR" w:eastAsia="fr-FR" w:bidi="fr-FR"/>
        </w:rPr>
        <w:t>i</w:t>
      </w:r>
      <w:r>
        <w:rPr>
          <w:lang w:val="fr-FR" w:eastAsia="fr-FR" w:bidi="fr-FR"/>
        </w:rPr>
        <w:t xml:space="preserve">tulée </w:t>
      </w:r>
      <w:r w:rsidRPr="007A775B">
        <w:rPr>
          <w:i/>
          <w:iCs/>
        </w:rPr>
        <w:t>Common Sense</w:t>
      </w:r>
      <w:r>
        <w:rPr>
          <w:lang w:val="fr-FR" w:eastAsia="fr-FR" w:bidi="fr-FR"/>
        </w:rPr>
        <w:t xml:space="preserve"> qui stimula grandement l’esprit révolutionnaire). Elle exprime un sentiment déjà présent chez les colons am</w:t>
      </w:r>
      <w:r>
        <w:rPr>
          <w:lang w:val="fr-FR" w:eastAsia="fr-FR" w:bidi="fr-FR"/>
        </w:rPr>
        <w:t>é</w:t>
      </w:r>
      <w:r>
        <w:rPr>
          <w:lang w:val="fr-FR" w:eastAsia="fr-FR" w:bidi="fr-FR"/>
        </w:rPr>
        <w:t>ricains.</w:t>
      </w:r>
    </w:p>
  </w:footnote>
  <w:footnote w:id="90">
    <w:p w14:paraId="5DCF1921" w14:textId="77777777" w:rsidR="0039793A" w:rsidRDefault="0039793A" w:rsidP="0039793A">
      <w:pPr>
        <w:pStyle w:val="Notedebasdepage"/>
      </w:pPr>
      <w:r>
        <w:rPr>
          <w:rStyle w:val="Appelnotedebasdep"/>
        </w:rPr>
        <w:footnoteRef/>
      </w:r>
      <w:r>
        <w:tab/>
      </w:r>
      <w:r>
        <w:rPr>
          <w:lang w:val="fr-FR" w:eastAsia="fr-FR" w:bidi="fr-FR"/>
        </w:rPr>
        <w:t>Ces références religieuses vont d’ailleurs bien souvent au-delà du traditio</w:t>
      </w:r>
      <w:r>
        <w:rPr>
          <w:lang w:val="fr-FR" w:eastAsia="fr-FR" w:bidi="fr-FR"/>
        </w:rPr>
        <w:t>n</w:t>
      </w:r>
      <w:r>
        <w:rPr>
          <w:lang w:val="fr-FR" w:eastAsia="fr-FR" w:bidi="fr-FR"/>
        </w:rPr>
        <w:t xml:space="preserve">nel </w:t>
      </w:r>
      <w:r>
        <w:t>« </w:t>
      </w:r>
      <w:r w:rsidRPr="007A775B">
        <w:rPr>
          <w:i/>
          <w:iCs/>
        </w:rPr>
        <w:t>God bless America</w:t>
      </w:r>
      <w:r>
        <w:t> »</w:t>
      </w:r>
      <w:r>
        <w:rPr>
          <w:lang w:val="fr-FR" w:eastAsia="fr-FR" w:bidi="fr-FR"/>
        </w:rPr>
        <w:t xml:space="preserve"> (Dieu bénisse l’Amérique) qui clôt chaque di</w:t>
      </w:r>
      <w:r>
        <w:rPr>
          <w:lang w:val="fr-FR" w:eastAsia="fr-FR" w:bidi="fr-FR"/>
        </w:rPr>
        <w:t>s</w:t>
      </w:r>
      <w:r>
        <w:rPr>
          <w:lang w:val="fr-FR" w:eastAsia="fr-FR" w:bidi="fr-FR"/>
        </w:rPr>
        <w:t>cours prés</w:t>
      </w:r>
      <w:r>
        <w:rPr>
          <w:lang w:val="fr-FR" w:eastAsia="fr-FR" w:bidi="fr-FR"/>
        </w:rPr>
        <w:t>i</w:t>
      </w:r>
      <w:r>
        <w:rPr>
          <w:lang w:val="fr-FR" w:eastAsia="fr-FR" w:bidi="fr-FR"/>
        </w:rPr>
        <w:t>dentiel.</w:t>
      </w:r>
    </w:p>
  </w:footnote>
  <w:footnote w:id="91">
    <w:p w14:paraId="6D03DC67" w14:textId="77777777" w:rsidR="0039793A" w:rsidRDefault="0039793A" w:rsidP="0039793A">
      <w:pPr>
        <w:pStyle w:val="Notedebasdepage"/>
      </w:pPr>
      <w:r>
        <w:rPr>
          <w:rStyle w:val="Appelnotedebasdep"/>
        </w:rPr>
        <w:footnoteRef/>
      </w:r>
      <w:r>
        <w:tab/>
      </w:r>
      <w:r>
        <w:rPr>
          <w:lang w:val="fr-FR" w:eastAsia="fr-FR" w:bidi="fr-FR"/>
        </w:rPr>
        <w:t>Ils rejettent surtout l’autorité religieuse de la Couronne britann</w:t>
      </w:r>
      <w:r>
        <w:rPr>
          <w:lang w:val="fr-FR" w:eastAsia="fr-FR" w:bidi="fr-FR"/>
        </w:rPr>
        <w:t>i</w:t>
      </w:r>
      <w:r>
        <w:rPr>
          <w:lang w:val="fr-FR" w:eastAsia="fr-FR" w:bidi="fr-FR"/>
        </w:rPr>
        <w:t xml:space="preserve">que. Voir Oscar Handlin, </w:t>
      </w:r>
      <w:r w:rsidRPr="007A775B">
        <w:rPr>
          <w:i/>
          <w:iCs/>
        </w:rPr>
        <w:t>The Americans : A New History of the Pe</w:t>
      </w:r>
      <w:r w:rsidRPr="007A775B">
        <w:rPr>
          <w:i/>
          <w:iCs/>
        </w:rPr>
        <w:t>o</w:t>
      </w:r>
      <w:r w:rsidRPr="007A775B">
        <w:rPr>
          <w:i/>
          <w:iCs/>
        </w:rPr>
        <w:t>ple of the United States</w:t>
      </w:r>
      <w:r>
        <w:rPr>
          <w:lang w:val="fr-FR" w:eastAsia="fr-FR" w:bidi="fr-FR"/>
        </w:rPr>
        <w:t xml:space="preserve">, Boston, Little Brown, 1963, p. 14 et Jean-Michel Lacroix, </w:t>
      </w:r>
      <w:r w:rsidRPr="007A775B">
        <w:rPr>
          <w:i/>
          <w:iCs/>
        </w:rPr>
        <w:t>Histoire des États-Unis</w:t>
      </w:r>
      <w:r>
        <w:rPr>
          <w:lang w:val="fr-FR" w:eastAsia="fr-FR" w:bidi="fr-FR"/>
        </w:rPr>
        <w:t xml:space="preserve">, Paris, </w:t>
      </w:r>
      <w:r w:rsidRPr="00246DFE">
        <w:rPr>
          <w:smallCaps/>
        </w:rPr>
        <w:t xml:space="preserve">puf, </w:t>
      </w:r>
      <w:r>
        <w:rPr>
          <w:lang w:val="fr-FR" w:eastAsia="fr-FR" w:bidi="fr-FR"/>
        </w:rPr>
        <w:t xml:space="preserve">1996, </w:t>
      </w:r>
      <w:r>
        <w:t xml:space="preserve">p. </w:t>
      </w:r>
      <w:r>
        <w:rPr>
          <w:lang w:val="fr-FR" w:eastAsia="fr-FR" w:bidi="fr-FR"/>
        </w:rPr>
        <w:t>17-24.</w:t>
      </w:r>
    </w:p>
  </w:footnote>
  <w:footnote w:id="92">
    <w:p w14:paraId="482B5E51" w14:textId="77777777" w:rsidR="0039793A" w:rsidRDefault="0039793A">
      <w:pPr>
        <w:pStyle w:val="Notedebasdepage"/>
      </w:pPr>
      <w:r>
        <w:rPr>
          <w:rStyle w:val="Appelnotedebasdep"/>
        </w:rPr>
        <w:footnoteRef/>
      </w:r>
      <w:r>
        <w:tab/>
      </w:r>
      <w:r>
        <w:rPr>
          <w:lang w:val="fr-FR" w:eastAsia="fr-FR" w:bidi="fr-FR"/>
        </w:rPr>
        <w:t>La doctrine, édictée par le secrétaire d’État John Hay dès 1899, va devenir la pierre angulaire de la politique étrangère et consacrer en fin de compte l’hégémonie économique américaine. Si elle est dire</w:t>
      </w:r>
      <w:r>
        <w:rPr>
          <w:lang w:val="fr-FR" w:eastAsia="fr-FR" w:bidi="fr-FR"/>
        </w:rPr>
        <w:t>c</w:t>
      </w:r>
      <w:r>
        <w:rPr>
          <w:lang w:val="fr-FR" w:eastAsia="fr-FR" w:bidi="fr-FR"/>
        </w:rPr>
        <w:t>tement adressée à la Chine, elle proclame de manière gén</w:t>
      </w:r>
      <w:r>
        <w:rPr>
          <w:lang w:val="fr-FR" w:eastAsia="fr-FR" w:bidi="fr-FR"/>
        </w:rPr>
        <w:t>é</w:t>
      </w:r>
      <w:r>
        <w:rPr>
          <w:lang w:val="fr-FR" w:eastAsia="fr-FR" w:bidi="fr-FR"/>
        </w:rPr>
        <w:t>rale le droit pour toute personne (quel que soit son pays d’origine) de voyager et commercer sans discrimination et quelle que soit la zone (et il s’agit ici précisément des zones d’influence que s’étaient arrogées les gra</w:t>
      </w:r>
      <w:r>
        <w:rPr>
          <w:lang w:val="fr-FR" w:eastAsia="fr-FR" w:bidi="fr-FR"/>
        </w:rPr>
        <w:t>n</w:t>
      </w:r>
      <w:r>
        <w:rPr>
          <w:lang w:val="fr-FR" w:eastAsia="fr-FR" w:bidi="fr-FR"/>
        </w:rPr>
        <w:t>des puissances européennes en Chine).</w:t>
      </w:r>
    </w:p>
  </w:footnote>
  <w:footnote w:id="93">
    <w:p w14:paraId="42CE2FDA" w14:textId="77777777" w:rsidR="0039793A" w:rsidRDefault="0039793A" w:rsidP="0039793A">
      <w:pPr>
        <w:pStyle w:val="Notedebasdepage"/>
      </w:pPr>
      <w:r>
        <w:rPr>
          <w:rStyle w:val="Appelnotedebasdep"/>
        </w:rPr>
        <w:footnoteRef/>
      </w:r>
      <w:r>
        <w:tab/>
      </w:r>
      <w:r>
        <w:rPr>
          <w:lang w:val="fr-FR" w:eastAsia="fr-FR" w:bidi="fr-FR"/>
        </w:rPr>
        <w:t xml:space="preserve">La </w:t>
      </w:r>
      <w:r>
        <w:t>« </w:t>
      </w:r>
      <w:r>
        <w:rPr>
          <w:lang w:val="fr-FR" w:eastAsia="fr-FR" w:bidi="fr-FR"/>
        </w:rPr>
        <w:t>diplomatie du dollar</w:t>
      </w:r>
      <w:r>
        <w:t> »</w:t>
      </w:r>
      <w:r>
        <w:rPr>
          <w:lang w:val="fr-FR" w:eastAsia="fr-FR" w:bidi="fr-FR"/>
        </w:rPr>
        <w:t xml:space="preserve"> consistait à utiliser la force économique amér</w:t>
      </w:r>
      <w:r>
        <w:rPr>
          <w:lang w:val="fr-FR" w:eastAsia="fr-FR" w:bidi="fr-FR"/>
        </w:rPr>
        <w:t>i</w:t>
      </w:r>
      <w:r>
        <w:rPr>
          <w:lang w:val="fr-FR" w:eastAsia="fr-FR" w:bidi="fr-FR"/>
        </w:rPr>
        <w:t>caine à des fins de politique étrangère. Philander Knox, un avocat très lié aux milieux d’affaires, fut nommé secr</w:t>
      </w:r>
      <w:r>
        <w:rPr>
          <w:lang w:val="fr-FR" w:eastAsia="fr-FR" w:bidi="fr-FR"/>
        </w:rPr>
        <w:t>é</w:t>
      </w:r>
      <w:r>
        <w:rPr>
          <w:lang w:val="fr-FR" w:eastAsia="fr-FR" w:bidi="fr-FR"/>
        </w:rPr>
        <w:t xml:space="preserve">taire d’État par Taft. Il </w:t>
      </w:r>
      <w:r>
        <w:t>« </w:t>
      </w:r>
      <w:r>
        <w:rPr>
          <w:lang w:val="fr-FR" w:eastAsia="fr-FR" w:bidi="fr-FR"/>
        </w:rPr>
        <w:t>s’efforça de promouvoir une politique commerciale étrangère énergique et réorgan</w:t>
      </w:r>
      <w:r>
        <w:rPr>
          <w:lang w:val="fr-FR" w:eastAsia="fr-FR" w:bidi="fr-FR"/>
        </w:rPr>
        <w:t>i</w:t>
      </w:r>
      <w:r>
        <w:rPr>
          <w:lang w:val="fr-FR" w:eastAsia="fr-FR" w:bidi="fr-FR"/>
        </w:rPr>
        <w:t>sa le Département d’État. Son slogan aurait pu être</w:t>
      </w:r>
      <w:r>
        <w:t> :</w:t>
      </w:r>
      <w:r>
        <w:rPr>
          <w:lang w:val="fr-FR" w:eastAsia="fr-FR" w:bidi="fr-FR"/>
        </w:rPr>
        <w:t xml:space="preserve"> Chaque diplomate doit être un commerçant</w:t>
      </w:r>
      <w:r>
        <w:t> »</w:t>
      </w:r>
      <w:r>
        <w:rPr>
          <w:lang w:val="fr-FR" w:eastAsia="fr-FR" w:bidi="fr-FR"/>
        </w:rPr>
        <w:t xml:space="preserve">, Yves-Henri Nouailhat, </w:t>
      </w:r>
      <w:r w:rsidRPr="00A93E36">
        <w:rPr>
          <w:i/>
          <w:iCs/>
        </w:rPr>
        <w:t xml:space="preserve">Les États-Unis et le monde </w:t>
      </w:r>
      <w:r w:rsidRPr="00A93E36">
        <w:rPr>
          <w:i/>
          <w:iCs/>
          <w:lang w:val="fr-FR" w:eastAsia="fr-FR" w:bidi="fr-FR"/>
        </w:rPr>
        <w:t xml:space="preserve">au </w:t>
      </w:r>
      <w:r w:rsidRPr="00A93E36">
        <w:rPr>
          <w:i/>
          <w:iCs/>
        </w:rPr>
        <w:t>XX</w:t>
      </w:r>
      <w:r w:rsidRPr="00A93E36">
        <w:rPr>
          <w:i/>
          <w:iCs/>
          <w:vertAlign w:val="superscript"/>
        </w:rPr>
        <w:t>e</w:t>
      </w:r>
      <w:r w:rsidRPr="00A93E36">
        <w:rPr>
          <w:i/>
          <w:iCs/>
        </w:rPr>
        <w:t xml:space="preserve"> </w:t>
      </w:r>
      <w:r w:rsidRPr="00A93E36">
        <w:rPr>
          <w:i/>
          <w:iCs/>
          <w:lang w:val="fr-FR" w:eastAsia="fr-FR" w:bidi="fr-FR"/>
        </w:rPr>
        <w:t>siècle</w:t>
      </w:r>
      <w:r>
        <w:t>,</w:t>
      </w:r>
      <w:r>
        <w:rPr>
          <w:lang w:val="fr-FR" w:eastAsia="fr-FR" w:bidi="fr-FR"/>
        </w:rPr>
        <w:t xml:space="preserve"> Paris, A</w:t>
      </w:r>
      <w:r>
        <w:rPr>
          <w:lang w:val="fr-FR" w:eastAsia="fr-FR" w:bidi="fr-FR"/>
        </w:rPr>
        <w:t>r</w:t>
      </w:r>
      <w:r>
        <w:rPr>
          <w:lang w:val="fr-FR" w:eastAsia="fr-FR" w:bidi="fr-FR"/>
        </w:rPr>
        <w:t>mand Colin, 2000, p. 57.</w:t>
      </w:r>
    </w:p>
  </w:footnote>
  <w:footnote w:id="94">
    <w:p w14:paraId="7B0EA3A5" w14:textId="77777777" w:rsidR="0039793A" w:rsidRDefault="0039793A" w:rsidP="0039793A">
      <w:pPr>
        <w:pStyle w:val="Notedebasdepage"/>
      </w:pPr>
      <w:r>
        <w:rPr>
          <w:rStyle w:val="Appelnotedebasdep"/>
        </w:rPr>
        <w:footnoteRef/>
      </w:r>
      <w:r>
        <w:tab/>
      </w:r>
      <w:r>
        <w:rPr>
          <w:lang w:val="fr-FR" w:eastAsia="fr-FR" w:bidi="fr-FR"/>
        </w:rPr>
        <w:t>Cela est devenu plus qu’évident au m</w:t>
      </w:r>
      <w:r>
        <w:rPr>
          <w:lang w:val="fr-FR" w:eastAsia="fr-FR" w:bidi="fr-FR"/>
        </w:rPr>
        <w:t>o</w:t>
      </w:r>
      <w:r>
        <w:rPr>
          <w:lang w:val="fr-FR" w:eastAsia="fr-FR" w:bidi="fr-FR"/>
        </w:rPr>
        <w:t>ment d’intervenir en Irak en mars 2003</w:t>
      </w:r>
      <w:r>
        <w:t> :</w:t>
      </w:r>
      <w:r>
        <w:rPr>
          <w:lang w:val="fr-FR" w:eastAsia="fr-FR" w:bidi="fr-FR"/>
        </w:rPr>
        <w:t xml:space="preserve"> les Américains ont tenté de marchander avec la Tu</w:t>
      </w:r>
      <w:r>
        <w:rPr>
          <w:lang w:val="fr-FR" w:eastAsia="fr-FR" w:bidi="fr-FR"/>
        </w:rPr>
        <w:t>r</w:t>
      </w:r>
      <w:r>
        <w:rPr>
          <w:lang w:val="fr-FR" w:eastAsia="fr-FR" w:bidi="fr-FR"/>
        </w:rPr>
        <w:t xml:space="preserve">quie leur soutien économique et leur </w:t>
      </w:r>
      <w:r>
        <w:t>« </w:t>
      </w:r>
      <w:r>
        <w:rPr>
          <w:lang w:val="fr-FR" w:eastAsia="fr-FR" w:bidi="fr-FR"/>
        </w:rPr>
        <w:t>non-ingérence</w:t>
      </w:r>
      <w:r>
        <w:t> »</w:t>
      </w:r>
      <w:r>
        <w:rPr>
          <w:lang w:val="fr-FR" w:eastAsia="fr-FR" w:bidi="fr-FR"/>
        </w:rPr>
        <w:t xml:space="preserve"> dans la question kurde contre un so</w:t>
      </w:r>
      <w:r>
        <w:rPr>
          <w:lang w:val="fr-FR" w:eastAsia="fr-FR" w:bidi="fr-FR"/>
        </w:rPr>
        <w:t>u</w:t>
      </w:r>
      <w:r>
        <w:rPr>
          <w:lang w:val="fr-FR" w:eastAsia="fr-FR" w:bidi="fr-FR"/>
        </w:rPr>
        <w:t>tien logistique.</w:t>
      </w:r>
    </w:p>
  </w:footnote>
  <w:footnote w:id="95">
    <w:p w14:paraId="7BA8EEE4" w14:textId="77777777" w:rsidR="0039793A" w:rsidRDefault="0039793A" w:rsidP="0039793A">
      <w:pPr>
        <w:pStyle w:val="Notedebasdepage"/>
      </w:pPr>
      <w:r>
        <w:rPr>
          <w:rStyle w:val="Appelnotedebasdep"/>
        </w:rPr>
        <w:footnoteRef/>
      </w:r>
      <w:r>
        <w:tab/>
      </w:r>
      <w:r>
        <w:rPr>
          <w:lang w:val="fr-FR" w:eastAsia="fr-FR" w:bidi="fr-FR"/>
        </w:rPr>
        <w:t>Ce programme est un vaste plan d’assistance financière a</w:t>
      </w:r>
      <w:r>
        <w:rPr>
          <w:lang w:val="fr-FR" w:eastAsia="fr-FR" w:bidi="fr-FR"/>
        </w:rPr>
        <w:t>n</w:t>
      </w:r>
      <w:r>
        <w:rPr>
          <w:lang w:val="fr-FR" w:eastAsia="fr-FR" w:bidi="fr-FR"/>
        </w:rPr>
        <w:t>noncé en juin 1947 par le secrétaire d’État Marshall pour venir en aide aux pays européens ravagés par la guerre et les engager à reconstruire leur économie s</w:t>
      </w:r>
      <w:r>
        <w:rPr>
          <w:lang w:val="fr-FR" w:eastAsia="fr-FR" w:bidi="fr-FR"/>
        </w:rPr>
        <w:t>e</w:t>
      </w:r>
      <w:r>
        <w:rPr>
          <w:lang w:val="fr-FR" w:eastAsia="fr-FR" w:bidi="fr-FR"/>
        </w:rPr>
        <w:t>lon des normes libérales agréées par les États-Unis.</w:t>
      </w:r>
    </w:p>
  </w:footnote>
  <w:footnote w:id="96">
    <w:p w14:paraId="1AE1AE12" w14:textId="77777777" w:rsidR="0039793A" w:rsidRDefault="0039793A" w:rsidP="0039793A">
      <w:pPr>
        <w:pStyle w:val="Notedebasdepage"/>
      </w:pPr>
      <w:r>
        <w:rPr>
          <w:rStyle w:val="Appelnotedebasdep"/>
        </w:rPr>
        <w:footnoteRef/>
      </w:r>
      <w:r>
        <w:tab/>
      </w:r>
      <w:r>
        <w:rPr>
          <w:lang w:val="fr-FR" w:eastAsia="fr-FR" w:bidi="fr-FR"/>
        </w:rPr>
        <w:t>En novembre 2001, le Programme de récompense pour la justice du Dépa</w:t>
      </w:r>
      <w:r>
        <w:rPr>
          <w:lang w:val="fr-FR" w:eastAsia="fr-FR" w:bidi="fr-FR"/>
        </w:rPr>
        <w:t>r</w:t>
      </w:r>
      <w:r>
        <w:rPr>
          <w:lang w:val="fr-FR" w:eastAsia="fr-FR" w:bidi="fr-FR"/>
        </w:rPr>
        <w:t>tement d’État des États-Unis offre jusqu’à 25 millions de dollars à qu</w:t>
      </w:r>
      <w:r>
        <w:rPr>
          <w:lang w:val="fr-FR" w:eastAsia="fr-FR" w:bidi="fr-FR"/>
        </w:rPr>
        <w:t>i</w:t>
      </w:r>
      <w:r>
        <w:rPr>
          <w:lang w:val="fr-FR" w:eastAsia="fr-FR" w:bidi="fr-FR"/>
        </w:rPr>
        <w:t>conque fournira des renseignements susceptibles de m</w:t>
      </w:r>
      <w:r>
        <w:rPr>
          <w:lang w:val="fr-FR" w:eastAsia="fr-FR" w:bidi="fr-FR"/>
        </w:rPr>
        <w:t>e</w:t>
      </w:r>
      <w:r>
        <w:rPr>
          <w:lang w:val="fr-FR" w:eastAsia="fr-FR" w:bidi="fr-FR"/>
        </w:rPr>
        <w:t>ner à la capture de Ben Laden. Deux millions suppléme</w:t>
      </w:r>
      <w:r>
        <w:rPr>
          <w:lang w:val="fr-FR" w:eastAsia="fr-FR" w:bidi="fr-FR"/>
        </w:rPr>
        <w:t>n</w:t>
      </w:r>
      <w:r>
        <w:rPr>
          <w:lang w:val="fr-FR" w:eastAsia="fr-FR" w:bidi="fr-FR"/>
        </w:rPr>
        <w:t>taires sont offerts par les associations du transport aérien et de pilotes d’avion.</w:t>
      </w:r>
    </w:p>
  </w:footnote>
  <w:footnote w:id="97">
    <w:p w14:paraId="5EDFAB26" w14:textId="77777777" w:rsidR="0039793A" w:rsidRDefault="0039793A" w:rsidP="0039793A">
      <w:pPr>
        <w:pStyle w:val="Notedebasdepage"/>
      </w:pPr>
      <w:r>
        <w:rPr>
          <w:rStyle w:val="Appelnotedebasdep"/>
        </w:rPr>
        <w:footnoteRef/>
      </w:r>
      <w:r>
        <w:tab/>
      </w:r>
      <w:r>
        <w:rPr>
          <w:lang w:val="fr-FR" w:eastAsia="fr-FR" w:bidi="fr-FR"/>
        </w:rPr>
        <w:t>Il faut ici établir une nuance pour le cas de la Grande-Bretagne. En effet, le lien culturel avec l’ancienne métropole est demeuré pr</w:t>
      </w:r>
      <w:r>
        <w:rPr>
          <w:lang w:val="fr-FR" w:eastAsia="fr-FR" w:bidi="fr-FR"/>
        </w:rPr>
        <w:t>o</w:t>
      </w:r>
      <w:r>
        <w:rPr>
          <w:lang w:val="fr-FR" w:eastAsia="fr-FR" w:bidi="fr-FR"/>
        </w:rPr>
        <w:t>fond. Il n’empêche que les Pèlerins ont fui et répudié le pays où la l</w:t>
      </w:r>
      <w:r>
        <w:rPr>
          <w:lang w:val="fr-FR" w:eastAsia="fr-FR" w:bidi="fr-FR"/>
        </w:rPr>
        <w:t>i</w:t>
      </w:r>
      <w:r>
        <w:rPr>
          <w:lang w:val="fr-FR" w:eastAsia="fr-FR" w:bidi="fr-FR"/>
        </w:rPr>
        <w:t>berté de religion ne leur était pas assurée. Le dos tourné à l’Europe doit cependant s’entendre surtout de l’Europe continentale.</w:t>
      </w:r>
    </w:p>
  </w:footnote>
  <w:footnote w:id="98">
    <w:p w14:paraId="45B5BD00" w14:textId="77777777" w:rsidR="0039793A" w:rsidRDefault="0039793A" w:rsidP="0039793A">
      <w:pPr>
        <w:pStyle w:val="Notedebasdepage"/>
      </w:pPr>
      <w:r>
        <w:rPr>
          <w:rStyle w:val="Appelnotedebasdep"/>
        </w:rPr>
        <w:footnoteRef/>
      </w:r>
      <w:r>
        <w:tab/>
      </w:r>
      <w:r>
        <w:rPr>
          <w:lang w:val="fr-FR" w:eastAsia="fr-FR" w:bidi="fr-FR"/>
        </w:rPr>
        <w:t xml:space="preserve">Stanley Hoffmann a analysé cette attitude de rejet de l’Europe et de l’histoire. Voir </w:t>
      </w:r>
      <w:r w:rsidRPr="00084602">
        <w:rPr>
          <w:i/>
          <w:iCs/>
        </w:rPr>
        <w:t xml:space="preserve">op. </w:t>
      </w:r>
      <w:r>
        <w:rPr>
          <w:i/>
          <w:iCs/>
        </w:rPr>
        <w:t>c</w:t>
      </w:r>
      <w:r w:rsidRPr="00084602">
        <w:rPr>
          <w:i/>
          <w:iCs/>
        </w:rPr>
        <w:t>it</w:t>
      </w:r>
      <w:r>
        <w:t>.,</w:t>
      </w:r>
      <w:r>
        <w:rPr>
          <w:lang w:val="fr-FR" w:eastAsia="fr-FR" w:bidi="fr-FR"/>
        </w:rPr>
        <w:t xml:space="preserve"> p. 144-166 et </w:t>
      </w:r>
      <w:r>
        <w:t>« </w:t>
      </w:r>
      <w:r>
        <w:rPr>
          <w:lang w:val="fr-FR" w:eastAsia="fr-FR" w:bidi="fr-FR"/>
        </w:rPr>
        <w:t>An American Social Science</w:t>
      </w:r>
      <w:r>
        <w:t> :</w:t>
      </w:r>
      <w:r>
        <w:rPr>
          <w:lang w:val="fr-FR" w:eastAsia="fr-FR" w:bidi="fr-FR"/>
        </w:rPr>
        <w:t xml:space="preserve"> Inte</w:t>
      </w:r>
      <w:r>
        <w:rPr>
          <w:lang w:val="fr-FR" w:eastAsia="fr-FR" w:bidi="fr-FR"/>
        </w:rPr>
        <w:t>r</w:t>
      </w:r>
      <w:r>
        <w:rPr>
          <w:lang w:val="fr-FR" w:eastAsia="fr-FR" w:bidi="fr-FR"/>
        </w:rPr>
        <w:t>national Relations</w:t>
      </w:r>
      <w:r>
        <w:t xml:space="preserve"> », </w:t>
      </w:r>
      <w:r w:rsidRPr="00084602">
        <w:rPr>
          <w:i/>
          <w:iCs/>
        </w:rPr>
        <w:t>Janus and Minerva : Essays in the Theory and Practice of International Politics</w:t>
      </w:r>
      <w:r>
        <w:t>,</w:t>
      </w:r>
      <w:r>
        <w:rPr>
          <w:lang w:val="fr-FR" w:eastAsia="fr-FR" w:bidi="fr-FR"/>
        </w:rPr>
        <w:t xml:space="preserve"> Boulder (Col.) et Lo</w:t>
      </w:r>
      <w:r>
        <w:rPr>
          <w:lang w:val="fr-FR" w:eastAsia="fr-FR" w:bidi="fr-FR"/>
        </w:rPr>
        <w:t>n</w:t>
      </w:r>
      <w:r>
        <w:rPr>
          <w:lang w:val="fr-FR" w:eastAsia="fr-FR" w:bidi="fr-FR"/>
        </w:rPr>
        <w:t>dres, Westview Press, 1987, p. 3-24. De même Elise Marien</w:t>
      </w:r>
      <w:r>
        <w:rPr>
          <w:lang w:val="fr-FR" w:eastAsia="fr-FR" w:bidi="fr-FR"/>
        </w:rPr>
        <w:t>s</w:t>
      </w:r>
      <w:r>
        <w:rPr>
          <w:lang w:val="fr-FR" w:eastAsia="fr-FR" w:bidi="fr-FR"/>
        </w:rPr>
        <w:t xml:space="preserve">tras, </w:t>
      </w:r>
      <w:r w:rsidRPr="00084602">
        <w:rPr>
          <w:i/>
          <w:iCs/>
        </w:rPr>
        <w:t>op. cit</w:t>
      </w:r>
      <w:r>
        <w:t>.,</w:t>
      </w:r>
      <w:r>
        <w:rPr>
          <w:lang w:val="fr-FR" w:eastAsia="fr-FR" w:bidi="fr-FR"/>
        </w:rPr>
        <w:t xml:space="preserve"> p. 37-60. Même l’histoire de la politique étrangère américaine est négligée, si l’on en croit Walter Russell Mead. Voir </w:t>
      </w:r>
      <w:r w:rsidRPr="00084602">
        <w:rPr>
          <w:i/>
          <w:iCs/>
        </w:rPr>
        <w:t>Sp</w:t>
      </w:r>
      <w:r>
        <w:rPr>
          <w:i/>
          <w:iCs/>
        </w:rPr>
        <w:t>e</w:t>
      </w:r>
      <w:r w:rsidRPr="00084602">
        <w:rPr>
          <w:i/>
          <w:iCs/>
        </w:rPr>
        <w:t>cial Providence : American F</w:t>
      </w:r>
      <w:r w:rsidRPr="00084602">
        <w:rPr>
          <w:i/>
          <w:iCs/>
        </w:rPr>
        <w:t>o</w:t>
      </w:r>
      <w:r w:rsidRPr="00084602">
        <w:rPr>
          <w:i/>
          <w:iCs/>
        </w:rPr>
        <w:t>reign Policy and How it Changed the World</w:t>
      </w:r>
      <w:r>
        <w:rPr>
          <w:lang w:val="fr-FR" w:eastAsia="fr-FR" w:bidi="fr-FR"/>
        </w:rPr>
        <w:t>, New York, Alfred A. Knopf, 2001, p. 3-29. Ainsi, d</w:t>
      </w:r>
      <w:r>
        <w:rPr>
          <w:lang w:val="fr-FR" w:eastAsia="fr-FR" w:bidi="fr-FR"/>
        </w:rPr>
        <w:t>u</w:t>
      </w:r>
      <w:r>
        <w:rPr>
          <w:lang w:val="fr-FR" w:eastAsia="fr-FR" w:bidi="fr-FR"/>
        </w:rPr>
        <w:t>rant la longue période de la guerre au Vietnam, aucun des nombreux spéci</w:t>
      </w:r>
      <w:r>
        <w:rPr>
          <w:lang w:val="fr-FR" w:eastAsia="fr-FR" w:bidi="fr-FR"/>
        </w:rPr>
        <w:t>a</w:t>
      </w:r>
      <w:r>
        <w:rPr>
          <w:lang w:val="fr-FR" w:eastAsia="fr-FR" w:bidi="fr-FR"/>
        </w:rPr>
        <w:t>listes de l’histoire et de la culture de l’Asie du Sud-Est ne fut mis à contrib</w:t>
      </w:r>
      <w:r>
        <w:rPr>
          <w:lang w:val="fr-FR" w:eastAsia="fr-FR" w:bidi="fr-FR"/>
        </w:rPr>
        <w:t>u</w:t>
      </w:r>
      <w:r>
        <w:rPr>
          <w:lang w:val="fr-FR" w:eastAsia="fr-FR" w:bidi="fr-FR"/>
        </w:rPr>
        <w:t>tion par les responsables de Washington. Après les attentats tragiques du 11 septe</w:t>
      </w:r>
      <w:r>
        <w:rPr>
          <w:lang w:val="fr-FR" w:eastAsia="fr-FR" w:bidi="fr-FR"/>
        </w:rPr>
        <w:t>m</w:t>
      </w:r>
      <w:r>
        <w:rPr>
          <w:lang w:val="fr-FR" w:eastAsia="fr-FR" w:bidi="fr-FR"/>
        </w:rPr>
        <w:t>bre 2001, les voix qui prônaient une meilleure compréhension du cheminement et des motivations des terroristes inspirés par un islamisme r</w:t>
      </w:r>
      <w:r>
        <w:rPr>
          <w:lang w:val="fr-FR" w:eastAsia="fr-FR" w:bidi="fr-FR"/>
        </w:rPr>
        <w:t>a</w:t>
      </w:r>
      <w:r>
        <w:rPr>
          <w:lang w:val="fr-FR" w:eastAsia="fr-FR" w:bidi="fr-FR"/>
        </w:rPr>
        <w:t>dical furent peu entendues dans les milieux officiels.</w:t>
      </w:r>
    </w:p>
  </w:footnote>
  <w:footnote w:id="99">
    <w:p w14:paraId="68208DED" w14:textId="77777777" w:rsidR="0039793A" w:rsidRDefault="0039793A" w:rsidP="0039793A">
      <w:pPr>
        <w:pStyle w:val="Notedebasdepage"/>
      </w:pPr>
      <w:r>
        <w:rPr>
          <w:rStyle w:val="Appelnotedebasdep"/>
        </w:rPr>
        <w:footnoteRef/>
      </w:r>
      <w:r>
        <w:tab/>
      </w:r>
      <w:r>
        <w:rPr>
          <w:lang w:val="fr-FR" w:eastAsia="fr-FR" w:bidi="fr-FR"/>
        </w:rPr>
        <w:t>C’est à Gettysburg, sur un champ de bataille de la guerre civile, le 19 n</w:t>
      </w:r>
      <w:r>
        <w:rPr>
          <w:lang w:val="fr-FR" w:eastAsia="fr-FR" w:bidi="fr-FR"/>
        </w:rPr>
        <w:t>o</w:t>
      </w:r>
      <w:r>
        <w:rPr>
          <w:lang w:val="fr-FR" w:eastAsia="fr-FR" w:bidi="fr-FR"/>
        </w:rPr>
        <w:t>vembre 1863, que Lincoln prononce son célèbre di</w:t>
      </w:r>
      <w:r>
        <w:rPr>
          <w:lang w:val="fr-FR" w:eastAsia="fr-FR" w:bidi="fr-FR"/>
        </w:rPr>
        <w:t>s</w:t>
      </w:r>
      <w:r>
        <w:rPr>
          <w:lang w:val="fr-FR" w:eastAsia="fr-FR" w:bidi="fr-FR"/>
        </w:rPr>
        <w:t>cours (dont on retrouve d’ailleurs les termes dans le monument qui lui est consacré, à Washin</w:t>
      </w:r>
      <w:r>
        <w:rPr>
          <w:lang w:val="fr-FR" w:eastAsia="fr-FR" w:bidi="fr-FR"/>
        </w:rPr>
        <w:t>g</w:t>
      </w:r>
      <w:r>
        <w:rPr>
          <w:lang w:val="fr-FR" w:eastAsia="fr-FR" w:bidi="fr-FR"/>
        </w:rPr>
        <w:t>ton)</w:t>
      </w:r>
      <w:r>
        <w:t> :</w:t>
      </w:r>
      <w:r>
        <w:rPr>
          <w:lang w:val="fr-FR" w:eastAsia="fr-FR" w:bidi="fr-FR"/>
        </w:rPr>
        <w:t xml:space="preserve"> </w:t>
      </w:r>
      <w:r>
        <w:t>« </w:t>
      </w:r>
      <w:r>
        <w:rPr>
          <w:lang w:val="fr-FR" w:eastAsia="fr-FR" w:bidi="fr-FR"/>
        </w:rPr>
        <w:t>Nous sommes ici pour que les morts ne soient pas morts en vain, pour que cette nation assiste, sous la prote</w:t>
      </w:r>
      <w:r>
        <w:rPr>
          <w:lang w:val="fr-FR" w:eastAsia="fr-FR" w:bidi="fr-FR"/>
        </w:rPr>
        <w:t>c</w:t>
      </w:r>
      <w:r>
        <w:rPr>
          <w:lang w:val="fr-FR" w:eastAsia="fr-FR" w:bidi="fr-FR"/>
        </w:rPr>
        <w:t>tion divine, à une nouvelle naissance de la liberté, et afin que le go</w:t>
      </w:r>
      <w:r>
        <w:rPr>
          <w:lang w:val="fr-FR" w:eastAsia="fr-FR" w:bidi="fr-FR"/>
        </w:rPr>
        <w:t>u</w:t>
      </w:r>
      <w:r>
        <w:rPr>
          <w:lang w:val="fr-FR" w:eastAsia="fr-FR" w:bidi="fr-FR"/>
        </w:rPr>
        <w:t>vernement du peuple, par le peuple, pour le peuple, ne disparaisse pas de la terre.</w:t>
      </w:r>
      <w:r>
        <w:t> »</w:t>
      </w:r>
      <w:r>
        <w:rPr>
          <w:lang w:val="fr-FR" w:eastAsia="fr-FR" w:bidi="fr-FR"/>
        </w:rPr>
        <w:t xml:space="preserve"> Cité par Robert Lacour-Gayet, </w:t>
      </w:r>
      <w:r w:rsidRPr="00084602">
        <w:rPr>
          <w:i/>
          <w:iCs/>
        </w:rPr>
        <w:t>Histoire des États-Unis : des origines à</w:t>
      </w:r>
      <w:r w:rsidRPr="00084602">
        <w:t xml:space="preserve"> </w:t>
      </w:r>
      <w:r w:rsidRPr="00084602">
        <w:rPr>
          <w:i/>
          <w:iCs/>
        </w:rPr>
        <w:t>la fin de la guerre civile</w:t>
      </w:r>
      <w:r>
        <w:rPr>
          <w:lang w:val="fr-FR" w:eastAsia="fr-FR" w:bidi="fr-FR"/>
        </w:rPr>
        <w:t>, Paris, Fayard, 1976, p. 390.</w:t>
      </w:r>
    </w:p>
  </w:footnote>
  <w:footnote w:id="100">
    <w:p w14:paraId="43F1B0A3" w14:textId="77777777" w:rsidR="0039793A" w:rsidRDefault="0039793A" w:rsidP="0039793A">
      <w:pPr>
        <w:pStyle w:val="Notedebasdepage"/>
      </w:pPr>
      <w:r>
        <w:rPr>
          <w:rStyle w:val="Appelnotedebasdep"/>
        </w:rPr>
        <w:footnoteRef/>
      </w:r>
      <w:r>
        <w:tab/>
      </w:r>
      <w:r>
        <w:rPr>
          <w:lang w:val="fr-FR" w:eastAsia="fr-FR" w:bidi="fr-FR"/>
        </w:rPr>
        <w:t>La Grande-Bretagne violant la neutralité américaine déclarée en 1793 et arraisonnant les navires américains commerçant avec la Fra</w:t>
      </w:r>
      <w:r>
        <w:rPr>
          <w:lang w:val="fr-FR" w:eastAsia="fr-FR" w:bidi="fr-FR"/>
        </w:rPr>
        <w:t>n</w:t>
      </w:r>
      <w:r>
        <w:rPr>
          <w:lang w:val="fr-FR" w:eastAsia="fr-FR" w:bidi="fr-FR"/>
        </w:rPr>
        <w:t>ce.</w:t>
      </w:r>
    </w:p>
  </w:footnote>
  <w:footnote w:id="101">
    <w:p w14:paraId="2A123A81" w14:textId="77777777" w:rsidR="0039793A" w:rsidRDefault="0039793A" w:rsidP="0039793A">
      <w:pPr>
        <w:pStyle w:val="Notedebasdepage"/>
      </w:pPr>
      <w:r>
        <w:rPr>
          <w:rStyle w:val="Appelnotedebasdep"/>
        </w:rPr>
        <w:footnoteRef/>
      </w:r>
      <w:r>
        <w:tab/>
      </w:r>
      <w:r>
        <w:rPr>
          <w:lang w:val="fr-FR" w:eastAsia="fr-FR" w:bidi="fr-FR"/>
        </w:rPr>
        <w:t xml:space="preserve">George Washington, </w:t>
      </w:r>
      <w:r>
        <w:t>« </w:t>
      </w:r>
      <w:r>
        <w:rPr>
          <w:lang w:val="fr-FR" w:eastAsia="fr-FR" w:bidi="fr-FR"/>
        </w:rPr>
        <w:t>Message d’adieu</w:t>
      </w:r>
      <w:r>
        <w:t> »</w:t>
      </w:r>
      <w:r>
        <w:rPr>
          <w:lang w:val="fr-FR" w:eastAsia="fr-FR" w:bidi="fr-FR"/>
        </w:rPr>
        <w:t xml:space="preserve">, </w:t>
      </w:r>
      <w:r w:rsidRPr="000E22D8">
        <w:rPr>
          <w:i/>
          <w:iCs/>
        </w:rPr>
        <w:t>Les grands te</w:t>
      </w:r>
      <w:r w:rsidRPr="000E22D8">
        <w:rPr>
          <w:i/>
          <w:iCs/>
        </w:rPr>
        <w:t>x</w:t>
      </w:r>
      <w:r w:rsidRPr="000E22D8">
        <w:rPr>
          <w:i/>
          <w:iCs/>
        </w:rPr>
        <w:t>tes de l’histoire américaine</w:t>
      </w:r>
      <w:r>
        <w:rPr>
          <w:lang w:val="fr-FR" w:eastAsia="fr-FR" w:bidi="fr-FR"/>
        </w:rPr>
        <w:t>, réunis par Henry Steele Commager, Washin</w:t>
      </w:r>
      <w:r>
        <w:rPr>
          <w:lang w:val="fr-FR" w:eastAsia="fr-FR" w:bidi="fr-FR"/>
        </w:rPr>
        <w:t>g</w:t>
      </w:r>
      <w:r>
        <w:rPr>
          <w:lang w:val="fr-FR" w:eastAsia="fr-FR" w:bidi="fr-FR"/>
        </w:rPr>
        <w:t>ton, Le service américain d’information, 1977, p. 29.</w:t>
      </w:r>
    </w:p>
  </w:footnote>
  <w:footnote w:id="102">
    <w:p w14:paraId="185B1FD0" w14:textId="77777777" w:rsidR="0039793A" w:rsidRDefault="0039793A" w:rsidP="0039793A">
      <w:pPr>
        <w:pStyle w:val="Notedebasdepage"/>
      </w:pPr>
      <w:r>
        <w:rPr>
          <w:rStyle w:val="Appelnotedebasdep"/>
        </w:rPr>
        <w:footnoteRef/>
      </w:r>
      <w:r>
        <w:tab/>
      </w:r>
      <w:r>
        <w:rPr>
          <w:lang w:val="fr-FR" w:eastAsia="fr-FR" w:bidi="fr-FR"/>
        </w:rPr>
        <w:t xml:space="preserve">Voir Burton Ira Kaufman, </w:t>
      </w:r>
      <w:r w:rsidRPr="000E22D8">
        <w:rPr>
          <w:i/>
          <w:iCs/>
        </w:rPr>
        <w:t>Washington’s Farewell Address : The View From the 20</w:t>
      </w:r>
      <w:r w:rsidRPr="000E22D8">
        <w:rPr>
          <w:i/>
          <w:iCs/>
          <w:vertAlign w:val="superscript"/>
        </w:rPr>
        <w:t>th</w:t>
      </w:r>
      <w:r w:rsidRPr="000E22D8">
        <w:rPr>
          <w:i/>
          <w:iCs/>
        </w:rPr>
        <w:t xml:space="preserve"> Century</w:t>
      </w:r>
      <w:r>
        <w:t>,</w:t>
      </w:r>
      <w:r>
        <w:rPr>
          <w:lang w:val="fr-FR" w:eastAsia="fr-FR" w:bidi="fr-FR"/>
        </w:rPr>
        <w:t xml:space="preserve"> Chicago, Quadrangle Books, 1969, p. 6.</w:t>
      </w:r>
    </w:p>
  </w:footnote>
  <w:footnote w:id="103">
    <w:p w14:paraId="7AE023D5" w14:textId="77777777" w:rsidR="0039793A" w:rsidRDefault="0039793A" w:rsidP="0039793A">
      <w:pPr>
        <w:pStyle w:val="Notedebasdepage"/>
      </w:pPr>
      <w:r>
        <w:rPr>
          <w:rStyle w:val="Appelnotedebasdep"/>
        </w:rPr>
        <w:footnoteRef/>
      </w:r>
      <w:r>
        <w:tab/>
      </w:r>
      <w:r>
        <w:rPr>
          <w:lang w:val="fr-FR" w:eastAsia="fr-FR" w:bidi="fr-FR"/>
        </w:rPr>
        <w:t>Le président Monroe, dans un message au Congrès, le 2 déce</w:t>
      </w:r>
      <w:r>
        <w:rPr>
          <w:lang w:val="fr-FR" w:eastAsia="fr-FR" w:bidi="fr-FR"/>
        </w:rPr>
        <w:t>m</w:t>
      </w:r>
      <w:r>
        <w:rPr>
          <w:lang w:val="fr-FR" w:eastAsia="fr-FR" w:bidi="fr-FR"/>
        </w:rPr>
        <w:t>bre 1823, exclut toute incursion européenne sur l’ensemble du cont</w:t>
      </w:r>
      <w:r>
        <w:rPr>
          <w:lang w:val="fr-FR" w:eastAsia="fr-FR" w:bidi="fr-FR"/>
        </w:rPr>
        <w:t>i</w:t>
      </w:r>
      <w:r>
        <w:rPr>
          <w:lang w:val="fr-FR" w:eastAsia="fr-FR" w:bidi="fr-FR"/>
        </w:rPr>
        <w:t>nent américain</w:t>
      </w:r>
      <w:r>
        <w:t> :</w:t>
      </w:r>
      <w:r>
        <w:rPr>
          <w:lang w:val="fr-FR" w:eastAsia="fr-FR" w:bidi="fr-FR"/>
        </w:rPr>
        <w:t xml:space="preserve"> </w:t>
      </w:r>
      <w:r>
        <w:t>« </w:t>
      </w:r>
      <w:r>
        <w:rPr>
          <w:lang w:val="fr-FR" w:eastAsia="fr-FR" w:bidi="fr-FR"/>
        </w:rPr>
        <w:t>le continent américain ne peut être considéré comme l’objet de colonis</w:t>
      </w:r>
      <w:r>
        <w:rPr>
          <w:lang w:val="fr-FR" w:eastAsia="fr-FR" w:bidi="fr-FR"/>
        </w:rPr>
        <w:t>a</w:t>
      </w:r>
      <w:r>
        <w:rPr>
          <w:lang w:val="fr-FR" w:eastAsia="fr-FR" w:bidi="fr-FR"/>
        </w:rPr>
        <w:t>tion future par quelque puissance européenne que ce soit, [...] il est imposs</w:t>
      </w:r>
      <w:r>
        <w:rPr>
          <w:lang w:val="fr-FR" w:eastAsia="fr-FR" w:bidi="fr-FR"/>
        </w:rPr>
        <w:t>i</w:t>
      </w:r>
      <w:r>
        <w:rPr>
          <w:lang w:val="fr-FR" w:eastAsia="fr-FR" w:bidi="fr-FR"/>
        </w:rPr>
        <w:t>ble d’ailleurs quelles s’étendent sur n’importe quelle portion du continent [américain] sans affecter dang</w:t>
      </w:r>
      <w:r>
        <w:rPr>
          <w:lang w:val="fr-FR" w:eastAsia="fr-FR" w:bidi="fr-FR"/>
        </w:rPr>
        <w:t>e</w:t>
      </w:r>
      <w:r>
        <w:rPr>
          <w:lang w:val="fr-FR" w:eastAsia="fr-FR" w:bidi="fr-FR"/>
        </w:rPr>
        <w:t>reusement notre paix et notre bien-être</w:t>
      </w:r>
      <w:r>
        <w:t> »</w:t>
      </w:r>
      <w:r>
        <w:rPr>
          <w:lang w:val="fr-FR" w:eastAsia="fr-FR" w:bidi="fr-FR"/>
        </w:rPr>
        <w:t>. En contrepartie, les États-Unis s’abstiendront d’intervenir dans les affaires e</w:t>
      </w:r>
      <w:r>
        <w:rPr>
          <w:lang w:val="fr-FR" w:eastAsia="fr-FR" w:bidi="fr-FR"/>
        </w:rPr>
        <w:t>u</w:t>
      </w:r>
      <w:r>
        <w:rPr>
          <w:lang w:val="fr-FR" w:eastAsia="fr-FR" w:bidi="fr-FR"/>
        </w:rPr>
        <w:t>ropéennes et particuli</w:t>
      </w:r>
      <w:r>
        <w:rPr>
          <w:lang w:val="fr-FR" w:eastAsia="fr-FR" w:bidi="fr-FR"/>
        </w:rPr>
        <w:t>è</w:t>
      </w:r>
      <w:r>
        <w:rPr>
          <w:lang w:val="fr-FR" w:eastAsia="fr-FR" w:bidi="fr-FR"/>
        </w:rPr>
        <w:t>rement dans les colonies que les Européens possèdent encore.</w:t>
      </w:r>
    </w:p>
  </w:footnote>
  <w:footnote w:id="104">
    <w:p w14:paraId="03CBA834" w14:textId="77777777" w:rsidR="0039793A" w:rsidRDefault="0039793A" w:rsidP="0039793A">
      <w:pPr>
        <w:pStyle w:val="Notedebasdepage"/>
      </w:pPr>
      <w:r>
        <w:rPr>
          <w:rStyle w:val="Appelnotedebasdep"/>
        </w:rPr>
        <w:footnoteRef/>
      </w:r>
      <w:r>
        <w:tab/>
      </w:r>
      <w:r>
        <w:rPr>
          <w:lang w:val="fr-FR" w:eastAsia="fr-FR" w:bidi="fr-FR"/>
        </w:rPr>
        <w:t>C’est bien d’une mise en demeure dont il s’agit</w:t>
      </w:r>
      <w:r>
        <w:t> ;</w:t>
      </w:r>
      <w:r>
        <w:rPr>
          <w:lang w:val="fr-FR" w:eastAsia="fr-FR" w:bidi="fr-FR"/>
        </w:rPr>
        <w:t xml:space="preserve"> les Russes et les Espagnols en sont outrés et Metternich taxera les propos de Mo</w:t>
      </w:r>
      <w:r>
        <w:rPr>
          <w:lang w:val="fr-FR" w:eastAsia="fr-FR" w:bidi="fr-FR"/>
        </w:rPr>
        <w:t>n</w:t>
      </w:r>
      <w:r>
        <w:rPr>
          <w:lang w:val="fr-FR" w:eastAsia="fr-FR" w:bidi="fr-FR"/>
        </w:rPr>
        <w:t xml:space="preserve">roe </w:t>
      </w:r>
      <w:r>
        <w:t>« </w:t>
      </w:r>
      <w:r>
        <w:rPr>
          <w:lang w:val="fr-FR" w:eastAsia="fr-FR" w:bidi="fr-FR"/>
        </w:rPr>
        <w:t>d’indécents</w:t>
      </w:r>
      <w:r>
        <w:t> »</w:t>
      </w:r>
      <w:r>
        <w:rPr>
          <w:lang w:val="fr-FR" w:eastAsia="fr-FR" w:bidi="fr-FR"/>
        </w:rPr>
        <w:t>. Voir Lacour-Gayet, p. 283.</w:t>
      </w:r>
    </w:p>
  </w:footnote>
  <w:footnote w:id="105">
    <w:p w14:paraId="37009641" w14:textId="77777777" w:rsidR="0039793A" w:rsidRDefault="0039793A" w:rsidP="0039793A">
      <w:pPr>
        <w:pStyle w:val="Notedebasdepage"/>
      </w:pPr>
      <w:r>
        <w:rPr>
          <w:rStyle w:val="Appelnotedebasdep"/>
        </w:rPr>
        <w:footnoteRef/>
      </w:r>
      <w:r>
        <w:tab/>
      </w:r>
      <w:r>
        <w:rPr>
          <w:lang w:val="fr-FR" w:eastAsia="fr-FR" w:bidi="fr-FR"/>
        </w:rPr>
        <w:t xml:space="preserve">En février 1898, ancré à La Havane, le cuirassé américain </w:t>
      </w:r>
      <w:r w:rsidRPr="000E22D8">
        <w:rPr>
          <w:i/>
          <w:iCs/>
        </w:rPr>
        <w:t>The Maine</w:t>
      </w:r>
      <w:r>
        <w:t xml:space="preserve"> </w:t>
      </w:r>
      <w:r>
        <w:rPr>
          <w:lang w:val="fr-FR" w:eastAsia="fr-FR" w:bidi="fr-FR"/>
        </w:rPr>
        <w:t>expl</w:t>
      </w:r>
      <w:r>
        <w:rPr>
          <w:lang w:val="fr-FR" w:eastAsia="fr-FR" w:bidi="fr-FR"/>
        </w:rPr>
        <w:t>o</w:t>
      </w:r>
      <w:r>
        <w:rPr>
          <w:lang w:val="fr-FR" w:eastAsia="fr-FR" w:bidi="fr-FR"/>
        </w:rPr>
        <w:t>se</w:t>
      </w:r>
      <w:r>
        <w:t> :</w:t>
      </w:r>
      <w:r>
        <w:rPr>
          <w:lang w:val="fr-FR" w:eastAsia="fr-FR" w:bidi="fr-FR"/>
        </w:rPr>
        <w:t xml:space="preserve"> les pertes humaines sont considérables. On sait a</w:t>
      </w:r>
      <w:r>
        <w:rPr>
          <w:lang w:val="fr-FR" w:eastAsia="fr-FR" w:bidi="fr-FR"/>
        </w:rPr>
        <w:t>u</w:t>
      </w:r>
      <w:r>
        <w:rPr>
          <w:lang w:val="fr-FR" w:eastAsia="fr-FR" w:bidi="fr-FR"/>
        </w:rPr>
        <w:t>jourd’hui que cette explosion est accidentelle. Elle aurait été prat</w:t>
      </w:r>
      <w:r>
        <w:rPr>
          <w:lang w:val="fr-FR" w:eastAsia="fr-FR" w:bidi="fr-FR"/>
        </w:rPr>
        <w:t>i</w:t>
      </w:r>
      <w:r>
        <w:rPr>
          <w:lang w:val="fr-FR" w:eastAsia="fr-FR" w:bidi="fr-FR"/>
        </w:rPr>
        <w:t>quement insignifiante d’ailleurs si la presse (et notamment deux jou</w:t>
      </w:r>
      <w:r>
        <w:rPr>
          <w:lang w:val="fr-FR" w:eastAsia="fr-FR" w:bidi="fr-FR"/>
        </w:rPr>
        <w:t>r</w:t>
      </w:r>
      <w:r>
        <w:rPr>
          <w:lang w:val="fr-FR" w:eastAsia="fr-FR" w:bidi="fr-FR"/>
        </w:rPr>
        <w:t xml:space="preserve">naux à fort tirage </w:t>
      </w:r>
      <w:r w:rsidRPr="000E22D8">
        <w:rPr>
          <w:i/>
          <w:iCs/>
        </w:rPr>
        <w:t>The World</w:t>
      </w:r>
      <w:r>
        <w:rPr>
          <w:lang w:val="fr-FR" w:eastAsia="fr-FR" w:bidi="fr-FR"/>
        </w:rPr>
        <w:t xml:space="preserve"> et </w:t>
      </w:r>
      <w:r w:rsidRPr="000E22D8">
        <w:rPr>
          <w:i/>
          <w:iCs/>
        </w:rPr>
        <w:t>The Jou</w:t>
      </w:r>
      <w:r w:rsidRPr="000E22D8">
        <w:rPr>
          <w:i/>
          <w:iCs/>
        </w:rPr>
        <w:t>r</w:t>
      </w:r>
      <w:r w:rsidRPr="000E22D8">
        <w:rPr>
          <w:i/>
          <w:iCs/>
        </w:rPr>
        <w:t>nal</w:t>
      </w:r>
      <w:r>
        <w:t xml:space="preserve">) </w:t>
      </w:r>
      <w:r>
        <w:rPr>
          <w:lang w:val="fr-FR" w:eastAsia="fr-FR" w:bidi="fr-FR"/>
        </w:rPr>
        <w:t xml:space="preserve">n’avait pas, au préalable, mené une véritable campagne anti-espagnole. L’Amérique </w:t>
      </w:r>
      <w:r>
        <w:t>« </w:t>
      </w:r>
      <w:r>
        <w:rPr>
          <w:lang w:val="fr-FR" w:eastAsia="fr-FR" w:bidi="fr-FR"/>
        </w:rPr>
        <w:t>était conditionnée</w:t>
      </w:r>
      <w:r>
        <w:t> » :</w:t>
      </w:r>
      <w:r>
        <w:rPr>
          <w:lang w:val="fr-FR" w:eastAsia="fr-FR" w:bidi="fr-FR"/>
        </w:rPr>
        <w:t xml:space="preserve"> le vice-président parle d’un acte </w:t>
      </w:r>
      <w:r>
        <w:t>« </w:t>
      </w:r>
      <w:r>
        <w:rPr>
          <w:lang w:val="fr-FR" w:eastAsia="fr-FR" w:bidi="fr-FR"/>
        </w:rPr>
        <w:t>de sordide traîtr</w:t>
      </w:r>
      <w:r>
        <w:rPr>
          <w:lang w:val="fr-FR" w:eastAsia="fr-FR" w:bidi="fr-FR"/>
        </w:rPr>
        <w:t>i</w:t>
      </w:r>
      <w:r>
        <w:rPr>
          <w:lang w:val="fr-FR" w:eastAsia="fr-FR" w:bidi="fr-FR"/>
        </w:rPr>
        <w:t>se</w:t>
      </w:r>
      <w:r>
        <w:t> »</w:t>
      </w:r>
      <w:r>
        <w:rPr>
          <w:lang w:val="fr-FR" w:eastAsia="fr-FR" w:bidi="fr-FR"/>
        </w:rPr>
        <w:t xml:space="preserve"> et les États-Unis déclarent la guerre à l’Espagne, le 25 avril 1898. La guerre est courte</w:t>
      </w:r>
      <w:r>
        <w:t> :</w:t>
      </w:r>
      <w:r>
        <w:rPr>
          <w:lang w:val="fr-FR" w:eastAsia="fr-FR" w:bidi="fr-FR"/>
        </w:rPr>
        <w:t xml:space="preserve"> attaquée sur le front cubain mais ég</w:t>
      </w:r>
      <w:r>
        <w:rPr>
          <w:lang w:val="fr-FR" w:eastAsia="fr-FR" w:bidi="fr-FR"/>
        </w:rPr>
        <w:t>a</w:t>
      </w:r>
      <w:r>
        <w:rPr>
          <w:lang w:val="fr-FR" w:eastAsia="fr-FR" w:bidi="fr-FR"/>
        </w:rPr>
        <w:t>lement dans le Pacifique jusqu’aux Ph</w:t>
      </w:r>
      <w:r>
        <w:rPr>
          <w:lang w:val="fr-FR" w:eastAsia="fr-FR" w:bidi="fr-FR"/>
        </w:rPr>
        <w:t>i</w:t>
      </w:r>
      <w:r>
        <w:rPr>
          <w:lang w:val="fr-FR" w:eastAsia="fr-FR" w:bidi="fr-FR"/>
        </w:rPr>
        <w:t xml:space="preserve">lippines, l’Espagne capitule en août. Ainsi naît la </w:t>
      </w:r>
      <w:r>
        <w:t>« </w:t>
      </w:r>
      <w:r>
        <w:rPr>
          <w:lang w:val="fr-FR" w:eastAsia="fr-FR" w:bidi="fr-FR"/>
        </w:rPr>
        <w:t>République impériale</w:t>
      </w:r>
      <w:r>
        <w:t> »</w:t>
      </w:r>
      <w:r>
        <w:rPr>
          <w:lang w:val="fr-FR" w:eastAsia="fr-FR" w:bidi="fr-FR"/>
        </w:rPr>
        <w:t>. Voir sur ce point, G</w:t>
      </w:r>
      <w:r>
        <w:rPr>
          <w:lang w:val="fr-FR" w:eastAsia="fr-FR" w:bidi="fr-FR"/>
        </w:rPr>
        <w:t>é</w:t>
      </w:r>
      <w:r>
        <w:rPr>
          <w:lang w:val="fr-FR" w:eastAsia="fr-FR" w:bidi="fr-FR"/>
        </w:rPr>
        <w:t xml:space="preserve">rard Chaliand, Arnaud Blin, </w:t>
      </w:r>
      <w:r w:rsidRPr="000E22D8">
        <w:rPr>
          <w:i/>
          <w:iCs/>
        </w:rPr>
        <w:t>America is Back. Les nouveaux césars du Pentagone</w:t>
      </w:r>
      <w:r>
        <w:t>,</w:t>
      </w:r>
      <w:r>
        <w:rPr>
          <w:lang w:val="fr-FR" w:eastAsia="fr-FR" w:bidi="fr-FR"/>
        </w:rPr>
        <w:t xml:space="preserve"> Paris, Bayard, 2003, p. 33.</w:t>
      </w:r>
    </w:p>
  </w:footnote>
  <w:footnote w:id="106">
    <w:p w14:paraId="2C90FA68" w14:textId="77777777" w:rsidR="0039793A" w:rsidRDefault="0039793A" w:rsidP="0039793A">
      <w:pPr>
        <w:pStyle w:val="Notedebasdepage"/>
      </w:pPr>
      <w:r>
        <w:rPr>
          <w:rStyle w:val="Appelnotedebasdep"/>
        </w:rPr>
        <w:footnoteRef/>
      </w:r>
      <w:r>
        <w:tab/>
      </w:r>
      <w:r w:rsidRPr="00D2665A">
        <w:rPr>
          <w:i/>
        </w:rPr>
        <w:t>Ibid</w:t>
      </w:r>
      <w:r>
        <w:t>.,</w:t>
      </w:r>
      <w:r>
        <w:rPr>
          <w:lang w:val="fr-FR" w:eastAsia="fr-FR" w:bidi="fr-FR"/>
        </w:rPr>
        <w:t xml:space="preserve"> p. 35.</w:t>
      </w:r>
    </w:p>
  </w:footnote>
  <w:footnote w:id="107">
    <w:p w14:paraId="50E32380" w14:textId="77777777" w:rsidR="0039793A" w:rsidRDefault="0039793A" w:rsidP="0039793A">
      <w:pPr>
        <w:pStyle w:val="Notedebasdepage"/>
      </w:pPr>
      <w:r>
        <w:rPr>
          <w:rStyle w:val="Appelnotedebasdep"/>
        </w:rPr>
        <w:footnoteRef/>
      </w:r>
      <w:r>
        <w:tab/>
      </w:r>
      <w:r>
        <w:rPr>
          <w:lang w:val="fr-FR" w:eastAsia="fr-FR" w:bidi="fr-FR"/>
        </w:rPr>
        <w:t xml:space="preserve">Voir sur ce point, Jean-Jacques Roche, </w:t>
      </w:r>
      <w:r w:rsidRPr="000E22D8">
        <w:rPr>
          <w:i/>
          <w:iCs/>
        </w:rPr>
        <w:t>Relations internation</w:t>
      </w:r>
      <w:r w:rsidRPr="000E22D8">
        <w:rPr>
          <w:i/>
          <w:iCs/>
        </w:rPr>
        <w:t>a</w:t>
      </w:r>
      <w:r w:rsidRPr="000E22D8">
        <w:rPr>
          <w:i/>
          <w:iCs/>
        </w:rPr>
        <w:t>les</w:t>
      </w:r>
      <w:r>
        <w:t>,</w:t>
      </w:r>
      <w:r>
        <w:rPr>
          <w:lang w:val="fr-FR" w:eastAsia="fr-FR" w:bidi="fr-FR"/>
        </w:rPr>
        <w:t xml:space="preserve"> Paris, </w:t>
      </w:r>
      <w:r>
        <w:t xml:space="preserve">LGDJ, </w:t>
      </w:r>
      <w:r>
        <w:rPr>
          <w:lang w:val="fr-FR" w:eastAsia="fr-FR" w:bidi="fr-FR"/>
        </w:rPr>
        <w:t>2001.</w:t>
      </w:r>
    </w:p>
  </w:footnote>
  <w:footnote w:id="108">
    <w:p w14:paraId="34D5B66C" w14:textId="77777777" w:rsidR="0039793A" w:rsidRDefault="0039793A" w:rsidP="0039793A">
      <w:pPr>
        <w:pStyle w:val="Notedebasdepage"/>
      </w:pPr>
      <w:r>
        <w:rPr>
          <w:rStyle w:val="Appelnotedebasdep"/>
        </w:rPr>
        <w:footnoteRef/>
      </w:r>
      <w:r>
        <w:tab/>
      </w:r>
      <w:r>
        <w:rPr>
          <w:i/>
        </w:rPr>
        <w:t>Ibid.</w:t>
      </w:r>
    </w:p>
  </w:footnote>
  <w:footnote w:id="109">
    <w:p w14:paraId="05C42DAC" w14:textId="77777777" w:rsidR="0039793A" w:rsidRDefault="0039793A" w:rsidP="0039793A">
      <w:pPr>
        <w:pStyle w:val="Notedebasdepage"/>
      </w:pPr>
      <w:r>
        <w:rPr>
          <w:rStyle w:val="Appelnotedebasdep"/>
        </w:rPr>
        <w:footnoteRef/>
      </w:r>
      <w:r>
        <w:tab/>
      </w:r>
      <w:r>
        <w:rPr>
          <w:lang w:val="fr-FR" w:eastAsia="fr-FR" w:bidi="fr-FR"/>
        </w:rPr>
        <w:t>Lettre aux marchands de Philadelphie, le 9 décembre 1783, John C. Fitzp</w:t>
      </w:r>
      <w:r>
        <w:rPr>
          <w:lang w:val="fr-FR" w:eastAsia="fr-FR" w:bidi="fr-FR"/>
        </w:rPr>
        <w:t>a</w:t>
      </w:r>
      <w:r>
        <w:rPr>
          <w:lang w:val="fr-FR" w:eastAsia="fr-FR" w:bidi="fr-FR"/>
        </w:rPr>
        <w:t xml:space="preserve">trick (ed.), </w:t>
      </w:r>
      <w:r w:rsidRPr="000B574C">
        <w:rPr>
          <w:i/>
          <w:iCs/>
        </w:rPr>
        <w:t>The Writings of George Washington from the Original Manu</w:t>
      </w:r>
      <w:r w:rsidRPr="000B574C">
        <w:rPr>
          <w:i/>
          <w:iCs/>
        </w:rPr>
        <w:t>s</w:t>
      </w:r>
      <w:r w:rsidRPr="000B574C">
        <w:rPr>
          <w:i/>
          <w:iCs/>
        </w:rPr>
        <w:t>cript Sources</w:t>
      </w:r>
      <w:r>
        <w:t>, 1745-1799,</w:t>
      </w:r>
      <w:r>
        <w:rPr>
          <w:lang w:val="fr-FR" w:eastAsia="fr-FR" w:bidi="fr-FR"/>
        </w:rPr>
        <w:t xml:space="preserve"> Washington, 1931-1944, vol. 27, p. 262-263.</w:t>
      </w:r>
    </w:p>
  </w:footnote>
  <w:footnote w:id="110">
    <w:p w14:paraId="5218CA31" w14:textId="77777777" w:rsidR="0039793A" w:rsidRDefault="0039793A" w:rsidP="0039793A">
      <w:pPr>
        <w:pStyle w:val="Notedebasdepage"/>
      </w:pPr>
      <w:r>
        <w:rPr>
          <w:rStyle w:val="Appelnotedebasdep"/>
        </w:rPr>
        <w:footnoteRef/>
      </w:r>
      <w:r>
        <w:tab/>
      </w:r>
      <w:r>
        <w:rPr>
          <w:lang w:val="fr-FR" w:eastAsia="fr-FR" w:bidi="fr-FR"/>
        </w:rPr>
        <w:t>Lettre de Washington au marquis de L</w:t>
      </w:r>
      <w:r>
        <w:rPr>
          <w:lang w:val="fr-FR" w:eastAsia="fr-FR" w:bidi="fr-FR"/>
        </w:rPr>
        <w:t>a</w:t>
      </w:r>
      <w:r>
        <w:rPr>
          <w:lang w:val="fr-FR" w:eastAsia="fr-FR" w:bidi="fr-FR"/>
        </w:rPr>
        <w:t xml:space="preserve">fayette, 19 juin 1788, </w:t>
      </w:r>
      <w:r>
        <w:t>« </w:t>
      </w:r>
      <w:r>
        <w:rPr>
          <w:lang w:val="fr-FR" w:eastAsia="fr-FR" w:bidi="fr-FR"/>
        </w:rPr>
        <w:t>George Washington Papers</w:t>
      </w:r>
      <w:r>
        <w:t> »</w:t>
      </w:r>
      <w:r>
        <w:rPr>
          <w:lang w:val="fr-FR" w:eastAsia="fr-FR" w:bidi="fr-FR"/>
        </w:rPr>
        <w:t>, Bibliothèque du Congrès, Washin</w:t>
      </w:r>
      <w:r>
        <w:rPr>
          <w:lang w:val="fr-FR" w:eastAsia="fr-FR" w:bidi="fr-FR"/>
        </w:rPr>
        <w:t>g</w:t>
      </w:r>
      <w:r>
        <w:rPr>
          <w:lang w:val="fr-FR" w:eastAsia="fr-FR" w:bidi="fr-FR"/>
        </w:rPr>
        <w:t xml:space="preserve">ton </w:t>
      </w:r>
      <w:r>
        <w:t xml:space="preserve">DC, </w:t>
      </w:r>
      <w:r>
        <w:rPr>
          <w:lang w:val="fr-FR" w:eastAsia="fr-FR" w:bidi="fr-FR"/>
        </w:rPr>
        <w:t>microfilm 94.</w:t>
      </w:r>
    </w:p>
  </w:footnote>
  <w:footnote w:id="111">
    <w:p w14:paraId="1C11A82C" w14:textId="77777777" w:rsidR="0039793A" w:rsidRDefault="0039793A" w:rsidP="0039793A">
      <w:pPr>
        <w:pStyle w:val="Notedebasdepage"/>
      </w:pPr>
      <w:r>
        <w:rPr>
          <w:rStyle w:val="Appelnotedebasdep"/>
        </w:rPr>
        <w:footnoteRef/>
      </w:r>
      <w:r>
        <w:tab/>
      </w:r>
      <w:r w:rsidRPr="00D2665A">
        <w:t xml:space="preserve">Lettre à Sir Edward Newenham, Mount Vernon, le 29 août 1788, </w:t>
      </w:r>
      <w:r w:rsidRPr="00D2665A">
        <w:rPr>
          <w:i/>
        </w:rPr>
        <w:t>op. cit</w:t>
      </w:r>
      <w:r w:rsidRPr="00D2665A">
        <w:t>., p. 70-74.</w:t>
      </w:r>
    </w:p>
  </w:footnote>
  <w:footnote w:id="112">
    <w:p w14:paraId="6C6D68D0" w14:textId="77777777" w:rsidR="0039793A" w:rsidRDefault="0039793A" w:rsidP="0039793A">
      <w:pPr>
        <w:pStyle w:val="Notedebasdepage"/>
      </w:pPr>
      <w:r>
        <w:rPr>
          <w:rStyle w:val="Appelnotedebasdep"/>
        </w:rPr>
        <w:footnoteRef/>
      </w:r>
      <w:r>
        <w:tab/>
      </w:r>
      <w:r>
        <w:rPr>
          <w:lang w:val="fr-FR" w:eastAsia="fr-FR" w:bidi="fr-FR"/>
        </w:rPr>
        <w:t>Voir l’ouvrage classique de William A</w:t>
      </w:r>
      <w:r>
        <w:rPr>
          <w:lang w:val="fr-FR" w:eastAsia="fr-FR" w:bidi="fr-FR"/>
        </w:rPr>
        <w:t>p</w:t>
      </w:r>
      <w:r>
        <w:rPr>
          <w:lang w:val="fr-FR" w:eastAsia="fr-FR" w:bidi="fr-FR"/>
        </w:rPr>
        <w:t xml:space="preserve">pleman Williams, </w:t>
      </w:r>
      <w:r w:rsidRPr="000B574C">
        <w:rPr>
          <w:i/>
          <w:iCs/>
        </w:rPr>
        <w:t>The Tragedy of American Diplomacy</w:t>
      </w:r>
      <w:r>
        <w:t>,</w:t>
      </w:r>
      <w:r>
        <w:rPr>
          <w:lang w:val="fr-FR" w:eastAsia="fr-FR" w:bidi="fr-FR"/>
        </w:rPr>
        <w:t xml:space="preserve"> New York, Delta Book, 1962, 309 p. et du même a</w:t>
      </w:r>
      <w:r>
        <w:rPr>
          <w:lang w:val="fr-FR" w:eastAsia="fr-FR" w:bidi="fr-FR"/>
        </w:rPr>
        <w:t>u</w:t>
      </w:r>
      <w:r>
        <w:rPr>
          <w:lang w:val="fr-FR" w:eastAsia="fr-FR" w:bidi="fr-FR"/>
        </w:rPr>
        <w:t xml:space="preserve">teur, </w:t>
      </w:r>
      <w:r w:rsidRPr="000B574C">
        <w:rPr>
          <w:i/>
          <w:iCs/>
        </w:rPr>
        <w:t>Empire as a Way of Life</w:t>
      </w:r>
      <w:r>
        <w:rPr>
          <w:lang w:val="fr-FR" w:eastAsia="fr-FR" w:bidi="fr-FR"/>
        </w:rPr>
        <w:t>, New York, Oxford University Press, 1980, 226 p.</w:t>
      </w:r>
    </w:p>
  </w:footnote>
  <w:footnote w:id="113">
    <w:p w14:paraId="3C5AE2AF" w14:textId="77777777" w:rsidR="0039793A" w:rsidRDefault="0039793A" w:rsidP="0039793A">
      <w:pPr>
        <w:pStyle w:val="Notedebasdepage"/>
      </w:pPr>
      <w:r>
        <w:rPr>
          <w:rStyle w:val="Appelnotedebasdep"/>
        </w:rPr>
        <w:footnoteRef/>
      </w:r>
      <w:r>
        <w:tab/>
      </w:r>
      <w:r>
        <w:rPr>
          <w:lang w:val="fr-FR" w:eastAsia="fr-FR" w:bidi="fr-FR"/>
        </w:rPr>
        <w:t xml:space="preserve">Cité par Robert Lacour-Gayet, </w:t>
      </w:r>
      <w:r w:rsidRPr="000B574C">
        <w:rPr>
          <w:i/>
          <w:iCs/>
        </w:rPr>
        <w:t>Histoire des États-Unis</w:t>
      </w:r>
      <w:r>
        <w:t>,</w:t>
      </w:r>
      <w:r>
        <w:rPr>
          <w:lang w:val="fr-FR" w:eastAsia="fr-FR" w:bidi="fr-FR"/>
        </w:rPr>
        <w:t xml:space="preserve"> Tome I, </w:t>
      </w:r>
      <w:r w:rsidRPr="000B574C">
        <w:rPr>
          <w:i/>
          <w:iCs/>
        </w:rPr>
        <w:t>Des orig</w:t>
      </w:r>
      <w:r w:rsidRPr="000B574C">
        <w:rPr>
          <w:i/>
          <w:iCs/>
        </w:rPr>
        <w:t>i</w:t>
      </w:r>
      <w:r w:rsidRPr="000B574C">
        <w:rPr>
          <w:i/>
          <w:iCs/>
        </w:rPr>
        <w:t>nes à la fin de la guerre civile</w:t>
      </w:r>
      <w:r>
        <w:t>,</w:t>
      </w:r>
      <w:r>
        <w:rPr>
          <w:lang w:val="fr-FR" w:eastAsia="fr-FR" w:bidi="fr-FR"/>
        </w:rPr>
        <w:t xml:space="preserve"> Paris, Fayard, 1976, p. 303.</w:t>
      </w:r>
    </w:p>
  </w:footnote>
  <w:footnote w:id="114">
    <w:p w14:paraId="05B71571" w14:textId="77777777" w:rsidR="0039793A" w:rsidRDefault="0039793A" w:rsidP="0039793A">
      <w:pPr>
        <w:pStyle w:val="Notedebasdepage"/>
      </w:pPr>
      <w:r>
        <w:rPr>
          <w:rStyle w:val="Appelnotedebasdep"/>
        </w:rPr>
        <w:footnoteRef/>
      </w:r>
      <w:r>
        <w:tab/>
      </w:r>
      <w:r w:rsidRPr="00D2665A">
        <w:rPr>
          <w:i/>
        </w:rPr>
        <w:t>Ibid</w:t>
      </w:r>
      <w:r>
        <w:t>.,</w:t>
      </w:r>
      <w:r>
        <w:rPr>
          <w:lang w:val="fr-FR" w:eastAsia="fr-FR" w:bidi="fr-FR"/>
        </w:rPr>
        <w:t xml:space="preserve"> p. 132.</w:t>
      </w:r>
    </w:p>
  </w:footnote>
  <w:footnote w:id="115">
    <w:p w14:paraId="5BBE3690" w14:textId="77777777" w:rsidR="0039793A" w:rsidRDefault="0039793A" w:rsidP="0039793A">
      <w:pPr>
        <w:pStyle w:val="Notedebasdepage"/>
      </w:pPr>
      <w:r>
        <w:rPr>
          <w:rStyle w:val="Appelnotedebasdep"/>
        </w:rPr>
        <w:footnoteRef/>
      </w:r>
      <w:r>
        <w:tab/>
        <w:t xml:space="preserve">Voir Ben J. Wattenberg, </w:t>
      </w:r>
      <w:r w:rsidRPr="00580AF7">
        <w:rPr>
          <w:i/>
          <w:iCs/>
          <w:lang w:val="fr-FR" w:eastAsia="fr-FR" w:bidi="fr-FR"/>
        </w:rPr>
        <w:t>The First Universal Nation</w:t>
      </w:r>
      <w:r w:rsidRPr="00580AF7">
        <w:rPr>
          <w:i/>
          <w:iCs/>
        </w:rPr>
        <w:t> :</w:t>
      </w:r>
      <w:r w:rsidRPr="00580AF7">
        <w:rPr>
          <w:i/>
          <w:iCs/>
          <w:lang w:val="fr-FR" w:eastAsia="fr-FR" w:bidi="fr-FR"/>
        </w:rPr>
        <w:t xml:space="preserve"> Le</w:t>
      </w:r>
      <w:r w:rsidRPr="00580AF7">
        <w:rPr>
          <w:i/>
          <w:iCs/>
          <w:lang w:val="fr-FR" w:eastAsia="fr-FR" w:bidi="fr-FR"/>
        </w:rPr>
        <w:t>a</w:t>
      </w:r>
      <w:r w:rsidRPr="00580AF7">
        <w:rPr>
          <w:i/>
          <w:iCs/>
          <w:lang w:val="fr-FR" w:eastAsia="fr-FR" w:bidi="fr-FR"/>
        </w:rPr>
        <w:t>ding Indicators and Ideas about the Surge of America in the 1990’s</w:t>
      </w:r>
      <w:r>
        <w:rPr>
          <w:lang w:val="fr-FR" w:eastAsia="fr-FR" w:bidi="fr-FR"/>
        </w:rPr>
        <w:t>,</w:t>
      </w:r>
      <w:r>
        <w:t xml:space="preserve"> New York, Free Press, 1991, 418 p. ; Alfredo Valladão, </w:t>
      </w:r>
      <w:r w:rsidRPr="00580AF7">
        <w:rPr>
          <w:i/>
          <w:iCs/>
          <w:lang w:val="fr-FR" w:eastAsia="fr-FR" w:bidi="fr-FR"/>
        </w:rPr>
        <w:t>Le XXI</w:t>
      </w:r>
      <w:r w:rsidRPr="00580AF7">
        <w:rPr>
          <w:i/>
          <w:iCs/>
          <w:vertAlign w:val="superscript"/>
          <w:lang w:val="fr-FR" w:eastAsia="fr-FR" w:bidi="fr-FR"/>
        </w:rPr>
        <w:t>e</w:t>
      </w:r>
      <w:r w:rsidRPr="00580AF7">
        <w:rPr>
          <w:i/>
          <w:iCs/>
          <w:lang w:val="fr-FR" w:eastAsia="fr-FR" w:bidi="fr-FR"/>
        </w:rPr>
        <w:t xml:space="preserve"> siècle sera américain</w:t>
      </w:r>
      <w:r>
        <w:t>, Paris, La Découverte, 1993, 258 p.</w:t>
      </w:r>
    </w:p>
  </w:footnote>
  <w:footnote w:id="116">
    <w:p w14:paraId="2B401A17" w14:textId="77777777" w:rsidR="0039793A" w:rsidRDefault="0039793A" w:rsidP="0039793A">
      <w:pPr>
        <w:pStyle w:val="Notedebasdepage"/>
      </w:pPr>
      <w:r>
        <w:rPr>
          <w:rStyle w:val="Appelnotedebasdep"/>
        </w:rPr>
        <w:footnoteRef/>
      </w:r>
      <w:r>
        <w:tab/>
      </w:r>
      <w:r>
        <w:rPr>
          <w:lang w:val="fr-FR" w:eastAsia="fr-FR" w:bidi="fr-FR"/>
        </w:rPr>
        <w:t xml:space="preserve">Voir particulièrement Élise Marienstras, </w:t>
      </w:r>
      <w:r w:rsidRPr="00580AF7">
        <w:rPr>
          <w:i/>
          <w:iCs/>
        </w:rPr>
        <w:t>op. cit</w:t>
      </w:r>
      <w:r>
        <w:t>.,</w:t>
      </w:r>
      <w:r>
        <w:rPr>
          <w:lang w:val="fr-FR" w:eastAsia="fr-FR" w:bidi="fr-FR"/>
        </w:rPr>
        <w:t xml:space="preserve"> p. 209-275 et Benjamin Schwarz, </w:t>
      </w:r>
      <w:r>
        <w:t>« </w:t>
      </w:r>
      <w:r>
        <w:rPr>
          <w:lang w:val="fr-FR" w:eastAsia="fr-FR" w:bidi="fr-FR"/>
        </w:rPr>
        <w:t>The Diversity Myth</w:t>
      </w:r>
      <w:r>
        <w:t> »</w:t>
      </w:r>
      <w:r>
        <w:rPr>
          <w:lang w:val="fr-FR" w:eastAsia="fr-FR" w:bidi="fr-FR"/>
        </w:rPr>
        <w:t xml:space="preserve">, </w:t>
      </w:r>
      <w:r w:rsidRPr="004A4A40">
        <w:rPr>
          <w:i/>
          <w:iCs/>
        </w:rPr>
        <w:t>The Atlantic Mo</w:t>
      </w:r>
      <w:r w:rsidRPr="004A4A40">
        <w:rPr>
          <w:i/>
          <w:iCs/>
        </w:rPr>
        <w:t>n</w:t>
      </w:r>
      <w:r w:rsidRPr="004A4A40">
        <w:rPr>
          <w:i/>
          <w:iCs/>
        </w:rPr>
        <w:t>thly</w:t>
      </w:r>
      <w:r>
        <w:t>,</w:t>
      </w:r>
      <w:r>
        <w:rPr>
          <w:lang w:val="fr-FR" w:eastAsia="fr-FR" w:bidi="fr-FR"/>
        </w:rPr>
        <w:t xml:space="preserve"> 275 (5), p. 57-67.</w:t>
      </w:r>
    </w:p>
  </w:footnote>
  <w:footnote w:id="117">
    <w:p w14:paraId="5535ADC9" w14:textId="77777777" w:rsidR="0039793A" w:rsidRDefault="0039793A" w:rsidP="0039793A">
      <w:pPr>
        <w:pStyle w:val="Notedebasdepage"/>
      </w:pPr>
      <w:r>
        <w:rPr>
          <w:rStyle w:val="Appelnotedebasdep"/>
        </w:rPr>
        <w:footnoteRef/>
      </w:r>
      <w:r>
        <w:tab/>
      </w:r>
      <w:r>
        <w:rPr>
          <w:lang w:val="fr-FR" w:eastAsia="fr-FR" w:bidi="fr-FR"/>
        </w:rPr>
        <w:t xml:space="preserve">Cité par Benjamin Schwarz, </w:t>
      </w:r>
      <w:r w:rsidRPr="004A4A40">
        <w:rPr>
          <w:i/>
          <w:iCs/>
        </w:rPr>
        <w:t>op. cit</w:t>
      </w:r>
      <w:r>
        <w:t>.,</w:t>
      </w:r>
      <w:r>
        <w:rPr>
          <w:lang w:val="fr-FR" w:eastAsia="fr-FR" w:bidi="fr-FR"/>
        </w:rPr>
        <w:t xml:space="preserve"> p. 5.</w:t>
      </w:r>
    </w:p>
  </w:footnote>
  <w:footnote w:id="118">
    <w:p w14:paraId="0758D229" w14:textId="77777777" w:rsidR="0039793A" w:rsidRDefault="0039793A" w:rsidP="0039793A">
      <w:pPr>
        <w:pStyle w:val="Notedebasdepage"/>
      </w:pPr>
      <w:r>
        <w:rPr>
          <w:rStyle w:val="Appelnotedebasdep"/>
        </w:rPr>
        <w:footnoteRef/>
      </w:r>
      <w:r>
        <w:tab/>
        <w:t>« </w:t>
      </w:r>
      <w:r>
        <w:rPr>
          <w:lang w:val="fr-FR" w:eastAsia="fr-FR" w:bidi="fr-FR"/>
        </w:rPr>
        <w:t>L’Américain était un Anglais modifié</w:t>
      </w:r>
      <w:r>
        <w:t> »</w:t>
      </w:r>
      <w:r>
        <w:rPr>
          <w:lang w:val="fr-FR" w:eastAsia="fr-FR" w:bidi="fr-FR"/>
        </w:rPr>
        <w:t xml:space="preserve"> (</w:t>
      </w:r>
      <w:r w:rsidRPr="004A4A40">
        <w:rPr>
          <w:i/>
          <w:iCs/>
        </w:rPr>
        <w:t>An American was a modifed E</w:t>
      </w:r>
      <w:r w:rsidRPr="004A4A40">
        <w:rPr>
          <w:i/>
          <w:iCs/>
        </w:rPr>
        <w:t>n</w:t>
      </w:r>
      <w:r w:rsidRPr="004A4A40">
        <w:rPr>
          <w:i/>
          <w:iCs/>
        </w:rPr>
        <w:t>glishman</w:t>
      </w:r>
      <w:r>
        <w:t>),</w:t>
      </w:r>
      <w:r>
        <w:rPr>
          <w:lang w:val="fr-FR" w:eastAsia="fr-FR" w:bidi="fr-FR"/>
        </w:rPr>
        <w:t xml:space="preserve"> Benjamin Schwarz, </w:t>
      </w:r>
      <w:r w:rsidRPr="00D2665A">
        <w:rPr>
          <w:i/>
        </w:rPr>
        <w:t>ibid</w:t>
      </w:r>
      <w:r>
        <w:t>.</w:t>
      </w:r>
    </w:p>
  </w:footnote>
  <w:footnote w:id="119">
    <w:p w14:paraId="75833613" w14:textId="77777777" w:rsidR="0039793A" w:rsidRDefault="0039793A">
      <w:pPr>
        <w:pStyle w:val="Notedebasdepage"/>
      </w:pPr>
      <w:r>
        <w:rPr>
          <w:rStyle w:val="Appelnotedebasdep"/>
        </w:rPr>
        <w:footnoteRef/>
      </w:r>
      <w:r>
        <w:tab/>
      </w:r>
      <w:r>
        <w:rPr>
          <w:lang w:val="fr-FR" w:eastAsia="fr-FR" w:bidi="fr-FR"/>
        </w:rPr>
        <w:t xml:space="preserve">Elise Marienstras, </w:t>
      </w:r>
      <w:r w:rsidRPr="004A4A40">
        <w:rPr>
          <w:i/>
          <w:iCs/>
        </w:rPr>
        <w:t>op. cit</w:t>
      </w:r>
      <w:r>
        <w:t>.,</w:t>
      </w:r>
      <w:r>
        <w:rPr>
          <w:lang w:val="fr-FR" w:eastAsia="fr-FR" w:bidi="fr-FR"/>
        </w:rPr>
        <w:t xml:space="preserve"> p. 212.</w:t>
      </w:r>
    </w:p>
  </w:footnote>
  <w:footnote w:id="120">
    <w:p w14:paraId="45BE662C" w14:textId="77777777" w:rsidR="0039793A" w:rsidRDefault="0039793A" w:rsidP="0039793A">
      <w:pPr>
        <w:pStyle w:val="Notedebasdepage"/>
      </w:pPr>
      <w:r>
        <w:rPr>
          <w:rStyle w:val="Appelnotedebasdep"/>
        </w:rPr>
        <w:footnoteRef/>
      </w:r>
      <w:r>
        <w:tab/>
      </w:r>
      <w:r>
        <w:rPr>
          <w:lang w:val="fr-FR" w:eastAsia="fr-FR" w:bidi="fr-FR"/>
        </w:rPr>
        <w:t>C’est la guerre civile qui a mis fin formellement à l’esclavage, selon la Pr</w:t>
      </w:r>
      <w:r>
        <w:rPr>
          <w:lang w:val="fr-FR" w:eastAsia="fr-FR" w:bidi="fr-FR"/>
        </w:rPr>
        <w:t>o</w:t>
      </w:r>
      <w:r>
        <w:rPr>
          <w:lang w:val="fr-FR" w:eastAsia="fr-FR" w:bidi="fr-FR"/>
        </w:rPr>
        <w:t>clamation de l’émancipation en 1863. Il fallut attendre c</w:t>
      </w:r>
      <w:r>
        <w:rPr>
          <w:lang w:val="fr-FR" w:eastAsia="fr-FR" w:bidi="fr-FR"/>
        </w:rPr>
        <w:t>e</w:t>
      </w:r>
      <w:r>
        <w:rPr>
          <w:lang w:val="fr-FR" w:eastAsia="fr-FR" w:bidi="fr-FR"/>
        </w:rPr>
        <w:t>pendant les années I960 pour que des lois contraignantes mettent fin aux politiques de discrim</w:t>
      </w:r>
      <w:r>
        <w:rPr>
          <w:lang w:val="fr-FR" w:eastAsia="fr-FR" w:bidi="fr-FR"/>
        </w:rPr>
        <w:t>i</w:t>
      </w:r>
      <w:r>
        <w:rPr>
          <w:lang w:val="fr-FR" w:eastAsia="fr-FR" w:bidi="fr-FR"/>
        </w:rPr>
        <w:t>nation co</w:t>
      </w:r>
      <w:r>
        <w:rPr>
          <w:lang w:val="fr-FR" w:eastAsia="fr-FR" w:bidi="fr-FR"/>
        </w:rPr>
        <w:t>u</w:t>
      </w:r>
      <w:r>
        <w:rPr>
          <w:lang w:val="fr-FR" w:eastAsia="fr-FR" w:bidi="fr-FR"/>
        </w:rPr>
        <w:t xml:space="preserve">rantes dans les États du Sud. Voir Jean Daridan, </w:t>
      </w:r>
      <w:r w:rsidRPr="004A4A40">
        <w:rPr>
          <w:i/>
          <w:iCs/>
        </w:rPr>
        <w:t xml:space="preserve">De </w:t>
      </w:r>
      <w:r w:rsidRPr="004A4A40">
        <w:rPr>
          <w:i/>
          <w:iCs/>
          <w:lang w:val="fr-FR" w:eastAsia="fr-FR" w:bidi="fr-FR"/>
        </w:rPr>
        <w:t xml:space="preserve">Lincoln </w:t>
      </w:r>
      <w:r w:rsidRPr="004A4A40">
        <w:rPr>
          <w:i/>
          <w:iCs/>
        </w:rPr>
        <w:t>à</w:t>
      </w:r>
      <w:r w:rsidRPr="004A4A40">
        <w:rPr>
          <w:rStyle w:val="Notedebasdepage105ptItalique"/>
          <w:i w:val="0"/>
          <w:iCs w:val="0"/>
        </w:rPr>
        <w:t xml:space="preserve"> </w:t>
      </w:r>
      <w:r w:rsidRPr="004A4A40">
        <w:rPr>
          <w:i/>
          <w:iCs/>
        </w:rPr>
        <w:t>Johnson : Noirs et Blancs</w:t>
      </w:r>
      <w:r>
        <w:t>,</w:t>
      </w:r>
      <w:r>
        <w:rPr>
          <w:lang w:val="fr-FR" w:eastAsia="fr-FR" w:bidi="fr-FR"/>
        </w:rPr>
        <w:t xml:space="preserve"> Paris, Ca</w:t>
      </w:r>
      <w:r>
        <w:rPr>
          <w:lang w:val="fr-FR" w:eastAsia="fr-FR" w:bidi="fr-FR"/>
        </w:rPr>
        <w:t>l</w:t>
      </w:r>
      <w:r>
        <w:rPr>
          <w:lang w:val="fr-FR" w:eastAsia="fr-FR" w:bidi="fr-FR"/>
        </w:rPr>
        <w:t>mann-Lévy, 1965, 310 p.</w:t>
      </w:r>
    </w:p>
  </w:footnote>
  <w:footnote w:id="121">
    <w:p w14:paraId="346275C9" w14:textId="77777777" w:rsidR="0039793A" w:rsidRDefault="0039793A" w:rsidP="0039793A">
      <w:pPr>
        <w:pStyle w:val="Notedebasdepage"/>
      </w:pPr>
      <w:r>
        <w:rPr>
          <w:rStyle w:val="Appelnotedebasdep"/>
        </w:rPr>
        <w:footnoteRef/>
      </w:r>
      <w:r>
        <w:tab/>
      </w:r>
      <w:r>
        <w:rPr>
          <w:lang w:val="fr-FR" w:eastAsia="fr-FR" w:bidi="fr-FR"/>
        </w:rPr>
        <w:t xml:space="preserve">Turner a d’abord présenté sa thèse devant ses collègues de l’Association américaine d’histoire en 1893. Pour une version traduite de son ouvrage, voir Frederick Jackson Turner, </w:t>
      </w:r>
      <w:r w:rsidRPr="004A4A40">
        <w:rPr>
          <w:i/>
          <w:iCs/>
        </w:rPr>
        <w:t>La fro</w:t>
      </w:r>
      <w:r w:rsidRPr="004A4A40">
        <w:rPr>
          <w:i/>
          <w:iCs/>
        </w:rPr>
        <w:t>n</w:t>
      </w:r>
      <w:r w:rsidRPr="004A4A40">
        <w:rPr>
          <w:i/>
          <w:iCs/>
        </w:rPr>
        <w:t>tière dans l’histoire des États-Unis</w:t>
      </w:r>
      <w:r>
        <w:t>,</w:t>
      </w:r>
      <w:r>
        <w:rPr>
          <w:lang w:val="fr-FR" w:eastAsia="fr-FR" w:bidi="fr-FR"/>
        </w:rPr>
        <w:t xml:space="preserve"> Paris, </w:t>
      </w:r>
      <w:r>
        <w:t xml:space="preserve">PUF, </w:t>
      </w:r>
      <w:r>
        <w:rPr>
          <w:lang w:val="fr-FR" w:eastAsia="fr-FR" w:bidi="fr-FR"/>
        </w:rPr>
        <w:t>1963, 323 p.</w:t>
      </w:r>
    </w:p>
  </w:footnote>
  <w:footnote w:id="122">
    <w:p w14:paraId="404D64A7" w14:textId="77777777" w:rsidR="0039793A" w:rsidRDefault="0039793A" w:rsidP="0039793A">
      <w:pPr>
        <w:pStyle w:val="Notedebasdepage"/>
      </w:pPr>
      <w:r>
        <w:rPr>
          <w:rStyle w:val="Appelnotedebasdep"/>
        </w:rPr>
        <w:footnoteRef/>
      </w:r>
      <w:r>
        <w:tab/>
      </w:r>
      <w:r>
        <w:rPr>
          <w:lang w:val="fr-FR" w:eastAsia="fr-FR" w:bidi="fr-FR"/>
        </w:rPr>
        <w:t>Cette notion est développée par Élise M</w:t>
      </w:r>
      <w:r>
        <w:rPr>
          <w:lang w:val="fr-FR" w:eastAsia="fr-FR" w:bidi="fr-FR"/>
        </w:rPr>
        <w:t>a</w:t>
      </w:r>
      <w:r>
        <w:rPr>
          <w:lang w:val="fr-FR" w:eastAsia="fr-FR" w:bidi="fr-FR"/>
        </w:rPr>
        <w:t xml:space="preserve">rienstras, </w:t>
      </w:r>
      <w:r w:rsidRPr="004A4A40">
        <w:rPr>
          <w:i/>
          <w:iCs/>
        </w:rPr>
        <w:t>op. cit</w:t>
      </w:r>
      <w:r>
        <w:t>.,</w:t>
      </w:r>
      <w:r>
        <w:rPr>
          <w:lang w:val="fr-FR" w:eastAsia="fr-FR" w:bidi="fr-FR"/>
        </w:rPr>
        <w:t xml:space="preserve"> p. 157-183.</w:t>
      </w:r>
    </w:p>
  </w:footnote>
  <w:footnote w:id="123">
    <w:p w14:paraId="741B4331" w14:textId="77777777" w:rsidR="0039793A" w:rsidRDefault="0039793A" w:rsidP="0039793A">
      <w:pPr>
        <w:pStyle w:val="Notedebasdepage"/>
      </w:pPr>
      <w:r>
        <w:rPr>
          <w:rStyle w:val="Appelnotedebasdep"/>
        </w:rPr>
        <w:footnoteRef/>
      </w:r>
      <w:r>
        <w:tab/>
      </w:r>
      <w:r>
        <w:rPr>
          <w:lang w:val="fr-FR" w:eastAsia="fr-FR" w:bidi="fr-FR"/>
        </w:rPr>
        <w:t xml:space="preserve">Gérard Chaliand, Arnaud Blin, </w:t>
      </w:r>
      <w:r w:rsidRPr="004A4A40">
        <w:rPr>
          <w:i/>
          <w:iCs/>
        </w:rPr>
        <w:t>op. cit</w:t>
      </w:r>
      <w:r>
        <w:t>.,</w:t>
      </w:r>
      <w:r>
        <w:rPr>
          <w:lang w:val="fr-FR" w:eastAsia="fr-FR" w:bidi="fr-FR"/>
        </w:rPr>
        <w:t xml:space="preserve"> p. 23.</w:t>
      </w:r>
    </w:p>
  </w:footnote>
  <w:footnote w:id="124">
    <w:p w14:paraId="54ED978D" w14:textId="77777777" w:rsidR="0039793A" w:rsidRDefault="0039793A" w:rsidP="0039793A">
      <w:pPr>
        <w:pStyle w:val="Notedebasdepage"/>
      </w:pPr>
      <w:r>
        <w:rPr>
          <w:rStyle w:val="Appelnotedebasdep"/>
        </w:rPr>
        <w:footnoteRef/>
      </w:r>
      <w:r>
        <w:tab/>
      </w:r>
      <w:r>
        <w:rPr>
          <w:lang w:val="fr-FR" w:eastAsia="fr-FR" w:bidi="fr-FR"/>
        </w:rPr>
        <w:t xml:space="preserve">En vertu de la fameuse règle énoncée par le secrétaire d’État John Foster Dulles (1953-1960), </w:t>
      </w:r>
      <w:r>
        <w:t>« </w:t>
      </w:r>
      <w:r>
        <w:rPr>
          <w:lang w:val="fr-FR" w:eastAsia="fr-FR" w:bidi="fr-FR"/>
        </w:rPr>
        <w:t>Qui n’est pas avec nous est contre nous</w:t>
      </w:r>
      <w:r>
        <w:t> »</w:t>
      </w:r>
      <w:r>
        <w:rPr>
          <w:lang w:val="fr-FR" w:eastAsia="fr-FR" w:bidi="fr-FR"/>
        </w:rPr>
        <w:t>, les nation</w:t>
      </w:r>
      <w:r>
        <w:rPr>
          <w:lang w:val="fr-FR" w:eastAsia="fr-FR" w:bidi="fr-FR"/>
        </w:rPr>
        <w:t>a</w:t>
      </w:r>
      <w:r>
        <w:rPr>
          <w:lang w:val="fr-FR" w:eastAsia="fr-FR" w:bidi="fr-FR"/>
        </w:rPr>
        <w:t>lismes non alignés sur les États-Unis étaient vite soupçonné d’être infiltrés par des communistes. Voir à cet égard M</w:t>
      </w:r>
      <w:r>
        <w:rPr>
          <w:lang w:val="fr-FR" w:eastAsia="fr-FR" w:bidi="fr-FR"/>
        </w:rPr>
        <w:t>i</w:t>
      </w:r>
      <w:r>
        <w:rPr>
          <w:lang w:val="fr-FR" w:eastAsia="fr-FR" w:bidi="fr-FR"/>
        </w:rPr>
        <w:t xml:space="preserve">chael Hunt, </w:t>
      </w:r>
      <w:r w:rsidRPr="003F78C9">
        <w:rPr>
          <w:i/>
          <w:iCs/>
        </w:rPr>
        <w:t>op. cit</w:t>
      </w:r>
      <w:r>
        <w:t>.,</w:t>
      </w:r>
      <w:r>
        <w:rPr>
          <w:lang w:val="fr-FR" w:eastAsia="fr-FR" w:bidi="fr-FR"/>
        </w:rPr>
        <w:t xml:space="preserve"> p. 171-198.</w:t>
      </w:r>
    </w:p>
  </w:footnote>
  <w:footnote w:id="125">
    <w:p w14:paraId="39DBD3AA" w14:textId="77777777" w:rsidR="0039793A" w:rsidRDefault="0039793A" w:rsidP="0039793A">
      <w:pPr>
        <w:pStyle w:val="Notedebasdepage"/>
      </w:pPr>
      <w:r>
        <w:rPr>
          <w:rStyle w:val="Appelnotedebasdep"/>
        </w:rPr>
        <w:footnoteRef/>
      </w:r>
      <w:r>
        <w:tab/>
      </w:r>
      <w:r>
        <w:rPr>
          <w:lang w:val="fr-FR" w:eastAsia="fr-FR" w:bidi="fr-FR"/>
        </w:rPr>
        <w:t xml:space="preserve">Voir Samuel Huntington, </w:t>
      </w:r>
      <w:r w:rsidRPr="003F78C9">
        <w:rPr>
          <w:i/>
          <w:iCs/>
        </w:rPr>
        <w:t>Le choc des civilisations</w:t>
      </w:r>
      <w:r>
        <w:t>,</w:t>
      </w:r>
      <w:r>
        <w:rPr>
          <w:lang w:val="fr-FR" w:eastAsia="fr-FR" w:bidi="fr-FR"/>
        </w:rPr>
        <w:t xml:space="preserve"> Paris, Odile Jacob, 1997, 402 p.</w:t>
      </w:r>
      <w:r>
        <w:t> ;</w:t>
      </w:r>
      <w:r>
        <w:rPr>
          <w:lang w:val="fr-FR" w:eastAsia="fr-FR" w:bidi="fr-FR"/>
        </w:rPr>
        <w:t xml:space="preserve"> Robert D. Kaplan, </w:t>
      </w:r>
      <w:r w:rsidRPr="003F78C9">
        <w:rPr>
          <w:i/>
          <w:iCs/>
        </w:rPr>
        <w:t>The Corning Anarchy : Sha</w:t>
      </w:r>
      <w:r w:rsidRPr="003F78C9">
        <w:rPr>
          <w:i/>
          <w:iCs/>
        </w:rPr>
        <w:t>t</w:t>
      </w:r>
      <w:r w:rsidRPr="003F78C9">
        <w:rPr>
          <w:i/>
          <w:iCs/>
        </w:rPr>
        <w:t>tering the Dreams of the Post Cold War</w:t>
      </w:r>
      <w:r>
        <w:t>,</w:t>
      </w:r>
      <w:r>
        <w:rPr>
          <w:lang w:val="fr-FR" w:eastAsia="fr-FR" w:bidi="fr-FR"/>
        </w:rPr>
        <w:t xml:space="preserve"> New York, Random House, 2000, 198 p.</w:t>
      </w:r>
    </w:p>
  </w:footnote>
  <w:footnote w:id="126">
    <w:p w14:paraId="4153F99F" w14:textId="77777777" w:rsidR="0039793A" w:rsidRDefault="0039793A" w:rsidP="0039793A">
      <w:pPr>
        <w:pStyle w:val="Notedebasdepage"/>
      </w:pPr>
      <w:r>
        <w:rPr>
          <w:rStyle w:val="Appelnotedebasdep"/>
        </w:rPr>
        <w:footnoteRef/>
      </w:r>
      <w:r>
        <w:tab/>
      </w:r>
      <w:r>
        <w:rPr>
          <w:lang w:val="fr-FR" w:eastAsia="fr-FR" w:bidi="fr-FR"/>
        </w:rPr>
        <w:t xml:space="preserve">Richard Hofstadter, </w:t>
      </w:r>
      <w:r w:rsidRPr="003F78C9">
        <w:rPr>
          <w:i/>
          <w:iCs/>
        </w:rPr>
        <w:t>The Paranoid Style in American Politics and Other E</w:t>
      </w:r>
      <w:r w:rsidRPr="003F78C9">
        <w:rPr>
          <w:i/>
          <w:iCs/>
        </w:rPr>
        <w:t>s</w:t>
      </w:r>
      <w:r w:rsidRPr="003F78C9">
        <w:rPr>
          <w:i/>
          <w:iCs/>
        </w:rPr>
        <w:t>says</w:t>
      </w:r>
      <w:r>
        <w:t>,</w:t>
      </w:r>
      <w:r>
        <w:rPr>
          <w:lang w:val="fr-FR" w:eastAsia="fr-FR" w:bidi="fr-FR"/>
        </w:rPr>
        <w:t xml:space="preserve"> Ca</w:t>
      </w:r>
      <w:r>
        <w:rPr>
          <w:lang w:val="fr-FR" w:eastAsia="fr-FR" w:bidi="fr-FR"/>
        </w:rPr>
        <w:t>m</w:t>
      </w:r>
      <w:r>
        <w:rPr>
          <w:lang w:val="fr-FR" w:eastAsia="fr-FR" w:bidi="fr-FR"/>
        </w:rPr>
        <w:t xml:space="preserve">bridge, </w:t>
      </w:r>
      <w:r>
        <w:t xml:space="preserve">MA, </w:t>
      </w:r>
      <w:r>
        <w:rPr>
          <w:lang w:val="fr-FR" w:eastAsia="fr-FR" w:bidi="fr-FR"/>
        </w:rPr>
        <w:t>Harvard University Press, 1996, 330 p.</w:t>
      </w:r>
    </w:p>
  </w:footnote>
  <w:footnote w:id="127">
    <w:p w14:paraId="4D9C32EF" w14:textId="77777777" w:rsidR="0039793A" w:rsidRDefault="0039793A" w:rsidP="0039793A">
      <w:pPr>
        <w:pStyle w:val="Notedebasdepage"/>
      </w:pPr>
      <w:r>
        <w:rPr>
          <w:rStyle w:val="Appelnotedebasdep"/>
        </w:rPr>
        <w:footnoteRef/>
      </w:r>
      <w:r>
        <w:tab/>
      </w:r>
      <w:r>
        <w:rPr>
          <w:lang w:val="fr-FR" w:eastAsia="fr-FR" w:bidi="fr-FR"/>
        </w:rPr>
        <w:t xml:space="preserve">Voir Alfred Grosser, </w:t>
      </w:r>
      <w:r w:rsidRPr="003F78C9">
        <w:rPr>
          <w:i/>
          <w:iCs/>
        </w:rPr>
        <w:t>Le crime et la mémoire</w:t>
      </w:r>
      <w:r>
        <w:t>,</w:t>
      </w:r>
      <w:r>
        <w:rPr>
          <w:lang w:val="fr-FR" w:eastAsia="fr-FR" w:bidi="fr-FR"/>
        </w:rPr>
        <w:t xml:space="preserve"> Paris, Flamm</w:t>
      </w:r>
      <w:r>
        <w:rPr>
          <w:lang w:val="fr-FR" w:eastAsia="fr-FR" w:bidi="fr-FR"/>
        </w:rPr>
        <w:t>a</w:t>
      </w:r>
      <w:r>
        <w:rPr>
          <w:lang w:val="fr-FR" w:eastAsia="fr-FR" w:bidi="fr-FR"/>
        </w:rPr>
        <w:t>rion, 1991, 267 p.</w:t>
      </w:r>
    </w:p>
  </w:footnote>
  <w:footnote w:id="128">
    <w:p w14:paraId="7C5AE36C" w14:textId="77777777" w:rsidR="0039793A" w:rsidRDefault="0039793A" w:rsidP="0039793A">
      <w:pPr>
        <w:pStyle w:val="Notedebasdepage"/>
      </w:pPr>
      <w:r>
        <w:rPr>
          <w:rStyle w:val="Appelnotedebasdep"/>
        </w:rPr>
        <w:footnoteRef/>
      </w:r>
      <w:r>
        <w:tab/>
      </w:r>
      <w:r w:rsidRPr="007A7C12">
        <w:t>Le 9 février 1950, le sénateur républicain prononce un discours dans lequel il affirme posséder une liste de 205 personnes travaillant au Département d’Etat et ayant des allégeances communistes.</w:t>
      </w:r>
    </w:p>
  </w:footnote>
  <w:footnote w:id="129">
    <w:p w14:paraId="45D395F4" w14:textId="77777777" w:rsidR="0039793A" w:rsidRDefault="0039793A" w:rsidP="0039793A">
      <w:pPr>
        <w:pStyle w:val="Notedebasdepage"/>
      </w:pPr>
      <w:r>
        <w:rPr>
          <w:rStyle w:val="Appelnotedebasdep"/>
        </w:rPr>
        <w:footnoteRef/>
      </w:r>
      <w:r>
        <w:tab/>
      </w:r>
      <w:r>
        <w:rPr>
          <w:lang w:val="fr-FR" w:eastAsia="fr-FR" w:bidi="fr-FR"/>
        </w:rPr>
        <w:t xml:space="preserve">Voir Richard M. Fried, </w:t>
      </w:r>
      <w:r w:rsidRPr="00C26675">
        <w:rPr>
          <w:i/>
          <w:iCs/>
        </w:rPr>
        <w:t>Men against McCarthy</w:t>
      </w:r>
      <w:r>
        <w:rPr>
          <w:lang w:val="fr-FR" w:eastAsia="fr-FR" w:bidi="fr-FR"/>
        </w:rPr>
        <w:t>, New York, Columbia Un</w:t>
      </w:r>
      <w:r>
        <w:rPr>
          <w:lang w:val="fr-FR" w:eastAsia="fr-FR" w:bidi="fr-FR"/>
        </w:rPr>
        <w:t>i</w:t>
      </w:r>
      <w:r>
        <w:rPr>
          <w:lang w:val="fr-FR" w:eastAsia="fr-FR" w:bidi="fr-FR"/>
        </w:rPr>
        <w:t>versity Press, 1976, 428 p.</w:t>
      </w:r>
    </w:p>
  </w:footnote>
  <w:footnote w:id="130">
    <w:p w14:paraId="612C84E2" w14:textId="77777777" w:rsidR="0039793A" w:rsidRDefault="0039793A" w:rsidP="0039793A">
      <w:pPr>
        <w:pStyle w:val="Notedebasdepage"/>
      </w:pPr>
      <w:r>
        <w:rPr>
          <w:rStyle w:val="Appelnotedebasdep"/>
        </w:rPr>
        <w:footnoteRef/>
      </w:r>
      <w:r>
        <w:tab/>
      </w:r>
      <w:r>
        <w:rPr>
          <w:lang w:val="fr-FR" w:eastAsia="fr-FR" w:bidi="fr-FR"/>
        </w:rPr>
        <w:t xml:space="preserve">On signalera à cette fin le traitement tout particulier de l’information qu’opère la chaîne d’information continue </w:t>
      </w:r>
      <w:r w:rsidRPr="00D83F50">
        <w:rPr>
          <w:i/>
          <w:iCs/>
        </w:rPr>
        <w:t>Fox News. The O’Reilly Factor</w:t>
      </w:r>
      <w:r w:rsidRPr="00D83F50">
        <w:rPr>
          <w:i/>
          <w:iCs/>
          <w:lang w:val="fr-FR" w:eastAsia="fr-FR" w:bidi="fr-FR"/>
        </w:rPr>
        <w:t xml:space="preserve"> </w:t>
      </w:r>
      <w:r>
        <w:rPr>
          <w:lang w:val="fr-FR" w:eastAsia="fr-FR" w:bidi="fr-FR"/>
        </w:rPr>
        <w:t>diffusé aux heures de grande écoute en est l’archétype et développe sous couvert d’une apparence de débat contradictoire des idées xénophobes, e</w:t>
      </w:r>
      <w:r>
        <w:rPr>
          <w:lang w:val="fr-FR" w:eastAsia="fr-FR" w:bidi="fr-FR"/>
        </w:rPr>
        <w:t>x</w:t>
      </w:r>
      <w:r>
        <w:rPr>
          <w:lang w:val="fr-FR" w:eastAsia="fr-FR" w:bidi="fr-FR"/>
        </w:rPr>
        <w:t>trémistes et bellicistes qui traduisent en r</w:t>
      </w:r>
      <w:r>
        <w:rPr>
          <w:lang w:val="fr-FR" w:eastAsia="fr-FR" w:bidi="fr-FR"/>
        </w:rPr>
        <w:t>é</w:t>
      </w:r>
      <w:r>
        <w:rPr>
          <w:lang w:val="fr-FR" w:eastAsia="fr-FR" w:bidi="fr-FR"/>
        </w:rPr>
        <w:t>alité ce style paranoïaque.</w:t>
      </w:r>
    </w:p>
  </w:footnote>
  <w:footnote w:id="131">
    <w:p w14:paraId="03F2CABD" w14:textId="77777777" w:rsidR="0039793A" w:rsidRDefault="0039793A" w:rsidP="0039793A">
      <w:pPr>
        <w:pStyle w:val="Notedebasdepage"/>
      </w:pPr>
      <w:r>
        <w:rPr>
          <w:rStyle w:val="Appelnotedebasdep"/>
        </w:rPr>
        <w:footnoteRef/>
      </w:r>
      <w:r>
        <w:tab/>
      </w:r>
      <w:r>
        <w:rPr>
          <w:lang w:val="fr-FR" w:eastAsia="fr-FR" w:bidi="fr-FR"/>
        </w:rPr>
        <w:t xml:space="preserve">Voir Stanley Hoffmann, </w:t>
      </w:r>
      <w:r w:rsidRPr="00D83F50">
        <w:rPr>
          <w:i/>
          <w:iCs/>
        </w:rPr>
        <w:t>Gulliver empêtré</w:t>
      </w:r>
      <w:r>
        <w:t>...,</w:t>
      </w:r>
      <w:r>
        <w:rPr>
          <w:lang w:val="fr-FR" w:eastAsia="fr-FR" w:bidi="fr-FR"/>
        </w:rPr>
        <w:t xml:space="preserve"> p. 201-221. </w:t>
      </w:r>
      <w:r>
        <w:t>« </w:t>
      </w:r>
      <w:r>
        <w:rPr>
          <w:lang w:val="fr-FR" w:eastAsia="fr-FR" w:bidi="fr-FR"/>
        </w:rPr>
        <w:t>On a tendance à fragmenter d’abord les problèmes politiques en composa</w:t>
      </w:r>
      <w:r>
        <w:rPr>
          <w:lang w:val="fr-FR" w:eastAsia="fr-FR" w:bidi="fr-FR"/>
        </w:rPr>
        <w:t>n</w:t>
      </w:r>
      <w:r>
        <w:rPr>
          <w:lang w:val="fr-FR" w:eastAsia="fr-FR" w:bidi="fr-FR"/>
        </w:rPr>
        <w:t>tes susceptibles d’être soumises à des techniques spécialisées, pour les réduire ensuite à une série de problèmes techniques que l’on résoudra à l’aide d’instruments c</w:t>
      </w:r>
      <w:r>
        <w:rPr>
          <w:lang w:val="fr-FR" w:eastAsia="fr-FR" w:bidi="fr-FR"/>
        </w:rPr>
        <w:t>a</w:t>
      </w:r>
      <w:r>
        <w:rPr>
          <w:lang w:val="fr-FR" w:eastAsia="fr-FR" w:bidi="fr-FR"/>
        </w:rPr>
        <w:t>pables d’aplanir les obstacles matériels, mais peu faits pour surmonter les obstacles sociaux.</w:t>
      </w:r>
      <w:r>
        <w:t> »</w:t>
      </w:r>
      <w:r>
        <w:rPr>
          <w:lang w:val="fr-FR" w:eastAsia="fr-FR" w:bidi="fr-FR"/>
        </w:rPr>
        <w:t xml:space="preserve"> (p. 226.)</w:t>
      </w:r>
    </w:p>
  </w:footnote>
  <w:footnote w:id="132">
    <w:p w14:paraId="14587913" w14:textId="77777777" w:rsidR="0039793A" w:rsidRDefault="0039793A" w:rsidP="0039793A">
      <w:pPr>
        <w:pStyle w:val="Notedebasdepage"/>
      </w:pPr>
      <w:r>
        <w:rPr>
          <w:rStyle w:val="Appelnotedebasdep"/>
        </w:rPr>
        <w:footnoteRef/>
      </w:r>
      <w:r>
        <w:tab/>
      </w:r>
      <w:r>
        <w:rPr>
          <w:lang w:val="fr-FR" w:eastAsia="fr-FR" w:bidi="fr-FR"/>
        </w:rPr>
        <w:t xml:space="preserve">Alexis de Tocqueville, </w:t>
      </w:r>
      <w:hyperlink r:id="rId2" w:history="1">
        <w:r w:rsidRPr="00F56340">
          <w:rPr>
            <w:rStyle w:val="Hyperlien"/>
            <w:i/>
            <w:iCs/>
          </w:rPr>
          <w:t>De la démocratie en Amérique</w:t>
        </w:r>
      </w:hyperlink>
      <w:r>
        <w:t>,</w:t>
      </w:r>
      <w:r>
        <w:rPr>
          <w:lang w:val="fr-FR" w:eastAsia="fr-FR" w:bidi="fr-FR"/>
        </w:rPr>
        <w:t xml:space="preserve"> Paris, Union générale d’éditions, 1963, p. 153-154.</w:t>
      </w:r>
    </w:p>
  </w:footnote>
  <w:footnote w:id="133">
    <w:p w14:paraId="21297B29" w14:textId="77777777" w:rsidR="0039793A" w:rsidRDefault="0039793A">
      <w:pPr>
        <w:pStyle w:val="Notedebasdepage"/>
      </w:pPr>
      <w:r>
        <w:rPr>
          <w:rStyle w:val="Appelnotedebasdep"/>
        </w:rPr>
        <w:footnoteRef/>
      </w:r>
      <w:r>
        <w:tab/>
      </w:r>
      <w:r>
        <w:rPr>
          <w:lang w:val="fr-FR" w:eastAsia="fr-FR" w:bidi="fr-FR"/>
        </w:rPr>
        <w:t xml:space="preserve">Voir Daniel Bell, </w:t>
      </w:r>
      <w:r w:rsidRPr="002F6ABB">
        <w:rPr>
          <w:i/>
          <w:iCs/>
        </w:rPr>
        <w:t>La fin de l’idéologie</w:t>
      </w:r>
      <w:r>
        <w:rPr>
          <w:lang w:val="fr-FR" w:eastAsia="fr-FR" w:bidi="fr-FR"/>
        </w:rPr>
        <w:t xml:space="preserve">, Paris, </w:t>
      </w:r>
      <w:r>
        <w:t xml:space="preserve">PUF, </w:t>
      </w:r>
      <w:r>
        <w:rPr>
          <w:lang w:val="fr-FR" w:eastAsia="fr-FR" w:bidi="fr-FR"/>
        </w:rPr>
        <w:t>1996, 403 p.</w:t>
      </w:r>
    </w:p>
  </w:footnote>
  <w:footnote w:id="134">
    <w:p w14:paraId="4F66A2A5" w14:textId="77777777" w:rsidR="0039793A" w:rsidRDefault="0039793A" w:rsidP="0039793A">
      <w:pPr>
        <w:pStyle w:val="Notedebasdepage"/>
      </w:pPr>
      <w:r>
        <w:rPr>
          <w:rStyle w:val="Appelnotedebasdep"/>
        </w:rPr>
        <w:footnoteRef/>
      </w:r>
      <w:r>
        <w:tab/>
      </w:r>
      <w:r>
        <w:rPr>
          <w:lang w:val="fr-FR" w:eastAsia="fr-FR" w:bidi="fr-FR"/>
        </w:rPr>
        <w:t xml:space="preserve">Voir Francis Fukuyama, </w:t>
      </w:r>
      <w:r w:rsidRPr="002F6ABB">
        <w:rPr>
          <w:i/>
          <w:iCs/>
        </w:rPr>
        <w:t>La fin de l’histoire et le dernier homme</w:t>
      </w:r>
      <w:r>
        <w:t>,</w:t>
      </w:r>
      <w:r>
        <w:rPr>
          <w:lang w:val="fr-FR" w:eastAsia="fr-FR" w:bidi="fr-FR"/>
        </w:rPr>
        <w:t xml:space="preserve"> Paris, Flammarion, 1992, 452 p.</w:t>
      </w:r>
    </w:p>
  </w:footnote>
  <w:footnote w:id="135">
    <w:p w14:paraId="2F7A6A1C" w14:textId="77777777" w:rsidR="0039793A" w:rsidRDefault="0039793A" w:rsidP="0039793A">
      <w:pPr>
        <w:pStyle w:val="Notedebasdepage"/>
      </w:pPr>
      <w:r>
        <w:rPr>
          <w:rStyle w:val="Appelnotedebasdep"/>
        </w:rPr>
        <w:footnoteRef/>
      </w:r>
      <w:r>
        <w:tab/>
      </w:r>
      <w:r>
        <w:rPr>
          <w:lang w:val="fr-FR" w:eastAsia="fr-FR" w:bidi="fr-FR"/>
        </w:rPr>
        <w:t xml:space="preserve">Stanley Hoffmann, </w:t>
      </w:r>
      <w:r w:rsidRPr="002F6ABB">
        <w:rPr>
          <w:i/>
          <w:iCs/>
        </w:rPr>
        <w:t>op. cit</w:t>
      </w:r>
      <w:r>
        <w:t>.,</w:t>
      </w:r>
      <w:r>
        <w:rPr>
          <w:lang w:val="fr-FR" w:eastAsia="fr-FR" w:bidi="fr-FR"/>
        </w:rPr>
        <w:t xml:space="preserve"> p. 211.</w:t>
      </w:r>
    </w:p>
  </w:footnote>
  <w:footnote w:id="136">
    <w:p w14:paraId="064589AB" w14:textId="77777777" w:rsidR="0039793A" w:rsidRDefault="0039793A" w:rsidP="0039793A">
      <w:pPr>
        <w:pStyle w:val="Notedebasdepage"/>
      </w:pPr>
      <w:r>
        <w:rPr>
          <w:rStyle w:val="Appelnotedebasdep"/>
        </w:rPr>
        <w:footnoteRef/>
      </w:r>
      <w:r>
        <w:tab/>
      </w:r>
      <w:r>
        <w:rPr>
          <w:lang w:val="fr-FR" w:eastAsia="fr-FR" w:bidi="fr-FR"/>
        </w:rPr>
        <w:t>Déjà Thomas Jefferson manifestait un intérêt soutenu pour la mécanique, ce qui s’observe aisément dans la maison qu’il a fait con</w:t>
      </w:r>
      <w:r>
        <w:rPr>
          <w:lang w:val="fr-FR" w:eastAsia="fr-FR" w:bidi="fr-FR"/>
        </w:rPr>
        <w:t>s</w:t>
      </w:r>
      <w:r>
        <w:rPr>
          <w:lang w:val="fr-FR" w:eastAsia="fr-FR" w:bidi="fr-FR"/>
        </w:rPr>
        <w:t>truire à Monticello, en Virginie. Et que dire des expériences de Be</w:t>
      </w:r>
      <w:r>
        <w:rPr>
          <w:lang w:val="fr-FR" w:eastAsia="fr-FR" w:bidi="fr-FR"/>
        </w:rPr>
        <w:t>n</w:t>
      </w:r>
      <w:r>
        <w:rPr>
          <w:lang w:val="fr-FR" w:eastAsia="fr-FR" w:bidi="fr-FR"/>
        </w:rPr>
        <w:t>jamin Franklin</w:t>
      </w:r>
      <w:r>
        <w:t> ?</w:t>
      </w:r>
    </w:p>
  </w:footnote>
  <w:footnote w:id="137">
    <w:p w14:paraId="34BF2243" w14:textId="77777777" w:rsidR="0039793A" w:rsidRDefault="0039793A" w:rsidP="0039793A">
      <w:pPr>
        <w:pStyle w:val="Notedebasdepage"/>
      </w:pPr>
      <w:r>
        <w:rPr>
          <w:rStyle w:val="Appelnotedebasdep"/>
        </w:rPr>
        <w:footnoteRef/>
      </w:r>
      <w:r>
        <w:tab/>
      </w:r>
      <w:r>
        <w:rPr>
          <w:lang w:val="fr-FR" w:eastAsia="fr-FR" w:bidi="fr-FR"/>
        </w:rPr>
        <w:t>Ce ne sont pas des Américains qui ont découvert ni l’automobile ni la cin</w:t>
      </w:r>
      <w:r>
        <w:rPr>
          <w:lang w:val="fr-FR" w:eastAsia="fr-FR" w:bidi="fr-FR"/>
        </w:rPr>
        <w:t>é</w:t>
      </w:r>
      <w:r>
        <w:rPr>
          <w:lang w:val="fr-FR" w:eastAsia="fr-FR" w:bidi="fr-FR"/>
        </w:rPr>
        <w:t>matographie mais ils ont su appliquer à merveille les techniques de produ</w:t>
      </w:r>
      <w:r>
        <w:rPr>
          <w:lang w:val="fr-FR" w:eastAsia="fr-FR" w:bidi="fr-FR"/>
        </w:rPr>
        <w:t>c</w:t>
      </w:r>
      <w:r>
        <w:rPr>
          <w:lang w:val="fr-FR" w:eastAsia="fr-FR" w:bidi="fr-FR"/>
        </w:rPr>
        <w:t>tion de ces inventions.</w:t>
      </w:r>
    </w:p>
  </w:footnote>
  <w:footnote w:id="138">
    <w:p w14:paraId="23924693" w14:textId="77777777" w:rsidR="0039793A" w:rsidRDefault="0039793A" w:rsidP="0039793A">
      <w:pPr>
        <w:pStyle w:val="Notedebasdepage"/>
      </w:pPr>
      <w:r>
        <w:rPr>
          <w:rStyle w:val="Appelnotedebasdep"/>
        </w:rPr>
        <w:footnoteRef/>
      </w:r>
      <w:r>
        <w:tab/>
      </w:r>
      <w:r>
        <w:rPr>
          <w:lang w:val="fr-FR" w:eastAsia="fr-FR" w:bidi="fr-FR"/>
        </w:rPr>
        <w:t xml:space="preserve">Hoffmann, </w:t>
      </w:r>
      <w:r w:rsidRPr="002F6ABB">
        <w:rPr>
          <w:i/>
          <w:iCs/>
        </w:rPr>
        <w:t>op. cit</w:t>
      </w:r>
      <w:r>
        <w:t>.,</w:t>
      </w:r>
      <w:r>
        <w:rPr>
          <w:lang w:val="fr-FR" w:eastAsia="fr-FR" w:bidi="fr-FR"/>
        </w:rPr>
        <w:t xml:space="preserve"> p. 209.</w:t>
      </w:r>
    </w:p>
  </w:footnote>
  <w:footnote w:id="139">
    <w:p w14:paraId="3DAA2DE6" w14:textId="77777777" w:rsidR="0039793A" w:rsidRDefault="0039793A" w:rsidP="0039793A">
      <w:pPr>
        <w:pStyle w:val="Notedebasdepage"/>
      </w:pPr>
      <w:r>
        <w:rPr>
          <w:rStyle w:val="Appelnotedebasdep"/>
        </w:rPr>
        <w:footnoteRef/>
      </w:r>
      <w:r>
        <w:tab/>
      </w:r>
      <w:r>
        <w:rPr>
          <w:lang w:val="fr-FR" w:eastAsia="fr-FR" w:bidi="fr-FR"/>
        </w:rPr>
        <w:t xml:space="preserve">Sur la théorie des jeux, voir Charles-Philippe David, </w:t>
      </w:r>
      <w:r w:rsidRPr="002F6ABB">
        <w:rPr>
          <w:i/>
          <w:iCs/>
        </w:rPr>
        <w:t>La Guerre et la paix</w:t>
      </w:r>
      <w:r>
        <w:t xml:space="preserve">, </w:t>
      </w:r>
      <w:r>
        <w:rPr>
          <w:lang w:val="fr-FR" w:eastAsia="fr-FR" w:bidi="fr-FR"/>
        </w:rPr>
        <w:t>Paris, Presses de Sciences Po, 2000, p. 175.</w:t>
      </w:r>
    </w:p>
  </w:footnote>
  <w:footnote w:id="140">
    <w:p w14:paraId="44AFA8BF" w14:textId="77777777" w:rsidR="0039793A" w:rsidRDefault="0039793A" w:rsidP="0039793A">
      <w:pPr>
        <w:pStyle w:val="Notedebasdepage"/>
      </w:pPr>
      <w:r>
        <w:rPr>
          <w:rStyle w:val="Appelnotedebasdep"/>
        </w:rPr>
        <w:footnoteRef/>
      </w:r>
      <w:r>
        <w:tab/>
        <w:t>« </w:t>
      </w:r>
      <w:r>
        <w:rPr>
          <w:lang w:val="fr-FR" w:eastAsia="fr-FR" w:bidi="fr-FR"/>
        </w:rPr>
        <w:t>Comme les savants commençaient à comprendre les effets ph</w:t>
      </w:r>
      <w:r>
        <w:rPr>
          <w:lang w:val="fr-FR" w:eastAsia="fr-FR" w:bidi="fr-FR"/>
        </w:rPr>
        <w:t>y</w:t>
      </w:r>
      <w:r>
        <w:rPr>
          <w:lang w:val="fr-FR" w:eastAsia="fr-FR" w:bidi="fr-FR"/>
        </w:rPr>
        <w:t>siques des armes qu’ils avaient créées [...] ils ont été consternés par l’apparente ign</w:t>
      </w:r>
      <w:r>
        <w:rPr>
          <w:lang w:val="fr-FR" w:eastAsia="fr-FR" w:bidi="fr-FR"/>
        </w:rPr>
        <w:t>o</w:t>
      </w:r>
      <w:r>
        <w:rPr>
          <w:lang w:val="fr-FR" w:eastAsia="fr-FR" w:bidi="fr-FR"/>
        </w:rPr>
        <w:t>rance et l’irresponsabilité de leurs patrons. J. Robert Oppenheimer avait se</w:t>
      </w:r>
      <w:r>
        <w:rPr>
          <w:lang w:val="fr-FR" w:eastAsia="fr-FR" w:bidi="fr-FR"/>
        </w:rPr>
        <w:t>n</w:t>
      </w:r>
      <w:r>
        <w:rPr>
          <w:lang w:val="fr-FR" w:eastAsia="fr-FR" w:bidi="fr-FR"/>
        </w:rPr>
        <w:t>ti cela aussi tôt qu’en 1946 quand il commit l’erreur de dire à Harry S. Tr</w:t>
      </w:r>
      <w:r>
        <w:rPr>
          <w:lang w:val="fr-FR" w:eastAsia="fr-FR" w:bidi="fr-FR"/>
        </w:rPr>
        <w:t>u</w:t>
      </w:r>
      <w:r>
        <w:rPr>
          <w:lang w:val="fr-FR" w:eastAsia="fr-FR" w:bidi="fr-FR"/>
        </w:rPr>
        <w:t>man que lui et d’autres savants at</w:t>
      </w:r>
      <w:r>
        <w:rPr>
          <w:lang w:val="fr-FR" w:eastAsia="fr-FR" w:bidi="fr-FR"/>
        </w:rPr>
        <w:t>o</w:t>
      </w:r>
      <w:r>
        <w:rPr>
          <w:lang w:val="fr-FR" w:eastAsia="fr-FR" w:bidi="fr-FR"/>
        </w:rPr>
        <w:t>miques avaient du sang sur les mains. Le physicien nucléaire aurait été stupéfait de se faire r</w:t>
      </w:r>
      <w:r>
        <w:rPr>
          <w:lang w:val="fr-FR" w:eastAsia="fr-FR" w:bidi="fr-FR"/>
        </w:rPr>
        <w:t>é</w:t>
      </w:r>
      <w:r>
        <w:rPr>
          <w:lang w:val="fr-FR" w:eastAsia="fr-FR" w:bidi="fr-FR"/>
        </w:rPr>
        <w:t>pondre à la blague par Truman</w:t>
      </w:r>
      <w:r>
        <w:t> :</w:t>
      </w:r>
      <w:r>
        <w:rPr>
          <w:lang w:val="fr-FR" w:eastAsia="fr-FR" w:bidi="fr-FR"/>
        </w:rPr>
        <w:t xml:space="preserve"> Vous en faites pas. Ça partira au lavage</w:t>
      </w:r>
      <w:r>
        <w:t> »</w:t>
      </w:r>
      <w:r>
        <w:rPr>
          <w:lang w:val="fr-FR" w:eastAsia="fr-FR" w:bidi="fr-FR"/>
        </w:rPr>
        <w:t xml:space="preserve">. John Lewis Gaddis, </w:t>
      </w:r>
      <w:r w:rsidRPr="00206B97">
        <w:rPr>
          <w:i/>
          <w:iCs/>
        </w:rPr>
        <w:t>We Now Know : R</w:t>
      </w:r>
      <w:r w:rsidRPr="00206B97">
        <w:rPr>
          <w:i/>
          <w:iCs/>
        </w:rPr>
        <w:t>e</w:t>
      </w:r>
      <w:r w:rsidRPr="00206B97">
        <w:rPr>
          <w:i/>
          <w:iCs/>
        </w:rPr>
        <w:t>thinking Cold War History</w:t>
      </w:r>
      <w:r>
        <w:t>,</w:t>
      </w:r>
      <w:r>
        <w:rPr>
          <w:lang w:val="fr-FR" w:eastAsia="fr-FR" w:bidi="fr-FR"/>
        </w:rPr>
        <w:t xml:space="preserve"> Oxford, Clarendon Press, 1997, p. 224. Voir à ce sujet Robert Jungle, </w:t>
      </w:r>
      <w:r w:rsidRPr="00206B97">
        <w:rPr>
          <w:i/>
          <w:iCs/>
        </w:rPr>
        <w:t>Plus clair que mille soleils ; le destin des atomistes</w:t>
      </w:r>
      <w:r>
        <w:rPr>
          <w:lang w:val="fr-FR" w:eastAsia="fr-FR" w:bidi="fr-FR"/>
        </w:rPr>
        <w:t>, Paris, Arthaud, 1958, 320 p.</w:t>
      </w:r>
    </w:p>
  </w:footnote>
  <w:footnote w:id="141">
    <w:p w14:paraId="21E97936" w14:textId="77777777" w:rsidR="0039793A" w:rsidRDefault="0039793A" w:rsidP="0039793A">
      <w:pPr>
        <w:pStyle w:val="Notedebasdepage"/>
      </w:pPr>
      <w:r>
        <w:rPr>
          <w:rStyle w:val="Appelnotedebasdep"/>
        </w:rPr>
        <w:footnoteRef/>
      </w:r>
      <w:r>
        <w:tab/>
      </w:r>
      <w:r>
        <w:rPr>
          <w:lang w:val="fr-FR" w:eastAsia="fr-FR" w:bidi="fr-FR"/>
        </w:rPr>
        <w:t xml:space="preserve">Le langage des experts </w:t>
      </w:r>
      <w:r>
        <w:t>« </w:t>
      </w:r>
      <w:r>
        <w:rPr>
          <w:lang w:val="fr-FR" w:eastAsia="fr-FR" w:bidi="fr-FR"/>
        </w:rPr>
        <w:t>exprime la tentative de donner à la terrifiante ince</w:t>
      </w:r>
      <w:r>
        <w:rPr>
          <w:lang w:val="fr-FR" w:eastAsia="fr-FR" w:bidi="fr-FR"/>
        </w:rPr>
        <w:t>r</w:t>
      </w:r>
      <w:r>
        <w:rPr>
          <w:lang w:val="fr-FR" w:eastAsia="fr-FR" w:bidi="fr-FR"/>
        </w:rPr>
        <w:t>titude de la dissu</w:t>
      </w:r>
      <w:r>
        <w:rPr>
          <w:lang w:val="fr-FR" w:eastAsia="fr-FR" w:bidi="fr-FR"/>
        </w:rPr>
        <w:t>a</w:t>
      </w:r>
      <w:r>
        <w:rPr>
          <w:lang w:val="fr-FR" w:eastAsia="fr-FR" w:bidi="fr-FR"/>
        </w:rPr>
        <w:t>sion nucléaire l’apparence impassible et antiseptique d’une science dégagée des impuretés de la p</w:t>
      </w:r>
      <w:r>
        <w:rPr>
          <w:lang w:val="fr-FR" w:eastAsia="fr-FR" w:bidi="fr-FR"/>
        </w:rPr>
        <w:t>o</w:t>
      </w:r>
      <w:r>
        <w:rPr>
          <w:lang w:val="fr-FR" w:eastAsia="fr-FR" w:bidi="fr-FR"/>
        </w:rPr>
        <w:t>litique.</w:t>
      </w:r>
      <w:r>
        <w:t> »</w:t>
      </w:r>
      <w:r>
        <w:rPr>
          <w:lang w:val="fr-FR" w:eastAsia="fr-FR" w:bidi="fr-FR"/>
        </w:rPr>
        <w:t xml:space="preserve"> Hoffmann, </w:t>
      </w:r>
      <w:r w:rsidRPr="00206B97">
        <w:rPr>
          <w:i/>
          <w:iCs/>
        </w:rPr>
        <w:t>op. cit</w:t>
      </w:r>
      <w:r>
        <w:t xml:space="preserve">., </w:t>
      </w:r>
      <w:r>
        <w:rPr>
          <w:lang w:val="fr-FR" w:eastAsia="fr-FR" w:bidi="fr-FR"/>
        </w:rPr>
        <w:t>p. 207.</w:t>
      </w:r>
    </w:p>
  </w:footnote>
  <w:footnote w:id="142">
    <w:p w14:paraId="14DBCD95" w14:textId="77777777" w:rsidR="0039793A" w:rsidRDefault="0039793A" w:rsidP="0039793A">
      <w:pPr>
        <w:pStyle w:val="Notedebasdepage"/>
      </w:pPr>
      <w:r>
        <w:rPr>
          <w:rStyle w:val="Appelnotedebasdep"/>
        </w:rPr>
        <w:footnoteRef/>
      </w:r>
      <w:r>
        <w:tab/>
      </w:r>
      <w:r>
        <w:rPr>
          <w:lang w:val="fr-FR" w:eastAsia="fr-FR" w:bidi="fr-FR"/>
        </w:rPr>
        <w:t>Depuis 1954, les Américains avaient pris la r</w:t>
      </w:r>
      <w:r>
        <w:rPr>
          <w:lang w:val="fr-FR" w:eastAsia="fr-FR" w:bidi="fr-FR"/>
        </w:rPr>
        <w:t>e</w:t>
      </w:r>
      <w:r>
        <w:rPr>
          <w:lang w:val="fr-FR" w:eastAsia="fr-FR" w:bidi="fr-FR"/>
        </w:rPr>
        <w:t>lève de la France en Asie du Sud-Est. Ils se sentaient donc responsables de la préserv</w:t>
      </w:r>
      <w:r>
        <w:rPr>
          <w:lang w:val="fr-FR" w:eastAsia="fr-FR" w:bidi="fr-FR"/>
        </w:rPr>
        <w:t>a</w:t>
      </w:r>
      <w:r>
        <w:rPr>
          <w:lang w:val="fr-FR" w:eastAsia="fr-FR" w:bidi="fr-FR"/>
        </w:rPr>
        <w:t>tion d’un régime non communiste au Vietnam du Sud alors que le Nord était devenu comm</w:t>
      </w:r>
      <w:r>
        <w:rPr>
          <w:lang w:val="fr-FR" w:eastAsia="fr-FR" w:bidi="fr-FR"/>
        </w:rPr>
        <w:t>u</w:t>
      </w:r>
      <w:r>
        <w:rPr>
          <w:lang w:val="fr-FR" w:eastAsia="fr-FR" w:bidi="fr-FR"/>
        </w:rPr>
        <w:t>niste après la bataille de Diên Biên Phu pe</w:t>
      </w:r>
      <w:r>
        <w:rPr>
          <w:lang w:val="fr-FR" w:eastAsia="fr-FR" w:bidi="fr-FR"/>
        </w:rPr>
        <w:t>r</w:t>
      </w:r>
      <w:r>
        <w:rPr>
          <w:lang w:val="fr-FR" w:eastAsia="fr-FR" w:bidi="fr-FR"/>
        </w:rPr>
        <w:t>due par les Français en 1954. Ils ont voulu d’abord expédier des conseillers techniques pour aider le gouve</w:t>
      </w:r>
      <w:r>
        <w:rPr>
          <w:lang w:val="fr-FR" w:eastAsia="fr-FR" w:bidi="fr-FR"/>
        </w:rPr>
        <w:t>r</w:t>
      </w:r>
      <w:r>
        <w:rPr>
          <w:lang w:val="fr-FR" w:eastAsia="fr-FR" w:bidi="fr-FR"/>
        </w:rPr>
        <w:t>nement pro-occidental du Sud, puis se sont sentis graduell</w:t>
      </w:r>
      <w:r>
        <w:rPr>
          <w:lang w:val="fr-FR" w:eastAsia="fr-FR" w:bidi="fr-FR"/>
        </w:rPr>
        <w:t>e</w:t>
      </w:r>
      <w:r>
        <w:rPr>
          <w:lang w:val="fr-FR" w:eastAsia="fr-FR" w:bidi="fr-FR"/>
        </w:rPr>
        <w:t>ment obligés d’intervenir pour mettre fin à la guérilla communiste encouragée et alime</w:t>
      </w:r>
      <w:r>
        <w:rPr>
          <w:lang w:val="fr-FR" w:eastAsia="fr-FR" w:bidi="fr-FR"/>
        </w:rPr>
        <w:t>n</w:t>
      </w:r>
      <w:r>
        <w:rPr>
          <w:lang w:val="fr-FR" w:eastAsia="fr-FR" w:bidi="fr-FR"/>
        </w:rPr>
        <w:t xml:space="preserve">tée par le Nord. C’est alors que le secrétaire à la Défense, Robert McNamara recruta ceux qu’on a appelés les </w:t>
      </w:r>
      <w:r w:rsidRPr="00132102">
        <w:rPr>
          <w:i/>
          <w:iCs/>
        </w:rPr>
        <w:t>whiz kids</w:t>
      </w:r>
      <w:r>
        <w:t>,</w:t>
      </w:r>
      <w:r>
        <w:rPr>
          <w:lang w:val="fr-FR" w:eastAsia="fr-FR" w:bidi="fr-FR"/>
        </w:rPr>
        <w:t xml:space="preserve"> la plupart brillants scientifiques, pour concevoir les stratégies qui devaient éliminer rapidement les révol</w:t>
      </w:r>
      <w:r>
        <w:rPr>
          <w:lang w:val="fr-FR" w:eastAsia="fr-FR" w:bidi="fr-FR"/>
        </w:rPr>
        <w:t>u</w:t>
      </w:r>
      <w:r>
        <w:rPr>
          <w:lang w:val="fr-FR" w:eastAsia="fr-FR" w:bidi="fr-FR"/>
        </w:rPr>
        <w:t>tionnaires. Les Américains n’en vinrent jamais à bout et, même après des négoci</w:t>
      </w:r>
      <w:r>
        <w:rPr>
          <w:lang w:val="fr-FR" w:eastAsia="fr-FR" w:bidi="fr-FR"/>
        </w:rPr>
        <w:t>a</w:t>
      </w:r>
      <w:r>
        <w:rPr>
          <w:lang w:val="fr-FR" w:eastAsia="fr-FR" w:bidi="fr-FR"/>
        </w:rPr>
        <w:t>tions, ont dû se résigner à ce que le Vietnam du Sud soit réuni au Nord communiste en 1975.</w:t>
      </w:r>
    </w:p>
  </w:footnote>
  <w:footnote w:id="143">
    <w:p w14:paraId="4F6A931C" w14:textId="77777777" w:rsidR="0039793A" w:rsidRDefault="0039793A" w:rsidP="0039793A">
      <w:pPr>
        <w:pStyle w:val="Notedebasdepage"/>
      </w:pPr>
      <w:r>
        <w:rPr>
          <w:rStyle w:val="Appelnotedebasdep"/>
        </w:rPr>
        <w:footnoteRef/>
      </w:r>
      <w:r>
        <w:tab/>
      </w:r>
      <w:r>
        <w:rPr>
          <w:lang w:val="fr-FR" w:eastAsia="fr-FR" w:bidi="fr-FR"/>
        </w:rPr>
        <w:t xml:space="preserve">Voir sur ce point, Sébastien Barthe, </w:t>
      </w:r>
      <w:r>
        <w:t>« </w:t>
      </w:r>
      <w:r>
        <w:rPr>
          <w:lang w:val="fr-FR" w:eastAsia="fr-FR" w:bidi="fr-FR"/>
        </w:rPr>
        <w:t>Missiles et antimissiles</w:t>
      </w:r>
      <w:r>
        <w:t> :</w:t>
      </w:r>
      <w:r>
        <w:rPr>
          <w:lang w:val="fr-FR" w:eastAsia="fr-FR" w:bidi="fr-FR"/>
        </w:rPr>
        <w:t xml:space="preserve"> une nouvelle course folle</w:t>
      </w:r>
      <w:r>
        <w:t> ? »</w:t>
      </w:r>
      <w:r>
        <w:rPr>
          <w:lang w:val="fr-FR" w:eastAsia="fr-FR" w:bidi="fr-FR"/>
        </w:rPr>
        <w:t xml:space="preserve">, dans Charles-Philippe David (dir.). </w:t>
      </w:r>
      <w:r w:rsidRPr="00132102">
        <w:rPr>
          <w:i/>
          <w:iCs/>
        </w:rPr>
        <w:t>R</w:t>
      </w:r>
      <w:r w:rsidRPr="00132102">
        <w:rPr>
          <w:i/>
          <w:iCs/>
        </w:rPr>
        <w:t>e</w:t>
      </w:r>
      <w:r w:rsidRPr="00132102">
        <w:rPr>
          <w:i/>
          <w:iCs/>
        </w:rPr>
        <w:t>penser la sécurité. Nouvelles menaces, nouvelles politiques</w:t>
      </w:r>
      <w:r>
        <w:t>,</w:t>
      </w:r>
      <w:r>
        <w:rPr>
          <w:lang w:val="fr-FR" w:eastAsia="fr-FR" w:bidi="fr-FR"/>
        </w:rPr>
        <w:t xml:space="preserve"> Mo</w:t>
      </w:r>
      <w:r>
        <w:rPr>
          <w:lang w:val="fr-FR" w:eastAsia="fr-FR" w:bidi="fr-FR"/>
        </w:rPr>
        <w:t>n</w:t>
      </w:r>
      <w:r>
        <w:rPr>
          <w:lang w:val="fr-FR" w:eastAsia="fr-FR" w:bidi="fr-FR"/>
        </w:rPr>
        <w:t>tréal, Fides, 2002, p. 135-153.</w:t>
      </w:r>
    </w:p>
  </w:footnote>
  <w:footnote w:id="144">
    <w:p w14:paraId="469A8C09" w14:textId="77777777" w:rsidR="0039793A" w:rsidRDefault="0039793A" w:rsidP="0039793A">
      <w:pPr>
        <w:pStyle w:val="Notedebasdepage"/>
      </w:pPr>
      <w:r>
        <w:rPr>
          <w:rStyle w:val="Appelnotedebasdep"/>
        </w:rPr>
        <w:footnoteRef/>
      </w:r>
      <w:r>
        <w:tab/>
      </w:r>
      <w:r>
        <w:rPr>
          <w:lang w:val="fr-FR" w:eastAsia="fr-FR" w:bidi="fr-FR"/>
        </w:rPr>
        <w:t xml:space="preserve">On entend généralement par </w:t>
      </w:r>
      <w:r w:rsidRPr="00177839">
        <w:rPr>
          <w:i/>
          <w:iCs/>
        </w:rPr>
        <w:t>melting-pot</w:t>
      </w:r>
      <w:r>
        <w:rPr>
          <w:lang w:val="fr-FR" w:eastAsia="fr-FR" w:bidi="fr-FR"/>
        </w:rPr>
        <w:t xml:space="preserve"> le processus selon lequel les imm</w:t>
      </w:r>
      <w:r>
        <w:rPr>
          <w:lang w:val="fr-FR" w:eastAsia="fr-FR" w:bidi="fr-FR"/>
        </w:rPr>
        <w:t>i</w:t>
      </w:r>
      <w:r>
        <w:rPr>
          <w:lang w:val="fr-FR" w:eastAsia="fr-FR" w:bidi="fr-FR"/>
        </w:rPr>
        <w:t xml:space="preserve">grants, surtout dans la première moitié du </w:t>
      </w:r>
      <w:r>
        <w:t>XX</w:t>
      </w:r>
      <w:r>
        <w:rPr>
          <w:vertAlign w:val="superscript"/>
        </w:rPr>
        <w:t>e</w:t>
      </w:r>
      <w:r>
        <w:t xml:space="preserve"> </w:t>
      </w:r>
      <w:r>
        <w:rPr>
          <w:lang w:val="fr-FR" w:eastAsia="fr-FR" w:bidi="fr-FR"/>
        </w:rPr>
        <w:t>siècle, s’assimilaient très r</w:t>
      </w:r>
      <w:r>
        <w:rPr>
          <w:lang w:val="fr-FR" w:eastAsia="fr-FR" w:bidi="fr-FR"/>
        </w:rPr>
        <w:t>a</w:t>
      </w:r>
      <w:r>
        <w:rPr>
          <w:lang w:val="fr-FR" w:eastAsia="fr-FR" w:bidi="fr-FR"/>
        </w:rPr>
        <w:t>pidement au mode de vie américain au point d’en oublier leurs origines tout en laissant très peu de place aux langues de ces origines. Le multiculturali</w:t>
      </w:r>
      <w:r>
        <w:rPr>
          <w:lang w:val="fr-FR" w:eastAsia="fr-FR" w:bidi="fr-FR"/>
        </w:rPr>
        <w:t>s</w:t>
      </w:r>
      <w:r>
        <w:rPr>
          <w:lang w:val="fr-FR" w:eastAsia="fr-FR" w:bidi="fr-FR"/>
        </w:rPr>
        <w:t>me au contraire, tout en prônant l’intégration et l’apprentissage de la langue nationale, prêche le re</w:t>
      </w:r>
      <w:r>
        <w:rPr>
          <w:lang w:val="fr-FR" w:eastAsia="fr-FR" w:bidi="fr-FR"/>
        </w:rPr>
        <w:t>s</w:t>
      </w:r>
      <w:r>
        <w:rPr>
          <w:lang w:val="fr-FR" w:eastAsia="fr-FR" w:bidi="fr-FR"/>
        </w:rPr>
        <w:t>pect des cultures d’origines, le maintien de langues secondes et du patrimoine culturel propre à chaque groupe d’immigrants.</w:t>
      </w:r>
    </w:p>
  </w:footnote>
  <w:footnote w:id="145">
    <w:p w14:paraId="31FB2091" w14:textId="77777777" w:rsidR="0039793A" w:rsidRDefault="0039793A" w:rsidP="0039793A">
      <w:pPr>
        <w:pStyle w:val="Notedebasdepage"/>
      </w:pPr>
      <w:r>
        <w:rPr>
          <w:rStyle w:val="Appelnotedebasdep"/>
        </w:rPr>
        <w:footnoteRef/>
      </w:r>
      <w:r>
        <w:tab/>
      </w:r>
      <w:r>
        <w:rPr>
          <w:lang w:val="fr-FR" w:eastAsia="fr-FR" w:bidi="fr-FR"/>
        </w:rPr>
        <w:t>Il s’agit d’un mouvement qui a pris naissance à l’occasion de la reconnai</w:t>
      </w:r>
      <w:r>
        <w:rPr>
          <w:lang w:val="fr-FR" w:eastAsia="fr-FR" w:bidi="fr-FR"/>
        </w:rPr>
        <w:t>s</w:t>
      </w:r>
      <w:r>
        <w:rPr>
          <w:lang w:val="fr-FR" w:eastAsia="fr-FR" w:bidi="fr-FR"/>
        </w:rPr>
        <w:t>sance des droits civils durant les années I960 et qui consi</w:t>
      </w:r>
      <w:r>
        <w:rPr>
          <w:lang w:val="fr-FR" w:eastAsia="fr-FR" w:bidi="fr-FR"/>
        </w:rPr>
        <w:t>s</w:t>
      </w:r>
      <w:r>
        <w:rPr>
          <w:lang w:val="fr-FR" w:eastAsia="fr-FR" w:bidi="fr-FR"/>
        </w:rPr>
        <w:t>tait à revaloriser les groupes ethniques, surtout ceux issus d’Amérique lat</w:t>
      </w:r>
      <w:r>
        <w:rPr>
          <w:lang w:val="fr-FR" w:eastAsia="fr-FR" w:bidi="fr-FR"/>
        </w:rPr>
        <w:t>i</w:t>
      </w:r>
      <w:r>
        <w:rPr>
          <w:lang w:val="fr-FR" w:eastAsia="fr-FR" w:bidi="fr-FR"/>
        </w:rPr>
        <w:t>ne et d’Asie. À compter de la décennie 1970, plusieurs jeunes Américains appart</w:t>
      </w:r>
      <w:r>
        <w:rPr>
          <w:lang w:val="fr-FR" w:eastAsia="fr-FR" w:bidi="fr-FR"/>
        </w:rPr>
        <w:t>e</w:t>
      </w:r>
      <w:r>
        <w:rPr>
          <w:lang w:val="fr-FR" w:eastAsia="fr-FR" w:bidi="fr-FR"/>
        </w:rPr>
        <w:t>nant à ces groupes ont voulu renouer avec leurs origines et en tirer même une certaine fierté.</w:t>
      </w:r>
    </w:p>
  </w:footnote>
  <w:footnote w:id="146">
    <w:p w14:paraId="0A1D38B7" w14:textId="77777777" w:rsidR="0039793A" w:rsidRDefault="0039793A" w:rsidP="0039793A">
      <w:pPr>
        <w:pStyle w:val="Notedebasdepage"/>
      </w:pPr>
      <w:r>
        <w:rPr>
          <w:rStyle w:val="Appelnotedebasdep"/>
        </w:rPr>
        <w:footnoteRef/>
      </w:r>
      <w:r>
        <w:tab/>
      </w:r>
      <w:r>
        <w:rPr>
          <w:lang w:val="fr-FR" w:eastAsia="fr-FR" w:bidi="fr-FR"/>
        </w:rPr>
        <w:t xml:space="preserve">Des commentateurs se sont inquiétés, entre autres, du choix des délégués à la Convention du Parti démocrate de 1972. Des quotas avaient été accordés à divers groupes sociaux au point qu’on y voyait un effritement de l’appartenance nationale. Au sujet de l’inquiétude suscitée chez les élites, voir Arthur M. Schlesinger Jr., </w:t>
      </w:r>
      <w:r w:rsidRPr="004659C3">
        <w:rPr>
          <w:i/>
          <w:iCs/>
        </w:rPr>
        <w:t>L’Amérique balkanisée : une société mult</w:t>
      </w:r>
      <w:r w:rsidRPr="004659C3">
        <w:rPr>
          <w:i/>
          <w:iCs/>
        </w:rPr>
        <w:t>i</w:t>
      </w:r>
      <w:r w:rsidRPr="004659C3">
        <w:rPr>
          <w:i/>
          <w:iCs/>
        </w:rPr>
        <w:t>culturelle désunie</w:t>
      </w:r>
      <w:r>
        <w:t>,</w:t>
      </w:r>
      <w:r>
        <w:rPr>
          <w:lang w:val="fr-FR" w:eastAsia="fr-FR" w:bidi="fr-FR"/>
        </w:rPr>
        <w:t xml:space="preserve"> Paris, Economica, 1999, 157 p.</w:t>
      </w:r>
    </w:p>
  </w:footnote>
  <w:footnote w:id="147">
    <w:p w14:paraId="1E157663" w14:textId="77777777" w:rsidR="0039793A" w:rsidRDefault="0039793A" w:rsidP="0039793A">
      <w:pPr>
        <w:pStyle w:val="Notedebasdepage"/>
      </w:pPr>
      <w:r>
        <w:rPr>
          <w:rStyle w:val="Appelnotedebasdep"/>
        </w:rPr>
        <w:footnoteRef/>
      </w:r>
      <w:r>
        <w:tab/>
      </w:r>
      <w:r>
        <w:rPr>
          <w:lang w:val="fr-FR" w:eastAsia="fr-FR" w:bidi="fr-FR"/>
        </w:rPr>
        <w:t>Toute la campagne électorale qui a mené Jimmy Carter au po</w:t>
      </w:r>
      <w:r>
        <w:rPr>
          <w:lang w:val="fr-FR" w:eastAsia="fr-FR" w:bidi="fr-FR"/>
        </w:rPr>
        <w:t>u</w:t>
      </w:r>
      <w:r>
        <w:rPr>
          <w:lang w:val="fr-FR" w:eastAsia="fr-FR" w:bidi="fr-FR"/>
        </w:rPr>
        <w:t>voir en 1976 était axée sur le thème de la moralité, dans la foulée de la démi</w:t>
      </w:r>
      <w:r>
        <w:rPr>
          <w:lang w:val="fr-FR" w:eastAsia="fr-FR" w:bidi="fr-FR"/>
        </w:rPr>
        <w:t>s</w:t>
      </w:r>
      <w:r>
        <w:rPr>
          <w:lang w:val="fr-FR" w:eastAsia="fr-FR" w:bidi="fr-FR"/>
        </w:rPr>
        <w:t>sion forcée de Richard Nixon.</w:t>
      </w:r>
    </w:p>
  </w:footnote>
  <w:footnote w:id="148">
    <w:p w14:paraId="386B6664" w14:textId="77777777" w:rsidR="0039793A" w:rsidRDefault="0039793A" w:rsidP="0039793A">
      <w:pPr>
        <w:pStyle w:val="Notedebasdepage"/>
      </w:pPr>
      <w:r>
        <w:rPr>
          <w:rStyle w:val="Appelnotedebasdep"/>
        </w:rPr>
        <w:footnoteRef/>
      </w:r>
      <w:r>
        <w:tab/>
      </w:r>
      <w:r>
        <w:rPr>
          <w:lang w:val="fr-FR" w:eastAsia="fr-FR" w:bidi="fr-FR"/>
        </w:rPr>
        <w:t>Il est vrai qu’il se présente d’abord comme un président préo</w:t>
      </w:r>
      <w:r>
        <w:rPr>
          <w:lang w:val="fr-FR" w:eastAsia="fr-FR" w:bidi="fr-FR"/>
        </w:rPr>
        <w:t>c</w:t>
      </w:r>
      <w:r>
        <w:rPr>
          <w:lang w:val="fr-FR" w:eastAsia="fr-FR" w:bidi="fr-FR"/>
        </w:rPr>
        <w:t>cupé avant tout par la politique i</w:t>
      </w:r>
      <w:r>
        <w:rPr>
          <w:lang w:val="fr-FR" w:eastAsia="fr-FR" w:bidi="fr-FR"/>
        </w:rPr>
        <w:t>n</w:t>
      </w:r>
      <w:r>
        <w:rPr>
          <w:lang w:val="fr-FR" w:eastAsia="fr-FR" w:bidi="fr-FR"/>
        </w:rPr>
        <w:t>térieure</w:t>
      </w:r>
      <w:r>
        <w:t> ;</w:t>
      </w:r>
      <w:r>
        <w:rPr>
          <w:lang w:val="fr-FR" w:eastAsia="fr-FR" w:bidi="fr-FR"/>
        </w:rPr>
        <w:t xml:space="preserve"> il est rapidement entraîné vers les questions internationales</w:t>
      </w:r>
      <w:r>
        <w:t> :</w:t>
      </w:r>
      <w:r>
        <w:rPr>
          <w:lang w:val="fr-FR" w:eastAsia="fr-FR" w:bidi="fr-FR"/>
        </w:rPr>
        <w:t xml:space="preserve"> Somalie, Bosnie, Haïti, golfe Pe</w:t>
      </w:r>
      <w:r>
        <w:rPr>
          <w:lang w:val="fr-FR" w:eastAsia="fr-FR" w:bidi="fr-FR"/>
        </w:rPr>
        <w:t>r</w:t>
      </w:r>
      <w:r>
        <w:rPr>
          <w:lang w:val="fr-FR" w:eastAsia="fr-FR" w:bidi="fr-FR"/>
        </w:rPr>
        <w:t>sique, Kosovo. Il cherche aussi à se distinguer comme médiateur en pl</w:t>
      </w:r>
      <w:r>
        <w:rPr>
          <w:lang w:val="fr-FR" w:eastAsia="fr-FR" w:bidi="fr-FR"/>
        </w:rPr>
        <w:t>u</w:t>
      </w:r>
      <w:r>
        <w:rPr>
          <w:lang w:val="fr-FR" w:eastAsia="fr-FR" w:bidi="fr-FR"/>
        </w:rPr>
        <w:t>sieurs endroits (conflit israélo- palestinien, Irlande du Nord, Timor oriental) et engage son pays dans des opérations des N</w:t>
      </w:r>
      <w:r>
        <w:rPr>
          <w:lang w:val="fr-FR" w:eastAsia="fr-FR" w:bidi="fr-FR"/>
        </w:rPr>
        <w:t>a</w:t>
      </w:r>
      <w:r>
        <w:rPr>
          <w:lang w:val="fr-FR" w:eastAsia="fr-FR" w:bidi="fr-FR"/>
        </w:rPr>
        <w:t xml:space="preserve">tions unies ou de </w:t>
      </w:r>
      <w:r>
        <w:t>l’OTAN.</w:t>
      </w:r>
    </w:p>
  </w:footnote>
  <w:footnote w:id="149">
    <w:p w14:paraId="0B43ED89" w14:textId="77777777" w:rsidR="0039793A" w:rsidRDefault="0039793A" w:rsidP="0039793A">
      <w:pPr>
        <w:pStyle w:val="Notedebasdepage"/>
      </w:pPr>
      <w:r>
        <w:rPr>
          <w:rStyle w:val="Appelnotedebasdep"/>
        </w:rPr>
        <w:footnoteRef/>
      </w:r>
      <w:r>
        <w:tab/>
      </w:r>
      <w:r>
        <w:rPr>
          <w:lang w:val="fr-FR" w:eastAsia="fr-FR" w:bidi="fr-FR"/>
        </w:rPr>
        <w:t>On peut mentionner des politiques comme le plan Marshall, la</w:t>
      </w:r>
      <w:r>
        <w:rPr>
          <w:lang w:val="fr-FR" w:eastAsia="fr-FR" w:bidi="fr-FR"/>
        </w:rPr>
        <w:t>n</w:t>
      </w:r>
      <w:r>
        <w:rPr>
          <w:lang w:val="fr-FR" w:eastAsia="fr-FR" w:bidi="fr-FR"/>
        </w:rPr>
        <w:t>cé en 1947, l’Alliance pour le progrès (de courte durée cependant) en Amérique latine sous Kennedy et les grandes politiques des droits de Carter de même que le traité qui remettait à Panama la propriété de son canal, sans oublier la r</w:t>
      </w:r>
      <w:r>
        <w:rPr>
          <w:lang w:val="fr-FR" w:eastAsia="fr-FR" w:bidi="fr-FR"/>
        </w:rPr>
        <w:t>é</w:t>
      </w:r>
      <w:r>
        <w:rPr>
          <w:lang w:val="fr-FR" w:eastAsia="fr-FR" w:bidi="fr-FR"/>
        </w:rPr>
        <w:t>conciliation entre Israël et l’Égypte.</w:t>
      </w:r>
    </w:p>
  </w:footnote>
  <w:footnote w:id="150">
    <w:p w14:paraId="47FC6721" w14:textId="77777777" w:rsidR="0039793A" w:rsidRDefault="0039793A" w:rsidP="0039793A">
      <w:pPr>
        <w:pStyle w:val="Notedebasdepage"/>
      </w:pPr>
      <w:r>
        <w:rPr>
          <w:rStyle w:val="Appelnotedebasdep"/>
        </w:rPr>
        <w:footnoteRef/>
      </w:r>
      <w:r>
        <w:tab/>
        <w:t xml:space="preserve">Arthur Schlesinger Jr., </w:t>
      </w:r>
      <w:r w:rsidRPr="004659C3">
        <w:rPr>
          <w:i/>
          <w:iCs/>
          <w:lang w:val="fr-FR" w:eastAsia="fr-FR" w:bidi="fr-FR"/>
        </w:rPr>
        <w:t>L’Amérique balkan</w:t>
      </w:r>
      <w:r w:rsidRPr="004659C3">
        <w:rPr>
          <w:i/>
          <w:iCs/>
          <w:lang w:val="fr-FR" w:eastAsia="fr-FR" w:bidi="fr-FR"/>
        </w:rPr>
        <w:t>i</w:t>
      </w:r>
      <w:r w:rsidRPr="004659C3">
        <w:rPr>
          <w:i/>
          <w:iCs/>
          <w:lang w:val="fr-FR" w:eastAsia="fr-FR" w:bidi="fr-FR"/>
        </w:rPr>
        <w:t>sée..., op. cit</w:t>
      </w:r>
      <w:r>
        <w:rPr>
          <w:lang w:val="fr-FR" w:eastAsia="fr-FR" w:bidi="fr-FR"/>
        </w:rPr>
        <w:t>.</w:t>
      </w:r>
    </w:p>
  </w:footnote>
  <w:footnote w:id="151">
    <w:p w14:paraId="390D25F8" w14:textId="77777777" w:rsidR="0039793A" w:rsidRDefault="0039793A" w:rsidP="0039793A">
      <w:pPr>
        <w:pStyle w:val="Notedebasdepage"/>
      </w:pPr>
      <w:r>
        <w:rPr>
          <w:rStyle w:val="Appelnotedebasdep"/>
        </w:rPr>
        <w:footnoteRef/>
      </w:r>
      <w:r>
        <w:tab/>
      </w:r>
      <w:r>
        <w:rPr>
          <w:lang w:val="fr-FR" w:eastAsia="fr-FR" w:bidi="fr-FR"/>
        </w:rPr>
        <w:t xml:space="preserve">Voir par exemple Morris Berman, </w:t>
      </w:r>
      <w:r w:rsidRPr="004659C3">
        <w:rPr>
          <w:i/>
          <w:iCs/>
        </w:rPr>
        <w:t>The Twilight of American Culture</w:t>
      </w:r>
      <w:r>
        <w:t>,</w:t>
      </w:r>
      <w:r>
        <w:rPr>
          <w:lang w:val="fr-FR" w:eastAsia="fr-FR" w:bidi="fr-FR"/>
        </w:rPr>
        <w:t xml:space="preserve"> New York, Norton, 2000, 205 p.</w:t>
      </w:r>
    </w:p>
  </w:footnote>
  <w:footnote w:id="152">
    <w:p w14:paraId="487671C9" w14:textId="77777777" w:rsidR="0039793A" w:rsidRDefault="0039793A">
      <w:pPr>
        <w:pStyle w:val="Notedebasdepage"/>
      </w:pPr>
      <w:r>
        <w:rPr>
          <w:rStyle w:val="Appelnotedebasdep"/>
        </w:rPr>
        <w:footnoteRef/>
      </w:r>
      <w:r>
        <w:tab/>
        <w:t>« </w:t>
      </w:r>
      <w:r>
        <w:rPr>
          <w:lang w:val="fr-FR" w:eastAsia="fr-FR" w:bidi="fr-FR"/>
        </w:rPr>
        <w:t>Nous le peuple</w:t>
      </w:r>
      <w:r>
        <w:t> »</w:t>
      </w:r>
      <w:r>
        <w:rPr>
          <w:lang w:val="fr-FR" w:eastAsia="fr-FR" w:bidi="fr-FR"/>
        </w:rPr>
        <w:t xml:space="preserve"> sont les premiers mots de la Constitution. À l’inverse de la théorie développée par les États du Sud qui ont fait s</w:t>
      </w:r>
      <w:r>
        <w:rPr>
          <w:lang w:val="fr-FR" w:eastAsia="fr-FR" w:bidi="fr-FR"/>
        </w:rPr>
        <w:t>é</w:t>
      </w:r>
      <w:r>
        <w:rPr>
          <w:lang w:val="fr-FR" w:eastAsia="fr-FR" w:bidi="fr-FR"/>
        </w:rPr>
        <w:t>cession en 1861 et selon laquelle l’union résultait d’un contrat entre les États, la philosophie qui a prévalu, surtout depuis la fin de la gue</w:t>
      </w:r>
      <w:r>
        <w:rPr>
          <w:lang w:val="fr-FR" w:eastAsia="fr-FR" w:bidi="fr-FR"/>
        </w:rPr>
        <w:t>r</w:t>
      </w:r>
      <w:r>
        <w:rPr>
          <w:lang w:val="fr-FR" w:eastAsia="fr-FR" w:bidi="fr-FR"/>
        </w:rPr>
        <w:t>re civile (1861-1865) s’appuie sur ces mots pour arguer que l’union doit d’abord être définie par l’ensemble des citoyens.</w:t>
      </w:r>
    </w:p>
  </w:footnote>
  <w:footnote w:id="153">
    <w:p w14:paraId="02F80BEF" w14:textId="77777777" w:rsidR="0039793A" w:rsidRDefault="0039793A" w:rsidP="0039793A">
      <w:pPr>
        <w:pStyle w:val="Notedebasdepage"/>
      </w:pPr>
      <w:r>
        <w:rPr>
          <w:rStyle w:val="Appelnotedebasdep"/>
        </w:rPr>
        <w:footnoteRef/>
      </w:r>
      <w:r>
        <w:tab/>
      </w:r>
      <w:r>
        <w:rPr>
          <w:lang w:val="fr-FR" w:eastAsia="fr-FR" w:bidi="fr-FR"/>
        </w:rPr>
        <w:t xml:space="preserve">Bruce W. Jentleson, </w:t>
      </w:r>
      <w:r w:rsidRPr="007B7B96">
        <w:rPr>
          <w:i/>
          <w:iCs/>
        </w:rPr>
        <w:t>American Foreign Pol</w:t>
      </w:r>
      <w:r w:rsidRPr="007B7B96">
        <w:rPr>
          <w:i/>
          <w:iCs/>
        </w:rPr>
        <w:t>i</w:t>
      </w:r>
      <w:r w:rsidRPr="007B7B96">
        <w:rPr>
          <w:i/>
          <w:iCs/>
        </w:rPr>
        <w:t>cy : The Dynamics of Choice in the 21st Century</w:t>
      </w:r>
      <w:r>
        <w:t>,</w:t>
      </w:r>
      <w:r>
        <w:rPr>
          <w:lang w:val="fr-FR" w:eastAsia="fr-FR" w:bidi="fr-FR"/>
        </w:rPr>
        <w:t xml:space="preserve"> New York, Londres, W.W. Norton, 2000, p. 10-18.</w:t>
      </w:r>
    </w:p>
  </w:footnote>
  <w:footnote w:id="154">
    <w:p w14:paraId="00EE701F" w14:textId="77777777" w:rsidR="0039793A" w:rsidRDefault="0039793A" w:rsidP="0039793A">
      <w:pPr>
        <w:pStyle w:val="Notedebasdepage"/>
      </w:pPr>
      <w:r>
        <w:rPr>
          <w:rStyle w:val="Appelnotedebasdep"/>
        </w:rPr>
        <w:footnoteRef/>
      </w:r>
      <w:r>
        <w:tab/>
      </w:r>
      <w:r>
        <w:rPr>
          <w:lang w:val="fr-FR" w:eastAsia="fr-FR" w:bidi="fr-FR"/>
        </w:rPr>
        <w:t xml:space="preserve">Jentleson, </w:t>
      </w:r>
      <w:r w:rsidRPr="007B7B96">
        <w:rPr>
          <w:i/>
          <w:iCs/>
        </w:rPr>
        <w:t>op. cit</w:t>
      </w:r>
      <w:r>
        <w:t>.,</w:t>
      </w:r>
      <w:r>
        <w:rPr>
          <w:lang w:val="fr-FR" w:eastAsia="fr-FR" w:bidi="fr-FR"/>
        </w:rPr>
        <w:t xml:space="preserve"> p. 19-20.</w:t>
      </w:r>
    </w:p>
  </w:footnote>
  <w:footnote w:id="155">
    <w:p w14:paraId="565013C1" w14:textId="77777777" w:rsidR="0039793A" w:rsidRDefault="0039793A" w:rsidP="0039793A">
      <w:pPr>
        <w:pStyle w:val="Notedebasdepage"/>
      </w:pPr>
      <w:r>
        <w:rPr>
          <w:rStyle w:val="Appelnotedebasdep"/>
        </w:rPr>
        <w:footnoteRef/>
      </w:r>
      <w:r>
        <w:tab/>
        <w:t xml:space="preserve">Walter Russell Mead, </w:t>
      </w:r>
      <w:r w:rsidRPr="007B7B96">
        <w:rPr>
          <w:i/>
          <w:iCs/>
          <w:lang w:val="fr-FR" w:eastAsia="fr-FR" w:bidi="fr-FR"/>
        </w:rPr>
        <w:t>Sp</w:t>
      </w:r>
      <w:r>
        <w:rPr>
          <w:i/>
          <w:iCs/>
          <w:lang w:val="fr-FR" w:eastAsia="fr-FR" w:bidi="fr-FR"/>
        </w:rPr>
        <w:t>e</w:t>
      </w:r>
      <w:r w:rsidRPr="007B7B96">
        <w:rPr>
          <w:i/>
          <w:iCs/>
          <w:lang w:val="fr-FR" w:eastAsia="fr-FR" w:bidi="fr-FR"/>
        </w:rPr>
        <w:t>cial Providence</w:t>
      </w:r>
      <w:r w:rsidRPr="007B7B96">
        <w:rPr>
          <w:i/>
          <w:iCs/>
        </w:rPr>
        <w:t> :</w:t>
      </w:r>
      <w:r w:rsidRPr="007B7B96">
        <w:rPr>
          <w:i/>
          <w:iCs/>
          <w:lang w:val="fr-FR" w:eastAsia="fr-FR" w:bidi="fr-FR"/>
        </w:rPr>
        <w:t xml:space="preserve"> American Foreign P</w:t>
      </w:r>
      <w:r w:rsidRPr="007B7B96">
        <w:rPr>
          <w:i/>
          <w:iCs/>
          <w:lang w:val="fr-FR" w:eastAsia="fr-FR" w:bidi="fr-FR"/>
        </w:rPr>
        <w:t>o</w:t>
      </w:r>
      <w:r w:rsidRPr="007B7B96">
        <w:rPr>
          <w:i/>
          <w:iCs/>
          <w:lang w:val="fr-FR" w:eastAsia="fr-FR" w:bidi="fr-FR"/>
        </w:rPr>
        <w:t>licy and How it Changed the World</w:t>
      </w:r>
      <w:r>
        <w:rPr>
          <w:lang w:val="fr-FR" w:eastAsia="fr-FR" w:bidi="fr-FR"/>
        </w:rPr>
        <w:t>,</w:t>
      </w:r>
      <w:r>
        <w:t xml:space="preserve"> New York, Alfred A. Knopf, 2001, 377 p.</w:t>
      </w:r>
    </w:p>
  </w:footnote>
  <w:footnote w:id="156">
    <w:p w14:paraId="5912B051" w14:textId="77777777" w:rsidR="0039793A" w:rsidRDefault="0039793A" w:rsidP="0039793A">
      <w:pPr>
        <w:pStyle w:val="Notedebasdepage"/>
      </w:pPr>
      <w:r>
        <w:rPr>
          <w:rStyle w:val="Appelnotedebasdep"/>
        </w:rPr>
        <w:footnoteRef/>
      </w:r>
      <w:r>
        <w:tab/>
      </w:r>
      <w:r>
        <w:rPr>
          <w:lang w:val="fr-FR" w:eastAsia="fr-FR" w:bidi="fr-FR"/>
        </w:rPr>
        <w:t>Le parti de Jefferson, dont le programme se veut surtout dém</w:t>
      </w:r>
      <w:r>
        <w:rPr>
          <w:lang w:val="fr-FR" w:eastAsia="fr-FR" w:bidi="fr-FR"/>
        </w:rPr>
        <w:t>o</w:t>
      </w:r>
      <w:r>
        <w:rPr>
          <w:lang w:val="fr-FR" w:eastAsia="fr-FR" w:bidi="fr-FR"/>
        </w:rPr>
        <w:t>cratique et préoccupé des droits humains, s’appelle d’abord républicain, puis républ</w:t>
      </w:r>
      <w:r>
        <w:rPr>
          <w:lang w:val="fr-FR" w:eastAsia="fr-FR" w:bidi="fr-FR"/>
        </w:rPr>
        <w:t>i</w:t>
      </w:r>
      <w:r>
        <w:rPr>
          <w:lang w:val="fr-FR" w:eastAsia="fr-FR" w:bidi="fr-FR"/>
        </w:rPr>
        <w:t>cain-démocrate. Ce même parti est transformé par Andrew Jackson, lor</w:t>
      </w:r>
      <w:r>
        <w:rPr>
          <w:lang w:val="fr-FR" w:eastAsia="fr-FR" w:bidi="fr-FR"/>
        </w:rPr>
        <w:t>s</w:t>
      </w:r>
      <w:r>
        <w:rPr>
          <w:lang w:val="fr-FR" w:eastAsia="fr-FR" w:bidi="fr-FR"/>
        </w:rPr>
        <w:t>qu’il prend la présidence (1829-1837) et devient le Parti démocrate qu’on connaît aujourd’hui.</w:t>
      </w:r>
    </w:p>
  </w:footnote>
  <w:footnote w:id="157">
    <w:p w14:paraId="3D02FF06" w14:textId="77777777" w:rsidR="0039793A" w:rsidRDefault="0039793A" w:rsidP="0039793A">
      <w:pPr>
        <w:pStyle w:val="Notedebasdepage"/>
      </w:pPr>
      <w:r>
        <w:rPr>
          <w:rStyle w:val="Appelnotedebasdep"/>
        </w:rPr>
        <w:footnoteRef/>
      </w:r>
      <w:r>
        <w:tab/>
      </w:r>
      <w:r>
        <w:rPr>
          <w:lang w:val="fr-FR" w:eastAsia="fr-FR" w:bidi="fr-FR"/>
        </w:rPr>
        <w:t xml:space="preserve">Selon les mots mêmes de Washington dans son </w:t>
      </w:r>
      <w:r>
        <w:t>« </w:t>
      </w:r>
      <w:r>
        <w:rPr>
          <w:lang w:val="fr-FR" w:eastAsia="fr-FR" w:bidi="fr-FR"/>
        </w:rPr>
        <w:t>Message d’adieu</w:t>
      </w:r>
      <w:r>
        <w:t> »</w:t>
      </w:r>
      <w:r>
        <w:rPr>
          <w:lang w:val="fr-FR" w:eastAsia="fr-FR" w:bidi="fr-FR"/>
        </w:rPr>
        <w:t xml:space="preserve">, </w:t>
      </w:r>
      <w:r w:rsidRPr="00945D43">
        <w:rPr>
          <w:i/>
          <w:iCs/>
        </w:rPr>
        <w:t>Les grands textes de l’histoire américaine</w:t>
      </w:r>
      <w:r>
        <w:rPr>
          <w:lang w:val="fr-FR" w:eastAsia="fr-FR" w:bidi="fr-FR"/>
        </w:rPr>
        <w:t>, réunis par Henry Steele Commager, Washington, Le service américain d’information, 1977, p. 29.</w:t>
      </w:r>
    </w:p>
  </w:footnote>
  <w:footnote w:id="158">
    <w:p w14:paraId="36FE5CBA" w14:textId="77777777" w:rsidR="0039793A" w:rsidRDefault="0039793A" w:rsidP="0039793A">
      <w:pPr>
        <w:pStyle w:val="Notedebasdepage"/>
      </w:pPr>
      <w:r>
        <w:rPr>
          <w:rStyle w:val="Appelnotedebasdep"/>
        </w:rPr>
        <w:footnoteRef/>
      </w:r>
      <w:r>
        <w:tab/>
      </w:r>
      <w:r>
        <w:rPr>
          <w:lang w:val="fr-FR" w:eastAsia="fr-FR" w:bidi="fr-FR"/>
        </w:rPr>
        <w:t xml:space="preserve">Hamilton </w:t>
      </w:r>
      <w:r>
        <w:t>« </w:t>
      </w:r>
      <w:r>
        <w:rPr>
          <w:lang w:val="fr-FR" w:eastAsia="fr-FR" w:bidi="fr-FR"/>
        </w:rPr>
        <w:t>a reçu une formation qui le tourne vers le modèle anglais qu’il admire par-dessus tout. Il est fasciné par la monarchie parlementaire mais il veut surtout imiter l’Angleterre qui s’est engagée dans la révolution indu</w:t>
      </w:r>
      <w:r>
        <w:rPr>
          <w:lang w:val="fr-FR" w:eastAsia="fr-FR" w:bidi="fr-FR"/>
        </w:rPr>
        <w:t>s</w:t>
      </w:r>
      <w:r>
        <w:rPr>
          <w:lang w:val="fr-FR" w:eastAsia="fr-FR" w:bidi="fr-FR"/>
        </w:rPr>
        <w:t>trielle.</w:t>
      </w:r>
      <w:r>
        <w:t> »</w:t>
      </w:r>
      <w:r>
        <w:rPr>
          <w:lang w:val="fr-FR" w:eastAsia="fr-FR" w:bidi="fr-FR"/>
        </w:rPr>
        <w:t xml:space="preserve"> Jean-Michel Lacroix, </w:t>
      </w:r>
      <w:r w:rsidRPr="00945D43">
        <w:rPr>
          <w:i/>
          <w:iCs/>
        </w:rPr>
        <w:t>Histoire des États-Unis</w:t>
      </w:r>
      <w:r>
        <w:t>,</w:t>
      </w:r>
      <w:r>
        <w:rPr>
          <w:lang w:val="fr-FR" w:eastAsia="fr-FR" w:bidi="fr-FR"/>
        </w:rPr>
        <w:t xml:space="preserve"> Paris, </w:t>
      </w:r>
      <w:r>
        <w:t xml:space="preserve">PUF, </w:t>
      </w:r>
      <w:r>
        <w:rPr>
          <w:lang w:val="fr-FR" w:eastAsia="fr-FR" w:bidi="fr-FR"/>
        </w:rPr>
        <w:t>1996, p. 128.</w:t>
      </w:r>
    </w:p>
  </w:footnote>
  <w:footnote w:id="159">
    <w:p w14:paraId="5738135A" w14:textId="77777777" w:rsidR="0039793A" w:rsidRDefault="0039793A" w:rsidP="0039793A">
      <w:pPr>
        <w:pStyle w:val="Notedebasdepage"/>
      </w:pPr>
      <w:r>
        <w:rPr>
          <w:rStyle w:val="Appelnotedebasdep"/>
        </w:rPr>
        <w:footnoteRef/>
      </w:r>
      <w:r>
        <w:tab/>
      </w:r>
      <w:r>
        <w:rPr>
          <w:lang w:val="fr-FR" w:eastAsia="fr-FR" w:bidi="fr-FR"/>
        </w:rPr>
        <w:t xml:space="preserve">Voir à ce sujet Burton Ira Kaufman, </w:t>
      </w:r>
      <w:r>
        <w:t>« </w:t>
      </w:r>
      <w:r>
        <w:rPr>
          <w:lang w:val="fr-FR" w:eastAsia="fr-FR" w:bidi="fr-FR"/>
        </w:rPr>
        <w:t>Washington’s Farewell A</w:t>
      </w:r>
      <w:r>
        <w:rPr>
          <w:lang w:val="fr-FR" w:eastAsia="fr-FR" w:bidi="fr-FR"/>
        </w:rPr>
        <w:t>d</w:t>
      </w:r>
      <w:r>
        <w:rPr>
          <w:lang w:val="fr-FR" w:eastAsia="fr-FR" w:bidi="fr-FR"/>
        </w:rPr>
        <w:t>dress, A Statement of Empire</w:t>
      </w:r>
      <w:r>
        <w:t> »</w:t>
      </w:r>
      <w:r>
        <w:rPr>
          <w:lang w:val="fr-FR" w:eastAsia="fr-FR" w:bidi="fr-FR"/>
        </w:rPr>
        <w:t xml:space="preserve">, dans Burton Ira Kaufman (ed.), </w:t>
      </w:r>
      <w:r w:rsidRPr="00945D43">
        <w:rPr>
          <w:i/>
          <w:iCs/>
        </w:rPr>
        <w:t>Washington’s Far</w:t>
      </w:r>
      <w:r w:rsidRPr="00945D43">
        <w:rPr>
          <w:i/>
          <w:iCs/>
        </w:rPr>
        <w:t>e</w:t>
      </w:r>
      <w:r w:rsidRPr="00945D43">
        <w:rPr>
          <w:i/>
          <w:iCs/>
        </w:rPr>
        <w:t>well Address : The View From the 20th Century</w:t>
      </w:r>
      <w:r>
        <w:t>,</w:t>
      </w:r>
      <w:r>
        <w:rPr>
          <w:lang w:val="fr-FR" w:eastAsia="fr-FR" w:bidi="fr-FR"/>
        </w:rPr>
        <w:t xml:space="preserve"> Ch</w:t>
      </w:r>
      <w:r>
        <w:rPr>
          <w:lang w:val="fr-FR" w:eastAsia="fr-FR" w:bidi="fr-FR"/>
        </w:rPr>
        <w:t>i</w:t>
      </w:r>
      <w:r>
        <w:rPr>
          <w:lang w:val="fr-FR" w:eastAsia="fr-FR" w:bidi="fr-FR"/>
        </w:rPr>
        <w:t>cago, Quadrangle Books, 1969, p. 169-184.</w:t>
      </w:r>
    </w:p>
  </w:footnote>
  <w:footnote w:id="160">
    <w:p w14:paraId="1D4B3DFD" w14:textId="77777777" w:rsidR="0039793A" w:rsidRDefault="0039793A" w:rsidP="0039793A">
      <w:pPr>
        <w:pStyle w:val="Notedebasdepage"/>
      </w:pPr>
      <w:r>
        <w:rPr>
          <w:rStyle w:val="Appelnotedebasdep"/>
        </w:rPr>
        <w:footnoteRef/>
      </w:r>
      <w:r>
        <w:tab/>
        <w:t>« </w:t>
      </w:r>
      <w:r>
        <w:rPr>
          <w:lang w:val="fr-FR" w:eastAsia="fr-FR" w:bidi="fr-FR"/>
        </w:rPr>
        <w:t>Au fond de lui-même, Hamilton méprisait les masses.</w:t>
      </w:r>
      <w:r>
        <w:t> »</w:t>
      </w:r>
      <w:r>
        <w:rPr>
          <w:lang w:val="fr-FR" w:eastAsia="fr-FR" w:bidi="fr-FR"/>
        </w:rPr>
        <w:t xml:space="preserve"> Robert Lacour-Gayet, </w:t>
      </w:r>
      <w:r w:rsidRPr="00945D43">
        <w:rPr>
          <w:i/>
          <w:iCs/>
        </w:rPr>
        <w:t>Histoire des États-Unis : des origines à la fin de la guerre civile</w:t>
      </w:r>
      <w:r>
        <w:rPr>
          <w:lang w:val="fr-FR" w:eastAsia="fr-FR" w:bidi="fr-FR"/>
        </w:rPr>
        <w:t>, P</w:t>
      </w:r>
      <w:r>
        <w:rPr>
          <w:lang w:val="fr-FR" w:eastAsia="fr-FR" w:bidi="fr-FR"/>
        </w:rPr>
        <w:t>a</w:t>
      </w:r>
      <w:r>
        <w:rPr>
          <w:lang w:val="fr-FR" w:eastAsia="fr-FR" w:bidi="fr-FR"/>
        </w:rPr>
        <w:t>ris, Fayard, 1976, p. 243.</w:t>
      </w:r>
    </w:p>
  </w:footnote>
  <w:footnote w:id="161">
    <w:p w14:paraId="6A95C1AA" w14:textId="77777777" w:rsidR="0039793A" w:rsidRDefault="0039793A" w:rsidP="0039793A">
      <w:pPr>
        <w:pStyle w:val="Notedebasdepage"/>
      </w:pPr>
      <w:r>
        <w:rPr>
          <w:rStyle w:val="Appelnotedebasdep"/>
        </w:rPr>
        <w:footnoteRef/>
      </w:r>
      <w:r>
        <w:tab/>
      </w:r>
      <w:r>
        <w:rPr>
          <w:lang w:val="fr-FR" w:eastAsia="fr-FR" w:bidi="fr-FR"/>
        </w:rPr>
        <w:t xml:space="preserve">Hamilton se réfère aux </w:t>
      </w:r>
      <w:r>
        <w:t>« </w:t>
      </w:r>
      <w:r>
        <w:rPr>
          <w:lang w:val="fr-FR" w:eastAsia="fr-FR" w:bidi="fr-FR"/>
        </w:rPr>
        <w:t>froids calculs de l’intérêt national</w:t>
      </w:r>
      <w:r>
        <w:t> »</w:t>
      </w:r>
      <w:r>
        <w:rPr>
          <w:lang w:val="fr-FR" w:eastAsia="fr-FR" w:bidi="fr-FR"/>
        </w:rPr>
        <w:t>. Cité par He</w:t>
      </w:r>
      <w:r>
        <w:rPr>
          <w:lang w:val="fr-FR" w:eastAsia="fr-FR" w:bidi="fr-FR"/>
        </w:rPr>
        <w:t>n</w:t>
      </w:r>
      <w:r>
        <w:rPr>
          <w:lang w:val="fr-FR" w:eastAsia="fr-FR" w:bidi="fr-FR"/>
        </w:rPr>
        <w:t xml:space="preserve">ry Kissinger, </w:t>
      </w:r>
      <w:r w:rsidRPr="00945D43">
        <w:rPr>
          <w:i/>
          <w:iCs/>
        </w:rPr>
        <w:t>Does America Need A Foreign Policy ? Toward a D</w:t>
      </w:r>
      <w:r w:rsidRPr="00945D43">
        <w:rPr>
          <w:i/>
          <w:iCs/>
        </w:rPr>
        <w:t>i</w:t>
      </w:r>
      <w:r w:rsidRPr="00945D43">
        <w:rPr>
          <w:i/>
          <w:iCs/>
        </w:rPr>
        <w:t>plomacy for the 21st Century</w:t>
      </w:r>
      <w:r>
        <w:rPr>
          <w:lang w:val="fr-FR" w:eastAsia="fr-FR" w:bidi="fr-FR"/>
        </w:rPr>
        <w:t>, New York, Simon &amp; Schuster, 2001, 318 p.</w:t>
      </w:r>
    </w:p>
  </w:footnote>
  <w:footnote w:id="162">
    <w:p w14:paraId="0E337DCA" w14:textId="77777777" w:rsidR="0039793A" w:rsidRDefault="0039793A" w:rsidP="0039793A">
      <w:pPr>
        <w:pStyle w:val="Notedebasdepage"/>
      </w:pPr>
      <w:r>
        <w:rPr>
          <w:rStyle w:val="Appelnotedebasdep"/>
        </w:rPr>
        <w:footnoteRef/>
      </w:r>
      <w:r>
        <w:tab/>
        <w:t>« </w:t>
      </w:r>
      <w:r>
        <w:rPr>
          <w:lang w:val="fr-FR" w:eastAsia="fr-FR" w:bidi="fr-FR"/>
        </w:rPr>
        <w:t>Jefferson était à ce point perturbé par les pouvoirs délégués au gouvern</w:t>
      </w:r>
      <w:r>
        <w:rPr>
          <w:lang w:val="fr-FR" w:eastAsia="fr-FR" w:bidi="fr-FR"/>
        </w:rPr>
        <w:t>e</w:t>
      </w:r>
      <w:r>
        <w:rPr>
          <w:lang w:val="fr-FR" w:eastAsia="fr-FR" w:bidi="fr-FR"/>
        </w:rPr>
        <w:t>ment central qu’il a eu peine à appuyer la ratification de la nouvelle Const</w:t>
      </w:r>
      <w:r>
        <w:rPr>
          <w:lang w:val="fr-FR" w:eastAsia="fr-FR" w:bidi="fr-FR"/>
        </w:rPr>
        <w:t>i</w:t>
      </w:r>
      <w:r>
        <w:rPr>
          <w:lang w:val="fr-FR" w:eastAsia="fr-FR" w:bidi="fr-FR"/>
        </w:rPr>
        <w:t xml:space="preserve">tution et qu’il a contribué à l’élaboration du </w:t>
      </w:r>
      <w:r w:rsidRPr="00945D43">
        <w:rPr>
          <w:i/>
          <w:iCs/>
        </w:rPr>
        <w:t>Bill of Rights</w:t>
      </w:r>
      <w:r>
        <w:rPr>
          <w:lang w:val="fr-FR" w:eastAsia="fr-FR" w:bidi="fr-FR"/>
        </w:rPr>
        <w:t xml:space="preserve"> en vue de limiter l’autorité fédér</w:t>
      </w:r>
      <w:r>
        <w:rPr>
          <w:lang w:val="fr-FR" w:eastAsia="fr-FR" w:bidi="fr-FR"/>
        </w:rPr>
        <w:t>a</w:t>
      </w:r>
      <w:r>
        <w:rPr>
          <w:lang w:val="fr-FR" w:eastAsia="fr-FR" w:bidi="fr-FR"/>
        </w:rPr>
        <w:t>le.</w:t>
      </w:r>
      <w:r>
        <w:t> »</w:t>
      </w:r>
      <w:r>
        <w:rPr>
          <w:lang w:val="fr-FR" w:eastAsia="fr-FR" w:bidi="fr-FR"/>
        </w:rPr>
        <w:t xml:space="preserve"> Walter Russell Mead, </w:t>
      </w:r>
      <w:r w:rsidRPr="00945D43">
        <w:rPr>
          <w:i/>
          <w:iCs/>
        </w:rPr>
        <w:t>op. cit</w:t>
      </w:r>
      <w:r>
        <w:t>.,</w:t>
      </w:r>
      <w:r>
        <w:rPr>
          <w:lang w:val="fr-FR" w:eastAsia="fr-FR" w:bidi="fr-FR"/>
        </w:rPr>
        <w:t xml:space="preserve"> p. 177.</w:t>
      </w:r>
    </w:p>
  </w:footnote>
  <w:footnote w:id="163">
    <w:p w14:paraId="686D587E" w14:textId="77777777" w:rsidR="0039793A" w:rsidRDefault="0039793A" w:rsidP="0039793A">
      <w:pPr>
        <w:pStyle w:val="Notedebasdepage"/>
      </w:pPr>
      <w:r>
        <w:rPr>
          <w:rStyle w:val="Appelnotedebasdep"/>
        </w:rPr>
        <w:footnoteRef/>
      </w:r>
      <w:r>
        <w:tab/>
        <w:t>« </w:t>
      </w:r>
      <w:r>
        <w:rPr>
          <w:lang w:val="fr-FR" w:eastAsia="fr-FR" w:bidi="fr-FR"/>
        </w:rPr>
        <w:t>Inspiré par Horace et par Rousseau, Jefferson rêve d’une Arcadie amér</w:t>
      </w:r>
      <w:r>
        <w:rPr>
          <w:lang w:val="fr-FR" w:eastAsia="fr-FR" w:bidi="fr-FR"/>
        </w:rPr>
        <w:t>i</w:t>
      </w:r>
      <w:r>
        <w:rPr>
          <w:lang w:val="fr-FR" w:eastAsia="fr-FR" w:bidi="fr-FR"/>
        </w:rPr>
        <w:t>caine, d’une société agraire (agrarienne) où seront préservés les libertés i</w:t>
      </w:r>
      <w:r>
        <w:rPr>
          <w:lang w:val="fr-FR" w:eastAsia="fr-FR" w:bidi="fr-FR"/>
        </w:rPr>
        <w:t>n</w:t>
      </w:r>
      <w:r>
        <w:rPr>
          <w:lang w:val="fr-FR" w:eastAsia="fr-FR" w:bidi="fr-FR"/>
        </w:rPr>
        <w:t>dividuelles et les droits des États.</w:t>
      </w:r>
      <w:r>
        <w:t> »</w:t>
      </w:r>
      <w:r>
        <w:rPr>
          <w:lang w:val="fr-FR" w:eastAsia="fr-FR" w:bidi="fr-FR"/>
        </w:rPr>
        <w:t xml:space="preserve"> Jean-Michel L</w:t>
      </w:r>
      <w:r>
        <w:rPr>
          <w:lang w:val="fr-FR" w:eastAsia="fr-FR" w:bidi="fr-FR"/>
        </w:rPr>
        <w:t>a</w:t>
      </w:r>
      <w:r>
        <w:rPr>
          <w:lang w:val="fr-FR" w:eastAsia="fr-FR" w:bidi="fr-FR"/>
        </w:rPr>
        <w:t xml:space="preserve">croix, </w:t>
      </w:r>
      <w:r w:rsidRPr="00945D43">
        <w:rPr>
          <w:i/>
          <w:iCs/>
        </w:rPr>
        <w:t>op. cit</w:t>
      </w:r>
      <w:r>
        <w:t>.,</w:t>
      </w:r>
      <w:r>
        <w:rPr>
          <w:lang w:val="fr-FR" w:eastAsia="fr-FR" w:bidi="fr-FR"/>
        </w:rPr>
        <w:t xml:space="preserve"> p. 124.</w:t>
      </w:r>
    </w:p>
  </w:footnote>
  <w:footnote w:id="164">
    <w:p w14:paraId="45E8B6C2" w14:textId="77777777" w:rsidR="0039793A" w:rsidRDefault="0039793A" w:rsidP="0039793A">
      <w:pPr>
        <w:pStyle w:val="Notedebasdepage"/>
      </w:pPr>
      <w:r>
        <w:rPr>
          <w:rStyle w:val="Appelnotedebasdep"/>
        </w:rPr>
        <w:footnoteRef/>
      </w:r>
      <w:r>
        <w:tab/>
      </w:r>
      <w:r>
        <w:rPr>
          <w:lang w:val="fr-FR" w:eastAsia="fr-FR" w:bidi="fr-FR"/>
        </w:rPr>
        <w:t>Rousseau craignait que les vertus du contrat social soient contaminées par les relations intern</w:t>
      </w:r>
      <w:r>
        <w:rPr>
          <w:lang w:val="fr-FR" w:eastAsia="fr-FR" w:bidi="fr-FR"/>
        </w:rPr>
        <w:t>a</w:t>
      </w:r>
      <w:r>
        <w:rPr>
          <w:lang w:val="fr-FR" w:eastAsia="fr-FR" w:bidi="fr-FR"/>
        </w:rPr>
        <w:t>tionales. Il recommandait en conséquence une politique étrangère très prudente, sinon isolationni</w:t>
      </w:r>
      <w:r>
        <w:rPr>
          <w:lang w:val="fr-FR" w:eastAsia="fr-FR" w:bidi="fr-FR"/>
        </w:rPr>
        <w:t>s</w:t>
      </w:r>
      <w:r>
        <w:rPr>
          <w:lang w:val="fr-FR" w:eastAsia="fr-FR" w:bidi="fr-FR"/>
        </w:rPr>
        <w:t xml:space="preserve">te. </w:t>
      </w:r>
      <w:r>
        <w:t>« </w:t>
      </w:r>
      <w:r>
        <w:rPr>
          <w:lang w:val="fr-FR" w:eastAsia="fr-FR" w:bidi="fr-FR"/>
        </w:rPr>
        <w:t>Rousseau nous signale... que les relations entre les nations gén</w:t>
      </w:r>
      <w:r>
        <w:rPr>
          <w:lang w:val="fr-FR" w:eastAsia="fr-FR" w:bidi="fr-FR"/>
        </w:rPr>
        <w:t>è</w:t>
      </w:r>
      <w:r>
        <w:rPr>
          <w:lang w:val="fr-FR" w:eastAsia="fr-FR" w:bidi="fr-FR"/>
        </w:rPr>
        <w:t>rent d’elles-mêmes le conflit</w:t>
      </w:r>
      <w:r>
        <w:t> ;</w:t>
      </w:r>
      <w:r>
        <w:rPr>
          <w:lang w:val="fr-FR" w:eastAsia="fr-FR" w:bidi="fr-FR"/>
        </w:rPr>
        <w:t xml:space="preserve"> que s’il n’est pas possible de mettre fin à ces rel</w:t>
      </w:r>
      <w:r>
        <w:rPr>
          <w:lang w:val="fr-FR" w:eastAsia="fr-FR" w:bidi="fr-FR"/>
        </w:rPr>
        <w:t>a</w:t>
      </w:r>
      <w:r>
        <w:rPr>
          <w:lang w:val="fr-FR" w:eastAsia="fr-FR" w:bidi="fr-FR"/>
        </w:rPr>
        <w:t>tions, les seuls remèdes disponibles sont des mesures fragiles et mitigées.</w:t>
      </w:r>
      <w:r>
        <w:t> »</w:t>
      </w:r>
      <w:r>
        <w:rPr>
          <w:lang w:val="fr-FR" w:eastAsia="fr-FR" w:bidi="fr-FR"/>
        </w:rPr>
        <w:t xml:space="preserve"> Stanley Hoffmann, </w:t>
      </w:r>
      <w:r w:rsidRPr="00945D43">
        <w:rPr>
          <w:i/>
          <w:iCs/>
        </w:rPr>
        <w:t>Janus and M</w:t>
      </w:r>
      <w:r w:rsidRPr="00945D43">
        <w:rPr>
          <w:i/>
          <w:iCs/>
        </w:rPr>
        <w:t>i</w:t>
      </w:r>
      <w:r w:rsidRPr="00945D43">
        <w:rPr>
          <w:i/>
          <w:iCs/>
        </w:rPr>
        <w:t>nerva : Essays in the Theory and Practice of International Politics</w:t>
      </w:r>
      <w:r>
        <w:rPr>
          <w:lang w:val="fr-FR" w:eastAsia="fr-FR" w:bidi="fr-FR"/>
        </w:rPr>
        <w:t>, Boulder (Col.) et Lo</w:t>
      </w:r>
      <w:r>
        <w:rPr>
          <w:lang w:val="fr-FR" w:eastAsia="fr-FR" w:bidi="fr-FR"/>
        </w:rPr>
        <w:t>n</w:t>
      </w:r>
      <w:r>
        <w:rPr>
          <w:lang w:val="fr-FR" w:eastAsia="fr-FR" w:bidi="fr-FR"/>
        </w:rPr>
        <w:t>dres, Westview Press, 1987, p. 47.</w:t>
      </w:r>
    </w:p>
  </w:footnote>
  <w:footnote w:id="165">
    <w:p w14:paraId="0BB81A47" w14:textId="77777777" w:rsidR="0039793A" w:rsidRDefault="0039793A" w:rsidP="0039793A">
      <w:pPr>
        <w:pStyle w:val="Notedebasdepage"/>
      </w:pPr>
      <w:r>
        <w:rPr>
          <w:rStyle w:val="Appelnotedebasdep"/>
        </w:rPr>
        <w:footnoteRef/>
      </w:r>
      <w:r>
        <w:tab/>
      </w:r>
      <w:r>
        <w:rPr>
          <w:lang w:val="fr-FR" w:eastAsia="fr-FR" w:bidi="fr-FR"/>
        </w:rPr>
        <w:t>Jefferson écrivait</w:t>
      </w:r>
      <w:r>
        <w:t> :</w:t>
      </w:r>
      <w:r>
        <w:rPr>
          <w:lang w:val="fr-FR" w:eastAsia="fr-FR" w:bidi="fr-FR"/>
        </w:rPr>
        <w:t xml:space="preserve"> </w:t>
      </w:r>
      <w:r>
        <w:t>« </w:t>
      </w:r>
      <w:r>
        <w:rPr>
          <w:lang w:val="fr-FR" w:eastAsia="fr-FR" w:bidi="fr-FR"/>
        </w:rPr>
        <w:t>Nous devons prier tout particulièrement pour que les puissances de l’Europe demeurent tellement équilibrées que leur propre s</w:t>
      </w:r>
      <w:r>
        <w:rPr>
          <w:lang w:val="fr-FR" w:eastAsia="fr-FR" w:bidi="fr-FR"/>
        </w:rPr>
        <w:t>é</w:t>
      </w:r>
      <w:r>
        <w:rPr>
          <w:lang w:val="fr-FR" w:eastAsia="fr-FR" w:bidi="fr-FR"/>
        </w:rPr>
        <w:t>curité requière la présence de toutes leurs forces chez elles, laissant par là les autres parties du monde jouir d’une tranquillité sans faille.</w:t>
      </w:r>
      <w:r>
        <w:t> »</w:t>
      </w:r>
      <w:r>
        <w:rPr>
          <w:lang w:val="fr-FR" w:eastAsia="fr-FR" w:bidi="fr-FR"/>
        </w:rPr>
        <w:t xml:space="preserve"> A</w:t>
      </w:r>
      <w:r>
        <w:rPr>
          <w:lang w:val="fr-FR" w:eastAsia="fr-FR" w:bidi="fr-FR"/>
        </w:rPr>
        <w:t>n</w:t>
      </w:r>
      <w:r>
        <w:rPr>
          <w:lang w:val="fr-FR" w:eastAsia="fr-FR" w:bidi="fr-FR"/>
        </w:rPr>
        <w:t xml:space="preserve">drew A. Lipscomb et Albert Ellery Bergh (eds), </w:t>
      </w:r>
      <w:r w:rsidRPr="00945D43">
        <w:rPr>
          <w:i/>
          <w:iCs/>
        </w:rPr>
        <w:t>The Writings of Thomas Jefferson</w:t>
      </w:r>
      <w:r>
        <w:rPr>
          <w:lang w:val="fr-FR" w:eastAsia="fr-FR" w:bidi="fr-FR"/>
        </w:rPr>
        <w:t xml:space="preserve">, Washington </w:t>
      </w:r>
      <w:r>
        <w:t xml:space="preserve">DC, </w:t>
      </w:r>
      <w:r>
        <w:rPr>
          <w:lang w:val="fr-FR" w:eastAsia="fr-FR" w:bidi="fr-FR"/>
        </w:rPr>
        <w:t>The Th</w:t>
      </w:r>
      <w:r>
        <w:rPr>
          <w:lang w:val="fr-FR" w:eastAsia="fr-FR" w:bidi="fr-FR"/>
        </w:rPr>
        <w:t>o</w:t>
      </w:r>
      <w:r>
        <w:rPr>
          <w:lang w:val="fr-FR" w:eastAsia="fr-FR" w:bidi="fr-FR"/>
        </w:rPr>
        <w:t>mas Jefferson Memorial Association, vol. 15, 1903-1904, p. 435-436.</w:t>
      </w:r>
    </w:p>
  </w:footnote>
  <w:footnote w:id="166">
    <w:p w14:paraId="30D4DB8D" w14:textId="77777777" w:rsidR="0039793A" w:rsidRDefault="0039793A" w:rsidP="0039793A">
      <w:pPr>
        <w:pStyle w:val="Notedebasdepage"/>
      </w:pPr>
      <w:r>
        <w:rPr>
          <w:rStyle w:val="Appelnotedebasdep"/>
        </w:rPr>
        <w:footnoteRef/>
      </w:r>
      <w:r>
        <w:tab/>
      </w:r>
      <w:r>
        <w:rPr>
          <w:lang w:val="fr-FR" w:eastAsia="fr-FR" w:bidi="fr-FR"/>
        </w:rPr>
        <w:t xml:space="preserve">James Monroe, </w:t>
      </w:r>
      <w:r>
        <w:t>« </w:t>
      </w:r>
      <w:r>
        <w:rPr>
          <w:lang w:val="fr-FR" w:eastAsia="fr-FR" w:bidi="fr-FR"/>
        </w:rPr>
        <w:t>Seventh Annual Message</w:t>
      </w:r>
      <w:r>
        <w:t> »</w:t>
      </w:r>
      <w:r>
        <w:rPr>
          <w:lang w:val="fr-FR" w:eastAsia="fr-FR" w:bidi="fr-FR"/>
        </w:rPr>
        <w:t>, December 2, 1823, dans St</w:t>
      </w:r>
      <w:r>
        <w:rPr>
          <w:lang w:val="fr-FR" w:eastAsia="fr-FR" w:bidi="fr-FR"/>
        </w:rPr>
        <w:t>a</w:t>
      </w:r>
      <w:r>
        <w:rPr>
          <w:lang w:val="fr-FR" w:eastAsia="fr-FR" w:bidi="fr-FR"/>
        </w:rPr>
        <w:t xml:space="preserve">nislaus Murray Hamilton (ed.), </w:t>
      </w:r>
      <w:r w:rsidRPr="00A22915">
        <w:rPr>
          <w:i/>
          <w:iCs/>
        </w:rPr>
        <w:t>The Writings of James Monroe</w:t>
      </w:r>
      <w:r>
        <w:t>,</w:t>
      </w:r>
      <w:r>
        <w:rPr>
          <w:lang w:val="fr-FR" w:eastAsia="fr-FR" w:bidi="fr-FR"/>
        </w:rPr>
        <w:t xml:space="preserve"> New York, G.P. Putman, vol. 6, 1912, p. 325-342. Il s’agit d’un message que le prés</w:t>
      </w:r>
      <w:r>
        <w:rPr>
          <w:lang w:val="fr-FR" w:eastAsia="fr-FR" w:bidi="fr-FR"/>
        </w:rPr>
        <w:t>i</w:t>
      </w:r>
      <w:r>
        <w:rPr>
          <w:lang w:val="fr-FR" w:eastAsia="fr-FR" w:bidi="fr-FR"/>
        </w:rPr>
        <w:t>dent Monroe adresse indirectement aux puissances européennes, pour les enjoindre de ne pas s’immiscer dans les affaires du continent américain tout en les assurant de la volonté américaine de demeurer éloignée de la politique européenne.</w:t>
      </w:r>
    </w:p>
  </w:footnote>
  <w:footnote w:id="167">
    <w:p w14:paraId="70F78E2E" w14:textId="77777777" w:rsidR="0039793A" w:rsidRDefault="0039793A" w:rsidP="0039793A">
      <w:pPr>
        <w:pStyle w:val="Notedebasdepage"/>
      </w:pPr>
      <w:r>
        <w:rPr>
          <w:rStyle w:val="Appelnotedebasdep"/>
        </w:rPr>
        <w:footnoteRef/>
      </w:r>
      <w:r>
        <w:tab/>
      </w:r>
      <w:r>
        <w:rPr>
          <w:lang w:val="fr-FR" w:eastAsia="fr-FR" w:bidi="fr-FR"/>
        </w:rPr>
        <w:t>Il s’agit du mouvement d’expansion amorcé à l’époque de A</w:t>
      </w:r>
      <w:r>
        <w:rPr>
          <w:lang w:val="fr-FR" w:eastAsia="fr-FR" w:bidi="fr-FR"/>
        </w:rPr>
        <w:t>n</w:t>
      </w:r>
      <w:r>
        <w:rPr>
          <w:lang w:val="fr-FR" w:eastAsia="fr-FR" w:bidi="fr-FR"/>
        </w:rPr>
        <w:t>drew Jackson, d’abord vers les territoires de l’ancienne Louisiane française (Midwest a</w:t>
      </w:r>
      <w:r>
        <w:rPr>
          <w:lang w:val="fr-FR" w:eastAsia="fr-FR" w:bidi="fr-FR"/>
        </w:rPr>
        <w:t>u</w:t>
      </w:r>
      <w:r>
        <w:rPr>
          <w:lang w:val="fr-FR" w:eastAsia="fr-FR" w:bidi="fr-FR"/>
        </w:rPr>
        <w:t>jourd’hui) puis vers l’ouest et les territoires conquis à la suite de la guerre avec le Mexique (1846-1848) de même que ceux du nord-ouest o</w:t>
      </w:r>
      <w:r>
        <w:rPr>
          <w:lang w:val="fr-FR" w:eastAsia="fr-FR" w:bidi="fr-FR"/>
        </w:rPr>
        <w:t>b</w:t>
      </w:r>
      <w:r>
        <w:rPr>
          <w:lang w:val="fr-FR" w:eastAsia="fr-FR" w:bidi="fr-FR"/>
        </w:rPr>
        <w:t>tenus de la Grande- Bretagne.</w:t>
      </w:r>
    </w:p>
  </w:footnote>
  <w:footnote w:id="168">
    <w:p w14:paraId="6416725F" w14:textId="77777777" w:rsidR="0039793A" w:rsidRDefault="0039793A" w:rsidP="0039793A">
      <w:pPr>
        <w:pStyle w:val="Notedebasdepage"/>
      </w:pPr>
      <w:r>
        <w:rPr>
          <w:rStyle w:val="Appelnotedebasdep"/>
        </w:rPr>
        <w:footnoteRef/>
      </w:r>
      <w:r>
        <w:tab/>
      </w:r>
      <w:r>
        <w:rPr>
          <w:lang w:val="fr-FR" w:eastAsia="fr-FR" w:bidi="fr-FR"/>
        </w:rPr>
        <w:t>C’est-à-dire le territoire aujourd’hui constitué par les 48 États contigus, en excluant l’Alaska et Hawaï.</w:t>
      </w:r>
    </w:p>
  </w:footnote>
  <w:footnote w:id="169">
    <w:p w14:paraId="4C2E837F" w14:textId="77777777" w:rsidR="0039793A" w:rsidRDefault="0039793A" w:rsidP="0039793A">
      <w:pPr>
        <w:pStyle w:val="Notedebasdepage"/>
      </w:pPr>
      <w:r>
        <w:rPr>
          <w:rStyle w:val="Appelnotedebasdep"/>
        </w:rPr>
        <w:footnoteRef/>
      </w:r>
      <w:r>
        <w:tab/>
        <w:t>« </w:t>
      </w:r>
      <w:r>
        <w:rPr>
          <w:lang w:val="fr-FR" w:eastAsia="fr-FR" w:bidi="fr-FR"/>
        </w:rPr>
        <w:t>L’impérialisme naissant relève moins d’un projet économique que de fa</w:t>
      </w:r>
      <w:r>
        <w:rPr>
          <w:lang w:val="fr-FR" w:eastAsia="fr-FR" w:bidi="fr-FR"/>
        </w:rPr>
        <w:t>c</w:t>
      </w:r>
      <w:r>
        <w:rPr>
          <w:lang w:val="fr-FR" w:eastAsia="fr-FR" w:bidi="fr-FR"/>
        </w:rPr>
        <w:t>teurs idéologiques mêlant diverses composantes. On y r</w:t>
      </w:r>
      <w:r>
        <w:rPr>
          <w:lang w:val="fr-FR" w:eastAsia="fr-FR" w:bidi="fr-FR"/>
        </w:rPr>
        <w:t>e</w:t>
      </w:r>
      <w:r>
        <w:rPr>
          <w:lang w:val="fr-FR" w:eastAsia="fr-FR" w:bidi="fr-FR"/>
        </w:rPr>
        <w:t>trouve les thèses racistes dérivées de la pensée de Darwin proclamant la supériorité de la race anglo-saxonne, le courant messianique chr</w:t>
      </w:r>
      <w:r>
        <w:rPr>
          <w:lang w:val="fr-FR" w:eastAsia="fr-FR" w:bidi="fr-FR"/>
        </w:rPr>
        <w:t>é</w:t>
      </w:r>
      <w:r>
        <w:rPr>
          <w:lang w:val="fr-FR" w:eastAsia="fr-FR" w:bidi="fr-FR"/>
        </w:rPr>
        <w:t>tien représenté par J.H. Barrows ou par le missionnaire congrégationaliste Josiah Strong et les visées strat</w:t>
      </w:r>
      <w:r>
        <w:rPr>
          <w:lang w:val="fr-FR" w:eastAsia="fr-FR" w:bidi="fr-FR"/>
        </w:rPr>
        <w:t>é</w:t>
      </w:r>
      <w:r>
        <w:rPr>
          <w:lang w:val="fr-FR" w:eastAsia="fr-FR" w:bidi="fr-FR"/>
        </w:rPr>
        <w:t>giques formulées par Alfred T. Mahan dans sa thèse de la supériorité navale [...]. Toutes ces idées sont relayées dans les cercles dirigeants.</w:t>
      </w:r>
      <w:r>
        <w:t> »</w:t>
      </w:r>
      <w:r>
        <w:rPr>
          <w:lang w:val="fr-FR" w:eastAsia="fr-FR" w:bidi="fr-FR"/>
        </w:rPr>
        <w:t xml:space="preserve"> Jean-Michel Lacroix, </w:t>
      </w:r>
      <w:r w:rsidRPr="00A22915">
        <w:rPr>
          <w:i/>
          <w:iCs/>
        </w:rPr>
        <w:t>op. cit</w:t>
      </w:r>
      <w:r>
        <w:t>.,</w:t>
      </w:r>
      <w:r>
        <w:rPr>
          <w:lang w:val="fr-FR" w:eastAsia="fr-FR" w:bidi="fr-FR"/>
        </w:rPr>
        <w:t xml:space="preserve"> p. 339.</w:t>
      </w:r>
    </w:p>
  </w:footnote>
  <w:footnote w:id="170">
    <w:p w14:paraId="2F7788F0" w14:textId="77777777" w:rsidR="0039793A" w:rsidRDefault="0039793A" w:rsidP="0039793A">
      <w:pPr>
        <w:pStyle w:val="Notedebasdepage"/>
      </w:pPr>
      <w:r>
        <w:rPr>
          <w:rStyle w:val="Appelnotedebasdep"/>
        </w:rPr>
        <w:footnoteRef/>
      </w:r>
      <w:r>
        <w:tab/>
      </w:r>
      <w:r w:rsidRPr="00F96C0E">
        <w:rPr>
          <w:color w:val="auto"/>
          <w:lang w:val="fr-FR" w:eastAsia="fr-FR" w:bidi="fr-FR"/>
        </w:rPr>
        <w:t>Walter Russell Mead souligne que cette école est la plus décriée à l’étranger comme aux États-Unis. Il ajoute cependant quelle constitue un élément i</w:t>
      </w:r>
      <w:r w:rsidRPr="00F96C0E">
        <w:rPr>
          <w:color w:val="auto"/>
          <w:lang w:val="fr-FR" w:eastAsia="fr-FR" w:bidi="fr-FR"/>
        </w:rPr>
        <w:t>n</w:t>
      </w:r>
      <w:r w:rsidRPr="00F96C0E">
        <w:rPr>
          <w:color w:val="auto"/>
          <w:lang w:val="fr-FR" w:eastAsia="fr-FR" w:bidi="fr-FR"/>
        </w:rPr>
        <w:t xml:space="preserve">dispensable du pouvoir politique et qu’en ce sens, elle a participé à l’érection des États-Unis en tant que superpuissance. </w:t>
      </w:r>
      <w:r w:rsidRPr="00F96C0E">
        <w:rPr>
          <w:i/>
          <w:color w:val="auto"/>
        </w:rPr>
        <w:t>Op. cit</w:t>
      </w:r>
      <w:r w:rsidRPr="00F96C0E">
        <w:rPr>
          <w:color w:val="auto"/>
        </w:rPr>
        <w:t>.,</w:t>
      </w:r>
      <w:r w:rsidRPr="00F96C0E">
        <w:rPr>
          <w:color w:val="auto"/>
          <w:lang w:val="fr-FR" w:eastAsia="fr-FR" w:bidi="fr-FR"/>
        </w:rPr>
        <w:t xml:space="preserve"> p. 260.</w:t>
      </w:r>
    </w:p>
  </w:footnote>
  <w:footnote w:id="171">
    <w:p w14:paraId="17CD24F3" w14:textId="77777777" w:rsidR="0039793A" w:rsidRDefault="0039793A">
      <w:pPr>
        <w:pStyle w:val="Notedebasdepage"/>
      </w:pPr>
      <w:r>
        <w:rPr>
          <w:rStyle w:val="Appelnotedebasdep"/>
        </w:rPr>
        <w:footnoteRef/>
      </w:r>
      <w:r>
        <w:tab/>
      </w:r>
      <w:r w:rsidRPr="00D23602">
        <w:t xml:space="preserve">13 décembre 1940, John M. Blum et al., </w:t>
      </w:r>
      <w:r w:rsidRPr="00B925BC">
        <w:rPr>
          <w:i/>
          <w:iCs/>
        </w:rPr>
        <w:t>The National Experience : A Hist</w:t>
      </w:r>
      <w:r w:rsidRPr="00B925BC">
        <w:rPr>
          <w:i/>
          <w:iCs/>
        </w:rPr>
        <w:t>o</w:t>
      </w:r>
      <w:r w:rsidRPr="00B925BC">
        <w:rPr>
          <w:i/>
          <w:iCs/>
        </w:rPr>
        <w:t>ry of the United States</w:t>
      </w:r>
      <w:r w:rsidRPr="00D23602">
        <w:t>, New York, Harcourt, Brace &amp; World, 1963, p. 699</w:t>
      </w:r>
      <w:r>
        <w:t>.</w:t>
      </w:r>
    </w:p>
  </w:footnote>
  <w:footnote w:id="172">
    <w:p w14:paraId="340F35E0" w14:textId="77777777" w:rsidR="0039793A" w:rsidRDefault="0039793A" w:rsidP="0039793A">
      <w:pPr>
        <w:pStyle w:val="Notedebasdepage"/>
      </w:pPr>
      <w:r>
        <w:rPr>
          <w:rStyle w:val="Appelnotedebasdep"/>
        </w:rPr>
        <w:footnoteRef/>
      </w:r>
      <w:r>
        <w:tab/>
      </w:r>
      <w:r w:rsidRPr="00D23602">
        <w:t>Walter Russell Mead souligne que cette école est la plus décriée à l’étranger comme aux États-Unis. Il ajoute cependant quelle constitue un élément i</w:t>
      </w:r>
      <w:r w:rsidRPr="00D23602">
        <w:t>n</w:t>
      </w:r>
      <w:r w:rsidRPr="00D23602">
        <w:t xml:space="preserve">dispensable du pouvoir politique et qu’en ce sens, elle a participé à l’érection des États-Unis en tant que superpuissance. </w:t>
      </w:r>
      <w:r w:rsidRPr="00B925BC">
        <w:rPr>
          <w:i/>
          <w:iCs/>
        </w:rPr>
        <w:t>Op. cit</w:t>
      </w:r>
      <w:r w:rsidRPr="00D23602">
        <w:t>., p. 260.</w:t>
      </w:r>
    </w:p>
  </w:footnote>
  <w:footnote w:id="173">
    <w:p w14:paraId="4692A3AC" w14:textId="77777777" w:rsidR="0039793A" w:rsidRDefault="0039793A" w:rsidP="0039793A">
      <w:pPr>
        <w:pStyle w:val="Notedebasdepage"/>
      </w:pPr>
      <w:r>
        <w:rPr>
          <w:rStyle w:val="Appelnotedebasdep"/>
        </w:rPr>
        <w:footnoteRef/>
      </w:r>
      <w:r>
        <w:tab/>
      </w:r>
      <w:r w:rsidRPr="00F96C0E">
        <w:rPr>
          <w:rStyle w:val="Notedebasdepage2NonItalique"/>
          <w:sz w:val="24"/>
        </w:rPr>
        <w:t>Voir Pierre Melandri et Justin Vaïsse,</w:t>
      </w:r>
      <w:r w:rsidRPr="00F96C0E">
        <w:rPr>
          <w:rStyle w:val="Notedebasdepage2NonItalique"/>
          <w:i/>
          <w:iCs/>
          <w:sz w:val="24"/>
        </w:rPr>
        <w:t xml:space="preserve"> </w:t>
      </w:r>
      <w:r w:rsidRPr="00F96C0E">
        <w:rPr>
          <w:i/>
          <w:iCs/>
          <w:lang w:eastAsia="fr-FR" w:bidi="fr-FR"/>
        </w:rPr>
        <w:t>L'emp</w:t>
      </w:r>
      <w:r w:rsidRPr="00F96C0E">
        <w:rPr>
          <w:i/>
          <w:iCs/>
          <w:lang w:eastAsia="fr-FR" w:bidi="fr-FR"/>
        </w:rPr>
        <w:t>i</w:t>
      </w:r>
      <w:r w:rsidRPr="00F96C0E">
        <w:rPr>
          <w:i/>
          <w:iCs/>
          <w:lang w:eastAsia="fr-FR" w:bidi="fr-FR"/>
        </w:rPr>
        <w:t>re du milieu</w:t>
      </w:r>
      <w:r w:rsidRPr="00F96C0E">
        <w:rPr>
          <w:i/>
          <w:iCs/>
        </w:rPr>
        <w:t> :</w:t>
      </w:r>
      <w:r w:rsidRPr="00F96C0E">
        <w:rPr>
          <w:i/>
          <w:iCs/>
          <w:lang w:eastAsia="fr-FR" w:bidi="fr-FR"/>
        </w:rPr>
        <w:t xml:space="preserve"> Les États-Unis et le monde depuis la fin de la guerre froide</w:t>
      </w:r>
      <w:r w:rsidRPr="00F96C0E">
        <w:rPr>
          <w:lang w:eastAsia="fr-FR" w:bidi="fr-FR"/>
        </w:rPr>
        <w:t>,</w:t>
      </w:r>
      <w:r w:rsidRPr="00F96C0E">
        <w:rPr>
          <w:rStyle w:val="Notedebasdepage2NonItalique"/>
          <w:i/>
          <w:iCs/>
          <w:sz w:val="24"/>
        </w:rPr>
        <w:t xml:space="preserve"> </w:t>
      </w:r>
      <w:r w:rsidRPr="00F96C0E">
        <w:rPr>
          <w:rStyle w:val="Notedebasdepage2NonItalique"/>
          <w:sz w:val="24"/>
        </w:rPr>
        <w:t>Paris, Odile Jacob, 2001, p. 346-355.</w:t>
      </w:r>
    </w:p>
  </w:footnote>
  <w:footnote w:id="174">
    <w:p w14:paraId="029DDA66" w14:textId="77777777" w:rsidR="0039793A" w:rsidRDefault="0039793A">
      <w:pPr>
        <w:pStyle w:val="Notedebasdepage"/>
      </w:pPr>
      <w:r>
        <w:rPr>
          <w:rStyle w:val="Appelnotedebasdep"/>
        </w:rPr>
        <w:footnoteRef/>
      </w:r>
      <w:r>
        <w:tab/>
      </w:r>
      <w:r w:rsidRPr="000563E3">
        <w:rPr>
          <w:lang w:val="fr-FR" w:eastAsia="fr-FR" w:bidi="fr-FR"/>
        </w:rPr>
        <w:t>L’expression, dont Jacqueline Grapin a fait le titre d’un ouvrage, représente l’invincibilité de l’Amérique.</w:t>
      </w:r>
    </w:p>
  </w:footnote>
  <w:footnote w:id="175">
    <w:p w14:paraId="7CD03785" w14:textId="77777777" w:rsidR="0039793A" w:rsidRDefault="0039793A" w:rsidP="0039793A">
      <w:pPr>
        <w:pStyle w:val="Notedebasdepage"/>
      </w:pPr>
      <w:r>
        <w:rPr>
          <w:rStyle w:val="Appelnotedebasdep"/>
        </w:rPr>
        <w:footnoteRef/>
      </w:r>
      <w:r>
        <w:tab/>
      </w:r>
      <w:r w:rsidRPr="000563E3">
        <w:rPr>
          <w:lang w:val="fr-FR" w:eastAsia="fr-FR" w:bidi="fr-FR"/>
        </w:rPr>
        <w:t xml:space="preserve">Le mot </w:t>
      </w:r>
      <w:r w:rsidRPr="000563E3">
        <w:t>« </w:t>
      </w:r>
      <w:r w:rsidRPr="000563E3">
        <w:rPr>
          <w:lang w:val="fr-FR" w:eastAsia="fr-FR" w:bidi="fr-FR"/>
        </w:rPr>
        <w:t>libéral</w:t>
      </w:r>
      <w:r w:rsidRPr="000563E3">
        <w:t> »</w:t>
      </w:r>
      <w:r w:rsidRPr="000563E3">
        <w:rPr>
          <w:lang w:val="fr-FR" w:eastAsia="fr-FR" w:bidi="fr-FR"/>
        </w:rPr>
        <w:t xml:space="preserve"> est ici employé au sens américain de l’aile gauche de l’échiquier politique aux États-Unis. Les </w:t>
      </w:r>
      <w:r w:rsidRPr="000563E3">
        <w:t>« </w:t>
      </w:r>
      <w:r w:rsidRPr="000563E3">
        <w:rPr>
          <w:lang w:val="fr-FR" w:eastAsia="fr-FR" w:bidi="fr-FR"/>
        </w:rPr>
        <w:t>libéraux</w:t>
      </w:r>
      <w:r w:rsidRPr="000563E3">
        <w:t> »</w:t>
      </w:r>
      <w:r w:rsidRPr="000563E3">
        <w:rPr>
          <w:lang w:val="fr-FR" w:eastAsia="fr-FR" w:bidi="fr-FR"/>
        </w:rPr>
        <w:t xml:space="preserve"> sont les partisans d’un interventionnisme état</w:t>
      </w:r>
      <w:r w:rsidRPr="000563E3">
        <w:rPr>
          <w:lang w:val="fr-FR" w:eastAsia="fr-FR" w:bidi="fr-FR"/>
        </w:rPr>
        <w:t>i</w:t>
      </w:r>
      <w:r w:rsidRPr="000563E3">
        <w:rPr>
          <w:lang w:val="fr-FR" w:eastAsia="fr-FR" w:bidi="fr-FR"/>
        </w:rPr>
        <w:t>que accru.</w:t>
      </w:r>
    </w:p>
  </w:footnote>
  <w:footnote w:id="176">
    <w:p w14:paraId="5AEED98F" w14:textId="77777777" w:rsidR="0039793A" w:rsidRDefault="0039793A" w:rsidP="0039793A">
      <w:pPr>
        <w:pStyle w:val="Notedebasdepage"/>
      </w:pPr>
      <w:r>
        <w:rPr>
          <w:rStyle w:val="Appelnotedebasdep"/>
        </w:rPr>
        <w:footnoteRef/>
      </w:r>
      <w:r>
        <w:tab/>
      </w:r>
      <w:r w:rsidRPr="000563E3">
        <w:t>« </w:t>
      </w:r>
      <w:r w:rsidRPr="000563E3">
        <w:rPr>
          <w:lang w:val="fr-FR" w:eastAsia="fr-FR" w:bidi="fr-FR"/>
        </w:rPr>
        <w:t>Nous nous retirerons de toutes les organisations des Nations unies et a</w:t>
      </w:r>
      <w:r w:rsidRPr="000563E3">
        <w:rPr>
          <w:lang w:val="fr-FR" w:eastAsia="fr-FR" w:bidi="fr-FR"/>
        </w:rPr>
        <w:t>u</w:t>
      </w:r>
      <w:r w:rsidRPr="000563E3">
        <w:rPr>
          <w:lang w:val="fr-FR" w:eastAsia="fr-FR" w:bidi="fr-FR"/>
        </w:rPr>
        <w:t>tres qui ne servent pas les intérêts des États-Unis. Pas un seul centime ne s</w:t>
      </w:r>
      <w:r w:rsidRPr="000563E3">
        <w:rPr>
          <w:lang w:val="fr-FR" w:eastAsia="fr-FR" w:bidi="fr-FR"/>
        </w:rPr>
        <w:t>e</w:t>
      </w:r>
      <w:r w:rsidRPr="000563E3">
        <w:rPr>
          <w:lang w:val="fr-FR" w:eastAsia="fr-FR" w:bidi="fr-FR"/>
        </w:rPr>
        <w:t>ra versé... pour faire la promotion de régimes étrangers corrompus ou de pays hostiles aux États-Unis.</w:t>
      </w:r>
      <w:r w:rsidRPr="000563E3">
        <w:t> »</w:t>
      </w:r>
      <w:r w:rsidRPr="000563E3">
        <w:rPr>
          <w:lang w:val="fr-FR" w:eastAsia="fr-FR" w:bidi="fr-FR"/>
        </w:rPr>
        <w:t xml:space="preserve"> Extrait du programme de la campagne éle</w:t>
      </w:r>
      <w:r w:rsidRPr="000563E3">
        <w:rPr>
          <w:lang w:val="fr-FR" w:eastAsia="fr-FR" w:bidi="fr-FR"/>
        </w:rPr>
        <w:t>c</w:t>
      </w:r>
      <w:r w:rsidRPr="000563E3">
        <w:rPr>
          <w:lang w:val="fr-FR" w:eastAsia="fr-FR" w:bidi="fr-FR"/>
        </w:rPr>
        <w:t>torale de Pat B</w:t>
      </w:r>
      <w:r w:rsidRPr="000563E3">
        <w:rPr>
          <w:lang w:val="fr-FR" w:eastAsia="fr-FR" w:bidi="fr-FR"/>
        </w:rPr>
        <w:t>u</w:t>
      </w:r>
      <w:r w:rsidRPr="000563E3">
        <w:rPr>
          <w:lang w:val="fr-FR" w:eastAsia="fr-FR" w:bidi="fr-FR"/>
        </w:rPr>
        <w:t>chanan à la présidence en 2000. Disponible en ligne http</w:t>
      </w:r>
      <w:r w:rsidRPr="000563E3">
        <w:t> :</w:t>
      </w:r>
      <w:r w:rsidRPr="000563E3">
        <w:rPr>
          <w:lang w:val="fr-FR" w:eastAsia="fr-FR" w:bidi="fr-FR"/>
        </w:rPr>
        <w:t xml:space="preserve"> </w:t>
      </w:r>
      <w:hyperlink r:id="rId3" w:history="1">
        <w:r w:rsidRPr="000563E3">
          <w:rPr>
            <w:rStyle w:val="Hyperlien"/>
            <w:lang w:val="fr-FR" w:eastAsia="fr-FR" w:bidi="fr-FR"/>
          </w:rPr>
          <w:t>www.buchanan.org/OOO-c-foreignpolicy.html</w:t>
        </w:r>
      </w:hyperlink>
      <w:r w:rsidRPr="000563E3">
        <w:rPr>
          <w:lang w:val="fr-FR" w:eastAsia="fr-FR" w:bidi="fr-FR"/>
        </w:rPr>
        <w:t>, consulté le 20 avril 2003.</w:t>
      </w:r>
    </w:p>
  </w:footnote>
  <w:footnote w:id="177">
    <w:p w14:paraId="181D379E" w14:textId="77777777" w:rsidR="0039793A" w:rsidRDefault="0039793A" w:rsidP="0039793A">
      <w:pPr>
        <w:pStyle w:val="Notedebasdepage"/>
      </w:pPr>
      <w:r>
        <w:rPr>
          <w:rStyle w:val="Appelnotedebasdep"/>
        </w:rPr>
        <w:footnoteRef/>
      </w:r>
      <w:r>
        <w:tab/>
      </w:r>
      <w:r w:rsidRPr="000563E3">
        <w:rPr>
          <w:lang w:val="fr-FR" w:eastAsia="fr-FR" w:bidi="fr-FR"/>
        </w:rPr>
        <w:t xml:space="preserve">Durant le débat télévisé qui l’opposait à George W. Bush et à Bill Clinton en 1992, le candidat indépendant évoqua le </w:t>
      </w:r>
      <w:r w:rsidRPr="000563E3">
        <w:t>« </w:t>
      </w:r>
      <w:r w:rsidRPr="000563E3">
        <w:rPr>
          <w:lang w:val="fr-FR" w:eastAsia="fr-FR" w:bidi="fr-FR"/>
        </w:rPr>
        <w:t>gigantesque bruit de succion</w:t>
      </w:r>
      <w:r w:rsidRPr="000563E3">
        <w:t> »</w:t>
      </w:r>
      <w:r w:rsidRPr="000563E3">
        <w:rPr>
          <w:lang w:val="fr-FR" w:eastAsia="fr-FR" w:bidi="fr-FR"/>
        </w:rPr>
        <w:t xml:space="preserve"> que provoquerait un accord de libre-échange avec le Mexique. Selon Perot, des diza</w:t>
      </w:r>
      <w:r w:rsidRPr="000563E3">
        <w:rPr>
          <w:lang w:val="fr-FR" w:eastAsia="fr-FR" w:bidi="fr-FR"/>
        </w:rPr>
        <w:t>i</w:t>
      </w:r>
      <w:r w:rsidRPr="000563E3">
        <w:rPr>
          <w:lang w:val="fr-FR" w:eastAsia="fr-FR" w:bidi="fr-FR"/>
        </w:rPr>
        <w:t xml:space="preserve">nes de milliers d’emplois seraient exportés vers le Mexique. Voir Bruce Jentleson, </w:t>
      </w:r>
      <w:r w:rsidRPr="000563E3">
        <w:rPr>
          <w:rStyle w:val="NotedebasdepageItalique"/>
          <w:sz w:val="24"/>
        </w:rPr>
        <w:t>op. cit.,</w:t>
      </w:r>
      <w:r w:rsidRPr="000563E3">
        <w:rPr>
          <w:lang w:val="fr-FR" w:eastAsia="fr-FR" w:bidi="fr-FR"/>
        </w:rPr>
        <w:t xml:space="preserve"> p. 93-94.</w:t>
      </w:r>
    </w:p>
  </w:footnote>
  <w:footnote w:id="178">
    <w:p w14:paraId="33EB54C2" w14:textId="77777777" w:rsidR="0039793A" w:rsidRDefault="0039793A" w:rsidP="0039793A">
      <w:pPr>
        <w:pStyle w:val="Notedebasdepage"/>
      </w:pPr>
      <w:r>
        <w:rPr>
          <w:rStyle w:val="Appelnotedebasdep"/>
        </w:rPr>
        <w:footnoteRef/>
      </w:r>
      <w:r>
        <w:tab/>
      </w:r>
      <w:r w:rsidRPr="000563E3">
        <w:rPr>
          <w:lang w:val="fr-FR" w:eastAsia="fr-FR" w:bidi="fr-FR"/>
        </w:rPr>
        <w:t>Voir</w:t>
      </w:r>
      <w:r w:rsidRPr="000563E3">
        <w:t> :</w:t>
      </w:r>
      <w:r w:rsidRPr="000563E3">
        <w:rPr>
          <w:lang w:val="fr-FR" w:eastAsia="fr-FR" w:bidi="fr-FR"/>
        </w:rPr>
        <w:t xml:space="preserve"> Pat Buchanan, </w:t>
      </w:r>
      <w:r w:rsidRPr="000563E3">
        <w:rPr>
          <w:rStyle w:val="NotedebasdepageItalique"/>
          <w:sz w:val="24"/>
        </w:rPr>
        <w:t>A Republic, not an Empire,</w:t>
      </w:r>
      <w:r w:rsidRPr="000563E3">
        <w:rPr>
          <w:lang w:val="fr-FR" w:eastAsia="fr-FR" w:bidi="fr-FR"/>
        </w:rPr>
        <w:t xml:space="preserve"> Washington </w:t>
      </w:r>
      <w:r w:rsidRPr="000563E3">
        <w:rPr>
          <w:rStyle w:val="Notedebasdepage6pt"/>
          <w:sz w:val="24"/>
        </w:rPr>
        <w:t xml:space="preserve">OC, </w:t>
      </w:r>
      <w:r w:rsidRPr="000563E3">
        <w:rPr>
          <w:lang w:val="fr-FR" w:eastAsia="fr-FR" w:bidi="fr-FR"/>
        </w:rPr>
        <w:t>Regnery Publishing, 1999, 437 p.</w:t>
      </w:r>
    </w:p>
  </w:footnote>
  <w:footnote w:id="179">
    <w:p w14:paraId="661F5E55" w14:textId="77777777" w:rsidR="0039793A" w:rsidRDefault="0039793A" w:rsidP="0039793A">
      <w:pPr>
        <w:pStyle w:val="Notedebasdepage"/>
      </w:pPr>
      <w:r>
        <w:rPr>
          <w:rStyle w:val="Appelnotedebasdep"/>
        </w:rPr>
        <w:footnoteRef/>
      </w:r>
      <w:r>
        <w:tab/>
      </w:r>
      <w:r w:rsidRPr="000563E3">
        <w:t>« </w:t>
      </w:r>
      <w:r w:rsidRPr="000563E3">
        <w:rPr>
          <w:lang w:val="fr-FR" w:eastAsia="fr-FR" w:bidi="fr-FR"/>
        </w:rPr>
        <w:t xml:space="preserve">Les Américains sont alarmés par les prétentions de la part de </w:t>
      </w:r>
      <w:r w:rsidRPr="000563E3">
        <w:rPr>
          <w:rStyle w:val="Notedebasdepage6pt"/>
          <w:sz w:val="24"/>
        </w:rPr>
        <w:t xml:space="preserve">l’ONU </w:t>
      </w:r>
      <w:r w:rsidRPr="000563E3">
        <w:rPr>
          <w:lang w:val="fr-FR" w:eastAsia="fr-FR" w:bidi="fr-FR"/>
        </w:rPr>
        <w:t>d’exercer un monopole de légitimité intern</w:t>
      </w:r>
      <w:r w:rsidRPr="000563E3">
        <w:rPr>
          <w:lang w:val="fr-FR" w:eastAsia="fr-FR" w:bidi="fr-FR"/>
        </w:rPr>
        <w:t>a</w:t>
      </w:r>
      <w:r w:rsidRPr="000563E3">
        <w:rPr>
          <w:lang w:val="fr-FR" w:eastAsia="fr-FR" w:bidi="fr-FR"/>
        </w:rPr>
        <w:t>tionale. Ils y voient une menace aux libertés qui leur vie</w:t>
      </w:r>
      <w:r w:rsidRPr="000563E3">
        <w:rPr>
          <w:lang w:val="fr-FR" w:eastAsia="fr-FR" w:bidi="fr-FR"/>
        </w:rPr>
        <w:t>n</w:t>
      </w:r>
      <w:r w:rsidRPr="000563E3">
        <w:rPr>
          <w:lang w:val="fr-FR" w:eastAsia="fr-FR" w:bidi="fr-FR"/>
        </w:rPr>
        <w:t>nent de Dieu, une exigence d’autorité politique sur l’Amérique et ses dirigeants élus sans le consentement de la population am</w:t>
      </w:r>
      <w:r w:rsidRPr="000563E3">
        <w:rPr>
          <w:lang w:val="fr-FR" w:eastAsia="fr-FR" w:bidi="fr-FR"/>
        </w:rPr>
        <w:t>é</w:t>
      </w:r>
      <w:r w:rsidRPr="000563E3">
        <w:rPr>
          <w:lang w:val="fr-FR" w:eastAsia="fr-FR" w:bidi="fr-FR"/>
        </w:rPr>
        <w:t>rica</w:t>
      </w:r>
      <w:r w:rsidRPr="000563E3">
        <w:rPr>
          <w:lang w:val="fr-FR" w:eastAsia="fr-FR" w:bidi="fr-FR"/>
        </w:rPr>
        <w:t>i</w:t>
      </w:r>
      <w:r w:rsidRPr="000563E3">
        <w:rPr>
          <w:lang w:val="fr-FR" w:eastAsia="fr-FR" w:bidi="fr-FR"/>
        </w:rPr>
        <w:t>ne.</w:t>
      </w:r>
      <w:r w:rsidRPr="000563E3">
        <w:t> »</w:t>
      </w:r>
      <w:r w:rsidRPr="000563E3">
        <w:rPr>
          <w:lang w:val="fr-FR" w:eastAsia="fr-FR" w:bidi="fr-FR"/>
        </w:rPr>
        <w:t xml:space="preserve"> Discours du sénateur républicain Jesse Helms, président de la Commission sénatoriale des Affaires étrangères, 20 janvier 2000. Dispon</w:t>
      </w:r>
      <w:r w:rsidRPr="000563E3">
        <w:rPr>
          <w:lang w:val="fr-FR" w:eastAsia="fr-FR" w:bidi="fr-FR"/>
        </w:rPr>
        <w:t>i</w:t>
      </w:r>
      <w:r w:rsidRPr="000563E3">
        <w:rPr>
          <w:lang w:val="fr-FR" w:eastAsia="fr-FR" w:bidi="fr-FR"/>
        </w:rPr>
        <w:t xml:space="preserve">ble en ligne </w:t>
      </w:r>
      <w:hyperlink r:id="rId4" w:history="1">
        <w:r w:rsidRPr="000563E3">
          <w:rPr>
            <w:rStyle w:val="Hyperlien"/>
            <w:lang w:val="en-US" w:bidi="en-US"/>
          </w:rPr>
          <w:t>http ://www.conservativeforum.org/authquot</w:t>
        </w:r>
      </w:hyperlink>
      <w:r w:rsidRPr="000563E3">
        <w:rPr>
          <w:lang w:val="en-US" w:bidi="en-US"/>
        </w:rPr>
        <w:t xml:space="preserve">, </w:t>
      </w:r>
      <w:r w:rsidRPr="000563E3">
        <w:rPr>
          <w:lang w:val="fr-FR" w:eastAsia="fr-FR" w:bidi="fr-FR"/>
        </w:rPr>
        <w:t>consulté le 15 avril 2003.</w:t>
      </w:r>
    </w:p>
  </w:footnote>
  <w:footnote w:id="180">
    <w:p w14:paraId="5C72C422" w14:textId="77777777" w:rsidR="0039793A" w:rsidRDefault="0039793A" w:rsidP="0039793A">
      <w:pPr>
        <w:pStyle w:val="Notedebasdepage"/>
      </w:pPr>
      <w:r>
        <w:rPr>
          <w:rStyle w:val="Appelnotedebasdep"/>
        </w:rPr>
        <w:footnoteRef/>
      </w:r>
      <w:r>
        <w:tab/>
      </w:r>
      <w:r w:rsidRPr="000563E3">
        <w:rPr>
          <w:lang w:val="fr-FR" w:eastAsia="fr-FR" w:bidi="fr-FR"/>
        </w:rPr>
        <w:t>Ainsi le gouvernement de George W. Bush rejette le traité de Rome créant la Cour pénale internationale, le pr</w:t>
      </w:r>
      <w:r w:rsidRPr="000563E3">
        <w:rPr>
          <w:lang w:val="fr-FR" w:eastAsia="fr-FR" w:bidi="fr-FR"/>
        </w:rPr>
        <w:t>o</w:t>
      </w:r>
      <w:r w:rsidRPr="000563E3">
        <w:rPr>
          <w:lang w:val="fr-FR" w:eastAsia="fr-FR" w:bidi="fr-FR"/>
        </w:rPr>
        <w:t xml:space="preserve">tocole de Kyoto sur la protection de l’environnement tandis que l’aide aux pays en voie de développement est réduite à 0,1 % du produit intérieur brut. Voir Joseph S. Nye Jr., </w:t>
      </w:r>
      <w:r w:rsidRPr="000563E3">
        <w:rPr>
          <w:rStyle w:val="NotedebasdepageItalique"/>
          <w:sz w:val="24"/>
        </w:rPr>
        <w:t>The Par</w:t>
      </w:r>
      <w:r w:rsidRPr="000563E3">
        <w:rPr>
          <w:rStyle w:val="NotedebasdepageItalique"/>
          <w:sz w:val="24"/>
        </w:rPr>
        <w:t>a</w:t>
      </w:r>
      <w:r w:rsidRPr="000563E3">
        <w:rPr>
          <w:rStyle w:val="NotedebasdepageItalique"/>
          <w:sz w:val="24"/>
        </w:rPr>
        <w:t>dox of Amer</w:t>
      </w:r>
      <w:r w:rsidRPr="000563E3">
        <w:rPr>
          <w:rStyle w:val="NotedebasdepageItalique"/>
          <w:sz w:val="24"/>
        </w:rPr>
        <w:t>i</w:t>
      </w:r>
      <w:r w:rsidRPr="000563E3">
        <w:rPr>
          <w:rStyle w:val="NotedebasdepageItalique"/>
          <w:sz w:val="24"/>
        </w:rPr>
        <w:t xml:space="preserve">can Power, New York : Why the World’s Only Superpower Can’t Go It Alone, </w:t>
      </w:r>
      <w:r w:rsidRPr="000563E3">
        <w:rPr>
          <w:lang w:val="fr-FR" w:eastAsia="fr-FR" w:bidi="fr-FR"/>
        </w:rPr>
        <w:t>New York, Oxford, Oxford University Press, 2002, p. 146.</w:t>
      </w:r>
    </w:p>
  </w:footnote>
  <w:footnote w:id="181">
    <w:p w14:paraId="39DB43B7" w14:textId="77777777" w:rsidR="0039793A" w:rsidRDefault="0039793A" w:rsidP="0039793A">
      <w:pPr>
        <w:pStyle w:val="Notedebasdepage"/>
      </w:pPr>
      <w:r>
        <w:rPr>
          <w:rStyle w:val="Appelnotedebasdep"/>
        </w:rPr>
        <w:footnoteRef/>
      </w:r>
      <w:r>
        <w:tab/>
      </w:r>
      <w:r w:rsidRPr="000563E3">
        <w:rPr>
          <w:lang w:val="fr-FR" w:eastAsia="fr-FR" w:bidi="fr-FR"/>
        </w:rPr>
        <w:t xml:space="preserve">William Jennings Bryan prend la tête d’un mouvement, vers la fin du </w:t>
      </w:r>
      <w:r w:rsidRPr="000563E3">
        <w:rPr>
          <w:rStyle w:val="Notedebasdepage6pt"/>
          <w:sz w:val="24"/>
        </w:rPr>
        <w:t>XIX</w:t>
      </w:r>
      <w:r w:rsidRPr="000563E3">
        <w:rPr>
          <w:rStyle w:val="Notedebasdepage6pt"/>
          <w:sz w:val="24"/>
          <w:vertAlign w:val="superscript"/>
        </w:rPr>
        <w:t>e</w:t>
      </w:r>
      <w:r>
        <w:rPr>
          <w:rStyle w:val="Notedebasdepage6pt"/>
          <w:sz w:val="24"/>
          <w:vertAlign w:val="superscript"/>
        </w:rPr>
        <w:t xml:space="preserve"> </w:t>
      </w:r>
      <w:r w:rsidRPr="000563E3">
        <w:rPr>
          <w:lang w:val="fr-FR" w:eastAsia="fr-FR" w:bidi="fr-FR"/>
        </w:rPr>
        <w:t>siècle, qui s’oppose aux excès du capit</w:t>
      </w:r>
      <w:r w:rsidRPr="000563E3">
        <w:rPr>
          <w:lang w:val="fr-FR" w:eastAsia="fr-FR" w:bidi="fr-FR"/>
        </w:rPr>
        <w:t>a</w:t>
      </w:r>
      <w:r w:rsidRPr="000563E3">
        <w:rPr>
          <w:lang w:val="fr-FR" w:eastAsia="fr-FR" w:bidi="fr-FR"/>
        </w:rPr>
        <w:t xml:space="preserve">lisme industriel. </w:t>
      </w:r>
      <w:r>
        <w:rPr>
          <w:lang w:val="fr-FR" w:eastAsia="fr-FR" w:bidi="fr-FR"/>
        </w:rPr>
        <w:t>Il</w:t>
      </w:r>
      <w:r w:rsidRPr="000563E3">
        <w:rPr>
          <w:lang w:val="fr-FR" w:eastAsia="fr-FR" w:bidi="fr-FR"/>
        </w:rPr>
        <w:t xml:space="preserve"> s’opposera aussi à l’impérialisme. Il est candidat démocrate à la présidence en 1896, 1900 et 1908. Voir Paolo E. Coletta, </w:t>
      </w:r>
      <w:r w:rsidRPr="000563E3">
        <w:rPr>
          <w:rStyle w:val="NotedebasdepageItalique"/>
          <w:sz w:val="24"/>
        </w:rPr>
        <w:t>William Jennings Bryan,</w:t>
      </w:r>
      <w:r w:rsidRPr="000563E3">
        <w:rPr>
          <w:lang w:val="fr-FR" w:eastAsia="fr-FR" w:bidi="fr-FR"/>
        </w:rPr>
        <w:t xml:space="preserve"> Lincoln, Nebraska, University of Nebraska Press, 1964.</w:t>
      </w:r>
    </w:p>
  </w:footnote>
  <w:footnote w:id="182">
    <w:p w14:paraId="2BC18485" w14:textId="77777777" w:rsidR="0039793A" w:rsidRDefault="0039793A" w:rsidP="0039793A">
      <w:pPr>
        <w:pStyle w:val="Notedebasdepage"/>
      </w:pPr>
      <w:r>
        <w:rPr>
          <w:rStyle w:val="Appelnotedebasdep"/>
        </w:rPr>
        <w:footnoteRef/>
      </w:r>
      <w:r>
        <w:tab/>
      </w:r>
      <w:r w:rsidRPr="000563E3">
        <w:t>« </w:t>
      </w:r>
      <w:r w:rsidRPr="000563E3">
        <w:rPr>
          <w:lang w:val="fr-FR" w:eastAsia="fr-FR" w:bidi="fr-FR"/>
        </w:rPr>
        <w:t>L’empire comme mode de vie se manifeste par le fait de posséder dava</w:t>
      </w:r>
      <w:r w:rsidRPr="000563E3">
        <w:rPr>
          <w:lang w:val="fr-FR" w:eastAsia="fr-FR" w:bidi="fr-FR"/>
        </w:rPr>
        <w:t>n</w:t>
      </w:r>
      <w:r w:rsidRPr="000563E3">
        <w:rPr>
          <w:lang w:val="fr-FR" w:eastAsia="fr-FR" w:bidi="fr-FR"/>
        </w:rPr>
        <w:t>tage que ce dont nous avons besoin.</w:t>
      </w:r>
      <w:r w:rsidRPr="000563E3">
        <w:t> »</w:t>
      </w:r>
      <w:r w:rsidRPr="000563E3">
        <w:rPr>
          <w:lang w:val="fr-FR" w:eastAsia="fr-FR" w:bidi="fr-FR"/>
        </w:rPr>
        <w:t xml:space="preserve"> William Appleman Williams, </w:t>
      </w:r>
      <w:r w:rsidRPr="000563E3">
        <w:rPr>
          <w:rStyle w:val="NotedebasdepageItalique"/>
          <w:sz w:val="24"/>
        </w:rPr>
        <w:t>Empire as a Way of Life</w:t>
      </w:r>
      <w:r>
        <w:rPr>
          <w:rStyle w:val="NotedebasdepageItalique"/>
          <w:sz w:val="24"/>
        </w:rPr>
        <w:t>,</w:t>
      </w:r>
      <w:r w:rsidRPr="000563E3">
        <w:rPr>
          <w:lang w:val="fr-FR" w:eastAsia="fr-FR" w:bidi="fr-FR"/>
        </w:rPr>
        <w:t xml:space="preserve"> New York, Oxford University Press, 1980, p. 31.</w:t>
      </w:r>
    </w:p>
  </w:footnote>
  <w:footnote w:id="183">
    <w:p w14:paraId="3A05AF45" w14:textId="77777777" w:rsidR="0039793A" w:rsidRDefault="0039793A" w:rsidP="0039793A">
      <w:pPr>
        <w:pStyle w:val="Notedebasdepage"/>
      </w:pPr>
      <w:r>
        <w:rPr>
          <w:rStyle w:val="Appelnotedebasdep"/>
        </w:rPr>
        <w:footnoteRef/>
      </w:r>
      <w:r>
        <w:tab/>
      </w:r>
      <w:r w:rsidRPr="000563E3">
        <w:rPr>
          <w:lang w:val="fr-FR" w:eastAsia="fr-FR" w:bidi="fr-FR"/>
        </w:rPr>
        <w:t xml:space="preserve">Voir Ronald Steel, </w:t>
      </w:r>
      <w:r w:rsidRPr="000563E3">
        <w:rPr>
          <w:rStyle w:val="NotedebasdepageItalique"/>
          <w:sz w:val="24"/>
        </w:rPr>
        <w:t>La Pax Americana</w:t>
      </w:r>
      <w:r w:rsidRPr="000563E3">
        <w:rPr>
          <w:lang w:val="fr-FR" w:eastAsia="fr-FR" w:bidi="fr-FR"/>
        </w:rPr>
        <w:t>, Paris, B</w:t>
      </w:r>
      <w:r w:rsidRPr="000563E3">
        <w:rPr>
          <w:lang w:val="fr-FR" w:eastAsia="fr-FR" w:bidi="fr-FR"/>
        </w:rPr>
        <w:t>u</w:t>
      </w:r>
      <w:r w:rsidRPr="000563E3">
        <w:rPr>
          <w:lang w:val="fr-FR" w:eastAsia="fr-FR" w:bidi="fr-FR"/>
        </w:rPr>
        <w:t xml:space="preserve">chet/Chastel, 1967, 371 p. et </w:t>
      </w:r>
      <w:r w:rsidRPr="000563E3">
        <w:rPr>
          <w:rStyle w:val="NotedebasdepageItalique"/>
          <w:sz w:val="24"/>
        </w:rPr>
        <w:t>Imperialists and Other H</w:t>
      </w:r>
      <w:r w:rsidRPr="000563E3">
        <w:rPr>
          <w:rStyle w:val="NotedebasdepageItalique"/>
          <w:sz w:val="24"/>
        </w:rPr>
        <w:t>e</w:t>
      </w:r>
      <w:r w:rsidRPr="000563E3">
        <w:rPr>
          <w:rStyle w:val="NotedebasdepageItalique"/>
          <w:sz w:val="24"/>
        </w:rPr>
        <w:t>roes : A Chronicle of the American Empire</w:t>
      </w:r>
      <w:r w:rsidRPr="000563E3">
        <w:rPr>
          <w:lang w:val="fr-FR" w:eastAsia="fr-FR" w:bidi="fr-FR"/>
        </w:rPr>
        <w:t>, New York, Random House, 1971, 447 p.</w:t>
      </w:r>
    </w:p>
  </w:footnote>
  <w:footnote w:id="184">
    <w:p w14:paraId="0721B273" w14:textId="77777777" w:rsidR="0039793A" w:rsidRDefault="0039793A" w:rsidP="0039793A">
      <w:pPr>
        <w:pStyle w:val="Notedebasdepage"/>
      </w:pPr>
      <w:r>
        <w:rPr>
          <w:rStyle w:val="Appelnotedebasdep"/>
        </w:rPr>
        <w:footnoteRef/>
      </w:r>
      <w:r>
        <w:tab/>
      </w:r>
      <w:r w:rsidRPr="000563E3">
        <w:rPr>
          <w:rStyle w:val="Notedebasdepage2NonItalique"/>
          <w:sz w:val="24"/>
        </w:rPr>
        <w:t xml:space="preserve">Voir Pierre-François Divier, </w:t>
      </w:r>
      <w:r w:rsidRPr="00381DEA">
        <w:rPr>
          <w:i/>
          <w:iCs/>
          <w:lang w:val="fr-FR" w:eastAsia="fr-FR" w:bidi="fr-FR"/>
        </w:rPr>
        <w:t>Ralph Nader en 33 leçons ou Comment dev</w:t>
      </w:r>
      <w:r w:rsidRPr="00381DEA">
        <w:rPr>
          <w:i/>
          <w:iCs/>
          <w:lang w:val="fr-FR" w:eastAsia="fr-FR" w:bidi="fr-FR"/>
        </w:rPr>
        <w:t>e</w:t>
      </w:r>
      <w:r w:rsidRPr="00381DEA">
        <w:rPr>
          <w:i/>
          <w:iCs/>
          <w:lang w:val="fr-FR" w:eastAsia="fr-FR" w:bidi="fr-FR"/>
        </w:rPr>
        <w:t>nir un avocat de l’intérêt public</w:t>
      </w:r>
      <w:r w:rsidRPr="000563E3">
        <w:rPr>
          <w:rStyle w:val="Notedebasdepage2NonItalique"/>
          <w:sz w:val="24"/>
        </w:rPr>
        <w:t>, Paris, Publi-Union, 1974 ; Ralph Nader</w:t>
      </w:r>
      <w:r w:rsidRPr="00381DEA">
        <w:rPr>
          <w:rStyle w:val="Notedebasdepage2NonItalique"/>
          <w:i/>
          <w:iCs/>
          <w:sz w:val="24"/>
        </w:rPr>
        <w:t xml:space="preserve">, </w:t>
      </w:r>
      <w:r w:rsidRPr="00381DEA">
        <w:rPr>
          <w:i/>
          <w:iCs/>
          <w:lang w:val="fr-FR" w:eastAsia="fr-FR" w:bidi="fr-FR"/>
        </w:rPr>
        <w:t>Cra</w:t>
      </w:r>
      <w:r w:rsidRPr="00381DEA">
        <w:rPr>
          <w:i/>
          <w:iCs/>
          <w:lang w:val="fr-FR" w:eastAsia="fr-FR" w:bidi="fr-FR"/>
        </w:rPr>
        <w:t>s</w:t>
      </w:r>
      <w:r w:rsidRPr="00381DEA">
        <w:rPr>
          <w:i/>
          <w:iCs/>
          <w:lang w:val="fr-FR" w:eastAsia="fr-FR" w:bidi="fr-FR"/>
        </w:rPr>
        <w:t>hing the Party</w:t>
      </w:r>
      <w:r w:rsidRPr="00381DEA">
        <w:rPr>
          <w:i/>
          <w:iCs/>
        </w:rPr>
        <w:t> :</w:t>
      </w:r>
      <w:r w:rsidRPr="00381DEA">
        <w:rPr>
          <w:i/>
          <w:iCs/>
          <w:lang w:val="fr-FR" w:eastAsia="fr-FR" w:bidi="fr-FR"/>
        </w:rPr>
        <w:t xml:space="preserve"> Taking on the Corporate Government in an Age of Surre</w:t>
      </w:r>
      <w:r w:rsidRPr="00381DEA">
        <w:rPr>
          <w:i/>
          <w:iCs/>
          <w:lang w:val="fr-FR" w:eastAsia="fr-FR" w:bidi="fr-FR"/>
        </w:rPr>
        <w:t>n</w:t>
      </w:r>
      <w:r w:rsidRPr="00381DEA">
        <w:rPr>
          <w:i/>
          <w:iCs/>
          <w:lang w:val="fr-FR" w:eastAsia="fr-FR" w:bidi="fr-FR"/>
        </w:rPr>
        <w:t>der</w:t>
      </w:r>
      <w:r w:rsidRPr="000563E3">
        <w:rPr>
          <w:lang w:val="fr-FR" w:eastAsia="fr-FR" w:bidi="fr-FR"/>
        </w:rPr>
        <w:t>,</w:t>
      </w:r>
      <w:r w:rsidRPr="000563E3">
        <w:rPr>
          <w:rStyle w:val="Notedebasdepage2NonItalique"/>
          <w:sz w:val="24"/>
        </w:rPr>
        <w:t xml:space="preserve"> New York, St. Martin’s Press, 2002.</w:t>
      </w:r>
    </w:p>
  </w:footnote>
  <w:footnote w:id="185">
    <w:p w14:paraId="32C7AB16" w14:textId="77777777" w:rsidR="0039793A" w:rsidRDefault="0039793A" w:rsidP="0039793A">
      <w:pPr>
        <w:pStyle w:val="Notedebasdepage"/>
      </w:pPr>
      <w:r>
        <w:rPr>
          <w:rStyle w:val="Appelnotedebasdep"/>
        </w:rPr>
        <w:footnoteRef/>
      </w:r>
      <w:r>
        <w:tab/>
      </w:r>
      <w:r w:rsidRPr="000563E3">
        <w:rPr>
          <w:lang w:val="fr-FR" w:eastAsia="fr-FR" w:bidi="fr-FR"/>
        </w:rPr>
        <w:t xml:space="preserve">Wilson avait longtemps voulu garder les </w:t>
      </w:r>
      <w:r>
        <w:rPr>
          <w:lang w:val="fr-FR" w:eastAsia="fr-FR" w:bidi="fr-FR"/>
        </w:rPr>
        <w:t>État</w:t>
      </w:r>
      <w:r w:rsidRPr="000563E3">
        <w:rPr>
          <w:lang w:val="fr-FR" w:eastAsia="fr-FR" w:bidi="fr-FR"/>
        </w:rPr>
        <w:t>s-Unis hors du conflit. En 1916, il se faisait réélire avec le slogan suivant</w:t>
      </w:r>
      <w:r w:rsidRPr="000563E3">
        <w:t> :</w:t>
      </w:r>
      <w:r w:rsidRPr="000563E3">
        <w:rPr>
          <w:lang w:val="fr-FR" w:eastAsia="fr-FR" w:bidi="fr-FR"/>
        </w:rPr>
        <w:t xml:space="preserve"> </w:t>
      </w:r>
      <w:r w:rsidRPr="000563E3">
        <w:t>« </w:t>
      </w:r>
      <w:r w:rsidRPr="000563E3">
        <w:rPr>
          <w:lang w:val="fr-FR" w:eastAsia="fr-FR" w:bidi="fr-FR"/>
        </w:rPr>
        <w:t>Il nous a gardé hors de la gue</w:t>
      </w:r>
      <w:r w:rsidRPr="000563E3">
        <w:rPr>
          <w:lang w:val="fr-FR" w:eastAsia="fr-FR" w:bidi="fr-FR"/>
        </w:rPr>
        <w:t>r</w:t>
      </w:r>
      <w:r w:rsidRPr="000563E3">
        <w:rPr>
          <w:lang w:val="fr-FR" w:eastAsia="fr-FR" w:bidi="fr-FR"/>
        </w:rPr>
        <w:t>re.</w:t>
      </w:r>
      <w:r w:rsidRPr="000563E3">
        <w:t> »</w:t>
      </w:r>
      <w:r w:rsidRPr="000563E3">
        <w:rPr>
          <w:lang w:val="fr-FR" w:eastAsia="fr-FR" w:bidi="fr-FR"/>
        </w:rPr>
        <w:t xml:space="preserve"> En janvier 1917, cependant, après l’annonce de la détermination all</w:t>
      </w:r>
      <w:r w:rsidRPr="000563E3">
        <w:rPr>
          <w:lang w:val="fr-FR" w:eastAsia="fr-FR" w:bidi="fr-FR"/>
        </w:rPr>
        <w:t>e</w:t>
      </w:r>
      <w:r w:rsidRPr="000563E3">
        <w:rPr>
          <w:lang w:val="fr-FR" w:eastAsia="fr-FR" w:bidi="fr-FR"/>
        </w:rPr>
        <w:t xml:space="preserve">mande d’attaquer sans avertissement tous les navires se trouvant dans la zone des îles britanniques, les </w:t>
      </w:r>
      <w:r>
        <w:rPr>
          <w:lang w:val="fr-FR" w:eastAsia="fr-FR" w:bidi="fr-FR"/>
        </w:rPr>
        <w:t>État</w:t>
      </w:r>
      <w:r w:rsidRPr="000563E3">
        <w:rPr>
          <w:lang w:val="fr-FR" w:eastAsia="fr-FR" w:bidi="fr-FR"/>
        </w:rPr>
        <w:t>s-Unis n’avaient plus guère le choix. Leurs relations commerciales avec la Grande-Bretagne devaient être prot</w:t>
      </w:r>
      <w:r w:rsidRPr="000563E3">
        <w:rPr>
          <w:lang w:val="fr-FR" w:eastAsia="fr-FR" w:bidi="fr-FR"/>
        </w:rPr>
        <w:t>é</w:t>
      </w:r>
      <w:r w:rsidRPr="000563E3">
        <w:rPr>
          <w:lang w:val="fr-FR" w:eastAsia="fr-FR" w:bidi="fr-FR"/>
        </w:rPr>
        <w:t>gées.</w:t>
      </w:r>
    </w:p>
  </w:footnote>
  <w:footnote w:id="186">
    <w:p w14:paraId="30FB4582" w14:textId="77777777" w:rsidR="0039793A" w:rsidRDefault="0039793A" w:rsidP="0039793A">
      <w:pPr>
        <w:pStyle w:val="Notedebasdepage"/>
      </w:pPr>
      <w:r>
        <w:rPr>
          <w:rStyle w:val="Appelnotedebasdep"/>
        </w:rPr>
        <w:footnoteRef/>
      </w:r>
      <w:r>
        <w:tab/>
      </w:r>
      <w:r w:rsidRPr="000563E3">
        <w:rPr>
          <w:lang w:val="fr-FR" w:eastAsia="fr-FR" w:bidi="fr-FR"/>
        </w:rPr>
        <w:t xml:space="preserve">Discours prononcé devant le Congrès des </w:t>
      </w:r>
      <w:r>
        <w:rPr>
          <w:lang w:val="fr-FR" w:eastAsia="fr-FR" w:bidi="fr-FR"/>
        </w:rPr>
        <w:t>État</w:t>
      </w:r>
      <w:r w:rsidRPr="000563E3">
        <w:rPr>
          <w:lang w:val="fr-FR" w:eastAsia="fr-FR" w:bidi="fr-FR"/>
        </w:rPr>
        <w:t xml:space="preserve">s-Unis, le 8 janvier 1918. </w:t>
      </w:r>
      <w:r w:rsidRPr="000563E3">
        <w:rPr>
          <w:rStyle w:val="NotedebasdepageItalique"/>
          <w:sz w:val="24"/>
        </w:rPr>
        <w:t>Les Grands textes de l’histoire américaine</w:t>
      </w:r>
      <w:r w:rsidRPr="000563E3">
        <w:rPr>
          <w:lang w:val="fr-FR" w:eastAsia="fr-FR" w:bidi="fr-FR"/>
        </w:rPr>
        <w:t>, réunis par Henry Steele Commager, Washington, Le serv</w:t>
      </w:r>
      <w:r w:rsidRPr="000563E3">
        <w:rPr>
          <w:lang w:val="fr-FR" w:eastAsia="fr-FR" w:bidi="fr-FR"/>
        </w:rPr>
        <w:t>i</w:t>
      </w:r>
      <w:r w:rsidRPr="000563E3">
        <w:rPr>
          <w:lang w:val="fr-FR" w:eastAsia="fr-FR" w:bidi="fr-FR"/>
        </w:rPr>
        <w:t>ce américain d’information, 1977, p. 60.</w:t>
      </w:r>
    </w:p>
  </w:footnote>
  <w:footnote w:id="187">
    <w:p w14:paraId="32A64FE3"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61</w:t>
      </w:r>
      <w:r>
        <w:rPr>
          <w:lang w:val="fr-FR" w:eastAsia="fr-FR" w:bidi="fr-FR"/>
        </w:rPr>
        <w:t>.</w:t>
      </w:r>
    </w:p>
  </w:footnote>
  <w:footnote w:id="188">
    <w:p w14:paraId="31539221" w14:textId="77777777" w:rsidR="0039793A" w:rsidRDefault="0039793A" w:rsidP="0039793A">
      <w:pPr>
        <w:pStyle w:val="Notedebasdepage"/>
      </w:pPr>
      <w:r>
        <w:rPr>
          <w:rStyle w:val="Appelnotedebasdep"/>
        </w:rPr>
        <w:footnoteRef/>
      </w:r>
      <w:r>
        <w:tab/>
      </w:r>
      <w:r w:rsidRPr="000563E3">
        <w:rPr>
          <w:lang w:val="fr-FR" w:eastAsia="fr-FR" w:bidi="fr-FR"/>
        </w:rPr>
        <w:t xml:space="preserve">Voir </w:t>
      </w:r>
      <w:r w:rsidRPr="000563E3">
        <w:t>« </w:t>
      </w:r>
      <w:r w:rsidRPr="000563E3">
        <w:rPr>
          <w:lang w:val="fr-FR" w:eastAsia="fr-FR" w:bidi="fr-FR"/>
        </w:rPr>
        <w:t>Idée d’une histoire universelle au point de vue cosmopolitique</w:t>
      </w:r>
      <w:r w:rsidRPr="000563E3">
        <w:t> »</w:t>
      </w:r>
      <w:r w:rsidRPr="000563E3">
        <w:rPr>
          <w:lang w:val="fr-FR" w:eastAsia="fr-FR" w:bidi="fr-FR"/>
        </w:rPr>
        <w:t xml:space="preserve">, dans Emmanuel Kant, </w:t>
      </w:r>
      <w:r w:rsidRPr="000563E3">
        <w:rPr>
          <w:rStyle w:val="NotedebasdepageItalique"/>
          <w:sz w:val="24"/>
        </w:rPr>
        <w:t>La philosophie de l’histoire,</w:t>
      </w:r>
      <w:r w:rsidRPr="000563E3">
        <w:rPr>
          <w:lang w:val="fr-FR" w:eastAsia="fr-FR" w:bidi="fr-FR"/>
        </w:rPr>
        <w:t xml:space="preserve"> Paris, Éditions Gonthier (Montaigne), 1947, p. 29</w:t>
      </w:r>
      <w:r>
        <w:rPr>
          <w:lang w:val="fr-FR" w:eastAsia="fr-FR" w:bidi="fr-FR"/>
        </w:rPr>
        <w:t>.</w:t>
      </w:r>
      <w:r w:rsidRPr="000563E3">
        <w:rPr>
          <w:lang w:val="fr-FR" w:eastAsia="fr-FR" w:bidi="fr-FR"/>
        </w:rPr>
        <w:t xml:space="preserve"> Voir aussi Emmanuel Kant, </w:t>
      </w:r>
      <w:r w:rsidRPr="000563E3">
        <w:rPr>
          <w:rStyle w:val="NotedebasdepageItalique"/>
          <w:sz w:val="24"/>
        </w:rPr>
        <w:t>Projet de paix perp</w:t>
      </w:r>
      <w:r w:rsidRPr="000563E3">
        <w:rPr>
          <w:rStyle w:val="NotedebasdepageItalique"/>
          <w:sz w:val="24"/>
        </w:rPr>
        <w:t>é</w:t>
      </w:r>
      <w:r w:rsidRPr="000563E3">
        <w:rPr>
          <w:rStyle w:val="NotedebasdepageItalique"/>
          <w:sz w:val="24"/>
        </w:rPr>
        <w:t>tuelle, Esquisse phil</w:t>
      </w:r>
      <w:r w:rsidRPr="000563E3">
        <w:rPr>
          <w:rStyle w:val="NotedebasdepageItalique"/>
          <w:sz w:val="24"/>
        </w:rPr>
        <w:t>o</w:t>
      </w:r>
      <w:r w:rsidRPr="000563E3">
        <w:rPr>
          <w:rStyle w:val="NotedebasdepageItalique"/>
          <w:sz w:val="24"/>
        </w:rPr>
        <w:t>sophique 1795,</w:t>
      </w:r>
      <w:r w:rsidRPr="000563E3">
        <w:rPr>
          <w:lang w:val="fr-FR" w:eastAsia="fr-FR" w:bidi="fr-FR"/>
        </w:rPr>
        <w:t xml:space="preserve"> Paris, Vrin, 1948, 88 p.</w:t>
      </w:r>
    </w:p>
  </w:footnote>
  <w:footnote w:id="189">
    <w:p w14:paraId="6E19CD95" w14:textId="77777777" w:rsidR="0039793A" w:rsidRDefault="0039793A" w:rsidP="0039793A">
      <w:pPr>
        <w:pStyle w:val="Notedebasdepage"/>
      </w:pPr>
      <w:r>
        <w:rPr>
          <w:rStyle w:val="Appelnotedebasdep"/>
        </w:rPr>
        <w:footnoteRef/>
      </w:r>
      <w:r>
        <w:tab/>
      </w:r>
      <w:r w:rsidRPr="000563E3">
        <w:rPr>
          <w:lang w:val="fr-FR" w:eastAsia="fr-FR" w:bidi="fr-FR"/>
        </w:rPr>
        <w:t>Quelques mois avant que les États-Unis n’entrent en guerre, le président et le Premier ministre britannique ont tenu des réunions à bord d’un croiseur américain et d’un cuirassé britannique, au large de Terre-Neuve. Ils ont s</w:t>
      </w:r>
      <w:r w:rsidRPr="000563E3">
        <w:rPr>
          <w:lang w:val="fr-FR" w:eastAsia="fr-FR" w:bidi="fr-FR"/>
        </w:rPr>
        <w:t>i</w:t>
      </w:r>
      <w:r w:rsidRPr="000563E3">
        <w:rPr>
          <w:lang w:val="fr-FR" w:eastAsia="fr-FR" w:bidi="fr-FR"/>
        </w:rPr>
        <w:t>gné une déclar</w:t>
      </w:r>
      <w:r w:rsidRPr="000563E3">
        <w:rPr>
          <w:lang w:val="fr-FR" w:eastAsia="fr-FR" w:bidi="fr-FR"/>
        </w:rPr>
        <w:t>a</w:t>
      </w:r>
      <w:r w:rsidRPr="000563E3">
        <w:rPr>
          <w:lang w:val="fr-FR" w:eastAsia="fr-FR" w:bidi="fr-FR"/>
        </w:rPr>
        <w:t>tion commune (14 août 1941) qui contient, entre autres, l’article suivant</w:t>
      </w:r>
      <w:r w:rsidRPr="000563E3">
        <w:t> :</w:t>
      </w:r>
      <w:r w:rsidRPr="000563E3">
        <w:rPr>
          <w:lang w:val="fr-FR" w:eastAsia="fr-FR" w:bidi="fr-FR"/>
        </w:rPr>
        <w:t xml:space="preserve"> </w:t>
      </w:r>
      <w:r w:rsidRPr="000563E3">
        <w:t>« </w:t>
      </w:r>
      <w:r w:rsidRPr="000563E3">
        <w:rPr>
          <w:lang w:val="fr-FR" w:eastAsia="fr-FR" w:bidi="fr-FR"/>
        </w:rPr>
        <w:t>ils respectent le droit qu’ont tous les peuples de choisir le mode de gouvernement sous lequel ils veulent vivre</w:t>
      </w:r>
      <w:r w:rsidRPr="000563E3">
        <w:t> ;</w:t>
      </w:r>
      <w:r w:rsidRPr="000563E3">
        <w:rPr>
          <w:lang w:val="fr-FR" w:eastAsia="fr-FR" w:bidi="fr-FR"/>
        </w:rPr>
        <w:t xml:space="preserve"> et ils désirent voir re</w:t>
      </w:r>
      <w:r w:rsidRPr="000563E3">
        <w:rPr>
          <w:lang w:val="fr-FR" w:eastAsia="fr-FR" w:bidi="fr-FR"/>
        </w:rPr>
        <w:t>s</w:t>
      </w:r>
      <w:r w:rsidRPr="000563E3">
        <w:rPr>
          <w:lang w:val="fr-FR" w:eastAsia="fr-FR" w:bidi="fr-FR"/>
        </w:rPr>
        <w:t>tituer les droits souv</w:t>
      </w:r>
      <w:r w:rsidRPr="000563E3">
        <w:rPr>
          <w:lang w:val="fr-FR" w:eastAsia="fr-FR" w:bidi="fr-FR"/>
        </w:rPr>
        <w:t>e</w:t>
      </w:r>
      <w:r w:rsidRPr="000563E3">
        <w:rPr>
          <w:lang w:val="fr-FR" w:eastAsia="fr-FR" w:bidi="fr-FR"/>
        </w:rPr>
        <w:t>rains et l’autonomie en matière de gouvernement à ceux qui en ont été dépouillés par la force</w:t>
      </w:r>
      <w:r w:rsidRPr="000563E3">
        <w:t> »</w:t>
      </w:r>
      <w:r w:rsidRPr="000563E3">
        <w:rPr>
          <w:lang w:val="fr-FR" w:eastAsia="fr-FR" w:bidi="fr-FR"/>
        </w:rPr>
        <w:t xml:space="preserve">, </w:t>
      </w:r>
      <w:r w:rsidRPr="000563E3">
        <w:rPr>
          <w:rStyle w:val="NotedebasdepageItalique"/>
          <w:sz w:val="24"/>
        </w:rPr>
        <w:t>Les grands textes de l’histoire américaine,</w:t>
      </w:r>
      <w:r w:rsidRPr="000563E3">
        <w:rPr>
          <w:lang w:val="fr-FR" w:eastAsia="fr-FR" w:bidi="fr-FR"/>
        </w:rPr>
        <w:t xml:space="preserve"> p. 65-66.</w:t>
      </w:r>
    </w:p>
  </w:footnote>
  <w:footnote w:id="190">
    <w:p w14:paraId="6EF0C5E9" w14:textId="77777777" w:rsidR="0039793A" w:rsidRDefault="0039793A" w:rsidP="0039793A">
      <w:pPr>
        <w:pStyle w:val="Notedebasdepage"/>
      </w:pPr>
      <w:r>
        <w:rPr>
          <w:rStyle w:val="Appelnotedebasdep"/>
        </w:rPr>
        <w:footnoteRef/>
      </w:r>
      <w:r>
        <w:tab/>
      </w:r>
      <w:r w:rsidRPr="000563E3">
        <w:rPr>
          <w:lang w:val="fr-FR" w:eastAsia="fr-FR" w:bidi="fr-FR"/>
        </w:rPr>
        <w:t xml:space="preserve">John Spanier, </w:t>
      </w:r>
      <w:r w:rsidRPr="000563E3">
        <w:rPr>
          <w:rStyle w:val="NotedebasdepageItalique"/>
          <w:sz w:val="24"/>
        </w:rPr>
        <w:t>American Foreign Policy Since World War II,</w:t>
      </w:r>
      <w:r w:rsidRPr="000563E3">
        <w:rPr>
          <w:lang w:val="fr-FR" w:eastAsia="fr-FR" w:bidi="fr-FR"/>
        </w:rPr>
        <w:t xml:space="preserve"> Washington </w:t>
      </w:r>
      <w:r w:rsidRPr="000563E3">
        <w:rPr>
          <w:rStyle w:val="Notedebasdepage6pt"/>
          <w:sz w:val="24"/>
        </w:rPr>
        <w:t xml:space="preserve">DC, </w:t>
      </w:r>
      <w:r w:rsidRPr="000563E3">
        <w:rPr>
          <w:lang w:val="fr-FR" w:eastAsia="fr-FR" w:bidi="fr-FR"/>
        </w:rPr>
        <w:t>Congressional Quarterly Press, 12</w:t>
      </w:r>
      <w:r w:rsidRPr="00660289">
        <w:rPr>
          <w:vertAlign w:val="superscript"/>
          <w:lang w:val="fr-FR" w:eastAsia="fr-FR" w:bidi="fr-FR"/>
        </w:rPr>
        <w:t>e</w:t>
      </w:r>
      <w:r>
        <w:rPr>
          <w:lang w:val="fr-FR" w:eastAsia="fr-FR" w:bidi="fr-FR"/>
        </w:rPr>
        <w:t xml:space="preserve"> </w:t>
      </w:r>
      <w:r w:rsidRPr="000563E3">
        <w:rPr>
          <w:lang w:val="fr-FR" w:eastAsia="fr-FR" w:bidi="fr-FR"/>
        </w:rPr>
        <w:t>éd., 1992, p. 24-25. Voir aussi He</w:t>
      </w:r>
      <w:r w:rsidRPr="000563E3">
        <w:rPr>
          <w:lang w:val="fr-FR" w:eastAsia="fr-FR" w:bidi="fr-FR"/>
        </w:rPr>
        <w:t>n</w:t>
      </w:r>
      <w:r w:rsidRPr="000563E3">
        <w:rPr>
          <w:lang w:val="fr-FR" w:eastAsia="fr-FR" w:bidi="fr-FR"/>
        </w:rPr>
        <w:t xml:space="preserve">ry T. Nash, </w:t>
      </w:r>
      <w:r w:rsidRPr="000563E3">
        <w:rPr>
          <w:rStyle w:val="NotedebasdepageItalique"/>
          <w:sz w:val="24"/>
        </w:rPr>
        <w:t>American Foreign Policy : A Search for Security,</w:t>
      </w:r>
      <w:r w:rsidRPr="000563E3">
        <w:rPr>
          <w:lang w:val="fr-FR" w:eastAsia="fr-FR" w:bidi="fr-FR"/>
        </w:rPr>
        <w:t xml:space="preserve"> Homewood, The Dorsey Press, 1985, p. 9.</w:t>
      </w:r>
    </w:p>
  </w:footnote>
  <w:footnote w:id="191">
    <w:p w14:paraId="25E5745B" w14:textId="77777777" w:rsidR="0039793A" w:rsidRDefault="0039793A" w:rsidP="0039793A">
      <w:pPr>
        <w:pStyle w:val="Notedebasdepage"/>
      </w:pPr>
      <w:r>
        <w:rPr>
          <w:rStyle w:val="Appelnotedebasdep"/>
        </w:rPr>
        <w:footnoteRef/>
      </w:r>
      <w:r>
        <w:tab/>
      </w:r>
      <w:r w:rsidRPr="000563E3">
        <w:rPr>
          <w:lang w:val="fr-FR" w:eastAsia="fr-FR" w:bidi="fr-FR"/>
        </w:rPr>
        <w:t>Il s’agit d’une première intervention internationale m</w:t>
      </w:r>
      <w:r w:rsidRPr="000563E3">
        <w:rPr>
          <w:lang w:val="fr-FR" w:eastAsia="fr-FR" w:bidi="fr-FR"/>
        </w:rPr>
        <w:t>a</w:t>
      </w:r>
      <w:r w:rsidRPr="000563E3">
        <w:rPr>
          <w:lang w:val="fr-FR" w:eastAsia="fr-FR" w:bidi="fr-FR"/>
        </w:rPr>
        <w:t>jeure des États- Unis en temps de paix. Truman demande et obtient du Congrès de prendre la r</w:t>
      </w:r>
      <w:r w:rsidRPr="000563E3">
        <w:rPr>
          <w:lang w:val="fr-FR" w:eastAsia="fr-FR" w:bidi="fr-FR"/>
        </w:rPr>
        <w:t>e</w:t>
      </w:r>
      <w:r w:rsidRPr="000563E3">
        <w:rPr>
          <w:lang w:val="fr-FR" w:eastAsia="fr-FR" w:bidi="fr-FR"/>
        </w:rPr>
        <w:t>lève de la Grande-Bretagne en Grèce et en Turquie.</w:t>
      </w:r>
    </w:p>
  </w:footnote>
  <w:footnote w:id="192">
    <w:p w14:paraId="6EAD9282" w14:textId="77777777" w:rsidR="0039793A" w:rsidRDefault="0039793A" w:rsidP="0039793A">
      <w:pPr>
        <w:pStyle w:val="Notedebasdepage"/>
      </w:pPr>
      <w:r>
        <w:rPr>
          <w:rStyle w:val="Appelnotedebasdep"/>
        </w:rPr>
        <w:footnoteRef/>
      </w:r>
      <w:r>
        <w:tab/>
      </w:r>
      <w:r w:rsidRPr="000D18BA">
        <w:rPr>
          <w:i/>
          <w:iCs/>
          <w:lang w:val="fr-FR" w:eastAsia="fr-FR" w:bidi="fr-FR"/>
        </w:rPr>
        <w:t>Les grands textes de l’histoire américaine</w:t>
      </w:r>
      <w:r w:rsidRPr="000D18BA">
        <w:rPr>
          <w:rStyle w:val="Notedebasdepage2NonItalique"/>
          <w:i/>
          <w:iCs/>
          <w:sz w:val="24"/>
        </w:rPr>
        <w:t xml:space="preserve">, </w:t>
      </w:r>
      <w:r w:rsidRPr="000D18BA">
        <w:rPr>
          <w:i/>
          <w:iCs/>
          <w:lang w:val="fr-FR" w:eastAsia="fr-FR" w:bidi="fr-FR"/>
        </w:rPr>
        <w:t>op. cit</w:t>
      </w:r>
      <w:r w:rsidRPr="000563E3">
        <w:rPr>
          <w:lang w:val="fr-FR" w:eastAsia="fr-FR" w:bidi="fr-FR"/>
        </w:rPr>
        <w:t>.,</w:t>
      </w:r>
      <w:r w:rsidRPr="000563E3">
        <w:rPr>
          <w:rStyle w:val="Notedebasdepage2NonItalique"/>
          <w:sz w:val="24"/>
        </w:rPr>
        <w:t xml:space="preserve"> p. 70.</w:t>
      </w:r>
    </w:p>
  </w:footnote>
  <w:footnote w:id="193">
    <w:p w14:paraId="13DA820F" w14:textId="77777777" w:rsidR="0039793A" w:rsidRDefault="0039793A" w:rsidP="0039793A">
      <w:pPr>
        <w:pStyle w:val="Notedebasdepage"/>
      </w:pPr>
      <w:r>
        <w:rPr>
          <w:rStyle w:val="Appelnotedebasdep"/>
        </w:rPr>
        <w:footnoteRef/>
      </w:r>
      <w:r>
        <w:tab/>
      </w:r>
      <w:r w:rsidRPr="000563E3">
        <w:rPr>
          <w:lang w:val="fr-FR" w:eastAsia="fr-FR" w:bidi="fr-FR"/>
        </w:rPr>
        <w:t>Discours d’investiture de John F. Kennedy, le 20 ja</w:t>
      </w:r>
      <w:r w:rsidRPr="000563E3">
        <w:rPr>
          <w:lang w:val="fr-FR" w:eastAsia="fr-FR" w:bidi="fr-FR"/>
        </w:rPr>
        <w:t>n</w:t>
      </w:r>
      <w:r w:rsidRPr="000563E3">
        <w:rPr>
          <w:lang w:val="fr-FR" w:eastAsia="fr-FR" w:bidi="fr-FR"/>
        </w:rPr>
        <w:t xml:space="preserve">vier 1961, </w:t>
      </w:r>
      <w:r w:rsidRPr="000563E3">
        <w:rPr>
          <w:rStyle w:val="NotedebasdepageItalique"/>
          <w:sz w:val="24"/>
        </w:rPr>
        <w:t xml:space="preserve">ibid., </w:t>
      </w:r>
      <w:r w:rsidRPr="000563E3">
        <w:rPr>
          <w:lang w:val="fr-FR" w:eastAsia="fr-FR" w:bidi="fr-FR"/>
        </w:rPr>
        <w:t>p. 76.</w:t>
      </w:r>
    </w:p>
  </w:footnote>
  <w:footnote w:id="194">
    <w:p w14:paraId="40BC449A" w14:textId="77777777" w:rsidR="0039793A" w:rsidRDefault="0039793A" w:rsidP="0039793A">
      <w:pPr>
        <w:pStyle w:val="Notedebasdepage"/>
      </w:pPr>
      <w:r>
        <w:rPr>
          <w:rStyle w:val="Appelnotedebasdep"/>
        </w:rPr>
        <w:footnoteRef/>
      </w:r>
      <w:r>
        <w:tab/>
      </w:r>
      <w:r w:rsidRPr="000563E3">
        <w:rPr>
          <w:lang w:val="fr-FR" w:eastAsia="fr-FR" w:bidi="fr-FR"/>
        </w:rPr>
        <w:t>D’ailleurs, son engagement comme médiateur depuis qu’il a quitté la Ma</w:t>
      </w:r>
      <w:r w:rsidRPr="000563E3">
        <w:rPr>
          <w:lang w:val="fr-FR" w:eastAsia="fr-FR" w:bidi="fr-FR"/>
        </w:rPr>
        <w:t>i</w:t>
      </w:r>
      <w:r w:rsidRPr="000563E3">
        <w:rPr>
          <w:lang w:val="fr-FR" w:eastAsia="fr-FR" w:bidi="fr-FR"/>
        </w:rPr>
        <w:t>son-Blanche lui vaudra le prix Nobel de la paix 2002.</w:t>
      </w:r>
    </w:p>
  </w:footnote>
  <w:footnote w:id="195">
    <w:p w14:paraId="11A0A8E8" w14:textId="77777777" w:rsidR="0039793A" w:rsidRDefault="0039793A" w:rsidP="0039793A">
      <w:pPr>
        <w:pStyle w:val="Notedebasdepage"/>
      </w:pPr>
      <w:r>
        <w:rPr>
          <w:rStyle w:val="Appelnotedebasdep"/>
        </w:rPr>
        <w:footnoteRef/>
      </w:r>
      <w:r>
        <w:tab/>
      </w:r>
      <w:r w:rsidRPr="000563E3">
        <w:rPr>
          <w:lang w:val="fr-FR" w:eastAsia="fr-FR" w:bidi="fr-FR"/>
        </w:rPr>
        <w:t>Le Shah d’Iran, soutenu par les États-Unis, est déposé en janvier 1979- C’est la Révolution, qui se radicalise de plus en plus au cours de l’année. À l’automne, pour punir les États-Unis d’avoir accueilli le Shah dans un hôp</w:t>
      </w:r>
      <w:r w:rsidRPr="000563E3">
        <w:rPr>
          <w:lang w:val="fr-FR" w:eastAsia="fr-FR" w:bidi="fr-FR"/>
        </w:rPr>
        <w:t>i</w:t>
      </w:r>
      <w:r w:rsidRPr="000563E3">
        <w:rPr>
          <w:lang w:val="fr-FR" w:eastAsia="fr-FR" w:bidi="fr-FR"/>
        </w:rPr>
        <w:t>tal américain, un groupe d’étudiants iraniens, approuvés par le régime, pre</w:t>
      </w:r>
      <w:r w:rsidRPr="000563E3">
        <w:rPr>
          <w:lang w:val="fr-FR" w:eastAsia="fr-FR" w:bidi="fr-FR"/>
        </w:rPr>
        <w:t>n</w:t>
      </w:r>
      <w:r w:rsidRPr="000563E3">
        <w:rPr>
          <w:lang w:val="fr-FR" w:eastAsia="fr-FR" w:bidi="fr-FR"/>
        </w:rPr>
        <w:t>nent en otage les d</w:t>
      </w:r>
      <w:r w:rsidRPr="000563E3">
        <w:rPr>
          <w:lang w:val="fr-FR" w:eastAsia="fr-FR" w:bidi="fr-FR"/>
        </w:rPr>
        <w:t>i</w:t>
      </w:r>
      <w:r w:rsidRPr="000563E3">
        <w:rPr>
          <w:lang w:val="fr-FR" w:eastAsia="fr-FR" w:bidi="fr-FR"/>
        </w:rPr>
        <w:t xml:space="preserve">plomates de l’ambassade des </w:t>
      </w:r>
      <w:r>
        <w:rPr>
          <w:lang w:val="fr-FR" w:eastAsia="fr-FR" w:bidi="fr-FR"/>
        </w:rPr>
        <w:t>État</w:t>
      </w:r>
      <w:r w:rsidRPr="000563E3">
        <w:rPr>
          <w:lang w:val="fr-FR" w:eastAsia="fr-FR" w:bidi="fr-FR"/>
        </w:rPr>
        <w:t>s-Unis à Téhéran. Les diplomates ne seront libérés qu’en janvier 1980. En décembre 1979, les S</w:t>
      </w:r>
      <w:r w:rsidRPr="000563E3">
        <w:rPr>
          <w:lang w:val="fr-FR" w:eastAsia="fr-FR" w:bidi="fr-FR"/>
        </w:rPr>
        <w:t>o</w:t>
      </w:r>
      <w:r w:rsidRPr="000563E3">
        <w:rPr>
          <w:lang w:val="fr-FR" w:eastAsia="fr-FR" w:bidi="fr-FR"/>
        </w:rPr>
        <w:t xml:space="preserve">viétiques envahissent l’Afghanistan pour contrer un régime religieux qu’ils jugent menaçant. C’est la première fois que </w:t>
      </w:r>
      <w:r w:rsidRPr="000563E3">
        <w:rPr>
          <w:rStyle w:val="Notedebasdepage6pt"/>
          <w:sz w:val="24"/>
        </w:rPr>
        <w:t xml:space="preserve">l’URSS </w:t>
      </w:r>
      <w:r w:rsidRPr="000563E3">
        <w:rPr>
          <w:lang w:val="fr-FR" w:eastAsia="fr-FR" w:bidi="fr-FR"/>
        </w:rPr>
        <w:t xml:space="preserve">franchit la frontière de sa </w:t>
      </w:r>
      <w:r w:rsidRPr="000563E3">
        <w:t>« </w:t>
      </w:r>
      <w:r w:rsidRPr="000563E3">
        <w:rPr>
          <w:lang w:val="fr-FR" w:eastAsia="fr-FR" w:bidi="fr-FR"/>
        </w:rPr>
        <w:t>zone d’influence</w:t>
      </w:r>
      <w:r w:rsidRPr="000563E3">
        <w:t> »</w:t>
      </w:r>
      <w:r w:rsidRPr="000563E3">
        <w:rPr>
          <w:lang w:val="fr-FR" w:eastAsia="fr-FR" w:bidi="fr-FR"/>
        </w:rPr>
        <w:t xml:space="preserve"> tolérée par Washington.</w:t>
      </w:r>
    </w:p>
  </w:footnote>
  <w:footnote w:id="196">
    <w:p w14:paraId="5B7C8167" w14:textId="77777777" w:rsidR="0039793A" w:rsidRDefault="0039793A" w:rsidP="0039793A">
      <w:pPr>
        <w:pStyle w:val="Notedebasdepage"/>
      </w:pPr>
      <w:r>
        <w:rPr>
          <w:rStyle w:val="Appelnotedebasdep"/>
        </w:rPr>
        <w:footnoteRef/>
      </w:r>
      <w:r>
        <w:tab/>
      </w:r>
      <w:r w:rsidRPr="000563E3">
        <w:rPr>
          <w:lang w:val="fr-FR" w:eastAsia="fr-FR" w:bidi="fr-FR"/>
        </w:rPr>
        <w:t>Dulles aurait déclaré, en s’inspirant de l’Évangile</w:t>
      </w:r>
      <w:r w:rsidRPr="000563E3">
        <w:t> :</w:t>
      </w:r>
      <w:r w:rsidRPr="000563E3">
        <w:rPr>
          <w:lang w:val="fr-FR" w:eastAsia="fr-FR" w:bidi="fr-FR"/>
        </w:rPr>
        <w:t xml:space="preserve"> </w:t>
      </w:r>
      <w:r w:rsidRPr="000563E3">
        <w:t>« </w:t>
      </w:r>
      <w:r w:rsidRPr="000563E3">
        <w:rPr>
          <w:lang w:val="fr-FR" w:eastAsia="fr-FR" w:bidi="fr-FR"/>
        </w:rPr>
        <w:t>Qui n’est pas avec nous est contre nous.</w:t>
      </w:r>
      <w:r w:rsidRPr="000563E3">
        <w:t> »</w:t>
      </w:r>
      <w:r w:rsidRPr="000563E3">
        <w:rPr>
          <w:lang w:val="fr-FR" w:eastAsia="fr-FR" w:bidi="fr-FR"/>
        </w:rPr>
        <w:t xml:space="preserve"> Il faisait pre</w:t>
      </w:r>
      <w:r w:rsidRPr="000563E3">
        <w:rPr>
          <w:lang w:val="fr-FR" w:eastAsia="fr-FR" w:bidi="fr-FR"/>
        </w:rPr>
        <w:t>u</w:t>
      </w:r>
      <w:r w:rsidRPr="000563E3">
        <w:rPr>
          <w:lang w:val="fr-FR" w:eastAsia="fr-FR" w:bidi="fr-FR"/>
        </w:rPr>
        <w:t xml:space="preserve">ve de plus de réalisme en affirmant que les </w:t>
      </w:r>
      <w:r>
        <w:rPr>
          <w:lang w:val="fr-FR" w:eastAsia="fr-FR" w:bidi="fr-FR"/>
        </w:rPr>
        <w:t>État</w:t>
      </w:r>
      <w:r w:rsidRPr="000563E3">
        <w:rPr>
          <w:lang w:val="fr-FR" w:eastAsia="fr-FR" w:bidi="fr-FR"/>
        </w:rPr>
        <w:t xml:space="preserve">s-Unis </w:t>
      </w:r>
      <w:r w:rsidRPr="000563E3">
        <w:t>« </w:t>
      </w:r>
      <w:r w:rsidRPr="000563E3">
        <w:rPr>
          <w:lang w:val="fr-FR" w:eastAsia="fr-FR" w:bidi="fr-FR"/>
        </w:rPr>
        <w:t>sont le seul pays assez fort et assez puissant pour être m</w:t>
      </w:r>
      <w:r w:rsidRPr="000563E3">
        <w:rPr>
          <w:lang w:val="fr-FR" w:eastAsia="fr-FR" w:bidi="fr-FR"/>
        </w:rPr>
        <w:t>o</w:t>
      </w:r>
      <w:r w:rsidRPr="000563E3">
        <w:rPr>
          <w:lang w:val="fr-FR" w:eastAsia="fr-FR" w:bidi="fr-FR"/>
        </w:rPr>
        <w:t>ral</w:t>
      </w:r>
      <w:r w:rsidRPr="000563E3">
        <w:t> »</w:t>
      </w:r>
      <w:r w:rsidRPr="000563E3">
        <w:rPr>
          <w:lang w:val="fr-FR" w:eastAsia="fr-FR" w:bidi="fr-FR"/>
        </w:rPr>
        <w:t xml:space="preserve">, cité par Yves-Henri Nouailhat, </w:t>
      </w:r>
      <w:r w:rsidRPr="000563E3">
        <w:rPr>
          <w:rStyle w:val="NotedebasdepageItalique"/>
          <w:sz w:val="24"/>
        </w:rPr>
        <w:t>op. cit.,</w:t>
      </w:r>
      <w:r w:rsidRPr="000563E3">
        <w:rPr>
          <w:lang w:val="fr-FR" w:eastAsia="fr-FR" w:bidi="fr-FR"/>
        </w:rPr>
        <w:t xml:space="preserve"> p. 191.</w:t>
      </w:r>
    </w:p>
  </w:footnote>
  <w:footnote w:id="197">
    <w:p w14:paraId="527D444D" w14:textId="77777777" w:rsidR="0039793A" w:rsidRDefault="0039793A" w:rsidP="0039793A">
      <w:pPr>
        <w:pStyle w:val="Notedebasdepage"/>
      </w:pPr>
      <w:r>
        <w:rPr>
          <w:rStyle w:val="Appelnotedebasdep"/>
        </w:rPr>
        <w:footnoteRef/>
      </w:r>
      <w:r>
        <w:tab/>
      </w:r>
      <w:r w:rsidRPr="000563E3">
        <w:rPr>
          <w:lang w:val="fr-FR" w:eastAsia="fr-FR" w:bidi="fr-FR"/>
        </w:rPr>
        <w:t>Les régimes autoritaires étaient tolérés dans la mesure où ils ouvraient la porte aux investissements américains et à l’économie de marché. Les total</w:t>
      </w:r>
      <w:r w:rsidRPr="000563E3">
        <w:rPr>
          <w:lang w:val="fr-FR" w:eastAsia="fr-FR" w:bidi="fr-FR"/>
        </w:rPr>
        <w:t>i</w:t>
      </w:r>
      <w:r w:rsidRPr="000563E3">
        <w:rPr>
          <w:lang w:val="fr-FR" w:eastAsia="fr-FR" w:bidi="fr-FR"/>
        </w:rPr>
        <w:t>taires, par contre, devaient être combattus parce qu’ils relevaient d’idéologies marxi</w:t>
      </w:r>
      <w:r w:rsidRPr="000563E3">
        <w:rPr>
          <w:lang w:val="fr-FR" w:eastAsia="fr-FR" w:bidi="fr-FR"/>
        </w:rPr>
        <w:t>s</w:t>
      </w:r>
      <w:r w:rsidRPr="000563E3">
        <w:rPr>
          <w:lang w:val="fr-FR" w:eastAsia="fr-FR" w:bidi="fr-FR"/>
        </w:rPr>
        <w:t xml:space="preserve">tes contraires à l’idéal américain. Cette distinction, dans cette dimension politique, a d’abord été élaborée par Jeanne Kirkpatrick qui fut nommée ambassadrice aux Nations unies par Ronald Reagan. Voir Bruce Jentleson, </w:t>
      </w:r>
      <w:r w:rsidRPr="000563E3">
        <w:rPr>
          <w:rStyle w:val="NotedebasdepageItalique"/>
          <w:sz w:val="24"/>
        </w:rPr>
        <w:t>op. cit.,</w:t>
      </w:r>
      <w:r w:rsidRPr="000563E3">
        <w:rPr>
          <w:lang w:val="fr-FR" w:eastAsia="fr-FR" w:bidi="fr-FR"/>
        </w:rPr>
        <w:t xml:space="preserve"> p. 167.</w:t>
      </w:r>
    </w:p>
  </w:footnote>
  <w:footnote w:id="198">
    <w:p w14:paraId="2AB22FCA" w14:textId="77777777" w:rsidR="0039793A" w:rsidRDefault="0039793A" w:rsidP="0039793A">
      <w:pPr>
        <w:pStyle w:val="Notedebasdepage"/>
      </w:pPr>
      <w:r>
        <w:rPr>
          <w:rStyle w:val="Appelnotedebasdep"/>
        </w:rPr>
        <w:footnoteRef/>
      </w:r>
      <w:r>
        <w:tab/>
      </w:r>
      <w:r w:rsidRPr="000563E3">
        <w:rPr>
          <w:lang w:val="fr-FR" w:eastAsia="fr-FR" w:bidi="fr-FR"/>
        </w:rPr>
        <w:t>C’étaient déjà les termes du pasteur puritain John Wi</w:t>
      </w:r>
      <w:r w:rsidRPr="000563E3">
        <w:rPr>
          <w:lang w:val="fr-FR" w:eastAsia="fr-FR" w:bidi="fr-FR"/>
        </w:rPr>
        <w:t>n</w:t>
      </w:r>
      <w:r>
        <w:rPr>
          <w:lang w:val="fr-FR" w:eastAsia="fr-FR" w:bidi="fr-FR"/>
        </w:rPr>
        <w:t>thropen 1630 qui lui-</w:t>
      </w:r>
      <w:r w:rsidRPr="000563E3">
        <w:rPr>
          <w:lang w:val="fr-FR" w:eastAsia="fr-FR" w:bidi="fr-FR"/>
        </w:rPr>
        <w:t>même empruntait cette terminologie à l’évangile selon saint Matthieu (5</w:t>
      </w:r>
      <w:r w:rsidRPr="000563E3">
        <w:t> :</w:t>
      </w:r>
      <w:r w:rsidRPr="000563E3">
        <w:rPr>
          <w:lang w:val="fr-FR" w:eastAsia="fr-FR" w:bidi="fr-FR"/>
        </w:rPr>
        <w:t xml:space="preserve"> 14).</w:t>
      </w:r>
    </w:p>
  </w:footnote>
  <w:footnote w:id="199">
    <w:p w14:paraId="10E02EDA" w14:textId="77777777" w:rsidR="0039793A" w:rsidRDefault="0039793A" w:rsidP="0039793A">
      <w:pPr>
        <w:pStyle w:val="Notedebasdepage"/>
      </w:pPr>
      <w:r>
        <w:rPr>
          <w:rStyle w:val="Appelnotedebasdep"/>
        </w:rPr>
        <w:footnoteRef/>
      </w:r>
      <w:r>
        <w:tab/>
      </w:r>
      <w:r w:rsidRPr="000563E3">
        <w:rPr>
          <w:lang w:val="fr-FR" w:eastAsia="fr-FR" w:bidi="fr-FR"/>
        </w:rPr>
        <w:t>Discours du 8 juin 1982.</w:t>
      </w:r>
    </w:p>
  </w:footnote>
  <w:footnote w:id="200">
    <w:p w14:paraId="03722C34" w14:textId="77777777" w:rsidR="0039793A" w:rsidRDefault="0039793A" w:rsidP="0039793A">
      <w:pPr>
        <w:pStyle w:val="Notedebasdepage"/>
      </w:pPr>
      <w:r>
        <w:rPr>
          <w:rStyle w:val="Appelnotedebasdep"/>
        </w:rPr>
        <w:footnoteRef/>
      </w:r>
      <w:r>
        <w:tab/>
      </w:r>
      <w:r w:rsidRPr="000563E3">
        <w:rPr>
          <w:lang w:val="fr-FR" w:eastAsia="fr-FR" w:bidi="fr-FR"/>
        </w:rPr>
        <w:t>Discours sur l’état de l’Union, le 29 janvier 2002.</w:t>
      </w:r>
    </w:p>
  </w:footnote>
  <w:footnote w:id="201">
    <w:p w14:paraId="4E16738C" w14:textId="77777777" w:rsidR="0039793A" w:rsidRDefault="0039793A" w:rsidP="0039793A">
      <w:pPr>
        <w:pStyle w:val="Notedebasdepage"/>
      </w:pPr>
      <w:r>
        <w:rPr>
          <w:rStyle w:val="Appelnotedebasdep"/>
        </w:rPr>
        <w:footnoteRef/>
      </w:r>
      <w:r>
        <w:tab/>
      </w:r>
      <w:r w:rsidRPr="000563E3">
        <w:rPr>
          <w:lang w:val="fr-FR" w:eastAsia="fr-FR" w:bidi="fr-FR"/>
        </w:rPr>
        <w:t xml:space="preserve">Voir sur ce point, Sébastien Barthe, </w:t>
      </w:r>
      <w:r w:rsidRPr="000563E3">
        <w:t>« </w:t>
      </w:r>
      <w:r w:rsidRPr="000563E3">
        <w:rPr>
          <w:lang w:val="fr-FR" w:eastAsia="fr-FR" w:bidi="fr-FR"/>
        </w:rPr>
        <w:t>Missiles et antimissiles</w:t>
      </w:r>
      <w:r w:rsidRPr="000563E3">
        <w:t> :</w:t>
      </w:r>
      <w:r w:rsidRPr="000563E3">
        <w:rPr>
          <w:lang w:val="fr-FR" w:eastAsia="fr-FR" w:bidi="fr-FR"/>
        </w:rPr>
        <w:t xml:space="preserve"> une nouve</w:t>
      </w:r>
      <w:r w:rsidRPr="000563E3">
        <w:rPr>
          <w:lang w:val="fr-FR" w:eastAsia="fr-FR" w:bidi="fr-FR"/>
        </w:rPr>
        <w:t>l</w:t>
      </w:r>
      <w:r w:rsidRPr="000563E3">
        <w:rPr>
          <w:lang w:val="fr-FR" w:eastAsia="fr-FR" w:bidi="fr-FR"/>
        </w:rPr>
        <w:t>le course folle</w:t>
      </w:r>
      <w:r w:rsidRPr="000563E3">
        <w:t> ? »</w:t>
      </w:r>
      <w:r w:rsidRPr="000563E3">
        <w:rPr>
          <w:lang w:val="fr-FR" w:eastAsia="fr-FR" w:bidi="fr-FR"/>
        </w:rPr>
        <w:t xml:space="preserve">, dans Charles-Philippe David (dir.), </w:t>
      </w:r>
      <w:r w:rsidRPr="000563E3">
        <w:rPr>
          <w:rStyle w:val="NotedebasdepageItalique"/>
          <w:sz w:val="24"/>
        </w:rPr>
        <w:t>Repenser la sécurité - Nouvelles m</w:t>
      </w:r>
      <w:r w:rsidRPr="000563E3">
        <w:rPr>
          <w:rStyle w:val="NotedebasdepageItalique"/>
          <w:sz w:val="24"/>
        </w:rPr>
        <w:t>e</w:t>
      </w:r>
      <w:r w:rsidRPr="000563E3">
        <w:rPr>
          <w:rStyle w:val="NotedebasdepageItalique"/>
          <w:sz w:val="24"/>
        </w:rPr>
        <w:t>naces, nouvelles politiques</w:t>
      </w:r>
      <w:r w:rsidRPr="000563E3">
        <w:rPr>
          <w:lang w:val="fr-FR" w:eastAsia="fr-FR" w:bidi="fr-FR"/>
        </w:rPr>
        <w:t>, Montréal, Fidès, 2002, p. 135-153.</w:t>
      </w:r>
    </w:p>
  </w:footnote>
  <w:footnote w:id="202">
    <w:p w14:paraId="4E5BA597" w14:textId="77777777" w:rsidR="0039793A" w:rsidRDefault="0039793A" w:rsidP="0039793A">
      <w:pPr>
        <w:pStyle w:val="Notedebasdepage"/>
      </w:pPr>
      <w:r>
        <w:rPr>
          <w:rStyle w:val="Appelnotedebasdep"/>
        </w:rPr>
        <w:footnoteRef/>
      </w:r>
      <w:r>
        <w:tab/>
      </w:r>
      <w:r w:rsidRPr="000563E3">
        <w:rPr>
          <w:lang w:val="fr-FR" w:eastAsia="fr-FR" w:bidi="fr-FR"/>
        </w:rPr>
        <w:t xml:space="preserve">Reinhold Niebuhr, </w:t>
      </w:r>
      <w:r w:rsidRPr="000563E3">
        <w:rPr>
          <w:rStyle w:val="NotedebasdepageItalique"/>
          <w:sz w:val="24"/>
        </w:rPr>
        <w:t>Moral Man and Immoral Society : A Study in Ethics and Politics,</w:t>
      </w:r>
      <w:r w:rsidRPr="000563E3">
        <w:rPr>
          <w:lang w:val="fr-FR" w:eastAsia="fr-FR" w:bidi="fr-FR"/>
        </w:rPr>
        <w:t xml:space="preserve"> New York, Scribner, I960, 284 p. De toute évidence, Niebuhr n’a exercé que très peu d’influence au moment de la parution de cet ouvrage. Il ne sera d</w:t>
      </w:r>
      <w:r w:rsidRPr="000563E3">
        <w:rPr>
          <w:lang w:val="fr-FR" w:eastAsia="fr-FR" w:bidi="fr-FR"/>
        </w:rPr>
        <w:t>é</w:t>
      </w:r>
      <w:r w:rsidRPr="000563E3">
        <w:rPr>
          <w:lang w:val="fr-FR" w:eastAsia="fr-FR" w:bidi="fr-FR"/>
        </w:rPr>
        <w:t>couvert par les politologues que plusieurs années plus tard.</w:t>
      </w:r>
    </w:p>
  </w:footnote>
  <w:footnote w:id="203">
    <w:p w14:paraId="2CEC62A1" w14:textId="77777777" w:rsidR="0039793A" w:rsidRDefault="0039793A" w:rsidP="0039793A">
      <w:pPr>
        <w:pStyle w:val="Notedebasdepage"/>
      </w:pPr>
      <w:r>
        <w:rPr>
          <w:rStyle w:val="Appelnotedebasdep"/>
        </w:rPr>
        <w:footnoteRef/>
      </w:r>
      <w:r>
        <w:tab/>
      </w:r>
      <w:r w:rsidRPr="000563E3">
        <w:rPr>
          <w:lang w:val="fr-FR" w:eastAsia="fr-FR" w:bidi="fr-FR"/>
        </w:rPr>
        <w:t xml:space="preserve">Voir George Kennan, </w:t>
      </w:r>
      <w:r w:rsidRPr="000563E3">
        <w:rPr>
          <w:rStyle w:val="NotedebasdepageItalique"/>
          <w:sz w:val="24"/>
        </w:rPr>
        <w:t>Memoirs,</w:t>
      </w:r>
      <w:r w:rsidRPr="000563E3">
        <w:rPr>
          <w:lang w:val="fr-FR" w:eastAsia="fr-FR" w:bidi="fr-FR"/>
        </w:rPr>
        <w:t xml:space="preserve"> Boston, Little Brown, 1967, p. 583-598.</w:t>
      </w:r>
    </w:p>
  </w:footnote>
  <w:footnote w:id="204">
    <w:p w14:paraId="03908CFD" w14:textId="77777777" w:rsidR="0039793A" w:rsidRDefault="0039793A" w:rsidP="0039793A">
      <w:pPr>
        <w:pStyle w:val="Notedebasdepage"/>
      </w:pPr>
      <w:r>
        <w:rPr>
          <w:rStyle w:val="Appelnotedebasdep"/>
        </w:rPr>
        <w:footnoteRef/>
      </w:r>
      <w:r>
        <w:tab/>
      </w:r>
      <w:r w:rsidRPr="000563E3">
        <w:rPr>
          <w:rStyle w:val="NotedebasdepageItalique"/>
          <w:sz w:val="24"/>
        </w:rPr>
        <w:t>Foreign Affairs,</w:t>
      </w:r>
      <w:r w:rsidRPr="000563E3">
        <w:rPr>
          <w:lang w:val="fr-FR" w:eastAsia="fr-FR" w:bidi="fr-FR"/>
        </w:rPr>
        <w:t xml:space="preserve"> juillet 1947, p. 566-582.</w:t>
      </w:r>
    </w:p>
  </w:footnote>
  <w:footnote w:id="205">
    <w:p w14:paraId="5B7D78DC" w14:textId="77777777" w:rsidR="0039793A" w:rsidRDefault="0039793A" w:rsidP="0039793A">
      <w:pPr>
        <w:pStyle w:val="Notedebasdepage"/>
      </w:pPr>
      <w:r>
        <w:rPr>
          <w:rStyle w:val="Appelnotedebasdep"/>
        </w:rPr>
        <w:footnoteRef/>
      </w:r>
      <w:r>
        <w:tab/>
      </w:r>
      <w:r w:rsidRPr="000563E3">
        <w:rPr>
          <w:rStyle w:val="NotedebasdepageItalique"/>
          <w:sz w:val="24"/>
        </w:rPr>
        <w:t>Op. cit.,</w:t>
      </w:r>
      <w:r w:rsidRPr="000563E3">
        <w:rPr>
          <w:lang w:val="fr-FR" w:eastAsia="fr-FR" w:bidi="fr-FR"/>
        </w:rPr>
        <w:t xml:space="preserve"> p. 574.</w:t>
      </w:r>
    </w:p>
  </w:footnote>
  <w:footnote w:id="206">
    <w:p w14:paraId="77927D8A" w14:textId="77777777" w:rsidR="0039793A" w:rsidRDefault="0039793A" w:rsidP="0039793A">
      <w:pPr>
        <w:pStyle w:val="Notedebasdepage"/>
      </w:pPr>
      <w:r>
        <w:rPr>
          <w:rStyle w:val="Appelnotedebasdep"/>
        </w:rPr>
        <w:footnoteRef/>
      </w:r>
      <w:r>
        <w:tab/>
      </w:r>
      <w:r w:rsidRPr="000563E3">
        <w:rPr>
          <w:lang w:val="fr-FR" w:eastAsia="fr-FR" w:bidi="fr-FR"/>
        </w:rPr>
        <w:t xml:space="preserve">Voir en particulier </w:t>
      </w:r>
      <w:r w:rsidRPr="000563E3">
        <w:rPr>
          <w:rStyle w:val="NotedebasdepageItalique"/>
          <w:sz w:val="24"/>
        </w:rPr>
        <w:t>La diplomatie américaine</w:t>
      </w:r>
      <w:r w:rsidRPr="000563E3">
        <w:rPr>
          <w:lang w:val="fr-FR" w:eastAsia="fr-FR" w:bidi="fr-FR"/>
        </w:rPr>
        <w:t>, Paris, Calmann-Lévy, 1952, 209 p.</w:t>
      </w:r>
    </w:p>
  </w:footnote>
  <w:footnote w:id="207">
    <w:p w14:paraId="49E70D5F" w14:textId="77777777" w:rsidR="0039793A" w:rsidRDefault="0039793A" w:rsidP="0039793A">
      <w:pPr>
        <w:pStyle w:val="Notedebasdepage"/>
      </w:pPr>
      <w:r>
        <w:rPr>
          <w:rStyle w:val="Appelnotedebasdep"/>
        </w:rPr>
        <w:footnoteRef/>
      </w:r>
      <w:r>
        <w:tab/>
      </w:r>
      <w:r w:rsidRPr="000563E3">
        <w:rPr>
          <w:lang w:val="fr-FR" w:eastAsia="fr-FR" w:bidi="fr-FR"/>
        </w:rPr>
        <w:t xml:space="preserve">Hans J. Morgenthau, </w:t>
      </w:r>
      <w:r w:rsidRPr="000563E3">
        <w:rPr>
          <w:rStyle w:val="NotedebasdepageItalique"/>
          <w:sz w:val="24"/>
        </w:rPr>
        <w:t>Politics Among Nations : the Struggle for Power and Peace,</w:t>
      </w:r>
      <w:r w:rsidRPr="000563E3">
        <w:rPr>
          <w:lang w:val="fr-FR" w:eastAsia="fr-FR" w:bidi="fr-FR"/>
        </w:rPr>
        <w:t xml:space="preserve"> New York, Alfred A. Knopf, 1978, 650 p.</w:t>
      </w:r>
    </w:p>
  </w:footnote>
  <w:footnote w:id="208">
    <w:p w14:paraId="3FF8C144" w14:textId="77777777" w:rsidR="0039793A" w:rsidRDefault="0039793A" w:rsidP="0039793A">
      <w:pPr>
        <w:pStyle w:val="Notedebasdepage"/>
      </w:pPr>
      <w:r>
        <w:rPr>
          <w:rStyle w:val="Appelnotedebasdep"/>
        </w:rPr>
        <w:footnoteRef/>
      </w:r>
      <w:r>
        <w:tab/>
      </w:r>
      <w:r w:rsidRPr="000563E3">
        <w:rPr>
          <w:lang w:val="fr-FR" w:eastAsia="fr-FR" w:bidi="fr-FR"/>
        </w:rPr>
        <w:t xml:space="preserve">Qu’on retienne seulement les appels de Truman à </w:t>
      </w:r>
      <w:r w:rsidRPr="000563E3">
        <w:t>« </w:t>
      </w:r>
      <w:r w:rsidRPr="000563E3">
        <w:rPr>
          <w:lang w:val="fr-FR" w:eastAsia="fr-FR" w:bidi="fr-FR"/>
        </w:rPr>
        <w:t>soutenir les peuples l</w:t>
      </w:r>
      <w:r w:rsidRPr="000563E3">
        <w:rPr>
          <w:lang w:val="fr-FR" w:eastAsia="fr-FR" w:bidi="fr-FR"/>
        </w:rPr>
        <w:t>i</w:t>
      </w:r>
      <w:r w:rsidRPr="000563E3">
        <w:rPr>
          <w:lang w:val="fr-FR" w:eastAsia="fr-FR" w:bidi="fr-FR"/>
        </w:rPr>
        <w:t>bres</w:t>
      </w:r>
      <w:r w:rsidRPr="000563E3">
        <w:t> »</w:t>
      </w:r>
      <w:r w:rsidRPr="000563E3">
        <w:rPr>
          <w:lang w:val="fr-FR" w:eastAsia="fr-FR" w:bidi="fr-FR"/>
        </w:rPr>
        <w:t xml:space="preserve"> (</w:t>
      </w:r>
      <w:r w:rsidRPr="000563E3">
        <w:rPr>
          <w:rStyle w:val="NotedebasdepageItalique"/>
          <w:sz w:val="24"/>
        </w:rPr>
        <w:t>Les grands textes</w:t>
      </w:r>
      <w:r w:rsidRPr="000563E3">
        <w:rPr>
          <w:lang w:val="fr-FR" w:eastAsia="fr-FR" w:bidi="fr-FR"/>
        </w:rPr>
        <w:t xml:space="preserve">, p. 70), les engagements d’Eisenhower à mettre l’atome au service de la paix </w:t>
      </w:r>
      <w:r w:rsidRPr="000563E3">
        <w:rPr>
          <w:rStyle w:val="Notedebasdepage105ptItalique"/>
          <w:sz w:val="24"/>
        </w:rPr>
        <w:t>(ibid</w:t>
      </w:r>
      <w:r>
        <w:rPr>
          <w:rStyle w:val="Notedebasdepage105ptItalique"/>
          <w:sz w:val="24"/>
        </w:rPr>
        <w:t xml:space="preserve">., </w:t>
      </w:r>
      <w:r w:rsidRPr="000563E3">
        <w:rPr>
          <w:lang w:val="fr-FR" w:eastAsia="fr-FR" w:bidi="fr-FR"/>
        </w:rPr>
        <w:t>p. 73-74) et les propos généreux du di</w:t>
      </w:r>
      <w:r w:rsidRPr="000563E3">
        <w:rPr>
          <w:lang w:val="fr-FR" w:eastAsia="fr-FR" w:bidi="fr-FR"/>
        </w:rPr>
        <w:t>s</w:t>
      </w:r>
      <w:r w:rsidRPr="000563E3">
        <w:rPr>
          <w:lang w:val="fr-FR" w:eastAsia="fr-FR" w:bidi="fr-FR"/>
        </w:rPr>
        <w:t xml:space="preserve">cours d’investiture de John F. Kennedy </w:t>
      </w:r>
      <w:r w:rsidRPr="000563E3">
        <w:t>« </w:t>
      </w:r>
      <w:r w:rsidRPr="000563E3">
        <w:rPr>
          <w:lang w:val="fr-FR" w:eastAsia="fr-FR" w:bidi="fr-FR"/>
        </w:rPr>
        <w:t>afin d’assurer la surv</w:t>
      </w:r>
      <w:r w:rsidRPr="000563E3">
        <w:rPr>
          <w:lang w:val="fr-FR" w:eastAsia="fr-FR" w:bidi="fr-FR"/>
        </w:rPr>
        <w:t>i</w:t>
      </w:r>
      <w:r w:rsidRPr="000563E3">
        <w:rPr>
          <w:lang w:val="fr-FR" w:eastAsia="fr-FR" w:bidi="fr-FR"/>
        </w:rPr>
        <w:t>vance et le triomphe de la liberté</w:t>
      </w:r>
      <w:r w:rsidRPr="000563E3">
        <w:t> »</w:t>
      </w:r>
      <w:r w:rsidRPr="000563E3">
        <w:rPr>
          <w:lang w:val="fr-FR" w:eastAsia="fr-FR" w:bidi="fr-FR"/>
        </w:rPr>
        <w:t xml:space="preserve">. </w:t>
      </w:r>
      <w:r>
        <w:rPr>
          <w:lang w:val="fr-FR" w:eastAsia="fr-FR" w:bidi="fr-FR"/>
        </w:rPr>
        <w:t>(</w:t>
      </w:r>
      <w:r w:rsidRPr="000563E3">
        <w:rPr>
          <w:rStyle w:val="NotedebasdepageItalique"/>
          <w:sz w:val="24"/>
        </w:rPr>
        <w:t>Ibid.,</w:t>
      </w:r>
      <w:r w:rsidRPr="000563E3">
        <w:rPr>
          <w:lang w:val="fr-FR" w:eastAsia="fr-FR" w:bidi="fr-FR"/>
        </w:rPr>
        <w:t xml:space="preserve"> p. 76.)</w:t>
      </w:r>
    </w:p>
  </w:footnote>
  <w:footnote w:id="209">
    <w:p w14:paraId="451B19AE" w14:textId="77777777" w:rsidR="0039793A" w:rsidRDefault="0039793A" w:rsidP="0039793A">
      <w:pPr>
        <w:pStyle w:val="Notedebasdepage"/>
      </w:pPr>
      <w:r>
        <w:rPr>
          <w:rStyle w:val="Appelnotedebasdep"/>
        </w:rPr>
        <w:footnoteRef/>
      </w:r>
      <w:r>
        <w:tab/>
      </w:r>
      <w:r w:rsidRPr="000563E3">
        <w:rPr>
          <w:lang w:val="fr-FR" w:eastAsia="fr-FR" w:bidi="fr-FR"/>
        </w:rPr>
        <w:t>Cette thèse a été publiée et traduite en français</w:t>
      </w:r>
      <w:r w:rsidRPr="000563E3">
        <w:t> :</w:t>
      </w:r>
      <w:r w:rsidRPr="000563E3">
        <w:rPr>
          <w:lang w:val="fr-FR" w:eastAsia="fr-FR" w:bidi="fr-FR"/>
        </w:rPr>
        <w:t xml:space="preserve"> Henry Kissinger, </w:t>
      </w:r>
      <w:r w:rsidRPr="000563E3">
        <w:rPr>
          <w:rStyle w:val="NotedebasdepageItalique"/>
          <w:sz w:val="24"/>
        </w:rPr>
        <w:t>Le ch</w:t>
      </w:r>
      <w:r w:rsidRPr="000563E3">
        <w:rPr>
          <w:rStyle w:val="NotedebasdepageItalique"/>
          <w:sz w:val="24"/>
        </w:rPr>
        <w:t>e</w:t>
      </w:r>
      <w:r w:rsidRPr="000563E3">
        <w:rPr>
          <w:rStyle w:val="NotedebasdepageItalique"/>
          <w:sz w:val="24"/>
        </w:rPr>
        <w:t>min de la paix,</w:t>
      </w:r>
      <w:r w:rsidRPr="000563E3">
        <w:rPr>
          <w:lang w:val="fr-FR" w:eastAsia="fr-FR" w:bidi="fr-FR"/>
        </w:rPr>
        <w:t xml:space="preserve"> Paris, Denoël, 1972, 441 p.</w:t>
      </w:r>
    </w:p>
  </w:footnote>
  <w:footnote w:id="210">
    <w:p w14:paraId="3BB50918" w14:textId="77777777" w:rsidR="0039793A" w:rsidRDefault="0039793A" w:rsidP="0039793A">
      <w:pPr>
        <w:pStyle w:val="Notedebasdepage"/>
      </w:pPr>
      <w:r>
        <w:rPr>
          <w:rStyle w:val="Appelnotedebasdep"/>
        </w:rPr>
        <w:footnoteRef/>
      </w:r>
      <w:r>
        <w:tab/>
      </w:r>
      <w:r w:rsidRPr="000563E3">
        <w:rPr>
          <w:rStyle w:val="Notedebasdepage2NonItalique"/>
          <w:sz w:val="24"/>
        </w:rPr>
        <w:t xml:space="preserve">Voir Henry Kissinger, </w:t>
      </w:r>
      <w:r w:rsidRPr="004C5EA2">
        <w:rPr>
          <w:i/>
          <w:iCs/>
          <w:lang w:val="fr-FR" w:eastAsia="fr-FR" w:bidi="fr-FR"/>
        </w:rPr>
        <w:t>Does America Need A Foreign Policy</w:t>
      </w:r>
      <w:r w:rsidRPr="004C5EA2">
        <w:rPr>
          <w:i/>
          <w:iCs/>
        </w:rPr>
        <w:t> ?</w:t>
      </w:r>
      <w:r w:rsidRPr="004C5EA2">
        <w:rPr>
          <w:i/>
          <w:iCs/>
          <w:lang w:val="fr-FR" w:eastAsia="fr-FR" w:bidi="fr-FR"/>
        </w:rPr>
        <w:t xml:space="preserve"> Toward a D</w:t>
      </w:r>
      <w:r w:rsidRPr="004C5EA2">
        <w:rPr>
          <w:i/>
          <w:iCs/>
          <w:lang w:val="fr-FR" w:eastAsia="fr-FR" w:bidi="fr-FR"/>
        </w:rPr>
        <w:t>i</w:t>
      </w:r>
      <w:r w:rsidRPr="004C5EA2">
        <w:rPr>
          <w:i/>
          <w:iCs/>
          <w:lang w:val="fr-FR" w:eastAsia="fr-FR" w:bidi="fr-FR"/>
        </w:rPr>
        <w:t>plomacy for the 21st Century</w:t>
      </w:r>
      <w:r w:rsidRPr="000563E3">
        <w:rPr>
          <w:lang w:val="fr-FR" w:eastAsia="fr-FR" w:bidi="fr-FR"/>
        </w:rPr>
        <w:t>,</w:t>
      </w:r>
      <w:r w:rsidRPr="000563E3">
        <w:rPr>
          <w:rStyle w:val="Notedebasdepage2NonItalique"/>
          <w:sz w:val="24"/>
        </w:rPr>
        <w:t xml:space="preserve"> New York, Simon &amp; Schuster, 2001, 318 p.</w:t>
      </w:r>
    </w:p>
  </w:footnote>
  <w:footnote w:id="211">
    <w:p w14:paraId="2B2AB23D" w14:textId="77777777" w:rsidR="0039793A" w:rsidRDefault="0039793A" w:rsidP="0039793A">
      <w:pPr>
        <w:pStyle w:val="Notedebasdepage"/>
      </w:pPr>
      <w:r>
        <w:rPr>
          <w:rStyle w:val="Appelnotedebasdep"/>
        </w:rPr>
        <w:footnoteRef/>
      </w:r>
      <w:r>
        <w:tab/>
      </w:r>
      <w:r w:rsidRPr="00660289">
        <w:t xml:space="preserve">Joseph S. Nyejr, </w:t>
      </w:r>
      <w:r w:rsidRPr="00A51DE3">
        <w:rPr>
          <w:i/>
          <w:iCs/>
        </w:rPr>
        <w:t>op. cit</w:t>
      </w:r>
      <w:r w:rsidRPr="00660289">
        <w:t>., p. 158.</w:t>
      </w:r>
    </w:p>
  </w:footnote>
  <w:footnote w:id="212">
    <w:p w14:paraId="2004A3CE" w14:textId="77777777" w:rsidR="0039793A" w:rsidRDefault="0039793A" w:rsidP="0039793A">
      <w:pPr>
        <w:pStyle w:val="Notedebasdepage"/>
      </w:pPr>
      <w:r>
        <w:rPr>
          <w:rStyle w:val="Appelnotedebasdep"/>
        </w:rPr>
        <w:footnoteRef/>
      </w:r>
      <w:r>
        <w:tab/>
      </w:r>
      <w:r w:rsidRPr="000563E3">
        <w:rPr>
          <w:lang w:val="fr-FR" w:eastAsia="fr-FR" w:bidi="fr-FR"/>
        </w:rPr>
        <w:t xml:space="preserve">Le </w:t>
      </w:r>
      <w:r w:rsidRPr="000563E3">
        <w:rPr>
          <w:rStyle w:val="NotedebasdepageItalique"/>
          <w:sz w:val="24"/>
        </w:rPr>
        <w:t>Peace Corps</w:t>
      </w:r>
      <w:r w:rsidRPr="000563E3">
        <w:rPr>
          <w:lang w:val="fr-FR" w:eastAsia="fr-FR" w:bidi="fr-FR"/>
        </w:rPr>
        <w:t xml:space="preserve"> est créé par Kennedy pour permettre à de jeunes Amér</w:t>
      </w:r>
      <w:r w:rsidRPr="000563E3">
        <w:rPr>
          <w:lang w:val="fr-FR" w:eastAsia="fr-FR" w:bidi="fr-FR"/>
        </w:rPr>
        <w:t>i</w:t>
      </w:r>
      <w:r w:rsidRPr="000563E3">
        <w:rPr>
          <w:lang w:val="fr-FR" w:eastAsia="fr-FR" w:bidi="fr-FR"/>
        </w:rPr>
        <w:t>cains bénévoles d’avoir un contact direct avec les populations des pays en voie de développement et de participer à des programmes de développ</w:t>
      </w:r>
      <w:r w:rsidRPr="000563E3">
        <w:rPr>
          <w:lang w:val="fr-FR" w:eastAsia="fr-FR" w:bidi="fr-FR"/>
        </w:rPr>
        <w:t>e</w:t>
      </w:r>
      <w:r w:rsidRPr="000563E3">
        <w:rPr>
          <w:lang w:val="fr-FR" w:eastAsia="fr-FR" w:bidi="fr-FR"/>
        </w:rPr>
        <w:t>ment.</w:t>
      </w:r>
    </w:p>
  </w:footnote>
  <w:footnote w:id="213">
    <w:p w14:paraId="6D0CE0E9" w14:textId="77777777" w:rsidR="0039793A" w:rsidRDefault="0039793A" w:rsidP="0039793A">
      <w:pPr>
        <w:pStyle w:val="Notedebasdepage"/>
      </w:pPr>
      <w:r>
        <w:rPr>
          <w:rStyle w:val="Appelnotedebasdep"/>
        </w:rPr>
        <w:footnoteRef/>
      </w:r>
      <w:r>
        <w:tab/>
      </w:r>
      <w:r w:rsidRPr="000563E3">
        <w:rPr>
          <w:lang w:val="fr-FR" w:eastAsia="fr-FR" w:bidi="fr-FR"/>
        </w:rPr>
        <w:t>En vue de contrer la révolution cubaine par des solutions positives, le go</w:t>
      </w:r>
      <w:r w:rsidRPr="000563E3">
        <w:rPr>
          <w:lang w:val="fr-FR" w:eastAsia="fr-FR" w:bidi="fr-FR"/>
        </w:rPr>
        <w:t>u</w:t>
      </w:r>
      <w:r w:rsidRPr="000563E3">
        <w:rPr>
          <w:lang w:val="fr-FR" w:eastAsia="fr-FR" w:bidi="fr-FR"/>
        </w:rPr>
        <w:t>vernement Kennedy a lancé ce pr</w:t>
      </w:r>
      <w:r w:rsidRPr="000563E3">
        <w:rPr>
          <w:lang w:val="fr-FR" w:eastAsia="fr-FR" w:bidi="fr-FR"/>
        </w:rPr>
        <w:t>o</w:t>
      </w:r>
      <w:r w:rsidRPr="000563E3">
        <w:rPr>
          <w:lang w:val="fr-FR" w:eastAsia="fr-FR" w:bidi="fr-FR"/>
        </w:rPr>
        <w:t>gramme d’aide économique en 1961. Il s’agissait de favoriser la croissance et de réduire les inégalités par des r</w:t>
      </w:r>
      <w:r w:rsidRPr="000563E3">
        <w:rPr>
          <w:lang w:val="fr-FR" w:eastAsia="fr-FR" w:bidi="fr-FR"/>
        </w:rPr>
        <w:t>é</w:t>
      </w:r>
      <w:r w:rsidRPr="000563E3">
        <w:rPr>
          <w:lang w:val="fr-FR" w:eastAsia="fr-FR" w:bidi="fr-FR"/>
        </w:rPr>
        <w:t>formes agraires.</w:t>
      </w:r>
    </w:p>
  </w:footnote>
  <w:footnote w:id="214">
    <w:p w14:paraId="221D4B00" w14:textId="77777777" w:rsidR="0039793A" w:rsidRDefault="0039793A" w:rsidP="0039793A">
      <w:pPr>
        <w:pStyle w:val="Notedebasdepage"/>
      </w:pPr>
      <w:r>
        <w:rPr>
          <w:rStyle w:val="Appelnotedebasdep"/>
        </w:rPr>
        <w:footnoteRef/>
      </w:r>
      <w:r>
        <w:tab/>
      </w:r>
      <w:r w:rsidRPr="000563E3">
        <w:rPr>
          <w:lang w:val="fr-FR" w:eastAsia="fr-FR" w:bidi="fr-FR"/>
        </w:rPr>
        <w:t>Ce comité est mis sur pied en mars 1976 par un groupe de conservateurs f</w:t>
      </w:r>
      <w:r w:rsidRPr="000563E3">
        <w:rPr>
          <w:lang w:val="fr-FR" w:eastAsia="fr-FR" w:bidi="fr-FR"/>
        </w:rPr>
        <w:t>a</w:t>
      </w:r>
      <w:r w:rsidRPr="000563E3">
        <w:rPr>
          <w:lang w:val="fr-FR" w:eastAsia="fr-FR" w:bidi="fr-FR"/>
        </w:rPr>
        <w:t>rouchement anticommunistes soucieux de préserver un soi-disant équilibre militaire qui, à leurs yeux, est sérieusement menacé par les politiques de d</w:t>
      </w:r>
      <w:r w:rsidRPr="000563E3">
        <w:rPr>
          <w:lang w:val="fr-FR" w:eastAsia="fr-FR" w:bidi="fr-FR"/>
        </w:rPr>
        <w:t>é</w:t>
      </w:r>
      <w:r w:rsidRPr="000563E3">
        <w:rPr>
          <w:lang w:val="fr-FR" w:eastAsia="fr-FR" w:bidi="fr-FR"/>
        </w:rPr>
        <w:t>tente de Nixon et de Ford. La poursuite de la détente et de la limitation des armes par Carter leur paraîtra particulièr</w:t>
      </w:r>
      <w:r w:rsidRPr="000563E3">
        <w:rPr>
          <w:lang w:val="fr-FR" w:eastAsia="fr-FR" w:bidi="fr-FR"/>
        </w:rPr>
        <w:t>e</w:t>
      </w:r>
      <w:r w:rsidRPr="000563E3">
        <w:rPr>
          <w:lang w:val="fr-FR" w:eastAsia="fr-FR" w:bidi="fr-FR"/>
        </w:rPr>
        <w:t>ment inquiétante.</w:t>
      </w:r>
    </w:p>
  </w:footnote>
  <w:footnote w:id="215">
    <w:p w14:paraId="58D2F852" w14:textId="77777777" w:rsidR="0039793A" w:rsidRDefault="0039793A" w:rsidP="0039793A">
      <w:pPr>
        <w:pStyle w:val="Notedebasdepage"/>
      </w:pPr>
      <w:r>
        <w:rPr>
          <w:rStyle w:val="Appelnotedebasdep"/>
        </w:rPr>
        <w:footnoteRef/>
      </w:r>
      <w:r>
        <w:tab/>
      </w:r>
      <w:r w:rsidRPr="000563E3">
        <w:rPr>
          <w:lang w:val="fr-FR" w:eastAsia="fr-FR" w:bidi="fr-FR"/>
        </w:rPr>
        <w:t>Dès le mois de septembre 1990, le gouvernement américain est parvenu à rassembler une coalition internationale de 27 pays, ce qui aurait été inimag</w:t>
      </w:r>
      <w:r w:rsidRPr="000563E3">
        <w:rPr>
          <w:lang w:val="fr-FR" w:eastAsia="fr-FR" w:bidi="fr-FR"/>
        </w:rPr>
        <w:t>i</w:t>
      </w:r>
      <w:r w:rsidRPr="000563E3">
        <w:rPr>
          <w:lang w:val="fr-FR" w:eastAsia="fr-FR" w:bidi="fr-FR"/>
        </w:rPr>
        <w:t>nable durant la guerre froide. L’invasion du Koweït est condamnée par les N</w:t>
      </w:r>
      <w:r w:rsidRPr="000563E3">
        <w:rPr>
          <w:lang w:val="fr-FR" w:eastAsia="fr-FR" w:bidi="fr-FR"/>
        </w:rPr>
        <w:t>a</w:t>
      </w:r>
      <w:r w:rsidRPr="000563E3">
        <w:rPr>
          <w:lang w:val="fr-FR" w:eastAsia="fr-FR" w:bidi="fr-FR"/>
        </w:rPr>
        <w:t xml:space="preserve">tions unies, par la Ligue arabe et par </w:t>
      </w:r>
      <w:r w:rsidRPr="000563E3">
        <w:rPr>
          <w:rStyle w:val="Notedebasdepage6pt"/>
          <w:sz w:val="24"/>
        </w:rPr>
        <w:t xml:space="preserve">l’URSS. </w:t>
      </w:r>
      <w:r w:rsidRPr="000563E3">
        <w:rPr>
          <w:lang w:val="fr-FR" w:eastAsia="fr-FR" w:bidi="fr-FR"/>
        </w:rPr>
        <w:t>Le 29 novembre 1990, le Conseil de s</w:t>
      </w:r>
      <w:r w:rsidRPr="000563E3">
        <w:rPr>
          <w:lang w:val="fr-FR" w:eastAsia="fr-FR" w:bidi="fr-FR"/>
        </w:rPr>
        <w:t>é</w:t>
      </w:r>
      <w:r w:rsidRPr="000563E3">
        <w:rPr>
          <w:lang w:val="fr-FR" w:eastAsia="fr-FR" w:bidi="fr-FR"/>
        </w:rPr>
        <w:t>curité des Nations unies adopte la résolution 678 autorisant le recours à la force en Irak si le Koweït n’a pas été évacué le 15 janvier 1991.</w:t>
      </w:r>
    </w:p>
  </w:footnote>
  <w:footnote w:id="216">
    <w:p w14:paraId="308D39E8" w14:textId="77777777" w:rsidR="0039793A" w:rsidRDefault="0039793A" w:rsidP="0039793A">
      <w:pPr>
        <w:pStyle w:val="Notedebasdepage"/>
      </w:pPr>
      <w:r>
        <w:rPr>
          <w:rStyle w:val="Appelnotedebasdep"/>
        </w:rPr>
        <w:footnoteRef/>
      </w:r>
      <w:r>
        <w:tab/>
      </w:r>
      <w:r w:rsidRPr="000563E3">
        <w:rPr>
          <w:lang w:val="fr-FR" w:eastAsia="fr-FR" w:bidi="fr-FR"/>
        </w:rPr>
        <w:t>L’opposition au libre-échange était très forte dans la population américaine. Ce courant était représenté non seulement par des protectionnistes de droite comme Ross Perot, mais aussi par plusieurs sénateurs démocrates. La gra</w:t>
      </w:r>
      <w:r w:rsidRPr="000563E3">
        <w:rPr>
          <w:lang w:val="fr-FR" w:eastAsia="fr-FR" w:bidi="fr-FR"/>
        </w:rPr>
        <w:t>n</w:t>
      </w:r>
      <w:r w:rsidRPr="000563E3">
        <w:rPr>
          <w:lang w:val="fr-FR" w:eastAsia="fr-FR" w:bidi="fr-FR"/>
        </w:rPr>
        <w:t>de crainte, celle des syndicats notamment, est la perte d’emplois entraînée par l’ouverture des frontières aux e</w:t>
      </w:r>
      <w:r w:rsidRPr="000563E3">
        <w:rPr>
          <w:lang w:val="fr-FR" w:eastAsia="fr-FR" w:bidi="fr-FR"/>
        </w:rPr>
        <w:t>x</w:t>
      </w:r>
      <w:r w:rsidRPr="000563E3">
        <w:rPr>
          <w:lang w:val="fr-FR" w:eastAsia="fr-FR" w:bidi="fr-FR"/>
        </w:rPr>
        <w:t>portations étrangères.</w:t>
      </w:r>
    </w:p>
  </w:footnote>
  <w:footnote w:id="217">
    <w:p w14:paraId="34F34423" w14:textId="77777777" w:rsidR="0039793A" w:rsidRDefault="0039793A" w:rsidP="0039793A">
      <w:pPr>
        <w:pStyle w:val="Notedebasdepage"/>
      </w:pPr>
      <w:r>
        <w:rPr>
          <w:rStyle w:val="Appelnotedebasdep"/>
        </w:rPr>
        <w:footnoteRef/>
      </w:r>
      <w:r>
        <w:tab/>
      </w:r>
      <w:r w:rsidRPr="000563E3">
        <w:rPr>
          <w:lang w:val="fr-FR" w:eastAsia="fr-FR" w:bidi="fr-FR"/>
        </w:rPr>
        <w:t>L</w:t>
      </w:r>
      <w:r w:rsidRPr="000563E3">
        <w:rPr>
          <w:rStyle w:val="NotedebasdepageItalique"/>
          <w:sz w:val="24"/>
        </w:rPr>
        <w:t>'Uruguay Round</w:t>
      </w:r>
      <w:r w:rsidRPr="000563E3">
        <w:rPr>
          <w:lang w:val="fr-FR" w:eastAsia="fr-FR" w:bidi="fr-FR"/>
        </w:rPr>
        <w:t xml:space="preserve"> était la troisième des grandes tou</w:t>
      </w:r>
      <w:r w:rsidRPr="000563E3">
        <w:rPr>
          <w:lang w:val="fr-FR" w:eastAsia="fr-FR" w:bidi="fr-FR"/>
        </w:rPr>
        <w:t>r</w:t>
      </w:r>
      <w:r w:rsidRPr="000563E3">
        <w:rPr>
          <w:lang w:val="fr-FR" w:eastAsia="fr-FR" w:bidi="fr-FR"/>
        </w:rPr>
        <w:t xml:space="preserve">nées de négociations commerciales amorcées au début des années </w:t>
      </w:r>
      <w:r>
        <w:rPr>
          <w:lang w:val="fr-FR" w:eastAsia="fr-FR" w:bidi="fr-FR"/>
        </w:rPr>
        <w:t>1</w:t>
      </w:r>
      <w:r w:rsidRPr="000563E3">
        <w:rPr>
          <w:lang w:val="fr-FR" w:eastAsia="fr-FR" w:bidi="fr-FR"/>
        </w:rPr>
        <w:t>960 en vue de libéraliser les échanges internati</w:t>
      </w:r>
      <w:r w:rsidRPr="000563E3">
        <w:rPr>
          <w:lang w:val="fr-FR" w:eastAsia="fr-FR" w:bidi="fr-FR"/>
        </w:rPr>
        <w:t>o</w:t>
      </w:r>
      <w:r w:rsidRPr="000563E3">
        <w:rPr>
          <w:lang w:val="fr-FR" w:eastAsia="fr-FR" w:bidi="fr-FR"/>
        </w:rPr>
        <w:t xml:space="preserve">naux sous les auspices du </w:t>
      </w:r>
      <w:r w:rsidRPr="000563E3">
        <w:rPr>
          <w:rStyle w:val="Notedebasdepage6pt"/>
          <w:sz w:val="24"/>
        </w:rPr>
        <w:t xml:space="preserve">GATT </w:t>
      </w:r>
      <w:r w:rsidRPr="000563E3">
        <w:rPr>
          <w:rStyle w:val="NotedebasdepageItalique"/>
          <w:sz w:val="24"/>
        </w:rPr>
        <w:t>(General Agreements on Tariffs and Tr</w:t>
      </w:r>
      <w:r w:rsidRPr="000563E3">
        <w:rPr>
          <w:rStyle w:val="NotedebasdepageItalique"/>
          <w:sz w:val="24"/>
        </w:rPr>
        <w:t>a</w:t>
      </w:r>
      <w:r w:rsidRPr="000563E3">
        <w:rPr>
          <w:rStyle w:val="NotedebasdepageItalique"/>
          <w:sz w:val="24"/>
        </w:rPr>
        <w:t>de</w:t>
      </w:r>
      <w:r w:rsidRPr="000563E3">
        <w:t> :</w:t>
      </w:r>
      <w:r w:rsidRPr="000563E3">
        <w:rPr>
          <w:lang w:val="fr-FR" w:eastAsia="fr-FR" w:bidi="fr-FR"/>
        </w:rPr>
        <w:t xml:space="preserve"> accords généraux sur les tarifs et les échanges).</w:t>
      </w:r>
    </w:p>
  </w:footnote>
  <w:footnote w:id="218">
    <w:p w14:paraId="7389B7CC" w14:textId="77777777" w:rsidR="0039793A" w:rsidRDefault="0039793A" w:rsidP="0039793A">
      <w:pPr>
        <w:pStyle w:val="Notedebasdepage"/>
      </w:pPr>
      <w:r>
        <w:rPr>
          <w:rStyle w:val="Appelnotedebasdep"/>
        </w:rPr>
        <w:footnoteRef/>
      </w:r>
      <w:r>
        <w:tab/>
      </w:r>
      <w:r w:rsidRPr="000563E3">
        <w:rPr>
          <w:lang w:val="fr-FR" w:eastAsia="fr-FR" w:bidi="fr-FR"/>
        </w:rPr>
        <w:t>Après avoir temporisé dans l’espoir que les conflits e</w:t>
      </w:r>
      <w:r w:rsidRPr="000563E3">
        <w:rPr>
          <w:lang w:val="fr-FR" w:eastAsia="fr-FR" w:bidi="fr-FR"/>
        </w:rPr>
        <w:t>n</w:t>
      </w:r>
      <w:r w:rsidRPr="000563E3">
        <w:rPr>
          <w:lang w:val="fr-FR" w:eastAsia="fr-FR" w:bidi="fr-FR"/>
        </w:rPr>
        <w:t>tre Serbes, Croates et Bosniaques musulmans trouvent une solution européenne, la diplomatie américaine se fit très active en ex-Yougoslavie, avant qu’on en vienne à ut</w:t>
      </w:r>
      <w:r w:rsidRPr="000563E3">
        <w:rPr>
          <w:lang w:val="fr-FR" w:eastAsia="fr-FR" w:bidi="fr-FR"/>
        </w:rPr>
        <w:t>i</w:t>
      </w:r>
      <w:r w:rsidRPr="000563E3">
        <w:rPr>
          <w:lang w:val="fr-FR" w:eastAsia="fr-FR" w:bidi="fr-FR"/>
        </w:rPr>
        <w:t xml:space="preserve">liser la force, par l’intermédiaire de </w:t>
      </w:r>
      <w:r w:rsidRPr="000563E3">
        <w:rPr>
          <w:rStyle w:val="Notedebasdepage6pt"/>
          <w:sz w:val="24"/>
        </w:rPr>
        <w:t xml:space="preserve">l’OTAN. </w:t>
      </w:r>
      <w:r w:rsidRPr="000563E3">
        <w:rPr>
          <w:lang w:val="fr-FR" w:eastAsia="fr-FR" w:bidi="fr-FR"/>
        </w:rPr>
        <w:t>Clinton a aussi tenté de jouer un rôle dans le conflit entre catholiques et protestants en Ulster. Enfin, c’est le président démocrate qui parvin</w:t>
      </w:r>
      <w:r>
        <w:rPr>
          <w:lang w:val="fr-FR" w:eastAsia="fr-FR" w:bidi="fr-FR"/>
        </w:rPr>
        <w:t>t, dans la foulée des accords d’</w:t>
      </w:r>
      <w:r w:rsidRPr="000563E3">
        <w:rPr>
          <w:lang w:val="fr-FR" w:eastAsia="fr-FR" w:bidi="fr-FR"/>
        </w:rPr>
        <w:t>Oslo à am</w:t>
      </w:r>
      <w:r w:rsidRPr="000563E3">
        <w:rPr>
          <w:lang w:val="fr-FR" w:eastAsia="fr-FR" w:bidi="fr-FR"/>
        </w:rPr>
        <w:t>e</w:t>
      </w:r>
      <w:r w:rsidRPr="000563E3">
        <w:rPr>
          <w:lang w:val="fr-FR" w:eastAsia="fr-FR" w:bidi="fr-FR"/>
        </w:rPr>
        <w:t>ner une rencontre entre le Premier ministre Rabin d’Israël et le président de l’Autorité palestinienne Ya</w:t>
      </w:r>
      <w:r w:rsidRPr="000563E3">
        <w:rPr>
          <w:lang w:val="fr-FR" w:eastAsia="fr-FR" w:bidi="fr-FR"/>
        </w:rPr>
        <w:t>s</w:t>
      </w:r>
      <w:r w:rsidRPr="000563E3">
        <w:rPr>
          <w:lang w:val="fr-FR" w:eastAsia="fr-FR" w:bidi="fr-FR"/>
        </w:rPr>
        <w:t>ser Arafat à la Maison-Blanche en 1995. À l’été 2000, Clinton revient à la charge et convoque à Camp David Arafat et Barak à un sommet sans lendemain. Le président démocrate pou</w:t>
      </w:r>
      <w:r w:rsidRPr="000563E3">
        <w:rPr>
          <w:lang w:val="fr-FR" w:eastAsia="fr-FR" w:bidi="fr-FR"/>
        </w:rPr>
        <w:t>r</w:t>
      </w:r>
      <w:r w:rsidRPr="000563E3">
        <w:rPr>
          <w:lang w:val="fr-FR" w:eastAsia="fr-FR" w:bidi="fr-FR"/>
        </w:rPr>
        <w:t>suit tout de même ses efforts jusqu’à la fin de son mandat en janvier 2001.</w:t>
      </w:r>
    </w:p>
  </w:footnote>
  <w:footnote w:id="219">
    <w:p w14:paraId="055CF916" w14:textId="77777777" w:rsidR="0039793A" w:rsidRDefault="0039793A" w:rsidP="0039793A">
      <w:pPr>
        <w:pStyle w:val="Notedebasdepage"/>
      </w:pPr>
      <w:r>
        <w:rPr>
          <w:rStyle w:val="Appelnotedebasdep"/>
        </w:rPr>
        <w:footnoteRef/>
      </w:r>
      <w:r>
        <w:tab/>
      </w:r>
      <w:r w:rsidRPr="000563E3">
        <w:rPr>
          <w:lang w:val="fr-FR" w:eastAsia="fr-FR" w:bidi="fr-FR"/>
        </w:rPr>
        <w:t>Comme le traité global d’interdiction des essais nucléaires, la Cour intern</w:t>
      </w:r>
      <w:r w:rsidRPr="000563E3">
        <w:rPr>
          <w:lang w:val="fr-FR" w:eastAsia="fr-FR" w:bidi="fr-FR"/>
        </w:rPr>
        <w:t>a</w:t>
      </w:r>
      <w:r w:rsidRPr="000563E3">
        <w:rPr>
          <w:lang w:val="fr-FR" w:eastAsia="fr-FR" w:bidi="fr-FR"/>
        </w:rPr>
        <w:t>ti</w:t>
      </w:r>
      <w:r w:rsidRPr="000563E3">
        <w:rPr>
          <w:lang w:val="fr-FR" w:eastAsia="fr-FR" w:bidi="fr-FR"/>
        </w:rPr>
        <w:t>o</w:t>
      </w:r>
      <w:r w:rsidRPr="000563E3">
        <w:rPr>
          <w:lang w:val="fr-FR" w:eastAsia="fr-FR" w:bidi="fr-FR"/>
        </w:rPr>
        <w:t>nale de justice et le protocole de Kyoto sur l’environnement.</w:t>
      </w:r>
    </w:p>
  </w:footnote>
  <w:footnote w:id="220">
    <w:p w14:paraId="5ACC6ABA" w14:textId="77777777" w:rsidR="0039793A" w:rsidRDefault="0039793A" w:rsidP="0039793A">
      <w:pPr>
        <w:pStyle w:val="Notedebasdepage"/>
      </w:pPr>
      <w:r>
        <w:rPr>
          <w:rStyle w:val="Appelnotedebasdep"/>
        </w:rPr>
        <w:footnoteRef/>
      </w:r>
      <w:r>
        <w:tab/>
      </w:r>
      <w:r w:rsidRPr="000563E3">
        <w:rPr>
          <w:lang w:val="fr-FR" w:eastAsia="fr-FR" w:bidi="fr-FR"/>
        </w:rPr>
        <w:t xml:space="preserve">Nye,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lang w:val="fr-FR" w:eastAsia="fr-FR" w:bidi="fr-FR"/>
        </w:rPr>
        <w:t xml:space="preserve"> p. 138.</w:t>
      </w:r>
    </w:p>
  </w:footnote>
  <w:footnote w:id="221">
    <w:p w14:paraId="6F274213" w14:textId="77777777" w:rsidR="0039793A" w:rsidRDefault="0039793A" w:rsidP="0039793A">
      <w:pPr>
        <w:pStyle w:val="Notedebasdepage"/>
      </w:pPr>
      <w:r>
        <w:rPr>
          <w:rStyle w:val="Appelnotedebasdep"/>
        </w:rPr>
        <w:footnoteRef/>
      </w:r>
      <w:r>
        <w:tab/>
      </w:r>
      <w:r w:rsidRPr="000563E3">
        <w:rPr>
          <w:lang w:val="fr-FR" w:eastAsia="fr-FR" w:bidi="fr-FR"/>
        </w:rPr>
        <w:t>Le Kosovo est une province serbe et, en principe, la politique qui y était pratiquée pouvait être considérée comme appartenant à la politique intérie</w:t>
      </w:r>
      <w:r w:rsidRPr="000563E3">
        <w:rPr>
          <w:lang w:val="fr-FR" w:eastAsia="fr-FR" w:bidi="fr-FR"/>
        </w:rPr>
        <w:t>u</w:t>
      </w:r>
      <w:r w:rsidRPr="000563E3">
        <w:rPr>
          <w:lang w:val="fr-FR" w:eastAsia="fr-FR" w:bidi="fr-FR"/>
        </w:rPr>
        <w:t>re de la Yougoslavie. Pour autant, l’Administration Clinton choisit d’intervenir. Le bomba</w:t>
      </w:r>
      <w:r w:rsidRPr="000563E3">
        <w:rPr>
          <w:lang w:val="fr-FR" w:eastAsia="fr-FR" w:bidi="fr-FR"/>
        </w:rPr>
        <w:t>r</w:t>
      </w:r>
      <w:r w:rsidRPr="000563E3">
        <w:rPr>
          <w:lang w:val="fr-FR" w:eastAsia="fr-FR" w:bidi="fr-FR"/>
        </w:rPr>
        <w:t xml:space="preserve">dement de la Serbie, sous l’égide de </w:t>
      </w:r>
      <w:r w:rsidRPr="000563E3">
        <w:rPr>
          <w:rStyle w:val="Notedebasdepage6pt"/>
          <w:sz w:val="24"/>
        </w:rPr>
        <w:t xml:space="preserve">l’OTAN, </w:t>
      </w:r>
      <w:r w:rsidRPr="000563E3">
        <w:rPr>
          <w:lang w:val="fr-FR" w:eastAsia="fr-FR" w:bidi="fr-FR"/>
        </w:rPr>
        <w:t>a considérablement affaibli le gouvernement de Slobodan Milosevic, contr</w:t>
      </w:r>
      <w:r w:rsidRPr="000563E3">
        <w:rPr>
          <w:lang w:val="fr-FR" w:eastAsia="fr-FR" w:bidi="fr-FR"/>
        </w:rPr>
        <w:t>i</w:t>
      </w:r>
      <w:r w:rsidRPr="000563E3">
        <w:rPr>
          <w:lang w:val="fr-FR" w:eastAsia="fr-FR" w:bidi="fr-FR"/>
        </w:rPr>
        <w:t>bué à sa chute éventuelle et à la mise en accusation du président yougoslave par le tribunal intern</w:t>
      </w:r>
      <w:r w:rsidRPr="000563E3">
        <w:rPr>
          <w:lang w:val="fr-FR" w:eastAsia="fr-FR" w:bidi="fr-FR"/>
        </w:rPr>
        <w:t>a</w:t>
      </w:r>
      <w:r w:rsidRPr="000563E3">
        <w:rPr>
          <w:lang w:val="fr-FR" w:eastAsia="fr-FR" w:bidi="fr-FR"/>
        </w:rPr>
        <w:t>tional sur les crimes de guerre en Yougoslavie.</w:t>
      </w:r>
    </w:p>
  </w:footnote>
  <w:footnote w:id="222">
    <w:p w14:paraId="501ED14E" w14:textId="77777777" w:rsidR="0039793A" w:rsidRDefault="0039793A" w:rsidP="0039793A">
      <w:pPr>
        <w:pStyle w:val="Notedebasdepage"/>
      </w:pPr>
      <w:r>
        <w:rPr>
          <w:rStyle w:val="Appelnotedebasdep"/>
        </w:rPr>
        <w:footnoteRef/>
      </w:r>
      <w:r>
        <w:tab/>
      </w:r>
      <w:r w:rsidRPr="000563E3">
        <w:rPr>
          <w:lang w:val="fr-FR" w:eastAsia="fr-FR" w:bidi="fr-FR"/>
        </w:rPr>
        <w:t>Car on agissait en fonction d’un principe qu’on ne voulait ni ne pouvait a</w:t>
      </w:r>
      <w:r w:rsidRPr="000563E3">
        <w:rPr>
          <w:lang w:val="fr-FR" w:eastAsia="fr-FR" w:bidi="fr-FR"/>
        </w:rPr>
        <w:t>p</w:t>
      </w:r>
      <w:r w:rsidRPr="000563E3">
        <w:rPr>
          <w:lang w:val="fr-FR" w:eastAsia="fr-FR" w:bidi="fr-FR"/>
        </w:rPr>
        <w:t>pliquer ailleurs, par exemple en Tchétchénie où les Russes se livraient à de sembl</w:t>
      </w:r>
      <w:r w:rsidRPr="000563E3">
        <w:rPr>
          <w:lang w:val="fr-FR" w:eastAsia="fr-FR" w:bidi="fr-FR"/>
        </w:rPr>
        <w:t>a</w:t>
      </w:r>
      <w:r w:rsidRPr="000563E3">
        <w:rPr>
          <w:lang w:val="fr-FR" w:eastAsia="fr-FR" w:bidi="fr-FR"/>
        </w:rPr>
        <w:t>bles exactions.</w:t>
      </w:r>
    </w:p>
  </w:footnote>
  <w:footnote w:id="223">
    <w:p w14:paraId="495087A9" w14:textId="77777777" w:rsidR="0039793A" w:rsidRDefault="0039793A" w:rsidP="0039793A">
      <w:pPr>
        <w:pStyle w:val="Notedebasdepage"/>
      </w:pPr>
      <w:r>
        <w:rPr>
          <w:rStyle w:val="Appelnotedebasdep"/>
        </w:rPr>
        <w:footnoteRef/>
      </w:r>
      <w:r>
        <w:tab/>
      </w:r>
      <w:r w:rsidRPr="000563E3">
        <w:rPr>
          <w:lang w:val="fr-FR" w:eastAsia="fr-FR" w:bidi="fr-FR"/>
        </w:rPr>
        <w:t>On notera cependant que la non-intervention au Rwa</w:t>
      </w:r>
      <w:r w:rsidRPr="000563E3">
        <w:rPr>
          <w:lang w:val="fr-FR" w:eastAsia="fr-FR" w:bidi="fr-FR"/>
        </w:rPr>
        <w:t>n</w:t>
      </w:r>
      <w:r w:rsidRPr="000563E3">
        <w:rPr>
          <w:lang w:val="fr-FR" w:eastAsia="fr-FR" w:bidi="fr-FR"/>
        </w:rPr>
        <w:t xml:space="preserve">da est, quels que soient les arguments, un échec majeur de l’interventionnisme libéral prôné par Clinton. Voir à ce titre, Samantha Power, </w:t>
      </w:r>
      <w:r w:rsidRPr="000563E3">
        <w:rPr>
          <w:rStyle w:val="NotedebasdepageItalique"/>
          <w:sz w:val="24"/>
        </w:rPr>
        <w:t>A Problem from Hell. America and the Age of Génocide,</w:t>
      </w:r>
      <w:r w:rsidRPr="000563E3">
        <w:rPr>
          <w:lang w:val="fr-FR" w:eastAsia="fr-FR" w:bidi="fr-FR"/>
        </w:rPr>
        <w:t xml:space="preserve"> New York, Basic Books, 2002, 610 p.</w:t>
      </w:r>
    </w:p>
  </w:footnote>
  <w:footnote w:id="224">
    <w:p w14:paraId="31712E92" w14:textId="77777777" w:rsidR="0039793A" w:rsidRDefault="0039793A" w:rsidP="0039793A">
      <w:pPr>
        <w:pStyle w:val="Notedebasdepage"/>
      </w:pPr>
      <w:r>
        <w:rPr>
          <w:rStyle w:val="Appelnotedebasdep"/>
        </w:rPr>
        <w:footnoteRef/>
      </w:r>
      <w:r>
        <w:tab/>
      </w:r>
      <w:r w:rsidRPr="000563E3">
        <w:rPr>
          <w:lang w:val="fr-FR" w:eastAsia="fr-FR" w:bidi="fr-FR"/>
        </w:rPr>
        <w:t xml:space="preserve">Michael Mandelbaum dénonçait ce qu’il voyait comme une tendance de l’Administration Clinton à s’engager dans le </w:t>
      </w:r>
      <w:r w:rsidRPr="000563E3">
        <w:t>« </w:t>
      </w:r>
      <w:r w:rsidRPr="000563E3">
        <w:rPr>
          <w:lang w:val="fr-FR" w:eastAsia="fr-FR" w:bidi="fr-FR"/>
        </w:rPr>
        <w:t>travail social</w:t>
      </w:r>
      <w:r w:rsidRPr="000563E3">
        <w:t> »</w:t>
      </w:r>
      <w:r w:rsidRPr="000563E3">
        <w:rPr>
          <w:lang w:val="fr-FR" w:eastAsia="fr-FR" w:bidi="fr-FR"/>
        </w:rPr>
        <w:t xml:space="preserve"> plutôt qu’à protéger les intérêts nationaux des </w:t>
      </w:r>
      <w:r>
        <w:rPr>
          <w:lang w:val="fr-FR" w:eastAsia="fr-FR" w:bidi="fr-FR"/>
        </w:rPr>
        <w:t>État</w:t>
      </w:r>
      <w:r w:rsidRPr="000563E3">
        <w:rPr>
          <w:lang w:val="fr-FR" w:eastAsia="fr-FR" w:bidi="fr-FR"/>
        </w:rPr>
        <w:t>s-Unis. Il citait les exemples d’intervention en S</w:t>
      </w:r>
      <w:r w:rsidRPr="000563E3">
        <w:rPr>
          <w:lang w:val="fr-FR" w:eastAsia="fr-FR" w:bidi="fr-FR"/>
        </w:rPr>
        <w:t>o</w:t>
      </w:r>
      <w:r w:rsidRPr="000563E3">
        <w:rPr>
          <w:lang w:val="fr-FR" w:eastAsia="fr-FR" w:bidi="fr-FR"/>
        </w:rPr>
        <w:t xml:space="preserve">malie, à Haïti et en Bosnie. </w:t>
      </w:r>
      <w:r w:rsidRPr="000563E3">
        <w:t>« </w:t>
      </w:r>
      <w:r w:rsidRPr="000563E3">
        <w:rPr>
          <w:lang w:val="fr-FR" w:eastAsia="fr-FR" w:bidi="fr-FR"/>
        </w:rPr>
        <w:t>Foreign Policy as Social Work</w:t>
      </w:r>
      <w:r w:rsidRPr="000563E3">
        <w:t> »</w:t>
      </w:r>
      <w:r w:rsidRPr="000563E3">
        <w:rPr>
          <w:lang w:val="fr-FR" w:eastAsia="fr-FR" w:bidi="fr-FR"/>
        </w:rPr>
        <w:t xml:space="preserve">, </w:t>
      </w:r>
      <w:r w:rsidRPr="000563E3">
        <w:rPr>
          <w:rStyle w:val="NotedebasdepageItalique"/>
          <w:sz w:val="24"/>
        </w:rPr>
        <w:t>Foreign Affairs,</w:t>
      </w:r>
      <w:r w:rsidRPr="000563E3">
        <w:rPr>
          <w:lang w:val="fr-FR" w:eastAsia="fr-FR" w:bidi="fr-FR"/>
        </w:rPr>
        <w:t xml:space="preserve"> 75 (1), janvier-février 1996, p. 16-32.</w:t>
      </w:r>
    </w:p>
  </w:footnote>
  <w:footnote w:id="225">
    <w:p w14:paraId="5E145826" w14:textId="77777777" w:rsidR="0039793A" w:rsidRDefault="0039793A" w:rsidP="0039793A">
      <w:pPr>
        <w:pStyle w:val="Notedebasdepage"/>
      </w:pPr>
      <w:r>
        <w:rPr>
          <w:rStyle w:val="Appelnotedebasdep"/>
        </w:rPr>
        <w:footnoteRef/>
      </w:r>
      <w:r>
        <w:tab/>
      </w:r>
      <w:r w:rsidRPr="000563E3">
        <w:rPr>
          <w:lang w:val="fr-FR" w:eastAsia="fr-FR" w:bidi="fr-FR"/>
        </w:rPr>
        <w:t xml:space="preserve">Stanley Hoffmann, </w:t>
      </w:r>
      <w:r w:rsidRPr="000563E3">
        <w:t>« </w:t>
      </w:r>
      <w:r w:rsidRPr="000563E3">
        <w:rPr>
          <w:lang w:val="fr-FR" w:eastAsia="fr-FR" w:bidi="fr-FR"/>
        </w:rPr>
        <w:t>In Defense of Mother Teresa</w:t>
      </w:r>
      <w:r w:rsidRPr="000563E3">
        <w:t> »</w:t>
      </w:r>
      <w:r w:rsidRPr="000563E3">
        <w:rPr>
          <w:lang w:val="fr-FR" w:eastAsia="fr-FR" w:bidi="fr-FR"/>
        </w:rPr>
        <w:t xml:space="preserve">, </w:t>
      </w:r>
      <w:r w:rsidRPr="000563E3">
        <w:rPr>
          <w:rStyle w:val="NotedebasdepageItalique"/>
          <w:sz w:val="24"/>
        </w:rPr>
        <w:t>Foreign Affairs</w:t>
      </w:r>
      <w:r w:rsidRPr="000563E3">
        <w:rPr>
          <w:lang w:val="fr-FR" w:eastAsia="fr-FR" w:bidi="fr-FR"/>
        </w:rPr>
        <w:t>, mars-avril 1996, p. 175.</w:t>
      </w:r>
    </w:p>
  </w:footnote>
  <w:footnote w:id="226">
    <w:p w14:paraId="4D86A416" w14:textId="77777777" w:rsidR="0039793A" w:rsidRDefault="0039793A">
      <w:pPr>
        <w:pStyle w:val="Notedebasdepage"/>
      </w:pPr>
      <w:r>
        <w:rPr>
          <w:rStyle w:val="Appelnotedebasdep"/>
        </w:rPr>
        <w:footnoteRef/>
      </w:r>
      <w:r>
        <w:tab/>
      </w:r>
      <w:r w:rsidRPr="005A75A0">
        <w:t xml:space="preserve">L’expression est de Joseph S. Nye Jr, </w:t>
      </w:r>
      <w:r w:rsidRPr="00EC4A78">
        <w:rPr>
          <w:i/>
          <w:iCs/>
        </w:rPr>
        <w:t>The Paradox of Amer</w:t>
      </w:r>
      <w:r w:rsidRPr="00EC4A78">
        <w:rPr>
          <w:i/>
          <w:iCs/>
        </w:rPr>
        <w:t>i</w:t>
      </w:r>
      <w:r w:rsidRPr="00EC4A78">
        <w:rPr>
          <w:i/>
          <w:iCs/>
        </w:rPr>
        <w:t>can Power, op. cit</w:t>
      </w:r>
      <w:r w:rsidRPr="005A75A0">
        <w:t>., p. 156.</w:t>
      </w:r>
    </w:p>
  </w:footnote>
  <w:footnote w:id="227">
    <w:p w14:paraId="4151CA9E" w14:textId="77777777" w:rsidR="0039793A" w:rsidRDefault="0039793A">
      <w:pPr>
        <w:pStyle w:val="Notedebasdepage"/>
      </w:pPr>
      <w:r>
        <w:rPr>
          <w:rStyle w:val="Appelnotedebasdep"/>
        </w:rPr>
        <w:t>*</w:t>
      </w:r>
      <w:r>
        <w:t xml:space="preserve"> </w:t>
      </w:r>
      <w:r>
        <w:tab/>
      </w:r>
      <w:r w:rsidRPr="005A75A0">
        <w:t>Voir p. 140.</w:t>
      </w:r>
    </w:p>
  </w:footnote>
  <w:footnote w:id="228">
    <w:p w14:paraId="79D6D514" w14:textId="77777777" w:rsidR="0039793A" w:rsidRDefault="0039793A" w:rsidP="0039793A">
      <w:pPr>
        <w:pStyle w:val="Notedebasdepage"/>
      </w:pPr>
      <w:r>
        <w:rPr>
          <w:rStyle w:val="Appelnotedebasdep"/>
        </w:rPr>
        <w:footnoteRef/>
      </w:r>
      <w:r>
        <w:tab/>
      </w:r>
      <w:r w:rsidRPr="000563E3">
        <w:rPr>
          <w:lang w:val="fr-FR" w:eastAsia="fr-FR" w:bidi="fr-FR"/>
        </w:rPr>
        <w:t xml:space="preserve">La discipline des relations internationales aux États-Unis a été grandement influencée par leur prédominance globale au sein du système international depuis le début de la seconde guerre mondiale. Voir Steve Smith, </w:t>
      </w:r>
      <w:r w:rsidRPr="000563E3">
        <w:t>« </w:t>
      </w:r>
      <w:r w:rsidRPr="000563E3">
        <w:rPr>
          <w:lang w:val="fr-FR" w:eastAsia="fr-FR" w:bidi="fr-FR"/>
        </w:rPr>
        <w:t>The United States and the Discipline of International Relations</w:t>
      </w:r>
      <w:r w:rsidRPr="000563E3">
        <w:t> :</w:t>
      </w:r>
      <w:r w:rsidRPr="000563E3">
        <w:rPr>
          <w:lang w:val="fr-FR" w:eastAsia="fr-FR" w:bidi="fr-FR"/>
        </w:rPr>
        <w:t xml:space="preserve"> Hégémonie Country, Hégémonie Discipline</w:t>
      </w:r>
      <w:r w:rsidRPr="000563E3">
        <w:t> »</w:t>
      </w:r>
      <w:r w:rsidRPr="000563E3">
        <w:rPr>
          <w:lang w:val="fr-FR" w:eastAsia="fr-FR" w:bidi="fr-FR"/>
        </w:rPr>
        <w:t xml:space="preserve">, </w:t>
      </w:r>
      <w:r w:rsidRPr="000563E3">
        <w:rPr>
          <w:rStyle w:val="NotedebasdepageItalique"/>
          <w:sz w:val="24"/>
        </w:rPr>
        <w:t>Internati</w:t>
      </w:r>
      <w:r w:rsidRPr="000563E3">
        <w:rPr>
          <w:rStyle w:val="NotedebasdepageItalique"/>
          <w:sz w:val="24"/>
        </w:rPr>
        <w:t>o</w:t>
      </w:r>
      <w:r w:rsidRPr="000563E3">
        <w:rPr>
          <w:rStyle w:val="NotedebasdepageItalique"/>
          <w:sz w:val="24"/>
        </w:rPr>
        <w:t>nal</w:t>
      </w:r>
      <w:r>
        <w:rPr>
          <w:rStyle w:val="NotedebasdepageItalique"/>
          <w:sz w:val="24"/>
        </w:rPr>
        <w:t xml:space="preserve"> </w:t>
      </w:r>
      <w:r w:rsidRPr="000563E3">
        <w:rPr>
          <w:rStyle w:val="NotedebasdepageItalique"/>
          <w:sz w:val="24"/>
        </w:rPr>
        <w:t>Studies Review,</w:t>
      </w:r>
      <w:r w:rsidRPr="000563E3">
        <w:rPr>
          <w:lang w:val="fr-FR" w:eastAsia="fr-FR" w:bidi="fr-FR"/>
        </w:rPr>
        <w:t xml:space="preserve"> 4 (2), été 2002, p. 67-85</w:t>
      </w:r>
      <w:r w:rsidRPr="000563E3">
        <w:t> ;</w:t>
      </w:r>
      <w:r w:rsidRPr="000563E3">
        <w:rPr>
          <w:lang w:val="fr-FR" w:eastAsia="fr-FR" w:bidi="fr-FR"/>
        </w:rPr>
        <w:t xml:space="preserve"> Stanley Hoffmann, </w:t>
      </w:r>
      <w:r w:rsidRPr="000563E3">
        <w:t>« </w:t>
      </w:r>
      <w:r w:rsidRPr="000563E3">
        <w:rPr>
          <w:lang w:val="fr-FR" w:eastAsia="fr-FR" w:bidi="fr-FR"/>
        </w:rPr>
        <w:t>An American Social Science</w:t>
      </w:r>
      <w:r w:rsidRPr="000563E3">
        <w:t> :</w:t>
      </w:r>
      <w:r w:rsidRPr="000563E3">
        <w:rPr>
          <w:lang w:val="fr-FR" w:eastAsia="fr-FR" w:bidi="fr-FR"/>
        </w:rPr>
        <w:t xml:space="preserve"> Intern</w:t>
      </w:r>
      <w:r w:rsidRPr="000563E3">
        <w:rPr>
          <w:lang w:val="fr-FR" w:eastAsia="fr-FR" w:bidi="fr-FR"/>
        </w:rPr>
        <w:t>a</w:t>
      </w:r>
      <w:r w:rsidRPr="000563E3">
        <w:rPr>
          <w:lang w:val="fr-FR" w:eastAsia="fr-FR" w:bidi="fr-FR"/>
        </w:rPr>
        <w:t>tional Relations</w:t>
      </w:r>
      <w:r w:rsidRPr="000563E3">
        <w:t> »</w:t>
      </w:r>
      <w:r w:rsidRPr="000563E3">
        <w:rPr>
          <w:lang w:val="fr-FR" w:eastAsia="fr-FR" w:bidi="fr-FR"/>
        </w:rPr>
        <w:t xml:space="preserve">, </w:t>
      </w:r>
      <w:r w:rsidRPr="000563E3">
        <w:rPr>
          <w:rStyle w:val="NotedebasdepageItalique"/>
          <w:sz w:val="24"/>
        </w:rPr>
        <w:t>Daedalus,</w:t>
      </w:r>
      <w:r w:rsidRPr="000563E3">
        <w:rPr>
          <w:lang w:val="fr-FR" w:eastAsia="fr-FR" w:bidi="fr-FR"/>
        </w:rPr>
        <w:t xml:space="preserve"> 106 (3), 1977, p. 41-60</w:t>
      </w:r>
      <w:r w:rsidRPr="000563E3">
        <w:t> ;</w:t>
      </w:r>
      <w:r w:rsidRPr="000563E3">
        <w:rPr>
          <w:lang w:val="fr-FR" w:eastAsia="fr-FR" w:bidi="fr-FR"/>
        </w:rPr>
        <w:t xml:space="preserve"> Ole Wa</w:t>
      </w:r>
      <w:r w:rsidRPr="000563E3">
        <w:rPr>
          <w:lang w:val="fr-FR" w:eastAsia="fr-FR" w:bidi="fr-FR"/>
        </w:rPr>
        <w:t>e</w:t>
      </w:r>
      <w:r w:rsidRPr="000563E3">
        <w:rPr>
          <w:lang w:val="fr-FR" w:eastAsia="fr-FR" w:bidi="fr-FR"/>
        </w:rPr>
        <w:t xml:space="preserve">ver, </w:t>
      </w:r>
      <w:r w:rsidRPr="000563E3">
        <w:t>« </w:t>
      </w:r>
      <w:r w:rsidRPr="000563E3">
        <w:rPr>
          <w:lang w:val="fr-FR" w:eastAsia="fr-FR" w:bidi="fr-FR"/>
        </w:rPr>
        <w:t>The Sociology of a Not So International Discipline</w:t>
      </w:r>
      <w:r w:rsidRPr="000563E3">
        <w:t> :</w:t>
      </w:r>
      <w:r w:rsidRPr="000563E3">
        <w:rPr>
          <w:lang w:val="fr-FR" w:eastAsia="fr-FR" w:bidi="fr-FR"/>
        </w:rPr>
        <w:t xml:space="preserve"> American and European Developments in International Relations</w:t>
      </w:r>
      <w:r w:rsidRPr="000563E3">
        <w:t> »</w:t>
      </w:r>
      <w:r w:rsidRPr="000563E3">
        <w:rPr>
          <w:lang w:val="fr-FR" w:eastAsia="fr-FR" w:bidi="fr-FR"/>
        </w:rPr>
        <w:t xml:space="preserve">, </w:t>
      </w:r>
      <w:r w:rsidRPr="000563E3">
        <w:rPr>
          <w:rStyle w:val="NotedebasdepageItalique"/>
          <w:sz w:val="24"/>
        </w:rPr>
        <w:t>International Organization,</w:t>
      </w:r>
      <w:r w:rsidRPr="000563E3">
        <w:rPr>
          <w:lang w:val="fr-FR" w:eastAsia="fr-FR" w:bidi="fr-FR"/>
        </w:rPr>
        <w:t xml:space="preserve"> 52 (4), automne 1998, p. 687-727.</w:t>
      </w:r>
    </w:p>
  </w:footnote>
  <w:footnote w:id="229">
    <w:p w14:paraId="41B95D9F" w14:textId="77777777" w:rsidR="0039793A" w:rsidRDefault="0039793A" w:rsidP="0039793A">
      <w:pPr>
        <w:pStyle w:val="Notedebasdepage"/>
      </w:pPr>
      <w:r>
        <w:rPr>
          <w:rStyle w:val="Appelnotedebasdep"/>
        </w:rPr>
        <w:footnoteRef/>
      </w:r>
      <w:r>
        <w:tab/>
      </w:r>
      <w:r w:rsidRPr="000563E3">
        <w:rPr>
          <w:lang w:bidi="fr-FR"/>
        </w:rPr>
        <w:t>Les écrits les plus influents de ces deux auteurs ont été rédigés conjoint</w:t>
      </w:r>
      <w:r w:rsidRPr="000563E3">
        <w:rPr>
          <w:lang w:bidi="fr-FR"/>
        </w:rPr>
        <w:t>e</w:t>
      </w:r>
      <w:r w:rsidRPr="000563E3">
        <w:rPr>
          <w:lang w:bidi="fr-FR"/>
        </w:rPr>
        <w:t>ment. Il faut toutefois mentionner que certains écrits en solo de Robert K</w:t>
      </w:r>
      <w:r w:rsidRPr="000563E3">
        <w:rPr>
          <w:lang w:bidi="fr-FR"/>
        </w:rPr>
        <w:t>a</w:t>
      </w:r>
      <w:r w:rsidRPr="000563E3">
        <w:rPr>
          <w:lang w:bidi="fr-FR"/>
        </w:rPr>
        <w:t xml:space="preserve">gan sont pris en compte ici. On notera qu’ils appartiennent à la </w:t>
      </w:r>
      <w:r w:rsidRPr="000563E3">
        <w:rPr>
          <w:rStyle w:val="NotedebasdepageItalique"/>
          <w:sz w:val="24"/>
        </w:rPr>
        <w:t>Project for a New Amer</w:t>
      </w:r>
      <w:r w:rsidRPr="000563E3">
        <w:rPr>
          <w:rStyle w:val="NotedebasdepageItalique"/>
          <w:sz w:val="24"/>
        </w:rPr>
        <w:t>i</w:t>
      </w:r>
      <w:r w:rsidRPr="000563E3">
        <w:rPr>
          <w:rStyle w:val="NotedebasdepageItalique"/>
          <w:sz w:val="24"/>
        </w:rPr>
        <w:t>can Century,</w:t>
      </w:r>
      <w:r w:rsidRPr="000563E3">
        <w:rPr>
          <w:lang w:bidi="fr-FR"/>
        </w:rPr>
        <w:t xml:space="preserve"> un </w:t>
      </w:r>
      <w:r w:rsidRPr="000563E3">
        <w:rPr>
          <w:rStyle w:val="NotedebasdepageItalique"/>
          <w:sz w:val="24"/>
        </w:rPr>
        <w:t>think tank</w:t>
      </w:r>
      <w:r w:rsidRPr="000563E3">
        <w:rPr>
          <w:lang w:bidi="fr-FR"/>
        </w:rPr>
        <w:t xml:space="preserve"> créé en 1997, qui compte parmi ses membres Paul Wolf</w:t>
      </w:r>
      <w:r w:rsidRPr="000563E3">
        <w:rPr>
          <w:lang w:bidi="fr-FR"/>
        </w:rPr>
        <w:t>o</w:t>
      </w:r>
      <w:r w:rsidRPr="000563E3">
        <w:rPr>
          <w:lang w:bidi="fr-FR"/>
        </w:rPr>
        <w:t>witz, Donald Rumsfeld, Dick Cheney, ainsi que des universitaires comme Francis Fukuyama, Eliot Cohen, Stephen Rosen et A</w:t>
      </w:r>
      <w:r w:rsidRPr="000563E3">
        <w:rPr>
          <w:lang w:bidi="fr-FR"/>
        </w:rPr>
        <w:t>a</w:t>
      </w:r>
      <w:r w:rsidRPr="000563E3">
        <w:rPr>
          <w:lang w:bidi="fr-FR"/>
        </w:rPr>
        <w:t>ron Frie</w:t>
      </w:r>
      <w:r w:rsidRPr="000563E3">
        <w:rPr>
          <w:lang w:bidi="fr-FR"/>
        </w:rPr>
        <w:t>d</w:t>
      </w:r>
      <w:r w:rsidRPr="000563E3">
        <w:rPr>
          <w:lang w:bidi="fr-FR"/>
        </w:rPr>
        <w:t>berg.</w:t>
      </w:r>
    </w:p>
  </w:footnote>
  <w:footnote w:id="230">
    <w:p w14:paraId="7F497240" w14:textId="77777777" w:rsidR="0039793A" w:rsidRDefault="0039793A">
      <w:pPr>
        <w:pStyle w:val="Notedebasdepage"/>
      </w:pPr>
      <w:r>
        <w:rPr>
          <w:rStyle w:val="Appelnotedebasdep"/>
        </w:rPr>
        <w:footnoteRef/>
      </w:r>
      <w:r>
        <w:tab/>
      </w:r>
      <w:r w:rsidRPr="000563E3">
        <w:rPr>
          <w:lang w:bidi="fr-FR"/>
        </w:rPr>
        <w:t xml:space="preserve">Voir William Kristol et Robert Kagan, </w:t>
      </w:r>
      <w:r w:rsidRPr="000563E3">
        <w:t>« </w:t>
      </w:r>
      <w:r w:rsidRPr="000563E3">
        <w:rPr>
          <w:lang w:bidi="fr-FR"/>
        </w:rPr>
        <w:t>Toward a Neo-Reaganite Foreign Policy</w:t>
      </w:r>
      <w:r w:rsidRPr="000563E3">
        <w:t> »</w:t>
      </w:r>
      <w:r w:rsidRPr="000563E3">
        <w:rPr>
          <w:lang w:bidi="fr-FR"/>
        </w:rPr>
        <w:t xml:space="preserve">, </w:t>
      </w:r>
      <w:r w:rsidRPr="000563E3">
        <w:rPr>
          <w:rStyle w:val="NotedebasdepageItalique"/>
          <w:sz w:val="24"/>
        </w:rPr>
        <w:t>Foreign Affairs</w:t>
      </w:r>
      <w:r w:rsidRPr="000563E3">
        <w:rPr>
          <w:lang w:bidi="fr-FR"/>
        </w:rPr>
        <w:t xml:space="preserve">, 75 (4), juillet-août 1996, p. 18-32. Voir également Robert Kagan, </w:t>
      </w:r>
      <w:r w:rsidRPr="000563E3">
        <w:t>« </w:t>
      </w:r>
      <w:r w:rsidRPr="000563E3">
        <w:rPr>
          <w:lang w:bidi="fr-FR"/>
        </w:rPr>
        <w:t>The Benevolent Empire</w:t>
      </w:r>
      <w:r w:rsidRPr="000563E3">
        <w:t> »</w:t>
      </w:r>
      <w:r w:rsidRPr="000563E3">
        <w:rPr>
          <w:lang w:bidi="fr-FR"/>
        </w:rPr>
        <w:t xml:space="preserve">, </w:t>
      </w:r>
      <w:r w:rsidRPr="000563E3">
        <w:rPr>
          <w:rStyle w:val="NotedebasdepageItalique"/>
          <w:sz w:val="24"/>
        </w:rPr>
        <w:t>Foreign Policy</w:t>
      </w:r>
      <w:r w:rsidRPr="000563E3">
        <w:rPr>
          <w:lang w:bidi="fr-FR"/>
        </w:rPr>
        <w:t>, 111, été 1998, p. 24-35.</w:t>
      </w:r>
    </w:p>
  </w:footnote>
  <w:footnote w:id="231">
    <w:p w14:paraId="3FB10B1E" w14:textId="77777777" w:rsidR="0039793A" w:rsidRDefault="0039793A" w:rsidP="0039793A">
      <w:pPr>
        <w:pStyle w:val="Notedebasdepage"/>
      </w:pPr>
      <w:r>
        <w:rPr>
          <w:rStyle w:val="Appelnotedebasdep"/>
        </w:rPr>
        <w:footnoteRef/>
      </w:r>
      <w:r>
        <w:tab/>
      </w:r>
      <w:r w:rsidRPr="000563E3">
        <w:rPr>
          <w:lang w:bidi="fr-FR"/>
        </w:rPr>
        <w:t xml:space="preserve">Robert Kagan, </w:t>
      </w:r>
      <w:r w:rsidRPr="000563E3">
        <w:t>« </w:t>
      </w:r>
      <w:r w:rsidRPr="000563E3">
        <w:rPr>
          <w:lang w:bidi="fr-FR"/>
        </w:rPr>
        <w:t>The World and President Bush</w:t>
      </w:r>
      <w:r w:rsidRPr="000563E3">
        <w:t> »</w:t>
      </w:r>
      <w:r w:rsidRPr="000563E3">
        <w:rPr>
          <w:rStyle w:val="NotedebasdepageItalique"/>
          <w:sz w:val="24"/>
        </w:rPr>
        <w:t>,</w:t>
      </w:r>
      <w:r>
        <w:rPr>
          <w:rStyle w:val="NotedebasdepageItalique"/>
          <w:sz w:val="24"/>
        </w:rPr>
        <w:t xml:space="preserve"> </w:t>
      </w:r>
      <w:r w:rsidRPr="000563E3">
        <w:rPr>
          <w:rStyle w:val="NotedebasdepageItalique"/>
          <w:sz w:val="24"/>
        </w:rPr>
        <w:t>Survival,</w:t>
      </w:r>
      <w:r w:rsidRPr="000563E3">
        <w:rPr>
          <w:lang w:bidi="fr-FR"/>
        </w:rPr>
        <w:t xml:space="preserve"> 43 (1), pri</w:t>
      </w:r>
      <w:r w:rsidRPr="000563E3">
        <w:rPr>
          <w:lang w:bidi="fr-FR"/>
        </w:rPr>
        <w:t>n</w:t>
      </w:r>
      <w:r w:rsidRPr="000563E3">
        <w:rPr>
          <w:lang w:bidi="fr-FR"/>
        </w:rPr>
        <w:t>temps 2001, p. 7-16.</w:t>
      </w:r>
    </w:p>
  </w:footnote>
  <w:footnote w:id="232">
    <w:p w14:paraId="06046022" w14:textId="77777777" w:rsidR="0039793A" w:rsidRDefault="0039793A" w:rsidP="0039793A">
      <w:pPr>
        <w:pStyle w:val="Notedebasdepage"/>
      </w:pPr>
      <w:r>
        <w:rPr>
          <w:rStyle w:val="Appelnotedebasdep"/>
        </w:rPr>
        <w:footnoteRef/>
      </w:r>
      <w:r>
        <w:tab/>
      </w:r>
      <w:r w:rsidRPr="000563E3">
        <w:rPr>
          <w:lang w:val="fr-FR" w:eastAsia="fr-FR" w:bidi="fr-FR"/>
        </w:rPr>
        <w:t xml:space="preserve">William Kristol et Robert Kagan, </w:t>
      </w:r>
      <w:r w:rsidRPr="000563E3">
        <w:t>« </w:t>
      </w:r>
      <w:r w:rsidRPr="000563E3">
        <w:rPr>
          <w:lang w:val="fr-FR" w:eastAsia="fr-FR" w:bidi="fr-FR"/>
        </w:rPr>
        <w:t>The Présent Danger</w:t>
      </w:r>
      <w:r w:rsidRPr="000563E3">
        <w:t> »</w:t>
      </w:r>
      <w:r w:rsidRPr="000563E3">
        <w:rPr>
          <w:lang w:val="fr-FR" w:eastAsia="fr-FR" w:bidi="fr-FR"/>
        </w:rPr>
        <w:t xml:space="preserve">, </w:t>
      </w:r>
      <w:r w:rsidRPr="000563E3">
        <w:rPr>
          <w:rStyle w:val="NotedebasdepageItalique"/>
          <w:sz w:val="24"/>
        </w:rPr>
        <w:t>The National Interest</w:t>
      </w:r>
      <w:r w:rsidRPr="000563E3">
        <w:rPr>
          <w:lang w:val="fr-FR" w:eastAsia="fr-FR" w:bidi="fr-FR"/>
        </w:rPr>
        <w:t>, 59, pri</w:t>
      </w:r>
      <w:r w:rsidRPr="000563E3">
        <w:rPr>
          <w:lang w:val="fr-FR" w:eastAsia="fr-FR" w:bidi="fr-FR"/>
        </w:rPr>
        <w:t>n</w:t>
      </w:r>
      <w:r w:rsidRPr="000563E3">
        <w:rPr>
          <w:lang w:val="fr-FR" w:eastAsia="fr-FR" w:bidi="fr-FR"/>
        </w:rPr>
        <w:t>temps 2000, p. 66.</w:t>
      </w:r>
    </w:p>
  </w:footnote>
  <w:footnote w:id="233">
    <w:p w14:paraId="70E8B0D8" w14:textId="77777777" w:rsidR="0039793A" w:rsidRDefault="0039793A" w:rsidP="0039793A">
      <w:pPr>
        <w:pStyle w:val="Notedebasdepage"/>
      </w:pPr>
      <w:r>
        <w:rPr>
          <w:rStyle w:val="Appelnotedebasdep"/>
        </w:rPr>
        <w:footnoteRef/>
      </w:r>
      <w:r>
        <w:tab/>
      </w:r>
      <w:r w:rsidRPr="000563E3">
        <w:rPr>
          <w:rStyle w:val="Notedebasdepage9ptItalique"/>
          <w:sz w:val="24"/>
        </w:rPr>
        <w:t>Ibid.</w:t>
      </w:r>
      <w:r w:rsidRPr="000563E3">
        <w:rPr>
          <w:lang w:val="fr-FR" w:eastAsia="fr-FR" w:bidi="fr-FR"/>
        </w:rPr>
        <w:t>, p. 58.</w:t>
      </w:r>
    </w:p>
  </w:footnote>
  <w:footnote w:id="234">
    <w:p w14:paraId="29D54D06" w14:textId="77777777" w:rsidR="0039793A" w:rsidRDefault="0039793A" w:rsidP="0039793A">
      <w:pPr>
        <w:pStyle w:val="Notedebasdepage"/>
      </w:pPr>
      <w:r>
        <w:rPr>
          <w:rStyle w:val="Appelnotedebasdep"/>
        </w:rPr>
        <w:footnoteRef/>
      </w:r>
      <w:r>
        <w:tab/>
      </w:r>
      <w:r w:rsidRPr="000563E3">
        <w:rPr>
          <w:lang w:val="fr-FR" w:eastAsia="fr-FR" w:bidi="fr-FR"/>
        </w:rPr>
        <w:t>Un an après le 11 septembre 2001, Robert Kagan réitère son pr</w:t>
      </w:r>
      <w:r w:rsidRPr="000563E3">
        <w:rPr>
          <w:lang w:val="fr-FR" w:eastAsia="fr-FR" w:bidi="fr-FR"/>
        </w:rPr>
        <w:t>o</w:t>
      </w:r>
      <w:r w:rsidRPr="000563E3">
        <w:rPr>
          <w:lang w:val="fr-FR" w:eastAsia="fr-FR" w:bidi="fr-FR"/>
        </w:rPr>
        <w:t xml:space="preserve">pos. Voir </w:t>
      </w:r>
      <w:r w:rsidRPr="000563E3">
        <w:t>« </w:t>
      </w:r>
      <w:r w:rsidRPr="000563E3">
        <w:rPr>
          <w:lang w:val="fr-FR" w:eastAsia="fr-FR" w:bidi="fr-FR"/>
        </w:rPr>
        <w:t>One Year After</w:t>
      </w:r>
      <w:r w:rsidRPr="000563E3">
        <w:t> :</w:t>
      </w:r>
      <w:r w:rsidRPr="000563E3">
        <w:rPr>
          <w:lang w:val="fr-FR" w:eastAsia="fr-FR" w:bidi="fr-FR"/>
        </w:rPr>
        <w:t xml:space="preserve"> A Grand Strategy for the West</w:t>
      </w:r>
      <w:r w:rsidRPr="000563E3">
        <w:t> ?</w:t>
      </w:r>
      <w:r w:rsidRPr="000563E3">
        <w:rPr>
          <w:lang w:val="fr-FR" w:eastAsia="fr-FR" w:bidi="fr-FR"/>
        </w:rPr>
        <w:t xml:space="preserve"> Strategie Dissonance</w:t>
      </w:r>
      <w:r w:rsidRPr="000563E3">
        <w:t> »</w:t>
      </w:r>
      <w:r w:rsidRPr="000563E3">
        <w:rPr>
          <w:lang w:val="fr-FR" w:eastAsia="fr-FR" w:bidi="fr-FR"/>
        </w:rPr>
        <w:t xml:space="preserve">, </w:t>
      </w:r>
      <w:r w:rsidRPr="000563E3">
        <w:rPr>
          <w:rStyle w:val="NotedebasdepageItalique"/>
          <w:sz w:val="24"/>
        </w:rPr>
        <w:t>Su</w:t>
      </w:r>
      <w:r w:rsidRPr="000563E3">
        <w:rPr>
          <w:rStyle w:val="NotedebasdepageItalique"/>
          <w:sz w:val="24"/>
        </w:rPr>
        <w:t>r</w:t>
      </w:r>
      <w:r w:rsidRPr="000563E3">
        <w:rPr>
          <w:rStyle w:val="NotedebasdepageItalique"/>
          <w:sz w:val="24"/>
        </w:rPr>
        <w:t>vival,</w:t>
      </w:r>
      <w:r w:rsidRPr="000563E3">
        <w:rPr>
          <w:lang w:val="fr-FR" w:eastAsia="fr-FR" w:bidi="fr-FR"/>
        </w:rPr>
        <w:t xml:space="preserve"> 44 (4), hiver 2002-2003, p. 136.</w:t>
      </w:r>
    </w:p>
  </w:footnote>
  <w:footnote w:id="235">
    <w:p w14:paraId="76F8B113" w14:textId="77777777" w:rsidR="0039793A" w:rsidRDefault="0039793A" w:rsidP="0039793A">
      <w:pPr>
        <w:pStyle w:val="Notedebasdepage"/>
      </w:pPr>
      <w:r>
        <w:rPr>
          <w:rStyle w:val="Appelnotedebasdep"/>
        </w:rPr>
        <w:footnoteRef/>
      </w:r>
      <w:r>
        <w:tab/>
      </w:r>
      <w:r w:rsidRPr="000563E3">
        <w:rPr>
          <w:lang w:val="fr-FR" w:eastAsia="fr-FR" w:bidi="fr-FR"/>
        </w:rPr>
        <w:t>William Kristol et Robert Kagan, art. cité, p. 59-61.</w:t>
      </w:r>
    </w:p>
  </w:footnote>
  <w:footnote w:id="236">
    <w:p w14:paraId="3DAE1432"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64.</w:t>
      </w:r>
    </w:p>
  </w:footnote>
  <w:footnote w:id="237">
    <w:p w14:paraId="5A49AA63" w14:textId="77777777" w:rsidR="0039793A" w:rsidRDefault="0039793A" w:rsidP="0039793A">
      <w:pPr>
        <w:pStyle w:val="Notedebasdepage"/>
      </w:pPr>
      <w:r>
        <w:rPr>
          <w:rStyle w:val="Appelnotedebasdep"/>
        </w:rPr>
        <w:footnoteRef/>
      </w:r>
      <w:r>
        <w:tab/>
      </w:r>
      <w:r w:rsidRPr="000563E3">
        <w:rPr>
          <w:lang w:val="fr-FR" w:eastAsia="fr-FR" w:bidi="fr-FR"/>
        </w:rPr>
        <w:t xml:space="preserve">Robert Kagan, </w:t>
      </w:r>
      <w:r w:rsidRPr="000563E3">
        <w:t>« </w:t>
      </w:r>
      <w:r w:rsidRPr="000563E3">
        <w:rPr>
          <w:lang w:val="fr-FR" w:eastAsia="fr-FR" w:bidi="fr-FR"/>
        </w:rPr>
        <w:t>Power and Weakness</w:t>
      </w:r>
      <w:r w:rsidRPr="000563E3">
        <w:t> »</w:t>
      </w:r>
      <w:r w:rsidRPr="000563E3">
        <w:rPr>
          <w:lang w:val="fr-FR" w:eastAsia="fr-FR" w:bidi="fr-FR"/>
        </w:rPr>
        <w:t xml:space="preserve">, </w:t>
      </w:r>
      <w:r w:rsidRPr="000563E3">
        <w:rPr>
          <w:rStyle w:val="NotedebasdepageItalique"/>
          <w:sz w:val="24"/>
        </w:rPr>
        <w:t>Policy Review,</w:t>
      </w:r>
      <w:r w:rsidRPr="000563E3">
        <w:rPr>
          <w:lang w:val="fr-FR" w:eastAsia="fr-FR" w:bidi="fr-FR"/>
        </w:rPr>
        <w:t xml:space="preserve"> 113, juin 2002, 23 p. Voir aussi </w:t>
      </w:r>
      <w:r w:rsidRPr="008F6E0A">
        <w:rPr>
          <w:i/>
          <w:iCs/>
          <w:lang w:val="fr-FR" w:eastAsia="fr-FR" w:bidi="fr-FR"/>
        </w:rPr>
        <w:t xml:space="preserve">Of </w:t>
      </w:r>
      <w:r w:rsidRPr="000563E3">
        <w:rPr>
          <w:rStyle w:val="NotedebasdepageItalique"/>
          <w:sz w:val="24"/>
        </w:rPr>
        <w:t>Paradise and Power : America and Europe in the New World Order,</w:t>
      </w:r>
      <w:r w:rsidRPr="000563E3">
        <w:rPr>
          <w:lang w:val="fr-FR" w:eastAsia="fr-FR" w:bidi="fr-FR"/>
        </w:rPr>
        <w:t xml:space="preserve"> New York, Alfred A. Knopf, 2003, 103 p.</w:t>
      </w:r>
    </w:p>
  </w:footnote>
  <w:footnote w:id="238">
    <w:p w14:paraId="571A8B34" w14:textId="77777777" w:rsidR="0039793A" w:rsidRDefault="0039793A" w:rsidP="0039793A">
      <w:pPr>
        <w:pStyle w:val="Notedebasdepage"/>
      </w:pPr>
      <w:r>
        <w:rPr>
          <w:rStyle w:val="Appelnotedebasdep"/>
        </w:rPr>
        <w:footnoteRef/>
      </w:r>
      <w:r>
        <w:tab/>
      </w:r>
      <w:r w:rsidRPr="008F6E0A">
        <w:rPr>
          <w:i/>
          <w:iCs/>
          <w:lang w:val="fr-FR" w:eastAsia="fr-FR" w:bidi="fr-FR"/>
        </w:rPr>
        <w:t>Ibid</w:t>
      </w:r>
      <w:r w:rsidRPr="000563E3">
        <w:rPr>
          <w:lang w:val="fr-FR" w:eastAsia="fr-FR" w:bidi="fr-FR"/>
        </w:rPr>
        <w:t>.</w:t>
      </w:r>
    </w:p>
  </w:footnote>
  <w:footnote w:id="239">
    <w:p w14:paraId="305B31AB" w14:textId="77777777" w:rsidR="0039793A" w:rsidRDefault="0039793A" w:rsidP="0039793A">
      <w:pPr>
        <w:pStyle w:val="Notedebasdepage"/>
      </w:pPr>
      <w:r>
        <w:rPr>
          <w:rStyle w:val="Appelnotedebasdep"/>
        </w:rPr>
        <w:footnoteRef/>
      </w:r>
      <w:r>
        <w:tab/>
      </w:r>
      <w:r w:rsidRPr="000563E3">
        <w:rPr>
          <w:lang w:val="fr-FR" w:eastAsia="fr-FR" w:bidi="fr-FR"/>
        </w:rPr>
        <w:t xml:space="preserve">Charles Krauthammer, </w:t>
      </w:r>
      <w:r w:rsidRPr="000563E3">
        <w:t>« </w:t>
      </w:r>
      <w:r w:rsidRPr="000563E3">
        <w:rPr>
          <w:lang w:val="fr-FR" w:eastAsia="fr-FR" w:bidi="fr-FR"/>
        </w:rPr>
        <w:t>The Unipolar Moment</w:t>
      </w:r>
      <w:r w:rsidRPr="000563E3">
        <w:t> »</w:t>
      </w:r>
      <w:r w:rsidRPr="000563E3">
        <w:rPr>
          <w:lang w:val="fr-FR" w:eastAsia="fr-FR" w:bidi="fr-FR"/>
        </w:rPr>
        <w:t xml:space="preserve">, </w:t>
      </w:r>
      <w:r w:rsidRPr="000563E3">
        <w:rPr>
          <w:rStyle w:val="NotedebasdepageItalique"/>
          <w:sz w:val="24"/>
        </w:rPr>
        <w:t>Foreign Affairs : Amer</w:t>
      </w:r>
      <w:r w:rsidRPr="000563E3">
        <w:rPr>
          <w:rStyle w:val="NotedebasdepageItalique"/>
          <w:sz w:val="24"/>
        </w:rPr>
        <w:t>i</w:t>
      </w:r>
      <w:r w:rsidRPr="000563E3">
        <w:rPr>
          <w:rStyle w:val="NotedebasdepageItalique"/>
          <w:sz w:val="24"/>
        </w:rPr>
        <w:t>ca and the World 1990-1991,</w:t>
      </w:r>
      <w:r w:rsidRPr="000563E3">
        <w:rPr>
          <w:lang w:val="fr-FR" w:eastAsia="fr-FR" w:bidi="fr-FR"/>
        </w:rPr>
        <w:t xml:space="preserve"> 70 (1), 1990-1991, p. 23-33.</w:t>
      </w:r>
    </w:p>
  </w:footnote>
  <w:footnote w:id="240">
    <w:p w14:paraId="358D368D" w14:textId="77777777" w:rsidR="0039793A" w:rsidRDefault="0039793A" w:rsidP="0039793A">
      <w:pPr>
        <w:pStyle w:val="Notedebasdepage"/>
      </w:pPr>
      <w:r>
        <w:rPr>
          <w:rStyle w:val="Appelnotedebasdep"/>
        </w:rPr>
        <w:footnoteRef/>
      </w:r>
      <w:r>
        <w:tab/>
      </w:r>
      <w:r w:rsidRPr="000563E3">
        <w:rPr>
          <w:rStyle w:val="NotedebasdepageItalique"/>
          <w:sz w:val="24"/>
        </w:rPr>
        <w:t>Ibid</w:t>
      </w:r>
      <w:r>
        <w:rPr>
          <w:rStyle w:val="NotedebasdepageItalique"/>
          <w:sz w:val="24"/>
        </w:rPr>
        <w:t>.</w:t>
      </w:r>
      <w:r w:rsidRPr="000563E3">
        <w:rPr>
          <w:rStyle w:val="NotedebasdepageItalique"/>
          <w:sz w:val="24"/>
        </w:rPr>
        <w:t>,</w:t>
      </w:r>
      <w:r w:rsidRPr="000563E3">
        <w:rPr>
          <w:lang w:val="fr-FR" w:eastAsia="fr-FR" w:bidi="fr-FR"/>
        </w:rPr>
        <w:t xml:space="preserve"> p. 25.</w:t>
      </w:r>
    </w:p>
  </w:footnote>
  <w:footnote w:id="241">
    <w:p w14:paraId="0572995E" w14:textId="77777777" w:rsidR="0039793A" w:rsidRDefault="0039793A" w:rsidP="0039793A">
      <w:pPr>
        <w:pStyle w:val="Notedebasdepage"/>
      </w:pPr>
      <w:r>
        <w:rPr>
          <w:rStyle w:val="Appelnotedebasdep"/>
        </w:rPr>
        <w:footnoteRef/>
      </w:r>
      <w:r>
        <w:tab/>
      </w:r>
      <w:r w:rsidRPr="000563E3">
        <w:rPr>
          <w:lang w:val="fr-FR" w:eastAsia="fr-FR" w:bidi="fr-FR"/>
        </w:rPr>
        <w:t xml:space="preserve">Charles Krauthammer, </w:t>
      </w:r>
      <w:r w:rsidRPr="000563E3">
        <w:t>« </w:t>
      </w:r>
      <w:r w:rsidRPr="000563E3">
        <w:rPr>
          <w:lang w:val="fr-FR" w:eastAsia="fr-FR" w:bidi="fr-FR"/>
        </w:rPr>
        <w:t>The Unipolar Moment Revisited</w:t>
      </w:r>
      <w:r w:rsidRPr="000563E3">
        <w:t> »</w:t>
      </w:r>
      <w:r w:rsidRPr="000563E3">
        <w:rPr>
          <w:lang w:val="fr-FR" w:eastAsia="fr-FR" w:bidi="fr-FR"/>
        </w:rPr>
        <w:t xml:space="preserve">, </w:t>
      </w:r>
      <w:r w:rsidRPr="000563E3">
        <w:rPr>
          <w:rStyle w:val="NotedebasdepageItalique"/>
          <w:sz w:val="24"/>
        </w:rPr>
        <w:t>The National I</w:t>
      </w:r>
      <w:r w:rsidRPr="000563E3">
        <w:rPr>
          <w:rStyle w:val="NotedebasdepageItalique"/>
          <w:sz w:val="24"/>
        </w:rPr>
        <w:t>n</w:t>
      </w:r>
      <w:r w:rsidRPr="000563E3">
        <w:rPr>
          <w:rStyle w:val="NotedebasdepageItalique"/>
          <w:sz w:val="24"/>
        </w:rPr>
        <w:t>terest,</w:t>
      </w:r>
      <w:r w:rsidRPr="000563E3">
        <w:rPr>
          <w:lang w:val="fr-FR" w:eastAsia="fr-FR" w:bidi="fr-FR"/>
        </w:rPr>
        <w:t xml:space="preserve"> 70, hiver 2002-2003, p. 14.</w:t>
      </w:r>
    </w:p>
  </w:footnote>
  <w:footnote w:id="242">
    <w:p w14:paraId="18724BF8" w14:textId="77777777" w:rsidR="0039793A" w:rsidRDefault="0039793A" w:rsidP="0039793A">
      <w:pPr>
        <w:pStyle w:val="Notedebasdepage"/>
      </w:pPr>
      <w:r>
        <w:rPr>
          <w:rStyle w:val="Appelnotedebasdep"/>
        </w:rPr>
        <w:footnoteRef/>
      </w:r>
      <w:r>
        <w:tab/>
      </w:r>
      <w:r w:rsidRPr="000563E3">
        <w:rPr>
          <w:lang w:val="fr-FR" w:eastAsia="fr-FR" w:bidi="fr-FR"/>
        </w:rPr>
        <w:t xml:space="preserve">Charles Krauthammer, </w:t>
      </w:r>
      <w:r w:rsidRPr="000563E3">
        <w:t>« </w:t>
      </w:r>
      <w:r w:rsidRPr="000563E3">
        <w:rPr>
          <w:lang w:val="fr-FR" w:eastAsia="fr-FR" w:bidi="fr-FR"/>
        </w:rPr>
        <w:t>The Unipolar Moment</w:t>
      </w:r>
      <w:r w:rsidRPr="000563E3">
        <w:t> »</w:t>
      </w:r>
      <w:r w:rsidRPr="000563E3">
        <w:rPr>
          <w:lang w:val="fr-FR" w:eastAsia="fr-FR" w:bidi="fr-FR"/>
        </w:rPr>
        <w:t>, art. cit</w:t>
      </w:r>
      <w:r>
        <w:rPr>
          <w:lang w:val="fr-FR" w:eastAsia="fr-FR" w:bidi="fr-FR"/>
        </w:rPr>
        <w:t>é, p. 29.</w:t>
      </w:r>
    </w:p>
  </w:footnote>
  <w:footnote w:id="243">
    <w:p w14:paraId="73D931FF" w14:textId="77777777" w:rsidR="0039793A" w:rsidRDefault="0039793A" w:rsidP="0039793A">
      <w:pPr>
        <w:pStyle w:val="Notedebasdepage"/>
      </w:pPr>
      <w:r>
        <w:rPr>
          <w:rStyle w:val="Appelnotedebasdep"/>
        </w:rPr>
        <w:footnoteRef/>
      </w:r>
      <w:r>
        <w:tab/>
      </w:r>
      <w:r w:rsidRPr="000563E3">
        <w:rPr>
          <w:lang w:val="fr-FR" w:eastAsia="fr-FR" w:bidi="fr-FR"/>
        </w:rPr>
        <w:t xml:space="preserve">Charles Krauthammer, </w:t>
      </w:r>
      <w:r w:rsidRPr="000563E3">
        <w:t>« </w:t>
      </w:r>
      <w:r w:rsidRPr="000563E3">
        <w:rPr>
          <w:lang w:val="fr-FR" w:eastAsia="fr-FR" w:bidi="fr-FR"/>
        </w:rPr>
        <w:t>America Rules</w:t>
      </w:r>
      <w:r w:rsidRPr="000563E3">
        <w:t> :</w:t>
      </w:r>
      <w:r w:rsidRPr="000563E3">
        <w:rPr>
          <w:lang w:val="fr-FR" w:eastAsia="fr-FR" w:bidi="fr-FR"/>
        </w:rPr>
        <w:t xml:space="preserve"> Thank God. Who Else Should Call the Shots</w:t>
      </w:r>
      <w:r w:rsidRPr="000563E3">
        <w:t> ?</w:t>
      </w:r>
      <w:r w:rsidRPr="000563E3">
        <w:rPr>
          <w:lang w:val="fr-FR" w:eastAsia="fr-FR" w:bidi="fr-FR"/>
        </w:rPr>
        <w:t xml:space="preserve"> Ch</w:t>
      </w:r>
      <w:r w:rsidRPr="000563E3">
        <w:rPr>
          <w:lang w:val="fr-FR" w:eastAsia="fr-FR" w:bidi="fr-FR"/>
        </w:rPr>
        <w:t>i</w:t>
      </w:r>
      <w:r w:rsidRPr="000563E3">
        <w:rPr>
          <w:lang w:val="fr-FR" w:eastAsia="fr-FR" w:bidi="fr-FR"/>
        </w:rPr>
        <w:t>na</w:t>
      </w:r>
      <w:r w:rsidRPr="000563E3">
        <w:t> ?</w:t>
      </w:r>
      <w:r w:rsidRPr="000563E3">
        <w:rPr>
          <w:lang w:val="fr-FR" w:eastAsia="fr-FR" w:bidi="fr-FR"/>
        </w:rPr>
        <w:t xml:space="preserve"> Iran</w:t>
      </w:r>
      <w:r w:rsidRPr="000563E3">
        <w:t> ?</w:t>
      </w:r>
      <w:r w:rsidRPr="000563E3">
        <w:rPr>
          <w:lang w:val="fr-FR" w:eastAsia="fr-FR" w:bidi="fr-FR"/>
        </w:rPr>
        <w:t xml:space="preserve"> The Russian Mafia</w:t>
      </w:r>
      <w:r w:rsidRPr="000563E3">
        <w:t> ? »</w:t>
      </w:r>
      <w:r w:rsidRPr="000563E3">
        <w:rPr>
          <w:lang w:val="fr-FR" w:eastAsia="fr-FR" w:bidi="fr-FR"/>
        </w:rPr>
        <w:t xml:space="preserve">, </w:t>
      </w:r>
      <w:r w:rsidRPr="000563E3">
        <w:rPr>
          <w:rStyle w:val="NotedebasdepageItalique"/>
          <w:sz w:val="24"/>
        </w:rPr>
        <w:t>Time</w:t>
      </w:r>
      <w:r w:rsidRPr="000563E3">
        <w:rPr>
          <w:lang w:val="fr-FR" w:eastAsia="fr-FR" w:bidi="fr-FR"/>
        </w:rPr>
        <w:t>, 150 (5), 4 août 1997.</w:t>
      </w:r>
    </w:p>
  </w:footnote>
  <w:footnote w:id="244">
    <w:p w14:paraId="6E5FF9B9" w14:textId="77777777" w:rsidR="0039793A" w:rsidRDefault="0039793A" w:rsidP="0039793A">
      <w:pPr>
        <w:pStyle w:val="Notedebasdepage"/>
      </w:pPr>
      <w:r>
        <w:rPr>
          <w:rStyle w:val="Appelnotedebasdep"/>
        </w:rPr>
        <w:footnoteRef/>
      </w:r>
      <w:r>
        <w:tab/>
      </w:r>
      <w:r w:rsidRPr="000563E3">
        <w:rPr>
          <w:lang w:val="fr-FR" w:eastAsia="fr-FR" w:bidi="fr-FR"/>
        </w:rPr>
        <w:t xml:space="preserve">Charles Krauthammer, </w:t>
      </w:r>
      <w:r w:rsidRPr="000563E3">
        <w:t>« </w:t>
      </w:r>
      <w:r w:rsidRPr="000563E3">
        <w:rPr>
          <w:lang w:val="fr-FR" w:eastAsia="fr-FR" w:bidi="fr-FR"/>
        </w:rPr>
        <w:t>The Unipolar Moment Revisited</w:t>
      </w:r>
      <w:r w:rsidRPr="000563E3">
        <w:t> »</w:t>
      </w:r>
      <w:r w:rsidRPr="000563E3">
        <w:rPr>
          <w:lang w:val="fr-FR" w:eastAsia="fr-FR" w:bidi="fr-FR"/>
        </w:rPr>
        <w:t>, p. 12-14.</w:t>
      </w:r>
    </w:p>
  </w:footnote>
  <w:footnote w:id="245">
    <w:p w14:paraId="72FC123C" w14:textId="77777777" w:rsidR="0039793A" w:rsidRDefault="0039793A" w:rsidP="0039793A">
      <w:pPr>
        <w:pStyle w:val="Notedebasdepage"/>
      </w:pPr>
      <w:r>
        <w:rPr>
          <w:rStyle w:val="Appelnotedebasdep"/>
        </w:rPr>
        <w:footnoteRef/>
      </w:r>
      <w:r>
        <w:tab/>
      </w:r>
      <w:r w:rsidRPr="000563E3">
        <w:rPr>
          <w:lang w:val="fr-FR" w:eastAsia="fr-FR" w:bidi="fr-FR"/>
        </w:rPr>
        <w:t xml:space="preserve">Voir Charles-Philippe David et Jean-Philippe Racicot, </w:t>
      </w:r>
      <w:r w:rsidRPr="000563E3">
        <w:t>« </w:t>
      </w:r>
      <w:r w:rsidRPr="000563E3">
        <w:rPr>
          <w:lang w:val="fr-FR" w:eastAsia="fr-FR" w:bidi="fr-FR"/>
        </w:rPr>
        <w:t>L’auto-restriction stratégique d’un libéralisme structurant</w:t>
      </w:r>
      <w:r w:rsidRPr="000563E3">
        <w:t> :</w:t>
      </w:r>
      <w:r w:rsidRPr="000563E3">
        <w:rPr>
          <w:lang w:val="fr-FR" w:eastAsia="fr-FR" w:bidi="fr-FR"/>
        </w:rPr>
        <w:t xml:space="preserve"> La stratégie de puissance des États-Unis dans le nouveau millénaire</w:t>
      </w:r>
      <w:r w:rsidRPr="000563E3">
        <w:t> »</w:t>
      </w:r>
      <w:r w:rsidRPr="000563E3">
        <w:rPr>
          <w:lang w:val="fr-FR" w:eastAsia="fr-FR" w:bidi="fr-FR"/>
        </w:rPr>
        <w:t xml:space="preserve">, </w:t>
      </w:r>
      <w:r w:rsidRPr="000563E3">
        <w:rPr>
          <w:rStyle w:val="NotedebasdepageItalique"/>
          <w:sz w:val="24"/>
        </w:rPr>
        <w:t>Cahiers Raoul-Dandurand,</w:t>
      </w:r>
      <w:r w:rsidRPr="000563E3">
        <w:rPr>
          <w:lang w:val="fr-FR" w:eastAsia="fr-FR" w:bidi="fr-FR"/>
        </w:rPr>
        <w:t xml:space="preserve"> 3, septembre 2000, 22 p.</w:t>
      </w:r>
    </w:p>
  </w:footnote>
  <w:footnote w:id="246">
    <w:p w14:paraId="4B547484" w14:textId="77777777" w:rsidR="0039793A" w:rsidRDefault="0039793A" w:rsidP="0039793A">
      <w:pPr>
        <w:pStyle w:val="Notedebasdepage"/>
      </w:pPr>
      <w:r>
        <w:rPr>
          <w:rStyle w:val="Appelnotedebasdep"/>
        </w:rPr>
        <w:footnoteRef/>
      </w:r>
      <w:r>
        <w:tab/>
      </w:r>
      <w:r w:rsidRPr="000563E3">
        <w:rPr>
          <w:rStyle w:val="Notedebasdepage2NonItalique"/>
          <w:sz w:val="24"/>
        </w:rPr>
        <w:t xml:space="preserve">G. John Ikenberry, </w:t>
      </w:r>
      <w:r w:rsidRPr="00A076C9">
        <w:rPr>
          <w:i/>
          <w:iCs/>
          <w:lang w:val="fr-FR" w:eastAsia="fr-FR" w:bidi="fr-FR"/>
        </w:rPr>
        <w:t>After Victory</w:t>
      </w:r>
      <w:r w:rsidRPr="00A076C9">
        <w:rPr>
          <w:i/>
          <w:iCs/>
        </w:rPr>
        <w:t> :</w:t>
      </w:r>
      <w:r w:rsidRPr="00A076C9">
        <w:rPr>
          <w:i/>
          <w:iCs/>
          <w:lang w:val="fr-FR" w:eastAsia="fr-FR" w:bidi="fr-FR"/>
        </w:rPr>
        <w:t xml:space="preserve"> Institutions, Strategi</w:t>
      </w:r>
      <w:r>
        <w:rPr>
          <w:i/>
          <w:iCs/>
          <w:lang w:val="fr-FR" w:eastAsia="fr-FR" w:bidi="fr-FR"/>
        </w:rPr>
        <w:t>c</w:t>
      </w:r>
      <w:r w:rsidRPr="00A076C9">
        <w:rPr>
          <w:i/>
          <w:iCs/>
          <w:lang w:val="fr-FR" w:eastAsia="fr-FR" w:bidi="fr-FR"/>
        </w:rPr>
        <w:t xml:space="preserve"> Restraint, and the Rebuilding of O</w:t>
      </w:r>
      <w:r w:rsidRPr="00A076C9">
        <w:rPr>
          <w:i/>
          <w:iCs/>
          <w:lang w:val="fr-FR" w:eastAsia="fr-FR" w:bidi="fr-FR"/>
        </w:rPr>
        <w:t>r</w:t>
      </w:r>
      <w:r w:rsidRPr="00A076C9">
        <w:rPr>
          <w:i/>
          <w:iCs/>
          <w:lang w:val="fr-FR" w:eastAsia="fr-FR" w:bidi="fr-FR"/>
        </w:rPr>
        <w:t>der After Major Wars</w:t>
      </w:r>
      <w:r w:rsidRPr="000563E3">
        <w:rPr>
          <w:lang w:val="fr-FR" w:eastAsia="fr-FR" w:bidi="fr-FR"/>
        </w:rPr>
        <w:t>,</w:t>
      </w:r>
      <w:r w:rsidRPr="000563E3">
        <w:rPr>
          <w:rStyle w:val="Notedebasdepage2NonItalique"/>
          <w:sz w:val="24"/>
        </w:rPr>
        <w:t xml:space="preserve"> Princeton, Princeton University Press, 2000, 293 p.</w:t>
      </w:r>
    </w:p>
  </w:footnote>
  <w:footnote w:id="247">
    <w:p w14:paraId="0206DB60" w14:textId="77777777" w:rsidR="0039793A" w:rsidRDefault="0039793A" w:rsidP="0039793A">
      <w:pPr>
        <w:pStyle w:val="Notedebasdepage"/>
      </w:pPr>
      <w:r>
        <w:rPr>
          <w:rStyle w:val="Appelnotedebasdep"/>
        </w:rPr>
        <w:footnoteRef/>
      </w:r>
      <w:r>
        <w:tab/>
      </w:r>
      <w:r w:rsidRPr="000563E3">
        <w:rPr>
          <w:lang w:val="fr-FR" w:eastAsia="fr-FR" w:bidi="fr-FR"/>
        </w:rPr>
        <w:t xml:space="preserve">G. John Ikenberry, </w:t>
      </w:r>
      <w:r w:rsidRPr="000563E3">
        <w:t>« </w:t>
      </w:r>
      <w:r w:rsidRPr="000563E3">
        <w:rPr>
          <w:lang w:val="fr-FR" w:eastAsia="fr-FR" w:bidi="fr-FR"/>
        </w:rPr>
        <w:t>The Myth of Post-Cold War Chaos</w:t>
      </w:r>
      <w:r w:rsidRPr="000563E3">
        <w:t> »</w:t>
      </w:r>
      <w:r w:rsidRPr="000563E3">
        <w:rPr>
          <w:lang w:val="fr-FR" w:eastAsia="fr-FR" w:bidi="fr-FR"/>
        </w:rPr>
        <w:t xml:space="preserve">, </w:t>
      </w:r>
      <w:r w:rsidRPr="000563E3">
        <w:rPr>
          <w:rStyle w:val="NotedebasdepageItalique"/>
          <w:sz w:val="24"/>
        </w:rPr>
        <w:t>F</w:t>
      </w:r>
      <w:r w:rsidRPr="000563E3">
        <w:rPr>
          <w:rStyle w:val="NotedebasdepageItalique"/>
          <w:sz w:val="24"/>
        </w:rPr>
        <w:t>o</w:t>
      </w:r>
      <w:r w:rsidRPr="000563E3">
        <w:rPr>
          <w:rStyle w:val="NotedebasdepageItalique"/>
          <w:sz w:val="24"/>
        </w:rPr>
        <w:t>reign Affairs,</w:t>
      </w:r>
      <w:r w:rsidRPr="000563E3">
        <w:rPr>
          <w:lang w:val="fr-FR" w:eastAsia="fr-FR" w:bidi="fr-FR"/>
        </w:rPr>
        <w:t xml:space="preserve"> 75 (3), mai-juin 1996, p. 79-91</w:t>
      </w:r>
      <w:r w:rsidRPr="000563E3">
        <w:t> ;</w:t>
      </w:r>
      <w:r w:rsidRPr="000563E3">
        <w:rPr>
          <w:lang w:val="fr-FR" w:eastAsia="fr-FR" w:bidi="fr-FR"/>
        </w:rPr>
        <w:t xml:space="preserve"> </w:t>
      </w:r>
      <w:r w:rsidRPr="000563E3">
        <w:t>« </w:t>
      </w:r>
      <w:r w:rsidRPr="000563E3">
        <w:rPr>
          <w:lang w:val="fr-FR" w:eastAsia="fr-FR" w:bidi="fr-FR"/>
        </w:rPr>
        <w:t>America’s Liberal Hegemony</w:t>
      </w:r>
      <w:r w:rsidRPr="000563E3">
        <w:t> »</w:t>
      </w:r>
      <w:r w:rsidRPr="000563E3">
        <w:rPr>
          <w:lang w:val="fr-FR" w:eastAsia="fr-FR" w:bidi="fr-FR"/>
        </w:rPr>
        <w:t xml:space="preserve">, </w:t>
      </w:r>
      <w:r w:rsidRPr="000563E3">
        <w:rPr>
          <w:rStyle w:val="NotedebasdepageItalique"/>
          <w:sz w:val="24"/>
        </w:rPr>
        <w:t>Current Hi</w:t>
      </w:r>
      <w:r w:rsidRPr="000563E3">
        <w:rPr>
          <w:rStyle w:val="NotedebasdepageItalique"/>
          <w:sz w:val="24"/>
        </w:rPr>
        <w:t>s</w:t>
      </w:r>
      <w:r w:rsidRPr="000563E3">
        <w:rPr>
          <w:rStyle w:val="NotedebasdepageItalique"/>
          <w:sz w:val="24"/>
        </w:rPr>
        <w:t>tory,</w:t>
      </w:r>
      <w:r w:rsidRPr="000563E3">
        <w:rPr>
          <w:lang w:val="fr-FR" w:eastAsia="fr-FR" w:bidi="fr-FR"/>
        </w:rPr>
        <w:t xml:space="preserve"> 98 (624), janvier 1999, p. 23-28 et G. John Ikenberry (ed), </w:t>
      </w:r>
      <w:r w:rsidRPr="000563E3">
        <w:rPr>
          <w:rStyle w:val="NotedebasdepageItalique"/>
          <w:sz w:val="24"/>
        </w:rPr>
        <w:t>America Un</w:t>
      </w:r>
      <w:r>
        <w:rPr>
          <w:rStyle w:val="NotedebasdepageItalique"/>
          <w:sz w:val="24"/>
        </w:rPr>
        <w:t>ri</w:t>
      </w:r>
      <w:r w:rsidRPr="000563E3">
        <w:rPr>
          <w:rStyle w:val="NotedebasdepageItalique"/>
          <w:sz w:val="24"/>
        </w:rPr>
        <w:t>v</w:t>
      </w:r>
      <w:r w:rsidRPr="000563E3">
        <w:rPr>
          <w:rStyle w:val="NotedebasdepageItalique"/>
          <w:sz w:val="24"/>
        </w:rPr>
        <w:t>a</w:t>
      </w:r>
      <w:r w:rsidRPr="000563E3">
        <w:rPr>
          <w:rStyle w:val="NotedebasdepageItalique"/>
          <w:sz w:val="24"/>
        </w:rPr>
        <w:t>led : The Future of the Balance of Power,</w:t>
      </w:r>
      <w:r w:rsidRPr="000563E3">
        <w:rPr>
          <w:lang w:val="fr-FR" w:eastAsia="fr-FR" w:bidi="fr-FR"/>
        </w:rPr>
        <w:t xml:space="preserve"> Ithaca et Londres, Cornell University Press, 2002, 317 p.</w:t>
      </w:r>
    </w:p>
  </w:footnote>
  <w:footnote w:id="248">
    <w:p w14:paraId="5C1AA92C" w14:textId="77777777" w:rsidR="0039793A" w:rsidRDefault="0039793A" w:rsidP="0039793A">
      <w:pPr>
        <w:pStyle w:val="Notedebasdepage"/>
      </w:pPr>
      <w:r>
        <w:rPr>
          <w:rStyle w:val="Appelnotedebasdep"/>
        </w:rPr>
        <w:footnoteRef/>
      </w:r>
      <w:r>
        <w:tab/>
      </w:r>
      <w:r w:rsidRPr="000563E3">
        <w:rPr>
          <w:lang w:val="fr-FR" w:eastAsia="fr-FR" w:bidi="fr-FR"/>
        </w:rPr>
        <w:t>Ikenberry identifie une stratégie globale (</w:t>
      </w:r>
      <w:r w:rsidRPr="000563E3">
        <w:rPr>
          <w:rStyle w:val="NotedebasdepageItalique"/>
          <w:sz w:val="24"/>
        </w:rPr>
        <w:t>Grand Strategy)</w:t>
      </w:r>
      <w:r w:rsidRPr="000563E3">
        <w:rPr>
          <w:lang w:val="fr-FR" w:eastAsia="fr-FR" w:bidi="fr-FR"/>
        </w:rPr>
        <w:t xml:space="preserve"> cachée visant à exporter la démocratie pour sécuriser les intérêts américains. </w:t>
      </w:r>
      <w:r w:rsidRPr="000563E3">
        <w:t>« </w:t>
      </w:r>
      <w:r w:rsidRPr="000563E3">
        <w:rPr>
          <w:lang w:val="fr-FR" w:eastAsia="fr-FR" w:bidi="fr-FR"/>
        </w:rPr>
        <w:t>Why Export Democracy</w:t>
      </w:r>
      <w:r w:rsidRPr="000563E3">
        <w:t> ? :</w:t>
      </w:r>
      <w:r w:rsidRPr="000563E3">
        <w:rPr>
          <w:lang w:val="fr-FR" w:eastAsia="fr-FR" w:bidi="fr-FR"/>
        </w:rPr>
        <w:t xml:space="preserve"> The “Hidden Grand Strategy” of Amer</w:t>
      </w:r>
      <w:r w:rsidRPr="000563E3">
        <w:rPr>
          <w:lang w:val="fr-FR" w:eastAsia="fr-FR" w:bidi="fr-FR"/>
        </w:rPr>
        <w:t>i</w:t>
      </w:r>
      <w:r w:rsidRPr="000563E3">
        <w:rPr>
          <w:lang w:val="fr-FR" w:eastAsia="fr-FR" w:bidi="fr-FR"/>
        </w:rPr>
        <w:t>can Foreign Policy</w:t>
      </w:r>
      <w:r w:rsidRPr="000563E3">
        <w:t> »</w:t>
      </w:r>
      <w:r w:rsidRPr="000563E3">
        <w:rPr>
          <w:lang w:val="fr-FR" w:eastAsia="fr-FR" w:bidi="fr-FR"/>
        </w:rPr>
        <w:t xml:space="preserve">, </w:t>
      </w:r>
      <w:r w:rsidRPr="000563E3">
        <w:rPr>
          <w:rStyle w:val="NotedebasdepageItalique"/>
          <w:sz w:val="24"/>
        </w:rPr>
        <w:t>The Wilson Quarterly,</w:t>
      </w:r>
      <w:r w:rsidRPr="000563E3">
        <w:rPr>
          <w:lang w:val="fr-FR" w:eastAsia="fr-FR" w:bidi="fr-FR"/>
        </w:rPr>
        <w:t xml:space="preserve"> 23 (2), printemps 1999, p. 56-65.</w:t>
      </w:r>
    </w:p>
  </w:footnote>
  <w:footnote w:id="249">
    <w:p w14:paraId="05D8D8C7" w14:textId="77777777" w:rsidR="0039793A" w:rsidRDefault="0039793A" w:rsidP="0039793A">
      <w:pPr>
        <w:pStyle w:val="Notedebasdepage"/>
      </w:pPr>
      <w:r>
        <w:rPr>
          <w:rStyle w:val="Appelnotedebasdep"/>
        </w:rPr>
        <w:footnoteRef/>
      </w:r>
      <w:r>
        <w:tab/>
      </w:r>
      <w:r w:rsidRPr="000563E3">
        <w:rPr>
          <w:lang w:val="fr-FR" w:eastAsia="fr-FR" w:bidi="fr-FR"/>
        </w:rPr>
        <w:t>C’est pourquoi on parle souvent de structuro-libéralisme pour c</w:t>
      </w:r>
      <w:r w:rsidRPr="000563E3">
        <w:rPr>
          <w:lang w:val="fr-FR" w:eastAsia="fr-FR" w:bidi="fr-FR"/>
        </w:rPr>
        <w:t>a</w:t>
      </w:r>
      <w:r w:rsidRPr="000563E3">
        <w:rPr>
          <w:lang w:val="fr-FR" w:eastAsia="fr-FR" w:bidi="fr-FR"/>
        </w:rPr>
        <w:t>ractériser l’école théorique des relations internationales à laquelle Ikenberry appa</w:t>
      </w:r>
      <w:r w:rsidRPr="000563E3">
        <w:rPr>
          <w:lang w:val="fr-FR" w:eastAsia="fr-FR" w:bidi="fr-FR"/>
        </w:rPr>
        <w:t>r</w:t>
      </w:r>
      <w:r w:rsidRPr="000563E3">
        <w:rPr>
          <w:lang w:val="fr-FR" w:eastAsia="fr-FR" w:bidi="fr-FR"/>
        </w:rPr>
        <w:t xml:space="preserve">tient. Voir Daniel Deudney et G. John Ikenberry, </w:t>
      </w:r>
      <w:r w:rsidRPr="000563E3">
        <w:t>« </w:t>
      </w:r>
      <w:r w:rsidRPr="000563E3">
        <w:rPr>
          <w:lang w:val="fr-FR" w:eastAsia="fr-FR" w:bidi="fr-FR"/>
        </w:rPr>
        <w:t>The Nature and Sources of Liberal Inte</w:t>
      </w:r>
      <w:r w:rsidRPr="000563E3">
        <w:rPr>
          <w:lang w:val="fr-FR" w:eastAsia="fr-FR" w:bidi="fr-FR"/>
        </w:rPr>
        <w:t>r</w:t>
      </w:r>
      <w:r w:rsidRPr="000563E3">
        <w:rPr>
          <w:lang w:val="fr-FR" w:eastAsia="fr-FR" w:bidi="fr-FR"/>
        </w:rPr>
        <w:t>national Order</w:t>
      </w:r>
      <w:r w:rsidRPr="000563E3">
        <w:t> »</w:t>
      </w:r>
      <w:r w:rsidRPr="000563E3">
        <w:rPr>
          <w:lang w:val="fr-FR" w:eastAsia="fr-FR" w:bidi="fr-FR"/>
        </w:rPr>
        <w:t xml:space="preserve">, </w:t>
      </w:r>
      <w:r w:rsidRPr="000563E3">
        <w:rPr>
          <w:rStyle w:val="NotedebasdepageItalique"/>
          <w:sz w:val="24"/>
        </w:rPr>
        <w:t>Review of International Studies,</w:t>
      </w:r>
      <w:r w:rsidRPr="000563E3">
        <w:rPr>
          <w:lang w:val="fr-FR" w:eastAsia="fr-FR" w:bidi="fr-FR"/>
        </w:rPr>
        <w:t xml:space="preserve"> 25 (2), avril 1999, p. 179-96 et </w:t>
      </w:r>
      <w:r w:rsidRPr="000563E3">
        <w:t>« </w:t>
      </w:r>
      <w:r w:rsidRPr="000563E3">
        <w:rPr>
          <w:lang w:val="fr-FR" w:eastAsia="fr-FR" w:bidi="fr-FR"/>
        </w:rPr>
        <w:t>Realism, Structural Liberalism, and the Western Order</w:t>
      </w:r>
      <w:r w:rsidRPr="000563E3">
        <w:t> »</w:t>
      </w:r>
      <w:r w:rsidRPr="000563E3">
        <w:rPr>
          <w:lang w:val="fr-FR" w:eastAsia="fr-FR" w:bidi="fr-FR"/>
        </w:rPr>
        <w:t xml:space="preserve">, dans Ethan B. Kapstein et Michael Mastanduno (eds) </w:t>
      </w:r>
      <w:r w:rsidRPr="000563E3">
        <w:rPr>
          <w:rStyle w:val="NotedebasdepageItalique"/>
          <w:sz w:val="24"/>
        </w:rPr>
        <w:t>Unipolar P</w:t>
      </w:r>
      <w:r w:rsidRPr="000563E3">
        <w:rPr>
          <w:rStyle w:val="NotedebasdepageItalique"/>
          <w:sz w:val="24"/>
        </w:rPr>
        <w:t>o</w:t>
      </w:r>
      <w:r w:rsidRPr="000563E3">
        <w:rPr>
          <w:rStyle w:val="NotedebasdepageItalique"/>
          <w:sz w:val="24"/>
        </w:rPr>
        <w:t>litics : Realism and State Strategies After the Cold W</w:t>
      </w:r>
      <w:r>
        <w:rPr>
          <w:rStyle w:val="NotedebasdepageItalique"/>
          <w:sz w:val="24"/>
        </w:rPr>
        <w:t>a</w:t>
      </w:r>
      <w:r w:rsidRPr="000563E3">
        <w:rPr>
          <w:rStyle w:val="NotedebasdepageItalique"/>
          <w:sz w:val="24"/>
        </w:rPr>
        <w:t>r,</w:t>
      </w:r>
      <w:r w:rsidRPr="000563E3">
        <w:rPr>
          <w:lang w:val="fr-FR" w:eastAsia="fr-FR" w:bidi="fr-FR"/>
        </w:rPr>
        <w:t xml:space="preserve"> New York, Colu</w:t>
      </w:r>
      <w:r w:rsidRPr="000563E3">
        <w:rPr>
          <w:lang w:val="fr-FR" w:eastAsia="fr-FR" w:bidi="fr-FR"/>
        </w:rPr>
        <w:t>m</w:t>
      </w:r>
      <w:r w:rsidRPr="000563E3">
        <w:rPr>
          <w:lang w:val="fr-FR" w:eastAsia="fr-FR" w:bidi="fr-FR"/>
        </w:rPr>
        <w:t>bia University Press, 1999, p. 103-137.</w:t>
      </w:r>
    </w:p>
  </w:footnote>
  <w:footnote w:id="250">
    <w:p w14:paraId="6B0101F6" w14:textId="77777777" w:rsidR="0039793A" w:rsidRDefault="0039793A" w:rsidP="0039793A">
      <w:pPr>
        <w:pStyle w:val="Notedebasdepage"/>
      </w:pPr>
      <w:r>
        <w:rPr>
          <w:rStyle w:val="Appelnotedebasdep"/>
        </w:rPr>
        <w:footnoteRef/>
      </w:r>
      <w:r>
        <w:tab/>
      </w:r>
      <w:r w:rsidRPr="000563E3">
        <w:rPr>
          <w:lang w:val="fr-FR" w:eastAsia="fr-FR" w:bidi="fr-FR"/>
        </w:rPr>
        <w:t xml:space="preserve">G. John Ikenberry, </w:t>
      </w:r>
      <w:r w:rsidRPr="000563E3">
        <w:rPr>
          <w:rStyle w:val="NotedebasdepageItalique"/>
          <w:sz w:val="24"/>
        </w:rPr>
        <w:t>After Victory,</w:t>
      </w:r>
      <w:r w:rsidRPr="000563E3">
        <w:rPr>
          <w:lang w:val="fr-FR" w:eastAsia="fr-FR" w:bidi="fr-FR"/>
        </w:rPr>
        <w:t xml:space="preserve"> p. 30.</w:t>
      </w:r>
    </w:p>
  </w:footnote>
  <w:footnote w:id="251">
    <w:p w14:paraId="20B53900" w14:textId="77777777" w:rsidR="0039793A" w:rsidRDefault="0039793A" w:rsidP="0039793A">
      <w:pPr>
        <w:pStyle w:val="Notedebasdepage"/>
      </w:pPr>
      <w:r>
        <w:rPr>
          <w:rStyle w:val="Appelnotedebasdep"/>
        </w:rPr>
        <w:footnoteRef/>
      </w:r>
      <w:r>
        <w:tab/>
      </w:r>
      <w:r w:rsidRPr="000563E3">
        <w:rPr>
          <w:lang w:val="fr-FR" w:eastAsia="fr-FR" w:bidi="fr-FR"/>
        </w:rPr>
        <w:t xml:space="preserve">Voir notamment G. John Ikenberry, </w:t>
      </w:r>
      <w:r w:rsidRPr="000563E3">
        <w:t>« </w:t>
      </w:r>
      <w:r w:rsidRPr="000563E3">
        <w:rPr>
          <w:lang w:val="fr-FR" w:eastAsia="fr-FR" w:bidi="fr-FR"/>
        </w:rPr>
        <w:t>Getting Hegemony Right</w:t>
      </w:r>
      <w:r w:rsidRPr="000563E3">
        <w:t> »</w:t>
      </w:r>
      <w:r w:rsidRPr="000563E3">
        <w:rPr>
          <w:lang w:val="fr-FR" w:eastAsia="fr-FR" w:bidi="fr-FR"/>
        </w:rPr>
        <w:t xml:space="preserve">, </w:t>
      </w:r>
      <w:r w:rsidRPr="000563E3">
        <w:rPr>
          <w:rStyle w:val="NotedebasdepageItalique"/>
          <w:sz w:val="24"/>
        </w:rPr>
        <w:t>The N</w:t>
      </w:r>
      <w:r w:rsidRPr="000563E3">
        <w:rPr>
          <w:rStyle w:val="NotedebasdepageItalique"/>
          <w:sz w:val="24"/>
        </w:rPr>
        <w:t>a</w:t>
      </w:r>
      <w:r w:rsidRPr="000563E3">
        <w:rPr>
          <w:rStyle w:val="NotedebasdepageItalique"/>
          <w:sz w:val="24"/>
        </w:rPr>
        <w:t>tional Interest</w:t>
      </w:r>
      <w:r w:rsidRPr="000563E3">
        <w:rPr>
          <w:lang w:val="fr-FR" w:eastAsia="fr-FR" w:bidi="fr-FR"/>
        </w:rPr>
        <w:t>, 63, printemps 2001, p. 23.</w:t>
      </w:r>
    </w:p>
  </w:footnote>
  <w:footnote w:id="252">
    <w:p w14:paraId="63586793" w14:textId="77777777" w:rsidR="0039793A" w:rsidRDefault="0039793A" w:rsidP="0039793A">
      <w:pPr>
        <w:pStyle w:val="Notedebasdepage"/>
      </w:pPr>
      <w:r>
        <w:rPr>
          <w:rStyle w:val="Appelnotedebasdep"/>
        </w:rPr>
        <w:footnoteRef/>
      </w:r>
      <w:r>
        <w:tab/>
      </w:r>
      <w:r w:rsidRPr="000563E3">
        <w:rPr>
          <w:lang w:val="fr-FR" w:eastAsia="fr-FR" w:bidi="fr-FR"/>
        </w:rPr>
        <w:t xml:space="preserve">G. John Ikenberry, </w:t>
      </w:r>
      <w:r w:rsidRPr="000563E3">
        <w:t>« </w:t>
      </w:r>
      <w:r w:rsidRPr="000563E3">
        <w:rPr>
          <w:lang w:val="fr-FR" w:eastAsia="fr-FR" w:bidi="fr-FR"/>
        </w:rPr>
        <w:t>American Grand Strategy in the Age of Terror</w:t>
      </w:r>
      <w:r w:rsidRPr="000563E3">
        <w:t> »</w:t>
      </w:r>
      <w:r w:rsidRPr="000563E3">
        <w:rPr>
          <w:lang w:val="fr-FR" w:eastAsia="fr-FR" w:bidi="fr-FR"/>
        </w:rPr>
        <w:t xml:space="preserve">, </w:t>
      </w:r>
      <w:r w:rsidRPr="000563E3">
        <w:rPr>
          <w:rStyle w:val="NotedebasdepageItalique"/>
          <w:sz w:val="24"/>
        </w:rPr>
        <w:t>Su</w:t>
      </w:r>
      <w:r w:rsidRPr="000563E3">
        <w:rPr>
          <w:rStyle w:val="NotedebasdepageItalique"/>
          <w:sz w:val="24"/>
        </w:rPr>
        <w:t>r</w:t>
      </w:r>
      <w:r w:rsidRPr="000563E3">
        <w:rPr>
          <w:rStyle w:val="NotedebasdepageItalique"/>
          <w:sz w:val="24"/>
        </w:rPr>
        <w:t>vival,</w:t>
      </w:r>
      <w:r w:rsidRPr="000563E3">
        <w:rPr>
          <w:lang w:val="fr-FR" w:eastAsia="fr-FR" w:bidi="fr-FR"/>
        </w:rPr>
        <w:t xml:space="preserve"> 43 (4), hiver 2002, p. 19-34.</w:t>
      </w:r>
    </w:p>
  </w:footnote>
  <w:footnote w:id="253">
    <w:p w14:paraId="518A638B" w14:textId="77777777" w:rsidR="0039793A" w:rsidRDefault="0039793A" w:rsidP="0039793A">
      <w:pPr>
        <w:pStyle w:val="Notedebasdepage"/>
      </w:pPr>
      <w:r>
        <w:rPr>
          <w:rStyle w:val="Appelnotedebasdep"/>
        </w:rPr>
        <w:footnoteRef/>
      </w:r>
      <w:r>
        <w:tab/>
      </w:r>
      <w:r w:rsidRPr="000563E3">
        <w:rPr>
          <w:lang w:val="fr-FR" w:eastAsia="fr-FR" w:bidi="fr-FR"/>
        </w:rPr>
        <w:t xml:space="preserve">G. John Ikenberry, </w:t>
      </w:r>
      <w:r w:rsidRPr="000563E3">
        <w:t>« </w:t>
      </w:r>
      <w:r w:rsidRPr="000563E3">
        <w:rPr>
          <w:lang w:val="fr-FR" w:eastAsia="fr-FR" w:bidi="fr-FR"/>
        </w:rPr>
        <w:t>America’s Impérial Ambition</w:t>
      </w:r>
      <w:r w:rsidRPr="000563E3">
        <w:t> :</w:t>
      </w:r>
      <w:r w:rsidRPr="000563E3">
        <w:rPr>
          <w:lang w:val="fr-FR" w:eastAsia="fr-FR" w:bidi="fr-FR"/>
        </w:rPr>
        <w:t xml:space="preserve"> The Lures of Préem</w:t>
      </w:r>
      <w:r w:rsidRPr="000563E3">
        <w:rPr>
          <w:lang w:val="fr-FR" w:eastAsia="fr-FR" w:bidi="fr-FR"/>
        </w:rPr>
        <w:t>p</w:t>
      </w:r>
      <w:r w:rsidRPr="000563E3">
        <w:rPr>
          <w:lang w:val="fr-FR" w:eastAsia="fr-FR" w:bidi="fr-FR"/>
        </w:rPr>
        <w:t>tion</w:t>
      </w:r>
      <w:r w:rsidRPr="000563E3">
        <w:t> »</w:t>
      </w:r>
      <w:r w:rsidRPr="000563E3">
        <w:rPr>
          <w:lang w:val="fr-FR" w:eastAsia="fr-FR" w:bidi="fr-FR"/>
        </w:rPr>
        <w:t xml:space="preserve">, </w:t>
      </w:r>
      <w:r w:rsidRPr="000563E3">
        <w:rPr>
          <w:rStyle w:val="NotedebasdepageItalique"/>
          <w:sz w:val="24"/>
        </w:rPr>
        <w:t>Foreign A</w:t>
      </w:r>
      <w:r w:rsidRPr="000563E3">
        <w:rPr>
          <w:rStyle w:val="NotedebasdepageItalique"/>
          <w:sz w:val="24"/>
        </w:rPr>
        <w:t>f</w:t>
      </w:r>
      <w:r w:rsidRPr="000563E3">
        <w:rPr>
          <w:rStyle w:val="NotedebasdepageItalique"/>
          <w:sz w:val="24"/>
        </w:rPr>
        <w:t>fairs</w:t>
      </w:r>
      <w:r w:rsidRPr="000563E3">
        <w:rPr>
          <w:lang w:val="fr-FR" w:eastAsia="fr-FR" w:bidi="fr-FR"/>
        </w:rPr>
        <w:t>, 81 (5), septembre-octobre 2002, p. 44-60.</w:t>
      </w:r>
    </w:p>
  </w:footnote>
  <w:footnote w:id="254">
    <w:p w14:paraId="4519AFFA" w14:textId="77777777" w:rsidR="0039793A" w:rsidRDefault="0039793A" w:rsidP="0039793A">
      <w:pPr>
        <w:pStyle w:val="Notedebasdepage"/>
      </w:pPr>
      <w:r>
        <w:rPr>
          <w:rStyle w:val="Appelnotedebasdep"/>
        </w:rPr>
        <w:footnoteRef/>
      </w:r>
      <w:r>
        <w:tab/>
      </w:r>
      <w:r w:rsidRPr="000563E3">
        <w:rPr>
          <w:lang w:val="fr-FR" w:eastAsia="fr-FR" w:bidi="fr-FR"/>
        </w:rPr>
        <w:t xml:space="preserve">Joseph S. Nye, </w:t>
      </w:r>
      <w:r w:rsidRPr="000563E3">
        <w:t>« </w:t>
      </w:r>
      <w:r w:rsidRPr="000563E3">
        <w:rPr>
          <w:lang w:val="fr-FR" w:eastAsia="fr-FR" w:bidi="fr-FR"/>
        </w:rPr>
        <w:t>Limits of American Power</w:t>
      </w:r>
      <w:r w:rsidRPr="000563E3">
        <w:t> »</w:t>
      </w:r>
      <w:r w:rsidRPr="000563E3">
        <w:rPr>
          <w:lang w:val="fr-FR" w:eastAsia="fr-FR" w:bidi="fr-FR"/>
        </w:rPr>
        <w:t xml:space="preserve">, </w:t>
      </w:r>
      <w:r w:rsidRPr="000563E3">
        <w:rPr>
          <w:rStyle w:val="NotedebasdepageItalique"/>
          <w:sz w:val="24"/>
        </w:rPr>
        <w:t>Political Science Quarte</w:t>
      </w:r>
      <w:r w:rsidRPr="000563E3">
        <w:rPr>
          <w:rStyle w:val="NotedebasdepageItalique"/>
          <w:sz w:val="24"/>
        </w:rPr>
        <w:t>r</w:t>
      </w:r>
      <w:r w:rsidRPr="000563E3">
        <w:rPr>
          <w:rStyle w:val="NotedebasdepageItalique"/>
          <w:sz w:val="24"/>
        </w:rPr>
        <w:t xml:space="preserve">ly, </w:t>
      </w:r>
      <w:r w:rsidRPr="000563E3">
        <w:rPr>
          <w:lang w:val="fr-FR" w:eastAsia="fr-FR" w:bidi="fr-FR"/>
        </w:rPr>
        <w:t>117 (4), hiver 2002-2003, p. 552.</w:t>
      </w:r>
    </w:p>
  </w:footnote>
  <w:footnote w:id="255">
    <w:p w14:paraId="0580D38E" w14:textId="77777777" w:rsidR="0039793A" w:rsidRDefault="0039793A" w:rsidP="0039793A">
      <w:pPr>
        <w:pStyle w:val="Notedebasdepage"/>
      </w:pPr>
      <w:r>
        <w:rPr>
          <w:rStyle w:val="Appelnotedebasdep"/>
        </w:rPr>
        <w:footnoteRef/>
      </w:r>
      <w:r>
        <w:tab/>
      </w:r>
      <w:r w:rsidRPr="000563E3">
        <w:rPr>
          <w:lang w:val="fr-FR" w:eastAsia="fr-FR" w:bidi="fr-FR"/>
        </w:rPr>
        <w:t>Pour Nye, c’est la puissance souple, ajoutée à la puissance brute, qui a pe</w:t>
      </w:r>
      <w:r w:rsidRPr="000563E3">
        <w:rPr>
          <w:lang w:val="fr-FR" w:eastAsia="fr-FR" w:bidi="fr-FR"/>
        </w:rPr>
        <w:t>r</w:t>
      </w:r>
      <w:r w:rsidRPr="000563E3">
        <w:rPr>
          <w:lang w:val="fr-FR" w:eastAsia="fr-FR" w:bidi="fr-FR"/>
        </w:rPr>
        <w:t xml:space="preserve">mis aux </w:t>
      </w:r>
      <w:r>
        <w:rPr>
          <w:lang w:val="fr-FR" w:eastAsia="fr-FR" w:bidi="fr-FR"/>
        </w:rPr>
        <w:t>État</w:t>
      </w:r>
      <w:r w:rsidRPr="000563E3">
        <w:rPr>
          <w:lang w:val="fr-FR" w:eastAsia="fr-FR" w:bidi="fr-FR"/>
        </w:rPr>
        <w:t>s-Unis de gagner la guerre du Golfe au sein d’une coalition i</w:t>
      </w:r>
      <w:r w:rsidRPr="000563E3">
        <w:rPr>
          <w:lang w:val="fr-FR" w:eastAsia="fr-FR" w:bidi="fr-FR"/>
        </w:rPr>
        <w:t>n</w:t>
      </w:r>
      <w:r w:rsidRPr="000563E3">
        <w:rPr>
          <w:lang w:val="fr-FR" w:eastAsia="fr-FR" w:bidi="fr-FR"/>
        </w:rPr>
        <w:t xml:space="preserve">ternationale. Joseph Nye, </w:t>
      </w:r>
      <w:r w:rsidRPr="000563E3">
        <w:t>« </w:t>
      </w:r>
      <w:r w:rsidRPr="000563E3">
        <w:rPr>
          <w:lang w:val="fr-FR" w:eastAsia="fr-FR" w:bidi="fr-FR"/>
        </w:rPr>
        <w:t>Why the Gulf War Served the National Int</w:t>
      </w:r>
      <w:r w:rsidRPr="000563E3">
        <w:rPr>
          <w:lang w:val="fr-FR" w:eastAsia="fr-FR" w:bidi="fr-FR"/>
        </w:rPr>
        <w:t>e</w:t>
      </w:r>
      <w:r w:rsidRPr="000563E3">
        <w:rPr>
          <w:lang w:val="fr-FR" w:eastAsia="fr-FR" w:bidi="fr-FR"/>
        </w:rPr>
        <w:t>rest</w:t>
      </w:r>
      <w:r w:rsidRPr="000563E3">
        <w:t> »</w:t>
      </w:r>
      <w:r w:rsidRPr="000563E3">
        <w:rPr>
          <w:lang w:val="fr-FR" w:eastAsia="fr-FR" w:bidi="fr-FR"/>
        </w:rPr>
        <w:t xml:space="preserve">, </w:t>
      </w:r>
      <w:r w:rsidRPr="000563E3">
        <w:rPr>
          <w:rStyle w:val="NotedebasdepageItalique"/>
          <w:sz w:val="24"/>
        </w:rPr>
        <w:t>The Atlantic Monthly,</w:t>
      </w:r>
      <w:r w:rsidRPr="000563E3">
        <w:rPr>
          <w:lang w:val="fr-FR" w:eastAsia="fr-FR" w:bidi="fr-FR"/>
        </w:rPr>
        <w:t xml:space="preserve"> 268 (1), juillet 1991, p. 56-64.</w:t>
      </w:r>
    </w:p>
  </w:footnote>
  <w:footnote w:id="256">
    <w:p w14:paraId="3A4097DF" w14:textId="77777777" w:rsidR="0039793A" w:rsidRDefault="0039793A" w:rsidP="0039793A">
      <w:pPr>
        <w:pStyle w:val="Notedebasdepage"/>
      </w:pPr>
      <w:r>
        <w:rPr>
          <w:rStyle w:val="Appelnotedebasdep"/>
        </w:rPr>
        <w:footnoteRef/>
      </w:r>
      <w:r>
        <w:tab/>
      </w:r>
      <w:r w:rsidRPr="000563E3">
        <w:rPr>
          <w:lang w:val="fr-FR" w:eastAsia="fr-FR" w:bidi="fr-FR"/>
        </w:rPr>
        <w:t xml:space="preserve">Joseph Nye, </w:t>
      </w:r>
      <w:r w:rsidRPr="000563E3">
        <w:t>« </w:t>
      </w:r>
      <w:r w:rsidRPr="000563E3">
        <w:rPr>
          <w:lang w:val="fr-FR" w:eastAsia="fr-FR" w:bidi="fr-FR"/>
        </w:rPr>
        <w:t>Limits of American Power</w:t>
      </w:r>
      <w:r w:rsidRPr="000563E3">
        <w:t> »</w:t>
      </w:r>
      <w:r w:rsidRPr="000563E3">
        <w:rPr>
          <w:lang w:val="fr-FR" w:eastAsia="fr-FR" w:bidi="fr-FR"/>
        </w:rPr>
        <w:t xml:space="preserve">, </w:t>
      </w:r>
      <w:r w:rsidRPr="000563E3">
        <w:rPr>
          <w:rStyle w:val="NotedebasdepageItalique"/>
          <w:sz w:val="24"/>
        </w:rPr>
        <w:t>op. cit.,</w:t>
      </w:r>
      <w:r w:rsidRPr="000563E3">
        <w:rPr>
          <w:lang w:val="fr-FR" w:eastAsia="fr-FR" w:bidi="fr-FR"/>
        </w:rPr>
        <w:t xml:space="preserve"> p. 548.</w:t>
      </w:r>
    </w:p>
  </w:footnote>
  <w:footnote w:id="257">
    <w:p w14:paraId="5B0F2312" w14:textId="77777777" w:rsidR="0039793A" w:rsidRDefault="0039793A" w:rsidP="0039793A">
      <w:pPr>
        <w:pStyle w:val="Notedebasdepage"/>
      </w:pPr>
      <w:r>
        <w:rPr>
          <w:rStyle w:val="Appelnotedebasdep"/>
        </w:rPr>
        <w:footnoteRef/>
      </w:r>
      <w:r>
        <w:tab/>
      </w:r>
      <w:r w:rsidRPr="000563E3">
        <w:rPr>
          <w:lang w:val="fr-FR" w:eastAsia="fr-FR" w:bidi="fr-FR"/>
        </w:rPr>
        <w:t xml:space="preserve">Voir Joseph Nye, </w:t>
      </w:r>
      <w:r w:rsidRPr="000563E3">
        <w:rPr>
          <w:rStyle w:val="NotedebasdepageItalique"/>
          <w:sz w:val="24"/>
        </w:rPr>
        <w:t>The Paradox of American Power : Why the World’s Only Superpower Can’t Go It Alone</w:t>
      </w:r>
      <w:r w:rsidRPr="000563E3">
        <w:rPr>
          <w:lang w:val="fr-FR" w:eastAsia="fr-FR" w:bidi="fr-FR"/>
        </w:rPr>
        <w:t>, Oxford University Press, New York, 2002, p. xiv- xvi et p. 38-39.</w:t>
      </w:r>
    </w:p>
  </w:footnote>
  <w:footnote w:id="258">
    <w:p w14:paraId="6EC15A4E" w14:textId="77777777" w:rsidR="0039793A" w:rsidRDefault="0039793A" w:rsidP="0039793A">
      <w:pPr>
        <w:pStyle w:val="Notedebasdepage"/>
      </w:pPr>
      <w:r>
        <w:rPr>
          <w:rStyle w:val="Appelnotedebasdep"/>
        </w:rPr>
        <w:footnoteRef/>
      </w:r>
      <w:r>
        <w:tab/>
      </w:r>
      <w:r w:rsidRPr="000563E3">
        <w:rPr>
          <w:lang w:val="fr-FR" w:eastAsia="fr-FR" w:bidi="fr-FR"/>
        </w:rPr>
        <w:t xml:space="preserve">Joseph Nye, </w:t>
      </w:r>
      <w:r w:rsidRPr="000563E3">
        <w:t>« </w:t>
      </w:r>
      <w:r w:rsidRPr="000563E3">
        <w:rPr>
          <w:lang w:val="fr-FR" w:eastAsia="fr-FR" w:bidi="fr-FR"/>
        </w:rPr>
        <w:t>Limits of American Power</w:t>
      </w:r>
      <w:r w:rsidRPr="000563E3">
        <w:t> »</w:t>
      </w:r>
      <w:r w:rsidRPr="000563E3">
        <w:rPr>
          <w:lang w:val="fr-FR" w:eastAsia="fr-FR" w:bidi="fr-FR"/>
        </w:rPr>
        <w:t xml:space="preserve">, </w:t>
      </w:r>
      <w:r w:rsidRPr="000563E3">
        <w:rPr>
          <w:rStyle w:val="NotedebasdepageItalique"/>
          <w:sz w:val="24"/>
        </w:rPr>
        <w:t>op. cit.,</w:t>
      </w:r>
      <w:r w:rsidRPr="000563E3">
        <w:rPr>
          <w:lang w:val="fr-FR" w:eastAsia="fr-FR" w:bidi="fr-FR"/>
        </w:rPr>
        <w:t xml:space="preserve"> p. 558.</w:t>
      </w:r>
    </w:p>
  </w:footnote>
  <w:footnote w:id="259">
    <w:p w14:paraId="0AB24A57" w14:textId="77777777" w:rsidR="0039793A" w:rsidRDefault="0039793A" w:rsidP="0039793A">
      <w:pPr>
        <w:pStyle w:val="Notedebasdepage"/>
      </w:pPr>
      <w:r>
        <w:rPr>
          <w:rStyle w:val="Appelnotedebasdep"/>
        </w:rPr>
        <w:footnoteRef/>
      </w:r>
      <w:r>
        <w:tab/>
      </w:r>
      <w:r w:rsidRPr="000563E3">
        <w:rPr>
          <w:lang w:val="fr-FR" w:eastAsia="fr-FR" w:bidi="fr-FR"/>
        </w:rPr>
        <w:t xml:space="preserve">Voir David Grondin et Jean-Philippe Racicot, </w:t>
      </w:r>
      <w:r w:rsidRPr="000563E3">
        <w:t>« </w:t>
      </w:r>
      <w:r w:rsidRPr="000563E3">
        <w:rPr>
          <w:lang w:val="fr-FR" w:eastAsia="fr-FR" w:bidi="fr-FR"/>
        </w:rPr>
        <w:t>L’incohérence stratégique de Bush</w:t>
      </w:r>
      <w:r w:rsidRPr="000563E3">
        <w:t> :</w:t>
      </w:r>
      <w:r w:rsidRPr="000563E3">
        <w:rPr>
          <w:lang w:val="fr-FR" w:eastAsia="fr-FR" w:bidi="fr-FR"/>
        </w:rPr>
        <w:t xml:space="preserve"> Une stratégie de sécurité nationale ambivalente face aux cas ir</w:t>
      </w:r>
      <w:r w:rsidRPr="000563E3">
        <w:rPr>
          <w:lang w:val="fr-FR" w:eastAsia="fr-FR" w:bidi="fr-FR"/>
        </w:rPr>
        <w:t>a</w:t>
      </w:r>
      <w:r w:rsidRPr="000563E3">
        <w:rPr>
          <w:lang w:val="fr-FR" w:eastAsia="fr-FR" w:bidi="fr-FR"/>
        </w:rPr>
        <w:t>kien et nord- coréen</w:t>
      </w:r>
      <w:r w:rsidRPr="000563E3">
        <w:t> »</w:t>
      </w:r>
      <w:r w:rsidRPr="000563E3">
        <w:rPr>
          <w:lang w:val="fr-FR" w:eastAsia="fr-FR" w:bidi="fr-FR"/>
        </w:rPr>
        <w:t xml:space="preserve">, </w:t>
      </w:r>
      <w:r w:rsidRPr="000563E3">
        <w:rPr>
          <w:rStyle w:val="NotedebasdepageItalique"/>
          <w:sz w:val="24"/>
        </w:rPr>
        <w:t>Regards sur l’Amérique</w:t>
      </w:r>
      <w:r w:rsidRPr="000563E3">
        <w:rPr>
          <w:lang w:val="fr-FR" w:eastAsia="fr-FR" w:bidi="fr-FR"/>
        </w:rPr>
        <w:t>, 2 (2), février 2003, p. 3-6. Disponible en ligne</w:t>
      </w:r>
      <w:r w:rsidRPr="000563E3">
        <w:t> :</w:t>
      </w:r>
      <w:r>
        <w:br/>
      </w:r>
      <w:hyperlink r:id="rId5" w:history="1">
        <w:r w:rsidRPr="008459FE">
          <w:rPr>
            <w:rStyle w:val="Hyperlien"/>
            <w:lang w:val="en-US" w:bidi="en-US"/>
          </w:rPr>
          <w:t>http://www.dandurand.uqam.ca/Observatoire/Download/Regards_Amerique/</w:t>
        </w:r>
        <w:r w:rsidRPr="008459FE">
          <w:rPr>
            <w:rStyle w:val="Hyperlien"/>
            <w:lang w:val="fr-FR" w:eastAsia="fr-FR" w:bidi="fr-FR"/>
          </w:rPr>
          <w:t xml:space="preserve">Regards_ </w:t>
        </w:r>
        <w:r w:rsidRPr="008459FE">
          <w:rPr>
            <w:rStyle w:val="Hyperlien"/>
            <w:lang w:val="en-US" w:bidi="en-US"/>
          </w:rPr>
          <w:t>Amerique_v2n2.pdf</w:t>
        </w:r>
      </w:hyperlink>
      <w:r w:rsidRPr="000563E3">
        <w:rPr>
          <w:lang w:val="en-US" w:bidi="en-US"/>
        </w:rPr>
        <w:t xml:space="preserve">, </w:t>
      </w:r>
      <w:r w:rsidRPr="000563E3">
        <w:rPr>
          <w:lang w:val="fr-FR" w:eastAsia="fr-FR" w:bidi="fr-FR"/>
        </w:rPr>
        <w:t>consulté le 20 mars 2003.</w:t>
      </w:r>
    </w:p>
  </w:footnote>
  <w:footnote w:id="260">
    <w:p w14:paraId="74DAA393" w14:textId="77777777" w:rsidR="0039793A" w:rsidRDefault="0039793A" w:rsidP="0039793A">
      <w:pPr>
        <w:pStyle w:val="Notedebasdepage"/>
      </w:pPr>
      <w:r>
        <w:rPr>
          <w:rStyle w:val="Appelnotedebasdep"/>
        </w:rPr>
        <w:footnoteRef/>
      </w:r>
      <w:r>
        <w:tab/>
      </w:r>
      <w:r w:rsidRPr="000563E3">
        <w:rPr>
          <w:lang w:val="fr-FR" w:eastAsia="fr-FR" w:bidi="fr-FR"/>
        </w:rPr>
        <w:t xml:space="preserve">Joseph S. Nye, </w:t>
      </w:r>
      <w:r w:rsidRPr="000563E3">
        <w:t>« </w:t>
      </w:r>
      <w:r w:rsidRPr="000563E3">
        <w:rPr>
          <w:lang w:val="fr-FR" w:eastAsia="fr-FR" w:bidi="fr-FR"/>
        </w:rPr>
        <w:t>Seven Tests</w:t>
      </w:r>
      <w:r w:rsidRPr="000563E3">
        <w:t> :</w:t>
      </w:r>
      <w:r w:rsidRPr="000563E3">
        <w:rPr>
          <w:lang w:val="fr-FR" w:eastAsia="fr-FR" w:bidi="fr-FR"/>
        </w:rPr>
        <w:t xml:space="preserve"> Between Concert and Unilateralism</w:t>
      </w:r>
      <w:r w:rsidRPr="000563E3">
        <w:t> »</w:t>
      </w:r>
      <w:r w:rsidRPr="000563E3">
        <w:rPr>
          <w:lang w:val="fr-FR" w:eastAsia="fr-FR" w:bidi="fr-FR"/>
        </w:rPr>
        <w:t xml:space="preserve">, </w:t>
      </w:r>
      <w:r w:rsidRPr="000563E3">
        <w:rPr>
          <w:rStyle w:val="NotedebasdepageItalique"/>
          <w:sz w:val="24"/>
        </w:rPr>
        <w:t>The N</w:t>
      </w:r>
      <w:r w:rsidRPr="000563E3">
        <w:rPr>
          <w:rStyle w:val="NotedebasdepageItalique"/>
          <w:sz w:val="24"/>
        </w:rPr>
        <w:t>a</w:t>
      </w:r>
      <w:r w:rsidRPr="000563E3">
        <w:rPr>
          <w:rStyle w:val="NotedebasdepageItalique"/>
          <w:sz w:val="24"/>
        </w:rPr>
        <w:t>tional Interest,</w:t>
      </w:r>
      <w:r w:rsidRPr="000563E3">
        <w:rPr>
          <w:lang w:val="fr-FR" w:eastAsia="fr-FR" w:bidi="fr-FR"/>
        </w:rPr>
        <w:t xml:space="preserve"> 66, hiver 2001-2002, p. 5-13.</w:t>
      </w:r>
    </w:p>
  </w:footnote>
  <w:footnote w:id="261">
    <w:p w14:paraId="02C2328C" w14:textId="77777777" w:rsidR="0039793A" w:rsidRDefault="0039793A" w:rsidP="0039793A">
      <w:pPr>
        <w:pStyle w:val="Notedebasdepage"/>
      </w:pPr>
      <w:r>
        <w:rPr>
          <w:rStyle w:val="Appelnotedebasdep"/>
        </w:rPr>
        <w:footnoteRef/>
      </w:r>
      <w:r>
        <w:tab/>
      </w:r>
      <w:r w:rsidRPr="00C64F69">
        <w:rPr>
          <w:lang w:val="fr-FR" w:eastAsia="fr-FR" w:bidi="fr-FR"/>
        </w:rPr>
        <w:t xml:space="preserve">Michael Mastanduno, </w:t>
      </w:r>
      <w:r w:rsidRPr="00C64F69">
        <w:t>« </w:t>
      </w:r>
      <w:r w:rsidRPr="00C64F69">
        <w:rPr>
          <w:lang w:val="fr-FR" w:eastAsia="fr-FR" w:bidi="fr-FR"/>
        </w:rPr>
        <w:t>Preserving the Unipolar Moment</w:t>
      </w:r>
      <w:r w:rsidRPr="00C64F69">
        <w:t> :</w:t>
      </w:r>
      <w:r w:rsidRPr="00C64F69">
        <w:rPr>
          <w:lang w:val="fr-FR" w:eastAsia="fr-FR" w:bidi="fr-FR"/>
        </w:rPr>
        <w:t xml:space="preserve"> Realist Théories and </w:t>
      </w:r>
      <w:r w:rsidRPr="00C64F69">
        <w:rPr>
          <w:rStyle w:val="Notedebasdepage6pt"/>
          <w:sz w:val="24"/>
        </w:rPr>
        <w:t xml:space="preserve">US </w:t>
      </w:r>
      <w:r w:rsidRPr="00C64F69">
        <w:rPr>
          <w:lang w:val="fr-FR" w:eastAsia="fr-FR" w:bidi="fr-FR"/>
        </w:rPr>
        <w:t>Grand Strategy After the Cold War</w:t>
      </w:r>
      <w:r w:rsidRPr="00C64F69">
        <w:t> »</w:t>
      </w:r>
      <w:r w:rsidRPr="00C64F69">
        <w:rPr>
          <w:lang w:val="fr-FR" w:eastAsia="fr-FR" w:bidi="fr-FR"/>
        </w:rPr>
        <w:t xml:space="preserve">, </w:t>
      </w:r>
      <w:r w:rsidRPr="00C64F69">
        <w:rPr>
          <w:rStyle w:val="NotedebasdepageItalique"/>
          <w:sz w:val="24"/>
        </w:rPr>
        <w:t>International Security,</w:t>
      </w:r>
      <w:r w:rsidRPr="00C64F69">
        <w:rPr>
          <w:lang w:val="fr-FR" w:eastAsia="fr-FR" w:bidi="fr-FR"/>
        </w:rPr>
        <w:t xml:space="preserve"> 21 (4), pri</w:t>
      </w:r>
      <w:r w:rsidRPr="00C64F69">
        <w:rPr>
          <w:lang w:val="fr-FR" w:eastAsia="fr-FR" w:bidi="fr-FR"/>
        </w:rPr>
        <w:t>n</w:t>
      </w:r>
      <w:r w:rsidRPr="00C64F69">
        <w:rPr>
          <w:lang w:val="fr-FR" w:eastAsia="fr-FR" w:bidi="fr-FR"/>
        </w:rPr>
        <w:t>temps 1997, p. 59.</w:t>
      </w:r>
    </w:p>
  </w:footnote>
  <w:footnote w:id="262">
    <w:p w14:paraId="6F19C6F3" w14:textId="77777777" w:rsidR="0039793A" w:rsidRDefault="0039793A" w:rsidP="0039793A">
      <w:pPr>
        <w:pStyle w:val="Notedebasdepage"/>
      </w:pPr>
      <w:r>
        <w:rPr>
          <w:rStyle w:val="Appelnotedebasdep"/>
        </w:rPr>
        <w:footnoteRef/>
      </w:r>
      <w:r>
        <w:tab/>
      </w:r>
      <w:r w:rsidRPr="00C64F69">
        <w:rPr>
          <w:lang w:val="fr-FR" w:eastAsia="fr-FR" w:bidi="fr-FR"/>
        </w:rPr>
        <w:t xml:space="preserve">Stephen M. Walt, </w:t>
      </w:r>
      <w:r w:rsidRPr="00C64F69">
        <w:rPr>
          <w:rStyle w:val="NotedebasdepageItalique"/>
          <w:sz w:val="24"/>
        </w:rPr>
        <w:t>The</w:t>
      </w:r>
      <w:r>
        <w:rPr>
          <w:rStyle w:val="NotedebasdepageItalique"/>
          <w:sz w:val="24"/>
        </w:rPr>
        <w:t xml:space="preserve"> </w:t>
      </w:r>
      <w:r w:rsidRPr="00C64F69">
        <w:rPr>
          <w:rStyle w:val="NotedebasdepageItalique"/>
          <w:sz w:val="24"/>
        </w:rPr>
        <w:t>Origins of Alliances,</w:t>
      </w:r>
      <w:r w:rsidRPr="00C64F69">
        <w:rPr>
          <w:lang w:val="fr-FR" w:eastAsia="fr-FR" w:bidi="fr-FR"/>
        </w:rPr>
        <w:t xml:space="preserve"> Ithaca, New York, Cornell Uni- versity Press, 1987, p. 20-21</w:t>
      </w:r>
      <w:r w:rsidRPr="00C64F69">
        <w:t> ;</w:t>
      </w:r>
      <w:r w:rsidRPr="00C64F69">
        <w:rPr>
          <w:lang w:val="fr-FR" w:eastAsia="fr-FR" w:bidi="fr-FR"/>
        </w:rPr>
        <w:t xml:space="preserve"> </w:t>
      </w:r>
      <w:r w:rsidRPr="00C64F69">
        <w:t>« </w:t>
      </w:r>
      <w:r w:rsidRPr="00C64F69">
        <w:rPr>
          <w:lang w:val="fr-FR" w:eastAsia="fr-FR" w:bidi="fr-FR"/>
        </w:rPr>
        <w:t>Musclebound</w:t>
      </w:r>
      <w:r w:rsidRPr="00C64F69">
        <w:t> :</w:t>
      </w:r>
      <w:r w:rsidRPr="00C64F69">
        <w:rPr>
          <w:lang w:val="fr-FR" w:eastAsia="fr-FR" w:bidi="fr-FR"/>
        </w:rPr>
        <w:t xml:space="preserve"> The L</w:t>
      </w:r>
      <w:r w:rsidRPr="00C64F69">
        <w:rPr>
          <w:lang w:val="fr-FR" w:eastAsia="fr-FR" w:bidi="fr-FR"/>
        </w:rPr>
        <w:t>i</w:t>
      </w:r>
      <w:r w:rsidRPr="00C64F69">
        <w:rPr>
          <w:lang w:val="fr-FR" w:eastAsia="fr-FR" w:bidi="fr-FR"/>
        </w:rPr>
        <w:t xml:space="preserve">mits of </w:t>
      </w:r>
      <w:r w:rsidRPr="00C64F69">
        <w:rPr>
          <w:rStyle w:val="Notedebasdepage6pt"/>
          <w:sz w:val="24"/>
        </w:rPr>
        <w:t xml:space="preserve">US </w:t>
      </w:r>
      <w:r w:rsidRPr="00C64F69">
        <w:rPr>
          <w:lang w:val="fr-FR" w:eastAsia="fr-FR" w:bidi="fr-FR"/>
        </w:rPr>
        <w:t>Power</w:t>
      </w:r>
      <w:r w:rsidRPr="00C64F69">
        <w:t> »</w:t>
      </w:r>
      <w:r w:rsidRPr="00C64F69">
        <w:rPr>
          <w:lang w:val="fr-FR" w:eastAsia="fr-FR" w:bidi="fr-FR"/>
        </w:rPr>
        <w:t xml:space="preserve">, </w:t>
      </w:r>
      <w:r w:rsidRPr="00C64F69">
        <w:rPr>
          <w:rStyle w:val="NotedebasdepageItalique"/>
          <w:sz w:val="24"/>
        </w:rPr>
        <w:t>The Bulletin of the Atomic Scientists,</w:t>
      </w:r>
      <w:r w:rsidRPr="00C64F69">
        <w:rPr>
          <w:lang w:val="fr-FR" w:eastAsia="fr-FR" w:bidi="fr-FR"/>
        </w:rPr>
        <w:t xml:space="preserve"> 555 (2), mars-avril 1999, p. 47.</w:t>
      </w:r>
    </w:p>
  </w:footnote>
  <w:footnote w:id="263">
    <w:p w14:paraId="4AF24AEB" w14:textId="77777777" w:rsidR="0039793A" w:rsidRDefault="0039793A" w:rsidP="0039793A">
      <w:pPr>
        <w:pStyle w:val="Notedebasdepage"/>
      </w:pPr>
      <w:r>
        <w:rPr>
          <w:rStyle w:val="Appelnotedebasdep"/>
        </w:rPr>
        <w:footnoteRef/>
      </w:r>
      <w:r>
        <w:tab/>
      </w:r>
      <w:r w:rsidRPr="00C64F69">
        <w:rPr>
          <w:lang w:val="fr-FR" w:eastAsia="fr-FR" w:bidi="fr-FR"/>
        </w:rPr>
        <w:t xml:space="preserve">Stephen M. Walt, </w:t>
      </w:r>
      <w:r w:rsidRPr="00C64F69">
        <w:t>« </w:t>
      </w:r>
      <w:r w:rsidRPr="00C64F69">
        <w:rPr>
          <w:lang w:val="fr-FR" w:eastAsia="fr-FR" w:bidi="fr-FR"/>
        </w:rPr>
        <w:t>Musclebound</w:t>
      </w:r>
      <w:r w:rsidRPr="00C64F69">
        <w:t> :</w:t>
      </w:r>
      <w:r w:rsidRPr="00C64F69">
        <w:rPr>
          <w:lang w:val="fr-FR" w:eastAsia="fr-FR" w:bidi="fr-FR"/>
        </w:rPr>
        <w:t xml:space="preserve"> The Limits of </w:t>
      </w:r>
      <w:r w:rsidRPr="00C64F69">
        <w:rPr>
          <w:rStyle w:val="Notedebasdepage6pt"/>
          <w:sz w:val="24"/>
        </w:rPr>
        <w:t xml:space="preserve">US </w:t>
      </w:r>
      <w:r w:rsidRPr="00C64F69">
        <w:rPr>
          <w:lang w:val="fr-FR" w:eastAsia="fr-FR" w:bidi="fr-FR"/>
        </w:rPr>
        <w:t>Power</w:t>
      </w:r>
      <w:r w:rsidRPr="00C64F69">
        <w:t> »</w:t>
      </w:r>
      <w:r w:rsidRPr="00C64F69">
        <w:rPr>
          <w:lang w:val="fr-FR" w:eastAsia="fr-FR" w:bidi="fr-FR"/>
        </w:rPr>
        <w:t xml:space="preserve">, </w:t>
      </w:r>
      <w:r w:rsidRPr="00C64F69">
        <w:rPr>
          <w:rStyle w:val="NotedebasdepageItalique"/>
          <w:sz w:val="24"/>
        </w:rPr>
        <w:t xml:space="preserve">op. cit., </w:t>
      </w:r>
      <w:r w:rsidRPr="00C64F69">
        <w:rPr>
          <w:lang w:val="fr-FR" w:eastAsia="fr-FR" w:bidi="fr-FR"/>
        </w:rPr>
        <w:t>p. 47.</w:t>
      </w:r>
    </w:p>
  </w:footnote>
  <w:footnote w:id="264">
    <w:p w14:paraId="4C3106D7" w14:textId="77777777" w:rsidR="0039793A" w:rsidRDefault="0039793A" w:rsidP="0039793A">
      <w:pPr>
        <w:pStyle w:val="Notedebasdepage"/>
      </w:pPr>
      <w:r>
        <w:rPr>
          <w:rStyle w:val="Appelnotedebasdep"/>
        </w:rPr>
        <w:footnoteRef/>
      </w:r>
      <w:r>
        <w:tab/>
      </w:r>
      <w:r w:rsidRPr="00C64F69">
        <w:rPr>
          <w:lang w:val="fr-FR" w:eastAsia="fr-FR" w:bidi="fr-FR"/>
        </w:rPr>
        <w:t xml:space="preserve">Stephen M. Walt, </w:t>
      </w:r>
      <w:r w:rsidRPr="00C64F69">
        <w:t>« </w:t>
      </w:r>
      <w:r w:rsidRPr="00C64F69">
        <w:rPr>
          <w:lang w:val="fr-FR" w:eastAsia="fr-FR" w:bidi="fr-FR"/>
        </w:rPr>
        <w:t>American Primacy</w:t>
      </w:r>
      <w:r w:rsidRPr="00C64F69">
        <w:t> :</w:t>
      </w:r>
      <w:r w:rsidRPr="00C64F69">
        <w:rPr>
          <w:lang w:val="fr-FR" w:eastAsia="fr-FR" w:bidi="fr-FR"/>
        </w:rPr>
        <w:t xml:space="preserve"> Its Prospects and Pi</w:t>
      </w:r>
      <w:r w:rsidRPr="00C64F69">
        <w:rPr>
          <w:lang w:val="fr-FR" w:eastAsia="fr-FR" w:bidi="fr-FR"/>
        </w:rPr>
        <w:t>t</w:t>
      </w:r>
      <w:r w:rsidRPr="00C64F69">
        <w:rPr>
          <w:lang w:val="fr-FR" w:eastAsia="fr-FR" w:bidi="fr-FR"/>
        </w:rPr>
        <w:t>falls</w:t>
      </w:r>
      <w:r w:rsidRPr="00C64F69">
        <w:t> »</w:t>
      </w:r>
      <w:r w:rsidRPr="00C64F69">
        <w:rPr>
          <w:lang w:val="fr-FR" w:eastAsia="fr-FR" w:bidi="fr-FR"/>
        </w:rPr>
        <w:t xml:space="preserve">, </w:t>
      </w:r>
      <w:r w:rsidRPr="00C64F69">
        <w:rPr>
          <w:rStyle w:val="NotedebasdepageItalique"/>
          <w:sz w:val="24"/>
        </w:rPr>
        <w:t>Naval War College Review</w:t>
      </w:r>
      <w:r w:rsidRPr="00C64F69">
        <w:rPr>
          <w:lang w:val="fr-FR" w:eastAsia="fr-FR" w:bidi="fr-FR"/>
        </w:rPr>
        <w:t>, 54 (2), printemps 2002, p. 14.</w:t>
      </w:r>
    </w:p>
  </w:footnote>
  <w:footnote w:id="265">
    <w:p w14:paraId="0FE04E69" w14:textId="77777777" w:rsidR="0039793A" w:rsidRDefault="0039793A" w:rsidP="0039793A">
      <w:pPr>
        <w:pStyle w:val="Notedebasdepage"/>
      </w:pPr>
      <w:r>
        <w:rPr>
          <w:rStyle w:val="Appelnotedebasdep"/>
        </w:rPr>
        <w:footnoteRef/>
      </w:r>
      <w:r>
        <w:tab/>
      </w:r>
      <w:r w:rsidRPr="000563E3">
        <w:rPr>
          <w:lang w:val="fr-FR" w:eastAsia="fr-FR" w:bidi="fr-FR"/>
        </w:rPr>
        <w:t xml:space="preserve">Stephen M. Walt, </w:t>
      </w:r>
      <w:r w:rsidRPr="000563E3">
        <w:t>« </w:t>
      </w:r>
      <w:r w:rsidRPr="000563E3">
        <w:rPr>
          <w:lang w:val="fr-FR" w:eastAsia="fr-FR" w:bidi="fr-FR"/>
        </w:rPr>
        <w:t>Beyond bin Laden</w:t>
      </w:r>
      <w:r w:rsidRPr="000563E3">
        <w:t> :</w:t>
      </w:r>
      <w:r w:rsidRPr="000563E3">
        <w:rPr>
          <w:lang w:val="fr-FR" w:eastAsia="fr-FR" w:bidi="fr-FR"/>
        </w:rPr>
        <w:t xml:space="preserve"> Reshaping </w:t>
      </w:r>
      <w:r w:rsidRPr="000563E3">
        <w:rPr>
          <w:rStyle w:val="Notedebasdepage6pt"/>
          <w:sz w:val="24"/>
        </w:rPr>
        <w:t xml:space="preserve">US </w:t>
      </w:r>
      <w:r w:rsidRPr="000563E3">
        <w:rPr>
          <w:lang w:val="fr-FR" w:eastAsia="fr-FR" w:bidi="fr-FR"/>
        </w:rPr>
        <w:t>Foreign Policy</w:t>
      </w:r>
      <w:r w:rsidRPr="000563E3">
        <w:t> »</w:t>
      </w:r>
      <w:r w:rsidRPr="000563E3">
        <w:rPr>
          <w:lang w:val="fr-FR" w:eastAsia="fr-FR" w:bidi="fr-FR"/>
        </w:rPr>
        <w:t xml:space="preserve">, </w:t>
      </w:r>
      <w:r w:rsidRPr="000563E3">
        <w:rPr>
          <w:rStyle w:val="NotedebasdepageItalique"/>
          <w:sz w:val="24"/>
        </w:rPr>
        <w:t>International Secur</w:t>
      </w:r>
      <w:r w:rsidRPr="000563E3">
        <w:rPr>
          <w:rStyle w:val="NotedebasdepageItalique"/>
          <w:sz w:val="24"/>
        </w:rPr>
        <w:t>i</w:t>
      </w:r>
      <w:r w:rsidRPr="000563E3">
        <w:rPr>
          <w:rStyle w:val="NotedebasdepageItalique"/>
          <w:sz w:val="24"/>
        </w:rPr>
        <w:t>ty,</w:t>
      </w:r>
      <w:r w:rsidRPr="000563E3">
        <w:rPr>
          <w:lang w:val="fr-FR" w:eastAsia="fr-FR" w:bidi="fr-FR"/>
        </w:rPr>
        <w:t xml:space="preserve"> 26 (3), hiver 2001-2002, p. 63.</w:t>
      </w:r>
    </w:p>
  </w:footnote>
  <w:footnote w:id="266">
    <w:p w14:paraId="2B2CBFA1" w14:textId="77777777" w:rsidR="0039793A" w:rsidRDefault="0039793A" w:rsidP="0039793A">
      <w:pPr>
        <w:pStyle w:val="Notedebasdepage"/>
      </w:pPr>
      <w:r>
        <w:rPr>
          <w:rStyle w:val="Appelnotedebasdep"/>
        </w:rPr>
        <w:footnoteRef/>
      </w:r>
      <w:r>
        <w:tab/>
      </w:r>
      <w:r w:rsidRPr="000563E3">
        <w:rPr>
          <w:lang w:val="fr-FR" w:eastAsia="fr-FR" w:bidi="fr-FR"/>
        </w:rPr>
        <w:t xml:space="preserve">Stephen M. Walt, </w:t>
      </w:r>
      <w:r w:rsidRPr="000563E3">
        <w:t>« </w:t>
      </w:r>
      <w:r w:rsidRPr="000563E3">
        <w:rPr>
          <w:lang w:val="fr-FR" w:eastAsia="fr-FR" w:bidi="fr-FR"/>
        </w:rPr>
        <w:t>Keeping the World “Off-Balance”</w:t>
      </w:r>
      <w:r w:rsidRPr="000563E3">
        <w:t> :</w:t>
      </w:r>
      <w:r w:rsidRPr="000563E3">
        <w:rPr>
          <w:lang w:val="fr-FR" w:eastAsia="fr-FR" w:bidi="fr-FR"/>
        </w:rPr>
        <w:t xml:space="preserve"> Self-Restraint and </w:t>
      </w:r>
      <w:r w:rsidRPr="000563E3">
        <w:rPr>
          <w:rStyle w:val="Notedebasdepage6pt"/>
          <w:sz w:val="24"/>
        </w:rPr>
        <w:t xml:space="preserve">US </w:t>
      </w:r>
      <w:r w:rsidRPr="000563E3">
        <w:rPr>
          <w:lang w:val="fr-FR" w:eastAsia="fr-FR" w:bidi="fr-FR"/>
        </w:rPr>
        <w:t>Foreign Policy</w:t>
      </w:r>
      <w:r w:rsidRPr="000563E3">
        <w:t> »</w:t>
      </w:r>
      <w:r w:rsidRPr="000563E3">
        <w:rPr>
          <w:lang w:val="fr-FR" w:eastAsia="fr-FR" w:bidi="fr-FR"/>
        </w:rPr>
        <w:t xml:space="preserve">, dans G. John Ikenberry (ed.), </w:t>
      </w:r>
      <w:r w:rsidRPr="000563E3">
        <w:rPr>
          <w:rStyle w:val="NotedebasdepageItalique"/>
          <w:sz w:val="24"/>
        </w:rPr>
        <w:t>America Unrivalled : The F</w:t>
      </w:r>
      <w:r w:rsidRPr="000563E3">
        <w:rPr>
          <w:rStyle w:val="NotedebasdepageItalique"/>
          <w:sz w:val="24"/>
        </w:rPr>
        <w:t>u</w:t>
      </w:r>
      <w:r w:rsidRPr="000563E3">
        <w:rPr>
          <w:rStyle w:val="NotedebasdepageItalique"/>
          <w:sz w:val="24"/>
        </w:rPr>
        <w:t>ture of the Balance of Power,</w:t>
      </w:r>
      <w:r w:rsidRPr="000563E3">
        <w:rPr>
          <w:lang w:val="fr-FR" w:eastAsia="fr-FR" w:bidi="fr-FR"/>
        </w:rPr>
        <w:t xml:space="preserve"> Ithaca et Londres, Cornell University Press, 2002, p. 138 et 141.</w:t>
      </w:r>
    </w:p>
  </w:footnote>
  <w:footnote w:id="267">
    <w:p w14:paraId="6EC040C7" w14:textId="77777777" w:rsidR="0039793A" w:rsidRDefault="0039793A" w:rsidP="0039793A">
      <w:pPr>
        <w:pStyle w:val="Notedebasdepage"/>
      </w:pPr>
      <w:r>
        <w:rPr>
          <w:rStyle w:val="Appelnotedebasdep"/>
        </w:rPr>
        <w:footnoteRef/>
      </w:r>
      <w:r>
        <w:tab/>
      </w:r>
      <w:r w:rsidRPr="000563E3">
        <w:rPr>
          <w:lang w:val="fr-FR" w:eastAsia="fr-FR" w:bidi="fr-FR"/>
        </w:rPr>
        <w:t xml:space="preserve">Stephen M. Walt, </w:t>
      </w:r>
      <w:r w:rsidRPr="000563E3">
        <w:t>« </w:t>
      </w:r>
      <w:r w:rsidRPr="000563E3">
        <w:rPr>
          <w:lang w:val="fr-FR" w:eastAsia="fr-FR" w:bidi="fr-FR"/>
        </w:rPr>
        <w:t>American Primacy</w:t>
      </w:r>
      <w:r w:rsidRPr="000563E3">
        <w:t> :</w:t>
      </w:r>
      <w:r w:rsidRPr="000563E3">
        <w:rPr>
          <w:lang w:val="fr-FR" w:eastAsia="fr-FR" w:bidi="fr-FR"/>
        </w:rPr>
        <w:t xml:space="preserve"> Its Prospects and Pitfalls</w:t>
      </w:r>
      <w:r w:rsidRPr="000563E3">
        <w:t> »</w:t>
      </w:r>
      <w:r w:rsidRPr="000563E3">
        <w:rPr>
          <w:lang w:val="fr-FR" w:eastAsia="fr-FR" w:bidi="fr-FR"/>
        </w:rPr>
        <w:t>, art. c</w:t>
      </w:r>
      <w:r w:rsidRPr="000563E3">
        <w:rPr>
          <w:lang w:val="fr-FR" w:eastAsia="fr-FR" w:bidi="fr-FR"/>
        </w:rPr>
        <w:t>i</w:t>
      </w:r>
      <w:r w:rsidRPr="000563E3">
        <w:rPr>
          <w:lang w:val="fr-FR" w:eastAsia="fr-FR" w:bidi="fr-FR"/>
        </w:rPr>
        <w:t>té, p. 21.</w:t>
      </w:r>
    </w:p>
  </w:footnote>
  <w:footnote w:id="268">
    <w:p w14:paraId="60820275"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22.</w:t>
      </w:r>
    </w:p>
  </w:footnote>
  <w:footnote w:id="269">
    <w:p w14:paraId="76A53F8E"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26.</w:t>
      </w:r>
    </w:p>
  </w:footnote>
  <w:footnote w:id="270">
    <w:p w14:paraId="3C8430DC" w14:textId="77777777" w:rsidR="0039793A" w:rsidRDefault="0039793A" w:rsidP="0039793A">
      <w:pPr>
        <w:pStyle w:val="Notedebasdepage"/>
      </w:pPr>
      <w:r>
        <w:rPr>
          <w:rStyle w:val="Appelnotedebasdep"/>
        </w:rPr>
        <w:footnoteRef/>
      </w:r>
      <w:r>
        <w:tab/>
      </w:r>
      <w:r w:rsidRPr="000563E3">
        <w:rPr>
          <w:lang w:val="fr-FR" w:eastAsia="fr-FR" w:bidi="fr-FR"/>
        </w:rPr>
        <w:t xml:space="preserve">William C. Wohlforth, </w:t>
      </w:r>
      <w:r w:rsidRPr="000563E3">
        <w:t>« </w:t>
      </w:r>
      <w:r w:rsidRPr="000563E3">
        <w:rPr>
          <w:lang w:val="fr-FR" w:eastAsia="fr-FR" w:bidi="fr-FR"/>
        </w:rPr>
        <w:t>The Stability of a Unipolar World</w:t>
      </w:r>
      <w:r w:rsidRPr="000563E3">
        <w:t> »</w:t>
      </w:r>
      <w:r w:rsidRPr="000563E3">
        <w:rPr>
          <w:lang w:val="fr-FR" w:eastAsia="fr-FR" w:bidi="fr-FR"/>
        </w:rPr>
        <w:t xml:space="preserve">, </w:t>
      </w:r>
      <w:r w:rsidRPr="000563E3">
        <w:rPr>
          <w:rStyle w:val="NotedebasdepageItalique"/>
          <w:sz w:val="24"/>
        </w:rPr>
        <w:t>I</w:t>
      </w:r>
      <w:r w:rsidRPr="000563E3">
        <w:rPr>
          <w:rStyle w:val="NotedebasdepageItalique"/>
          <w:sz w:val="24"/>
        </w:rPr>
        <w:t>n</w:t>
      </w:r>
      <w:r w:rsidRPr="000563E3">
        <w:rPr>
          <w:rStyle w:val="NotedebasdepageItalique"/>
          <w:sz w:val="24"/>
        </w:rPr>
        <w:t>ternational Security,</w:t>
      </w:r>
      <w:r w:rsidRPr="000563E3">
        <w:rPr>
          <w:lang w:val="fr-FR" w:eastAsia="fr-FR" w:bidi="fr-FR"/>
        </w:rPr>
        <w:t xml:space="preserve"> 24 (1), été 1999, p. 37-39.</w:t>
      </w:r>
    </w:p>
  </w:footnote>
  <w:footnote w:id="271">
    <w:p w14:paraId="36532E95" w14:textId="77777777" w:rsidR="0039793A" w:rsidRDefault="0039793A" w:rsidP="0039793A">
      <w:pPr>
        <w:pStyle w:val="Notedebasdepage"/>
      </w:pPr>
      <w:r>
        <w:rPr>
          <w:rStyle w:val="Appelnotedebasdep"/>
        </w:rPr>
        <w:footnoteRef/>
      </w:r>
      <w:r>
        <w:tab/>
      </w:r>
      <w:r w:rsidRPr="000563E3">
        <w:rPr>
          <w:lang w:val="fr-FR" w:eastAsia="fr-FR" w:bidi="fr-FR"/>
        </w:rPr>
        <w:t xml:space="preserve">William C. Wohlforth et Stephen G. Brooks, </w:t>
      </w:r>
      <w:r w:rsidRPr="000563E3">
        <w:t>« </w:t>
      </w:r>
      <w:r w:rsidRPr="000563E3">
        <w:rPr>
          <w:lang w:val="fr-FR" w:eastAsia="fr-FR" w:bidi="fr-FR"/>
        </w:rPr>
        <w:t>American Primacy in Per</w:t>
      </w:r>
      <w:r w:rsidRPr="000563E3">
        <w:rPr>
          <w:lang w:val="fr-FR" w:eastAsia="fr-FR" w:bidi="fr-FR"/>
        </w:rPr>
        <w:t>s</w:t>
      </w:r>
      <w:r w:rsidRPr="000563E3">
        <w:rPr>
          <w:lang w:val="fr-FR" w:eastAsia="fr-FR" w:bidi="fr-FR"/>
        </w:rPr>
        <w:t>pe</w:t>
      </w:r>
      <w:r w:rsidRPr="000563E3">
        <w:rPr>
          <w:lang w:val="fr-FR" w:eastAsia="fr-FR" w:bidi="fr-FR"/>
        </w:rPr>
        <w:t>c</w:t>
      </w:r>
      <w:r w:rsidRPr="000563E3">
        <w:rPr>
          <w:lang w:val="fr-FR" w:eastAsia="fr-FR" w:bidi="fr-FR"/>
        </w:rPr>
        <w:t>tive</w:t>
      </w:r>
      <w:r w:rsidRPr="000563E3">
        <w:t> »</w:t>
      </w:r>
      <w:r w:rsidRPr="000563E3">
        <w:rPr>
          <w:lang w:val="fr-FR" w:eastAsia="fr-FR" w:bidi="fr-FR"/>
        </w:rPr>
        <w:t xml:space="preserve">, </w:t>
      </w:r>
      <w:r w:rsidRPr="000563E3">
        <w:rPr>
          <w:rStyle w:val="NotedebasdepageItalique"/>
          <w:sz w:val="24"/>
        </w:rPr>
        <w:t>Foreign Affairs</w:t>
      </w:r>
      <w:r w:rsidRPr="000563E3">
        <w:rPr>
          <w:lang w:val="fr-FR" w:eastAsia="fr-FR" w:bidi="fr-FR"/>
        </w:rPr>
        <w:t>, 81 (4), juillet-août 2002, p. 32.</w:t>
      </w:r>
    </w:p>
  </w:footnote>
  <w:footnote w:id="272">
    <w:p w14:paraId="302EC89F" w14:textId="77777777" w:rsidR="0039793A" w:rsidRDefault="0039793A" w:rsidP="0039793A">
      <w:pPr>
        <w:pStyle w:val="Notedebasdepage"/>
      </w:pPr>
      <w:r>
        <w:rPr>
          <w:rStyle w:val="Appelnotedebasdep"/>
        </w:rPr>
        <w:footnoteRef/>
      </w:r>
      <w:r>
        <w:tab/>
      </w:r>
      <w:r w:rsidRPr="000563E3">
        <w:rPr>
          <w:lang w:val="fr-FR" w:eastAsia="fr-FR" w:bidi="fr-FR"/>
        </w:rPr>
        <w:t xml:space="preserve">William C. Wohlforth, </w:t>
      </w:r>
      <w:r w:rsidRPr="000563E3">
        <w:t>« </w:t>
      </w:r>
      <w:r w:rsidRPr="000563E3">
        <w:rPr>
          <w:rStyle w:val="Notedebasdepage6pt"/>
          <w:sz w:val="24"/>
        </w:rPr>
        <w:t xml:space="preserve">US </w:t>
      </w:r>
      <w:r w:rsidRPr="000563E3">
        <w:rPr>
          <w:lang w:val="fr-FR" w:eastAsia="fr-FR" w:bidi="fr-FR"/>
        </w:rPr>
        <w:t>Strategy in a Unipolar World</w:t>
      </w:r>
      <w:r w:rsidRPr="000563E3">
        <w:t> »</w:t>
      </w:r>
      <w:r w:rsidRPr="000563E3">
        <w:rPr>
          <w:lang w:val="fr-FR" w:eastAsia="fr-FR" w:bidi="fr-FR"/>
        </w:rPr>
        <w:t xml:space="preserve">, dans G. John Ikenberry (ed), </w:t>
      </w:r>
      <w:r w:rsidRPr="000563E3">
        <w:rPr>
          <w:rStyle w:val="NotedebasdepageItalique"/>
          <w:sz w:val="24"/>
        </w:rPr>
        <w:t>America Unrivaled</w:t>
      </w:r>
      <w:r w:rsidRPr="000563E3">
        <w:rPr>
          <w:lang w:val="fr-FR" w:eastAsia="fr-FR" w:bidi="fr-FR"/>
        </w:rPr>
        <w:t xml:space="preserve">..., </w:t>
      </w:r>
      <w:r w:rsidRPr="000563E3">
        <w:rPr>
          <w:rStyle w:val="NotedebasdepageItalique"/>
          <w:sz w:val="24"/>
        </w:rPr>
        <w:t>op. cit.,</w:t>
      </w:r>
      <w:r w:rsidRPr="000563E3">
        <w:rPr>
          <w:lang w:val="fr-FR" w:eastAsia="fr-FR" w:bidi="fr-FR"/>
        </w:rPr>
        <w:t xml:space="preserve"> p. 103-104.</w:t>
      </w:r>
    </w:p>
  </w:footnote>
  <w:footnote w:id="273">
    <w:p w14:paraId="0DD341F9"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117 et William C. Wohlforth et Stephen G. Brooks, art. cité, p. 8-9.</w:t>
      </w:r>
    </w:p>
  </w:footnote>
  <w:footnote w:id="274">
    <w:p w14:paraId="7C96A87F" w14:textId="77777777" w:rsidR="0039793A" w:rsidRDefault="0039793A" w:rsidP="0039793A">
      <w:pPr>
        <w:pStyle w:val="Notedebasdepage"/>
      </w:pPr>
      <w:r>
        <w:rPr>
          <w:rStyle w:val="Appelnotedebasdep"/>
        </w:rPr>
        <w:footnoteRef/>
      </w:r>
      <w:r>
        <w:tab/>
        <w:t>William C. Wohlforth, « The Stability of a Unipolar World », art. cité, p. 41.</w:t>
      </w:r>
    </w:p>
  </w:footnote>
  <w:footnote w:id="275">
    <w:p w14:paraId="3ACB156F" w14:textId="77777777" w:rsidR="0039793A" w:rsidRDefault="0039793A" w:rsidP="0039793A">
      <w:pPr>
        <w:pStyle w:val="Notedebasdepage"/>
      </w:pPr>
      <w:r>
        <w:rPr>
          <w:rStyle w:val="Appelnotedebasdep"/>
        </w:rPr>
        <w:footnoteRef/>
      </w:r>
      <w:r>
        <w:tab/>
        <w:t>William C. Wohlforth, « US Strategy in a Unipolar World », art. cité, p. 117-118.</w:t>
      </w:r>
    </w:p>
  </w:footnote>
  <w:footnote w:id="276">
    <w:p w14:paraId="1C022290" w14:textId="77777777" w:rsidR="0039793A" w:rsidRDefault="0039793A" w:rsidP="0039793A">
      <w:pPr>
        <w:pStyle w:val="Notedebasdepage"/>
      </w:pPr>
      <w:r>
        <w:rPr>
          <w:rStyle w:val="Appelnotedebasdep"/>
        </w:rPr>
        <w:footnoteRef/>
      </w:r>
      <w:r>
        <w:tab/>
      </w:r>
      <w:r w:rsidRPr="000563E3">
        <w:rPr>
          <w:lang w:val="fr-FR" w:eastAsia="fr-FR" w:bidi="fr-FR"/>
        </w:rPr>
        <w:t xml:space="preserve">Voir </w:t>
      </w:r>
      <w:r w:rsidRPr="000563E3">
        <w:rPr>
          <w:rStyle w:val="NotedebasdepageItalique"/>
          <w:sz w:val="24"/>
        </w:rPr>
        <w:t>From Wealth to Power : The Unusual Origins of America’s World R</w:t>
      </w:r>
      <w:r>
        <w:rPr>
          <w:rStyle w:val="NotedebasdepageItalique"/>
          <w:sz w:val="24"/>
        </w:rPr>
        <w:t>o</w:t>
      </w:r>
      <w:r w:rsidRPr="000563E3">
        <w:rPr>
          <w:rStyle w:val="NotedebasdepageItalique"/>
          <w:sz w:val="24"/>
        </w:rPr>
        <w:t xml:space="preserve">le, </w:t>
      </w:r>
      <w:r w:rsidRPr="000563E3">
        <w:rPr>
          <w:lang w:val="fr-FR" w:eastAsia="fr-FR" w:bidi="fr-FR"/>
        </w:rPr>
        <w:t>Princeton, New Jersey, Princeton University Press, 1998, p. 187-188.</w:t>
      </w:r>
    </w:p>
  </w:footnote>
  <w:footnote w:id="277">
    <w:p w14:paraId="18F49C9F" w14:textId="77777777" w:rsidR="0039793A" w:rsidRDefault="0039793A" w:rsidP="0039793A">
      <w:pPr>
        <w:pStyle w:val="Notedebasdepage"/>
      </w:pPr>
      <w:r>
        <w:rPr>
          <w:rStyle w:val="Appelnotedebasdep"/>
        </w:rPr>
        <w:footnoteRef/>
      </w:r>
      <w:r>
        <w:tab/>
      </w:r>
      <w:r w:rsidRPr="000563E3">
        <w:rPr>
          <w:lang w:val="fr-FR" w:eastAsia="fr-FR" w:bidi="fr-FR"/>
        </w:rPr>
        <w:t xml:space="preserve">Fareed Zakaria, </w:t>
      </w:r>
      <w:r w:rsidRPr="000563E3">
        <w:t>« </w:t>
      </w:r>
      <w:r w:rsidRPr="000563E3">
        <w:rPr>
          <w:lang w:val="fr-FR" w:eastAsia="fr-FR" w:bidi="fr-FR"/>
        </w:rPr>
        <w:t>Realism and Domestic Politics</w:t>
      </w:r>
      <w:r w:rsidRPr="000563E3">
        <w:t> :</w:t>
      </w:r>
      <w:r w:rsidRPr="000563E3">
        <w:rPr>
          <w:lang w:val="fr-FR" w:eastAsia="fr-FR" w:bidi="fr-FR"/>
        </w:rPr>
        <w:t xml:space="preserve"> A Review Essay</w:t>
      </w:r>
      <w:r w:rsidRPr="000563E3">
        <w:t> »</w:t>
      </w:r>
      <w:r w:rsidRPr="000563E3">
        <w:rPr>
          <w:lang w:val="fr-FR" w:eastAsia="fr-FR" w:bidi="fr-FR"/>
        </w:rPr>
        <w:t xml:space="preserve">, </w:t>
      </w:r>
      <w:r w:rsidRPr="000563E3">
        <w:rPr>
          <w:rStyle w:val="NotedebasdepageItalique"/>
          <w:sz w:val="24"/>
        </w:rPr>
        <w:t>Inte</w:t>
      </w:r>
      <w:r w:rsidRPr="000563E3">
        <w:rPr>
          <w:rStyle w:val="NotedebasdepageItalique"/>
          <w:sz w:val="24"/>
        </w:rPr>
        <w:t>r</w:t>
      </w:r>
      <w:r w:rsidRPr="000563E3">
        <w:rPr>
          <w:rStyle w:val="NotedebasdepageItalique"/>
          <w:sz w:val="24"/>
        </w:rPr>
        <w:t>national Security</w:t>
      </w:r>
      <w:r w:rsidRPr="000563E3">
        <w:rPr>
          <w:lang w:val="fr-FR" w:eastAsia="fr-FR" w:bidi="fr-FR"/>
        </w:rPr>
        <w:t>, 17 (1), été 1992, p. 192.</w:t>
      </w:r>
    </w:p>
  </w:footnote>
  <w:footnote w:id="278">
    <w:p w14:paraId="7B293CFA" w14:textId="77777777" w:rsidR="0039793A" w:rsidRDefault="0039793A" w:rsidP="0039793A">
      <w:pPr>
        <w:pStyle w:val="Notedebasdepage"/>
      </w:pPr>
      <w:r>
        <w:rPr>
          <w:rStyle w:val="Appelnotedebasdep"/>
        </w:rPr>
        <w:footnoteRef/>
      </w:r>
      <w:r>
        <w:tab/>
      </w:r>
      <w:r w:rsidRPr="000563E3">
        <w:rPr>
          <w:lang w:val="fr-FR" w:eastAsia="fr-FR" w:bidi="fr-FR"/>
        </w:rPr>
        <w:t xml:space="preserve">Fareed Zakaria, </w:t>
      </w:r>
      <w:r w:rsidRPr="000563E3">
        <w:t>« </w:t>
      </w:r>
      <w:r w:rsidRPr="000563E3">
        <w:rPr>
          <w:lang w:val="fr-FR" w:eastAsia="fr-FR" w:bidi="fr-FR"/>
        </w:rPr>
        <w:t>The Challenges of American Hegemony</w:t>
      </w:r>
      <w:r w:rsidRPr="000563E3">
        <w:t> :</w:t>
      </w:r>
      <w:r w:rsidRPr="000563E3">
        <w:rPr>
          <w:lang w:val="fr-FR" w:eastAsia="fr-FR" w:bidi="fr-FR"/>
        </w:rPr>
        <w:t xml:space="preserve"> Then and Now</w:t>
      </w:r>
      <w:r w:rsidRPr="000563E3">
        <w:t> »</w:t>
      </w:r>
      <w:r w:rsidRPr="000563E3">
        <w:rPr>
          <w:lang w:val="fr-FR" w:eastAsia="fr-FR" w:bidi="fr-FR"/>
        </w:rPr>
        <w:t xml:space="preserve">, </w:t>
      </w:r>
      <w:r w:rsidRPr="000563E3">
        <w:rPr>
          <w:rStyle w:val="NotedebasdepageItalique"/>
          <w:sz w:val="24"/>
        </w:rPr>
        <w:t>International Journal,</w:t>
      </w:r>
      <w:r w:rsidRPr="000563E3">
        <w:rPr>
          <w:lang w:val="fr-FR" w:eastAsia="fr-FR" w:bidi="fr-FR"/>
        </w:rPr>
        <w:t xml:space="preserve"> 54 (1), hiver 1998-1999, p. 11.</w:t>
      </w:r>
    </w:p>
  </w:footnote>
  <w:footnote w:id="279">
    <w:p w14:paraId="78152C04"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12.</w:t>
      </w:r>
    </w:p>
  </w:footnote>
  <w:footnote w:id="280">
    <w:p w14:paraId="5F46968E" w14:textId="77777777" w:rsidR="0039793A" w:rsidRDefault="0039793A" w:rsidP="0039793A">
      <w:pPr>
        <w:pStyle w:val="Notedebasdepage"/>
      </w:pPr>
      <w:r>
        <w:rPr>
          <w:rStyle w:val="Appelnotedebasdep"/>
        </w:rPr>
        <w:footnoteRef/>
      </w:r>
      <w:r>
        <w:tab/>
      </w:r>
      <w:r w:rsidRPr="000563E3">
        <w:rPr>
          <w:lang w:val="fr-FR" w:eastAsia="fr-FR" w:bidi="fr-FR"/>
        </w:rPr>
        <w:t xml:space="preserve">Fareed Zakaria, </w:t>
      </w:r>
      <w:r w:rsidRPr="000563E3">
        <w:t>« </w:t>
      </w:r>
      <w:r w:rsidRPr="000563E3">
        <w:rPr>
          <w:lang w:val="fr-FR" w:eastAsia="fr-FR" w:bidi="fr-FR"/>
        </w:rPr>
        <w:t>The Arrogant Empire</w:t>
      </w:r>
      <w:r w:rsidRPr="000563E3">
        <w:t> »</w:t>
      </w:r>
      <w:r w:rsidRPr="000563E3">
        <w:rPr>
          <w:lang w:val="fr-FR" w:eastAsia="fr-FR" w:bidi="fr-FR"/>
        </w:rPr>
        <w:t xml:space="preserve">, </w:t>
      </w:r>
      <w:r w:rsidRPr="000563E3">
        <w:rPr>
          <w:rStyle w:val="NotedebasdepageItalique"/>
          <w:sz w:val="24"/>
        </w:rPr>
        <w:t>Newsweek</w:t>
      </w:r>
      <w:r w:rsidRPr="000563E3">
        <w:rPr>
          <w:lang w:val="fr-FR" w:eastAsia="fr-FR" w:bidi="fr-FR"/>
        </w:rPr>
        <w:t>, 24 mars 2003, p. 29.</w:t>
      </w:r>
    </w:p>
  </w:footnote>
  <w:footnote w:id="281">
    <w:p w14:paraId="320A9E3A"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27.</w:t>
      </w:r>
    </w:p>
  </w:footnote>
  <w:footnote w:id="282">
    <w:p w14:paraId="5C64EC56" w14:textId="77777777" w:rsidR="0039793A" w:rsidRDefault="0039793A" w:rsidP="0039793A">
      <w:pPr>
        <w:pStyle w:val="Notedebasdepage"/>
      </w:pPr>
      <w:r>
        <w:rPr>
          <w:rStyle w:val="Appelnotedebasdep"/>
        </w:rPr>
        <w:footnoteRef/>
      </w:r>
      <w:r>
        <w:tab/>
      </w:r>
      <w:r w:rsidRPr="000563E3">
        <w:rPr>
          <w:lang w:val="fr-FR" w:eastAsia="fr-FR" w:bidi="fr-FR"/>
        </w:rPr>
        <w:t xml:space="preserve">Fareed Zakaria, </w:t>
      </w:r>
      <w:r w:rsidRPr="000563E3">
        <w:t>« </w:t>
      </w:r>
      <w:r w:rsidRPr="000563E3">
        <w:rPr>
          <w:lang w:val="fr-FR" w:eastAsia="fr-FR" w:bidi="fr-FR"/>
        </w:rPr>
        <w:t>The Myth of America’s “Free Security” (Reconside- r</w:t>
      </w:r>
      <w:r w:rsidRPr="000563E3">
        <w:rPr>
          <w:lang w:val="fr-FR" w:eastAsia="fr-FR" w:bidi="fr-FR"/>
        </w:rPr>
        <w:t>a</w:t>
      </w:r>
      <w:r w:rsidRPr="000563E3">
        <w:rPr>
          <w:lang w:val="fr-FR" w:eastAsia="fr-FR" w:bidi="fr-FR"/>
        </w:rPr>
        <w:t>tions)</w:t>
      </w:r>
      <w:r w:rsidRPr="000563E3">
        <w:t> »</w:t>
      </w:r>
      <w:r w:rsidRPr="000563E3">
        <w:rPr>
          <w:lang w:val="fr-FR" w:eastAsia="fr-FR" w:bidi="fr-FR"/>
        </w:rPr>
        <w:t xml:space="preserve">, </w:t>
      </w:r>
      <w:r w:rsidRPr="000563E3">
        <w:rPr>
          <w:rStyle w:val="NotedebasdepageItalique"/>
          <w:sz w:val="24"/>
        </w:rPr>
        <w:t>World P</w:t>
      </w:r>
      <w:r w:rsidRPr="000563E3">
        <w:rPr>
          <w:rStyle w:val="NotedebasdepageItalique"/>
          <w:sz w:val="24"/>
        </w:rPr>
        <w:t>o</w:t>
      </w:r>
      <w:r w:rsidRPr="000563E3">
        <w:rPr>
          <w:rStyle w:val="NotedebasdepageItalique"/>
          <w:sz w:val="24"/>
        </w:rPr>
        <w:t>licy Journal</w:t>
      </w:r>
      <w:r w:rsidRPr="000563E3">
        <w:rPr>
          <w:lang w:val="fr-FR" w:eastAsia="fr-FR" w:bidi="fr-FR"/>
        </w:rPr>
        <w:t>, 14 (2), été 1997, p. 43.</w:t>
      </w:r>
    </w:p>
  </w:footnote>
  <w:footnote w:id="283">
    <w:p w14:paraId="26CB9435" w14:textId="77777777" w:rsidR="0039793A" w:rsidRDefault="0039793A" w:rsidP="0039793A">
      <w:pPr>
        <w:pStyle w:val="Notedebasdepage"/>
      </w:pPr>
      <w:r>
        <w:rPr>
          <w:rStyle w:val="Appelnotedebasdep"/>
        </w:rPr>
        <w:footnoteRef/>
      </w:r>
      <w:r>
        <w:tab/>
      </w:r>
      <w:r w:rsidRPr="000563E3">
        <w:rPr>
          <w:lang w:val="fr-FR" w:eastAsia="fr-FR" w:bidi="fr-FR"/>
        </w:rPr>
        <w:t xml:space="preserve">Fareed Zakaria, </w:t>
      </w:r>
      <w:r w:rsidRPr="000563E3">
        <w:t>« </w:t>
      </w:r>
      <w:r w:rsidRPr="000563E3">
        <w:rPr>
          <w:lang w:val="fr-FR" w:eastAsia="fr-FR" w:bidi="fr-FR"/>
        </w:rPr>
        <w:t>The Challenges of American Hegemony</w:t>
      </w:r>
      <w:r w:rsidRPr="000563E3">
        <w:t> :</w:t>
      </w:r>
      <w:r w:rsidRPr="000563E3">
        <w:rPr>
          <w:lang w:val="fr-FR" w:eastAsia="fr-FR" w:bidi="fr-FR"/>
        </w:rPr>
        <w:t xml:space="preserve"> Then and Now</w:t>
      </w:r>
      <w:r w:rsidRPr="000563E3">
        <w:t> »</w:t>
      </w:r>
      <w:r w:rsidRPr="000563E3">
        <w:rPr>
          <w:lang w:val="fr-FR" w:eastAsia="fr-FR" w:bidi="fr-FR"/>
        </w:rPr>
        <w:t>, art. ci</w:t>
      </w:r>
      <w:r>
        <w:rPr>
          <w:lang w:val="fr-FR" w:eastAsia="fr-FR" w:bidi="fr-FR"/>
        </w:rPr>
        <w:t>té, p. 19.</w:t>
      </w:r>
    </w:p>
  </w:footnote>
  <w:footnote w:id="284">
    <w:p w14:paraId="6B017D7C" w14:textId="77777777" w:rsidR="0039793A" w:rsidRDefault="0039793A" w:rsidP="0039793A">
      <w:pPr>
        <w:pStyle w:val="Notedebasdepage"/>
      </w:pPr>
      <w:r>
        <w:rPr>
          <w:rStyle w:val="Appelnotedebasdep"/>
        </w:rPr>
        <w:footnoteRef/>
      </w:r>
      <w:r>
        <w:tab/>
      </w:r>
      <w:r w:rsidRPr="000563E3">
        <w:rPr>
          <w:rStyle w:val="Notedebasdepage2NonItalique"/>
          <w:sz w:val="24"/>
        </w:rPr>
        <w:t xml:space="preserve">Voir notamment son dernier ouvrage, </w:t>
      </w:r>
      <w:r w:rsidRPr="00BA6ED4">
        <w:rPr>
          <w:i/>
          <w:iCs/>
          <w:lang w:val="fr-FR" w:eastAsia="fr-FR" w:bidi="fr-FR"/>
        </w:rPr>
        <w:t>The End of the American Era</w:t>
      </w:r>
      <w:r w:rsidRPr="00BA6ED4">
        <w:rPr>
          <w:i/>
          <w:iCs/>
        </w:rPr>
        <w:t> :</w:t>
      </w:r>
      <w:r w:rsidRPr="00BA6ED4">
        <w:rPr>
          <w:i/>
          <w:iCs/>
          <w:lang w:val="fr-FR" w:eastAsia="fr-FR" w:bidi="fr-FR"/>
        </w:rPr>
        <w:t xml:space="preserve"> </w:t>
      </w:r>
      <w:r w:rsidRPr="00BA6ED4">
        <w:rPr>
          <w:rStyle w:val="Notedebasdepage26pt"/>
          <w:i w:val="0"/>
          <w:iCs w:val="0"/>
          <w:sz w:val="24"/>
        </w:rPr>
        <w:t xml:space="preserve">US </w:t>
      </w:r>
      <w:r w:rsidRPr="00BA6ED4">
        <w:rPr>
          <w:i/>
          <w:iCs/>
          <w:lang w:val="fr-FR" w:eastAsia="fr-FR" w:bidi="fr-FR"/>
        </w:rPr>
        <w:t>Foreign Policy and the Geopolitics of the Twenty-First Century</w:t>
      </w:r>
      <w:r w:rsidRPr="000563E3">
        <w:rPr>
          <w:rStyle w:val="Notedebasdepage2NonItalique"/>
          <w:sz w:val="24"/>
        </w:rPr>
        <w:t>, New York, A</w:t>
      </w:r>
      <w:r w:rsidRPr="000563E3">
        <w:rPr>
          <w:rStyle w:val="Notedebasdepage2NonItalique"/>
          <w:sz w:val="24"/>
        </w:rPr>
        <w:t>l</w:t>
      </w:r>
      <w:r w:rsidRPr="000563E3">
        <w:rPr>
          <w:rStyle w:val="Notedebasdepage2NonItalique"/>
          <w:sz w:val="24"/>
        </w:rPr>
        <w:t>fred Knopf, 2002, 368 p.</w:t>
      </w:r>
    </w:p>
  </w:footnote>
  <w:footnote w:id="285">
    <w:p w14:paraId="3337DBC9" w14:textId="77777777" w:rsidR="0039793A" w:rsidRDefault="0039793A" w:rsidP="0039793A">
      <w:pPr>
        <w:pStyle w:val="Notedebasdepage"/>
      </w:pPr>
      <w:r>
        <w:rPr>
          <w:rStyle w:val="Appelnotedebasdep"/>
        </w:rPr>
        <w:footnoteRef/>
      </w:r>
      <w:r>
        <w:tab/>
      </w:r>
      <w:r w:rsidRPr="000563E3">
        <w:rPr>
          <w:lang w:val="fr-FR" w:eastAsia="fr-FR" w:bidi="fr-FR"/>
        </w:rPr>
        <w:t xml:space="preserve">Charles A. Kupchan, </w:t>
      </w:r>
      <w:r w:rsidRPr="000563E3">
        <w:t>« </w:t>
      </w:r>
      <w:r w:rsidRPr="000563E3">
        <w:rPr>
          <w:lang w:val="fr-FR" w:eastAsia="fr-FR" w:bidi="fr-FR"/>
        </w:rPr>
        <w:t>The End of the West</w:t>
      </w:r>
      <w:r w:rsidRPr="000563E3">
        <w:t> »</w:t>
      </w:r>
      <w:r w:rsidRPr="000563E3">
        <w:rPr>
          <w:lang w:val="fr-FR" w:eastAsia="fr-FR" w:bidi="fr-FR"/>
        </w:rPr>
        <w:t xml:space="preserve">, </w:t>
      </w:r>
      <w:r w:rsidRPr="000563E3">
        <w:rPr>
          <w:rStyle w:val="NotedebasdepageItalique"/>
          <w:sz w:val="24"/>
        </w:rPr>
        <w:t>The Atlantic Mo</w:t>
      </w:r>
      <w:r w:rsidRPr="000563E3">
        <w:rPr>
          <w:rStyle w:val="NotedebasdepageItalique"/>
          <w:sz w:val="24"/>
        </w:rPr>
        <w:t>n</w:t>
      </w:r>
      <w:r w:rsidRPr="000563E3">
        <w:rPr>
          <w:rStyle w:val="NotedebasdepageItalique"/>
          <w:sz w:val="24"/>
        </w:rPr>
        <w:t xml:space="preserve">thly, </w:t>
      </w:r>
      <w:r w:rsidRPr="000563E3">
        <w:rPr>
          <w:lang w:val="fr-FR" w:eastAsia="fr-FR" w:bidi="fr-FR"/>
        </w:rPr>
        <w:t>290 (4), novembre 2002, p. 42-44.</w:t>
      </w:r>
    </w:p>
  </w:footnote>
  <w:footnote w:id="286">
    <w:p w14:paraId="00F76A7E" w14:textId="77777777" w:rsidR="0039793A" w:rsidRDefault="0039793A" w:rsidP="0039793A">
      <w:pPr>
        <w:pStyle w:val="Notedebasdepage"/>
      </w:pPr>
      <w:r>
        <w:rPr>
          <w:rStyle w:val="Appelnotedebasdep"/>
        </w:rPr>
        <w:footnoteRef/>
      </w:r>
      <w:r>
        <w:tab/>
      </w:r>
      <w:r w:rsidRPr="000563E3">
        <w:rPr>
          <w:lang w:val="fr-FR" w:eastAsia="fr-FR" w:bidi="fr-FR"/>
        </w:rPr>
        <w:t xml:space="preserve">Samuel P. Huntington, </w:t>
      </w:r>
      <w:r w:rsidRPr="000563E3">
        <w:t>« </w:t>
      </w:r>
      <w:r w:rsidRPr="000563E3">
        <w:rPr>
          <w:lang w:val="fr-FR" w:eastAsia="fr-FR" w:bidi="fr-FR"/>
        </w:rPr>
        <w:t>A Clash of Civilizations</w:t>
      </w:r>
      <w:r w:rsidRPr="000563E3">
        <w:t> ? »</w:t>
      </w:r>
      <w:r w:rsidRPr="000563E3">
        <w:rPr>
          <w:lang w:val="fr-FR" w:eastAsia="fr-FR" w:bidi="fr-FR"/>
        </w:rPr>
        <w:t xml:space="preserve">, </w:t>
      </w:r>
      <w:r w:rsidRPr="000563E3">
        <w:rPr>
          <w:rStyle w:val="NotedebasdepageItalique"/>
          <w:sz w:val="24"/>
        </w:rPr>
        <w:t>Foreign A</w:t>
      </w:r>
      <w:r w:rsidRPr="000563E3">
        <w:rPr>
          <w:rStyle w:val="NotedebasdepageItalique"/>
          <w:sz w:val="24"/>
        </w:rPr>
        <w:t>f</w:t>
      </w:r>
      <w:r w:rsidRPr="000563E3">
        <w:rPr>
          <w:rStyle w:val="NotedebasdepageItalique"/>
          <w:sz w:val="24"/>
        </w:rPr>
        <w:t>fairs</w:t>
      </w:r>
      <w:r w:rsidRPr="000563E3">
        <w:rPr>
          <w:lang w:val="fr-FR" w:eastAsia="fr-FR" w:bidi="fr-FR"/>
        </w:rPr>
        <w:t>, 72 (3), été 1993, p. 22-49.</w:t>
      </w:r>
    </w:p>
  </w:footnote>
  <w:footnote w:id="287">
    <w:p w14:paraId="2EBD074A" w14:textId="77777777" w:rsidR="0039793A" w:rsidRDefault="0039793A" w:rsidP="0039793A">
      <w:pPr>
        <w:pStyle w:val="Notedebasdepage"/>
      </w:pPr>
      <w:r>
        <w:rPr>
          <w:rStyle w:val="Appelnotedebasdep"/>
        </w:rPr>
        <w:footnoteRef/>
      </w:r>
      <w:r>
        <w:tab/>
      </w:r>
      <w:r w:rsidRPr="000563E3">
        <w:rPr>
          <w:lang w:val="fr-FR" w:eastAsia="fr-FR" w:bidi="fr-FR"/>
        </w:rPr>
        <w:t xml:space="preserve">Charles A. Kupchan, </w:t>
      </w:r>
      <w:r w:rsidRPr="000563E3">
        <w:t>« </w:t>
      </w:r>
      <w:r w:rsidRPr="000563E3">
        <w:rPr>
          <w:lang w:val="fr-FR" w:eastAsia="fr-FR" w:bidi="fr-FR"/>
        </w:rPr>
        <w:t>After Pax Americana</w:t>
      </w:r>
      <w:r w:rsidRPr="000563E3">
        <w:t> :</w:t>
      </w:r>
      <w:r w:rsidRPr="000563E3">
        <w:rPr>
          <w:lang w:val="fr-FR" w:eastAsia="fr-FR" w:bidi="fr-FR"/>
        </w:rPr>
        <w:t xml:space="preserve"> Benign Power, Régional I</w:t>
      </w:r>
      <w:r w:rsidRPr="000563E3">
        <w:rPr>
          <w:lang w:val="fr-FR" w:eastAsia="fr-FR" w:bidi="fr-FR"/>
        </w:rPr>
        <w:t>n</w:t>
      </w:r>
      <w:r w:rsidRPr="000563E3">
        <w:rPr>
          <w:lang w:val="fr-FR" w:eastAsia="fr-FR" w:bidi="fr-FR"/>
        </w:rPr>
        <w:t>tégration, and the Sources of Stable Multipolarity</w:t>
      </w:r>
      <w:r w:rsidRPr="000563E3">
        <w:t> »</w:t>
      </w:r>
      <w:r w:rsidRPr="000563E3">
        <w:rPr>
          <w:lang w:val="fr-FR" w:eastAsia="fr-FR" w:bidi="fr-FR"/>
        </w:rPr>
        <w:t xml:space="preserve">, </w:t>
      </w:r>
      <w:r w:rsidRPr="000563E3">
        <w:rPr>
          <w:rStyle w:val="NotedebasdepageItalique"/>
          <w:sz w:val="24"/>
        </w:rPr>
        <w:t>Intern</w:t>
      </w:r>
      <w:r w:rsidRPr="000563E3">
        <w:rPr>
          <w:rStyle w:val="NotedebasdepageItalique"/>
          <w:sz w:val="24"/>
        </w:rPr>
        <w:t>a</w:t>
      </w:r>
      <w:r w:rsidRPr="000563E3">
        <w:rPr>
          <w:rStyle w:val="NotedebasdepageItalique"/>
          <w:sz w:val="24"/>
        </w:rPr>
        <w:t xml:space="preserve">tional Security, </w:t>
      </w:r>
      <w:r>
        <w:rPr>
          <w:lang w:val="fr-FR" w:eastAsia="fr-FR" w:bidi="fr-FR"/>
        </w:rPr>
        <w:t>23 (2), automne 1998, p. 40-79.</w:t>
      </w:r>
    </w:p>
  </w:footnote>
  <w:footnote w:id="288">
    <w:p w14:paraId="24CD7F79"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42, 55-66, ainsi que </w:t>
      </w:r>
      <w:r w:rsidRPr="000563E3">
        <w:t>« </w:t>
      </w:r>
      <w:r w:rsidRPr="000563E3">
        <w:rPr>
          <w:lang w:val="fr-FR" w:eastAsia="fr-FR" w:bidi="fr-FR"/>
        </w:rPr>
        <w:t>Hollow Hegemony or Stable Multipolar</w:t>
      </w:r>
      <w:r w:rsidRPr="000563E3">
        <w:rPr>
          <w:lang w:val="fr-FR" w:eastAsia="fr-FR" w:bidi="fr-FR"/>
        </w:rPr>
        <w:t>i</w:t>
      </w:r>
      <w:r w:rsidRPr="000563E3">
        <w:rPr>
          <w:lang w:val="fr-FR" w:eastAsia="fr-FR" w:bidi="fr-FR"/>
        </w:rPr>
        <w:t>ty</w:t>
      </w:r>
      <w:r w:rsidRPr="000563E3">
        <w:t> ? »</w:t>
      </w:r>
      <w:r w:rsidRPr="000563E3">
        <w:rPr>
          <w:lang w:val="fr-FR" w:eastAsia="fr-FR" w:bidi="fr-FR"/>
        </w:rPr>
        <w:t xml:space="preserve">, dans G. John Ikenberry (ed), </w:t>
      </w:r>
      <w:r w:rsidRPr="000563E3">
        <w:rPr>
          <w:rStyle w:val="NotedebasdepageItalique"/>
          <w:sz w:val="24"/>
        </w:rPr>
        <w:t>America Unrivaled, op. cit.,</w:t>
      </w:r>
      <w:r w:rsidRPr="000563E3">
        <w:rPr>
          <w:lang w:val="fr-FR" w:eastAsia="fr-FR" w:bidi="fr-FR"/>
        </w:rPr>
        <w:t xml:space="preserve"> p. 96.</w:t>
      </w:r>
    </w:p>
  </w:footnote>
  <w:footnote w:id="289">
    <w:p w14:paraId="7A9FFEE9" w14:textId="77777777" w:rsidR="0039793A" w:rsidRDefault="0039793A" w:rsidP="0039793A">
      <w:pPr>
        <w:pStyle w:val="Notedebasdepage"/>
      </w:pPr>
      <w:r>
        <w:rPr>
          <w:rStyle w:val="Appelnotedebasdep"/>
        </w:rPr>
        <w:footnoteRef/>
      </w:r>
      <w:r>
        <w:tab/>
      </w:r>
      <w:r w:rsidRPr="000563E3">
        <w:rPr>
          <w:lang w:val="fr-FR" w:eastAsia="fr-FR" w:bidi="fr-FR"/>
        </w:rPr>
        <w:t xml:space="preserve">Charles A. Kupchan, </w:t>
      </w:r>
      <w:r w:rsidRPr="000563E3">
        <w:t>« </w:t>
      </w:r>
      <w:r w:rsidRPr="000563E3">
        <w:rPr>
          <w:lang w:val="fr-FR" w:eastAsia="fr-FR" w:bidi="fr-FR"/>
        </w:rPr>
        <w:t>Misreading September 11</w:t>
      </w:r>
      <w:r w:rsidRPr="000563E3">
        <w:t> »</w:t>
      </w:r>
      <w:r w:rsidRPr="000563E3">
        <w:rPr>
          <w:lang w:val="fr-FR" w:eastAsia="fr-FR" w:bidi="fr-FR"/>
        </w:rPr>
        <w:t xml:space="preserve">, </w:t>
      </w:r>
      <w:r w:rsidRPr="000563E3">
        <w:rPr>
          <w:rStyle w:val="NotedebasdepageItalique"/>
          <w:sz w:val="24"/>
        </w:rPr>
        <w:t>The National Interest</w:t>
      </w:r>
      <w:r w:rsidRPr="000563E3">
        <w:rPr>
          <w:lang w:val="fr-FR" w:eastAsia="fr-FR" w:bidi="fr-FR"/>
        </w:rPr>
        <w:t>, 69, automne 2002, p. 29.</w:t>
      </w:r>
    </w:p>
  </w:footnote>
  <w:footnote w:id="290">
    <w:p w14:paraId="670330CF"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30.</w:t>
      </w:r>
    </w:p>
  </w:footnote>
  <w:footnote w:id="291">
    <w:p w14:paraId="007456AF" w14:textId="77777777" w:rsidR="0039793A" w:rsidRDefault="0039793A" w:rsidP="0039793A">
      <w:pPr>
        <w:pStyle w:val="Notedebasdepage"/>
      </w:pPr>
      <w:r>
        <w:rPr>
          <w:rStyle w:val="Appelnotedebasdep"/>
        </w:rPr>
        <w:footnoteRef/>
      </w:r>
      <w:r>
        <w:tab/>
      </w:r>
      <w:r w:rsidRPr="000563E3">
        <w:rPr>
          <w:lang w:val="fr-FR" w:eastAsia="fr-FR" w:bidi="fr-FR"/>
        </w:rPr>
        <w:t xml:space="preserve">Voir Martin Griffiths, </w:t>
      </w:r>
      <w:r w:rsidRPr="000563E3">
        <w:t>« </w:t>
      </w:r>
      <w:r w:rsidRPr="000563E3">
        <w:rPr>
          <w:lang w:val="fr-FR" w:eastAsia="fr-FR" w:bidi="fr-FR"/>
        </w:rPr>
        <w:t>Richard A. Falk</w:t>
      </w:r>
      <w:r w:rsidRPr="000563E3">
        <w:t> »</w:t>
      </w:r>
      <w:r w:rsidRPr="000563E3">
        <w:rPr>
          <w:lang w:val="fr-FR" w:eastAsia="fr-FR" w:bidi="fr-FR"/>
        </w:rPr>
        <w:t xml:space="preserve">, dans </w:t>
      </w:r>
      <w:r w:rsidRPr="000563E3">
        <w:rPr>
          <w:rStyle w:val="NotedebasdepageItalique"/>
          <w:sz w:val="24"/>
        </w:rPr>
        <w:t>Fifty Key Thinkers in Inte</w:t>
      </w:r>
      <w:r w:rsidRPr="000563E3">
        <w:rPr>
          <w:rStyle w:val="NotedebasdepageItalique"/>
          <w:sz w:val="24"/>
        </w:rPr>
        <w:t>r</w:t>
      </w:r>
      <w:r w:rsidRPr="000563E3">
        <w:rPr>
          <w:rStyle w:val="NotedebasdepageItalique"/>
          <w:sz w:val="24"/>
        </w:rPr>
        <w:t>national Rel</w:t>
      </w:r>
      <w:r w:rsidRPr="000563E3">
        <w:rPr>
          <w:rStyle w:val="NotedebasdepageItalique"/>
          <w:sz w:val="24"/>
        </w:rPr>
        <w:t>a</w:t>
      </w:r>
      <w:r w:rsidRPr="000563E3">
        <w:rPr>
          <w:rStyle w:val="NotedebasdepageItalique"/>
          <w:sz w:val="24"/>
        </w:rPr>
        <w:t>tions,</w:t>
      </w:r>
      <w:r w:rsidRPr="000563E3">
        <w:rPr>
          <w:lang w:val="fr-FR" w:eastAsia="fr-FR" w:bidi="fr-FR"/>
        </w:rPr>
        <w:t xml:space="preserve"> Londres, Routledge, 1999, p. 123.</w:t>
      </w:r>
    </w:p>
  </w:footnote>
  <w:footnote w:id="292">
    <w:p w14:paraId="0A2E371E" w14:textId="77777777" w:rsidR="0039793A" w:rsidRDefault="0039793A" w:rsidP="0039793A">
      <w:pPr>
        <w:pStyle w:val="Notedebasdepage"/>
      </w:pPr>
      <w:r>
        <w:rPr>
          <w:rStyle w:val="Appelnotedebasdep"/>
        </w:rPr>
        <w:footnoteRef/>
      </w:r>
      <w:r>
        <w:tab/>
      </w:r>
      <w:r w:rsidRPr="000563E3">
        <w:rPr>
          <w:lang w:val="fr-FR" w:eastAsia="fr-FR" w:bidi="fr-FR"/>
        </w:rPr>
        <w:t xml:space="preserve">Richard A. Falk, </w:t>
      </w:r>
      <w:r w:rsidRPr="000563E3">
        <w:t>« </w:t>
      </w:r>
      <w:r w:rsidRPr="000563E3">
        <w:rPr>
          <w:lang w:val="fr-FR" w:eastAsia="fr-FR" w:bidi="fr-FR"/>
        </w:rPr>
        <w:t>Les Nations unies prises en otage</w:t>
      </w:r>
      <w:r w:rsidRPr="000563E3">
        <w:t> :</w:t>
      </w:r>
      <w:r w:rsidRPr="000563E3">
        <w:rPr>
          <w:lang w:val="fr-FR" w:eastAsia="fr-FR" w:bidi="fr-FR"/>
        </w:rPr>
        <w:t xml:space="preserve"> Washington contre Bagdad</w:t>
      </w:r>
      <w:r w:rsidRPr="000563E3">
        <w:t> »</w:t>
      </w:r>
      <w:r w:rsidRPr="000563E3">
        <w:rPr>
          <w:lang w:val="fr-FR" w:eastAsia="fr-FR" w:bidi="fr-FR"/>
        </w:rPr>
        <w:t xml:space="preserve">, </w:t>
      </w:r>
      <w:r w:rsidRPr="000563E3">
        <w:rPr>
          <w:rStyle w:val="NotedebasdepageItalique"/>
          <w:sz w:val="24"/>
        </w:rPr>
        <w:t>Le mo</w:t>
      </w:r>
      <w:r w:rsidRPr="000563E3">
        <w:rPr>
          <w:rStyle w:val="NotedebasdepageItalique"/>
          <w:sz w:val="24"/>
        </w:rPr>
        <w:t>n</w:t>
      </w:r>
      <w:r w:rsidRPr="000563E3">
        <w:rPr>
          <w:rStyle w:val="NotedebasdepageItalique"/>
          <w:sz w:val="24"/>
        </w:rPr>
        <w:t>de diplomatique</w:t>
      </w:r>
      <w:r w:rsidRPr="000563E3">
        <w:rPr>
          <w:lang w:val="fr-FR" w:eastAsia="fr-FR" w:bidi="fr-FR"/>
        </w:rPr>
        <w:t>, décembre 2002, p. 1 et 23.</w:t>
      </w:r>
    </w:p>
  </w:footnote>
  <w:footnote w:id="293">
    <w:p w14:paraId="2A052E93" w14:textId="77777777" w:rsidR="0039793A" w:rsidRDefault="0039793A" w:rsidP="0039793A">
      <w:pPr>
        <w:pStyle w:val="Notedebasdepage"/>
      </w:pPr>
      <w:r>
        <w:rPr>
          <w:rStyle w:val="Appelnotedebasdep"/>
        </w:rPr>
        <w:footnoteRef/>
      </w:r>
      <w:r>
        <w:tab/>
      </w:r>
      <w:r w:rsidRPr="000563E3">
        <w:rPr>
          <w:rStyle w:val="Notedebasdepage2NonItalique"/>
          <w:sz w:val="24"/>
        </w:rPr>
        <w:t xml:space="preserve">Richard A. Falk, </w:t>
      </w:r>
      <w:r w:rsidRPr="006D3477">
        <w:rPr>
          <w:i/>
          <w:iCs/>
          <w:lang w:val="fr-FR" w:eastAsia="fr-FR" w:bidi="fr-FR"/>
        </w:rPr>
        <w:t>Human Rights Horizon</w:t>
      </w:r>
      <w:r w:rsidRPr="006D3477">
        <w:rPr>
          <w:i/>
          <w:iCs/>
        </w:rPr>
        <w:t> :</w:t>
      </w:r>
      <w:r w:rsidRPr="006D3477">
        <w:rPr>
          <w:i/>
          <w:iCs/>
          <w:lang w:val="fr-FR" w:eastAsia="fr-FR" w:bidi="fr-FR"/>
        </w:rPr>
        <w:t xml:space="preserve"> The Pursuit of Global Justice in a Globalizing World</w:t>
      </w:r>
      <w:r w:rsidRPr="000563E3">
        <w:rPr>
          <w:lang w:val="fr-FR" w:eastAsia="fr-FR" w:bidi="fr-FR"/>
        </w:rPr>
        <w:t>,</w:t>
      </w:r>
      <w:r w:rsidRPr="000563E3">
        <w:rPr>
          <w:rStyle w:val="Notedebasdepage2NonItalique"/>
          <w:sz w:val="24"/>
        </w:rPr>
        <w:t xml:space="preserve"> New York et Londres, Routledge, 2000, p. 33.</w:t>
      </w:r>
    </w:p>
  </w:footnote>
  <w:footnote w:id="294">
    <w:p w14:paraId="23D896FB" w14:textId="77777777" w:rsidR="0039793A" w:rsidRDefault="0039793A" w:rsidP="0039793A">
      <w:pPr>
        <w:pStyle w:val="Notedebasdepage"/>
      </w:pPr>
      <w:r>
        <w:rPr>
          <w:rStyle w:val="Appelnotedebasdep"/>
        </w:rPr>
        <w:footnoteRef/>
      </w:r>
      <w:r>
        <w:tab/>
      </w:r>
      <w:r w:rsidRPr="000563E3">
        <w:rPr>
          <w:rStyle w:val="Notedebasdepage2NonItalique"/>
          <w:sz w:val="24"/>
        </w:rPr>
        <w:t xml:space="preserve">Richard A. Falk, </w:t>
      </w:r>
      <w:r w:rsidRPr="003114C5">
        <w:rPr>
          <w:i/>
          <w:iCs/>
          <w:lang w:val="fr-FR" w:eastAsia="fr-FR" w:bidi="fr-FR"/>
        </w:rPr>
        <w:t>Human Rights Horizon</w:t>
      </w:r>
      <w:r w:rsidRPr="000563E3">
        <w:rPr>
          <w:lang w:val="fr-FR" w:eastAsia="fr-FR" w:bidi="fr-FR"/>
        </w:rPr>
        <w:t>, op. cit.,</w:t>
      </w:r>
      <w:r w:rsidRPr="000563E3">
        <w:rPr>
          <w:rStyle w:val="Notedebasdepage2NonItalique"/>
          <w:sz w:val="24"/>
        </w:rPr>
        <w:t xml:space="preserve"> p. 22.</w:t>
      </w:r>
    </w:p>
  </w:footnote>
  <w:footnote w:id="295">
    <w:p w14:paraId="4724E7A6"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33-35. Voir également </w:t>
      </w:r>
      <w:r w:rsidRPr="000563E3">
        <w:rPr>
          <w:rStyle w:val="NotedebasdepageItalique"/>
          <w:sz w:val="24"/>
        </w:rPr>
        <w:t>On Humane Governance : Toward a New Global Politics,</w:t>
      </w:r>
      <w:r w:rsidRPr="000563E3">
        <w:rPr>
          <w:lang w:val="fr-FR" w:eastAsia="fr-FR" w:bidi="fr-FR"/>
        </w:rPr>
        <w:t xml:space="preserve"> Cambridge, Royaume-Uni, Polity Press, 1995, 304 p.</w:t>
      </w:r>
    </w:p>
  </w:footnote>
  <w:footnote w:id="296">
    <w:p w14:paraId="6DD79FEF" w14:textId="77777777" w:rsidR="0039793A" w:rsidRDefault="0039793A" w:rsidP="0039793A">
      <w:pPr>
        <w:pStyle w:val="Notedebasdepage"/>
      </w:pPr>
      <w:r>
        <w:rPr>
          <w:rStyle w:val="Appelnotedebasdep"/>
        </w:rPr>
        <w:footnoteRef/>
      </w:r>
      <w:r>
        <w:tab/>
      </w:r>
      <w:r w:rsidRPr="000563E3">
        <w:rPr>
          <w:rStyle w:val="NotedebasdepageItalique"/>
          <w:sz w:val="24"/>
        </w:rPr>
        <w:t>Le Monde,</w:t>
      </w:r>
      <w:r w:rsidRPr="000563E3">
        <w:rPr>
          <w:lang w:val="fr-FR" w:eastAsia="fr-FR" w:bidi="fr-FR"/>
        </w:rPr>
        <w:t xml:space="preserve"> 18 octobre 2001, p. 17. Pour Hegel, le type d’État n’est que le reflet de l’esprit d’un peuple </w:t>
      </w:r>
      <w:r w:rsidRPr="000563E3">
        <w:rPr>
          <w:rStyle w:val="Notedebasdepage6pt"/>
          <w:sz w:val="24"/>
        </w:rPr>
        <w:t xml:space="preserve">à </w:t>
      </w:r>
      <w:r w:rsidRPr="000563E3">
        <w:rPr>
          <w:lang w:val="fr-FR" w:eastAsia="fr-FR" w:bidi="fr-FR"/>
        </w:rPr>
        <w:t xml:space="preserve">une époque donnée et le passage </w:t>
      </w:r>
      <w:r w:rsidRPr="000563E3">
        <w:rPr>
          <w:rStyle w:val="Notedebasdepage6pt"/>
          <w:sz w:val="24"/>
        </w:rPr>
        <w:t xml:space="preserve">à </w:t>
      </w:r>
      <w:r w:rsidRPr="000563E3">
        <w:rPr>
          <w:lang w:val="fr-FR" w:eastAsia="fr-FR" w:bidi="fr-FR"/>
        </w:rPr>
        <w:t xml:space="preserve">l’État est le passage </w:t>
      </w:r>
      <w:r w:rsidRPr="000563E3">
        <w:rPr>
          <w:rStyle w:val="Notedebasdepage6pt"/>
          <w:sz w:val="24"/>
        </w:rPr>
        <w:t xml:space="preserve">à </w:t>
      </w:r>
      <w:r w:rsidRPr="000563E3">
        <w:rPr>
          <w:lang w:val="fr-FR" w:eastAsia="fr-FR" w:bidi="fr-FR"/>
        </w:rPr>
        <w:t>l’Histoire</w:t>
      </w:r>
      <w:r w:rsidRPr="000563E3">
        <w:t> ;</w:t>
      </w:r>
      <w:r w:rsidRPr="000563E3">
        <w:rPr>
          <w:lang w:val="fr-FR" w:eastAsia="fr-FR" w:bidi="fr-FR"/>
        </w:rPr>
        <w:t xml:space="preserve"> pour Fukuyama, l’État libéral un</w:t>
      </w:r>
      <w:r w:rsidRPr="000563E3">
        <w:rPr>
          <w:lang w:val="fr-FR" w:eastAsia="fr-FR" w:bidi="fr-FR"/>
        </w:rPr>
        <w:t>i</w:t>
      </w:r>
      <w:r w:rsidRPr="000563E3">
        <w:rPr>
          <w:lang w:val="fr-FR" w:eastAsia="fr-FR" w:bidi="fr-FR"/>
        </w:rPr>
        <w:t xml:space="preserve">versel annonce la </w:t>
      </w:r>
      <w:r w:rsidRPr="000563E3">
        <w:t>« </w:t>
      </w:r>
      <w:r w:rsidRPr="000563E3">
        <w:rPr>
          <w:lang w:val="fr-FR" w:eastAsia="fr-FR" w:bidi="fr-FR"/>
        </w:rPr>
        <w:t>fin de l’Histoire</w:t>
      </w:r>
      <w:r w:rsidRPr="000563E3">
        <w:t> »</w:t>
      </w:r>
      <w:r w:rsidRPr="000563E3">
        <w:rPr>
          <w:lang w:val="fr-FR" w:eastAsia="fr-FR" w:bidi="fr-FR"/>
        </w:rPr>
        <w:t>.</w:t>
      </w:r>
    </w:p>
  </w:footnote>
  <w:footnote w:id="297">
    <w:p w14:paraId="041F8711" w14:textId="77777777" w:rsidR="0039793A" w:rsidRDefault="0039793A" w:rsidP="0039793A">
      <w:pPr>
        <w:pStyle w:val="Notedebasdepage"/>
      </w:pPr>
      <w:r>
        <w:rPr>
          <w:rStyle w:val="Appelnotedebasdep"/>
        </w:rPr>
        <w:footnoteRef/>
      </w:r>
      <w:r>
        <w:tab/>
      </w:r>
      <w:r w:rsidRPr="000563E3">
        <w:rPr>
          <w:lang w:val="fr-FR" w:eastAsia="fr-FR" w:bidi="fr-FR"/>
        </w:rPr>
        <w:t xml:space="preserve">Francis Fukuyama, </w:t>
      </w:r>
      <w:r w:rsidRPr="000563E3">
        <w:t>« </w:t>
      </w:r>
      <w:r w:rsidRPr="000563E3">
        <w:rPr>
          <w:lang w:val="fr-FR" w:eastAsia="fr-FR" w:bidi="fr-FR"/>
        </w:rPr>
        <w:t>The End of History</w:t>
      </w:r>
      <w:r w:rsidRPr="000563E3">
        <w:t> ? »</w:t>
      </w:r>
      <w:r w:rsidRPr="000563E3">
        <w:rPr>
          <w:lang w:val="fr-FR" w:eastAsia="fr-FR" w:bidi="fr-FR"/>
        </w:rPr>
        <w:t xml:space="preserve">, </w:t>
      </w:r>
      <w:r w:rsidRPr="000563E3">
        <w:rPr>
          <w:rStyle w:val="NotedebasdepageItalique"/>
          <w:sz w:val="24"/>
        </w:rPr>
        <w:t>The National Int</w:t>
      </w:r>
      <w:r w:rsidRPr="000563E3">
        <w:rPr>
          <w:rStyle w:val="NotedebasdepageItalique"/>
          <w:sz w:val="24"/>
        </w:rPr>
        <w:t>e</w:t>
      </w:r>
      <w:r w:rsidRPr="000563E3">
        <w:rPr>
          <w:rStyle w:val="NotedebasdepageItalique"/>
          <w:sz w:val="24"/>
        </w:rPr>
        <w:t>rest,</w:t>
      </w:r>
      <w:r w:rsidRPr="000563E3">
        <w:rPr>
          <w:lang w:val="fr-FR" w:eastAsia="fr-FR" w:bidi="fr-FR"/>
        </w:rPr>
        <w:t xml:space="preserve"> 16, été 1989, p. 3-18.</w:t>
      </w:r>
    </w:p>
  </w:footnote>
  <w:footnote w:id="298">
    <w:p w14:paraId="488D58BD" w14:textId="77777777" w:rsidR="0039793A" w:rsidRDefault="0039793A" w:rsidP="0039793A">
      <w:pPr>
        <w:pStyle w:val="Notedebasdepage"/>
      </w:pPr>
      <w:r>
        <w:rPr>
          <w:rStyle w:val="Appelnotedebasdep"/>
        </w:rPr>
        <w:footnoteRef/>
      </w:r>
      <w:r>
        <w:tab/>
      </w:r>
      <w:r w:rsidRPr="000563E3">
        <w:rPr>
          <w:rStyle w:val="NotedebasdepageItalique"/>
          <w:sz w:val="24"/>
        </w:rPr>
        <w:t>Le Monde,</w:t>
      </w:r>
      <w:r w:rsidRPr="000563E3">
        <w:rPr>
          <w:lang w:val="fr-FR" w:eastAsia="fr-FR" w:bidi="fr-FR"/>
        </w:rPr>
        <w:t xml:space="preserve"> 18 octobre 2001, p. 17.</w:t>
      </w:r>
    </w:p>
  </w:footnote>
  <w:footnote w:id="299">
    <w:p w14:paraId="71922206" w14:textId="77777777" w:rsidR="0039793A" w:rsidRDefault="0039793A" w:rsidP="0039793A">
      <w:pPr>
        <w:pStyle w:val="Notedebasdepage"/>
      </w:pPr>
      <w:r>
        <w:rPr>
          <w:rStyle w:val="Appelnotedebasdep"/>
        </w:rPr>
        <w:footnoteRef/>
      </w:r>
      <w:r>
        <w:tab/>
      </w:r>
      <w:r w:rsidRPr="000563E3">
        <w:rPr>
          <w:lang w:val="fr-FR" w:eastAsia="fr-FR" w:bidi="fr-FR"/>
        </w:rPr>
        <w:t xml:space="preserve">Charles Zorgbibe, </w:t>
      </w:r>
      <w:r w:rsidRPr="000563E3">
        <w:rPr>
          <w:rStyle w:val="NotedebasdepageItalique"/>
          <w:sz w:val="24"/>
        </w:rPr>
        <w:t>L’avenir de la sécurité internationale,</w:t>
      </w:r>
      <w:r w:rsidRPr="000563E3">
        <w:rPr>
          <w:lang w:val="fr-FR" w:eastAsia="fr-FR" w:bidi="fr-FR"/>
        </w:rPr>
        <w:t xml:space="preserve"> Paris, Presses de Sciences Po, coll. </w:t>
      </w:r>
      <w:r w:rsidRPr="000563E3">
        <w:t>« </w:t>
      </w:r>
      <w:r w:rsidRPr="000563E3">
        <w:rPr>
          <w:lang w:val="fr-FR" w:eastAsia="fr-FR" w:bidi="fr-FR"/>
        </w:rPr>
        <w:t>La Bibliothèque du citoyen</w:t>
      </w:r>
      <w:r w:rsidRPr="000563E3">
        <w:t> »</w:t>
      </w:r>
      <w:r w:rsidRPr="000563E3">
        <w:rPr>
          <w:lang w:val="fr-FR" w:eastAsia="fr-FR" w:bidi="fr-FR"/>
        </w:rPr>
        <w:t>, 2003, p. 32.</w:t>
      </w:r>
    </w:p>
  </w:footnote>
  <w:footnote w:id="300">
    <w:p w14:paraId="0E303871" w14:textId="77777777" w:rsidR="0039793A" w:rsidRDefault="0039793A" w:rsidP="0039793A">
      <w:pPr>
        <w:pStyle w:val="Notedebasdepage"/>
      </w:pPr>
      <w:r>
        <w:rPr>
          <w:rStyle w:val="Appelnotedebasdep"/>
        </w:rPr>
        <w:footnoteRef/>
      </w:r>
      <w:r>
        <w:tab/>
      </w:r>
      <w:r w:rsidRPr="000563E3">
        <w:rPr>
          <w:lang w:val="fr-FR" w:eastAsia="fr-FR" w:bidi="fr-FR"/>
        </w:rPr>
        <w:t xml:space="preserve">Francis Fukuyama, </w:t>
      </w:r>
      <w:r w:rsidRPr="000563E3">
        <w:t>« </w:t>
      </w:r>
      <w:r w:rsidRPr="000563E3">
        <w:rPr>
          <w:lang w:val="fr-FR" w:eastAsia="fr-FR" w:bidi="fr-FR"/>
        </w:rPr>
        <w:t>L’État-uni</w:t>
      </w:r>
      <w:r w:rsidRPr="000563E3">
        <w:t> »</w:t>
      </w:r>
      <w:r w:rsidRPr="000563E3">
        <w:rPr>
          <w:lang w:val="fr-FR" w:eastAsia="fr-FR" w:bidi="fr-FR"/>
        </w:rPr>
        <w:t xml:space="preserve">, </w:t>
      </w:r>
      <w:r w:rsidRPr="000563E3">
        <w:rPr>
          <w:rStyle w:val="NotedebasdepageItalique"/>
          <w:sz w:val="24"/>
        </w:rPr>
        <w:t>Le Monde,</w:t>
      </w:r>
      <w:r w:rsidRPr="000563E3">
        <w:rPr>
          <w:lang w:val="fr-FR" w:eastAsia="fr-FR" w:bidi="fr-FR"/>
        </w:rPr>
        <w:t xml:space="preserve"> 19 septembre 2001, p. 1.</w:t>
      </w:r>
    </w:p>
  </w:footnote>
  <w:footnote w:id="301">
    <w:p w14:paraId="6AF20F0E" w14:textId="77777777" w:rsidR="0039793A" w:rsidRDefault="0039793A" w:rsidP="0039793A">
      <w:pPr>
        <w:pStyle w:val="Notedebasdepage"/>
      </w:pPr>
      <w:r>
        <w:rPr>
          <w:rStyle w:val="Appelnotedebasdep"/>
        </w:rPr>
        <w:footnoteRef/>
      </w:r>
      <w:r>
        <w:tab/>
      </w:r>
      <w:r w:rsidRPr="000563E3">
        <w:rPr>
          <w:lang w:val="fr-FR" w:eastAsia="fr-FR" w:bidi="fr-FR"/>
        </w:rPr>
        <w:t xml:space="preserve">Francis Fukuyama, </w:t>
      </w:r>
      <w:r w:rsidRPr="000563E3">
        <w:t>« </w:t>
      </w:r>
      <w:r w:rsidRPr="000563E3">
        <w:rPr>
          <w:lang w:val="fr-FR" w:eastAsia="fr-FR" w:bidi="fr-FR"/>
        </w:rPr>
        <w:t>Nous sommes toujours à la fin de l’Histoire</w:t>
      </w:r>
      <w:r w:rsidRPr="000563E3">
        <w:t> »</w:t>
      </w:r>
      <w:r w:rsidRPr="000563E3">
        <w:rPr>
          <w:lang w:val="fr-FR" w:eastAsia="fr-FR" w:bidi="fr-FR"/>
        </w:rPr>
        <w:t>, art. c</w:t>
      </w:r>
      <w:r w:rsidRPr="000563E3">
        <w:rPr>
          <w:lang w:val="fr-FR" w:eastAsia="fr-FR" w:bidi="fr-FR"/>
        </w:rPr>
        <w:t>i</w:t>
      </w:r>
      <w:r w:rsidRPr="000563E3">
        <w:rPr>
          <w:lang w:val="fr-FR" w:eastAsia="fr-FR" w:bidi="fr-FR"/>
        </w:rPr>
        <w:t>té.</w:t>
      </w:r>
    </w:p>
  </w:footnote>
  <w:footnote w:id="302">
    <w:p w14:paraId="63387B47" w14:textId="77777777" w:rsidR="0039793A" w:rsidRDefault="0039793A" w:rsidP="0039793A">
      <w:pPr>
        <w:pStyle w:val="Notedebasdepage"/>
      </w:pPr>
      <w:r>
        <w:rPr>
          <w:rStyle w:val="Appelnotedebasdep"/>
        </w:rPr>
        <w:footnoteRef/>
      </w:r>
      <w:r>
        <w:tab/>
      </w:r>
      <w:r w:rsidRPr="00594A23">
        <w:t xml:space="preserve">Michael Mandelbaum, </w:t>
      </w:r>
      <w:r w:rsidRPr="00081E17">
        <w:rPr>
          <w:i/>
          <w:iCs/>
          <w:lang w:eastAsia="fr-FR" w:bidi="fr-FR"/>
        </w:rPr>
        <w:t>The Ideas that Conquered the World</w:t>
      </w:r>
      <w:r w:rsidRPr="00081E17">
        <w:rPr>
          <w:i/>
          <w:iCs/>
        </w:rPr>
        <w:t> :</w:t>
      </w:r>
      <w:r w:rsidRPr="00081E17">
        <w:rPr>
          <w:i/>
          <w:iCs/>
          <w:lang w:eastAsia="fr-FR" w:bidi="fr-FR"/>
        </w:rPr>
        <w:t xml:space="preserve"> Peace, Dem</w:t>
      </w:r>
      <w:r w:rsidRPr="00081E17">
        <w:rPr>
          <w:i/>
          <w:iCs/>
          <w:lang w:eastAsia="fr-FR" w:bidi="fr-FR"/>
        </w:rPr>
        <w:t>o</w:t>
      </w:r>
      <w:r w:rsidRPr="00081E17">
        <w:rPr>
          <w:i/>
          <w:iCs/>
          <w:lang w:eastAsia="fr-FR" w:bidi="fr-FR"/>
        </w:rPr>
        <w:t>cracy, and Free Markets in the Twenty-First Century</w:t>
      </w:r>
      <w:r w:rsidRPr="00594A23">
        <w:rPr>
          <w:lang w:eastAsia="fr-FR" w:bidi="fr-FR"/>
        </w:rPr>
        <w:t>,</w:t>
      </w:r>
      <w:r w:rsidRPr="00594A23">
        <w:t xml:space="preserve"> New York, Public A</w:t>
      </w:r>
      <w:r w:rsidRPr="00594A23">
        <w:t>f</w:t>
      </w:r>
      <w:r w:rsidRPr="00594A23">
        <w:t>fairs,</w:t>
      </w:r>
      <w:r>
        <w:t xml:space="preserve"> </w:t>
      </w:r>
      <w:r w:rsidRPr="00594A23">
        <w:rPr>
          <w:lang w:eastAsia="fr-FR" w:bidi="fr-FR"/>
        </w:rPr>
        <w:t>2002, p 6.</w:t>
      </w:r>
    </w:p>
  </w:footnote>
  <w:footnote w:id="303">
    <w:p w14:paraId="08DE41EA" w14:textId="77777777" w:rsidR="0039793A" w:rsidRDefault="0039793A" w:rsidP="0039793A">
      <w:pPr>
        <w:pStyle w:val="Notedebasdepage"/>
      </w:pPr>
      <w:r>
        <w:rPr>
          <w:rStyle w:val="Appelnotedebasdep"/>
        </w:rPr>
        <w:footnoteRef/>
      </w:r>
      <w:r>
        <w:tab/>
      </w:r>
      <w:r w:rsidRPr="00594A23">
        <w:rPr>
          <w:lang w:eastAsia="fr-FR" w:bidi="fr-FR"/>
        </w:rPr>
        <w:t xml:space="preserve">Michael Mandelbaum, </w:t>
      </w:r>
      <w:r w:rsidRPr="00594A23">
        <w:t>« </w:t>
      </w:r>
      <w:r w:rsidRPr="00594A23">
        <w:rPr>
          <w:lang w:eastAsia="fr-FR" w:bidi="fr-FR"/>
        </w:rPr>
        <w:t>Westernizing Russia and China</w:t>
      </w:r>
      <w:r w:rsidRPr="00594A23">
        <w:t> »</w:t>
      </w:r>
      <w:r w:rsidRPr="00594A23">
        <w:rPr>
          <w:lang w:eastAsia="fr-FR" w:bidi="fr-FR"/>
        </w:rPr>
        <w:t xml:space="preserve">, </w:t>
      </w:r>
      <w:r w:rsidRPr="00081E17">
        <w:rPr>
          <w:i/>
          <w:iCs/>
        </w:rPr>
        <w:t>F</w:t>
      </w:r>
      <w:r w:rsidRPr="00081E17">
        <w:rPr>
          <w:i/>
          <w:iCs/>
        </w:rPr>
        <w:t>o</w:t>
      </w:r>
      <w:r w:rsidRPr="00081E17">
        <w:rPr>
          <w:i/>
          <w:iCs/>
        </w:rPr>
        <w:t>reign Affairs</w:t>
      </w:r>
      <w:r w:rsidRPr="00594A23">
        <w:t>,</w:t>
      </w:r>
      <w:r w:rsidRPr="00594A23">
        <w:rPr>
          <w:lang w:eastAsia="fr-FR" w:bidi="fr-FR"/>
        </w:rPr>
        <w:t xml:space="preserve"> 76 (3), mai-juin 1997, p. 80-95.</w:t>
      </w:r>
    </w:p>
  </w:footnote>
  <w:footnote w:id="304">
    <w:p w14:paraId="51936FCB" w14:textId="77777777" w:rsidR="0039793A" w:rsidRDefault="0039793A" w:rsidP="0039793A">
      <w:pPr>
        <w:pStyle w:val="Notedebasdepage"/>
      </w:pPr>
      <w:r>
        <w:rPr>
          <w:rStyle w:val="Appelnotedebasdep"/>
        </w:rPr>
        <w:footnoteRef/>
      </w:r>
      <w:r>
        <w:tab/>
      </w:r>
      <w:r w:rsidRPr="000563E3">
        <w:rPr>
          <w:lang w:val="fr-FR" w:eastAsia="fr-FR" w:bidi="fr-FR"/>
        </w:rPr>
        <w:t xml:space="preserve">Michael Mandelbaum, </w:t>
      </w:r>
      <w:r w:rsidRPr="000563E3">
        <w:t>« </w:t>
      </w:r>
      <w:r w:rsidRPr="000563E3">
        <w:rPr>
          <w:lang w:val="fr-FR" w:eastAsia="fr-FR" w:bidi="fr-FR"/>
        </w:rPr>
        <w:t>The Inadequacy of American Power</w:t>
      </w:r>
      <w:r w:rsidRPr="000563E3">
        <w:t> »</w:t>
      </w:r>
      <w:r w:rsidRPr="000563E3">
        <w:rPr>
          <w:lang w:val="fr-FR" w:eastAsia="fr-FR" w:bidi="fr-FR"/>
        </w:rPr>
        <w:t xml:space="preserve">, </w:t>
      </w:r>
      <w:r w:rsidRPr="000563E3">
        <w:rPr>
          <w:rStyle w:val="NotedebasdepageItalique"/>
          <w:sz w:val="24"/>
        </w:rPr>
        <w:t>Foreign Affairs,</w:t>
      </w:r>
      <w:r w:rsidRPr="000563E3">
        <w:rPr>
          <w:lang w:val="fr-FR" w:eastAsia="fr-FR" w:bidi="fr-FR"/>
        </w:rPr>
        <w:t xml:space="preserve"> 81 (5), se</w:t>
      </w:r>
      <w:r w:rsidRPr="000563E3">
        <w:rPr>
          <w:lang w:val="fr-FR" w:eastAsia="fr-FR" w:bidi="fr-FR"/>
        </w:rPr>
        <w:t>p</w:t>
      </w:r>
      <w:r w:rsidRPr="000563E3">
        <w:rPr>
          <w:lang w:val="fr-FR" w:eastAsia="fr-FR" w:bidi="fr-FR"/>
        </w:rPr>
        <w:t>tembre-octobre 2002, p. 72-73.</w:t>
      </w:r>
    </w:p>
  </w:footnote>
  <w:footnote w:id="305">
    <w:p w14:paraId="2034AB05" w14:textId="77777777" w:rsidR="0039793A" w:rsidRDefault="0039793A" w:rsidP="0039793A">
      <w:pPr>
        <w:pStyle w:val="Notedebasdepage"/>
      </w:pPr>
      <w:r>
        <w:rPr>
          <w:rStyle w:val="Appelnotedebasdep"/>
        </w:rPr>
        <w:footnoteRef/>
      </w:r>
      <w:r>
        <w:tab/>
      </w:r>
      <w:r w:rsidRPr="000563E3">
        <w:rPr>
          <w:rStyle w:val="Notedebasdepage2NonItalique"/>
          <w:sz w:val="24"/>
        </w:rPr>
        <w:t xml:space="preserve">Michael Mandelbaum, </w:t>
      </w:r>
      <w:r w:rsidRPr="004E1E0C">
        <w:rPr>
          <w:i/>
          <w:iCs/>
          <w:lang w:val="fr-FR" w:eastAsia="fr-FR" w:bidi="fr-FR"/>
        </w:rPr>
        <w:t>The Ideas that Conquered the World., op. cit</w:t>
      </w:r>
      <w:r w:rsidRPr="000563E3">
        <w:rPr>
          <w:lang w:val="fr-FR" w:eastAsia="fr-FR" w:bidi="fr-FR"/>
        </w:rPr>
        <w:t>.,</w:t>
      </w:r>
      <w:r w:rsidRPr="009A68DE">
        <w:rPr>
          <w:rStyle w:val="Notedebasdepage2NonItalique"/>
          <w:sz w:val="24"/>
        </w:rPr>
        <w:t xml:space="preserve"> p. 7-8.</w:t>
      </w:r>
    </w:p>
  </w:footnote>
  <w:footnote w:id="306">
    <w:p w14:paraId="1F91A45A" w14:textId="77777777" w:rsidR="0039793A" w:rsidRDefault="0039793A" w:rsidP="0039793A">
      <w:pPr>
        <w:pStyle w:val="Notedebasdepage"/>
      </w:pPr>
      <w:r>
        <w:rPr>
          <w:rStyle w:val="Appelnotedebasdep"/>
        </w:rPr>
        <w:footnoteRef/>
      </w:r>
      <w:r>
        <w:tab/>
      </w:r>
      <w:r w:rsidRPr="000563E3">
        <w:rPr>
          <w:lang w:bidi="fr-FR"/>
        </w:rPr>
        <w:t xml:space="preserve">Jeremy Rabkin cité dans Pat Buchanan, </w:t>
      </w:r>
      <w:r w:rsidRPr="000563E3">
        <w:t>« </w:t>
      </w:r>
      <w:r w:rsidRPr="000563E3">
        <w:rPr>
          <w:lang w:bidi="fr-FR"/>
        </w:rPr>
        <w:t>Growing P</w:t>
      </w:r>
      <w:r>
        <w:rPr>
          <w:lang w:bidi="fr-FR"/>
        </w:rPr>
        <w:t>e</w:t>
      </w:r>
      <w:r w:rsidRPr="000563E3">
        <w:rPr>
          <w:lang w:bidi="fr-FR"/>
        </w:rPr>
        <w:t xml:space="preserve">rils to </w:t>
      </w:r>
      <w:r w:rsidRPr="000563E3">
        <w:rPr>
          <w:rStyle w:val="Notedebasdepage6pt"/>
          <w:sz w:val="24"/>
        </w:rPr>
        <w:t xml:space="preserve">US </w:t>
      </w:r>
      <w:r w:rsidRPr="000563E3">
        <w:rPr>
          <w:lang w:bidi="fr-FR"/>
        </w:rPr>
        <w:t>Sovereig</w:t>
      </w:r>
      <w:r w:rsidRPr="000563E3">
        <w:rPr>
          <w:lang w:bidi="fr-FR"/>
        </w:rPr>
        <w:t>n</w:t>
      </w:r>
      <w:r w:rsidRPr="000563E3">
        <w:rPr>
          <w:lang w:bidi="fr-FR"/>
        </w:rPr>
        <w:t>ty</w:t>
      </w:r>
      <w:r w:rsidRPr="000563E3">
        <w:t> »</w:t>
      </w:r>
      <w:r w:rsidRPr="000563E3">
        <w:rPr>
          <w:lang w:bidi="fr-FR"/>
        </w:rPr>
        <w:t>, 26 février 1999. Disponible en ligne</w:t>
      </w:r>
      <w:r w:rsidRPr="000563E3">
        <w:t> :</w:t>
      </w:r>
      <w:r>
        <w:br/>
      </w:r>
      <w:hyperlink r:id="rId6" w:history="1">
        <w:r w:rsidRPr="000563E3">
          <w:rPr>
            <w:rStyle w:val="Hyperlien"/>
            <w:lang w:val="en-US" w:bidi="en-US"/>
          </w:rPr>
          <w:t>http ://www.tysknews.com/Depts/</w:t>
        </w:r>
      </w:hyperlink>
      <w:r w:rsidRPr="000563E3">
        <w:rPr>
          <w:lang w:bidi="fr-FR"/>
        </w:rPr>
        <w:t>New_World_Order/growing_peril_to_us_sovereignty.htm, consulté le 15 février</w:t>
      </w:r>
      <w:r>
        <w:rPr>
          <w:lang w:bidi="fr-FR"/>
        </w:rPr>
        <w:t xml:space="preserve"> </w:t>
      </w:r>
      <w:r w:rsidRPr="000563E3">
        <w:rPr>
          <w:lang w:bidi="fr-FR"/>
        </w:rPr>
        <w:t>2003.</w:t>
      </w:r>
    </w:p>
  </w:footnote>
  <w:footnote w:id="307">
    <w:p w14:paraId="315AD9C0" w14:textId="77777777" w:rsidR="0039793A" w:rsidRDefault="0039793A" w:rsidP="0039793A">
      <w:pPr>
        <w:pStyle w:val="Notedebasdepage"/>
      </w:pPr>
      <w:r>
        <w:rPr>
          <w:rStyle w:val="Appelnotedebasdep"/>
        </w:rPr>
        <w:footnoteRef/>
      </w:r>
      <w:r>
        <w:tab/>
      </w:r>
      <w:r w:rsidRPr="000563E3">
        <w:t>« </w:t>
      </w:r>
      <w:r w:rsidRPr="000563E3">
        <w:rPr>
          <w:lang w:val="fr-FR" w:eastAsia="fr-FR" w:bidi="fr-FR"/>
        </w:rPr>
        <w:t>International Law Vs. The American Constitution - Something’s Got To Give</w:t>
      </w:r>
      <w:r w:rsidRPr="000563E3">
        <w:t> »</w:t>
      </w:r>
      <w:r w:rsidRPr="000563E3">
        <w:rPr>
          <w:lang w:val="fr-FR" w:eastAsia="fr-FR" w:bidi="fr-FR"/>
        </w:rPr>
        <w:t xml:space="preserve">, </w:t>
      </w:r>
      <w:r w:rsidRPr="000563E3">
        <w:rPr>
          <w:rStyle w:val="NotedebasdepageItalique"/>
          <w:sz w:val="24"/>
        </w:rPr>
        <w:t>The Nati</w:t>
      </w:r>
      <w:r w:rsidRPr="000563E3">
        <w:rPr>
          <w:rStyle w:val="NotedebasdepageItalique"/>
          <w:sz w:val="24"/>
        </w:rPr>
        <w:t>o</w:t>
      </w:r>
      <w:r w:rsidRPr="000563E3">
        <w:rPr>
          <w:rStyle w:val="NotedebasdepageItalique"/>
          <w:sz w:val="24"/>
        </w:rPr>
        <w:t>nal Interest,</w:t>
      </w:r>
      <w:r w:rsidRPr="000563E3">
        <w:rPr>
          <w:lang w:val="fr-FR" w:eastAsia="fr-FR" w:bidi="fr-FR"/>
        </w:rPr>
        <w:t xml:space="preserve"> 55, printemps 1999, p. 32.</w:t>
      </w:r>
    </w:p>
  </w:footnote>
  <w:footnote w:id="308">
    <w:p w14:paraId="0560786A" w14:textId="77777777" w:rsidR="0039793A" w:rsidRDefault="0039793A" w:rsidP="0039793A">
      <w:pPr>
        <w:pStyle w:val="Notedebasdepage"/>
      </w:pPr>
      <w:r>
        <w:rPr>
          <w:rStyle w:val="Appelnotedebasdep"/>
        </w:rPr>
        <w:footnoteRef/>
      </w:r>
      <w:r>
        <w:tab/>
      </w:r>
      <w:r w:rsidRPr="000563E3">
        <w:t>« </w:t>
      </w:r>
      <w:r w:rsidRPr="000563E3">
        <w:rPr>
          <w:lang w:val="fr-FR" w:eastAsia="fr-FR" w:bidi="fr-FR"/>
        </w:rPr>
        <w:t>After Guantanamo</w:t>
      </w:r>
      <w:r w:rsidRPr="000563E3">
        <w:t> :</w:t>
      </w:r>
      <w:r w:rsidRPr="000563E3">
        <w:rPr>
          <w:lang w:val="fr-FR" w:eastAsia="fr-FR" w:bidi="fr-FR"/>
        </w:rPr>
        <w:t xml:space="preserve"> The War Over the Geneva Convention</w:t>
      </w:r>
      <w:r w:rsidRPr="000563E3">
        <w:t> »</w:t>
      </w:r>
      <w:r w:rsidRPr="000563E3">
        <w:rPr>
          <w:lang w:val="fr-FR" w:eastAsia="fr-FR" w:bidi="fr-FR"/>
        </w:rPr>
        <w:t xml:space="preserve">, </w:t>
      </w:r>
      <w:r w:rsidRPr="000563E3">
        <w:rPr>
          <w:rStyle w:val="NotedebasdepageItalique"/>
          <w:sz w:val="24"/>
        </w:rPr>
        <w:t>The Nati</w:t>
      </w:r>
      <w:r w:rsidRPr="000563E3">
        <w:rPr>
          <w:rStyle w:val="NotedebasdepageItalique"/>
          <w:sz w:val="24"/>
        </w:rPr>
        <w:t>o</w:t>
      </w:r>
      <w:r w:rsidRPr="000563E3">
        <w:rPr>
          <w:rStyle w:val="NotedebasdepageItalique"/>
          <w:sz w:val="24"/>
        </w:rPr>
        <w:t>nal Interest</w:t>
      </w:r>
      <w:r w:rsidRPr="000563E3">
        <w:rPr>
          <w:lang w:val="fr-FR" w:eastAsia="fr-FR" w:bidi="fr-FR"/>
        </w:rPr>
        <w:t>, 68, 2002, p. 26.</w:t>
      </w:r>
    </w:p>
  </w:footnote>
  <w:footnote w:id="309">
    <w:p w14:paraId="60F82FEE" w14:textId="77777777" w:rsidR="0039793A" w:rsidRDefault="0039793A" w:rsidP="0039793A">
      <w:pPr>
        <w:pStyle w:val="Notedebasdepage"/>
      </w:pPr>
      <w:r>
        <w:rPr>
          <w:rStyle w:val="Appelnotedebasdep"/>
        </w:rPr>
        <w:footnoteRef/>
      </w:r>
      <w:r>
        <w:tab/>
      </w:r>
      <w:r w:rsidRPr="000563E3">
        <w:t>« </w:t>
      </w:r>
      <w:r w:rsidRPr="000563E3">
        <w:rPr>
          <w:lang w:val="fr-FR" w:eastAsia="fr-FR" w:bidi="fr-FR"/>
        </w:rPr>
        <w:t>Testimony of Prof. Jeremy Rabkin. Hearings on International Justice</w:t>
      </w:r>
      <w:r w:rsidRPr="000563E3">
        <w:t> »</w:t>
      </w:r>
      <w:r w:rsidRPr="000563E3">
        <w:rPr>
          <w:lang w:val="fr-FR" w:eastAsia="fr-FR" w:bidi="fr-FR"/>
        </w:rPr>
        <w:t xml:space="preserve">, Washington </w:t>
      </w:r>
      <w:r w:rsidRPr="000563E3">
        <w:rPr>
          <w:rStyle w:val="Notedebasdepage6pt"/>
          <w:sz w:val="24"/>
        </w:rPr>
        <w:t xml:space="preserve">DC, </w:t>
      </w:r>
      <w:r w:rsidRPr="000563E3">
        <w:rPr>
          <w:lang w:val="fr-FR" w:eastAsia="fr-FR" w:bidi="fr-FR"/>
        </w:rPr>
        <w:t>28 février 2002, p. 6. Disponible en ligne</w:t>
      </w:r>
      <w:r w:rsidRPr="000563E3">
        <w:t> :</w:t>
      </w:r>
      <w:r w:rsidRPr="000563E3">
        <w:rPr>
          <w:lang w:val="fr-FR" w:eastAsia="fr-FR" w:bidi="fr-FR"/>
        </w:rPr>
        <w:t xml:space="preserve"> </w:t>
      </w:r>
      <w:r w:rsidRPr="009A68DE">
        <w:rPr>
          <w:lang w:val="en-US" w:bidi="en-US"/>
        </w:rPr>
        <w:t>www.house.gov/</w:t>
      </w:r>
      <w:r w:rsidRPr="000563E3">
        <w:rPr>
          <w:lang w:val="fr-FR" w:eastAsia="fr-FR" w:bidi="fr-FR"/>
        </w:rPr>
        <w:t>international_relations/107/rabk0228.htm, consulté le 25 mars 2003.</w:t>
      </w:r>
    </w:p>
  </w:footnote>
  <w:footnote w:id="310">
    <w:p w14:paraId="2C53AADC" w14:textId="77777777" w:rsidR="0039793A" w:rsidRDefault="0039793A" w:rsidP="0039793A">
      <w:pPr>
        <w:pStyle w:val="Notedebasdepage"/>
      </w:pPr>
      <w:r>
        <w:rPr>
          <w:rStyle w:val="Appelnotedebasdep"/>
        </w:rPr>
        <w:footnoteRef/>
      </w:r>
      <w:r>
        <w:tab/>
      </w:r>
      <w:r w:rsidRPr="000563E3">
        <w:rPr>
          <w:lang w:val="fr-FR" w:eastAsia="fr-FR" w:bidi="fr-FR"/>
        </w:rPr>
        <w:t xml:space="preserve">Eric Nordlinger, </w:t>
      </w:r>
      <w:r w:rsidRPr="000563E3">
        <w:rPr>
          <w:rStyle w:val="NotedebasdepageItalique"/>
          <w:sz w:val="24"/>
        </w:rPr>
        <w:t>Isolationism Reconfigur</w:t>
      </w:r>
      <w:r>
        <w:rPr>
          <w:rStyle w:val="NotedebasdepageItalique"/>
          <w:sz w:val="24"/>
        </w:rPr>
        <w:t>ed</w:t>
      </w:r>
      <w:r w:rsidRPr="000563E3">
        <w:rPr>
          <w:rStyle w:val="NotedebasdepageItalique"/>
          <w:sz w:val="24"/>
        </w:rPr>
        <w:t> : American Foreign Policy for a New Century</w:t>
      </w:r>
      <w:r w:rsidRPr="000563E3">
        <w:rPr>
          <w:lang w:val="fr-FR" w:eastAsia="fr-FR" w:bidi="fr-FR"/>
        </w:rPr>
        <w:t>, Princeton, Princeton University Press, 1995, p. 6.</w:t>
      </w:r>
    </w:p>
  </w:footnote>
  <w:footnote w:id="311">
    <w:p w14:paraId="20CE74E5" w14:textId="77777777" w:rsidR="0039793A" w:rsidRDefault="0039793A" w:rsidP="0039793A">
      <w:pPr>
        <w:pStyle w:val="Notedebasdepage"/>
      </w:pPr>
      <w:r>
        <w:rPr>
          <w:rStyle w:val="Appelnotedebasdep"/>
        </w:rPr>
        <w:footnoteRef/>
      </w:r>
      <w:r>
        <w:tab/>
      </w:r>
      <w:r w:rsidRPr="000563E3">
        <w:rPr>
          <w:rStyle w:val="Notedebasdepage3105ptItalique"/>
          <w:sz w:val="24"/>
        </w:rPr>
        <w:t>Ibid.,</w:t>
      </w:r>
      <w:r w:rsidRPr="000563E3">
        <w:rPr>
          <w:rStyle w:val="Notedebasdepage3105pt"/>
          <w:sz w:val="24"/>
        </w:rPr>
        <w:t xml:space="preserve"> </w:t>
      </w:r>
      <w:r w:rsidRPr="000563E3">
        <w:rPr>
          <w:lang w:val="fr-FR" w:eastAsia="fr-FR" w:bidi="fr-FR"/>
        </w:rPr>
        <w:t>p. 39-41.</w:t>
      </w:r>
    </w:p>
  </w:footnote>
  <w:footnote w:id="312">
    <w:p w14:paraId="2B6726CC" w14:textId="77777777" w:rsidR="0039793A" w:rsidRDefault="0039793A" w:rsidP="0039793A">
      <w:pPr>
        <w:pStyle w:val="Notedebasdepage"/>
      </w:pPr>
      <w:r>
        <w:rPr>
          <w:rStyle w:val="Appelnotedebasdep"/>
        </w:rPr>
        <w:footnoteRef/>
      </w:r>
      <w:r>
        <w:tab/>
      </w:r>
      <w:r w:rsidRPr="000563E3">
        <w:rPr>
          <w:rStyle w:val="Notedebasdepage3105ptItalique"/>
          <w:sz w:val="24"/>
        </w:rPr>
        <w:t>Ibid.,</w:t>
      </w:r>
      <w:r w:rsidRPr="000563E3">
        <w:rPr>
          <w:rStyle w:val="Notedebasdepage3105pt"/>
          <w:sz w:val="24"/>
        </w:rPr>
        <w:t xml:space="preserve"> </w:t>
      </w:r>
      <w:r w:rsidRPr="000563E3">
        <w:rPr>
          <w:lang w:val="fr-FR" w:eastAsia="fr-FR" w:bidi="fr-FR"/>
        </w:rPr>
        <w:t>p. 117.</w:t>
      </w:r>
    </w:p>
  </w:footnote>
  <w:footnote w:id="313">
    <w:p w14:paraId="2F481D07" w14:textId="77777777" w:rsidR="0039793A" w:rsidRDefault="0039793A">
      <w:pPr>
        <w:pStyle w:val="Notedebasdepage"/>
      </w:pPr>
      <w:r>
        <w:rPr>
          <w:rStyle w:val="Appelnotedebasdep"/>
        </w:rPr>
        <w:footnoteRef/>
      </w:r>
      <w:r>
        <w:tab/>
      </w:r>
      <w:r w:rsidRPr="000563E3">
        <w:rPr>
          <w:rStyle w:val="Notedebasdepage3105ptItalique"/>
          <w:sz w:val="24"/>
        </w:rPr>
        <w:t>Ibid.,</w:t>
      </w:r>
      <w:r w:rsidRPr="000563E3">
        <w:rPr>
          <w:rStyle w:val="Notedebasdepage3105pt"/>
          <w:sz w:val="24"/>
        </w:rPr>
        <w:t xml:space="preserve"> </w:t>
      </w:r>
      <w:r w:rsidRPr="000563E3">
        <w:rPr>
          <w:lang w:val="fr-FR" w:eastAsia="fr-FR" w:bidi="fr-FR"/>
        </w:rPr>
        <w:t>p. 205-207.</w:t>
      </w:r>
    </w:p>
  </w:footnote>
  <w:footnote w:id="314">
    <w:p w14:paraId="7C8E62DE" w14:textId="77777777" w:rsidR="0039793A" w:rsidRDefault="0039793A" w:rsidP="0039793A">
      <w:pPr>
        <w:pStyle w:val="Notedebasdepage"/>
      </w:pPr>
      <w:r>
        <w:rPr>
          <w:rStyle w:val="Appelnotedebasdep"/>
        </w:rPr>
        <w:footnoteRef/>
      </w:r>
      <w:r>
        <w:tab/>
      </w:r>
      <w:r w:rsidRPr="009A68DE">
        <w:rPr>
          <w:rStyle w:val="Notedebasdepage2NonItalique"/>
          <w:iCs/>
          <w:sz w:val="24"/>
        </w:rPr>
        <w:t xml:space="preserve">Thomas L. Friedman, </w:t>
      </w:r>
      <w:r w:rsidRPr="009A68DE">
        <w:rPr>
          <w:rStyle w:val="Notedebasdepage2NonItalique"/>
          <w:i/>
          <w:iCs/>
          <w:sz w:val="24"/>
        </w:rPr>
        <w:t>The Lexus and the Olive Tree : Uhderstanding Glob</w:t>
      </w:r>
      <w:r w:rsidRPr="009A68DE">
        <w:rPr>
          <w:rStyle w:val="Notedebasdepage2NonItalique"/>
          <w:i/>
          <w:iCs/>
          <w:sz w:val="24"/>
        </w:rPr>
        <w:t>a</w:t>
      </w:r>
      <w:r w:rsidRPr="009A68DE">
        <w:rPr>
          <w:rStyle w:val="Notedebasdepage2NonItalique"/>
          <w:i/>
          <w:iCs/>
          <w:sz w:val="24"/>
        </w:rPr>
        <w:t>lization</w:t>
      </w:r>
      <w:r w:rsidRPr="009A68DE">
        <w:rPr>
          <w:rStyle w:val="Notedebasdepage2NonItalique"/>
          <w:iCs/>
          <w:sz w:val="24"/>
        </w:rPr>
        <w:t xml:space="preserve">, New York, Anchor Books, 2000, 490 p. ; </w:t>
      </w:r>
      <w:r w:rsidRPr="009A68DE">
        <w:rPr>
          <w:rStyle w:val="Notedebasdepage2NonItalique"/>
          <w:i/>
          <w:iCs/>
          <w:sz w:val="24"/>
        </w:rPr>
        <w:t>Longitudes and Attit</w:t>
      </w:r>
      <w:r w:rsidRPr="009A68DE">
        <w:rPr>
          <w:rStyle w:val="Notedebasdepage2NonItalique"/>
          <w:i/>
          <w:iCs/>
          <w:sz w:val="24"/>
        </w:rPr>
        <w:t>u</w:t>
      </w:r>
      <w:r w:rsidRPr="009A68DE">
        <w:rPr>
          <w:rStyle w:val="Notedebasdepage2NonItalique"/>
          <w:i/>
          <w:iCs/>
          <w:sz w:val="24"/>
        </w:rPr>
        <w:t>des : E</w:t>
      </w:r>
      <w:r w:rsidRPr="009A68DE">
        <w:rPr>
          <w:rStyle w:val="Notedebasdepage2NonItalique"/>
          <w:i/>
          <w:iCs/>
          <w:sz w:val="24"/>
        </w:rPr>
        <w:t>x</w:t>
      </w:r>
      <w:r w:rsidRPr="009A68DE">
        <w:rPr>
          <w:rStyle w:val="Notedebasdepage2NonItalique"/>
          <w:i/>
          <w:iCs/>
          <w:sz w:val="24"/>
        </w:rPr>
        <w:t>ploring the World After September 11</w:t>
      </w:r>
      <w:r w:rsidRPr="009A68DE">
        <w:rPr>
          <w:rStyle w:val="Notedebasdepage2NonItalique"/>
          <w:iCs/>
          <w:sz w:val="24"/>
        </w:rPr>
        <w:t>, New York, Farrar, Straus and G</w:t>
      </w:r>
      <w:r w:rsidRPr="009A68DE">
        <w:rPr>
          <w:rStyle w:val="Notedebasdepage2NonItalique"/>
          <w:iCs/>
          <w:sz w:val="24"/>
        </w:rPr>
        <w:t>i</w:t>
      </w:r>
      <w:r w:rsidRPr="009A68DE">
        <w:rPr>
          <w:rStyle w:val="Notedebasdepage2NonItalique"/>
          <w:iCs/>
          <w:sz w:val="24"/>
        </w:rPr>
        <w:t>roux, 2002, 300 p.</w:t>
      </w:r>
    </w:p>
  </w:footnote>
  <w:footnote w:id="315">
    <w:p w14:paraId="7D73C9DE" w14:textId="77777777" w:rsidR="0039793A" w:rsidRDefault="0039793A" w:rsidP="0039793A">
      <w:pPr>
        <w:pStyle w:val="Notedebasdepage"/>
      </w:pPr>
      <w:r>
        <w:rPr>
          <w:rStyle w:val="Appelnotedebasdep"/>
        </w:rPr>
        <w:footnoteRef/>
      </w:r>
      <w:r>
        <w:tab/>
      </w:r>
      <w:r w:rsidRPr="000563E3">
        <w:rPr>
          <w:rStyle w:val="Notedebasdepage2NonItalique"/>
          <w:sz w:val="24"/>
        </w:rPr>
        <w:t xml:space="preserve">Thomas L. Friedman, </w:t>
      </w:r>
      <w:r w:rsidRPr="00A46451">
        <w:rPr>
          <w:i/>
          <w:iCs/>
          <w:lang w:val="fr-FR" w:eastAsia="fr-FR" w:bidi="fr-FR"/>
        </w:rPr>
        <w:t>The Lexus and the Olive Tree. ..,op. cit</w:t>
      </w:r>
      <w:r w:rsidRPr="000563E3">
        <w:rPr>
          <w:lang w:val="fr-FR" w:eastAsia="fr-FR" w:bidi="fr-FR"/>
        </w:rPr>
        <w:t>.,</w:t>
      </w:r>
      <w:r w:rsidRPr="000563E3">
        <w:rPr>
          <w:rStyle w:val="Notedebasdepage2NonItalique"/>
          <w:sz w:val="24"/>
        </w:rPr>
        <w:t xml:space="preserve"> p. x-xi et 3-4.</w:t>
      </w:r>
    </w:p>
  </w:footnote>
  <w:footnote w:id="316">
    <w:p w14:paraId="5E144727" w14:textId="77777777" w:rsidR="0039793A" w:rsidRDefault="0039793A" w:rsidP="0039793A">
      <w:pPr>
        <w:pStyle w:val="Notedebasdepage"/>
      </w:pPr>
      <w:r>
        <w:rPr>
          <w:rStyle w:val="Appelnotedebasdep"/>
        </w:rPr>
        <w:footnoteRef/>
      </w:r>
      <w:r>
        <w:tab/>
      </w:r>
      <w:r w:rsidRPr="000563E3">
        <w:rPr>
          <w:rStyle w:val="Notedebasdepage9ptItalique"/>
          <w:sz w:val="24"/>
        </w:rPr>
        <w:t>Ibid.</w:t>
      </w:r>
      <w:r w:rsidRPr="000563E3">
        <w:rPr>
          <w:rStyle w:val="NotedebasdepageItalique"/>
          <w:sz w:val="24"/>
        </w:rPr>
        <w:t>,</w:t>
      </w:r>
      <w:r w:rsidRPr="000563E3">
        <w:rPr>
          <w:lang w:val="fr-FR" w:eastAsia="fr-FR" w:bidi="fr-FR"/>
        </w:rPr>
        <w:t xml:space="preserve"> p. 6-9.</w:t>
      </w:r>
    </w:p>
  </w:footnote>
  <w:footnote w:id="317">
    <w:p w14:paraId="4AFA8699"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322.</w:t>
      </w:r>
    </w:p>
  </w:footnote>
  <w:footnote w:id="318">
    <w:p w14:paraId="080A76D9"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376. Friedman insiste sur le fait que sans des forces a</w:t>
      </w:r>
      <w:r w:rsidRPr="000563E3">
        <w:rPr>
          <w:lang w:val="fr-FR" w:eastAsia="fr-FR" w:bidi="fr-FR"/>
        </w:rPr>
        <w:t>r</w:t>
      </w:r>
      <w:r w:rsidRPr="000563E3">
        <w:rPr>
          <w:lang w:val="fr-FR" w:eastAsia="fr-FR" w:bidi="fr-FR"/>
        </w:rPr>
        <w:t>mées prêtes à défendre le territoire national, les infrastructures critiques (comme les r</w:t>
      </w:r>
      <w:r w:rsidRPr="000563E3">
        <w:rPr>
          <w:lang w:val="fr-FR" w:eastAsia="fr-FR" w:bidi="fr-FR"/>
        </w:rPr>
        <w:t>é</w:t>
      </w:r>
      <w:r w:rsidRPr="000563E3">
        <w:rPr>
          <w:lang w:val="fr-FR" w:eastAsia="fr-FR" w:bidi="fr-FR"/>
        </w:rPr>
        <w:t>seaux informatiques par exemple) et la population, le libre commerce et l</w:t>
      </w:r>
      <w:r w:rsidRPr="000563E3">
        <w:rPr>
          <w:rStyle w:val="NotedebasdepageItalique"/>
          <w:sz w:val="24"/>
        </w:rPr>
        <w:t>'American way of life</w:t>
      </w:r>
      <w:r w:rsidRPr="000563E3">
        <w:rPr>
          <w:lang w:val="fr-FR" w:eastAsia="fr-FR" w:bidi="fr-FR"/>
        </w:rPr>
        <w:t xml:space="preserve"> ne pourraient être assurés.</w:t>
      </w:r>
    </w:p>
  </w:footnote>
  <w:footnote w:id="319">
    <w:p w14:paraId="147E1F74" w14:textId="77777777" w:rsidR="0039793A" w:rsidRDefault="0039793A" w:rsidP="0039793A">
      <w:pPr>
        <w:pStyle w:val="Notedebasdepage"/>
      </w:pPr>
      <w:r>
        <w:rPr>
          <w:rStyle w:val="Appelnotedebasdep"/>
        </w:rPr>
        <w:footnoteRef/>
      </w:r>
      <w:r>
        <w:tab/>
      </w:r>
      <w:r w:rsidRPr="000563E3">
        <w:rPr>
          <w:lang w:val="fr-FR" w:eastAsia="fr-FR" w:bidi="fr-FR"/>
        </w:rPr>
        <w:t xml:space="preserve">C. Fred Bergsten, </w:t>
      </w:r>
      <w:r w:rsidRPr="000563E3">
        <w:t>« </w:t>
      </w:r>
      <w:r w:rsidRPr="000563E3">
        <w:rPr>
          <w:lang w:val="fr-FR" w:eastAsia="fr-FR" w:bidi="fr-FR"/>
        </w:rPr>
        <w:t>The Economies of War</w:t>
      </w:r>
      <w:r w:rsidRPr="000563E3">
        <w:t> »</w:t>
      </w:r>
      <w:r w:rsidRPr="000563E3">
        <w:rPr>
          <w:lang w:val="fr-FR" w:eastAsia="fr-FR" w:bidi="fr-FR"/>
        </w:rPr>
        <w:t xml:space="preserve">, </w:t>
      </w:r>
      <w:r w:rsidRPr="000563E3">
        <w:rPr>
          <w:rStyle w:val="NotedebasdepageItalique"/>
          <w:sz w:val="24"/>
        </w:rPr>
        <w:t xml:space="preserve">New Perspectives Quarterly, </w:t>
      </w:r>
      <w:r w:rsidRPr="000563E3">
        <w:rPr>
          <w:lang w:val="fr-FR" w:eastAsia="fr-FR" w:bidi="fr-FR"/>
        </w:rPr>
        <w:t>18 (4), automne 2001.</w:t>
      </w:r>
    </w:p>
  </w:footnote>
  <w:footnote w:id="320">
    <w:p w14:paraId="45895698" w14:textId="77777777" w:rsidR="0039793A" w:rsidRDefault="0039793A" w:rsidP="0039793A">
      <w:pPr>
        <w:pStyle w:val="Notedebasdepage"/>
      </w:pPr>
      <w:r>
        <w:rPr>
          <w:rStyle w:val="Appelnotedebasdep"/>
        </w:rPr>
        <w:footnoteRef/>
      </w:r>
      <w:r>
        <w:tab/>
      </w:r>
      <w:r w:rsidRPr="000563E3">
        <w:rPr>
          <w:lang w:val="fr-FR" w:eastAsia="fr-FR" w:bidi="fr-FR"/>
        </w:rPr>
        <w:t xml:space="preserve">C. Fred Bergsten, </w:t>
      </w:r>
      <w:r w:rsidRPr="000563E3">
        <w:t>« </w:t>
      </w:r>
      <w:r w:rsidRPr="000563E3">
        <w:rPr>
          <w:lang w:val="fr-FR" w:eastAsia="fr-FR" w:bidi="fr-FR"/>
        </w:rPr>
        <w:t>The Primacy of Economies</w:t>
      </w:r>
      <w:r w:rsidRPr="000563E3">
        <w:t> »</w:t>
      </w:r>
      <w:r w:rsidRPr="000563E3">
        <w:rPr>
          <w:lang w:val="fr-FR" w:eastAsia="fr-FR" w:bidi="fr-FR"/>
        </w:rPr>
        <w:t xml:space="preserve">, </w:t>
      </w:r>
      <w:r w:rsidRPr="000563E3">
        <w:rPr>
          <w:rStyle w:val="NotedebasdepageItalique"/>
          <w:sz w:val="24"/>
        </w:rPr>
        <w:t>Foreign Policy</w:t>
      </w:r>
      <w:r w:rsidRPr="000563E3">
        <w:rPr>
          <w:lang w:val="fr-FR" w:eastAsia="fr-FR" w:bidi="fr-FR"/>
        </w:rPr>
        <w:t>, 87, été 1992, p. 8 et 13.</w:t>
      </w:r>
    </w:p>
  </w:footnote>
  <w:footnote w:id="321">
    <w:p w14:paraId="40CBDA90"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21.</w:t>
      </w:r>
    </w:p>
  </w:footnote>
  <w:footnote w:id="322">
    <w:p w14:paraId="678C9BE1" w14:textId="77777777" w:rsidR="0039793A" w:rsidRDefault="0039793A" w:rsidP="0039793A">
      <w:pPr>
        <w:pStyle w:val="Notedebasdepage"/>
      </w:pPr>
      <w:r>
        <w:rPr>
          <w:rStyle w:val="Appelnotedebasdep"/>
        </w:rPr>
        <w:footnoteRef/>
      </w:r>
      <w:r>
        <w:tab/>
      </w:r>
      <w:r w:rsidRPr="000563E3">
        <w:rPr>
          <w:lang w:val="fr-FR" w:eastAsia="fr-FR" w:bidi="fr-FR"/>
        </w:rPr>
        <w:t xml:space="preserve">Voir également C. Fred Bergsten, </w:t>
      </w:r>
      <w:r w:rsidRPr="000563E3">
        <w:t>« </w:t>
      </w:r>
      <w:r w:rsidRPr="000563E3">
        <w:rPr>
          <w:lang w:val="fr-FR" w:eastAsia="fr-FR" w:bidi="fr-FR"/>
        </w:rPr>
        <w:t>America’s Two-Front Ec</w:t>
      </w:r>
      <w:r w:rsidRPr="000563E3">
        <w:rPr>
          <w:lang w:val="fr-FR" w:eastAsia="fr-FR" w:bidi="fr-FR"/>
        </w:rPr>
        <w:t>o</w:t>
      </w:r>
      <w:r w:rsidRPr="000563E3">
        <w:rPr>
          <w:lang w:val="fr-FR" w:eastAsia="fr-FR" w:bidi="fr-FR"/>
        </w:rPr>
        <w:t>nomie Conflit</w:t>
      </w:r>
      <w:r w:rsidRPr="000563E3">
        <w:t> »</w:t>
      </w:r>
      <w:r w:rsidRPr="000563E3">
        <w:rPr>
          <w:lang w:val="fr-FR" w:eastAsia="fr-FR" w:bidi="fr-FR"/>
        </w:rPr>
        <w:t xml:space="preserve">, </w:t>
      </w:r>
      <w:r w:rsidRPr="000563E3">
        <w:rPr>
          <w:rStyle w:val="NotedebasdepageItalique"/>
          <w:sz w:val="24"/>
        </w:rPr>
        <w:t>Foreign A</w:t>
      </w:r>
      <w:r w:rsidRPr="000563E3">
        <w:rPr>
          <w:rStyle w:val="NotedebasdepageItalique"/>
          <w:sz w:val="24"/>
        </w:rPr>
        <w:t>f</w:t>
      </w:r>
      <w:r w:rsidRPr="000563E3">
        <w:rPr>
          <w:rStyle w:val="NotedebasdepageItalique"/>
          <w:sz w:val="24"/>
        </w:rPr>
        <w:t>fairs,</w:t>
      </w:r>
      <w:r w:rsidRPr="000563E3">
        <w:rPr>
          <w:lang w:val="fr-FR" w:eastAsia="fr-FR" w:bidi="fr-FR"/>
        </w:rPr>
        <w:t xml:space="preserve"> 80 (2), mars-avril 2001, p. 17.</w:t>
      </w:r>
    </w:p>
  </w:footnote>
  <w:footnote w:id="323">
    <w:p w14:paraId="1844F137" w14:textId="77777777" w:rsidR="0039793A" w:rsidRDefault="0039793A" w:rsidP="0039793A">
      <w:pPr>
        <w:pStyle w:val="Notedebasdepage"/>
      </w:pPr>
      <w:r>
        <w:rPr>
          <w:rStyle w:val="Appelnotedebasdep"/>
        </w:rPr>
        <w:footnoteRef/>
      </w:r>
      <w:r>
        <w:tab/>
      </w:r>
      <w:r w:rsidRPr="000563E3">
        <w:rPr>
          <w:lang w:val="fr-FR" w:eastAsia="fr-FR" w:bidi="fr-FR"/>
        </w:rPr>
        <w:t xml:space="preserve">C. Fred Bergsten, </w:t>
      </w:r>
      <w:r w:rsidRPr="000563E3">
        <w:t>« </w:t>
      </w:r>
      <w:r w:rsidRPr="000563E3">
        <w:rPr>
          <w:lang w:val="fr-FR" w:eastAsia="fr-FR" w:bidi="fr-FR"/>
        </w:rPr>
        <w:t>America and Europe</w:t>
      </w:r>
      <w:r w:rsidRPr="000563E3">
        <w:t> :</w:t>
      </w:r>
      <w:r w:rsidRPr="000563E3">
        <w:rPr>
          <w:lang w:val="fr-FR" w:eastAsia="fr-FR" w:bidi="fr-FR"/>
        </w:rPr>
        <w:t xml:space="preserve"> Clash of the Titans</w:t>
      </w:r>
      <w:r w:rsidRPr="000563E3">
        <w:t> ? »</w:t>
      </w:r>
      <w:r w:rsidRPr="000563E3">
        <w:rPr>
          <w:lang w:val="fr-FR" w:eastAsia="fr-FR" w:bidi="fr-FR"/>
        </w:rPr>
        <w:t xml:space="preserve">, </w:t>
      </w:r>
      <w:r w:rsidRPr="000563E3">
        <w:rPr>
          <w:rStyle w:val="NotedebasdepageItalique"/>
          <w:sz w:val="24"/>
        </w:rPr>
        <w:t>Foreign A</w:t>
      </w:r>
      <w:r w:rsidRPr="000563E3">
        <w:rPr>
          <w:rStyle w:val="NotedebasdepageItalique"/>
          <w:sz w:val="24"/>
        </w:rPr>
        <w:t>f</w:t>
      </w:r>
      <w:r w:rsidRPr="000563E3">
        <w:rPr>
          <w:rStyle w:val="NotedebasdepageItalique"/>
          <w:sz w:val="24"/>
        </w:rPr>
        <w:t>fairs,</w:t>
      </w:r>
      <w:r w:rsidRPr="000563E3">
        <w:rPr>
          <w:lang w:val="fr-FR" w:eastAsia="fr-FR" w:bidi="fr-FR"/>
        </w:rPr>
        <w:t xml:space="preserve"> 78 (2), mars-avril 1999, p. 21 et 24.</w:t>
      </w:r>
    </w:p>
  </w:footnote>
  <w:footnote w:id="324">
    <w:p w14:paraId="27E682BB" w14:textId="77777777" w:rsidR="0039793A" w:rsidRDefault="0039793A" w:rsidP="0039793A">
      <w:pPr>
        <w:pStyle w:val="Notedebasdepage"/>
      </w:pPr>
      <w:r>
        <w:rPr>
          <w:rStyle w:val="Appelnotedebasdep"/>
        </w:rPr>
        <w:footnoteRef/>
      </w:r>
      <w:r>
        <w:tab/>
      </w:r>
      <w:r w:rsidRPr="008A128B">
        <w:t>C. Fred Bergsten, « America’s Two-Front Economi</w:t>
      </w:r>
      <w:r>
        <w:t>c</w:t>
      </w:r>
      <w:r w:rsidRPr="008A128B">
        <w:t xml:space="preserve"> Conflict », art. cité, p. 20.</w:t>
      </w:r>
    </w:p>
  </w:footnote>
  <w:footnote w:id="325">
    <w:p w14:paraId="5131F8CE" w14:textId="77777777" w:rsidR="0039793A" w:rsidRDefault="0039793A" w:rsidP="0039793A">
      <w:pPr>
        <w:pStyle w:val="Notedebasdepage"/>
      </w:pPr>
      <w:r>
        <w:rPr>
          <w:rStyle w:val="Appelnotedebasdep"/>
        </w:rPr>
        <w:footnoteRef/>
      </w:r>
      <w:r>
        <w:tab/>
      </w:r>
      <w:r w:rsidRPr="000563E3">
        <w:rPr>
          <w:rStyle w:val="NotedebasdepageItalique"/>
          <w:sz w:val="24"/>
        </w:rPr>
        <w:t>Ibid.,</w:t>
      </w:r>
      <w:r w:rsidRPr="000563E3">
        <w:rPr>
          <w:lang w:val="fr-FR" w:eastAsia="fr-FR" w:bidi="fr-FR"/>
        </w:rPr>
        <w:t xml:space="preserve"> p. 23-24</w:t>
      </w:r>
    </w:p>
  </w:footnote>
  <w:footnote w:id="326">
    <w:p w14:paraId="0522CB82" w14:textId="77777777" w:rsidR="0039793A" w:rsidRDefault="0039793A" w:rsidP="0039793A">
      <w:pPr>
        <w:pStyle w:val="Notedebasdepage"/>
      </w:pPr>
      <w:r>
        <w:rPr>
          <w:rStyle w:val="Appelnotedebasdep"/>
        </w:rPr>
        <w:footnoteRef/>
      </w:r>
      <w:r>
        <w:tab/>
      </w:r>
      <w:r w:rsidRPr="000563E3">
        <w:t>« </w:t>
      </w:r>
      <w:r w:rsidRPr="000563E3">
        <w:rPr>
          <w:lang w:val="fr-FR" w:eastAsia="fr-FR" w:bidi="fr-FR"/>
        </w:rPr>
        <w:t xml:space="preserve">A Renaissance for </w:t>
      </w:r>
      <w:r w:rsidRPr="000563E3">
        <w:rPr>
          <w:rStyle w:val="Notedebasdepage6pt"/>
          <w:sz w:val="24"/>
        </w:rPr>
        <w:t xml:space="preserve">US </w:t>
      </w:r>
      <w:r w:rsidRPr="000563E3">
        <w:rPr>
          <w:lang w:val="fr-FR" w:eastAsia="fr-FR" w:bidi="fr-FR"/>
        </w:rPr>
        <w:t>Trade Policy</w:t>
      </w:r>
      <w:r w:rsidRPr="000563E3">
        <w:t> »</w:t>
      </w:r>
      <w:r w:rsidRPr="000563E3">
        <w:rPr>
          <w:lang w:val="fr-FR" w:eastAsia="fr-FR" w:bidi="fr-FR"/>
        </w:rPr>
        <w:t xml:space="preserve">, </w:t>
      </w:r>
      <w:r w:rsidRPr="000563E3">
        <w:rPr>
          <w:rStyle w:val="NotedebasdepageItalique"/>
          <w:sz w:val="24"/>
        </w:rPr>
        <w:t>Foreign Affairs</w:t>
      </w:r>
      <w:r w:rsidRPr="000563E3">
        <w:rPr>
          <w:lang w:val="fr-FR" w:eastAsia="fr-FR" w:bidi="fr-FR"/>
        </w:rPr>
        <w:t>, 81 (6), novembre- décembre 2002, p. 86, 91 et 94.</w:t>
      </w:r>
    </w:p>
  </w:footnote>
  <w:footnote w:id="327">
    <w:p w14:paraId="22E5F772" w14:textId="77777777" w:rsidR="0039793A" w:rsidRDefault="0039793A" w:rsidP="0039793A">
      <w:pPr>
        <w:pStyle w:val="Notedebasdepage"/>
      </w:pPr>
      <w:r>
        <w:rPr>
          <w:rStyle w:val="Appelnotedebasdep"/>
        </w:rPr>
        <w:footnoteRef/>
      </w:r>
      <w:r>
        <w:tab/>
      </w:r>
      <w:r w:rsidRPr="000563E3">
        <w:rPr>
          <w:lang w:val="fr-FR" w:eastAsia="fr-FR" w:bidi="fr-FR"/>
        </w:rPr>
        <w:t xml:space="preserve">Noam Chomsky, </w:t>
      </w:r>
      <w:r w:rsidRPr="000563E3">
        <w:t>« </w:t>
      </w:r>
      <w:r w:rsidRPr="000563E3">
        <w:rPr>
          <w:lang w:val="fr-FR" w:eastAsia="fr-FR" w:bidi="fr-FR"/>
        </w:rPr>
        <w:t>Anarchosyndicalism and the Intellectual</w:t>
      </w:r>
      <w:r w:rsidRPr="000563E3">
        <w:t> »</w:t>
      </w:r>
      <w:r w:rsidRPr="000563E3">
        <w:rPr>
          <w:lang w:val="fr-FR" w:eastAsia="fr-FR" w:bidi="fr-FR"/>
        </w:rPr>
        <w:t xml:space="preserve">, dans James McGilvray, </w:t>
      </w:r>
      <w:r w:rsidRPr="000563E3">
        <w:rPr>
          <w:rStyle w:val="NotedebasdepageItalique"/>
          <w:sz w:val="24"/>
        </w:rPr>
        <w:t>Chomsky : Language, Mind, and Politics,</w:t>
      </w:r>
      <w:r w:rsidRPr="000563E3">
        <w:rPr>
          <w:lang w:val="fr-FR" w:eastAsia="fr-FR" w:bidi="fr-FR"/>
        </w:rPr>
        <w:t xml:space="preserve"> Cambridge, Polity Press, 1999, p. 196.</w:t>
      </w:r>
    </w:p>
  </w:footnote>
  <w:footnote w:id="328">
    <w:p w14:paraId="6B52933F" w14:textId="77777777" w:rsidR="0039793A" w:rsidRDefault="0039793A" w:rsidP="0039793A">
      <w:pPr>
        <w:pStyle w:val="Notedebasdepage"/>
      </w:pPr>
      <w:r>
        <w:rPr>
          <w:rStyle w:val="Appelnotedebasdep"/>
        </w:rPr>
        <w:footnoteRef/>
      </w:r>
      <w:r>
        <w:tab/>
      </w:r>
      <w:r w:rsidRPr="000563E3">
        <w:rPr>
          <w:lang w:val="fr-FR" w:eastAsia="fr-FR" w:bidi="fr-FR"/>
        </w:rPr>
        <w:t xml:space="preserve">Noam Chomsky, </w:t>
      </w:r>
      <w:r w:rsidRPr="000563E3">
        <w:rPr>
          <w:rStyle w:val="NotedebasdepageItalique"/>
          <w:sz w:val="24"/>
        </w:rPr>
        <w:t>Year 501 : The Conquest Continues,</w:t>
      </w:r>
      <w:r w:rsidRPr="000563E3">
        <w:rPr>
          <w:lang w:val="fr-FR" w:eastAsia="fr-FR" w:bidi="fr-FR"/>
        </w:rPr>
        <w:t xml:space="preserve"> Montréal-New York, Black Rose Books, 1993, p. 29-39.</w:t>
      </w:r>
    </w:p>
  </w:footnote>
  <w:footnote w:id="329">
    <w:p w14:paraId="59E7D8FD" w14:textId="77777777" w:rsidR="0039793A" w:rsidRDefault="0039793A" w:rsidP="0039793A">
      <w:pPr>
        <w:pStyle w:val="Notedebasdepage"/>
      </w:pPr>
      <w:r>
        <w:rPr>
          <w:rStyle w:val="Appelnotedebasdep"/>
        </w:rPr>
        <w:footnoteRef/>
      </w:r>
      <w:r>
        <w:tab/>
      </w:r>
      <w:r w:rsidRPr="000563E3">
        <w:rPr>
          <w:lang w:val="fr-FR" w:eastAsia="fr-FR" w:bidi="fr-FR"/>
        </w:rPr>
        <w:t xml:space="preserve">Noam Chomsky, </w:t>
      </w:r>
      <w:r w:rsidRPr="000563E3">
        <w:rPr>
          <w:rStyle w:val="NotedebasdepageItalique"/>
          <w:sz w:val="24"/>
        </w:rPr>
        <w:t xml:space="preserve">The New Military Humanism : </w:t>
      </w:r>
      <w:r>
        <w:rPr>
          <w:rStyle w:val="NotedebasdepageItalique"/>
          <w:sz w:val="24"/>
        </w:rPr>
        <w:t>L</w:t>
      </w:r>
      <w:r w:rsidRPr="000563E3">
        <w:rPr>
          <w:rStyle w:val="NotedebasdepageItalique"/>
          <w:sz w:val="24"/>
        </w:rPr>
        <w:t>essons from Kosovo,</w:t>
      </w:r>
      <w:r w:rsidRPr="000563E3">
        <w:rPr>
          <w:lang w:val="fr-FR" w:eastAsia="fr-FR" w:bidi="fr-FR"/>
        </w:rPr>
        <w:t xml:space="preserve"> Va</w:t>
      </w:r>
      <w:r w:rsidRPr="000563E3">
        <w:rPr>
          <w:lang w:val="fr-FR" w:eastAsia="fr-FR" w:bidi="fr-FR"/>
        </w:rPr>
        <w:t>n</w:t>
      </w:r>
      <w:r w:rsidRPr="000563E3">
        <w:rPr>
          <w:lang w:val="fr-FR" w:eastAsia="fr-FR" w:bidi="fr-FR"/>
        </w:rPr>
        <w:t>couver, New Star Books, 1999, 199 p.</w:t>
      </w:r>
    </w:p>
  </w:footnote>
  <w:footnote w:id="330">
    <w:p w14:paraId="2E7C3A8D" w14:textId="77777777" w:rsidR="0039793A" w:rsidRDefault="0039793A" w:rsidP="0039793A">
      <w:pPr>
        <w:pStyle w:val="Notedebasdepage"/>
      </w:pPr>
      <w:r>
        <w:rPr>
          <w:rStyle w:val="Appelnotedebasdep"/>
        </w:rPr>
        <w:footnoteRef/>
      </w:r>
      <w:r>
        <w:tab/>
      </w:r>
      <w:r w:rsidRPr="000563E3">
        <w:rPr>
          <w:lang w:val="fr-FR" w:eastAsia="fr-FR" w:bidi="fr-FR"/>
        </w:rPr>
        <w:t xml:space="preserve">Voir Noam Chomsky, </w:t>
      </w:r>
      <w:r w:rsidRPr="000563E3">
        <w:rPr>
          <w:rStyle w:val="NotedebasdepageItalique"/>
          <w:sz w:val="24"/>
        </w:rPr>
        <w:t>Deterring Democracy,</w:t>
      </w:r>
      <w:r w:rsidRPr="000563E3">
        <w:rPr>
          <w:lang w:val="fr-FR" w:eastAsia="fr-FR" w:bidi="fr-FR"/>
        </w:rPr>
        <w:t xml:space="preserve"> New York, Hill and Wang, 1991, 464 p. et </w:t>
      </w:r>
      <w:r w:rsidRPr="000563E3">
        <w:rPr>
          <w:rStyle w:val="NotedebasdepageItalique"/>
          <w:sz w:val="24"/>
        </w:rPr>
        <w:t>Rogue States : The Rule of Force in World Affairs,</w:t>
      </w:r>
      <w:r w:rsidRPr="000563E3">
        <w:rPr>
          <w:lang w:val="fr-FR" w:eastAsia="fr-FR" w:bidi="fr-FR"/>
        </w:rPr>
        <w:t xml:space="preserve"> Cambri</w:t>
      </w:r>
      <w:r w:rsidRPr="000563E3">
        <w:rPr>
          <w:lang w:val="fr-FR" w:eastAsia="fr-FR" w:bidi="fr-FR"/>
        </w:rPr>
        <w:t>d</w:t>
      </w:r>
      <w:r w:rsidRPr="000563E3">
        <w:rPr>
          <w:lang w:val="fr-FR" w:eastAsia="fr-FR" w:bidi="fr-FR"/>
        </w:rPr>
        <w:t>ge, Massachusetts, South End Press, 2000, 150 p.</w:t>
      </w:r>
    </w:p>
  </w:footnote>
  <w:footnote w:id="331">
    <w:p w14:paraId="6EDF087D" w14:textId="77777777" w:rsidR="0039793A" w:rsidRDefault="0039793A" w:rsidP="0039793A">
      <w:pPr>
        <w:pStyle w:val="Notedebasdepage"/>
      </w:pPr>
      <w:r>
        <w:rPr>
          <w:rStyle w:val="Appelnotedebasdep"/>
        </w:rPr>
        <w:footnoteRef/>
      </w:r>
      <w:r>
        <w:tab/>
      </w:r>
      <w:r w:rsidRPr="000563E3">
        <w:rPr>
          <w:lang w:val="fr-FR" w:eastAsia="fr-FR" w:bidi="fr-FR"/>
        </w:rPr>
        <w:t xml:space="preserve">Robert F. Barsky, </w:t>
      </w:r>
      <w:r w:rsidRPr="000563E3">
        <w:rPr>
          <w:rStyle w:val="NotedebasdepageItalique"/>
          <w:sz w:val="24"/>
        </w:rPr>
        <w:t>Noam Chomsky : A Life of Dissent,</w:t>
      </w:r>
      <w:r w:rsidRPr="000563E3">
        <w:rPr>
          <w:lang w:val="fr-FR" w:eastAsia="fr-FR" w:bidi="fr-FR"/>
        </w:rPr>
        <w:t xml:space="preserve"> Cambridge, Mass, et Londres, </w:t>
      </w:r>
      <w:r w:rsidRPr="000563E3">
        <w:rPr>
          <w:rStyle w:val="Notedebasdepage6ptPetitesmajuscules"/>
          <w:sz w:val="24"/>
        </w:rPr>
        <w:t xml:space="preserve">mit </w:t>
      </w:r>
      <w:r w:rsidRPr="000563E3">
        <w:rPr>
          <w:lang w:val="fr-FR" w:eastAsia="fr-FR" w:bidi="fr-FR"/>
        </w:rPr>
        <w:t>Press, 1997, p. 119.</w:t>
      </w:r>
    </w:p>
  </w:footnote>
  <w:footnote w:id="332">
    <w:p w14:paraId="7D55985F" w14:textId="77777777" w:rsidR="0039793A" w:rsidRDefault="0039793A" w:rsidP="0039793A">
      <w:pPr>
        <w:pStyle w:val="Notedebasdepage"/>
      </w:pPr>
      <w:r>
        <w:rPr>
          <w:rStyle w:val="Appelnotedebasdep"/>
        </w:rPr>
        <w:footnoteRef/>
      </w:r>
      <w:r>
        <w:tab/>
      </w:r>
      <w:r w:rsidRPr="000563E3">
        <w:rPr>
          <w:lang w:val="fr-FR" w:eastAsia="fr-FR" w:bidi="fr-FR"/>
        </w:rPr>
        <w:t xml:space="preserve">James McGilvray, </w:t>
      </w:r>
      <w:r w:rsidRPr="000563E3">
        <w:rPr>
          <w:rStyle w:val="NotedebasdepageItalique"/>
          <w:sz w:val="24"/>
        </w:rPr>
        <w:t>op. cit.,</w:t>
      </w:r>
      <w:r w:rsidRPr="000563E3">
        <w:rPr>
          <w:lang w:val="fr-FR" w:eastAsia="fr-FR" w:bidi="fr-FR"/>
        </w:rPr>
        <w:t xml:space="preserve"> p. 180.</w:t>
      </w:r>
    </w:p>
  </w:footnote>
  <w:footnote w:id="333">
    <w:p w14:paraId="57C3632E" w14:textId="77777777" w:rsidR="0039793A" w:rsidRDefault="0039793A" w:rsidP="0039793A">
      <w:pPr>
        <w:pStyle w:val="Notedebasdepage"/>
      </w:pPr>
      <w:r>
        <w:rPr>
          <w:rStyle w:val="Appelnotedebasdep"/>
        </w:rPr>
        <w:footnoteRef/>
      </w:r>
      <w:r>
        <w:tab/>
      </w:r>
      <w:r w:rsidRPr="000563E3">
        <w:rPr>
          <w:lang w:val="fr-FR" w:eastAsia="fr-FR" w:bidi="fr-FR"/>
        </w:rPr>
        <w:t>Noam Chomsky cité dans James McGilvray, art. cité, p. 179.</w:t>
      </w:r>
    </w:p>
  </w:footnote>
  <w:footnote w:id="334">
    <w:p w14:paraId="7DC0C07C" w14:textId="77777777" w:rsidR="0039793A" w:rsidRDefault="0039793A" w:rsidP="0039793A">
      <w:pPr>
        <w:pStyle w:val="Notedebasdepage"/>
      </w:pPr>
      <w:r>
        <w:rPr>
          <w:rStyle w:val="Appelnotedebasdep"/>
        </w:rPr>
        <w:footnoteRef/>
      </w:r>
      <w:r>
        <w:tab/>
      </w:r>
      <w:r>
        <w:rPr>
          <w:lang w:val="fr-FR" w:eastAsia="fr-FR" w:bidi="fr-FR"/>
        </w:rPr>
        <w:t xml:space="preserve">Robert F. Barsky, </w:t>
      </w:r>
      <w:r>
        <w:rPr>
          <w:i/>
          <w:lang w:val="fr-FR" w:eastAsia="fr-FR" w:bidi="fr-FR"/>
        </w:rPr>
        <w:t>l</w:t>
      </w:r>
      <w:r w:rsidRPr="000563E3">
        <w:rPr>
          <w:rStyle w:val="NotedebasdepageItalique"/>
          <w:sz w:val="24"/>
        </w:rPr>
        <w:t>oc. cit.,</w:t>
      </w:r>
      <w:r w:rsidRPr="000563E3">
        <w:rPr>
          <w:lang w:val="fr-FR" w:eastAsia="fr-FR" w:bidi="fr-FR"/>
        </w:rPr>
        <w:t xml:space="preserve"> p. 122-23.</w:t>
      </w:r>
    </w:p>
  </w:footnote>
  <w:footnote w:id="335">
    <w:p w14:paraId="66A56103" w14:textId="77777777" w:rsidR="0039793A" w:rsidRDefault="0039793A" w:rsidP="0039793A">
      <w:pPr>
        <w:pStyle w:val="Notedebasdepage"/>
      </w:pPr>
      <w:r>
        <w:rPr>
          <w:rStyle w:val="Appelnotedebasdep"/>
        </w:rPr>
        <w:footnoteRef/>
      </w:r>
      <w:r>
        <w:tab/>
      </w:r>
      <w:r w:rsidRPr="000563E3">
        <w:rPr>
          <w:lang w:val="fr-FR" w:eastAsia="fr-FR" w:bidi="fr-FR"/>
        </w:rPr>
        <w:t xml:space="preserve">Voir Norman Podhoretz, </w:t>
      </w:r>
      <w:r w:rsidRPr="000563E3">
        <w:t>« </w:t>
      </w:r>
      <w:r w:rsidRPr="000563E3">
        <w:rPr>
          <w:lang w:val="fr-FR" w:eastAsia="fr-FR" w:bidi="fr-FR"/>
        </w:rPr>
        <w:t>Pour une diplomatie néo-reaganienne</w:t>
      </w:r>
      <w:r w:rsidRPr="000563E3">
        <w:t> »</w:t>
      </w:r>
      <w:r w:rsidRPr="000563E3">
        <w:rPr>
          <w:lang w:val="fr-FR" w:eastAsia="fr-FR" w:bidi="fr-FR"/>
        </w:rPr>
        <w:t xml:space="preserve">, </w:t>
      </w:r>
      <w:r w:rsidRPr="000563E3">
        <w:rPr>
          <w:rStyle w:val="NotedebasdepageItalique"/>
          <w:sz w:val="24"/>
        </w:rPr>
        <w:t>Polit</w:t>
      </w:r>
      <w:r w:rsidRPr="000563E3">
        <w:rPr>
          <w:rStyle w:val="NotedebasdepageItalique"/>
          <w:sz w:val="24"/>
        </w:rPr>
        <w:t>i</w:t>
      </w:r>
      <w:r w:rsidRPr="000563E3">
        <w:rPr>
          <w:rStyle w:val="NotedebasdepageItalique"/>
          <w:sz w:val="24"/>
        </w:rPr>
        <w:t>que internationale</w:t>
      </w:r>
      <w:r w:rsidRPr="000563E3">
        <w:rPr>
          <w:lang w:val="fr-FR" w:eastAsia="fr-FR" w:bidi="fr-FR"/>
        </w:rPr>
        <w:t>, 89, automne 2000, p. 113-141.</w:t>
      </w:r>
    </w:p>
  </w:footnote>
  <w:footnote w:id="336">
    <w:p w14:paraId="7187959D" w14:textId="77777777" w:rsidR="0039793A" w:rsidRDefault="0039793A" w:rsidP="0039793A">
      <w:pPr>
        <w:pStyle w:val="Notedebasdepage"/>
      </w:pPr>
      <w:r>
        <w:rPr>
          <w:rStyle w:val="Appelnotedebasdep"/>
        </w:rPr>
        <w:footnoteRef/>
      </w:r>
      <w:r>
        <w:tab/>
      </w:r>
      <w:r w:rsidRPr="000563E3">
        <w:rPr>
          <w:lang w:val="fr-FR" w:eastAsia="fr-FR" w:bidi="fr-FR"/>
        </w:rPr>
        <w:t>Dès 1996, ils affirment que les États-Unis doivent, pour conserver leur s</w:t>
      </w:r>
      <w:r w:rsidRPr="000563E3">
        <w:rPr>
          <w:lang w:val="fr-FR" w:eastAsia="fr-FR" w:bidi="fr-FR"/>
        </w:rPr>
        <w:t>u</w:t>
      </w:r>
      <w:r w:rsidRPr="000563E3">
        <w:rPr>
          <w:lang w:val="fr-FR" w:eastAsia="fr-FR" w:bidi="fr-FR"/>
        </w:rPr>
        <w:t>prématie, promouvoir les principes du libéralisme démocrat</w:t>
      </w:r>
      <w:r w:rsidRPr="000563E3">
        <w:rPr>
          <w:lang w:val="fr-FR" w:eastAsia="fr-FR" w:bidi="fr-FR"/>
        </w:rPr>
        <w:t>i</w:t>
      </w:r>
      <w:r w:rsidRPr="000563E3">
        <w:rPr>
          <w:lang w:val="fr-FR" w:eastAsia="fr-FR" w:bidi="fr-FR"/>
        </w:rPr>
        <w:t xml:space="preserve">que à l’étranger, ce qui peut mener jusqu’au changement de régime dans certains États. </w:t>
      </w:r>
      <w:r w:rsidRPr="000563E3">
        <w:t>« </w:t>
      </w:r>
      <w:r w:rsidRPr="000563E3">
        <w:rPr>
          <w:lang w:val="fr-FR" w:eastAsia="fr-FR" w:bidi="fr-FR"/>
        </w:rPr>
        <w:t>Toward a Neo-Reaganite Foreign Policy</w:t>
      </w:r>
      <w:r w:rsidRPr="000563E3">
        <w:t> »</w:t>
      </w:r>
      <w:r w:rsidRPr="000563E3">
        <w:rPr>
          <w:lang w:val="fr-FR" w:eastAsia="fr-FR" w:bidi="fr-FR"/>
        </w:rPr>
        <w:t xml:space="preserve">, </w:t>
      </w:r>
      <w:r w:rsidRPr="000563E3">
        <w:rPr>
          <w:rStyle w:val="NotedebasdepageItalique"/>
          <w:sz w:val="24"/>
        </w:rPr>
        <w:t>F</w:t>
      </w:r>
      <w:r w:rsidRPr="000563E3">
        <w:rPr>
          <w:rStyle w:val="NotedebasdepageItalique"/>
          <w:sz w:val="24"/>
        </w:rPr>
        <w:t>o</w:t>
      </w:r>
      <w:r w:rsidRPr="000563E3">
        <w:rPr>
          <w:rStyle w:val="NotedebasdepageItalique"/>
          <w:sz w:val="24"/>
        </w:rPr>
        <w:t>reign Affairs,</w:t>
      </w:r>
      <w:r w:rsidRPr="000563E3">
        <w:rPr>
          <w:lang w:val="fr-FR" w:eastAsia="fr-FR" w:bidi="fr-FR"/>
        </w:rPr>
        <w:t xml:space="preserve"> 1996, p. 28.</w:t>
      </w:r>
    </w:p>
  </w:footnote>
  <w:footnote w:id="337">
    <w:p w14:paraId="7983ACF4" w14:textId="77777777" w:rsidR="0039793A" w:rsidRDefault="0039793A" w:rsidP="0039793A">
      <w:pPr>
        <w:pStyle w:val="Notedebasdepage"/>
      </w:pPr>
      <w:r>
        <w:rPr>
          <w:rStyle w:val="Appelnotedebasdep"/>
        </w:rPr>
        <w:footnoteRef/>
      </w:r>
      <w:r>
        <w:tab/>
      </w:r>
      <w:r w:rsidRPr="000563E3">
        <w:rPr>
          <w:lang w:val="fr-FR" w:eastAsia="fr-FR" w:bidi="fr-FR"/>
        </w:rPr>
        <w:t xml:space="preserve">Ce chapitre est dû </w:t>
      </w:r>
      <w:r w:rsidRPr="000563E3">
        <w:rPr>
          <w:rStyle w:val="Notedebasdepage6pt"/>
          <w:sz w:val="24"/>
        </w:rPr>
        <w:t xml:space="preserve">à </w:t>
      </w:r>
      <w:r w:rsidRPr="000563E3">
        <w:rPr>
          <w:lang w:val="fr-FR" w:eastAsia="fr-FR" w:bidi="fr-FR"/>
        </w:rPr>
        <w:t xml:space="preserve">David </w:t>
      </w:r>
      <w:r w:rsidRPr="00D13E82">
        <w:rPr>
          <w:rStyle w:val="Notedebasdepage6ptPetitesmajuscules"/>
          <w:caps/>
          <w:smallCaps w:val="0"/>
          <w:sz w:val="24"/>
        </w:rPr>
        <w:t>Grondin</w:t>
      </w:r>
      <w:r w:rsidRPr="000563E3">
        <w:rPr>
          <w:rStyle w:val="Notedebasdepage6ptPetitesmajuscules"/>
          <w:sz w:val="24"/>
        </w:rPr>
        <w:t xml:space="preserve">, </w:t>
      </w:r>
      <w:r w:rsidRPr="000563E3">
        <w:rPr>
          <w:lang w:val="fr-FR" w:eastAsia="fr-FR" w:bidi="fr-FR"/>
        </w:rPr>
        <w:t xml:space="preserve">chercheur </w:t>
      </w:r>
      <w:r w:rsidRPr="000563E3">
        <w:rPr>
          <w:rStyle w:val="Notedebasdepage6pt"/>
          <w:sz w:val="24"/>
        </w:rPr>
        <w:t xml:space="preserve">à </w:t>
      </w:r>
      <w:r w:rsidRPr="000563E3">
        <w:rPr>
          <w:lang w:val="fr-FR" w:eastAsia="fr-FR" w:bidi="fr-FR"/>
        </w:rPr>
        <w:t xml:space="preserve">l’Observatoire sur les </w:t>
      </w:r>
      <w:r>
        <w:rPr>
          <w:lang w:val="fr-FR" w:eastAsia="fr-FR" w:bidi="fr-FR"/>
        </w:rPr>
        <w:t>État</w:t>
      </w:r>
      <w:r w:rsidRPr="000563E3">
        <w:rPr>
          <w:lang w:val="fr-FR" w:eastAsia="fr-FR" w:bidi="fr-FR"/>
        </w:rPr>
        <w:t xml:space="preserve">s-Unis de la chaire Raoul-Dandurand de l’Université du Québec </w:t>
      </w:r>
      <w:r w:rsidRPr="000563E3">
        <w:rPr>
          <w:rStyle w:val="Notedebasdepage6pt"/>
          <w:sz w:val="24"/>
        </w:rPr>
        <w:t xml:space="preserve">à </w:t>
      </w:r>
      <w:r w:rsidRPr="000563E3">
        <w:rPr>
          <w:lang w:val="fr-FR" w:eastAsia="fr-FR" w:bidi="fr-FR"/>
        </w:rPr>
        <w:t>Mo</w:t>
      </w:r>
      <w:r w:rsidRPr="000563E3">
        <w:rPr>
          <w:lang w:val="fr-FR" w:eastAsia="fr-FR" w:bidi="fr-FR"/>
        </w:rPr>
        <w:t>n</w:t>
      </w:r>
      <w:r w:rsidRPr="000563E3">
        <w:rPr>
          <w:lang w:val="fr-FR" w:eastAsia="fr-FR" w:bidi="fr-FR"/>
        </w:rPr>
        <w:t>tréal.</w:t>
      </w:r>
    </w:p>
  </w:footnote>
  <w:footnote w:id="338">
    <w:p w14:paraId="4B8F15D5" w14:textId="77777777" w:rsidR="0039793A" w:rsidRDefault="0039793A" w:rsidP="0039793A">
      <w:pPr>
        <w:pStyle w:val="Notedebasdepage"/>
      </w:pPr>
      <w:r>
        <w:rPr>
          <w:rStyle w:val="Appelnotedebasdep"/>
        </w:rPr>
        <w:footnoteRef/>
      </w:r>
      <w:r>
        <w:tab/>
      </w:r>
      <w:r w:rsidRPr="000563E3">
        <w:rPr>
          <w:lang w:val="fr-FR" w:eastAsia="fr-FR" w:bidi="fr-FR"/>
        </w:rPr>
        <w:t xml:space="preserve">Edward Corwin (et al.), </w:t>
      </w:r>
      <w:r w:rsidRPr="000563E3">
        <w:rPr>
          <w:rStyle w:val="NotedebasdepageItalique"/>
          <w:sz w:val="24"/>
        </w:rPr>
        <w:t>The President : Office and Powers</w:t>
      </w:r>
      <w:r w:rsidRPr="000563E3">
        <w:rPr>
          <w:lang w:val="fr-FR" w:eastAsia="fr-FR" w:bidi="fr-FR"/>
        </w:rPr>
        <w:t xml:space="preserve">, </w:t>
      </w:r>
      <w:r w:rsidRPr="000563E3">
        <w:rPr>
          <w:rStyle w:val="NotedebasdepageItalique"/>
          <w:sz w:val="24"/>
        </w:rPr>
        <w:t>1787-1957</w:t>
      </w:r>
      <w:r w:rsidRPr="000563E3">
        <w:rPr>
          <w:lang w:val="fr-FR" w:eastAsia="fr-FR" w:bidi="fr-FR"/>
        </w:rPr>
        <w:t>, New York, New York University Press, 1957, p. 44.</w:t>
      </w:r>
    </w:p>
  </w:footnote>
  <w:footnote w:id="339">
    <w:p w14:paraId="4B457CB2" w14:textId="77777777" w:rsidR="0039793A" w:rsidRDefault="0039793A" w:rsidP="0039793A">
      <w:pPr>
        <w:pStyle w:val="Notedebasdepage"/>
      </w:pPr>
      <w:r>
        <w:rPr>
          <w:rStyle w:val="Appelnotedebasdep"/>
        </w:rPr>
        <w:footnoteRef/>
      </w:r>
      <w:r>
        <w:tab/>
      </w:r>
      <w:r w:rsidRPr="000563E3">
        <w:rPr>
          <w:lang w:val="fr-FR" w:eastAsia="fr-FR" w:bidi="fr-FR"/>
        </w:rPr>
        <w:t xml:space="preserve">Andrew Bennett, </w:t>
      </w:r>
      <w:r w:rsidRPr="000563E3">
        <w:t>« </w:t>
      </w:r>
      <w:r w:rsidRPr="000563E3">
        <w:rPr>
          <w:lang w:val="fr-FR" w:eastAsia="fr-FR" w:bidi="fr-FR"/>
        </w:rPr>
        <w:t>Who Rules the Roost</w:t>
      </w:r>
      <w:r w:rsidRPr="000563E3">
        <w:t> ?</w:t>
      </w:r>
      <w:r w:rsidRPr="000563E3">
        <w:rPr>
          <w:lang w:val="fr-FR" w:eastAsia="fr-FR" w:bidi="fr-FR"/>
        </w:rPr>
        <w:t xml:space="preserve"> Congressional-Executive Rel</w:t>
      </w:r>
      <w:r w:rsidRPr="000563E3">
        <w:rPr>
          <w:lang w:val="fr-FR" w:eastAsia="fr-FR" w:bidi="fr-FR"/>
        </w:rPr>
        <w:t>a</w:t>
      </w:r>
      <w:r w:rsidRPr="000563E3">
        <w:rPr>
          <w:lang w:val="fr-FR" w:eastAsia="fr-FR" w:bidi="fr-FR"/>
        </w:rPr>
        <w:t>tions on Foreign Policy After the Cold War</w:t>
      </w:r>
      <w:r w:rsidRPr="000563E3">
        <w:t> »</w:t>
      </w:r>
      <w:r w:rsidRPr="000563E3">
        <w:rPr>
          <w:lang w:val="fr-FR" w:eastAsia="fr-FR" w:bidi="fr-FR"/>
        </w:rPr>
        <w:t xml:space="preserve">, dans Ronald Lieber (ed.), </w:t>
      </w:r>
      <w:r w:rsidRPr="000563E3">
        <w:rPr>
          <w:rStyle w:val="NotedebasdepageItalique"/>
          <w:sz w:val="24"/>
        </w:rPr>
        <w:t>E</w:t>
      </w:r>
      <w:r w:rsidRPr="000563E3">
        <w:rPr>
          <w:rStyle w:val="NotedebasdepageItalique"/>
          <w:sz w:val="24"/>
        </w:rPr>
        <w:t>a</w:t>
      </w:r>
      <w:r w:rsidRPr="000563E3">
        <w:rPr>
          <w:rStyle w:val="NotedebasdepageItalique"/>
          <w:sz w:val="24"/>
        </w:rPr>
        <w:t>g</w:t>
      </w:r>
      <w:r>
        <w:rPr>
          <w:rStyle w:val="NotedebasdepageItalique"/>
          <w:sz w:val="24"/>
        </w:rPr>
        <w:t>l</w:t>
      </w:r>
      <w:r w:rsidRPr="000563E3">
        <w:rPr>
          <w:rStyle w:val="NotedebasdepageItalique"/>
          <w:sz w:val="24"/>
        </w:rPr>
        <w:t>e Rules ? Foreign Policy and American Primacy in the T</w:t>
      </w:r>
      <w:r>
        <w:rPr>
          <w:rStyle w:val="NotedebasdepageItalique"/>
          <w:sz w:val="24"/>
        </w:rPr>
        <w:t>w</w:t>
      </w:r>
      <w:r w:rsidRPr="000563E3">
        <w:rPr>
          <w:rStyle w:val="NotedebasdepageItalique"/>
          <w:sz w:val="24"/>
        </w:rPr>
        <w:t>enty-First Ce</w:t>
      </w:r>
      <w:r w:rsidRPr="000563E3">
        <w:rPr>
          <w:rStyle w:val="NotedebasdepageItalique"/>
          <w:sz w:val="24"/>
        </w:rPr>
        <w:t>n</w:t>
      </w:r>
      <w:r w:rsidRPr="000563E3">
        <w:rPr>
          <w:rStyle w:val="NotedebasdepageItalique"/>
          <w:sz w:val="24"/>
        </w:rPr>
        <w:t>tury</w:t>
      </w:r>
      <w:r w:rsidRPr="000563E3">
        <w:rPr>
          <w:lang w:val="fr-FR" w:eastAsia="fr-FR" w:bidi="fr-FR"/>
        </w:rPr>
        <w:t>, Upper Sa</w:t>
      </w:r>
      <w:r w:rsidRPr="000563E3">
        <w:rPr>
          <w:lang w:val="fr-FR" w:eastAsia="fr-FR" w:bidi="fr-FR"/>
        </w:rPr>
        <w:t>d</w:t>
      </w:r>
      <w:r w:rsidRPr="000563E3">
        <w:rPr>
          <w:lang w:val="fr-FR" w:eastAsia="fr-FR" w:bidi="fr-FR"/>
        </w:rPr>
        <w:t>dle, Prentice Hall, 2002, p. 47-69.</w:t>
      </w:r>
    </w:p>
  </w:footnote>
  <w:footnote w:id="340">
    <w:p w14:paraId="43CD9D38" w14:textId="77777777" w:rsidR="0039793A" w:rsidRDefault="0039793A" w:rsidP="0039793A">
      <w:pPr>
        <w:pStyle w:val="Notedebasdepage"/>
      </w:pPr>
      <w:r>
        <w:rPr>
          <w:rStyle w:val="Appelnotedebasdep"/>
        </w:rPr>
        <w:footnoteRef/>
      </w:r>
      <w:r>
        <w:tab/>
      </w:r>
      <w:r w:rsidRPr="000563E3">
        <w:rPr>
          <w:lang w:val="fr-FR" w:eastAsia="fr-FR" w:bidi="fr-FR"/>
        </w:rPr>
        <w:t xml:space="preserve">Sébastian Mallaby, </w:t>
      </w:r>
      <w:r w:rsidRPr="000563E3">
        <w:t>« </w:t>
      </w:r>
      <w:r w:rsidRPr="000563E3">
        <w:rPr>
          <w:lang w:val="fr-FR" w:eastAsia="fr-FR" w:bidi="fr-FR"/>
        </w:rPr>
        <w:t>The Bullied Pulpit</w:t>
      </w:r>
      <w:r w:rsidRPr="000563E3">
        <w:t> »</w:t>
      </w:r>
      <w:r w:rsidRPr="000563E3">
        <w:rPr>
          <w:lang w:val="fr-FR" w:eastAsia="fr-FR" w:bidi="fr-FR"/>
        </w:rPr>
        <w:t xml:space="preserve">, </w:t>
      </w:r>
      <w:r>
        <w:rPr>
          <w:rStyle w:val="NotedebasdepageItalique"/>
          <w:sz w:val="24"/>
        </w:rPr>
        <w:t>Foreign Af</w:t>
      </w:r>
      <w:r w:rsidRPr="000563E3">
        <w:rPr>
          <w:rStyle w:val="NotedebasdepageItalique"/>
          <w:sz w:val="24"/>
        </w:rPr>
        <w:t>fairs,</w:t>
      </w:r>
      <w:r w:rsidRPr="000563E3">
        <w:rPr>
          <w:rStyle w:val="Notedebasdepage6ptEspacement1pt"/>
          <w:sz w:val="24"/>
        </w:rPr>
        <w:t xml:space="preserve"> </w:t>
      </w:r>
      <w:r w:rsidRPr="000563E3">
        <w:rPr>
          <w:lang w:val="fr-FR" w:eastAsia="fr-FR" w:bidi="fr-FR"/>
        </w:rPr>
        <w:t>79, janvier- f</w:t>
      </w:r>
      <w:r w:rsidRPr="000563E3">
        <w:rPr>
          <w:lang w:val="fr-FR" w:eastAsia="fr-FR" w:bidi="fr-FR"/>
        </w:rPr>
        <w:t>é</w:t>
      </w:r>
      <w:r w:rsidRPr="000563E3">
        <w:rPr>
          <w:lang w:val="fr-FR" w:eastAsia="fr-FR" w:bidi="fr-FR"/>
        </w:rPr>
        <w:t>vrier 2000, p. 4</w:t>
      </w:r>
      <w:r w:rsidRPr="000563E3">
        <w:t> ;</w:t>
      </w:r>
      <w:r w:rsidRPr="000563E3">
        <w:rPr>
          <w:lang w:val="fr-FR" w:eastAsia="fr-FR" w:bidi="fr-FR"/>
        </w:rPr>
        <w:t xml:space="preserve"> Bennett,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56.</w:t>
      </w:r>
    </w:p>
  </w:footnote>
  <w:footnote w:id="341">
    <w:p w14:paraId="42153E0B" w14:textId="77777777" w:rsidR="0039793A" w:rsidRDefault="0039793A" w:rsidP="0039793A">
      <w:pPr>
        <w:pStyle w:val="Notedebasdepage"/>
      </w:pPr>
      <w:r>
        <w:rPr>
          <w:rStyle w:val="Appelnotedebasdep"/>
        </w:rPr>
        <w:footnoteRef/>
      </w:r>
      <w:r>
        <w:tab/>
      </w:r>
      <w:r w:rsidRPr="000563E3">
        <w:rPr>
          <w:lang w:val="fr-FR" w:eastAsia="fr-FR" w:bidi="fr-FR"/>
        </w:rPr>
        <w:t xml:space="preserve">Michael Smith, </w:t>
      </w:r>
      <w:r w:rsidRPr="000563E3">
        <w:t>« </w:t>
      </w:r>
      <w:r w:rsidRPr="000563E3">
        <w:rPr>
          <w:lang w:val="fr-FR" w:eastAsia="fr-FR" w:bidi="fr-FR"/>
        </w:rPr>
        <w:t>Congress, the President, and the Use of Military Force</w:t>
      </w:r>
      <w:r w:rsidRPr="000563E3">
        <w:t> :</w:t>
      </w:r>
      <w:r w:rsidRPr="000563E3">
        <w:rPr>
          <w:lang w:val="fr-FR" w:eastAsia="fr-FR" w:bidi="fr-FR"/>
        </w:rPr>
        <w:t xml:space="preserve"> Coop</w:t>
      </w:r>
      <w:r>
        <w:rPr>
          <w:lang w:val="fr-FR" w:eastAsia="fr-FR" w:bidi="fr-FR"/>
        </w:rPr>
        <w:t>e</w:t>
      </w:r>
      <w:r w:rsidRPr="000563E3">
        <w:rPr>
          <w:lang w:val="fr-FR" w:eastAsia="fr-FR" w:bidi="fr-FR"/>
        </w:rPr>
        <w:t>ration or Conflict in the Post-Cold War Era</w:t>
      </w:r>
      <w:r w:rsidRPr="000563E3">
        <w:t> ? »</w:t>
      </w:r>
      <w:r w:rsidRPr="000563E3">
        <w:rPr>
          <w:rStyle w:val="Notedebasdepage6ptEspacement1pt"/>
          <w:sz w:val="24"/>
        </w:rPr>
        <w:t xml:space="preserve">, </w:t>
      </w:r>
      <w:r w:rsidRPr="000563E3">
        <w:rPr>
          <w:rStyle w:val="NotedebasdepageItalique"/>
          <w:sz w:val="24"/>
        </w:rPr>
        <w:t>Pres</w:t>
      </w:r>
      <w:r w:rsidRPr="000563E3">
        <w:rPr>
          <w:rStyle w:val="NotedebasdepageItalique"/>
          <w:sz w:val="24"/>
        </w:rPr>
        <w:t>i</w:t>
      </w:r>
      <w:r w:rsidRPr="000563E3">
        <w:rPr>
          <w:rStyle w:val="NotedebasdepageItalique"/>
          <w:sz w:val="24"/>
        </w:rPr>
        <w:t>dential</w:t>
      </w:r>
      <w:r>
        <w:rPr>
          <w:rStyle w:val="NotedebasdepageItalique"/>
          <w:sz w:val="24"/>
        </w:rPr>
        <w:t xml:space="preserve"> </w:t>
      </w:r>
      <w:r w:rsidRPr="000563E3">
        <w:rPr>
          <w:rStyle w:val="NotedebasdepageItalique"/>
          <w:sz w:val="24"/>
        </w:rPr>
        <w:t>Studies Quarterly,</w:t>
      </w:r>
      <w:r w:rsidRPr="000563E3">
        <w:rPr>
          <w:rStyle w:val="Notedebasdepage6ptEspacement1pt"/>
          <w:sz w:val="24"/>
        </w:rPr>
        <w:t xml:space="preserve"> </w:t>
      </w:r>
      <w:r w:rsidRPr="000563E3">
        <w:rPr>
          <w:lang w:val="fr-FR" w:eastAsia="fr-FR" w:bidi="fr-FR"/>
        </w:rPr>
        <w:t>28, hiver 1998, p. 36-50.</w:t>
      </w:r>
    </w:p>
  </w:footnote>
  <w:footnote w:id="342">
    <w:p w14:paraId="43F9F786" w14:textId="77777777" w:rsidR="0039793A" w:rsidRDefault="0039793A" w:rsidP="0039793A">
      <w:pPr>
        <w:pStyle w:val="Notedebasdepage"/>
      </w:pPr>
      <w:r>
        <w:rPr>
          <w:rStyle w:val="Appelnotedebasdep"/>
        </w:rPr>
        <w:footnoteRef/>
      </w:r>
      <w:r>
        <w:tab/>
      </w:r>
      <w:r w:rsidRPr="000563E3">
        <w:rPr>
          <w:lang w:val="fr-FR" w:eastAsia="fr-FR" w:bidi="fr-FR"/>
        </w:rPr>
        <w:t xml:space="preserve">Mallaby,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6.</w:t>
      </w:r>
    </w:p>
  </w:footnote>
  <w:footnote w:id="343">
    <w:p w14:paraId="6799AD1D" w14:textId="77777777" w:rsidR="0039793A" w:rsidRDefault="0039793A" w:rsidP="0039793A">
      <w:pPr>
        <w:pStyle w:val="Notedebasdepage"/>
      </w:pPr>
      <w:r>
        <w:rPr>
          <w:rStyle w:val="Appelnotedebasdep"/>
        </w:rPr>
        <w:footnoteRef/>
      </w:r>
      <w:r>
        <w:tab/>
      </w:r>
      <w:r w:rsidRPr="000563E3">
        <w:rPr>
          <w:lang w:val="fr-FR" w:eastAsia="fr-FR" w:bidi="fr-FR"/>
        </w:rPr>
        <w:t xml:space="preserve">Marie Henehan, </w:t>
      </w:r>
      <w:r w:rsidRPr="000563E3">
        <w:rPr>
          <w:rStyle w:val="NotedebasdepageItalique"/>
          <w:sz w:val="24"/>
        </w:rPr>
        <w:t>Foreign Policy and Congress. An I</w:t>
      </w:r>
      <w:r w:rsidRPr="000563E3">
        <w:rPr>
          <w:rStyle w:val="NotedebasdepageItalique"/>
          <w:sz w:val="24"/>
        </w:rPr>
        <w:t>n</w:t>
      </w:r>
      <w:r w:rsidRPr="000563E3">
        <w:rPr>
          <w:rStyle w:val="NotedebasdepageItalique"/>
          <w:sz w:val="24"/>
        </w:rPr>
        <w:t>ternational Relations Perspective,</w:t>
      </w:r>
      <w:r w:rsidRPr="000563E3">
        <w:rPr>
          <w:lang w:val="fr-FR" w:eastAsia="fr-FR" w:bidi="fr-FR"/>
        </w:rPr>
        <w:t xml:space="preserve"> Ann Arbor, The Un</w:t>
      </w:r>
      <w:r w:rsidRPr="000563E3">
        <w:rPr>
          <w:lang w:val="fr-FR" w:eastAsia="fr-FR" w:bidi="fr-FR"/>
        </w:rPr>
        <w:t>i</w:t>
      </w:r>
      <w:r w:rsidRPr="000563E3">
        <w:rPr>
          <w:lang w:val="fr-FR" w:eastAsia="fr-FR" w:bidi="fr-FR"/>
        </w:rPr>
        <w:t>versity of Michigan Press, 2000, 213 p-</w:t>
      </w:r>
      <w:r w:rsidRPr="000563E3">
        <w:t> ;</w:t>
      </w:r>
      <w:r w:rsidRPr="000563E3">
        <w:rPr>
          <w:lang w:val="fr-FR" w:eastAsia="fr-FR" w:bidi="fr-FR"/>
        </w:rPr>
        <w:t xml:space="preserve"> Bert Rockman, </w:t>
      </w:r>
      <w:r w:rsidRPr="000563E3">
        <w:t>« </w:t>
      </w:r>
      <w:r w:rsidRPr="000563E3">
        <w:rPr>
          <w:lang w:val="fr-FR" w:eastAsia="fr-FR" w:bidi="fr-FR"/>
        </w:rPr>
        <w:t>Reinventing What for Whom</w:t>
      </w:r>
      <w:r w:rsidRPr="000563E3">
        <w:t> ?</w:t>
      </w:r>
      <w:r w:rsidRPr="000563E3">
        <w:rPr>
          <w:lang w:val="fr-FR" w:eastAsia="fr-FR" w:bidi="fr-FR"/>
        </w:rPr>
        <w:t xml:space="preserve"> Pres</w:t>
      </w:r>
      <w:r w:rsidRPr="000563E3">
        <w:rPr>
          <w:lang w:val="fr-FR" w:eastAsia="fr-FR" w:bidi="fr-FR"/>
        </w:rPr>
        <w:t>i</w:t>
      </w:r>
      <w:r w:rsidRPr="000563E3">
        <w:rPr>
          <w:lang w:val="fr-FR" w:eastAsia="fr-FR" w:bidi="fr-FR"/>
        </w:rPr>
        <w:t>dent and Congress in the Making of Foreign Policy</w:t>
      </w:r>
      <w:r w:rsidRPr="000563E3">
        <w:t> »</w:t>
      </w:r>
      <w:r w:rsidRPr="000563E3">
        <w:rPr>
          <w:lang w:val="fr-FR" w:eastAsia="fr-FR" w:bidi="fr-FR"/>
        </w:rPr>
        <w:t xml:space="preserve">, </w:t>
      </w:r>
      <w:r w:rsidRPr="000563E3">
        <w:rPr>
          <w:rStyle w:val="NotedebasdepageItalique"/>
          <w:sz w:val="24"/>
        </w:rPr>
        <w:t>Presidential Studies Quarterly,</w:t>
      </w:r>
      <w:r w:rsidRPr="000563E3">
        <w:rPr>
          <w:rStyle w:val="Notedebasdepage6ptEspacement1pt"/>
          <w:sz w:val="24"/>
        </w:rPr>
        <w:t xml:space="preserve"> </w:t>
      </w:r>
      <w:r w:rsidRPr="000563E3">
        <w:rPr>
          <w:lang w:val="fr-FR" w:eastAsia="fr-FR" w:bidi="fr-FR"/>
        </w:rPr>
        <w:t>30, mars 2000, p. 133-154</w:t>
      </w:r>
      <w:r w:rsidRPr="000563E3">
        <w:t> ;</w:t>
      </w:r>
      <w:r w:rsidRPr="000563E3">
        <w:rPr>
          <w:lang w:val="fr-FR" w:eastAsia="fr-FR" w:bidi="fr-FR"/>
        </w:rPr>
        <w:t xml:space="preserve"> Barbara Hinckley, </w:t>
      </w:r>
      <w:r w:rsidRPr="000563E3">
        <w:rPr>
          <w:rStyle w:val="NotedebasdepageItalique"/>
          <w:sz w:val="24"/>
        </w:rPr>
        <w:t>Less than Meets the Eye : Foreign P</w:t>
      </w:r>
      <w:r w:rsidRPr="000563E3">
        <w:rPr>
          <w:rStyle w:val="NotedebasdepageItalique"/>
          <w:sz w:val="24"/>
        </w:rPr>
        <w:t>o</w:t>
      </w:r>
      <w:r w:rsidRPr="000563E3">
        <w:rPr>
          <w:rStyle w:val="NotedebasdepageItalique"/>
          <w:sz w:val="24"/>
        </w:rPr>
        <w:t>licy Making and the Myth of the A</w:t>
      </w:r>
      <w:r w:rsidRPr="000563E3">
        <w:rPr>
          <w:rStyle w:val="NotedebasdepageItalique"/>
          <w:sz w:val="24"/>
        </w:rPr>
        <w:t>s</w:t>
      </w:r>
      <w:r w:rsidRPr="000563E3">
        <w:rPr>
          <w:rStyle w:val="NotedebasdepageItalique"/>
          <w:sz w:val="24"/>
        </w:rPr>
        <w:t>sertive Congress,</w:t>
      </w:r>
      <w:r w:rsidRPr="000563E3">
        <w:rPr>
          <w:rStyle w:val="Notedebasdepage6ptEspacement1pt"/>
          <w:sz w:val="24"/>
        </w:rPr>
        <w:t xml:space="preserve"> </w:t>
      </w:r>
      <w:r w:rsidRPr="000563E3">
        <w:rPr>
          <w:lang w:val="fr-FR" w:eastAsia="fr-FR" w:bidi="fr-FR"/>
        </w:rPr>
        <w:t>Chicago, University of Chicago Press, 1994, 252 p.</w:t>
      </w:r>
    </w:p>
  </w:footnote>
  <w:footnote w:id="344">
    <w:p w14:paraId="0D931EC9" w14:textId="77777777" w:rsidR="0039793A" w:rsidRDefault="0039793A" w:rsidP="0039793A">
      <w:pPr>
        <w:pStyle w:val="Notedebasdepage"/>
      </w:pPr>
      <w:r>
        <w:rPr>
          <w:rStyle w:val="Appelnotedebasdep"/>
        </w:rPr>
        <w:footnoteRef/>
      </w:r>
      <w:r>
        <w:tab/>
      </w:r>
      <w:r w:rsidRPr="000563E3">
        <w:rPr>
          <w:lang w:val="fr-FR" w:eastAsia="fr-FR" w:bidi="fr-FR"/>
        </w:rPr>
        <w:t xml:space="preserve">Voir le classique de Arthur Schlesinger Jr, </w:t>
      </w:r>
      <w:r w:rsidRPr="000563E3">
        <w:rPr>
          <w:rStyle w:val="NotedebasdepageItalique"/>
          <w:sz w:val="24"/>
        </w:rPr>
        <w:t>The Impérial Presidency,</w:t>
      </w:r>
      <w:r w:rsidRPr="000563E3">
        <w:rPr>
          <w:rStyle w:val="Notedebasdepage6ptEspacement1pt"/>
          <w:sz w:val="24"/>
        </w:rPr>
        <w:t xml:space="preserve"> </w:t>
      </w:r>
      <w:r w:rsidRPr="000563E3">
        <w:rPr>
          <w:lang w:val="fr-FR" w:eastAsia="fr-FR" w:bidi="fr-FR"/>
        </w:rPr>
        <w:t>Bo</w:t>
      </w:r>
      <w:r w:rsidRPr="000563E3">
        <w:rPr>
          <w:lang w:val="fr-FR" w:eastAsia="fr-FR" w:bidi="fr-FR"/>
        </w:rPr>
        <w:t>s</w:t>
      </w:r>
      <w:r w:rsidRPr="000563E3">
        <w:rPr>
          <w:lang w:val="fr-FR" w:eastAsia="fr-FR" w:bidi="fr-FR"/>
        </w:rPr>
        <w:t>ton, Houghton Mifflin, 1973, 356 p.</w:t>
      </w:r>
      <w:r w:rsidRPr="000563E3">
        <w:t> ;</w:t>
      </w:r>
      <w:r w:rsidRPr="000563E3">
        <w:rPr>
          <w:lang w:val="fr-FR" w:eastAsia="fr-FR" w:bidi="fr-FR"/>
        </w:rPr>
        <w:t xml:space="preserve"> Donald Wolfensberger, </w:t>
      </w:r>
      <w:r w:rsidRPr="000563E3">
        <w:t>« </w:t>
      </w:r>
      <w:r w:rsidRPr="000563E3">
        <w:rPr>
          <w:lang w:val="fr-FR" w:eastAsia="fr-FR" w:bidi="fr-FR"/>
        </w:rPr>
        <w:t>The Return of the Impérial Pr</w:t>
      </w:r>
      <w:r w:rsidRPr="000563E3">
        <w:rPr>
          <w:lang w:val="fr-FR" w:eastAsia="fr-FR" w:bidi="fr-FR"/>
        </w:rPr>
        <w:t>e</w:t>
      </w:r>
      <w:r w:rsidRPr="000563E3">
        <w:rPr>
          <w:lang w:val="fr-FR" w:eastAsia="fr-FR" w:bidi="fr-FR"/>
        </w:rPr>
        <w:t>sidency</w:t>
      </w:r>
      <w:r w:rsidRPr="000563E3">
        <w:t> ? »</w:t>
      </w:r>
      <w:r w:rsidRPr="000563E3">
        <w:rPr>
          <w:lang w:val="fr-FR" w:eastAsia="fr-FR" w:bidi="fr-FR"/>
        </w:rPr>
        <w:t xml:space="preserve">, </w:t>
      </w:r>
      <w:r w:rsidRPr="000563E3">
        <w:rPr>
          <w:rStyle w:val="NotedebasdepageItalique"/>
          <w:sz w:val="24"/>
        </w:rPr>
        <w:t>The Wilson Quarterly,</w:t>
      </w:r>
      <w:r w:rsidRPr="000563E3">
        <w:rPr>
          <w:rStyle w:val="Notedebasdepage6ptEspacement1pt"/>
          <w:sz w:val="24"/>
        </w:rPr>
        <w:t xml:space="preserve"> </w:t>
      </w:r>
      <w:r w:rsidRPr="000563E3">
        <w:rPr>
          <w:lang w:val="fr-FR" w:eastAsia="fr-FR" w:bidi="fr-FR"/>
        </w:rPr>
        <w:t>printemps 2002, 3 p.</w:t>
      </w:r>
    </w:p>
  </w:footnote>
  <w:footnote w:id="345">
    <w:p w14:paraId="6010B20D" w14:textId="77777777" w:rsidR="0039793A" w:rsidRDefault="0039793A" w:rsidP="0039793A">
      <w:pPr>
        <w:pStyle w:val="Notedebasdepage"/>
      </w:pPr>
      <w:r>
        <w:rPr>
          <w:rStyle w:val="Appelnotedebasdep"/>
        </w:rPr>
        <w:footnoteRef/>
      </w:r>
      <w:r>
        <w:tab/>
      </w:r>
      <w:r w:rsidRPr="000563E3">
        <w:rPr>
          <w:lang w:val="fr-FR" w:eastAsia="fr-FR" w:bidi="fr-FR"/>
        </w:rPr>
        <w:t xml:space="preserve">Louis Henkin, </w:t>
      </w:r>
      <w:r w:rsidRPr="000563E3">
        <w:rPr>
          <w:rStyle w:val="NotedebasdepageItalique"/>
          <w:sz w:val="24"/>
        </w:rPr>
        <w:t xml:space="preserve">Foreign Affairs and the </w:t>
      </w:r>
      <w:r w:rsidRPr="000563E3">
        <w:rPr>
          <w:rStyle w:val="Notedebasdepage6ptItaliqueEspacement0pt"/>
          <w:sz w:val="24"/>
        </w:rPr>
        <w:t xml:space="preserve">US </w:t>
      </w:r>
      <w:r w:rsidRPr="000563E3">
        <w:rPr>
          <w:rStyle w:val="NotedebasdepageItalique"/>
          <w:sz w:val="24"/>
        </w:rPr>
        <w:t>Constit</w:t>
      </w:r>
      <w:r w:rsidRPr="000563E3">
        <w:rPr>
          <w:rStyle w:val="NotedebasdepageItalique"/>
          <w:sz w:val="24"/>
        </w:rPr>
        <w:t>u</w:t>
      </w:r>
      <w:r w:rsidRPr="000563E3">
        <w:rPr>
          <w:rStyle w:val="NotedebasdepageItalique"/>
          <w:sz w:val="24"/>
        </w:rPr>
        <w:t>tion,</w:t>
      </w:r>
      <w:r w:rsidRPr="000563E3">
        <w:rPr>
          <w:rStyle w:val="Notedebasdepage6ptEspacement1pt"/>
          <w:sz w:val="24"/>
        </w:rPr>
        <w:t xml:space="preserve"> </w:t>
      </w:r>
      <w:r w:rsidRPr="000563E3">
        <w:rPr>
          <w:lang w:val="fr-FR" w:eastAsia="fr-FR" w:bidi="fr-FR"/>
        </w:rPr>
        <w:t>Oxford, Clarendon Press, 2</w:t>
      </w:r>
      <w:r w:rsidRPr="000563E3">
        <w:rPr>
          <w:vertAlign w:val="superscript"/>
          <w:lang w:val="fr-FR" w:eastAsia="fr-FR" w:bidi="fr-FR"/>
        </w:rPr>
        <w:t>e</w:t>
      </w:r>
      <w:r w:rsidRPr="000563E3">
        <w:rPr>
          <w:lang w:val="fr-FR" w:eastAsia="fr-FR" w:bidi="fr-FR"/>
        </w:rPr>
        <w:t xml:space="preserve"> éd., 1996, 581 p.</w:t>
      </w:r>
      <w:r w:rsidRPr="000563E3">
        <w:t> ;</w:t>
      </w:r>
      <w:r w:rsidRPr="000563E3">
        <w:rPr>
          <w:lang w:val="fr-FR" w:eastAsia="fr-FR" w:bidi="fr-FR"/>
        </w:rPr>
        <w:t xml:space="preserve"> David Gray Adler (ed.), </w:t>
      </w:r>
      <w:r w:rsidRPr="000563E3">
        <w:rPr>
          <w:rStyle w:val="NotedebasdepageItalique"/>
          <w:sz w:val="24"/>
        </w:rPr>
        <w:t>The Constitution and the Conduct of American Foreign Policy,</w:t>
      </w:r>
      <w:r w:rsidRPr="000563E3">
        <w:rPr>
          <w:rStyle w:val="Notedebasdepage6ptEspacement1pt"/>
          <w:sz w:val="24"/>
        </w:rPr>
        <w:t xml:space="preserve"> </w:t>
      </w:r>
      <w:r w:rsidRPr="000563E3">
        <w:rPr>
          <w:lang w:val="fr-FR" w:eastAsia="fr-FR" w:bidi="fr-FR"/>
        </w:rPr>
        <w:t>Lawre</w:t>
      </w:r>
      <w:r w:rsidRPr="000563E3">
        <w:rPr>
          <w:lang w:val="fr-FR" w:eastAsia="fr-FR" w:bidi="fr-FR"/>
        </w:rPr>
        <w:t>n</w:t>
      </w:r>
      <w:r w:rsidRPr="000563E3">
        <w:rPr>
          <w:lang w:val="fr-FR" w:eastAsia="fr-FR" w:bidi="fr-FR"/>
        </w:rPr>
        <w:t>ce, University Press of Kansas, 1996, 396 p.</w:t>
      </w:r>
    </w:p>
  </w:footnote>
  <w:footnote w:id="346">
    <w:p w14:paraId="7B8B7CED" w14:textId="77777777" w:rsidR="0039793A" w:rsidRDefault="0039793A" w:rsidP="0039793A">
      <w:pPr>
        <w:pStyle w:val="Notedebasdepage"/>
      </w:pPr>
      <w:r>
        <w:rPr>
          <w:rStyle w:val="Appelnotedebasdep"/>
        </w:rPr>
        <w:footnoteRef/>
      </w:r>
      <w:r>
        <w:tab/>
      </w:r>
      <w:r w:rsidRPr="000563E3">
        <w:rPr>
          <w:lang w:val="fr-FR" w:eastAsia="fr-FR" w:bidi="fr-FR"/>
        </w:rPr>
        <w:t>L’autorité du Congrès, après la fin de la guerre froide, et notamment en ra</w:t>
      </w:r>
      <w:r w:rsidRPr="000563E3">
        <w:rPr>
          <w:lang w:val="fr-FR" w:eastAsia="fr-FR" w:bidi="fr-FR"/>
        </w:rPr>
        <w:t>i</w:t>
      </w:r>
      <w:r w:rsidRPr="000563E3">
        <w:rPr>
          <w:lang w:val="fr-FR" w:eastAsia="fr-FR" w:bidi="fr-FR"/>
        </w:rPr>
        <w:t>son de l’influence de l’aile républicaine pour contrer les politiques de Cli</w:t>
      </w:r>
      <w:r w:rsidRPr="000563E3">
        <w:rPr>
          <w:lang w:val="fr-FR" w:eastAsia="fr-FR" w:bidi="fr-FR"/>
        </w:rPr>
        <w:t>n</w:t>
      </w:r>
      <w:r w:rsidRPr="000563E3">
        <w:rPr>
          <w:lang w:val="fr-FR" w:eastAsia="fr-FR" w:bidi="fr-FR"/>
        </w:rPr>
        <w:t>ton, s’est affirmée certes avec vigueur</w:t>
      </w:r>
      <w:r w:rsidRPr="000563E3">
        <w:t> :</w:t>
      </w:r>
      <w:r w:rsidRPr="000563E3">
        <w:rPr>
          <w:lang w:val="fr-FR" w:eastAsia="fr-FR" w:bidi="fr-FR"/>
        </w:rPr>
        <w:t xml:space="preserve"> voir Jeremy Rosner, </w:t>
      </w:r>
      <w:r w:rsidRPr="000563E3">
        <w:rPr>
          <w:rStyle w:val="NotedebasdepageItalique"/>
          <w:sz w:val="24"/>
        </w:rPr>
        <w:t>The New-Tug-of-War : Congress, The Executive Branch and National Security,</w:t>
      </w:r>
      <w:r w:rsidRPr="000563E3">
        <w:rPr>
          <w:lang w:val="fr-FR" w:eastAsia="fr-FR" w:bidi="fr-FR"/>
        </w:rPr>
        <w:t xml:space="preserve"> Washin</w:t>
      </w:r>
      <w:r w:rsidRPr="000563E3">
        <w:rPr>
          <w:lang w:val="fr-FR" w:eastAsia="fr-FR" w:bidi="fr-FR"/>
        </w:rPr>
        <w:t>g</w:t>
      </w:r>
      <w:r w:rsidRPr="000563E3">
        <w:rPr>
          <w:lang w:val="fr-FR" w:eastAsia="fr-FR" w:bidi="fr-FR"/>
        </w:rPr>
        <w:t>ton, The Bro</w:t>
      </w:r>
      <w:r w:rsidRPr="000563E3">
        <w:rPr>
          <w:lang w:val="fr-FR" w:eastAsia="fr-FR" w:bidi="fr-FR"/>
        </w:rPr>
        <w:t>o</w:t>
      </w:r>
      <w:r w:rsidRPr="000563E3">
        <w:rPr>
          <w:lang w:val="fr-FR" w:eastAsia="fr-FR" w:bidi="fr-FR"/>
        </w:rPr>
        <w:t>kings Institution, 1995, 118 p.</w:t>
      </w:r>
    </w:p>
  </w:footnote>
  <w:footnote w:id="347">
    <w:p w14:paraId="314498FE" w14:textId="77777777" w:rsidR="0039793A" w:rsidRDefault="0039793A" w:rsidP="0039793A">
      <w:pPr>
        <w:pStyle w:val="Notedebasdepage"/>
      </w:pPr>
      <w:r>
        <w:rPr>
          <w:rStyle w:val="Appelnotedebasdep"/>
        </w:rPr>
        <w:footnoteRef/>
      </w:r>
      <w:r>
        <w:tab/>
      </w:r>
      <w:r w:rsidRPr="000563E3">
        <w:rPr>
          <w:lang w:val="fr-FR" w:eastAsia="fr-FR" w:bidi="fr-FR"/>
        </w:rPr>
        <w:t xml:space="preserve">Cité par </w:t>
      </w:r>
      <w:r w:rsidRPr="000563E3">
        <w:t>« </w:t>
      </w:r>
      <w:r w:rsidRPr="000563E3">
        <w:rPr>
          <w:lang w:val="fr-FR" w:eastAsia="fr-FR" w:bidi="fr-FR"/>
        </w:rPr>
        <w:t>Powers of the Presidency</w:t>
      </w:r>
      <w:r w:rsidRPr="000563E3">
        <w:t> »</w:t>
      </w:r>
      <w:r w:rsidRPr="000563E3">
        <w:rPr>
          <w:lang w:val="fr-FR" w:eastAsia="fr-FR" w:bidi="fr-FR"/>
        </w:rPr>
        <w:t xml:space="preserve">, </w:t>
      </w:r>
      <w:r w:rsidRPr="000563E3">
        <w:rPr>
          <w:rStyle w:val="NotedebasdepageItalique"/>
          <w:sz w:val="24"/>
        </w:rPr>
        <w:t>Congressional Quarterly,</w:t>
      </w:r>
      <w:r w:rsidRPr="000563E3">
        <w:rPr>
          <w:lang w:val="fr-FR" w:eastAsia="fr-FR" w:bidi="fr-FR"/>
        </w:rPr>
        <w:t xml:space="preserve"> Washin</w:t>
      </w:r>
      <w:r w:rsidRPr="000563E3">
        <w:rPr>
          <w:lang w:val="fr-FR" w:eastAsia="fr-FR" w:bidi="fr-FR"/>
        </w:rPr>
        <w:t>g</w:t>
      </w:r>
      <w:r w:rsidRPr="000563E3">
        <w:rPr>
          <w:lang w:val="fr-FR" w:eastAsia="fr-FR" w:bidi="fr-FR"/>
        </w:rPr>
        <w:t>ton, 1997, p. 124.</w:t>
      </w:r>
    </w:p>
  </w:footnote>
  <w:footnote w:id="348">
    <w:p w14:paraId="2FAE1CB8" w14:textId="77777777" w:rsidR="0039793A" w:rsidRDefault="0039793A" w:rsidP="0039793A">
      <w:pPr>
        <w:pStyle w:val="Notedebasdepage"/>
      </w:pPr>
      <w:r>
        <w:rPr>
          <w:rStyle w:val="Appelnotedebasdep"/>
        </w:rPr>
        <w:footnoteRef/>
      </w:r>
      <w:r>
        <w:tab/>
      </w:r>
      <w:r w:rsidRPr="000563E3">
        <w:rPr>
          <w:lang w:val="fr-FR" w:eastAsia="fr-FR" w:bidi="fr-FR"/>
        </w:rPr>
        <w:t>On peut valablement se référer à</w:t>
      </w:r>
      <w:r w:rsidRPr="000563E3">
        <w:t> :</w:t>
      </w:r>
      <w:r w:rsidRPr="000563E3">
        <w:rPr>
          <w:lang w:val="fr-FR" w:eastAsia="fr-FR" w:bidi="fr-FR"/>
        </w:rPr>
        <w:t xml:space="preserve"> Bruce Jentleson, </w:t>
      </w:r>
      <w:r w:rsidRPr="000563E3">
        <w:rPr>
          <w:rStyle w:val="NotedebasdepageItalique"/>
          <w:sz w:val="24"/>
        </w:rPr>
        <w:t>American Foreign Pol</w:t>
      </w:r>
      <w:r w:rsidRPr="000563E3">
        <w:rPr>
          <w:rStyle w:val="NotedebasdepageItalique"/>
          <w:sz w:val="24"/>
        </w:rPr>
        <w:t>i</w:t>
      </w:r>
      <w:r w:rsidRPr="000563E3">
        <w:rPr>
          <w:rStyle w:val="NotedebasdepageItalique"/>
          <w:sz w:val="24"/>
        </w:rPr>
        <w:t>cy. The Dynamics of Choice in the 21st Century,</w:t>
      </w:r>
      <w:r w:rsidRPr="000563E3">
        <w:rPr>
          <w:rStyle w:val="Notedebasdepage6ptEspacement1pt"/>
          <w:sz w:val="24"/>
        </w:rPr>
        <w:t xml:space="preserve"> </w:t>
      </w:r>
      <w:r w:rsidRPr="000563E3">
        <w:rPr>
          <w:lang w:val="fr-FR" w:eastAsia="fr-FR" w:bidi="fr-FR"/>
        </w:rPr>
        <w:t>New York, Norton, 2000, p. 28-36</w:t>
      </w:r>
      <w:r w:rsidRPr="000563E3">
        <w:t> ;</w:t>
      </w:r>
      <w:r w:rsidRPr="000563E3">
        <w:rPr>
          <w:lang w:val="fr-FR" w:eastAsia="fr-FR" w:bidi="fr-FR"/>
        </w:rPr>
        <w:t xml:space="preserve"> John Rourke, Ralph Carter et Mark Boyer, </w:t>
      </w:r>
      <w:r w:rsidRPr="000563E3">
        <w:rPr>
          <w:rStyle w:val="NotedebasdepageItalique"/>
          <w:sz w:val="24"/>
        </w:rPr>
        <w:t>Making American F</w:t>
      </w:r>
      <w:r w:rsidRPr="000563E3">
        <w:rPr>
          <w:rStyle w:val="NotedebasdepageItalique"/>
          <w:sz w:val="24"/>
        </w:rPr>
        <w:t>o</w:t>
      </w:r>
      <w:r w:rsidRPr="000563E3">
        <w:rPr>
          <w:rStyle w:val="NotedebasdepageItalique"/>
          <w:sz w:val="24"/>
        </w:rPr>
        <w:t>reign Policy,</w:t>
      </w:r>
      <w:r w:rsidRPr="000563E3">
        <w:rPr>
          <w:rStyle w:val="Notedebasdepage6ptEspacement1pt"/>
          <w:sz w:val="24"/>
        </w:rPr>
        <w:t xml:space="preserve"> </w:t>
      </w:r>
      <w:r w:rsidRPr="000563E3">
        <w:rPr>
          <w:lang w:val="fr-FR" w:eastAsia="fr-FR" w:bidi="fr-FR"/>
        </w:rPr>
        <w:t>Guilford, Brown and Benchmark, 2</w:t>
      </w:r>
      <w:r w:rsidRPr="000563E3">
        <w:rPr>
          <w:vertAlign w:val="superscript"/>
          <w:lang w:val="fr-FR" w:eastAsia="fr-FR" w:bidi="fr-FR"/>
        </w:rPr>
        <w:t>c</w:t>
      </w:r>
      <w:r w:rsidRPr="000563E3">
        <w:rPr>
          <w:lang w:val="fr-FR" w:eastAsia="fr-FR" w:bidi="fr-FR"/>
        </w:rPr>
        <w:t>éd., 1996, p. 170-190</w:t>
      </w:r>
      <w:r w:rsidRPr="000563E3">
        <w:t> ;</w:t>
      </w:r>
      <w:r w:rsidRPr="000563E3">
        <w:rPr>
          <w:lang w:val="fr-FR" w:eastAsia="fr-FR" w:bidi="fr-FR"/>
        </w:rPr>
        <w:t xml:space="preserve"> George E</w:t>
      </w:r>
      <w:r w:rsidRPr="000563E3">
        <w:rPr>
          <w:lang w:val="fr-FR" w:eastAsia="fr-FR" w:bidi="fr-FR"/>
        </w:rPr>
        <w:t>d</w:t>
      </w:r>
      <w:r w:rsidRPr="000563E3">
        <w:rPr>
          <w:lang w:val="fr-FR" w:eastAsia="fr-FR" w:bidi="fr-FR"/>
        </w:rPr>
        <w:t xml:space="preserve">wards et Stephen Wayne, </w:t>
      </w:r>
      <w:r w:rsidRPr="000563E3">
        <w:rPr>
          <w:rStyle w:val="NotedebasdepageItalique"/>
          <w:sz w:val="24"/>
        </w:rPr>
        <w:t>Presidential Leadership. Politics and Policy-Making,</w:t>
      </w:r>
      <w:r w:rsidRPr="000563E3">
        <w:rPr>
          <w:rStyle w:val="Notedebasdepage6ptEspacement1pt"/>
          <w:sz w:val="24"/>
        </w:rPr>
        <w:t xml:space="preserve"> </w:t>
      </w:r>
      <w:r w:rsidRPr="000563E3">
        <w:rPr>
          <w:lang w:val="fr-FR" w:eastAsia="fr-FR" w:bidi="fr-FR"/>
        </w:rPr>
        <w:t>New York, St. Martin’s Press, 3</w:t>
      </w:r>
      <w:r w:rsidRPr="00D572F5">
        <w:rPr>
          <w:vertAlign w:val="superscript"/>
          <w:lang w:val="fr-FR" w:eastAsia="fr-FR" w:bidi="fr-FR"/>
        </w:rPr>
        <w:t>è</w:t>
      </w:r>
      <w:r>
        <w:rPr>
          <w:lang w:val="fr-FR" w:eastAsia="fr-FR" w:bidi="fr-FR"/>
        </w:rPr>
        <w:t xml:space="preserve"> </w:t>
      </w:r>
      <w:r w:rsidRPr="000563E3">
        <w:rPr>
          <w:lang w:val="fr-FR" w:eastAsia="fr-FR" w:bidi="fr-FR"/>
        </w:rPr>
        <w:t>éd., 1994, p. 422-432</w:t>
      </w:r>
      <w:r w:rsidRPr="000563E3">
        <w:t> ;</w:t>
      </w:r>
      <w:r w:rsidRPr="000563E3">
        <w:rPr>
          <w:lang w:val="fr-FR" w:eastAsia="fr-FR" w:bidi="fr-FR"/>
        </w:rPr>
        <w:t xml:space="preserve"> Donald Snow et Eugene Brown, </w:t>
      </w:r>
      <w:r w:rsidRPr="000563E3">
        <w:rPr>
          <w:rStyle w:val="NotedebasdepageItalique"/>
          <w:sz w:val="24"/>
        </w:rPr>
        <w:t xml:space="preserve">Puzzle Palaces and Foggy Bottom. </w:t>
      </w:r>
      <w:r w:rsidRPr="000563E3">
        <w:rPr>
          <w:rStyle w:val="Notedebasdepage6ptItaliqueEspacement0pt"/>
          <w:sz w:val="24"/>
        </w:rPr>
        <w:t xml:space="preserve">US </w:t>
      </w:r>
      <w:r w:rsidRPr="000563E3">
        <w:rPr>
          <w:rStyle w:val="NotedebasdepageItalique"/>
          <w:sz w:val="24"/>
        </w:rPr>
        <w:t>F</w:t>
      </w:r>
      <w:r w:rsidRPr="000563E3">
        <w:rPr>
          <w:rStyle w:val="NotedebasdepageItalique"/>
          <w:sz w:val="24"/>
        </w:rPr>
        <w:t>o</w:t>
      </w:r>
      <w:r w:rsidRPr="000563E3">
        <w:rPr>
          <w:rStyle w:val="NotedebasdepageItalique"/>
          <w:sz w:val="24"/>
        </w:rPr>
        <w:t>reign and Defense Policy-Making,</w:t>
      </w:r>
      <w:r w:rsidRPr="000563E3">
        <w:rPr>
          <w:rStyle w:val="Notedebasdepage6ptEspacement1pt"/>
          <w:sz w:val="24"/>
        </w:rPr>
        <w:t xml:space="preserve"> </w:t>
      </w:r>
      <w:r w:rsidRPr="000563E3">
        <w:rPr>
          <w:lang w:val="fr-FR" w:eastAsia="fr-FR" w:bidi="fr-FR"/>
        </w:rPr>
        <w:t>New York, St. Martin’s Press, 1994, p. 31-37</w:t>
      </w:r>
      <w:r w:rsidRPr="000563E3">
        <w:t> ;</w:t>
      </w:r>
      <w:r w:rsidRPr="000563E3">
        <w:rPr>
          <w:lang w:val="fr-FR" w:eastAsia="fr-FR" w:bidi="fr-FR"/>
        </w:rPr>
        <w:t xml:space="preserve"> Congressional Quarte</w:t>
      </w:r>
      <w:r w:rsidRPr="000563E3">
        <w:rPr>
          <w:lang w:val="fr-FR" w:eastAsia="fr-FR" w:bidi="fr-FR"/>
        </w:rPr>
        <w:t>r</w:t>
      </w:r>
      <w:r w:rsidRPr="000563E3">
        <w:rPr>
          <w:lang w:val="fr-FR" w:eastAsia="fr-FR" w:bidi="fr-FR"/>
        </w:rPr>
        <w:t xml:space="preserve">ly, </w:t>
      </w:r>
      <w:r w:rsidRPr="000563E3">
        <w:rPr>
          <w:rStyle w:val="NotedebasdepageItalique"/>
          <w:sz w:val="24"/>
        </w:rPr>
        <w:t>op. cit.,</w:t>
      </w:r>
      <w:r w:rsidRPr="000563E3">
        <w:rPr>
          <w:rStyle w:val="Notedebasdepage6ptEspacement1pt"/>
          <w:sz w:val="24"/>
        </w:rPr>
        <w:t xml:space="preserve"> </w:t>
      </w:r>
      <w:r w:rsidRPr="000563E3">
        <w:rPr>
          <w:lang w:val="fr-FR" w:eastAsia="fr-FR" w:bidi="fr-FR"/>
        </w:rPr>
        <w:t>p. 123-162.</w:t>
      </w:r>
    </w:p>
  </w:footnote>
  <w:footnote w:id="349">
    <w:p w14:paraId="45908D85" w14:textId="77777777" w:rsidR="0039793A" w:rsidRDefault="0039793A" w:rsidP="0039793A">
      <w:pPr>
        <w:pStyle w:val="Notedebasdepage"/>
      </w:pPr>
      <w:r>
        <w:rPr>
          <w:rStyle w:val="Appelnotedebasdep"/>
        </w:rPr>
        <w:footnoteRef/>
      </w:r>
      <w:r>
        <w:tab/>
      </w:r>
      <w:r w:rsidRPr="000563E3">
        <w:rPr>
          <w:lang w:val="fr-FR" w:eastAsia="fr-FR" w:bidi="fr-FR"/>
        </w:rPr>
        <w:t>Le Congrès n’a déclaré la guerre que cinq fois dans l’Histoire</w:t>
      </w:r>
      <w:r w:rsidRPr="000563E3">
        <w:t> :</w:t>
      </w:r>
      <w:r w:rsidRPr="000563E3">
        <w:rPr>
          <w:lang w:val="fr-FR" w:eastAsia="fr-FR" w:bidi="fr-FR"/>
        </w:rPr>
        <w:t xml:space="preserve"> en 1812, 1846, 1898, 1917, 1941.</w:t>
      </w:r>
    </w:p>
  </w:footnote>
  <w:footnote w:id="350">
    <w:p w14:paraId="5591F684" w14:textId="77777777" w:rsidR="0039793A" w:rsidRDefault="0039793A" w:rsidP="0039793A">
      <w:pPr>
        <w:pStyle w:val="Notedebasdepage"/>
      </w:pPr>
      <w:r>
        <w:rPr>
          <w:rStyle w:val="Appelnotedebasdep"/>
        </w:rPr>
        <w:footnoteRef/>
      </w:r>
      <w:r>
        <w:tab/>
      </w:r>
      <w:r w:rsidRPr="000563E3">
        <w:rPr>
          <w:lang w:val="fr-FR" w:eastAsia="fr-FR" w:bidi="fr-FR"/>
        </w:rPr>
        <w:t xml:space="preserve">Kenneth Mayer, </w:t>
      </w:r>
      <w:r w:rsidRPr="000563E3">
        <w:rPr>
          <w:rStyle w:val="NotedebasdepageItalique"/>
          <w:sz w:val="24"/>
        </w:rPr>
        <w:t>With the Stroke of</w:t>
      </w:r>
      <w:r>
        <w:rPr>
          <w:rStyle w:val="NotedebasdepageItalique"/>
          <w:sz w:val="24"/>
        </w:rPr>
        <w:t xml:space="preserve"> a Pen. Executive Orders and P</w:t>
      </w:r>
      <w:r w:rsidRPr="000563E3">
        <w:rPr>
          <w:rStyle w:val="NotedebasdepageItalique"/>
          <w:sz w:val="24"/>
        </w:rPr>
        <w:t>r</w:t>
      </w:r>
      <w:r>
        <w:rPr>
          <w:rStyle w:val="NotedebasdepageItalique"/>
          <w:sz w:val="24"/>
        </w:rPr>
        <w:t>eside</w:t>
      </w:r>
      <w:r>
        <w:rPr>
          <w:rStyle w:val="NotedebasdepageItalique"/>
          <w:sz w:val="24"/>
        </w:rPr>
        <w:t>n</w:t>
      </w:r>
      <w:r>
        <w:rPr>
          <w:rStyle w:val="NotedebasdepageItalique"/>
          <w:sz w:val="24"/>
        </w:rPr>
        <w:t>t</w:t>
      </w:r>
      <w:r w:rsidRPr="000563E3">
        <w:rPr>
          <w:rStyle w:val="NotedebasdepageItalique"/>
          <w:sz w:val="24"/>
        </w:rPr>
        <w:t>ial Power</w:t>
      </w:r>
      <w:r w:rsidRPr="000563E3">
        <w:rPr>
          <w:lang w:val="fr-FR" w:eastAsia="fr-FR" w:bidi="fr-FR"/>
        </w:rPr>
        <w:t>, Princeton, Princeton University Press, 2001, p. 138-181.</w:t>
      </w:r>
    </w:p>
  </w:footnote>
  <w:footnote w:id="351">
    <w:p w14:paraId="5BAAFF91" w14:textId="77777777" w:rsidR="0039793A" w:rsidRDefault="0039793A" w:rsidP="0039793A">
      <w:pPr>
        <w:pStyle w:val="Notedebasdepage"/>
      </w:pPr>
      <w:r>
        <w:rPr>
          <w:rStyle w:val="Appelnotedebasdep"/>
        </w:rPr>
        <w:footnoteRef/>
      </w:r>
      <w:r>
        <w:tab/>
      </w:r>
      <w:r w:rsidRPr="000563E3">
        <w:rPr>
          <w:lang w:val="fr-FR" w:eastAsia="fr-FR" w:bidi="fr-FR"/>
        </w:rPr>
        <w:t xml:space="preserve">Par exemple Ted Sorensen au poste de </w:t>
      </w:r>
      <w:r w:rsidRPr="000563E3">
        <w:rPr>
          <w:rStyle w:val="Notedebasdepage1"/>
          <w:sz w:val="24"/>
        </w:rPr>
        <w:t xml:space="preserve">DCI </w:t>
      </w:r>
      <w:r w:rsidRPr="000563E3">
        <w:rPr>
          <w:lang w:val="fr-FR" w:eastAsia="fr-FR" w:bidi="fr-FR"/>
        </w:rPr>
        <w:t xml:space="preserve">en </w:t>
      </w:r>
      <w:r w:rsidRPr="000563E3">
        <w:rPr>
          <w:rStyle w:val="Notedebasdepage1"/>
          <w:sz w:val="24"/>
        </w:rPr>
        <w:t xml:space="preserve">1976 </w:t>
      </w:r>
      <w:r w:rsidRPr="000563E3">
        <w:rPr>
          <w:lang w:val="fr-FR" w:eastAsia="fr-FR" w:bidi="fr-FR"/>
        </w:rPr>
        <w:t>(pour des raisons idé</w:t>
      </w:r>
      <w:r w:rsidRPr="000563E3">
        <w:rPr>
          <w:lang w:val="fr-FR" w:eastAsia="fr-FR" w:bidi="fr-FR"/>
        </w:rPr>
        <w:t>o</w:t>
      </w:r>
      <w:r w:rsidRPr="000563E3">
        <w:rPr>
          <w:lang w:val="fr-FR" w:eastAsia="fr-FR" w:bidi="fr-FR"/>
        </w:rPr>
        <w:t xml:space="preserve">logiques), John Tower comme secrétaire </w:t>
      </w:r>
      <w:r w:rsidRPr="000563E3">
        <w:rPr>
          <w:rStyle w:val="Notedebasdepage1"/>
          <w:sz w:val="24"/>
        </w:rPr>
        <w:t xml:space="preserve">à </w:t>
      </w:r>
      <w:r w:rsidRPr="000563E3">
        <w:rPr>
          <w:lang w:val="fr-FR" w:eastAsia="fr-FR" w:bidi="fr-FR"/>
        </w:rPr>
        <w:t xml:space="preserve">la Défense en </w:t>
      </w:r>
      <w:r w:rsidRPr="000563E3">
        <w:rPr>
          <w:rStyle w:val="Notedebasdepage1"/>
          <w:sz w:val="24"/>
        </w:rPr>
        <w:t xml:space="preserve">1988 (à </w:t>
      </w:r>
      <w:r w:rsidRPr="000563E3">
        <w:rPr>
          <w:lang w:val="fr-FR" w:eastAsia="fr-FR" w:bidi="fr-FR"/>
        </w:rPr>
        <w:t>cause de problèmes perso</w:t>
      </w:r>
      <w:r w:rsidRPr="000563E3">
        <w:rPr>
          <w:lang w:val="fr-FR" w:eastAsia="fr-FR" w:bidi="fr-FR"/>
        </w:rPr>
        <w:t>n</w:t>
      </w:r>
      <w:r w:rsidRPr="000563E3">
        <w:rPr>
          <w:lang w:val="fr-FR" w:eastAsia="fr-FR" w:bidi="fr-FR"/>
        </w:rPr>
        <w:t xml:space="preserve">nels), Morton Halperin en </w:t>
      </w:r>
      <w:r w:rsidRPr="000563E3">
        <w:rPr>
          <w:rStyle w:val="Notedebasdepage1"/>
          <w:sz w:val="24"/>
        </w:rPr>
        <w:t xml:space="preserve">1992 </w:t>
      </w:r>
      <w:r w:rsidRPr="000563E3">
        <w:rPr>
          <w:lang w:val="fr-FR" w:eastAsia="fr-FR" w:bidi="fr-FR"/>
        </w:rPr>
        <w:t xml:space="preserve">comme fonctionnaire </w:t>
      </w:r>
      <w:r w:rsidRPr="000563E3">
        <w:rPr>
          <w:rStyle w:val="Notedebasdepage1"/>
          <w:sz w:val="24"/>
        </w:rPr>
        <w:t xml:space="preserve">à </w:t>
      </w:r>
      <w:r w:rsidRPr="000563E3">
        <w:rPr>
          <w:lang w:val="fr-FR" w:eastAsia="fr-FR" w:bidi="fr-FR"/>
        </w:rPr>
        <w:t xml:space="preserve">la Défense et Anthony Lake en </w:t>
      </w:r>
      <w:r w:rsidRPr="000563E3">
        <w:rPr>
          <w:rStyle w:val="Notedebasdepage1"/>
          <w:sz w:val="24"/>
        </w:rPr>
        <w:t xml:space="preserve">1997 </w:t>
      </w:r>
      <w:r w:rsidRPr="000563E3">
        <w:rPr>
          <w:lang w:val="fr-FR" w:eastAsia="fr-FR" w:bidi="fr-FR"/>
        </w:rPr>
        <w:t xml:space="preserve">comme </w:t>
      </w:r>
      <w:r w:rsidRPr="000563E3">
        <w:rPr>
          <w:rStyle w:val="Notedebasdepage1"/>
          <w:sz w:val="24"/>
        </w:rPr>
        <w:t xml:space="preserve">DCI </w:t>
      </w:r>
      <w:r w:rsidRPr="000563E3">
        <w:rPr>
          <w:lang w:val="fr-FR" w:eastAsia="fr-FR" w:bidi="fr-FR"/>
        </w:rPr>
        <w:t>(tous deux pour des raisons également idéol</w:t>
      </w:r>
      <w:r w:rsidRPr="000563E3">
        <w:rPr>
          <w:lang w:val="fr-FR" w:eastAsia="fr-FR" w:bidi="fr-FR"/>
        </w:rPr>
        <w:t>o</w:t>
      </w:r>
      <w:r w:rsidRPr="000563E3">
        <w:rPr>
          <w:lang w:val="fr-FR" w:eastAsia="fr-FR" w:bidi="fr-FR"/>
        </w:rPr>
        <w:t>giques).</w:t>
      </w:r>
    </w:p>
  </w:footnote>
  <w:footnote w:id="352">
    <w:p w14:paraId="4A1B40CE" w14:textId="77777777" w:rsidR="0039793A" w:rsidRDefault="0039793A" w:rsidP="0039793A">
      <w:pPr>
        <w:pStyle w:val="Notedebasdepage"/>
      </w:pPr>
      <w:r>
        <w:rPr>
          <w:rStyle w:val="Appelnotedebasdep"/>
        </w:rPr>
        <w:footnoteRef/>
      </w:r>
      <w:r>
        <w:tab/>
      </w:r>
      <w:r w:rsidRPr="000563E3">
        <w:rPr>
          <w:lang w:val="fr-FR" w:eastAsia="fr-FR" w:bidi="fr-FR"/>
        </w:rPr>
        <w:t xml:space="preserve">Cité par Charles Ostrom et Dennis Simon, </w:t>
      </w:r>
      <w:r w:rsidRPr="000563E3">
        <w:t>« </w:t>
      </w:r>
      <w:r w:rsidRPr="000563E3">
        <w:rPr>
          <w:lang w:val="fr-FR" w:eastAsia="fr-FR" w:bidi="fr-FR"/>
        </w:rPr>
        <w:t>The President and the Poli- tics of Military Force</w:t>
      </w:r>
      <w:r w:rsidRPr="000563E3">
        <w:t> »</w:t>
      </w:r>
      <w:r w:rsidRPr="000563E3">
        <w:rPr>
          <w:lang w:val="fr-FR" w:eastAsia="fr-FR" w:bidi="fr-FR"/>
        </w:rPr>
        <w:t xml:space="preserve">, dans Joseph Goldman (ed.), </w:t>
      </w:r>
      <w:r w:rsidRPr="000563E3">
        <w:rPr>
          <w:rStyle w:val="NotedebasdepageItalique"/>
          <w:sz w:val="24"/>
        </w:rPr>
        <w:t>American Security in a C</w:t>
      </w:r>
      <w:r>
        <w:rPr>
          <w:rStyle w:val="NotedebasdepageItalique"/>
          <w:sz w:val="24"/>
        </w:rPr>
        <w:t>h</w:t>
      </w:r>
      <w:r w:rsidRPr="000563E3">
        <w:rPr>
          <w:rStyle w:val="NotedebasdepageItalique"/>
          <w:sz w:val="24"/>
        </w:rPr>
        <w:t>a</w:t>
      </w:r>
      <w:r w:rsidRPr="000563E3">
        <w:rPr>
          <w:rStyle w:val="NotedebasdepageItalique"/>
          <w:sz w:val="24"/>
        </w:rPr>
        <w:t>n</w:t>
      </w:r>
      <w:r w:rsidRPr="000563E3">
        <w:rPr>
          <w:rStyle w:val="NotedebasdepageItalique"/>
          <w:sz w:val="24"/>
        </w:rPr>
        <w:t>ging World</w:t>
      </w:r>
      <w:r w:rsidRPr="000563E3">
        <w:rPr>
          <w:lang w:val="fr-FR" w:eastAsia="fr-FR" w:bidi="fr-FR"/>
        </w:rPr>
        <w:t>, Lanham, University Press of America, 1986, p. 95.</w:t>
      </w:r>
    </w:p>
  </w:footnote>
  <w:footnote w:id="353">
    <w:p w14:paraId="12920497" w14:textId="77777777" w:rsidR="0039793A" w:rsidRDefault="0039793A" w:rsidP="0039793A">
      <w:pPr>
        <w:pStyle w:val="Notedebasdepage"/>
      </w:pPr>
      <w:r>
        <w:rPr>
          <w:rStyle w:val="Appelnotedebasdep"/>
        </w:rPr>
        <w:footnoteRef/>
      </w:r>
      <w:r>
        <w:tab/>
      </w:r>
      <w:r w:rsidRPr="000563E3">
        <w:rPr>
          <w:lang w:val="fr-FR" w:eastAsia="fr-FR" w:bidi="fr-FR"/>
        </w:rPr>
        <w:t xml:space="preserve">Ce qui a donné lieu à de longs débats juridiques. Voir sur ce point, Louis Fischer, </w:t>
      </w:r>
      <w:r w:rsidRPr="000563E3">
        <w:rPr>
          <w:rStyle w:val="NotedebasdepageItalique"/>
          <w:sz w:val="24"/>
        </w:rPr>
        <w:t>Presidential War Power</w:t>
      </w:r>
      <w:r w:rsidRPr="000563E3">
        <w:t> ;</w:t>
      </w:r>
      <w:r w:rsidRPr="000563E3">
        <w:rPr>
          <w:lang w:val="fr-FR" w:eastAsia="fr-FR" w:bidi="fr-FR"/>
        </w:rPr>
        <w:t xml:space="preserve"> L</w:t>
      </w:r>
      <w:r w:rsidRPr="000563E3">
        <w:rPr>
          <w:lang w:val="fr-FR" w:eastAsia="fr-FR" w:bidi="fr-FR"/>
        </w:rPr>
        <w:t>a</w:t>
      </w:r>
      <w:r w:rsidRPr="000563E3">
        <w:rPr>
          <w:lang w:val="fr-FR" w:eastAsia="fr-FR" w:bidi="fr-FR"/>
        </w:rPr>
        <w:t>wrence, University Press of Kansas, 1995, p. 194-197.</w:t>
      </w:r>
    </w:p>
  </w:footnote>
  <w:footnote w:id="354">
    <w:p w14:paraId="06C6E1F6" w14:textId="77777777" w:rsidR="0039793A" w:rsidRDefault="0039793A" w:rsidP="0039793A">
      <w:pPr>
        <w:pStyle w:val="Notedebasdepage"/>
      </w:pPr>
      <w:r>
        <w:rPr>
          <w:rStyle w:val="Appelnotedebasdep"/>
        </w:rPr>
        <w:footnoteRef/>
      </w:r>
      <w:r>
        <w:tab/>
      </w:r>
      <w:r w:rsidRPr="000563E3">
        <w:rPr>
          <w:lang w:val="fr-FR" w:eastAsia="fr-FR" w:bidi="fr-FR"/>
        </w:rPr>
        <w:t xml:space="preserve">Louis Fischer, </w:t>
      </w:r>
      <w:r w:rsidRPr="000563E3">
        <w:rPr>
          <w:rStyle w:val="NotedebasdepageItalique"/>
          <w:sz w:val="24"/>
        </w:rPr>
        <w:t>Congressional Abdication on War and Spending,</w:t>
      </w:r>
      <w:r w:rsidRPr="000563E3">
        <w:rPr>
          <w:rStyle w:val="Notedebasdepage6ptEspacement1pt"/>
          <w:sz w:val="24"/>
        </w:rPr>
        <w:t xml:space="preserve"> </w:t>
      </w:r>
      <w:r w:rsidRPr="000563E3">
        <w:rPr>
          <w:lang w:val="fr-FR" w:eastAsia="fr-FR" w:bidi="fr-FR"/>
        </w:rPr>
        <w:t>College St</w:t>
      </w:r>
      <w:r w:rsidRPr="000563E3">
        <w:rPr>
          <w:lang w:val="fr-FR" w:eastAsia="fr-FR" w:bidi="fr-FR"/>
        </w:rPr>
        <w:t>a</w:t>
      </w:r>
      <w:r w:rsidRPr="000563E3">
        <w:rPr>
          <w:lang w:val="fr-FR" w:eastAsia="fr-FR" w:bidi="fr-FR"/>
        </w:rPr>
        <w:t>tion, Texas A &amp; M University Press, 2000, 220 p.</w:t>
      </w:r>
      <w:r w:rsidRPr="000563E3">
        <w:t> ;</w:t>
      </w:r>
      <w:r w:rsidRPr="000563E3">
        <w:rPr>
          <w:lang w:val="fr-FR" w:eastAsia="fr-FR" w:bidi="fr-FR"/>
        </w:rPr>
        <w:t xml:space="preserve"> Louis Fischer, </w:t>
      </w:r>
      <w:r>
        <w:rPr>
          <w:rStyle w:val="NotedebasdepageItalique"/>
          <w:sz w:val="24"/>
        </w:rPr>
        <w:t>Is</w:t>
      </w:r>
      <w:r w:rsidRPr="000563E3">
        <w:rPr>
          <w:rStyle w:val="NotedebasdepageItalique"/>
          <w:sz w:val="24"/>
        </w:rPr>
        <w:t xml:space="preserve"> War a Political Question ?,</w:t>
      </w:r>
      <w:r w:rsidRPr="000563E3">
        <w:rPr>
          <w:lang w:val="fr-FR" w:eastAsia="fr-FR" w:bidi="fr-FR"/>
        </w:rPr>
        <w:t xml:space="preserve"> Huntington, Novinka Books, 2001,95 p.</w:t>
      </w:r>
      <w:r w:rsidRPr="000563E3">
        <w:t> ;</w:t>
      </w:r>
      <w:r w:rsidRPr="000563E3">
        <w:rPr>
          <w:lang w:val="fr-FR" w:eastAsia="fr-FR" w:bidi="fr-FR"/>
        </w:rPr>
        <w:t xml:space="preserve"> Donald Weste</w:t>
      </w:r>
      <w:r w:rsidRPr="000563E3">
        <w:rPr>
          <w:lang w:val="fr-FR" w:eastAsia="fr-FR" w:bidi="fr-FR"/>
        </w:rPr>
        <w:t>r</w:t>
      </w:r>
      <w:r w:rsidRPr="000563E3">
        <w:rPr>
          <w:lang w:val="fr-FR" w:eastAsia="fr-FR" w:bidi="fr-FR"/>
        </w:rPr>
        <w:t xml:space="preserve">field, </w:t>
      </w:r>
      <w:r w:rsidRPr="000563E3">
        <w:rPr>
          <w:rStyle w:val="NotedebasdepageItalique"/>
          <w:sz w:val="24"/>
        </w:rPr>
        <w:t>War Powers. The President, the Congress, and the Question of</w:t>
      </w:r>
      <w:r>
        <w:rPr>
          <w:rStyle w:val="NotedebasdepageItalique"/>
          <w:sz w:val="24"/>
        </w:rPr>
        <w:t xml:space="preserve"> </w:t>
      </w:r>
      <w:r w:rsidRPr="000563E3">
        <w:rPr>
          <w:rStyle w:val="NotedebasdepageItalique"/>
          <w:sz w:val="24"/>
        </w:rPr>
        <w:t>War</w:t>
      </w:r>
      <w:r w:rsidRPr="000563E3">
        <w:rPr>
          <w:lang w:val="fr-FR" w:eastAsia="fr-FR" w:bidi="fr-FR"/>
        </w:rPr>
        <w:t>, Westport, Praeger, 1996, 245 p.</w:t>
      </w:r>
      <w:r w:rsidRPr="000563E3">
        <w:t> ;</w:t>
      </w:r>
      <w:r w:rsidRPr="000563E3">
        <w:rPr>
          <w:lang w:val="fr-FR" w:eastAsia="fr-FR" w:bidi="fr-FR"/>
        </w:rPr>
        <w:t xml:space="preserve"> Louis Fischer, </w:t>
      </w:r>
      <w:r w:rsidRPr="000563E3">
        <w:t>« </w:t>
      </w:r>
      <w:r w:rsidRPr="000563E3">
        <w:rPr>
          <w:lang w:val="fr-FR" w:eastAsia="fr-FR" w:bidi="fr-FR"/>
        </w:rPr>
        <w:t>Foreign and Defe</w:t>
      </w:r>
      <w:r w:rsidRPr="000563E3">
        <w:rPr>
          <w:lang w:val="fr-FR" w:eastAsia="fr-FR" w:bidi="fr-FR"/>
        </w:rPr>
        <w:t>n</w:t>
      </w:r>
      <w:r w:rsidRPr="000563E3">
        <w:rPr>
          <w:lang w:val="fr-FR" w:eastAsia="fr-FR" w:bidi="fr-FR"/>
        </w:rPr>
        <w:t>se Policy</w:t>
      </w:r>
      <w:r w:rsidRPr="000563E3">
        <w:t> »</w:t>
      </w:r>
      <w:r w:rsidRPr="000563E3">
        <w:rPr>
          <w:lang w:val="fr-FR" w:eastAsia="fr-FR" w:bidi="fr-FR"/>
        </w:rPr>
        <w:t>, dans St</w:t>
      </w:r>
      <w:r w:rsidRPr="000563E3">
        <w:rPr>
          <w:lang w:val="fr-FR" w:eastAsia="fr-FR" w:bidi="fr-FR"/>
        </w:rPr>
        <w:t>e</w:t>
      </w:r>
      <w:r w:rsidRPr="000563E3">
        <w:rPr>
          <w:lang w:val="fr-FR" w:eastAsia="fr-FR" w:bidi="fr-FR"/>
        </w:rPr>
        <w:t xml:space="preserve">ven Shull (ed.), </w:t>
      </w:r>
      <w:r w:rsidRPr="000563E3">
        <w:rPr>
          <w:rStyle w:val="NotedebasdepageItalique"/>
          <w:sz w:val="24"/>
        </w:rPr>
        <w:t>Presidential Policy-Making,</w:t>
      </w:r>
      <w:r w:rsidRPr="000563E3">
        <w:rPr>
          <w:rStyle w:val="Notedebasdepage6ptEspacement1pt"/>
          <w:sz w:val="24"/>
        </w:rPr>
        <w:t xml:space="preserve"> </w:t>
      </w:r>
      <w:r w:rsidRPr="000563E3">
        <w:rPr>
          <w:lang w:val="fr-FR" w:eastAsia="fr-FR" w:bidi="fr-FR"/>
        </w:rPr>
        <w:t>New York, M.E. Sharpe, 1999, p. 246-260</w:t>
      </w:r>
      <w:r w:rsidRPr="000563E3">
        <w:t> ;</w:t>
      </w:r>
      <w:r w:rsidRPr="000563E3">
        <w:rPr>
          <w:lang w:val="fr-FR" w:eastAsia="fr-FR" w:bidi="fr-FR"/>
        </w:rPr>
        <w:t xml:space="preserve"> Timothy Boylan, </w:t>
      </w:r>
      <w:r w:rsidRPr="000563E3">
        <w:t>« </w:t>
      </w:r>
      <w:r w:rsidRPr="000563E3">
        <w:rPr>
          <w:lang w:val="fr-FR" w:eastAsia="fr-FR" w:bidi="fr-FR"/>
        </w:rPr>
        <w:t>War Powers, Constitutional Balance, and the Impérial Pres</w:t>
      </w:r>
      <w:r w:rsidRPr="000563E3">
        <w:rPr>
          <w:lang w:val="fr-FR" w:eastAsia="fr-FR" w:bidi="fr-FR"/>
        </w:rPr>
        <w:t>i</w:t>
      </w:r>
      <w:r w:rsidRPr="000563E3">
        <w:rPr>
          <w:lang w:val="fr-FR" w:eastAsia="fr-FR" w:bidi="fr-FR"/>
        </w:rPr>
        <w:t>dency</w:t>
      </w:r>
      <w:r w:rsidRPr="000563E3">
        <w:t> »</w:t>
      </w:r>
      <w:r w:rsidRPr="000563E3">
        <w:rPr>
          <w:lang w:val="fr-FR" w:eastAsia="fr-FR" w:bidi="fr-FR"/>
        </w:rPr>
        <w:t xml:space="preserve">, </w:t>
      </w:r>
      <w:r w:rsidRPr="000563E3">
        <w:rPr>
          <w:rStyle w:val="NotedebasdepageItalique"/>
          <w:sz w:val="24"/>
        </w:rPr>
        <w:t>Presidential Studies Quarterly,</w:t>
      </w:r>
      <w:r w:rsidRPr="000563E3">
        <w:rPr>
          <w:rStyle w:val="Notedebasdepage6ptEspacement1pt"/>
          <w:sz w:val="24"/>
        </w:rPr>
        <w:t xml:space="preserve"> </w:t>
      </w:r>
      <w:r w:rsidRPr="000563E3">
        <w:rPr>
          <w:lang w:val="fr-FR" w:eastAsia="fr-FR" w:bidi="fr-FR"/>
        </w:rPr>
        <w:t>29, juin 1999, p. 232-249</w:t>
      </w:r>
      <w:r w:rsidRPr="000563E3">
        <w:t> ;</w:t>
      </w:r>
      <w:r w:rsidRPr="000563E3">
        <w:rPr>
          <w:lang w:val="fr-FR" w:eastAsia="fr-FR" w:bidi="fr-FR"/>
        </w:rPr>
        <w:t xml:space="preserve"> Congressional Quarterly, </w:t>
      </w:r>
      <w:r w:rsidRPr="000563E3">
        <w:rPr>
          <w:rStyle w:val="NotedebasdepageItalique"/>
          <w:sz w:val="24"/>
        </w:rPr>
        <w:t>op. cit.,</w:t>
      </w:r>
      <w:r w:rsidRPr="000563E3">
        <w:rPr>
          <w:rStyle w:val="Notedebasdepage6ptEspacement1pt"/>
          <w:sz w:val="24"/>
        </w:rPr>
        <w:t xml:space="preserve"> </w:t>
      </w:r>
      <w:r w:rsidRPr="000563E3">
        <w:rPr>
          <w:lang w:val="fr-FR" w:eastAsia="fr-FR" w:bidi="fr-FR"/>
        </w:rPr>
        <w:t>p. 163-208</w:t>
      </w:r>
      <w:r w:rsidRPr="000563E3">
        <w:t> ;</w:t>
      </w:r>
      <w:r w:rsidRPr="000563E3">
        <w:rPr>
          <w:lang w:val="fr-FR" w:eastAsia="fr-FR" w:bidi="fr-FR"/>
        </w:rPr>
        <w:t xml:space="preserve"> E</w:t>
      </w:r>
      <w:r w:rsidRPr="000563E3">
        <w:rPr>
          <w:lang w:val="fr-FR" w:eastAsia="fr-FR" w:bidi="fr-FR"/>
        </w:rPr>
        <w:t>d</w:t>
      </w:r>
      <w:r w:rsidRPr="000563E3">
        <w:rPr>
          <w:lang w:val="fr-FR" w:eastAsia="fr-FR" w:bidi="fr-FR"/>
        </w:rPr>
        <w:t xml:space="preserve">wards et Wayne, </w:t>
      </w:r>
      <w:r w:rsidRPr="000563E3">
        <w:rPr>
          <w:rStyle w:val="NotedebasdepageItalique"/>
          <w:sz w:val="24"/>
        </w:rPr>
        <w:t>op. cit.,</w:t>
      </w:r>
      <w:r w:rsidRPr="000563E3">
        <w:rPr>
          <w:rStyle w:val="Notedebasdepage6ptEspacement1pt"/>
          <w:sz w:val="24"/>
        </w:rPr>
        <w:t xml:space="preserve"> </w:t>
      </w:r>
      <w:r w:rsidRPr="000563E3">
        <w:rPr>
          <w:lang w:val="fr-FR" w:eastAsia="fr-FR" w:bidi="fr-FR"/>
        </w:rPr>
        <w:t>p. 429- 430</w:t>
      </w:r>
      <w:r w:rsidRPr="000563E3">
        <w:t> ;</w:t>
      </w:r>
      <w:r w:rsidRPr="000563E3">
        <w:rPr>
          <w:lang w:val="fr-FR" w:eastAsia="fr-FR" w:bidi="fr-FR"/>
        </w:rPr>
        <w:t xml:space="preserve"> Jentleson, </w:t>
      </w:r>
      <w:r w:rsidRPr="000563E3">
        <w:rPr>
          <w:rStyle w:val="NotedebasdepageItalique"/>
          <w:sz w:val="24"/>
        </w:rPr>
        <w:t>op. cit.,</w:t>
      </w:r>
      <w:r w:rsidRPr="000563E3">
        <w:rPr>
          <w:rStyle w:val="Notedebasdepage6ptEspacement1pt"/>
          <w:sz w:val="24"/>
        </w:rPr>
        <w:t xml:space="preserve"> </w:t>
      </w:r>
      <w:r w:rsidRPr="000563E3">
        <w:rPr>
          <w:lang w:val="fr-FR" w:eastAsia="fr-FR" w:bidi="fr-FR"/>
        </w:rPr>
        <w:t>p. 188-193.</w:t>
      </w:r>
    </w:p>
  </w:footnote>
  <w:footnote w:id="355">
    <w:p w14:paraId="16D74A53" w14:textId="77777777" w:rsidR="0039793A" w:rsidRDefault="0039793A" w:rsidP="0039793A">
      <w:pPr>
        <w:pStyle w:val="Notedebasdepage"/>
      </w:pPr>
      <w:r>
        <w:rPr>
          <w:rStyle w:val="Appelnotedebasdep"/>
        </w:rPr>
        <w:footnoteRef/>
      </w:r>
      <w:r>
        <w:tab/>
      </w:r>
      <w:r w:rsidRPr="000563E3">
        <w:rPr>
          <w:lang w:val="fr-FR" w:eastAsia="fr-FR" w:bidi="fr-FR"/>
        </w:rPr>
        <w:t>Les causes sont respectivement celles du législateur Crockett v. le président Reagan (1982), Dellums v. Bush (1990) et Campbell v. Clinton (1999).</w:t>
      </w:r>
    </w:p>
  </w:footnote>
  <w:footnote w:id="356">
    <w:p w14:paraId="5C4B0F38" w14:textId="77777777" w:rsidR="0039793A" w:rsidRDefault="0039793A" w:rsidP="0039793A">
      <w:pPr>
        <w:pStyle w:val="Notedebasdepage"/>
      </w:pPr>
      <w:r>
        <w:rPr>
          <w:rStyle w:val="Appelnotedebasdep"/>
        </w:rPr>
        <w:footnoteRef/>
      </w:r>
      <w:r>
        <w:tab/>
      </w:r>
      <w:r w:rsidRPr="000563E3">
        <w:rPr>
          <w:lang w:val="fr-FR" w:eastAsia="fr-FR" w:bidi="fr-FR"/>
        </w:rPr>
        <w:t xml:space="preserve">Immigration and Naturalization Service v. Chadha, 462 </w:t>
      </w:r>
      <w:r w:rsidRPr="000563E3">
        <w:rPr>
          <w:rStyle w:val="Notedebasdepage6pt"/>
          <w:sz w:val="24"/>
        </w:rPr>
        <w:t xml:space="preserve">US, </w:t>
      </w:r>
      <w:r w:rsidRPr="000563E3">
        <w:rPr>
          <w:lang w:val="fr-FR" w:eastAsia="fr-FR" w:bidi="fr-FR"/>
        </w:rPr>
        <w:t>919 (1983).</w:t>
      </w:r>
    </w:p>
  </w:footnote>
  <w:footnote w:id="357">
    <w:p w14:paraId="4693B29B" w14:textId="77777777" w:rsidR="0039793A" w:rsidRDefault="0039793A" w:rsidP="0039793A">
      <w:pPr>
        <w:pStyle w:val="Notedebasdepage"/>
      </w:pPr>
      <w:r>
        <w:rPr>
          <w:rStyle w:val="Appelnotedebasdep"/>
        </w:rPr>
        <w:footnoteRef/>
      </w:r>
      <w:r>
        <w:tab/>
      </w:r>
      <w:r w:rsidRPr="000563E3">
        <w:rPr>
          <w:lang w:val="fr-FR" w:eastAsia="fr-FR" w:bidi="fr-FR"/>
        </w:rPr>
        <w:t>Cette décision reste en effet souvent inappliquée. Voir sur ce point,</w:t>
      </w:r>
      <w:r>
        <w:rPr>
          <w:lang w:val="fr-FR" w:eastAsia="fr-FR" w:bidi="fr-FR"/>
        </w:rPr>
        <w:t xml:space="preserve"> </w:t>
      </w:r>
      <w:r w:rsidRPr="00B86D72">
        <w:rPr>
          <w:rStyle w:val="Notedebasdepage2NonItalique"/>
          <w:iCs/>
          <w:sz w:val="24"/>
        </w:rPr>
        <w:t>Gregg Ivers</w:t>
      </w:r>
      <w:r w:rsidRPr="00636000">
        <w:rPr>
          <w:rStyle w:val="Notedebasdepage2NonItalique"/>
          <w:i/>
          <w:sz w:val="24"/>
        </w:rPr>
        <w:t>,</w:t>
      </w:r>
      <w:r w:rsidRPr="000563E3">
        <w:rPr>
          <w:rStyle w:val="Notedebasdepage2NonItalique"/>
          <w:sz w:val="24"/>
        </w:rPr>
        <w:t xml:space="preserve"> </w:t>
      </w:r>
      <w:r w:rsidRPr="00636000">
        <w:rPr>
          <w:i/>
          <w:lang w:val="fr-FR" w:eastAsia="fr-FR" w:bidi="fr-FR"/>
        </w:rPr>
        <w:t>American Constitutional Law</w:t>
      </w:r>
      <w:r w:rsidRPr="00636000">
        <w:rPr>
          <w:rStyle w:val="Notedebasdepage2NonItalique"/>
          <w:i/>
          <w:sz w:val="24"/>
        </w:rPr>
        <w:t xml:space="preserve"> - </w:t>
      </w:r>
      <w:r w:rsidRPr="00636000">
        <w:rPr>
          <w:i/>
          <w:lang w:val="fr-FR" w:eastAsia="fr-FR" w:bidi="fr-FR"/>
        </w:rPr>
        <w:t>Power and Politics</w:t>
      </w:r>
      <w:r w:rsidRPr="000563E3">
        <w:rPr>
          <w:lang w:val="fr-FR" w:eastAsia="fr-FR" w:bidi="fr-FR"/>
        </w:rPr>
        <w:t>,</w:t>
      </w:r>
      <w:r>
        <w:rPr>
          <w:rStyle w:val="Notedebasdepage2NonItalique"/>
          <w:sz w:val="24"/>
        </w:rPr>
        <w:t xml:space="preserve"> </w:t>
      </w:r>
      <w:r w:rsidRPr="00B86D72">
        <w:rPr>
          <w:rStyle w:val="Notedebasdepage2NonItalique"/>
          <w:iCs/>
          <w:sz w:val="24"/>
        </w:rPr>
        <w:t>Boston, Hou</w:t>
      </w:r>
      <w:r w:rsidRPr="00B86D72">
        <w:rPr>
          <w:iCs/>
          <w:lang w:val="fr-FR" w:eastAsia="fr-FR" w:bidi="fr-FR"/>
        </w:rPr>
        <w:t>ghton</w:t>
      </w:r>
      <w:r w:rsidRPr="00636000">
        <w:rPr>
          <w:lang w:val="fr-FR" w:eastAsia="fr-FR" w:bidi="fr-FR"/>
        </w:rPr>
        <w:t xml:space="preserve"> Mi</w:t>
      </w:r>
      <w:r w:rsidRPr="00636000">
        <w:rPr>
          <w:lang w:val="fr-FR" w:eastAsia="fr-FR" w:bidi="fr-FR"/>
        </w:rPr>
        <w:t>f</w:t>
      </w:r>
      <w:r w:rsidRPr="00636000">
        <w:rPr>
          <w:lang w:val="fr-FR" w:eastAsia="fr-FR" w:bidi="fr-FR"/>
        </w:rPr>
        <w:t>flin, 2001, p. 168.</w:t>
      </w:r>
    </w:p>
  </w:footnote>
  <w:footnote w:id="358">
    <w:p w14:paraId="2B37C74A" w14:textId="77777777" w:rsidR="0039793A" w:rsidRDefault="0039793A" w:rsidP="0039793A">
      <w:pPr>
        <w:pStyle w:val="Notedebasdepage"/>
      </w:pPr>
      <w:r>
        <w:rPr>
          <w:rStyle w:val="Appelnotedebasdep"/>
        </w:rPr>
        <w:footnoteRef/>
      </w:r>
      <w:r>
        <w:tab/>
      </w:r>
      <w:r w:rsidRPr="000563E3">
        <w:rPr>
          <w:lang w:val="fr-FR" w:eastAsia="fr-FR" w:bidi="fr-FR"/>
        </w:rPr>
        <w:t>Reagan lors de l’épisode de l’opération d’escorte des navires k</w:t>
      </w:r>
      <w:r w:rsidRPr="000563E3">
        <w:rPr>
          <w:lang w:val="fr-FR" w:eastAsia="fr-FR" w:bidi="fr-FR"/>
        </w:rPr>
        <w:t>o</w:t>
      </w:r>
      <w:r w:rsidRPr="000563E3">
        <w:rPr>
          <w:lang w:val="fr-FR" w:eastAsia="fr-FR" w:bidi="fr-FR"/>
        </w:rPr>
        <w:t>weïtiens en 1987</w:t>
      </w:r>
      <w:r w:rsidRPr="000563E3">
        <w:t> ;</w:t>
      </w:r>
      <w:r w:rsidRPr="000563E3">
        <w:rPr>
          <w:lang w:val="fr-FR" w:eastAsia="fr-FR" w:bidi="fr-FR"/>
        </w:rPr>
        <w:t xml:space="preserve"> Clinton durant les missions de paix en Somalie (1993), à Haïti (1994) et en Bosnie (de 1995 à 2001).</w:t>
      </w:r>
    </w:p>
  </w:footnote>
  <w:footnote w:id="359">
    <w:p w14:paraId="15E539B4" w14:textId="77777777" w:rsidR="0039793A" w:rsidRDefault="0039793A" w:rsidP="0039793A">
      <w:pPr>
        <w:pStyle w:val="Notedebasdepage"/>
      </w:pPr>
      <w:r>
        <w:rPr>
          <w:rStyle w:val="Appelnotedebasdep"/>
        </w:rPr>
        <w:footnoteRef/>
      </w:r>
      <w:r>
        <w:tab/>
      </w:r>
      <w:r w:rsidRPr="000563E3">
        <w:rPr>
          <w:lang w:val="fr-FR" w:eastAsia="fr-FR" w:bidi="fr-FR"/>
        </w:rPr>
        <w:t xml:space="preserve">David Gray Adler, </w:t>
      </w:r>
      <w:r w:rsidRPr="000563E3">
        <w:t>« </w:t>
      </w:r>
      <w:r w:rsidRPr="000563E3">
        <w:rPr>
          <w:lang w:val="fr-FR" w:eastAsia="fr-FR" w:bidi="fr-FR"/>
        </w:rPr>
        <w:t>The Law</w:t>
      </w:r>
      <w:r w:rsidRPr="000563E3">
        <w:t> :</w:t>
      </w:r>
      <w:r w:rsidRPr="000563E3">
        <w:rPr>
          <w:lang w:val="fr-FR" w:eastAsia="fr-FR" w:bidi="fr-FR"/>
        </w:rPr>
        <w:t xml:space="preserve"> The Clinton Theory of the War Power</w:t>
      </w:r>
      <w:r w:rsidRPr="000563E3">
        <w:t> »</w:t>
      </w:r>
      <w:r w:rsidRPr="000563E3">
        <w:rPr>
          <w:lang w:val="fr-FR" w:eastAsia="fr-FR" w:bidi="fr-FR"/>
        </w:rPr>
        <w:t xml:space="preserve">, </w:t>
      </w:r>
      <w:r w:rsidRPr="000563E3">
        <w:rPr>
          <w:rStyle w:val="NotedebasdepageItalique"/>
          <w:sz w:val="24"/>
        </w:rPr>
        <w:t>Presidential Studies Quarterly,</w:t>
      </w:r>
      <w:r w:rsidRPr="000563E3">
        <w:rPr>
          <w:lang w:val="fr-FR" w:eastAsia="fr-FR" w:bidi="fr-FR"/>
        </w:rPr>
        <w:t xml:space="preserve"> 30, mars 2000, p. 155-168.</w:t>
      </w:r>
    </w:p>
  </w:footnote>
  <w:footnote w:id="360">
    <w:p w14:paraId="15E35D60" w14:textId="77777777" w:rsidR="0039793A" w:rsidRDefault="0039793A" w:rsidP="0039793A">
      <w:pPr>
        <w:pStyle w:val="Notedebasdepage"/>
      </w:pPr>
      <w:r>
        <w:rPr>
          <w:rStyle w:val="Appelnotedebasdep"/>
        </w:rPr>
        <w:footnoteRef/>
      </w:r>
      <w:r>
        <w:tab/>
      </w:r>
      <w:r w:rsidRPr="000563E3">
        <w:rPr>
          <w:lang w:val="fr-FR" w:eastAsia="fr-FR" w:bidi="fr-FR"/>
        </w:rPr>
        <w:t xml:space="preserve">Selon les termes de David Gray Adler, en lui refusant l’autorisation - même si cela est par un vote nul </w:t>
      </w:r>
      <w:r>
        <w:rPr>
          <w:lang w:val="fr-FR" w:eastAsia="fr-FR" w:bidi="fr-FR"/>
        </w:rPr>
        <w:t>-</w:t>
      </w:r>
      <w:r w:rsidRPr="000563E3">
        <w:rPr>
          <w:lang w:val="fr-FR" w:eastAsia="fr-FR" w:bidi="fr-FR"/>
        </w:rPr>
        <w:t xml:space="preserve"> la Chambre a ref</w:t>
      </w:r>
      <w:r w:rsidRPr="000563E3">
        <w:rPr>
          <w:lang w:val="fr-FR" w:eastAsia="fr-FR" w:bidi="fr-FR"/>
        </w:rPr>
        <w:t>u</w:t>
      </w:r>
      <w:r w:rsidRPr="000563E3">
        <w:rPr>
          <w:lang w:val="fr-FR" w:eastAsia="fr-FR" w:bidi="fr-FR"/>
        </w:rPr>
        <w:t>sé au président les pouvoirs qui lui étaient nécessaires puisqu’en vertu de la disposition relative à la guerre, les deux Chambres doivent lui accorder leur approbation. Or, selon Adler, le président a véritablement d</w:t>
      </w:r>
      <w:r w:rsidRPr="000563E3">
        <w:rPr>
          <w:lang w:val="fr-FR" w:eastAsia="fr-FR" w:bidi="fr-FR"/>
        </w:rPr>
        <w:t>é</w:t>
      </w:r>
      <w:r w:rsidRPr="000563E3">
        <w:rPr>
          <w:lang w:val="fr-FR" w:eastAsia="fr-FR" w:bidi="fr-FR"/>
        </w:rPr>
        <w:t xml:space="preserve">fié l’autorité de la Chambre en lançant tout de même l’opération, </w:t>
      </w:r>
      <w:r w:rsidRPr="000563E3">
        <w:rPr>
          <w:rStyle w:val="NotedebasdepageItalique"/>
          <w:sz w:val="24"/>
        </w:rPr>
        <w:t>op. cit.,</w:t>
      </w:r>
      <w:r w:rsidRPr="000563E3">
        <w:rPr>
          <w:lang w:val="fr-FR" w:eastAsia="fr-FR" w:bidi="fr-FR"/>
        </w:rPr>
        <w:t xml:space="preserve"> p. 163-164.</w:t>
      </w:r>
    </w:p>
  </w:footnote>
  <w:footnote w:id="361">
    <w:p w14:paraId="4E81DB14" w14:textId="77777777" w:rsidR="0039793A" w:rsidRDefault="0039793A" w:rsidP="0039793A">
      <w:pPr>
        <w:pStyle w:val="Notedebasdepage"/>
      </w:pPr>
      <w:r>
        <w:rPr>
          <w:rStyle w:val="Appelnotedebasdep"/>
        </w:rPr>
        <w:footnoteRef/>
      </w:r>
      <w:r>
        <w:tab/>
      </w:r>
      <w:r w:rsidRPr="000563E3">
        <w:rPr>
          <w:lang w:val="fr-FR" w:eastAsia="fr-FR" w:bidi="fr-FR"/>
        </w:rPr>
        <w:t xml:space="preserve">Voir, Louis Fischer, </w:t>
      </w:r>
      <w:r w:rsidRPr="000563E3">
        <w:rPr>
          <w:rStyle w:val="NotedebasdepageItalique"/>
          <w:sz w:val="24"/>
        </w:rPr>
        <w:t>The Politics of</w:t>
      </w:r>
      <w:r>
        <w:rPr>
          <w:rStyle w:val="NotedebasdepageItalique"/>
          <w:sz w:val="24"/>
        </w:rPr>
        <w:t xml:space="preserve"> </w:t>
      </w:r>
      <w:r w:rsidRPr="000563E3">
        <w:rPr>
          <w:rStyle w:val="NotedebasdepageItalique"/>
          <w:sz w:val="24"/>
        </w:rPr>
        <w:t>Shared Power</w:t>
      </w:r>
      <w:r w:rsidRPr="000563E3">
        <w:rPr>
          <w:rStyle w:val="Notedebasdepage6ptEspacement1pt"/>
          <w:sz w:val="24"/>
        </w:rPr>
        <w:t xml:space="preserve"> </w:t>
      </w:r>
      <w:r w:rsidRPr="000563E3">
        <w:rPr>
          <w:lang w:val="fr-FR" w:eastAsia="fr-FR" w:bidi="fr-FR"/>
        </w:rPr>
        <w:t xml:space="preserve">— </w:t>
      </w:r>
      <w:r w:rsidRPr="000563E3">
        <w:rPr>
          <w:rStyle w:val="NotedebasdepageItalique"/>
          <w:sz w:val="24"/>
        </w:rPr>
        <w:t>Congress and the Exec</w:t>
      </w:r>
      <w:r w:rsidRPr="000563E3">
        <w:rPr>
          <w:rStyle w:val="NotedebasdepageItalique"/>
          <w:sz w:val="24"/>
        </w:rPr>
        <w:t>u</w:t>
      </w:r>
      <w:r w:rsidRPr="000563E3">
        <w:rPr>
          <w:rStyle w:val="NotedebasdepageItalique"/>
          <w:sz w:val="24"/>
        </w:rPr>
        <w:t xml:space="preserve">tive, </w:t>
      </w:r>
      <w:r w:rsidRPr="000563E3">
        <w:rPr>
          <w:lang w:val="fr-FR" w:eastAsia="fr-FR" w:bidi="fr-FR"/>
        </w:rPr>
        <w:t>College Station, Texas A &amp; M University Press, 1998, p. 201-202.</w:t>
      </w:r>
    </w:p>
  </w:footnote>
  <w:footnote w:id="362">
    <w:p w14:paraId="66BE78BD" w14:textId="77777777" w:rsidR="0039793A" w:rsidRDefault="0039793A" w:rsidP="0039793A">
      <w:pPr>
        <w:pStyle w:val="Notedebasdepage"/>
      </w:pPr>
      <w:r>
        <w:rPr>
          <w:rStyle w:val="Appelnotedebasdep"/>
        </w:rPr>
        <w:footnoteRef/>
      </w:r>
      <w:r>
        <w:tab/>
      </w:r>
      <w:r w:rsidRPr="000563E3">
        <w:rPr>
          <w:rStyle w:val="Notedebasdepage4NonItalique"/>
          <w:sz w:val="24"/>
        </w:rPr>
        <w:t xml:space="preserve">Alexander DeConde, </w:t>
      </w:r>
      <w:r w:rsidRPr="00A1411C">
        <w:rPr>
          <w:i/>
          <w:iCs/>
          <w:lang w:val="fr-FR" w:eastAsia="fr-FR" w:bidi="fr-FR"/>
        </w:rPr>
        <w:t>Presidential Machismo</w:t>
      </w:r>
      <w:r w:rsidRPr="00A1411C">
        <w:rPr>
          <w:i/>
          <w:iCs/>
        </w:rPr>
        <w:t> :</w:t>
      </w:r>
      <w:r w:rsidRPr="00A1411C">
        <w:rPr>
          <w:i/>
          <w:iCs/>
          <w:lang w:val="fr-FR" w:eastAsia="fr-FR" w:bidi="fr-FR"/>
        </w:rPr>
        <w:t xml:space="preserve"> Executive Authority, Milit</w:t>
      </w:r>
      <w:r w:rsidRPr="00A1411C">
        <w:rPr>
          <w:i/>
          <w:iCs/>
          <w:lang w:val="fr-FR" w:eastAsia="fr-FR" w:bidi="fr-FR"/>
        </w:rPr>
        <w:t>a</w:t>
      </w:r>
      <w:r w:rsidRPr="00A1411C">
        <w:rPr>
          <w:i/>
          <w:iCs/>
          <w:lang w:val="fr-FR" w:eastAsia="fr-FR" w:bidi="fr-FR"/>
        </w:rPr>
        <w:t>ry Intervention and Foreign Relations</w:t>
      </w:r>
      <w:r w:rsidRPr="000563E3">
        <w:rPr>
          <w:lang w:val="fr-FR" w:eastAsia="fr-FR" w:bidi="fr-FR"/>
        </w:rPr>
        <w:t>,</w:t>
      </w:r>
      <w:r w:rsidRPr="000563E3">
        <w:rPr>
          <w:rStyle w:val="Notedebasdepage46ptNonItaliqueEspacement1pt"/>
          <w:sz w:val="24"/>
        </w:rPr>
        <w:t xml:space="preserve"> </w:t>
      </w:r>
      <w:r w:rsidRPr="000563E3">
        <w:rPr>
          <w:rStyle w:val="Notedebasdepage4NonItalique"/>
          <w:sz w:val="24"/>
        </w:rPr>
        <w:t>Boston, No</w:t>
      </w:r>
      <w:r w:rsidRPr="000563E3">
        <w:rPr>
          <w:rStyle w:val="Notedebasdepage4NonItalique"/>
          <w:sz w:val="24"/>
        </w:rPr>
        <w:t>r</w:t>
      </w:r>
      <w:r w:rsidRPr="000563E3">
        <w:rPr>
          <w:rStyle w:val="Notedebasdepage4NonItalique"/>
          <w:sz w:val="24"/>
        </w:rPr>
        <w:t>theastern University Press, 1999, 391 p.</w:t>
      </w:r>
    </w:p>
  </w:footnote>
  <w:footnote w:id="363">
    <w:p w14:paraId="342AC8C5" w14:textId="77777777" w:rsidR="0039793A" w:rsidRDefault="0039793A" w:rsidP="0039793A">
      <w:pPr>
        <w:pStyle w:val="Notedebasdepage"/>
      </w:pPr>
      <w:r>
        <w:rPr>
          <w:rStyle w:val="Appelnotedebasdep"/>
        </w:rPr>
        <w:footnoteRef/>
      </w:r>
      <w:r>
        <w:tab/>
      </w:r>
      <w:r w:rsidRPr="000563E3">
        <w:rPr>
          <w:lang w:val="fr-FR" w:eastAsia="fr-FR" w:bidi="fr-FR"/>
        </w:rPr>
        <w:t xml:space="preserve">David Forsythe et Ryan Hendrickson, </w:t>
      </w:r>
      <w:r w:rsidRPr="000563E3">
        <w:t>« </w:t>
      </w:r>
      <w:r w:rsidRPr="000563E3">
        <w:rPr>
          <w:rStyle w:val="Notedebasdepage6pt"/>
          <w:sz w:val="24"/>
        </w:rPr>
        <w:t xml:space="preserve">US </w:t>
      </w:r>
      <w:r w:rsidRPr="000563E3">
        <w:rPr>
          <w:lang w:val="fr-FR" w:eastAsia="fr-FR" w:bidi="fr-FR"/>
        </w:rPr>
        <w:t xml:space="preserve">Use </w:t>
      </w:r>
      <w:r w:rsidRPr="000563E3">
        <w:rPr>
          <w:rStyle w:val="Notedebasdepage95pt"/>
          <w:sz w:val="24"/>
        </w:rPr>
        <w:t xml:space="preserve">of </w:t>
      </w:r>
      <w:r w:rsidRPr="000563E3">
        <w:rPr>
          <w:lang w:val="fr-FR" w:eastAsia="fr-FR" w:bidi="fr-FR"/>
        </w:rPr>
        <w:t>Force Abroad</w:t>
      </w:r>
      <w:r w:rsidRPr="000563E3">
        <w:t> :</w:t>
      </w:r>
      <w:r w:rsidRPr="000563E3">
        <w:rPr>
          <w:lang w:val="fr-FR" w:eastAsia="fr-FR" w:bidi="fr-FR"/>
        </w:rPr>
        <w:t xml:space="preserve"> What Law for the President</w:t>
      </w:r>
      <w:r w:rsidRPr="000563E3">
        <w:t> ? »</w:t>
      </w:r>
      <w:r w:rsidRPr="000563E3">
        <w:rPr>
          <w:rStyle w:val="Notedebasdepage6ptEspacement1pt"/>
          <w:sz w:val="24"/>
        </w:rPr>
        <w:t xml:space="preserve">, </w:t>
      </w:r>
      <w:r w:rsidRPr="000563E3">
        <w:rPr>
          <w:rStyle w:val="NotedebasdepageItalique"/>
          <w:sz w:val="24"/>
        </w:rPr>
        <w:t>Presidential Studies Quarte</w:t>
      </w:r>
      <w:r w:rsidRPr="000563E3">
        <w:rPr>
          <w:rStyle w:val="NotedebasdepageItalique"/>
          <w:sz w:val="24"/>
        </w:rPr>
        <w:t>r</w:t>
      </w:r>
      <w:r w:rsidRPr="000563E3">
        <w:rPr>
          <w:rStyle w:val="NotedebasdepageItalique"/>
          <w:sz w:val="24"/>
        </w:rPr>
        <w:t>ly,</w:t>
      </w:r>
      <w:r w:rsidRPr="000563E3">
        <w:rPr>
          <w:rStyle w:val="Notedebasdepage6ptEspacement1pt"/>
          <w:sz w:val="24"/>
        </w:rPr>
        <w:t xml:space="preserve"> </w:t>
      </w:r>
      <w:r w:rsidRPr="000563E3">
        <w:rPr>
          <w:lang w:val="fr-FR" w:eastAsia="fr-FR" w:bidi="fr-FR"/>
        </w:rPr>
        <w:t>26, automne 1996, p. 950-961.</w:t>
      </w:r>
    </w:p>
  </w:footnote>
  <w:footnote w:id="364">
    <w:p w14:paraId="68650CCC" w14:textId="77777777" w:rsidR="0039793A" w:rsidRDefault="0039793A" w:rsidP="0039793A">
      <w:pPr>
        <w:pStyle w:val="Notedebasdepage"/>
      </w:pPr>
      <w:r>
        <w:rPr>
          <w:rStyle w:val="Appelnotedebasdep"/>
        </w:rPr>
        <w:footnoteRef/>
      </w:r>
      <w:r>
        <w:tab/>
      </w:r>
      <w:r w:rsidRPr="000563E3">
        <w:rPr>
          <w:lang w:val="fr-FR" w:eastAsia="fr-FR" w:bidi="fr-FR"/>
        </w:rPr>
        <w:t>Par exemple, suite à la débâcle en Somalie en 1993, le Congrès a maintes fois insisté sur le commandement am</w:t>
      </w:r>
      <w:r w:rsidRPr="000563E3">
        <w:rPr>
          <w:lang w:val="fr-FR" w:eastAsia="fr-FR" w:bidi="fr-FR"/>
        </w:rPr>
        <w:t>é</w:t>
      </w:r>
      <w:r w:rsidRPr="000563E3">
        <w:rPr>
          <w:lang w:val="fr-FR" w:eastAsia="fr-FR" w:bidi="fr-FR"/>
        </w:rPr>
        <w:t>ricain des missions de paix auxquelles les forces armées des États-Unis participent.</w:t>
      </w:r>
    </w:p>
  </w:footnote>
  <w:footnote w:id="365">
    <w:p w14:paraId="07A8E925" w14:textId="77777777" w:rsidR="0039793A" w:rsidRDefault="0039793A" w:rsidP="0039793A">
      <w:pPr>
        <w:pStyle w:val="Notedebasdepage"/>
      </w:pPr>
      <w:r>
        <w:rPr>
          <w:rStyle w:val="Appelnotedebasdep"/>
        </w:rPr>
        <w:footnoteRef/>
      </w:r>
      <w:r>
        <w:tab/>
      </w:r>
      <w:r w:rsidRPr="000563E3">
        <w:rPr>
          <w:lang w:val="fr-FR" w:eastAsia="fr-FR" w:bidi="fr-FR"/>
        </w:rPr>
        <w:t xml:space="preserve">Ryan Barilleaux et Christopher Kelley, </w:t>
      </w:r>
      <w:r w:rsidRPr="000563E3">
        <w:t>« </w:t>
      </w:r>
      <w:r w:rsidRPr="000563E3">
        <w:rPr>
          <w:lang w:val="fr-FR" w:eastAsia="fr-FR" w:bidi="fr-FR"/>
        </w:rPr>
        <w:t>The Other Side of War</w:t>
      </w:r>
      <w:r w:rsidRPr="000563E3">
        <w:t> :</w:t>
      </w:r>
      <w:r w:rsidRPr="000563E3">
        <w:rPr>
          <w:lang w:val="fr-FR" w:eastAsia="fr-FR" w:bidi="fr-FR"/>
        </w:rPr>
        <w:t xml:space="preserve"> Presi- dential Peace Powers</w:t>
      </w:r>
      <w:r w:rsidRPr="000563E3">
        <w:t> »</w:t>
      </w:r>
      <w:r w:rsidRPr="000563E3">
        <w:rPr>
          <w:lang w:val="fr-FR" w:eastAsia="fr-FR" w:bidi="fr-FR"/>
        </w:rPr>
        <w:t xml:space="preserve">, dans Ryan Barilleaux (ed.), </w:t>
      </w:r>
      <w:r w:rsidRPr="000563E3">
        <w:rPr>
          <w:rStyle w:val="NotedebasdepageItalique"/>
          <w:sz w:val="24"/>
        </w:rPr>
        <w:t>Preside</w:t>
      </w:r>
      <w:r w:rsidRPr="000563E3">
        <w:rPr>
          <w:rStyle w:val="NotedebasdepageItalique"/>
          <w:sz w:val="24"/>
        </w:rPr>
        <w:t>n</w:t>
      </w:r>
      <w:r w:rsidRPr="000563E3">
        <w:rPr>
          <w:rStyle w:val="NotedebasdepageItalique"/>
          <w:sz w:val="24"/>
        </w:rPr>
        <w:t xml:space="preserve">tial Frontiers. </w:t>
      </w:r>
      <w:r>
        <w:rPr>
          <w:rStyle w:val="NotedebasdepageItalique"/>
          <w:sz w:val="24"/>
        </w:rPr>
        <w:t>U</w:t>
      </w:r>
      <w:r w:rsidRPr="000563E3">
        <w:rPr>
          <w:rStyle w:val="NotedebasdepageItalique"/>
          <w:sz w:val="24"/>
        </w:rPr>
        <w:t>nde- rexplored Issues in White House Politics,</w:t>
      </w:r>
      <w:r w:rsidRPr="000563E3">
        <w:rPr>
          <w:lang w:val="fr-FR" w:eastAsia="fr-FR" w:bidi="fr-FR"/>
        </w:rPr>
        <w:t xml:space="preserve"> We</w:t>
      </w:r>
      <w:r w:rsidRPr="000563E3">
        <w:rPr>
          <w:lang w:val="fr-FR" w:eastAsia="fr-FR" w:bidi="fr-FR"/>
        </w:rPr>
        <w:t>s</w:t>
      </w:r>
      <w:r w:rsidRPr="000563E3">
        <w:rPr>
          <w:lang w:val="fr-FR" w:eastAsia="fr-FR" w:bidi="fr-FR"/>
        </w:rPr>
        <w:t>port, Praeger, 1998, p. 119-134.</w:t>
      </w:r>
    </w:p>
  </w:footnote>
  <w:footnote w:id="366">
    <w:p w14:paraId="7604EDA8" w14:textId="77777777" w:rsidR="0039793A" w:rsidRDefault="0039793A" w:rsidP="0039793A">
      <w:pPr>
        <w:pStyle w:val="Notedebasdepage"/>
      </w:pPr>
      <w:r>
        <w:rPr>
          <w:rStyle w:val="Appelnotedebasdep"/>
        </w:rPr>
        <w:footnoteRef/>
      </w:r>
      <w:r>
        <w:tab/>
      </w:r>
      <w:r w:rsidRPr="000563E3">
        <w:rPr>
          <w:lang w:val="fr-FR" w:eastAsia="fr-FR" w:bidi="fr-FR"/>
        </w:rPr>
        <w:t xml:space="preserve">Edwards et Wayne,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432-436</w:t>
      </w:r>
      <w:r w:rsidRPr="000563E3">
        <w:t> ;</w:t>
      </w:r>
      <w:r w:rsidRPr="000563E3">
        <w:rPr>
          <w:lang w:val="fr-FR" w:eastAsia="fr-FR" w:bidi="fr-FR"/>
        </w:rPr>
        <w:t xml:space="preserve"> Wiarda,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273-274</w:t>
      </w:r>
      <w:r w:rsidRPr="000563E3">
        <w:t> ;</w:t>
      </w:r>
      <w:r w:rsidRPr="000563E3">
        <w:rPr>
          <w:lang w:val="fr-FR" w:eastAsia="fr-FR" w:bidi="fr-FR"/>
        </w:rPr>
        <w:t xml:space="preserve"> et Rourke et Boyer,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161-162.</w:t>
      </w:r>
    </w:p>
  </w:footnote>
  <w:footnote w:id="367">
    <w:p w14:paraId="361E2F3B" w14:textId="77777777" w:rsidR="0039793A" w:rsidRDefault="0039793A" w:rsidP="0039793A">
      <w:pPr>
        <w:pStyle w:val="Notedebasdepage"/>
      </w:pPr>
      <w:r>
        <w:rPr>
          <w:rStyle w:val="Appelnotedebasdep"/>
        </w:rPr>
        <w:footnoteRef/>
      </w:r>
      <w:r>
        <w:tab/>
      </w:r>
      <w:r w:rsidRPr="000563E3">
        <w:rPr>
          <w:lang w:val="fr-FR" w:eastAsia="fr-FR" w:bidi="fr-FR"/>
        </w:rPr>
        <w:t>Selon l’expression employée par l’ancien ministre français des Affaires étra</w:t>
      </w:r>
      <w:r w:rsidRPr="000563E3">
        <w:rPr>
          <w:lang w:val="fr-FR" w:eastAsia="fr-FR" w:bidi="fr-FR"/>
        </w:rPr>
        <w:t>n</w:t>
      </w:r>
      <w:r w:rsidRPr="000563E3">
        <w:rPr>
          <w:lang w:val="fr-FR" w:eastAsia="fr-FR" w:bidi="fr-FR"/>
        </w:rPr>
        <w:t>gères Hubert Védrine.</w:t>
      </w:r>
    </w:p>
  </w:footnote>
  <w:footnote w:id="368">
    <w:p w14:paraId="3F06C52C" w14:textId="77777777" w:rsidR="0039793A" w:rsidRDefault="0039793A" w:rsidP="0039793A">
      <w:pPr>
        <w:pStyle w:val="Notedebasdepage"/>
      </w:pPr>
      <w:r>
        <w:rPr>
          <w:rStyle w:val="Appelnotedebasdep"/>
        </w:rPr>
        <w:footnoteRef/>
      </w:r>
      <w:r>
        <w:tab/>
      </w:r>
      <w:r w:rsidRPr="000563E3">
        <w:rPr>
          <w:lang w:val="fr-FR" w:eastAsia="fr-FR" w:bidi="fr-FR"/>
        </w:rPr>
        <w:t>L’affaire Iran-Contra en 1987 entache l’Administration Reagan</w:t>
      </w:r>
      <w:r w:rsidRPr="000563E3">
        <w:t> :</w:t>
      </w:r>
      <w:r w:rsidRPr="000563E3">
        <w:rPr>
          <w:lang w:val="fr-FR" w:eastAsia="fr-FR" w:bidi="fr-FR"/>
        </w:rPr>
        <w:t xml:space="preserve"> le prés</w:t>
      </w:r>
      <w:r w:rsidRPr="000563E3">
        <w:rPr>
          <w:lang w:val="fr-FR" w:eastAsia="fr-FR" w:bidi="fr-FR"/>
        </w:rPr>
        <w:t>i</w:t>
      </w:r>
      <w:r w:rsidRPr="000563E3">
        <w:rPr>
          <w:lang w:val="fr-FR" w:eastAsia="fr-FR" w:bidi="fr-FR"/>
        </w:rPr>
        <w:t>dent et certains de ses officiers ont sciemment violé les lois américaines en vendant des armes à l’Iran et en utilisant les recettes pour financer les rebe</w:t>
      </w:r>
      <w:r w:rsidRPr="000563E3">
        <w:rPr>
          <w:lang w:val="fr-FR" w:eastAsia="fr-FR" w:bidi="fr-FR"/>
        </w:rPr>
        <w:t>l</w:t>
      </w:r>
      <w:r w:rsidRPr="000563E3">
        <w:rPr>
          <w:lang w:val="fr-FR" w:eastAsia="fr-FR" w:bidi="fr-FR"/>
        </w:rPr>
        <w:t xml:space="preserve">les de la Contra au Nicaragua. Voir Charles-Philippe David (et al.), </w:t>
      </w:r>
      <w:r w:rsidRPr="000563E3">
        <w:rPr>
          <w:rStyle w:val="NotedebasdepageItalique"/>
          <w:sz w:val="24"/>
        </w:rPr>
        <w:t>Foreign Policy Failure in the White House : Reappraising the Fa</w:t>
      </w:r>
      <w:r>
        <w:rPr>
          <w:rStyle w:val="NotedebasdepageItalique"/>
          <w:sz w:val="24"/>
        </w:rPr>
        <w:t>ll</w:t>
      </w:r>
      <w:r w:rsidRPr="000563E3">
        <w:rPr>
          <w:rStyle w:val="NotedebasdepageItalique"/>
          <w:sz w:val="24"/>
        </w:rPr>
        <w:t xml:space="preserve"> of the Shah and the Iran-Contra A</w:t>
      </w:r>
      <w:r w:rsidRPr="000563E3">
        <w:rPr>
          <w:rStyle w:val="NotedebasdepageItalique"/>
          <w:sz w:val="24"/>
        </w:rPr>
        <w:t>f</w:t>
      </w:r>
      <w:r w:rsidRPr="000563E3">
        <w:rPr>
          <w:rStyle w:val="NotedebasdepageItalique"/>
          <w:sz w:val="24"/>
        </w:rPr>
        <w:t>fair,</w:t>
      </w:r>
      <w:r w:rsidRPr="000563E3">
        <w:rPr>
          <w:rStyle w:val="Notedebasdepage6ptEspacement1pt"/>
          <w:sz w:val="24"/>
        </w:rPr>
        <w:t xml:space="preserve"> </w:t>
      </w:r>
      <w:r w:rsidRPr="000563E3">
        <w:rPr>
          <w:lang w:val="fr-FR" w:eastAsia="fr-FR" w:bidi="fr-FR"/>
        </w:rPr>
        <w:t>Lanham, University Press of America, 1993, 191 p.</w:t>
      </w:r>
    </w:p>
  </w:footnote>
  <w:footnote w:id="369">
    <w:p w14:paraId="01C7018E" w14:textId="77777777" w:rsidR="0039793A" w:rsidRDefault="0039793A" w:rsidP="0039793A">
      <w:pPr>
        <w:pStyle w:val="Notedebasdepage"/>
      </w:pPr>
      <w:r>
        <w:rPr>
          <w:rStyle w:val="Appelnotedebasdep"/>
        </w:rPr>
        <w:footnoteRef/>
      </w:r>
      <w:r>
        <w:tab/>
      </w:r>
      <w:r w:rsidRPr="000563E3">
        <w:rPr>
          <w:lang w:val="fr-FR" w:eastAsia="fr-FR" w:bidi="fr-FR"/>
        </w:rPr>
        <w:t xml:space="preserve">Aaron Wildavsky, </w:t>
      </w:r>
      <w:r w:rsidRPr="000563E3">
        <w:rPr>
          <w:rStyle w:val="NotedebasdepageItalique"/>
          <w:sz w:val="24"/>
        </w:rPr>
        <w:t>Perspectives on the Presidency</w:t>
      </w:r>
      <w:r w:rsidRPr="000563E3">
        <w:rPr>
          <w:lang w:val="fr-FR" w:eastAsia="fr-FR" w:bidi="fr-FR"/>
        </w:rPr>
        <w:t>, Boston, Little Brown, 1969, 795 p.</w:t>
      </w:r>
    </w:p>
  </w:footnote>
  <w:footnote w:id="370">
    <w:p w14:paraId="4A934C86" w14:textId="77777777" w:rsidR="0039793A" w:rsidRDefault="0039793A" w:rsidP="0039793A">
      <w:pPr>
        <w:pStyle w:val="Notedebasdepage"/>
      </w:pPr>
      <w:r>
        <w:rPr>
          <w:rStyle w:val="Appelnotedebasdep"/>
        </w:rPr>
        <w:footnoteRef/>
      </w:r>
      <w:r>
        <w:tab/>
      </w:r>
      <w:r w:rsidRPr="000563E3">
        <w:rPr>
          <w:lang w:val="fr-FR" w:eastAsia="fr-FR" w:bidi="fr-FR"/>
        </w:rPr>
        <w:t xml:space="preserve">Terry Moe, </w:t>
      </w:r>
      <w:r w:rsidRPr="000563E3">
        <w:t>« </w:t>
      </w:r>
      <w:r w:rsidRPr="000563E3">
        <w:rPr>
          <w:lang w:val="fr-FR" w:eastAsia="fr-FR" w:bidi="fr-FR"/>
        </w:rPr>
        <w:t>Unilatéral Action and Presidential Power</w:t>
      </w:r>
      <w:r w:rsidRPr="000563E3">
        <w:t> :</w:t>
      </w:r>
      <w:r w:rsidRPr="000563E3">
        <w:rPr>
          <w:lang w:val="fr-FR" w:eastAsia="fr-FR" w:bidi="fr-FR"/>
        </w:rPr>
        <w:t xml:space="preserve"> A The</w:t>
      </w:r>
      <w:r w:rsidRPr="000563E3">
        <w:rPr>
          <w:lang w:val="fr-FR" w:eastAsia="fr-FR" w:bidi="fr-FR"/>
        </w:rPr>
        <w:t>o</w:t>
      </w:r>
      <w:r w:rsidRPr="000563E3">
        <w:rPr>
          <w:lang w:val="fr-FR" w:eastAsia="fr-FR" w:bidi="fr-FR"/>
        </w:rPr>
        <w:t>ry</w:t>
      </w:r>
      <w:r w:rsidRPr="000563E3">
        <w:t> »</w:t>
      </w:r>
      <w:r w:rsidRPr="000563E3">
        <w:rPr>
          <w:lang w:val="fr-FR" w:eastAsia="fr-FR" w:bidi="fr-FR"/>
        </w:rPr>
        <w:t xml:space="preserve">, </w:t>
      </w:r>
      <w:r w:rsidRPr="000563E3">
        <w:rPr>
          <w:rStyle w:val="NotedebasdepageItalique"/>
          <w:sz w:val="24"/>
        </w:rPr>
        <w:t>Pre- sidential Studies Quarterly,</w:t>
      </w:r>
      <w:r w:rsidRPr="000563E3">
        <w:rPr>
          <w:rStyle w:val="Notedebasdepage6ptEspacement1pt"/>
          <w:sz w:val="24"/>
        </w:rPr>
        <w:t xml:space="preserve"> </w:t>
      </w:r>
      <w:r w:rsidRPr="000563E3">
        <w:rPr>
          <w:lang w:val="fr-FR" w:eastAsia="fr-FR" w:bidi="fr-FR"/>
        </w:rPr>
        <w:t>29, décembre 1999, p. 850-872</w:t>
      </w:r>
      <w:r w:rsidRPr="000563E3">
        <w:t> ;</w:t>
      </w:r>
      <w:r w:rsidRPr="000563E3">
        <w:rPr>
          <w:lang w:val="fr-FR" w:eastAsia="fr-FR" w:bidi="fr-FR"/>
        </w:rPr>
        <w:t xml:space="preserve"> Théodore L</w:t>
      </w:r>
      <w:r w:rsidRPr="000563E3">
        <w:rPr>
          <w:lang w:val="fr-FR" w:eastAsia="fr-FR" w:bidi="fr-FR"/>
        </w:rPr>
        <w:t>o</w:t>
      </w:r>
      <w:r w:rsidRPr="000563E3">
        <w:rPr>
          <w:lang w:val="fr-FR" w:eastAsia="fr-FR" w:bidi="fr-FR"/>
        </w:rPr>
        <w:t xml:space="preserve">wi, </w:t>
      </w:r>
      <w:r w:rsidRPr="000563E3">
        <w:rPr>
          <w:rStyle w:val="NotedebasdepageItalique"/>
          <w:sz w:val="24"/>
        </w:rPr>
        <w:t>The Personal Presidency</w:t>
      </w:r>
      <w:r w:rsidRPr="000563E3">
        <w:rPr>
          <w:lang w:val="fr-FR" w:eastAsia="fr-FR" w:bidi="fr-FR"/>
        </w:rPr>
        <w:t>, Ithaca, Cornell Un</w:t>
      </w:r>
      <w:r w:rsidRPr="000563E3">
        <w:rPr>
          <w:lang w:val="fr-FR" w:eastAsia="fr-FR" w:bidi="fr-FR"/>
        </w:rPr>
        <w:t>i</w:t>
      </w:r>
      <w:r w:rsidRPr="000563E3">
        <w:rPr>
          <w:lang w:val="fr-FR" w:eastAsia="fr-FR" w:bidi="fr-FR"/>
        </w:rPr>
        <w:t>versity Press, 1985.</w:t>
      </w:r>
    </w:p>
  </w:footnote>
  <w:footnote w:id="371">
    <w:p w14:paraId="0FEB8368" w14:textId="77777777" w:rsidR="0039793A" w:rsidRDefault="0039793A" w:rsidP="0039793A">
      <w:pPr>
        <w:pStyle w:val="Notedebasdepage"/>
      </w:pPr>
      <w:r>
        <w:rPr>
          <w:rStyle w:val="Appelnotedebasdep"/>
        </w:rPr>
        <w:footnoteRef/>
      </w:r>
      <w:r>
        <w:tab/>
      </w:r>
      <w:r w:rsidRPr="000563E3">
        <w:rPr>
          <w:rStyle w:val="Notedebasdepage4NonItalique"/>
          <w:sz w:val="24"/>
        </w:rPr>
        <w:t>Richard Neustadt</w:t>
      </w:r>
      <w:r w:rsidRPr="00F86A7E">
        <w:rPr>
          <w:rStyle w:val="Notedebasdepage4NonItalique"/>
          <w:i/>
          <w:iCs/>
          <w:sz w:val="24"/>
        </w:rPr>
        <w:t xml:space="preserve">, </w:t>
      </w:r>
      <w:r w:rsidRPr="00F86A7E">
        <w:rPr>
          <w:i/>
          <w:iCs/>
          <w:lang w:val="fr-FR" w:eastAsia="fr-FR" w:bidi="fr-FR"/>
        </w:rPr>
        <w:t>Presidential Power and the Modem Presidents</w:t>
      </w:r>
      <w:r w:rsidRPr="00F86A7E">
        <w:rPr>
          <w:i/>
          <w:iCs/>
        </w:rPr>
        <w:t> :</w:t>
      </w:r>
      <w:r w:rsidRPr="00F86A7E">
        <w:rPr>
          <w:i/>
          <w:iCs/>
          <w:lang w:val="fr-FR" w:eastAsia="fr-FR" w:bidi="fr-FR"/>
        </w:rPr>
        <w:t xml:space="preserve"> The Pol</w:t>
      </w:r>
      <w:r w:rsidRPr="00F86A7E">
        <w:rPr>
          <w:i/>
          <w:iCs/>
          <w:lang w:val="fr-FR" w:eastAsia="fr-FR" w:bidi="fr-FR"/>
        </w:rPr>
        <w:t>i</w:t>
      </w:r>
      <w:r w:rsidRPr="00F86A7E">
        <w:rPr>
          <w:i/>
          <w:iCs/>
          <w:lang w:val="fr-FR" w:eastAsia="fr-FR" w:bidi="fr-FR"/>
        </w:rPr>
        <w:t>tics of Leadership from Roosevelt to Reagan</w:t>
      </w:r>
      <w:r w:rsidRPr="000563E3">
        <w:rPr>
          <w:lang w:val="fr-FR" w:eastAsia="fr-FR" w:bidi="fr-FR"/>
        </w:rPr>
        <w:t>,</w:t>
      </w:r>
      <w:r w:rsidRPr="000563E3">
        <w:rPr>
          <w:rStyle w:val="Notedebasdepage46ptNonItaliqueEspacement1pt"/>
          <w:sz w:val="24"/>
        </w:rPr>
        <w:t xml:space="preserve"> </w:t>
      </w:r>
      <w:r w:rsidRPr="000563E3">
        <w:rPr>
          <w:rStyle w:val="Notedebasdepage4NonItalique"/>
          <w:sz w:val="24"/>
        </w:rPr>
        <w:t>New York, Free Press, 2</w:t>
      </w:r>
      <w:r w:rsidRPr="000563E3">
        <w:rPr>
          <w:rStyle w:val="Notedebasdepage4NonItalique"/>
          <w:sz w:val="24"/>
          <w:vertAlign w:val="superscript"/>
        </w:rPr>
        <w:t>e</w:t>
      </w:r>
      <w:r w:rsidRPr="000563E3">
        <w:rPr>
          <w:rStyle w:val="Notedebasdepage4NonItalique"/>
          <w:sz w:val="24"/>
        </w:rPr>
        <w:t xml:space="preserve"> éd., 1991, 371p. ; voir aussi Robert Shapiro (ed.), </w:t>
      </w:r>
      <w:r w:rsidRPr="00F86A7E">
        <w:rPr>
          <w:i/>
          <w:iCs/>
          <w:lang w:val="fr-FR" w:eastAsia="fr-FR" w:bidi="fr-FR"/>
        </w:rPr>
        <w:t>Presidential Power. Forging the Presidency for the Twenty-First Century</w:t>
      </w:r>
      <w:r w:rsidRPr="000563E3">
        <w:rPr>
          <w:lang w:val="fr-FR" w:eastAsia="fr-FR" w:bidi="fr-FR"/>
        </w:rPr>
        <w:t>,</w:t>
      </w:r>
      <w:r w:rsidRPr="000563E3">
        <w:rPr>
          <w:rStyle w:val="Notedebasdepage46ptNonItaliqueEspacement1pt"/>
          <w:sz w:val="24"/>
        </w:rPr>
        <w:t xml:space="preserve"> </w:t>
      </w:r>
      <w:r w:rsidRPr="000563E3">
        <w:rPr>
          <w:rStyle w:val="Notedebasdepage4NonItalique"/>
          <w:sz w:val="24"/>
        </w:rPr>
        <w:t>New York, Columbia Unive</w:t>
      </w:r>
      <w:r w:rsidRPr="000563E3">
        <w:rPr>
          <w:rStyle w:val="Notedebasdepage4NonItalique"/>
          <w:sz w:val="24"/>
        </w:rPr>
        <w:t>r</w:t>
      </w:r>
      <w:r w:rsidRPr="000563E3">
        <w:rPr>
          <w:rStyle w:val="Notedebasdepage4NonItalique"/>
          <w:sz w:val="24"/>
        </w:rPr>
        <w:t>sity Press, 2000, 525 p.</w:t>
      </w:r>
    </w:p>
  </w:footnote>
  <w:footnote w:id="372">
    <w:p w14:paraId="591CE547" w14:textId="77777777" w:rsidR="0039793A" w:rsidRDefault="0039793A" w:rsidP="0039793A">
      <w:pPr>
        <w:pStyle w:val="Notedebasdepage"/>
      </w:pPr>
      <w:r>
        <w:rPr>
          <w:rStyle w:val="Appelnotedebasdep"/>
        </w:rPr>
        <w:footnoteRef/>
      </w:r>
      <w:r>
        <w:tab/>
      </w:r>
      <w:r w:rsidRPr="000563E3">
        <w:rPr>
          <w:lang w:val="fr-FR" w:eastAsia="fr-FR" w:bidi="fr-FR"/>
        </w:rPr>
        <w:t xml:space="preserve">Cité par Rourke et Boyer, </w:t>
      </w:r>
      <w:r w:rsidRPr="000563E3">
        <w:rPr>
          <w:rStyle w:val="NotedebasdepageItalique"/>
          <w:sz w:val="24"/>
        </w:rPr>
        <w:t>op. cit.,</w:t>
      </w:r>
      <w:r w:rsidRPr="000563E3">
        <w:rPr>
          <w:rStyle w:val="Notedebasdepage6ptEspacement1pt"/>
          <w:sz w:val="24"/>
        </w:rPr>
        <w:t xml:space="preserve"> </w:t>
      </w:r>
      <w:r w:rsidRPr="000563E3">
        <w:rPr>
          <w:lang w:val="fr-FR" w:eastAsia="fr-FR" w:bidi="fr-FR"/>
        </w:rPr>
        <w:t>p. 191.</w:t>
      </w:r>
    </w:p>
  </w:footnote>
  <w:footnote w:id="373">
    <w:p w14:paraId="4494ACFC" w14:textId="77777777" w:rsidR="0039793A" w:rsidRDefault="0039793A" w:rsidP="0039793A">
      <w:pPr>
        <w:pStyle w:val="Notedebasdepage"/>
      </w:pPr>
      <w:r>
        <w:rPr>
          <w:rStyle w:val="Appelnotedebasdep"/>
        </w:rPr>
        <w:footnoteRef/>
      </w:r>
      <w:r>
        <w:tab/>
      </w:r>
      <w:r w:rsidRPr="000563E3">
        <w:rPr>
          <w:lang w:val="fr-FR" w:eastAsia="fr-FR" w:bidi="fr-FR"/>
        </w:rPr>
        <w:t xml:space="preserve">Cité par Jerel Rosati, </w:t>
      </w:r>
      <w:r w:rsidRPr="000563E3">
        <w:rPr>
          <w:rStyle w:val="NotedebasdepageItalique"/>
          <w:sz w:val="24"/>
        </w:rPr>
        <w:t>The Politics of United States F</w:t>
      </w:r>
      <w:r w:rsidRPr="000563E3">
        <w:rPr>
          <w:rStyle w:val="NotedebasdepageItalique"/>
          <w:sz w:val="24"/>
        </w:rPr>
        <w:t>o</w:t>
      </w:r>
      <w:r w:rsidRPr="000563E3">
        <w:rPr>
          <w:rStyle w:val="NotedebasdepageItalique"/>
          <w:sz w:val="24"/>
        </w:rPr>
        <w:t>reign Policy,</w:t>
      </w:r>
      <w:r w:rsidRPr="000563E3">
        <w:rPr>
          <w:rStyle w:val="Notedebasdepage6ptEspacement1pt"/>
          <w:sz w:val="24"/>
        </w:rPr>
        <w:t xml:space="preserve"> </w:t>
      </w:r>
      <w:r w:rsidRPr="000563E3">
        <w:rPr>
          <w:lang w:val="fr-FR" w:eastAsia="fr-FR" w:bidi="fr-FR"/>
        </w:rPr>
        <w:t>New York, Harcourt Brace Jovanovich, 1993, p. 39.</w:t>
      </w:r>
    </w:p>
  </w:footnote>
  <w:footnote w:id="374">
    <w:p w14:paraId="16BD115F" w14:textId="77777777" w:rsidR="0039793A" w:rsidRDefault="0039793A" w:rsidP="0039793A">
      <w:pPr>
        <w:pStyle w:val="Notedebasdepage"/>
      </w:pPr>
      <w:r>
        <w:rPr>
          <w:rStyle w:val="Appelnotedebasdep"/>
        </w:rPr>
        <w:footnoteRef/>
      </w:r>
      <w:r>
        <w:tab/>
      </w:r>
      <w:r w:rsidRPr="000563E3">
        <w:rPr>
          <w:lang w:val="fr-FR" w:eastAsia="fr-FR" w:bidi="fr-FR"/>
        </w:rPr>
        <w:t xml:space="preserve">Bert Rockman, </w:t>
      </w:r>
      <w:r w:rsidRPr="000563E3">
        <w:t>« </w:t>
      </w:r>
      <w:r w:rsidRPr="000563E3">
        <w:rPr>
          <w:lang w:val="fr-FR" w:eastAsia="fr-FR" w:bidi="fr-FR"/>
        </w:rPr>
        <w:t>Presidents, Opinion, and Institutional Leader</w:t>
      </w:r>
      <w:r w:rsidRPr="000563E3">
        <w:rPr>
          <w:lang w:val="fr-FR" w:eastAsia="fr-FR" w:bidi="fr-FR"/>
        </w:rPr>
        <w:t>s</w:t>
      </w:r>
      <w:r w:rsidRPr="000563E3">
        <w:rPr>
          <w:lang w:val="fr-FR" w:eastAsia="fr-FR" w:bidi="fr-FR"/>
        </w:rPr>
        <w:t>hip</w:t>
      </w:r>
      <w:r w:rsidRPr="000563E3">
        <w:t> »</w:t>
      </w:r>
      <w:r w:rsidRPr="000563E3">
        <w:rPr>
          <w:lang w:val="fr-FR" w:eastAsia="fr-FR" w:bidi="fr-FR"/>
        </w:rPr>
        <w:t xml:space="preserve">, dans David Deese (ed.), </w:t>
      </w:r>
      <w:r w:rsidRPr="000563E3">
        <w:rPr>
          <w:rStyle w:val="NotedebasdepageItalique"/>
          <w:sz w:val="24"/>
        </w:rPr>
        <w:t>The New Politics of American Foreign Policy,</w:t>
      </w:r>
      <w:r w:rsidRPr="000563E3">
        <w:rPr>
          <w:rStyle w:val="Notedebasdepage6ptEspacement1pt"/>
          <w:sz w:val="24"/>
        </w:rPr>
        <w:t xml:space="preserve"> </w:t>
      </w:r>
      <w:r w:rsidRPr="000563E3">
        <w:rPr>
          <w:lang w:val="fr-FR" w:eastAsia="fr-FR" w:bidi="fr-FR"/>
        </w:rPr>
        <w:t>New York, St. Martin’s Press, 1994, p. 59-74</w:t>
      </w:r>
      <w:r w:rsidRPr="000563E3">
        <w:t> ;</w:t>
      </w:r>
      <w:r w:rsidRPr="000563E3">
        <w:rPr>
          <w:lang w:val="fr-FR" w:eastAsia="fr-FR" w:bidi="fr-FR"/>
        </w:rPr>
        <w:t xml:space="preserve"> Rosati, </w:t>
      </w:r>
      <w:r w:rsidRPr="000563E3">
        <w:rPr>
          <w:rStyle w:val="NotedebasdepageItalique"/>
          <w:sz w:val="24"/>
        </w:rPr>
        <w:t>op. cit.,</w:t>
      </w:r>
      <w:r w:rsidRPr="000563E3">
        <w:rPr>
          <w:rStyle w:val="Notedebasdepage6ptEspacement1pt"/>
          <w:sz w:val="24"/>
        </w:rPr>
        <w:t xml:space="preserve"> </w:t>
      </w:r>
      <w:r>
        <w:rPr>
          <w:lang w:val="fr-FR" w:eastAsia="fr-FR" w:bidi="fr-FR"/>
        </w:rPr>
        <w:t>p. 26-59.</w:t>
      </w:r>
    </w:p>
  </w:footnote>
  <w:footnote w:id="375">
    <w:p w14:paraId="6E502A79" w14:textId="77777777" w:rsidR="0039793A" w:rsidRDefault="0039793A" w:rsidP="0039793A">
      <w:pPr>
        <w:pStyle w:val="Notedebasdepage"/>
      </w:pPr>
      <w:r>
        <w:rPr>
          <w:rStyle w:val="Appelnotedebasdep"/>
        </w:rPr>
        <w:footnoteRef/>
      </w:r>
      <w:r>
        <w:tab/>
      </w:r>
      <w:r w:rsidRPr="000563E3">
        <w:rPr>
          <w:lang w:val="fr-FR" w:eastAsia="fr-FR" w:bidi="fr-FR"/>
        </w:rPr>
        <w:t xml:space="preserve">Rourke et Boyer,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193.</w:t>
      </w:r>
    </w:p>
  </w:footnote>
  <w:footnote w:id="376">
    <w:p w14:paraId="147A504E" w14:textId="77777777" w:rsidR="0039793A" w:rsidRDefault="0039793A" w:rsidP="0039793A">
      <w:pPr>
        <w:pStyle w:val="Notedebasdepage"/>
      </w:pPr>
      <w:r>
        <w:rPr>
          <w:rStyle w:val="Appelnotedebasdep"/>
        </w:rPr>
        <w:footnoteRef/>
      </w:r>
      <w:r>
        <w:tab/>
      </w:r>
      <w:r w:rsidRPr="00623E65">
        <w:rPr>
          <w:rStyle w:val="Notedebasdepage4NonItalique"/>
          <w:iCs/>
          <w:sz w:val="24"/>
        </w:rPr>
        <w:t>Douglas Foyle</w:t>
      </w:r>
      <w:r w:rsidRPr="00974254">
        <w:rPr>
          <w:rStyle w:val="Notedebasdepage4NonItalique"/>
          <w:i/>
          <w:sz w:val="24"/>
        </w:rPr>
        <w:t xml:space="preserve">, </w:t>
      </w:r>
      <w:r w:rsidRPr="00974254">
        <w:rPr>
          <w:i/>
          <w:lang w:val="fr-FR" w:eastAsia="fr-FR" w:bidi="fr-FR"/>
        </w:rPr>
        <w:t>Counting the Public In</w:t>
      </w:r>
      <w:r w:rsidRPr="00974254">
        <w:rPr>
          <w:i/>
        </w:rPr>
        <w:t> :</w:t>
      </w:r>
      <w:r w:rsidRPr="00974254">
        <w:rPr>
          <w:i/>
          <w:lang w:val="fr-FR" w:eastAsia="fr-FR" w:bidi="fr-FR"/>
        </w:rPr>
        <w:t xml:space="preserve"> Presidents, Public Opinion, and Poreign Policy,</w:t>
      </w:r>
      <w:r w:rsidRPr="00974254">
        <w:rPr>
          <w:rStyle w:val="Notedebasdepage46ptNonItaliqueEspacement1pt"/>
          <w:i/>
          <w:sz w:val="24"/>
        </w:rPr>
        <w:t xml:space="preserve"> </w:t>
      </w:r>
      <w:r w:rsidRPr="00623E65">
        <w:rPr>
          <w:rStyle w:val="Notedebasdepage4NonItalique"/>
          <w:iCs/>
          <w:sz w:val="24"/>
        </w:rPr>
        <w:t>New York, Columbia University Press, 1999, 379 p.</w:t>
      </w:r>
    </w:p>
  </w:footnote>
  <w:footnote w:id="377">
    <w:p w14:paraId="33678CFD" w14:textId="77777777" w:rsidR="0039793A" w:rsidRDefault="0039793A" w:rsidP="0039793A">
      <w:pPr>
        <w:pStyle w:val="Notedebasdepage"/>
      </w:pPr>
      <w:r>
        <w:rPr>
          <w:rStyle w:val="Appelnotedebasdep"/>
        </w:rPr>
        <w:footnoteRef/>
      </w:r>
      <w:r>
        <w:tab/>
      </w:r>
      <w:r w:rsidRPr="000563E3">
        <w:rPr>
          <w:lang w:val="fr-FR" w:eastAsia="fr-FR" w:bidi="fr-FR"/>
        </w:rPr>
        <w:t xml:space="preserve">Rourke et Boyer, </w:t>
      </w:r>
      <w:r w:rsidRPr="000563E3">
        <w:rPr>
          <w:rStyle w:val="NotedebasdepageItalique"/>
          <w:sz w:val="24"/>
        </w:rPr>
        <w:t xml:space="preserve">op. </w:t>
      </w:r>
      <w:r>
        <w:rPr>
          <w:rStyle w:val="NotedebasdepageItalique"/>
          <w:sz w:val="24"/>
        </w:rPr>
        <w:t>c</w:t>
      </w:r>
      <w:r w:rsidRPr="000563E3">
        <w:rPr>
          <w:rStyle w:val="NotedebasdepageItalique"/>
          <w:sz w:val="24"/>
        </w:rPr>
        <w:t>it.,</w:t>
      </w:r>
      <w:r w:rsidRPr="000563E3">
        <w:rPr>
          <w:rStyle w:val="Notedebasdepage6ptEspacement1pt"/>
          <w:sz w:val="24"/>
        </w:rPr>
        <w:t xml:space="preserve"> </w:t>
      </w:r>
      <w:r w:rsidRPr="000563E3">
        <w:rPr>
          <w:lang w:val="fr-FR" w:eastAsia="fr-FR" w:bidi="fr-FR"/>
        </w:rPr>
        <w:t>p. 194.</w:t>
      </w:r>
    </w:p>
  </w:footnote>
  <w:footnote w:id="378">
    <w:p w14:paraId="269898C8" w14:textId="77777777" w:rsidR="0039793A" w:rsidRDefault="0039793A" w:rsidP="0039793A">
      <w:pPr>
        <w:pStyle w:val="Notedebasdepage"/>
      </w:pPr>
      <w:r>
        <w:rPr>
          <w:rStyle w:val="Appelnotedebasdep"/>
        </w:rPr>
        <w:footnoteRef/>
      </w:r>
      <w:r>
        <w:tab/>
      </w:r>
      <w:r>
        <w:rPr>
          <w:lang w:val="fr-FR" w:eastAsia="fr-FR" w:bidi="fr-FR"/>
        </w:rPr>
        <w:t>Respectivement sur le non-engagement dans des alliances (1797)</w:t>
      </w:r>
      <w:r>
        <w:t> ;</w:t>
      </w:r>
      <w:r>
        <w:rPr>
          <w:lang w:val="fr-FR" w:eastAsia="fr-FR" w:bidi="fr-FR"/>
        </w:rPr>
        <w:t xml:space="preserve"> sur le refus de l’impérialisme européen dans l’hémisphère américain (1823)</w:t>
      </w:r>
      <w:r>
        <w:t> ;</w:t>
      </w:r>
      <w:r>
        <w:rPr>
          <w:lang w:val="fr-FR" w:eastAsia="fr-FR" w:bidi="fr-FR"/>
        </w:rPr>
        <w:t xml:space="preserve"> et sur les actions de police nécessaires en Amér</w:t>
      </w:r>
      <w:r>
        <w:rPr>
          <w:lang w:val="fr-FR" w:eastAsia="fr-FR" w:bidi="fr-FR"/>
        </w:rPr>
        <w:t>i</w:t>
      </w:r>
      <w:r>
        <w:rPr>
          <w:lang w:val="fr-FR" w:eastAsia="fr-FR" w:bidi="fr-FR"/>
        </w:rPr>
        <w:t>que latine (1904).</w:t>
      </w:r>
    </w:p>
  </w:footnote>
  <w:footnote w:id="379">
    <w:p w14:paraId="472A0673" w14:textId="77777777" w:rsidR="0039793A" w:rsidRDefault="0039793A" w:rsidP="0039793A">
      <w:pPr>
        <w:pStyle w:val="Notedebasdepage"/>
      </w:pPr>
      <w:r>
        <w:rPr>
          <w:rStyle w:val="Appelnotedebasdep"/>
        </w:rPr>
        <w:footnoteRef/>
      </w:r>
      <w:r>
        <w:tab/>
        <w:t xml:space="preserve">Walter Russell Mead, </w:t>
      </w:r>
      <w:r w:rsidRPr="00687758">
        <w:rPr>
          <w:i/>
          <w:iCs/>
          <w:lang w:val="fr-FR" w:eastAsia="fr-FR" w:bidi="fr-FR"/>
        </w:rPr>
        <w:t>Sp</w:t>
      </w:r>
      <w:r>
        <w:rPr>
          <w:i/>
          <w:iCs/>
          <w:lang w:val="fr-FR" w:eastAsia="fr-FR" w:bidi="fr-FR"/>
        </w:rPr>
        <w:t>e</w:t>
      </w:r>
      <w:r w:rsidRPr="00687758">
        <w:rPr>
          <w:i/>
          <w:iCs/>
          <w:lang w:val="fr-FR" w:eastAsia="fr-FR" w:bidi="fr-FR"/>
        </w:rPr>
        <w:t>cial Providence</w:t>
      </w:r>
      <w:r w:rsidRPr="00687758">
        <w:rPr>
          <w:i/>
          <w:iCs/>
        </w:rPr>
        <w:t> :</w:t>
      </w:r>
      <w:r w:rsidRPr="00687758">
        <w:rPr>
          <w:i/>
          <w:iCs/>
          <w:lang w:val="fr-FR" w:eastAsia="fr-FR" w:bidi="fr-FR"/>
        </w:rPr>
        <w:t xml:space="preserve"> American Foreign Policy and How it Changed the World</w:t>
      </w:r>
      <w:r>
        <w:rPr>
          <w:lang w:val="fr-FR" w:eastAsia="fr-FR" w:bidi="fr-FR"/>
        </w:rPr>
        <w:t>,</w:t>
      </w:r>
      <w:r>
        <w:t xml:space="preserve"> New York, Routledge, 2002, p. 13.</w:t>
      </w:r>
    </w:p>
  </w:footnote>
  <w:footnote w:id="380">
    <w:p w14:paraId="324642CB" w14:textId="77777777" w:rsidR="0039793A" w:rsidRDefault="0039793A" w:rsidP="0039793A">
      <w:pPr>
        <w:pStyle w:val="Notedebasdepage"/>
      </w:pPr>
      <w:r>
        <w:rPr>
          <w:rStyle w:val="Appelnotedebasdep"/>
        </w:rPr>
        <w:footnoteRef/>
      </w:r>
      <w:r>
        <w:tab/>
      </w:r>
      <w:r>
        <w:rPr>
          <w:lang w:val="fr-FR" w:eastAsia="fr-FR" w:bidi="fr-FR"/>
        </w:rPr>
        <w:t xml:space="preserve">Howard Wiarda, </w:t>
      </w:r>
      <w:r w:rsidRPr="00687758">
        <w:rPr>
          <w:i/>
          <w:iCs/>
        </w:rPr>
        <w:t>American Foreign Policy : Actors and Proce</w:t>
      </w:r>
      <w:r w:rsidRPr="00687758">
        <w:rPr>
          <w:i/>
          <w:iCs/>
        </w:rPr>
        <w:t>s</w:t>
      </w:r>
      <w:r w:rsidRPr="00687758">
        <w:rPr>
          <w:i/>
          <w:iCs/>
        </w:rPr>
        <w:t>ses</w:t>
      </w:r>
      <w:r>
        <w:t>,</w:t>
      </w:r>
      <w:r>
        <w:rPr>
          <w:lang w:val="fr-FR" w:eastAsia="fr-FR" w:bidi="fr-FR"/>
        </w:rPr>
        <w:t xml:space="preserve"> New York, Harper Collins, 1996, p. 269.</w:t>
      </w:r>
    </w:p>
  </w:footnote>
  <w:footnote w:id="381">
    <w:p w14:paraId="4C7D377E" w14:textId="77777777" w:rsidR="0039793A" w:rsidRDefault="0039793A" w:rsidP="0039793A">
      <w:pPr>
        <w:pStyle w:val="Notedebasdepage"/>
      </w:pPr>
      <w:r>
        <w:rPr>
          <w:rStyle w:val="Appelnotedebasdep"/>
        </w:rPr>
        <w:footnoteRef/>
      </w:r>
      <w:r>
        <w:tab/>
      </w:r>
      <w:r>
        <w:rPr>
          <w:lang w:val="fr-FR" w:eastAsia="fr-FR" w:bidi="fr-FR"/>
        </w:rPr>
        <w:t>La troïka Colin Powell (secrétaire d’État), Donald Rumsfeld (secrétaire à la Défense) et Condoleeza Rice (conseillère pour la Sécurité nationale), const</w:t>
      </w:r>
      <w:r>
        <w:rPr>
          <w:lang w:val="fr-FR" w:eastAsia="fr-FR" w:bidi="fr-FR"/>
        </w:rPr>
        <w:t>i</w:t>
      </w:r>
      <w:r>
        <w:rPr>
          <w:lang w:val="fr-FR" w:eastAsia="fr-FR" w:bidi="fr-FR"/>
        </w:rPr>
        <w:t>tue un bon exemple de conseillers qui par leur expérience pallient les lac</w:t>
      </w:r>
      <w:r>
        <w:rPr>
          <w:lang w:val="fr-FR" w:eastAsia="fr-FR" w:bidi="fr-FR"/>
        </w:rPr>
        <w:t>u</w:t>
      </w:r>
      <w:r>
        <w:rPr>
          <w:lang w:val="fr-FR" w:eastAsia="fr-FR" w:bidi="fr-FR"/>
        </w:rPr>
        <w:t>nes du président George W. Bush en pol</w:t>
      </w:r>
      <w:r>
        <w:rPr>
          <w:lang w:val="fr-FR" w:eastAsia="fr-FR" w:bidi="fr-FR"/>
        </w:rPr>
        <w:t>i</w:t>
      </w:r>
      <w:r>
        <w:rPr>
          <w:lang w:val="fr-FR" w:eastAsia="fr-FR" w:bidi="fr-FR"/>
        </w:rPr>
        <w:t>tique étrangère.</w:t>
      </w:r>
    </w:p>
  </w:footnote>
  <w:footnote w:id="382">
    <w:p w14:paraId="7AC6BD21" w14:textId="77777777" w:rsidR="0039793A" w:rsidRDefault="0039793A" w:rsidP="0039793A">
      <w:pPr>
        <w:pStyle w:val="Notedebasdepage"/>
      </w:pPr>
      <w:r>
        <w:rPr>
          <w:rStyle w:val="Appelnotedebasdep"/>
        </w:rPr>
        <w:footnoteRef/>
      </w:r>
      <w:r>
        <w:tab/>
      </w:r>
      <w:r>
        <w:rPr>
          <w:lang w:val="fr-FR" w:eastAsia="fr-FR" w:bidi="fr-FR"/>
        </w:rPr>
        <w:t xml:space="preserve">Wiarda, </w:t>
      </w:r>
      <w:r w:rsidRPr="00687758">
        <w:rPr>
          <w:i/>
          <w:iCs/>
        </w:rPr>
        <w:t>op. cit</w:t>
      </w:r>
      <w:r>
        <w:t>.,</w:t>
      </w:r>
      <w:r>
        <w:rPr>
          <w:lang w:val="fr-FR" w:eastAsia="fr-FR" w:bidi="fr-FR"/>
        </w:rPr>
        <w:t xml:space="preserve"> p. 275.</w:t>
      </w:r>
    </w:p>
  </w:footnote>
  <w:footnote w:id="383">
    <w:p w14:paraId="35528B75" w14:textId="77777777" w:rsidR="0039793A" w:rsidRDefault="0039793A" w:rsidP="0039793A">
      <w:pPr>
        <w:pStyle w:val="Notedebasdepage"/>
      </w:pPr>
      <w:r>
        <w:rPr>
          <w:rStyle w:val="Appelnotedebasdep"/>
        </w:rPr>
        <w:footnoteRef/>
      </w:r>
      <w:r>
        <w:tab/>
      </w:r>
      <w:r>
        <w:rPr>
          <w:lang w:val="fr-FR" w:eastAsia="fr-FR" w:bidi="fr-FR"/>
        </w:rPr>
        <w:t xml:space="preserve">Le classique du genre est l’étude sur la carrière de Woodrow Wilson par Juliette et Alexander George, </w:t>
      </w:r>
      <w:r w:rsidRPr="00687758">
        <w:rPr>
          <w:i/>
          <w:iCs/>
        </w:rPr>
        <w:t>Woodrow Wilson and Colonel House : A Pe</w:t>
      </w:r>
      <w:r w:rsidRPr="00687758">
        <w:rPr>
          <w:i/>
          <w:iCs/>
        </w:rPr>
        <w:t>r</w:t>
      </w:r>
      <w:r w:rsidRPr="00687758">
        <w:rPr>
          <w:i/>
          <w:iCs/>
        </w:rPr>
        <w:t>sonality Study</w:t>
      </w:r>
      <w:r>
        <w:t>,</w:t>
      </w:r>
      <w:r>
        <w:rPr>
          <w:lang w:val="fr-FR" w:eastAsia="fr-FR" w:bidi="fr-FR"/>
        </w:rPr>
        <w:t xml:space="preserve"> New York, Dover Publisher, 1964, 361 p.. Voir aussi de ces auteurs, </w:t>
      </w:r>
      <w:r w:rsidRPr="00687758">
        <w:rPr>
          <w:i/>
          <w:iCs/>
        </w:rPr>
        <w:t>Presidential Personality and Performance</w:t>
      </w:r>
      <w:r>
        <w:rPr>
          <w:lang w:val="fr-FR" w:eastAsia="fr-FR" w:bidi="fr-FR"/>
        </w:rPr>
        <w:t>, Boulder, Wes</w:t>
      </w:r>
      <w:r>
        <w:rPr>
          <w:lang w:val="fr-FR" w:eastAsia="fr-FR" w:bidi="fr-FR"/>
        </w:rPr>
        <w:t>t</w:t>
      </w:r>
      <w:r>
        <w:rPr>
          <w:lang w:val="fr-FR" w:eastAsia="fr-FR" w:bidi="fr-FR"/>
        </w:rPr>
        <w:t>view Press, 1998, 287 p.</w:t>
      </w:r>
    </w:p>
  </w:footnote>
  <w:footnote w:id="384">
    <w:p w14:paraId="3ABCD3B5" w14:textId="77777777" w:rsidR="0039793A" w:rsidRDefault="0039793A" w:rsidP="0039793A">
      <w:pPr>
        <w:pStyle w:val="Notedebasdepage"/>
      </w:pPr>
      <w:r>
        <w:rPr>
          <w:rStyle w:val="Appelnotedebasdep"/>
        </w:rPr>
        <w:footnoteRef/>
      </w:r>
      <w:r>
        <w:tab/>
      </w:r>
      <w:r>
        <w:rPr>
          <w:lang w:val="fr-FR" w:eastAsia="fr-FR" w:bidi="fr-FR"/>
        </w:rPr>
        <w:t xml:space="preserve">James David Barber, </w:t>
      </w:r>
      <w:r w:rsidRPr="00687758">
        <w:rPr>
          <w:i/>
          <w:iCs/>
        </w:rPr>
        <w:t>The Presidential Character : Predicting Pe</w:t>
      </w:r>
      <w:r w:rsidRPr="00687758">
        <w:rPr>
          <w:i/>
          <w:iCs/>
        </w:rPr>
        <w:t>r</w:t>
      </w:r>
      <w:r w:rsidRPr="00687758">
        <w:rPr>
          <w:i/>
          <w:iCs/>
        </w:rPr>
        <w:t>formance in the White House</w:t>
      </w:r>
      <w:r>
        <w:t>,</w:t>
      </w:r>
      <w:r>
        <w:rPr>
          <w:lang w:val="fr-FR" w:eastAsia="fr-FR" w:bidi="fr-FR"/>
        </w:rPr>
        <w:t xml:space="preserve"> Englewood Cliffs, Prentice-Hall, 3</w:t>
      </w:r>
      <w:r>
        <w:rPr>
          <w:vertAlign w:val="superscript"/>
          <w:lang w:val="fr-FR" w:eastAsia="fr-FR" w:bidi="fr-FR"/>
        </w:rPr>
        <w:t>e</w:t>
      </w:r>
      <w:r>
        <w:rPr>
          <w:lang w:val="fr-FR" w:eastAsia="fr-FR" w:bidi="fr-FR"/>
        </w:rPr>
        <w:t xml:space="preserve"> éd., 1992, 544 p.</w:t>
      </w:r>
    </w:p>
  </w:footnote>
  <w:footnote w:id="385">
    <w:p w14:paraId="7912962D" w14:textId="77777777" w:rsidR="0039793A" w:rsidRDefault="0039793A" w:rsidP="0039793A">
      <w:pPr>
        <w:pStyle w:val="Notedebasdepage"/>
      </w:pPr>
      <w:r>
        <w:rPr>
          <w:rStyle w:val="Appelnotedebasdep"/>
        </w:rPr>
        <w:footnoteRef/>
      </w:r>
      <w:r>
        <w:tab/>
      </w:r>
      <w:r>
        <w:rPr>
          <w:lang w:val="fr-FR" w:eastAsia="fr-FR" w:bidi="fr-FR"/>
        </w:rPr>
        <w:t xml:space="preserve">Alexander George, </w:t>
      </w:r>
      <w:r>
        <w:t>« </w:t>
      </w:r>
      <w:r>
        <w:rPr>
          <w:lang w:val="fr-FR" w:eastAsia="fr-FR" w:bidi="fr-FR"/>
        </w:rPr>
        <w:t>Assessing Presidential Character</w:t>
      </w:r>
      <w:r>
        <w:t> »</w:t>
      </w:r>
      <w:r>
        <w:rPr>
          <w:lang w:val="fr-FR" w:eastAsia="fr-FR" w:bidi="fr-FR"/>
        </w:rPr>
        <w:t xml:space="preserve">, dans Juliette et Alexander George, </w:t>
      </w:r>
      <w:r w:rsidRPr="000D02D4">
        <w:rPr>
          <w:i/>
          <w:iCs/>
        </w:rPr>
        <w:t>op. cit</w:t>
      </w:r>
      <w:r>
        <w:t>.,</w:t>
      </w:r>
      <w:r>
        <w:rPr>
          <w:lang w:val="fr-FR" w:eastAsia="fr-FR" w:bidi="fr-FR"/>
        </w:rPr>
        <w:t xml:space="preserve"> p. 145-197</w:t>
      </w:r>
      <w:r>
        <w:t> ;</w:t>
      </w:r>
      <w:r>
        <w:rPr>
          <w:lang w:val="fr-FR" w:eastAsia="fr-FR" w:bidi="fr-FR"/>
        </w:rPr>
        <w:t xml:space="preserve"> Stanley Renshon, </w:t>
      </w:r>
      <w:r w:rsidRPr="000D02D4">
        <w:rPr>
          <w:i/>
          <w:iCs/>
        </w:rPr>
        <w:t>The Psycholog</w:t>
      </w:r>
      <w:r w:rsidRPr="000D02D4">
        <w:rPr>
          <w:i/>
          <w:iCs/>
        </w:rPr>
        <w:t>i</w:t>
      </w:r>
      <w:r w:rsidRPr="000D02D4">
        <w:rPr>
          <w:i/>
          <w:iCs/>
        </w:rPr>
        <w:t>cal Assessment of Presidential Candidates</w:t>
      </w:r>
      <w:r>
        <w:rPr>
          <w:lang w:val="fr-FR" w:eastAsia="fr-FR" w:bidi="fr-FR"/>
        </w:rPr>
        <w:t>, New York, New York Univers</w:t>
      </w:r>
      <w:r>
        <w:rPr>
          <w:lang w:val="fr-FR" w:eastAsia="fr-FR" w:bidi="fr-FR"/>
        </w:rPr>
        <w:t>i</w:t>
      </w:r>
      <w:r>
        <w:rPr>
          <w:lang w:val="fr-FR" w:eastAsia="fr-FR" w:bidi="fr-FR"/>
        </w:rPr>
        <w:t>ty Press, 1996, 515 p.</w:t>
      </w:r>
    </w:p>
  </w:footnote>
  <w:footnote w:id="386">
    <w:p w14:paraId="59182ADE" w14:textId="77777777" w:rsidR="0039793A" w:rsidRDefault="0039793A" w:rsidP="0039793A">
      <w:pPr>
        <w:pStyle w:val="Notedebasdepage"/>
      </w:pPr>
      <w:r>
        <w:rPr>
          <w:rStyle w:val="Appelnotedebasdep"/>
        </w:rPr>
        <w:footnoteRef/>
      </w:r>
      <w:r>
        <w:tab/>
      </w:r>
      <w:r>
        <w:rPr>
          <w:lang w:val="fr-FR" w:eastAsia="fr-FR" w:bidi="fr-FR"/>
        </w:rPr>
        <w:t xml:space="preserve">Fred Greenstein, </w:t>
      </w:r>
      <w:r w:rsidRPr="000D02D4">
        <w:rPr>
          <w:i/>
          <w:iCs/>
        </w:rPr>
        <w:t>The Presidential Diff</w:t>
      </w:r>
      <w:r>
        <w:rPr>
          <w:i/>
          <w:iCs/>
        </w:rPr>
        <w:t>e</w:t>
      </w:r>
      <w:r w:rsidRPr="000D02D4">
        <w:rPr>
          <w:i/>
          <w:iCs/>
        </w:rPr>
        <w:t xml:space="preserve">rence. Leadership Style </w:t>
      </w:r>
      <w:r w:rsidRPr="000D02D4">
        <w:rPr>
          <w:i/>
          <w:iCs/>
          <w:lang w:val="fr-FR" w:eastAsia="fr-FR" w:bidi="fr-FR"/>
        </w:rPr>
        <w:t xml:space="preserve">from </w:t>
      </w:r>
      <w:r w:rsidRPr="000D02D4">
        <w:rPr>
          <w:i/>
          <w:iCs/>
        </w:rPr>
        <w:t xml:space="preserve">FDR </w:t>
      </w:r>
      <w:r w:rsidRPr="000D02D4">
        <w:rPr>
          <w:i/>
          <w:iCs/>
          <w:lang w:val="fr-FR" w:eastAsia="fr-FR" w:bidi="fr-FR"/>
        </w:rPr>
        <w:t>to Clinton</w:t>
      </w:r>
      <w:r>
        <w:rPr>
          <w:lang w:val="fr-FR" w:eastAsia="fr-FR" w:bidi="fr-FR"/>
        </w:rPr>
        <w:t>, Princeton, Princeton University Press, 2001, 293 p.</w:t>
      </w:r>
    </w:p>
  </w:footnote>
  <w:footnote w:id="387">
    <w:p w14:paraId="0F315D7E" w14:textId="77777777" w:rsidR="0039793A" w:rsidRDefault="0039793A" w:rsidP="0039793A">
      <w:pPr>
        <w:pStyle w:val="Notedebasdepage"/>
      </w:pPr>
      <w:r>
        <w:rPr>
          <w:rStyle w:val="Appelnotedebasdep"/>
        </w:rPr>
        <w:footnoteRef/>
      </w:r>
      <w:r>
        <w:tab/>
      </w:r>
      <w:r>
        <w:rPr>
          <w:lang w:val="fr-FR" w:eastAsia="fr-FR" w:bidi="fr-FR"/>
        </w:rPr>
        <w:t>Notamment l’affaire Lewinsky, mais aussi les premières années difficiles marquées par les incohérences décisionnelles autour de la mission mil</w:t>
      </w:r>
      <w:r>
        <w:rPr>
          <w:lang w:val="fr-FR" w:eastAsia="fr-FR" w:bidi="fr-FR"/>
        </w:rPr>
        <w:t>i</w:t>
      </w:r>
      <w:r>
        <w:rPr>
          <w:lang w:val="fr-FR" w:eastAsia="fr-FR" w:bidi="fr-FR"/>
        </w:rPr>
        <w:t>taire en Somalie et du refus d’intervenir en Bosnie.</w:t>
      </w:r>
    </w:p>
  </w:footnote>
  <w:footnote w:id="388">
    <w:p w14:paraId="73DC7241" w14:textId="77777777" w:rsidR="0039793A" w:rsidRDefault="0039793A" w:rsidP="0039793A">
      <w:pPr>
        <w:pStyle w:val="Notedebasdepage"/>
      </w:pPr>
      <w:r>
        <w:rPr>
          <w:rStyle w:val="Appelnotedebasdep"/>
        </w:rPr>
        <w:footnoteRef/>
      </w:r>
      <w:r>
        <w:tab/>
        <w:t xml:space="preserve">Robert Dallek, </w:t>
      </w:r>
      <w:r w:rsidRPr="000E586E">
        <w:rPr>
          <w:i/>
          <w:iCs/>
          <w:lang w:val="fr-FR" w:eastAsia="fr-FR" w:bidi="fr-FR"/>
        </w:rPr>
        <w:t>Hail to the Chief. The Making and Unmaking of American Presidents</w:t>
      </w:r>
      <w:r>
        <w:t>, New York, Hyperion, 1996, 232 p.</w:t>
      </w:r>
    </w:p>
  </w:footnote>
  <w:footnote w:id="389">
    <w:p w14:paraId="6B180C64" w14:textId="77777777" w:rsidR="0039793A" w:rsidRDefault="0039793A" w:rsidP="0039793A">
      <w:pPr>
        <w:pStyle w:val="Notedebasdepage"/>
      </w:pPr>
      <w:r>
        <w:rPr>
          <w:rStyle w:val="Appelnotedebasdep"/>
        </w:rPr>
        <w:footnoteRef/>
      </w:r>
      <w:r>
        <w:tab/>
      </w:r>
      <w:r>
        <w:rPr>
          <w:lang w:val="fr-FR" w:eastAsia="fr-FR" w:bidi="fr-FR"/>
        </w:rPr>
        <w:t xml:space="preserve">Philip Tetlock, </w:t>
      </w:r>
      <w:r>
        <w:t>« </w:t>
      </w:r>
      <w:r>
        <w:rPr>
          <w:lang w:val="fr-FR" w:eastAsia="fr-FR" w:bidi="fr-FR"/>
        </w:rPr>
        <w:t>Cognitive Perspectives on F</w:t>
      </w:r>
      <w:r>
        <w:rPr>
          <w:lang w:val="fr-FR" w:eastAsia="fr-FR" w:bidi="fr-FR"/>
        </w:rPr>
        <w:t>o</w:t>
      </w:r>
      <w:r>
        <w:rPr>
          <w:lang w:val="fr-FR" w:eastAsia="fr-FR" w:bidi="fr-FR"/>
        </w:rPr>
        <w:t>reign Policy</w:t>
      </w:r>
      <w:r>
        <w:t> »</w:t>
      </w:r>
      <w:r>
        <w:rPr>
          <w:lang w:val="fr-FR" w:eastAsia="fr-FR" w:bidi="fr-FR"/>
        </w:rPr>
        <w:t xml:space="preserve">, dans John Ikenberry (ed.), </w:t>
      </w:r>
      <w:r w:rsidRPr="000E586E">
        <w:rPr>
          <w:i/>
          <w:iCs/>
        </w:rPr>
        <w:t>American Foreign Policy : Theoretical E</w:t>
      </w:r>
      <w:r w:rsidRPr="000E586E">
        <w:rPr>
          <w:i/>
          <w:iCs/>
        </w:rPr>
        <w:t>s</w:t>
      </w:r>
      <w:r w:rsidRPr="000E586E">
        <w:rPr>
          <w:i/>
          <w:iCs/>
        </w:rPr>
        <w:t>says</w:t>
      </w:r>
      <w:r>
        <w:rPr>
          <w:lang w:val="fr-FR" w:eastAsia="fr-FR" w:bidi="fr-FR"/>
        </w:rPr>
        <w:t>, New York, Longman, 4</w:t>
      </w:r>
      <w:r w:rsidRPr="003F1BC6">
        <w:rPr>
          <w:vertAlign w:val="superscript"/>
          <w:lang w:val="fr-FR" w:eastAsia="fr-FR" w:bidi="fr-FR"/>
        </w:rPr>
        <w:t>e</w:t>
      </w:r>
      <w:r>
        <w:rPr>
          <w:lang w:val="fr-FR" w:eastAsia="fr-FR" w:bidi="fr-FR"/>
        </w:rPr>
        <w:t xml:space="preserve"> éd., 2002, p. 488-506.</w:t>
      </w:r>
    </w:p>
  </w:footnote>
  <w:footnote w:id="390">
    <w:p w14:paraId="14A03E02" w14:textId="77777777" w:rsidR="0039793A" w:rsidRDefault="0039793A" w:rsidP="0039793A">
      <w:pPr>
        <w:pStyle w:val="Notedebasdepage"/>
      </w:pPr>
      <w:r>
        <w:rPr>
          <w:rStyle w:val="Appelnotedebasdep"/>
        </w:rPr>
        <w:footnoteRef/>
      </w:r>
      <w:r>
        <w:tab/>
      </w:r>
      <w:r>
        <w:rPr>
          <w:lang w:val="fr-FR" w:eastAsia="fr-FR" w:bidi="fr-FR"/>
        </w:rPr>
        <w:t xml:space="preserve">Donald Hafner, </w:t>
      </w:r>
      <w:r>
        <w:t>« </w:t>
      </w:r>
      <w:r>
        <w:rPr>
          <w:lang w:val="fr-FR" w:eastAsia="fr-FR" w:bidi="fr-FR"/>
        </w:rPr>
        <w:t>Presidential Leadership and the Foreign Policy Burea</w:t>
      </w:r>
      <w:r>
        <w:rPr>
          <w:lang w:val="fr-FR" w:eastAsia="fr-FR" w:bidi="fr-FR"/>
        </w:rPr>
        <w:t>u</w:t>
      </w:r>
      <w:r>
        <w:rPr>
          <w:lang w:val="fr-FR" w:eastAsia="fr-FR" w:bidi="fr-FR"/>
        </w:rPr>
        <w:t>cracy</w:t>
      </w:r>
      <w:r>
        <w:t> »</w:t>
      </w:r>
      <w:r>
        <w:rPr>
          <w:lang w:val="fr-FR" w:eastAsia="fr-FR" w:bidi="fr-FR"/>
        </w:rPr>
        <w:t xml:space="preserve">, dans David Deese (ed.), </w:t>
      </w:r>
      <w:r w:rsidRPr="000E586E">
        <w:rPr>
          <w:i/>
          <w:iCs/>
        </w:rPr>
        <w:t>The New Politics of American Foreign P</w:t>
      </w:r>
      <w:r w:rsidRPr="000E586E">
        <w:rPr>
          <w:i/>
          <w:iCs/>
        </w:rPr>
        <w:t>o</w:t>
      </w:r>
      <w:r w:rsidRPr="000E586E">
        <w:rPr>
          <w:i/>
          <w:iCs/>
        </w:rPr>
        <w:t>licy</w:t>
      </w:r>
      <w:r>
        <w:t>,</w:t>
      </w:r>
      <w:r>
        <w:rPr>
          <w:lang w:val="fr-FR" w:eastAsia="fr-FR" w:bidi="fr-FR"/>
        </w:rPr>
        <w:t xml:space="preserve"> New York, St. Martin’s Press, 1994, p. 36-58.</w:t>
      </w:r>
    </w:p>
  </w:footnote>
  <w:footnote w:id="391">
    <w:p w14:paraId="627798EF" w14:textId="77777777" w:rsidR="0039793A" w:rsidRDefault="0039793A" w:rsidP="0039793A">
      <w:pPr>
        <w:pStyle w:val="Notedebasdepage"/>
      </w:pPr>
      <w:r>
        <w:rPr>
          <w:rStyle w:val="Appelnotedebasdep"/>
        </w:rPr>
        <w:footnoteRef/>
      </w:r>
      <w:r>
        <w:tab/>
        <w:t xml:space="preserve">Thomas Preston, </w:t>
      </w:r>
      <w:r w:rsidRPr="000E586E">
        <w:rPr>
          <w:i/>
          <w:iCs/>
          <w:lang w:val="fr-FR" w:eastAsia="fr-FR" w:bidi="fr-FR"/>
        </w:rPr>
        <w:t>The President and His Inner Circle</w:t>
      </w:r>
      <w:r w:rsidRPr="000E586E">
        <w:rPr>
          <w:i/>
          <w:iCs/>
        </w:rPr>
        <w:t> :</w:t>
      </w:r>
      <w:r w:rsidRPr="000E586E">
        <w:rPr>
          <w:i/>
          <w:iCs/>
          <w:lang w:val="fr-FR" w:eastAsia="fr-FR" w:bidi="fr-FR"/>
        </w:rPr>
        <w:t xml:space="preserve"> Leader</w:t>
      </w:r>
      <w:r w:rsidRPr="000E586E">
        <w:rPr>
          <w:i/>
          <w:iCs/>
          <w:lang w:val="fr-FR" w:eastAsia="fr-FR" w:bidi="fr-FR"/>
        </w:rPr>
        <w:t>s</w:t>
      </w:r>
      <w:r w:rsidRPr="000E586E">
        <w:rPr>
          <w:i/>
          <w:iCs/>
          <w:lang w:val="fr-FR" w:eastAsia="fr-FR" w:bidi="fr-FR"/>
        </w:rPr>
        <w:t>hip Style and the Advisory Process in Foreign Affairs</w:t>
      </w:r>
      <w:r>
        <w:rPr>
          <w:lang w:val="fr-FR" w:eastAsia="fr-FR" w:bidi="fr-FR"/>
        </w:rPr>
        <w:t>,</w:t>
      </w:r>
      <w:r>
        <w:t xml:space="preserve"> New York, Columbia Univers</w:t>
      </w:r>
      <w:r>
        <w:t>i</w:t>
      </w:r>
      <w:r>
        <w:t>ty Press, 2001, p. 5-31.</w:t>
      </w:r>
    </w:p>
  </w:footnote>
  <w:footnote w:id="392">
    <w:p w14:paraId="2132EA3C" w14:textId="77777777" w:rsidR="0039793A" w:rsidRDefault="0039793A" w:rsidP="0039793A">
      <w:pPr>
        <w:pStyle w:val="Notedebasdepage"/>
      </w:pPr>
      <w:r>
        <w:rPr>
          <w:rStyle w:val="Appelnotedebasdep"/>
        </w:rPr>
        <w:footnoteRef/>
      </w:r>
      <w:r>
        <w:tab/>
      </w:r>
      <w:r>
        <w:rPr>
          <w:lang w:val="fr-FR" w:eastAsia="fr-FR" w:bidi="fr-FR"/>
        </w:rPr>
        <w:t xml:space="preserve">Charles-Philippe David, </w:t>
      </w:r>
      <w:r w:rsidRPr="00423327">
        <w:rPr>
          <w:i/>
          <w:iCs/>
        </w:rPr>
        <w:t>Au sein de la Maison-Blanche. La fo</w:t>
      </w:r>
      <w:r w:rsidRPr="00423327">
        <w:rPr>
          <w:i/>
          <w:iCs/>
        </w:rPr>
        <w:t>r</w:t>
      </w:r>
      <w:r w:rsidRPr="00423327">
        <w:rPr>
          <w:i/>
          <w:iCs/>
        </w:rPr>
        <w:t>mulation de la politique étrangère des États-Unis de Truman à Cli</w:t>
      </w:r>
      <w:r w:rsidRPr="00423327">
        <w:rPr>
          <w:i/>
          <w:iCs/>
        </w:rPr>
        <w:t>n</w:t>
      </w:r>
      <w:r w:rsidRPr="00423327">
        <w:rPr>
          <w:i/>
          <w:iCs/>
        </w:rPr>
        <w:t>ton</w:t>
      </w:r>
      <w:r>
        <w:t>,</w:t>
      </w:r>
      <w:r>
        <w:rPr>
          <w:lang w:val="fr-FR" w:eastAsia="fr-FR" w:bidi="fr-FR"/>
        </w:rPr>
        <w:t xml:space="preserve"> Québec, Presses de l’Université Laval, 1994, 521p. (2</w:t>
      </w:r>
      <w:r>
        <w:rPr>
          <w:vertAlign w:val="superscript"/>
          <w:lang w:val="fr-FR" w:eastAsia="fr-FR" w:bidi="fr-FR"/>
        </w:rPr>
        <w:t>e</w:t>
      </w:r>
      <w:r>
        <w:rPr>
          <w:lang w:val="fr-FR" w:eastAsia="fr-FR" w:bidi="fr-FR"/>
        </w:rPr>
        <w:t xml:space="preserve"> éd. à par</w:t>
      </w:r>
      <w:r>
        <w:rPr>
          <w:lang w:val="fr-FR" w:eastAsia="fr-FR" w:bidi="fr-FR"/>
        </w:rPr>
        <w:t>a</w:t>
      </w:r>
      <w:r>
        <w:rPr>
          <w:lang w:val="fr-FR" w:eastAsia="fr-FR" w:bidi="fr-FR"/>
        </w:rPr>
        <w:t>ître en 2004).</w:t>
      </w:r>
    </w:p>
  </w:footnote>
  <w:footnote w:id="393">
    <w:p w14:paraId="3950B85E" w14:textId="77777777" w:rsidR="0039793A" w:rsidRDefault="0039793A" w:rsidP="0039793A">
      <w:pPr>
        <w:pStyle w:val="Notedebasdepage"/>
      </w:pPr>
      <w:r>
        <w:rPr>
          <w:rStyle w:val="Appelnotedebasdep"/>
        </w:rPr>
        <w:footnoteRef/>
      </w:r>
      <w:r>
        <w:tab/>
      </w:r>
      <w:r>
        <w:rPr>
          <w:lang w:val="fr-FR" w:eastAsia="fr-FR" w:bidi="fr-FR"/>
        </w:rPr>
        <w:t xml:space="preserve">Richard Cottam et Bert Rockman, </w:t>
      </w:r>
      <w:r>
        <w:t>« </w:t>
      </w:r>
      <w:r>
        <w:rPr>
          <w:lang w:val="fr-FR" w:eastAsia="fr-FR" w:bidi="fr-FR"/>
        </w:rPr>
        <w:t>In the Shadow of Substa</w:t>
      </w:r>
      <w:r>
        <w:rPr>
          <w:lang w:val="fr-FR" w:eastAsia="fr-FR" w:bidi="fr-FR"/>
        </w:rPr>
        <w:t>n</w:t>
      </w:r>
      <w:r>
        <w:rPr>
          <w:lang w:val="fr-FR" w:eastAsia="fr-FR" w:bidi="fr-FR"/>
        </w:rPr>
        <w:t>ce</w:t>
      </w:r>
      <w:r>
        <w:t> :</w:t>
      </w:r>
      <w:r>
        <w:rPr>
          <w:lang w:val="fr-FR" w:eastAsia="fr-FR" w:bidi="fr-FR"/>
        </w:rPr>
        <w:t xml:space="preserve"> Presidents as Foreign Pol</w:t>
      </w:r>
      <w:r>
        <w:rPr>
          <w:lang w:val="fr-FR" w:eastAsia="fr-FR" w:bidi="fr-FR"/>
        </w:rPr>
        <w:t>i</w:t>
      </w:r>
      <w:r>
        <w:rPr>
          <w:lang w:val="fr-FR" w:eastAsia="fr-FR" w:bidi="fr-FR"/>
        </w:rPr>
        <w:t>cy Makers</w:t>
      </w:r>
      <w:r>
        <w:t> »</w:t>
      </w:r>
      <w:r>
        <w:rPr>
          <w:lang w:val="fr-FR" w:eastAsia="fr-FR" w:bidi="fr-FR"/>
        </w:rPr>
        <w:t xml:space="preserve">, dans David Forsythe (ed.), </w:t>
      </w:r>
      <w:r w:rsidRPr="00423327">
        <w:rPr>
          <w:i/>
          <w:iCs/>
        </w:rPr>
        <w:t xml:space="preserve">American Foreign Policy in an </w:t>
      </w:r>
      <w:r>
        <w:rPr>
          <w:i/>
          <w:iCs/>
        </w:rPr>
        <w:t>U</w:t>
      </w:r>
      <w:r w:rsidRPr="00423327">
        <w:rPr>
          <w:i/>
          <w:iCs/>
        </w:rPr>
        <w:t>ncertain World</w:t>
      </w:r>
      <w:r>
        <w:rPr>
          <w:lang w:val="fr-FR" w:eastAsia="fr-FR" w:bidi="fr-FR"/>
        </w:rPr>
        <w:t>, University of N</w:t>
      </w:r>
      <w:r>
        <w:rPr>
          <w:lang w:val="fr-FR" w:eastAsia="fr-FR" w:bidi="fr-FR"/>
        </w:rPr>
        <w:t>e</w:t>
      </w:r>
      <w:r>
        <w:rPr>
          <w:lang w:val="fr-FR" w:eastAsia="fr-FR" w:bidi="fr-FR"/>
        </w:rPr>
        <w:t>braska Press, 1984, p. 65-101.</w:t>
      </w:r>
    </w:p>
  </w:footnote>
  <w:footnote w:id="394">
    <w:p w14:paraId="68BDCD4E" w14:textId="77777777" w:rsidR="0039793A" w:rsidRDefault="0039793A" w:rsidP="0039793A">
      <w:pPr>
        <w:pStyle w:val="Notedebasdepage"/>
      </w:pPr>
      <w:r>
        <w:rPr>
          <w:rStyle w:val="Appelnotedebasdep"/>
        </w:rPr>
        <w:footnoteRef/>
      </w:r>
      <w:r>
        <w:tab/>
      </w:r>
      <w:r>
        <w:rPr>
          <w:lang w:val="fr-FR" w:eastAsia="fr-FR" w:bidi="fr-FR"/>
        </w:rPr>
        <w:t xml:space="preserve">Alexander George et Eric Stern, </w:t>
      </w:r>
      <w:r>
        <w:t>« </w:t>
      </w:r>
      <w:r>
        <w:rPr>
          <w:lang w:val="fr-FR" w:eastAsia="fr-FR" w:bidi="fr-FR"/>
        </w:rPr>
        <w:t>Presidential Management Styles and M</w:t>
      </w:r>
      <w:r>
        <w:rPr>
          <w:lang w:val="fr-FR" w:eastAsia="fr-FR" w:bidi="fr-FR"/>
        </w:rPr>
        <w:t>o</w:t>
      </w:r>
      <w:r>
        <w:rPr>
          <w:lang w:val="fr-FR" w:eastAsia="fr-FR" w:bidi="fr-FR"/>
        </w:rPr>
        <w:t>dels</w:t>
      </w:r>
      <w:r>
        <w:t> »</w:t>
      </w:r>
      <w:r>
        <w:rPr>
          <w:lang w:val="fr-FR" w:eastAsia="fr-FR" w:bidi="fr-FR"/>
        </w:rPr>
        <w:t xml:space="preserve">, dans Juliette et Alexander George, </w:t>
      </w:r>
      <w:r w:rsidRPr="00423327">
        <w:rPr>
          <w:i/>
          <w:iCs/>
        </w:rPr>
        <w:t>Presidential Personality and Pe</w:t>
      </w:r>
      <w:r w:rsidRPr="00423327">
        <w:rPr>
          <w:i/>
          <w:iCs/>
        </w:rPr>
        <w:t>r</w:t>
      </w:r>
      <w:r w:rsidRPr="00423327">
        <w:rPr>
          <w:i/>
          <w:iCs/>
        </w:rPr>
        <w:t>formance,</w:t>
      </w:r>
      <w:r>
        <w:rPr>
          <w:lang w:val="fr-FR" w:eastAsia="fr-FR" w:bidi="fr-FR"/>
        </w:rPr>
        <w:t xml:space="preserve"> Boulder, Westview Press, 1998, p. 199-280</w:t>
      </w:r>
      <w:r>
        <w:t> ;</w:t>
      </w:r>
      <w:r>
        <w:rPr>
          <w:lang w:val="fr-FR" w:eastAsia="fr-FR" w:bidi="fr-FR"/>
        </w:rPr>
        <w:t xml:space="preserve"> voir aussi de A. George, </w:t>
      </w:r>
      <w:r w:rsidRPr="00423327">
        <w:rPr>
          <w:i/>
          <w:iCs/>
        </w:rPr>
        <w:t>Presidential Decision-Making in Foreign P</w:t>
      </w:r>
      <w:r w:rsidRPr="00423327">
        <w:rPr>
          <w:i/>
          <w:iCs/>
        </w:rPr>
        <w:t>o</w:t>
      </w:r>
      <w:r w:rsidRPr="00423327">
        <w:rPr>
          <w:i/>
          <w:iCs/>
        </w:rPr>
        <w:t>licy : The Effective Use of Information and Advice</w:t>
      </w:r>
      <w:r>
        <w:t>,</w:t>
      </w:r>
      <w:r>
        <w:rPr>
          <w:lang w:val="fr-FR" w:eastAsia="fr-FR" w:bidi="fr-FR"/>
        </w:rPr>
        <w:t xml:space="preserve"> Boulder, Wes</w:t>
      </w:r>
      <w:r>
        <w:rPr>
          <w:lang w:val="fr-FR" w:eastAsia="fr-FR" w:bidi="fr-FR"/>
        </w:rPr>
        <w:t>t</w:t>
      </w:r>
      <w:r>
        <w:rPr>
          <w:lang w:val="fr-FR" w:eastAsia="fr-FR" w:bidi="fr-FR"/>
        </w:rPr>
        <w:t>view Press, 1980, 267 p.</w:t>
      </w:r>
    </w:p>
  </w:footnote>
  <w:footnote w:id="395">
    <w:p w14:paraId="547A1D66" w14:textId="77777777" w:rsidR="0039793A" w:rsidRDefault="0039793A" w:rsidP="0039793A">
      <w:pPr>
        <w:pStyle w:val="Notedebasdepage"/>
      </w:pPr>
      <w:r>
        <w:rPr>
          <w:rStyle w:val="Appelnotedebasdep"/>
        </w:rPr>
        <w:footnoteRef/>
      </w:r>
      <w:r>
        <w:tab/>
        <w:t xml:space="preserve">Irving Janis, </w:t>
      </w:r>
      <w:r w:rsidRPr="003F1BC6">
        <w:rPr>
          <w:i/>
          <w:lang w:val="fr-FR" w:eastAsia="fr-FR" w:bidi="fr-FR"/>
        </w:rPr>
        <w:t>Groupthink, Psychological Studies of Policy Dec</w:t>
      </w:r>
      <w:r w:rsidRPr="003F1BC6">
        <w:rPr>
          <w:i/>
          <w:lang w:val="fr-FR" w:eastAsia="fr-FR" w:bidi="fr-FR"/>
        </w:rPr>
        <w:t>i</w:t>
      </w:r>
      <w:r w:rsidRPr="003F1BC6">
        <w:rPr>
          <w:i/>
          <w:lang w:val="fr-FR" w:eastAsia="fr-FR" w:bidi="fr-FR"/>
        </w:rPr>
        <w:t>sions and Fiascos</w:t>
      </w:r>
      <w:r>
        <w:rPr>
          <w:lang w:val="fr-FR" w:eastAsia="fr-FR" w:bidi="fr-FR"/>
        </w:rPr>
        <w:t xml:space="preserve">, </w:t>
      </w:r>
      <w:r>
        <w:t>Boston, Houghton Mifflin, 1982, 349 p.</w:t>
      </w:r>
    </w:p>
  </w:footnote>
  <w:footnote w:id="396">
    <w:p w14:paraId="6BC6B9C1" w14:textId="77777777" w:rsidR="0039793A" w:rsidRDefault="0039793A" w:rsidP="0039793A">
      <w:pPr>
        <w:pStyle w:val="Notedebasdepage"/>
      </w:pPr>
      <w:r>
        <w:rPr>
          <w:rStyle w:val="Appelnotedebasdep"/>
        </w:rPr>
        <w:footnoteRef/>
      </w:r>
      <w:r>
        <w:tab/>
      </w:r>
      <w:r>
        <w:rPr>
          <w:lang w:val="fr-FR" w:eastAsia="fr-FR" w:bidi="fr-FR"/>
        </w:rPr>
        <w:t>On notera que Kennedy, moins expérimenté, compense par un style plus directif tandis que Bush, qui l’est plus, se satisfait d’une approche plus a</w:t>
      </w:r>
      <w:r>
        <w:rPr>
          <w:lang w:val="fr-FR" w:eastAsia="fr-FR" w:bidi="fr-FR"/>
        </w:rPr>
        <w:t>d</w:t>
      </w:r>
      <w:r>
        <w:rPr>
          <w:lang w:val="fr-FR" w:eastAsia="fr-FR" w:bidi="fr-FR"/>
        </w:rPr>
        <w:t>ministrative.</w:t>
      </w:r>
    </w:p>
  </w:footnote>
  <w:footnote w:id="397">
    <w:p w14:paraId="41D109F0" w14:textId="77777777" w:rsidR="0039793A" w:rsidRDefault="0039793A" w:rsidP="0039793A">
      <w:pPr>
        <w:pStyle w:val="Notedebasdepage"/>
      </w:pPr>
      <w:r>
        <w:rPr>
          <w:rStyle w:val="Appelnotedebasdep"/>
        </w:rPr>
        <w:footnoteRef/>
      </w:r>
      <w:r>
        <w:tab/>
      </w:r>
      <w:r>
        <w:rPr>
          <w:lang w:val="fr-FR" w:eastAsia="fr-FR" w:bidi="fr-FR"/>
        </w:rPr>
        <w:t xml:space="preserve">C.-P. David et al., </w:t>
      </w:r>
      <w:r w:rsidRPr="003F1BC6">
        <w:rPr>
          <w:i/>
        </w:rPr>
        <w:t>op. cit</w:t>
      </w:r>
      <w:r>
        <w:t>.</w:t>
      </w:r>
    </w:p>
  </w:footnote>
  <w:footnote w:id="398">
    <w:p w14:paraId="0B771A87" w14:textId="77777777" w:rsidR="0039793A" w:rsidRDefault="0039793A" w:rsidP="0039793A">
      <w:pPr>
        <w:pStyle w:val="Notedebasdepage"/>
      </w:pPr>
      <w:r>
        <w:rPr>
          <w:rStyle w:val="Appelnotedebasdep"/>
        </w:rPr>
        <w:footnoteRef/>
      </w:r>
      <w:r>
        <w:tab/>
      </w:r>
      <w:r>
        <w:rPr>
          <w:lang w:val="fr-FR" w:eastAsia="fr-FR" w:bidi="fr-FR"/>
        </w:rPr>
        <w:t xml:space="preserve">John Rourke et al., </w:t>
      </w:r>
      <w:r w:rsidRPr="002F5371">
        <w:rPr>
          <w:i/>
          <w:iCs/>
        </w:rPr>
        <w:t>Making American F</w:t>
      </w:r>
      <w:r w:rsidRPr="002F5371">
        <w:rPr>
          <w:i/>
          <w:iCs/>
        </w:rPr>
        <w:t>o</w:t>
      </w:r>
      <w:r w:rsidRPr="002F5371">
        <w:rPr>
          <w:i/>
          <w:iCs/>
        </w:rPr>
        <w:t>reign Policy</w:t>
      </w:r>
      <w:r>
        <w:t>,</w:t>
      </w:r>
      <w:r>
        <w:rPr>
          <w:lang w:val="fr-FR" w:eastAsia="fr-FR" w:bidi="fr-FR"/>
        </w:rPr>
        <w:t xml:space="preserve"> Guilford, Brown and Benchmark, 2</w:t>
      </w:r>
      <w:r>
        <w:rPr>
          <w:vertAlign w:val="superscript"/>
          <w:lang w:val="fr-FR" w:eastAsia="fr-FR" w:bidi="fr-FR"/>
        </w:rPr>
        <w:t>e</w:t>
      </w:r>
      <w:r>
        <w:rPr>
          <w:lang w:val="fr-FR" w:eastAsia="fr-FR" w:bidi="fr-FR"/>
        </w:rPr>
        <w:t>éd., 1996, p. 274.</w:t>
      </w:r>
    </w:p>
  </w:footnote>
  <w:footnote w:id="399">
    <w:p w14:paraId="73415474" w14:textId="77777777" w:rsidR="0039793A" w:rsidRDefault="0039793A">
      <w:pPr>
        <w:pStyle w:val="Notedebasdepage"/>
      </w:pPr>
      <w:r>
        <w:rPr>
          <w:rStyle w:val="Appelnotedebasdep"/>
        </w:rPr>
        <w:footnoteRef/>
      </w:r>
      <w:r>
        <w:tab/>
      </w:r>
      <w:r>
        <w:rPr>
          <w:lang w:val="fr-FR" w:eastAsia="fr-FR" w:bidi="fr-FR"/>
        </w:rPr>
        <w:t xml:space="preserve">Sam </w:t>
      </w:r>
      <w:r w:rsidRPr="003F1BC6">
        <w:t xml:space="preserve">Sarkesian et al., </w:t>
      </w:r>
      <w:r w:rsidRPr="002F5371">
        <w:rPr>
          <w:i/>
        </w:rPr>
        <w:t>US National Security. Policymakers, Pr</w:t>
      </w:r>
      <w:r w:rsidRPr="002F5371">
        <w:rPr>
          <w:i/>
        </w:rPr>
        <w:t>o</w:t>
      </w:r>
      <w:r w:rsidRPr="002F5371">
        <w:rPr>
          <w:i/>
        </w:rPr>
        <w:t>cesses, and Politics</w:t>
      </w:r>
      <w:r>
        <w:t>,</w:t>
      </w:r>
      <w:r>
        <w:rPr>
          <w:lang w:val="fr-FR" w:eastAsia="fr-FR" w:bidi="fr-FR"/>
        </w:rPr>
        <w:t xml:space="preserve"> Boulder, Ly</w:t>
      </w:r>
      <w:r>
        <w:rPr>
          <w:lang w:val="fr-FR" w:eastAsia="fr-FR" w:bidi="fr-FR"/>
        </w:rPr>
        <w:t>n</w:t>
      </w:r>
      <w:r>
        <w:rPr>
          <w:lang w:val="fr-FR" w:eastAsia="fr-FR" w:bidi="fr-FR"/>
        </w:rPr>
        <w:t>ne Rienner, 3</w:t>
      </w:r>
      <w:r w:rsidRPr="003F1BC6">
        <w:rPr>
          <w:vertAlign w:val="superscript"/>
          <w:lang w:val="fr-FR" w:eastAsia="fr-FR" w:bidi="fr-FR"/>
        </w:rPr>
        <w:t>e</w:t>
      </w:r>
      <w:r>
        <w:rPr>
          <w:lang w:val="fr-FR" w:eastAsia="fr-FR" w:bidi="fr-FR"/>
        </w:rPr>
        <w:t xml:space="preserve"> éd., 2002, p. 83.</w:t>
      </w:r>
    </w:p>
  </w:footnote>
  <w:footnote w:id="400">
    <w:p w14:paraId="2C51D4D0" w14:textId="77777777" w:rsidR="0039793A" w:rsidRDefault="0039793A" w:rsidP="0039793A">
      <w:pPr>
        <w:pStyle w:val="Notedebasdepage"/>
      </w:pPr>
      <w:r>
        <w:rPr>
          <w:rStyle w:val="Appelnotedebasdep"/>
        </w:rPr>
        <w:footnoteRef/>
      </w:r>
      <w:r>
        <w:tab/>
      </w:r>
      <w:r w:rsidRPr="002F5371">
        <w:rPr>
          <w:i/>
          <w:iCs/>
        </w:rPr>
        <w:t>Ibid</w:t>
      </w:r>
      <w:r>
        <w:t>.,</w:t>
      </w:r>
      <w:r>
        <w:rPr>
          <w:lang w:val="fr-FR" w:eastAsia="fr-FR" w:bidi="fr-FR"/>
        </w:rPr>
        <w:t xml:space="preserve"> p. 97.</w:t>
      </w:r>
    </w:p>
  </w:footnote>
  <w:footnote w:id="401">
    <w:p w14:paraId="5A5DEDFA" w14:textId="77777777" w:rsidR="0039793A" w:rsidRDefault="0039793A" w:rsidP="0039793A">
      <w:pPr>
        <w:pStyle w:val="Notedebasdepage"/>
      </w:pPr>
      <w:r>
        <w:rPr>
          <w:rStyle w:val="Appelnotedebasdep"/>
        </w:rPr>
        <w:footnoteRef/>
      </w:r>
      <w:r>
        <w:tab/>
      </w:r>
      <w:r>
        <w:rPr>
          <w:lang w:val="fr-FR" w:eastAsia="fr-FR" w:bidi="fr-FR"/>
        </w:rPr>
        <w:t xml:space="preserve">Richard Gardner, </w:t>
      </w:r>
      <w:r>
        <w:t>« </w:t>
      </w:r>
      <w:r>
        <w:rPr>
          <w:lang w:val="fr-FR" w:eastAsia="fr-FR" w:bidi="fr-FR"/>
        </w:rPr>
        <w:t>The One Percent Solution</w:t>
      </w:r>
      <w:r>
        <w:t> »</w:t>
      </w:r>
      <w:r>
        <w:rPr>
          <w:lang w:val="fr-FR" w:eastAsia="fr-FR" w:bidi="fr-FR"/>
        </w:rPr>
        <w:t xml:space="preserve">, </w:t>
      </w:r>
      <w:r w:rsidRPr="0017662D">
        <w:rPr>
          <w:i/>
          <w:iCs/>
        </w:rPr>
        <w:t>Foreign A</w:t>
      </w:r>
      <w:r w:rsidRPr="0017662D">
        <w:rPr>
          <w:i/>
          <w:iCs/>
        </w:rPr>
        <w:t>f</w:t>
      </w:r>
      <w:r w:rsidRPr="0017662D">
        <w:rPr>
          <w:i/>
          <w:iCs/>
        </w:rPr>
        <w:t>fairs</w:t>
      </w:r>
      <w:r>
        <w:rPr>
          <w:lang w:val="fr-FR" w:eastAsia="fr-FR" w:bidi="fr-FR"/>
        </w:rPr>
        <w:t>, 79, juillet-août 2000, p. 3-7.</w:t>
      </w:r>
    </w:p>
  </w:footnote>
  <w:footnote w:id="402">
    <w:p w14:paraId="607F756C" w14:textId="77777777" w:rsidR="0039793A" w:rsidRDefault="0039793A" w:rsidP="0039793A">
      <w:pPr>
        <w:pStyle w:val="Notedebasdepage"/>
      </w:pPr>
      <w:r>
        <w:rPr>
          <w:rStyle w:val="Appelnotedebasdep"/>
        </w:rPr>
        <w:footnoteRef/>
      </w:r>
      <w:r>
        <w:tab/>
      </w:r>
      <w:r>
        <w:rPr>
          <w:lang w:val="fr-FR" w:eastAsia="fr-FR" w:bidi="fr-FR"/>
        </w:rPr>
        <w:t>Pour un exposé des structures du Département d’État, voir</w:t>
      </w:r>
      <w:r>
        <w:t> :</w:t>
      </w:r>
      <w:r>
        <w:rPr>
          <w:lang w:val="fr-FR" w:eastAsia="fr-FR" w:bidi="fr-FR"/>
        </w:rPr>
        <w:t xml:space="preserve"> Rou</w:t>
      </w:r>
      <w:r>
        <w:rPr>
          <w:lang w:val="fr-FR" w:eastAsia="fr-FR" w:bidi="fr-FR"/>
        </w:rPr>
        <w:t>r</w:t>
      </w:r>
      <w:r>
        <w:rPr>
          <w:lang w:val="fr-FR" w:eastAsia="fr-FR" w:bidi="fr-FR"/>
        </w:rPr>
        <w:t xml:space="preserve">ke et al., </w:t>
      </w:r>
      <w:r w:rsidRPr="0017662D">
        <w:rPr>
          <w:i/>
          <w:iCs/>
        </w:rPr>
        <w:t>op. cit</w:t>
      </w:r>
      <w:r>
        <w:t>.,</w:t>
      </w:r>
      <w:r>
        <w:rPr>
          <w:lang w:val="fr-FR" w:eastAsia="fr-FR" w:bidi="fr-FR"/>
        </w:rPr>
        <w:t xml:space="preserve"> p. 283-286</w:t>
      </w:r>
      <w:r>
        <w:t> ;</w:t>
      </w:r>
      <w:r>
        <w:rPr>
          <w:lang w:val="fr-FR" w:eastAsia="fr-FR" w:bidi="fr-FR"/>
        </w:rPr>
        <w:t xml:space="preserve"> Donald Snow et Eugene Brown, </w:t>
      </w:r>
      <w:r w:rsidRPr="0017662D">
        <w:rPr>
          <w:i/>
          <w:iCs/>
        </w:rPr>
        <w:t>Puzzle Palaces and Foggy Bottom</w:t>
      </w:r>
      <w:r w:rsidRPr="0017662D">
        <w:rPr>
          <w:i/>
          <w:iCs/>
          <w:lang w:val="fr-FR" w:eastAsia="fr-FR" w:bidi="fr-FR"/>
        </w:rPr>
        <w:t xml:space="preserve">. </w:t>
      </w:r>
      <w:r w:rsidRPr="0017662D">
        <w:rPr>
          <w:i/>
          <w:iCs/>
        </w:rPr>
        <w:t xml:space="preserve">US </w:t>
      </w:r>
      <w:r w:rsidRPr="0017662D">
        <w:rPr>
          <w:i/>
          <w:iCs/>
          <w:lang w:val="fr-FR" w:eastAsia="fr-FR" w:bidi="fr-FR"/>
        </w:rPr>
        <w:t>Foreign</w:t>
      </w:r>
      <w:r w:rsidRPr="0017662D">
        <w:rPr>
          <w:i/>
          <w:iCs/>
        </w:rPr>
        <w:t xml:space="preserve"> and Defense Policy-Making</w:t>
      </w:r>
      <w:r>
        <w:rPr>
          <w:lang w:val="fr-FR" w:eastAsia="fr-FR" w:bidi="fr-FR"/>
        </w:rPr>
        <w:t>, New York, St. Martin’s Press, 1994, p. 90-100</w:t>
      </w:r>
      <w:r>
        <w:t> ;</w:t>
      </w:r>
      <w:r>
        <w:rPr>
          <w:lang w:val="fr-FR" w:eastAsia="fr-FR" w:bidi="fr-FR"/>
        </w:rPr>
        <w:t xml:space="preserve"> James N</w:t>
      </w:r>
      <w:r>
        <w:rPr>
          <w:lang w:val="fr-FR" w:eastAsia="fr-FR" w:bidi="fr-FR"/>
        </w:rPr>
        <w:t>a</w:t>
      </w:r>
      <w:r>
        <w:rPr>
          <w:lang w:val="fr-FR" w:eastAsia="fr-FR" w:bidi="fr-FR"/>
        </w:rPr>
        <w:t xml:space="preserve">than et James Oliver, </w:t>
      </w:r>
      <w:r w:rsidRPr="0017662D">
        <w:rPr>
          <w:i/>
          <w:iCs/>
        </w:rPr>
        <w:t>Foreign Policy Making and the American Political System</w:t>
      </w:r>
      <w:r>
        <w:rPr>
          <w:lang w:val="fr-FR" w:eastAsia="fr-FR" w:bidi="fr-FR"/>
        </w:rPr>
        <w:t>, Baltimore, Johns Ho</w:t>
      </w:r>
      <w:r>
        <w:rPr>
          <w:lang w:val="fr-FR" w:eastAsia="fr-FR" w:bidi="fr-FR"/>
        </w:rPr>
        <w:t>p</w:t>
      </w:r>
      <w:r>
        <w:rPr>
          <w:lang w:val="fr-FR" w:eastAsia="fr-FR" w:bidi="fr-FR"/>
        </w:rPr>
        <w:t>kins University Press, 3</w:t>
      </w:r>
      <w:r w:rsidRPr="003F1BC6">
        <w:rPr>
          <w:vertAlign w:val="superscript"/>
          <w:lang w:val="fr-FR" w:eastAsia="fr-FR" w:bidi="fr-FR"/>
        </w:rPr>
        <w:t>e</w:t>
      </w:r>
      <w:r>
        <w:rPr>
          <w:lang w:val="fr-FR" w:eastAsia="fr-FR" w:bidi="fr-FR"/>
        </w:rPr>
        <w:t xml:space="preserve"> éd., 1994, p. 11-17.</w:t>
      </w:r>
    </w:p>
  </w:footnote>
  <w:footnote w:id="403">
    <w:p w14:paraId="14C895C4" w14:textId="77777777" w:rsidR="0039793A" w:rsidRDefault="0039793A" w:rsidP="0039793A">
      <w:pPr>
        <w:pStyle w:val="Notedebasdepage"/>
      </w:pPr>
      <w:r>
        <w:rPr>
          <w:rStyle w:val="Appelnotedebasdep"/>
        </w:rPr>
        <w:footnoteRef/>
      </w:r>
      <w:r>
        <w:tab/>
      </w:r>
      <w:r>
        <w:rPr>
          <w:lang w:val="fr-FR" w:eastAsia="fr-FR" w:bidi="fr-FR"/>
        </w:rPr>
        <w:t xml:space="preserve">Charles Kegley et Eugene Wittkopf, </w:t>
      </w:r>
      <w:r w:rsidRPr="0017662D">
        <w:rPr>
          <w:i/>
          <w:iCs/>
        </w:rPr>
        <w:t>Amer</w:t>
      </w:r>
      <w:r w:rsidRPr="0017662D">
        <w:rPr>
          <w:i/>
          <w:iCs/>
        </w:rPr>
        <w:t>i</w:t>
      </w:r>
      <w:r w:rsidRPr="0017662D">
        <w:rPr>
          <w:i/>
          <w:iCs/>
        </w:rPr>
        <w:t>can Foreign Policy : Pattern and Process</w:t>
      </w:r>
      <w:r>
        <w:t>,</w:t>
      </w:r>
      <w:r>
        <w:rPr>
          <w:lang w:val="fr-FR" w:eastAsia="fr-FR" w:bidi="fr-FR"/>
        </w:rPr>
        <w:t xml:space="preserve"> New York, St. Martin’s Press, 5</w:t>
      </w:r>
      <w:r>
        <w:rPr>
          <w:vertAlign w:val="superscript"/>
          <w:lang w:val="fr-FR" w:eastAsia="fr-FR" w:bidi="fr-FR"/>
        </w:rPr>
        <w:t>e</w:t>
      </w:r>
      <w:r>
        <w:rPr>
          <w:lang w:val="fr-FR" w:eastAsia="fr-FR" w:bidi="fr-FR"/>
        </w:rPr>
        <w:t xml:space="preserve"> éd., 1996, p. 385-386.</w:t>
      </w:r>
    </w:p>
  </w:footnote>
  <w:footnote w:id="404">
    <w:p w14:paraId="6E263866" w14:textId="77777777" w:rsidR="0039793A" w:rsidRDefault="0039793A" w:rsidP="0039793A">
      <w:pPr>
        <w:pStyle w:val="Notedebasdepage"/>
      </w:pPr>
      <w:r>
        <w:rPr>
          <w:rStyle w:val="Appelnotedebasdep"/>
        </w:rPr>
        <w:footnoteRef/>
      </w:r>
      <w:r>
        <w:tab/>
      </w:r>
      <w:r>
        <w:rPr>
          <w:lang w:val="fr-FR" w:eastAsia="fr-FR" w:bidi="fr-FR"/>
        </w:rPr>
        <w:t xml:space="preserve">James Lindsay, </w:t>
      </w:r>
      <w:r>
        <w:t>« </w:t>
      </w:r>
      <w:r>
        <w:rPr>
          <w:lang w:val="fr-FR" w:eastAsia="fr-FR" w:bidi="fr-FR"/>
        </w:rPr>
        <w:t>The State Department Co</w:t>
      </w:r>
      <w:r>
        <w:rPr>
          <w:lang w:val="fr-FR" w:eastAsia="fr-FR" w:bidi="fr-FR"/>
        </w:rPr>
        <w:t>m</w:t>
      </w:r>
      <w:r>
        <w:rPr>
          <w:lang w:val="fr-FR" w:eastAsia="fr-FR" w:bidi="fr-FR"/>
        </w:rPr>
        <w:t>plex After the Cold War</w:t>
      </w:r>
      <w:r>
        <w:t> »</w:t>
      </w:r>
      <w:r>
        <w:rPr>
          <w:lang w:val="fr-FR" w:eastAsia="fr-FR" w:bidi="fr-FR"/>
        </w:rPr>
        <w:t xml:space="preserve">, dans James Lindsay (ed.), </w:t>
      </w:r>
      <w:r w:rsidRPr="00631350">
        <w:rPr>
          <w:i/>
        </w:rPr>
        <w:t>US</w:t>
      </w:r>
      <w:r w:rsidRPr="00631350">
        <w:rPr>
          <w:rStyle w:val="Notedebasdepage65ptItaliqueEspacement0pt"/>
          <w:i w:val="0"/>
        </w:rPr>
        <w:t xml:space="preserve"> </w:t>
      </w:r>
      <w:r w:rsidRPr="00631350">
        <w:rPr>
          <w:i/>
        </w:rPr>
        <w:t>Foreign Policy After the Cold War</w:t>
      </w:r>
      <w:r>
        <w:t>,</w:t>
      </w:r>
      <w:r>
        <w:rPr>
          <w:lang w:val="fr-FR" w:eastAsia="fr-FR" w:bidi="fr-FR"/>
        </w:rPr>
        <w:t xml:space="preserve"> Pit</w:t>
      </w:r>
      <w:r>
        <w:rPr>
          <w:lang w:val="fr-FR" w:eastAsia="fr-FR" w:bidi="fr-FR"/>
        </w:rPr>
        <w:t>t</w:t>
      </w:r>
      <w:r>
        <w:rPr>
          <w:lang w:val="fr-FR" w:eastAsia="fr-FR" w:bidi="fr-FR"/>
        </w:rPr>
        <w:t>sburgh, University of Pittsburgh Press, 1997, p. 74-103.</w:t>
      </w:r>
    </w:p>
  </w:footnote>
  <w:footnote w:id="405">
    <w:p w14:paraId="4B4E83BC" w14:textId="77777777" w:rsidR="0039793A" w:rsidRDefault="0039793A" w:rsidP="0039793A">
      <w:pPr>
        <w:pStyle w:val="Notedebasdepage"/>
      </w:pPr>
      <w:r>
        <w:rPr>
          <w:rStyle w:val="Appelnotedebasdep"/>
        </w:rPr>
        <w:footnoteRef/>
      </w:r>
      <w:r>
        <w:tab/>
      </w:r>
      <w:r>
        <w:rPr>
          <w:lang w:val="fr-FR" w:eastAsia="fr-FR" w:bidi="fr-FR"/>
        </w:rPr>
        <w:t xml:space="preserve">John Dumbrell, </w:t>
      </w:r>
      <w:r w:rsidRPr="00F56C6D">
        <w:rPr>
          <w:i/>
          <w:iCs/>
        </w:rPr>
        <w:t>The Making of</w:t>
      </w:r>
      <w:r>
        <w:rPr>
          <w:i/>
          <w:iCs/>
        </w:rPr>
        <w:t xml:space="preserve"> US</w:t>
      </w:r>
      <w:r w:rsidRPr="00F56C6D">
        <w:rPr>
          <w:rStyle w:val="Notedebasdepage65ptItaliqueEspacement0pt"/>
          <w:i w:val="0"/>
          <w:iCs w:val="0"/>
        </w:rPr>
        <w:t xml:space="preserve"> </w:t>
      </w:r>
      <w:r w:rsidRPr="00F56C6D">
        <w:rPr>
          <w:i/>
          <w:iCs/>
        </w:rPr>
        <w:t>Foreign Policy</w:t>
      </w:r>
      <w:r>
        <w:t>,</w:t>
      </w:r>
      <w:r>
        <w:rPr>
          <w:lang w:val="fr-FR" w:eastAsia="fr-FR" w:bidi="fr-FR"/>
        </w:rPr>
        <w:t xml:space="preserve"> Manchester, Manchester University Press, 2</w:t>
      </w:r>
      <w:r>
        <w:rPr>
          <w:vertAlign w:val="superscript"/>
          <w:lang w:val="fr-FR" w:eastAsia="fr-FR" w:bidi="fr-FR"/>
        </w:rPr>
        <w:t>e</w:t>
      </w:r>
      <w:r>
        <w:rPr>
          <w:lang w:val="fr-FR" w:eastAsia="fr-FR" w:bidi="fr-FR"/>
        </w:rPr>
        <w:t xml:space="preserve"> éd., 1997, p. 93-96</w:t>
      </w:r>
      <w:r>
        <w:t> ;</w:t>
      </w:r>
      <w:r>
        <w:rPr>
          <w:lang w:val="fr-FR" w:eastAsia="fr-FR" w:bidi="fr-FR"/>
        </w:rPr>
        <w:t xml:space="preserve"> Barry Rubin, </w:t>
      </w:r>
      <w:r w:rsidRPr="00F56C6D">
        <w:rPr>
          <w:i/>
          <w:iCs/>
        </w:rPr>
        <w:t>Secrets of State. The State Department and the Struggle over</w:t>
      </w:r>
      <w:r>
        <w:rPr>
          <w:i/>
          <w:iCs/>
        </w:rPr>
        <w:t xml:space="preserve"> US </w:t>
      </w:r>
      <w:r w:rsidRPr="00F56C6D">
        <w:rPr>
          <w:i/>
          <w:iCs/>
        </w:rPr>
        <w:t>Foreign Policy</w:t>
      </w:r>
      <w:r>
        <w:rPr>
          <w:lang w:val="fr-FR" w:eastAsia="fr-FR" w:bidi="fr-FR"/>
        </w:rPr>
        <w:t>, New York, O</w:t>
      </w:r>
      <w:r>
        <w:rPr>
          <w:lang w:val="fr-FR" w:eastAsia="fr-FR" w:bidi="fr-FR"/>
        </w:rPr>
        <w:t>x</w:t>
      </w:r>
      <w:r>
        <w:rPr>
          <w:lang w:val="fr-FR" w:eastAsia="fr-FR" w:bidi="fr-FR"/>
        </w:rPr>
        <w:t>ford University Press, 1987, p. 250-265</w:t>
      </w:r>
      <w:r>
        <w:t> ;</w:t>
      </w:r>
      <w:r>
        <w:rPr>
          <w:lang w:val="fr-FR" w:eastAsia="fr-FR" w:bidi="fr-FR"/>
        </w:rPr>
        <w:t xml:space="preserve"> Kegley et Wittkopf, </w:t>
      </w:r>
      <w:r w:rsidRPr="00F56C6D">
        <w:rPr>
          <w:i/>
          <w:iCs/>
        </w:rPr>
        <w:t>op. cit</w:t>
      </w:r>
      <w:r>
        <w:t>.,</w:t>
      </w:r>
      <w:r>
        <w:rPr>
          <w:lang w:val="fr-FR" w:eastAsia="fr-FR" w:bidi="fr-FR"/>
        </w:rPr>
        <w:t xml:space="preserve"> p. 381-387</w:t>
      </w:r>
      <w:r>
        <w:t> ;</w:t>
      </w:r>
      <w:r>
        <w:rPr>
          <w:lang w:val="fr-FR" w:eastAsia="fr-FR" w:bidi="fr-FR"/>
        </w:rPr>
        <w:t xml:space="preserve"> Wiarda, </w:t>
      </w:r>
      <w:r w:rsidRPr="00F56C6D">
        <w:rPr>
          <w:i/>
          <w:iCs/>
        </w:rPr>
        <w:t>op. cit</w:t>
      </w:r>
      <w:r>
        <w:t>.,</w:t>
      </w:r>
      <w:r>
        <w:rPr>
          <w:lang w:val="fr-FR" w:eastAsia="fr-FR" w:bidi="fr-FR"/>
        </w:rPr>
        <w:t xml:space="preserve"> p. 204-205</w:t>
      </w:r>
      <w:r>
        <w:t> ;</w:t>
      </w:r>
      <w:r>
        <w:rPr>
          <w:lang w:val="fr-FR" w:eastAsia="fr-FR" w:bidi="fr-FR"/>
        </w:rPr>
        <w:t xml:space="preserve"> R</w:t>
      </w:r>
      <w:r>
        <w:rPr>
          <w:lang w:val="fr-FR" w:eastAsia="fr-FR" w:bidi="fr-FR"/>
        </w:rPr>
        <w:t>o</w:t>
      </w:r>
      <w:r>
        <w:rPr>
          <w:lang w:val="fr-FR" w:eastAsia="fr-FR" w:bidi="fr-FR"/>
        </w:rPr>
        <w:t xml:space="preserve">sati, </w:t>
      </w:r>
      <w:r w:rsidRPr="00F56C6D">
        <w:rPr>
          <w:i/>
          <w:iCs/>
        </w:rPr>
        <w:t>op. cit</w:t>
      </w:r>
      <w:r>
        <w:t>.,</w:t>
      </w:r>
      <w:r>
        <w:rPr>
          <w:lang w:val="fr-FR" w:eastAsia="fr-FR" w:bidi="fr-FR"/>
        </w:rPr>
        <w:t xml:space="preserve"> p. 121-131.</w:t>
      </w:r>
    </w:p>
  </w:footnote>
  <w:footnote w:id="406">
    <w:p w14:paraId="1E20A5AE" w14:textId="77777777" w:rsidR="0039793A" w:rsidRDefault="0039793A" w:rsidP="0039793A">
      <w:pPr>
        <w:pStyle w:val="Notedebasdepage"/>
      </w:pPr>
      <w:r>
        <w:rPr>
          <w:rStyle w:val="Appelnotedebasdep"/>
        </w:rPr>
        <w:footnoteRef/>
      </w:r>
      <w:r>
        <w:tab/>
      </w:r>
      <w:r>
        <w:rPr>
          <w:lang w:val="fr-FR" w:eastAsia="fr-FR" w:bidi="fr-FR"/>
        </w:rPr>
        <w:t xml:space="preserve">Jerel Rosati, </w:t>
      </w:r>
      <w:r w:rsidRPr="00F56C6D">
        <w:rPr>
          <w:i/>
          <w:iCs/>
        </w:rPr>
        <w:t>The Politics of United States Foreign Policy</w:t>
      </w:r>
      <w:r>
        <w:t>,</w:t>
      </w:r>
      <w:r>
        <w:rPr>
          <w:lang w:val="fr-FR" w:eastAsia="fr-FR" w:bidi="fr-FR"/>
        </w:rPr>
        <w:t xml:space="preserve"> New York, Ha</w:t>
      </w:r>
      <w:r>
        <w:rPr>
          <w:lang w:val="fr-FR" w:eastAsia="fr-FR" w:bidi="fr-FR"/>
        </w:rPr>
        <w:t>r</w:t>
      </w:r>
      <w:r>
        <w:rPr>
          <w:lang w:val="fr-FR" w:eastAsia="fr-FR" w:bidi="fr-FR"/>
        </w:rPr>
        <w:t>court Brace Jovanovich, 1993, p. 107-109</w:t>
      </w:r>
      <w:r>
        <w:t> ;</w:t>
      </w:r>
      <w:r>
        <w:rPr>
          <w:lang w:val="fr-FR" w:eastAsia="fr-FR" w:bidi="fr-FR"/>
        </w:rPr>
        <w:t xml:space="preserve"> Howard Wiarda, </w:t>
      </w:r>
      <w:r w:rsidRPr="00F56C6D">
        <w:rPr>
          <w:i/>
          <w:iCs/>
        </w:rPr>
        <w:t>American F</w:t>
      </w:r>
      <w:r w:rsidRPr="00F56C6D">
        <w:rPr>
          <w:i/>
          <w:iCs/>
        </w:rPr>
        <w:t>o</w:t>
      </w:r>
      <w:r w:rsidRPr="00F56C6D">
        <w:rPr>
          <w:i/>
          <w:iCs/>
        </w:rPr>
        <w:t>reign Policy : Actors and Processes</w:t>
      </w:r>
      <w:r>
        <w:t>,</w:t>
      </w:r>
      <w:r>
        <w:rPr>
          <w:lang w:val="fr-FR" w:eastAsia="fr-FR" w:bidi="fr-FR"/>
        </w:rPr>
        <w:t xml:space="preserve"> New York, Harper Collins, 1996, p. 199-200.</w:t>
      </w:r>
    </w:p>
  </w:footnote>
  <w:footnote w:id="407">
    <w:p w14:paraId="6580CAA4" w14:textId="77777777" w:rsidR="0039793A" w:rsidRDefault="0039793A" w:rsidP="0039793A">
      <w:pPr>
        <w:pStyle w:val="Notedebasdepage"/>
      </w:pPr>
      <w:r>
        <w:rPr>
          <w:rStyle w:val="Appelnotedebasdep"/>
        </w:rPr>
        <w:footnoteRef/>
      </w:r>
      <w:r>
        <w:tab/>
      </w:r>
      <w:r>
        <w:rPr>
          <w:lang w:val="fr-FR" w:eastAsia="fr-FR" w:bidi="fr-FR"/>
        </w:rPr>
        <w:t xml:space="preserve">Snow et Brown, </w:t>
      </w:r>
      <w:r w:rsidRPr="00F56C6D">
        <w:rPr>
          <w:i/>
          <w:iCs/>
        </w:rPr>
        <w:t>op. cit</w:t>
      </w:r>
      <w:r>
        <w:t>.,</w:t>
      </w:r>
      <w:r>
        <w:rPr>
          <w:lang w:val="fr-FR" w:eastAsia="fr-FR" w:bidi="fr-FR"/>
        </w:rPr>
        <w:t xml:space="preserve"> p. 90.</w:t>
      </w:r>
    </w:p>
  </w:footnote>
  <w:footnote w:id="408">
    <w:p w14:paraId="18EAEBE5" w14:textId="77777777" w:rsidR="0039793A" w:rsidRDefault="0039793A" w:rsidP="0039793A">
      <w:pPr>
        <w:pStyle w:val="Notedebasdepage"/>
      </w:pPr>
      <w:r>
        <w:rPr>
          <w:rStyle w:val="Appelnotedebasdep"/>
        </w:rPr>
        <w:footnoteRef/>
      </w:r>
      <w:r>
        <w:tab/>
      </w:r>
      <w:r>
        <w:rPr>
          <w:lang w:val="fr-FR" w:eastAsia="fr-FR" w:bidi="fr-FR"/>
        </w:rPr>
        <w:t xml:space="preserve">Voir Charles-Philippe David, </w:t>
      </w:r>
      <w:r w:rsidRPr="00F56C6D">
        <w:rPr>
          <w:i/>
          <w:iCs/>
        </w:rPr>
        <w:t>Au sein de la Maison-Blanche. La formulation de la politique étrangère des États-Unis de Truman à Cli</w:t>
      </w:r>
      <w:r w:rsidRPr="00F56C6D">
        <w:rPr>
          <w:i/>
          <w:iCs/>
        </w:rPr>
        <w:t>n</w:t>
      </w:r>
      <w:r w:rsidRPr="00F56C6D">
        <w:rPr>
          <w:i/>
          <w:iCs/>
        </w:rPr>
        <w:t>ton</w:t>
      </w:r>
      <w:r>
        <w:t>,</w:t>
      </w:r>
      <w:r>
        <w:rPr>
          <w:lang w:val="fr-FR" w:eastAsia="fr-FR" w:bidi="fr-FR"/>
        </w:rPr>
        <w:t xml:space="preserve"> Québec, Presses de l’Université Laval, 1994, 521 p. (2</w:t>
      </w:r>
      <w:r w:rsidRPr="00F56C6D">
        <w:rPr>
          <w:vertAlign w:val="superscript"/>
          <w:lang w:val="fr-FR" w:eastAsia="fr-FR" w:bidi="fr-FR"/>
        </w:rPr>
        <w:t>e</w:t>
      </w:r>
      <w:r>
        <w:rPr>
          <w:lang w:val="fr-FR" w:eastAsia="fr-FR" w:bidi="fr-FR"/>
        </w:rPr>
        <w:t xml:space="preserve"> éd. à paraître en 2004).</w:t>
      </w:r>
    </w:p>
  </w:footnote>
  <w:footnote w:id="409">
    <w:p w14:paraId="07685C67" w14:textId="77777777" w:rsidR="0039793A" w:rsidRDefault="0039793A" w:rsidP="0039793A">
      <w:pPr>
        <w:pStyle w:val="Notedebasdepage"/>
      </w:pPr>
      <w:r>
        <w:rPr>
          <w:rStyle w:val="Appelnotedebasdep"/>
        </w:rPr>
        <w:footnoteRef/>
      </w:r>
      <w:r>
        <w:tab/>
      </w:r>
      <w:r>
        <w:rPr>
          <w:lang w:val="fr-FR" w:eastAsia="fr-FR" w:bidi="fr-FR"/>
        </w:rPr>
        <w:t>À l’exception, toutefois, du soutien ponctuel de certaines ONG.</w:t>
      </w:r>
    </w:p>
  </w:footnote>
  <w:footnote w:id="410">
    <w:p w14:paraId="49AD9556" w14:textId="77777777" w:rsidR="0039793A" w:rsidRDefault="0039793A" w:rsidP="0039793A">
      <w:pPr>
        <w:pStyle w:val="Notedebasdepage"/>
      </w:pPr>
      <w:r>
        <w:rPr>
          <w:rStyle w:val="Appelnotedebasdep"/>
        </w:rPr>
        <w:footnoteRef/>
      </w:r>
      <w:r>
        <w:tab/>
      </w:r>
      <w:r>
        <w:rPr>
          <w:lang w:val="fr-FR" w:eastAsia="fr-FR" w:bidi="fr-FR"/>
        </w:rPr>
        <w:t xml:space="preserve">Lindsay, </w:t>
      </w:r>
      <w:r w:rsidRPr="00F56C6D">
        <w:rPr>
          <w:i/>
          <w:iCs/>
        </w:rPr>
        <w:t>op. cit</w:t>
      </w:r>
      <w:r>
        <w:t>.,</w:t>
      </w:r>
      <w:r>
        <w:rPr>
          <w:lang w:val="fr-FR" w:eastAsia="fr-FR" w:bidi="fr-FR"/>
        </w:rPr>
        <w:t xml:space="preserve"> p. 76.</w:t>
      </w:r>
    </w:p>
  </w:footnote>
  <w:footnote w:id="411">
    <w:p w14:paraId="2346EDBE" w14:textId="77777777" w:rsidR="0039793A" w:rsidRDefault="0039793A" w:rsidP="0039793A">
      <w:pPr>
        <w:pStyle w:val="Notedebasdepage"/>
      </w:pPr>
      <w:r>
        <w:rPr>
          <w:rStyle w:val="Appelnotedebasdep"/>
        </w:rPr>
        <w:footnoteRef/>
      </w:r>
      <w:r>
        <w:tab/>
      </w:r>
      <w:r>
        <w:rPr>
          <w:lang w:val="fr-FR" w:eastAsia="fr-FR" w:bidi="fr-FR"/>
        </w:rPr>
        <w:t xml:space="preserve">Cela représente deux fois plus que la totalité des pays alliés aux États- Unis </w:t>
      </w:r>
      <w:r>
        <w:t xml:space="preserve">(OTAN, </w:t>
      </w:r>
      <w:r>
        <w:rPr>
          <w:lang w:val="fr-FR" w:eastAsia="fr-FR" w:bidi="fr-FR"/>
        </w:rPr>
        <w:t xml:space="preserve">Japon, Australie et Corée du Sud), et vingt-six fois plus que les sept États </w:t>
      </w:r>
      <w:r>
        <w:t>« </w:t>
      </w:r>
      <w:r>
        <w:rPr>
          <w:lang w:val="fr-FR" w:eastAsia="fr-FR" w:bidi="fr-FR"/>
        </w:rPr>
        <w:t>parias</w:t>
      </w:r>
      <w:r>
        <w:t> »</w:t>
      </w:r>
      <w:r>
        <w:rPr>
          <w:lang w:val="fr-FR" w:eastAsia="fr-FR" w:bidi="fr-FR"/>
        </w:rPr>
        <w:t xml:space="preserve"> réunis (Cuba, Iran, Irak, Libye, Corée du Nord, Soudan et Syrie). Voir Frédérick Gagnon et Jean-Philippe Racicot, </w:t>
      </w:r>
      <w:r>
        <w:t>« </w:t>
      </w:r>
      <w:r>
        <w:rPr>
          <w:lang w:val="fr-FR" w:eastAsia="fr-FR" w:bidi="fr-FR"/>
        </w:rPr>
        <w:t>L’avenir de la puissance militaire américaine</w:t>
      </w:r>
      <w:r>
        <w:t> »</w:t>
      </w:r>
      <w:r>
        <w:rPr>
          <w:lang w:val="fr-FR" w:eastAsia="fr-FR" w:bidi="fr-FR"/>
        </w:rPr>
        <w:t xml:space="preserve">, dans Charles-Philippe David (ed.), </w:t>
      </w:r>
      <w:r w:rsidRPr="00F56C6D">
        <w:rPr>
          <w:i/>
          <w:iCs/>
        </w:rPr>
        <w:t>Repe</w:t>
      </w:r>
      <w:r w:rsidRPr="00F56C6D">
        <w:rPr>
          <w:i/>
          <w:iCs/>
        </w:rPr>
        <w:t>n</w:t>
      </w:r>
      <w:r w:rsidRPr="00F56C6D">
        <w:rPr>
          <w:i/>
          <w:iCs/>
        </w:rPr>
        <w:t>ser la sécurité. Nouvelles menaces, nouvelles politiques</w:t>
      </w:r>
      <w:r>
        <w:t>,</w:t>
      </w:r>
      <w:r>
        <w:rPr>
          <w:lang w:val="fr-FR" w:eastAsia="fr-FR" w:bidi="fr-FR"/>
        </w:rPr>
        <w:t xml:space="preserve"> Montréal, Fidès, 2002, p. 158.</w:t>
      </w:r>
    </w:p>
  </w:footnote>
  <w:footnote w:id="412">
    <w:p w14:paraId="731B6245" w14:textId="77777777" w:rsidR="0039793A" w:rsidRDefault="0039793A" w:rsidP="0039793A">
      <w:pPr>
        <w:pStyle w:val="Notedebasdepage"/>
      </w:pPr>
      <w:r>
        <w:rPr>
          <w:rStyle w:val="Appelnotedebasdep"/>
        </w:rPr>
        <w:footnoteRef/>
      </w:r>
      <w:r>
        <w:tab/>
      </w:r>
      <w:r>
        <w:rPr>
          <w:lang w:val="fr-FR" w:eastAsia="fr-FR" w:bidi="fr-FR"/>
        </w:rPr>
        <w:t>On peut citer parmi les plus connues, le collège de l’armée de Terre à West Point (New York), l’Académie navale à Newport (Rhode Island), et le co</w:t>
      </w:r>
      <w:r>
        <w:rPr>
          <w:lang w:val="fr-FR" w:eastAsia="fr-FR" w:bidi="fr-FR"/>
        </w:rPr>
        <w:t>l</w:t>
      </w:r>
      <w:r>
        <w:rPr>
          <w:lang w:val="fr-FR" w:eastAsia="fr-FR" w:bidi="fr-FR"/>
        </w:rPr>
        <w:t>lège de l’armée de l’Air à Colorado Springs (Col.).</w:t>
      </w:r>
    </w:p>
  </w:footnote>
  <w:footnote w:id="413">
    <w:p w14:paraId="7C95DF82" w14:textId="77777777" w:rsidR="0039793A" w:rsidRDefault="0039793A" w:rsidP="0039793A">
      <w:pPr>
        <w:pStyle w:val="Notedebasdepage"/>
      </w:pPr>
      <w:r>
        <w:rPr>
          <w:rStyle w:val="Appelnotedebasdep"/>
        </w:rPr>
        <w:footnoteRef/>
      </w:r>
      <w:r>
        <w:tab/>
      </w:r>
      <w:r>
        <w:rPr>
          <w:lang w:val="fr-FR" w:eastAsia="fr-FR" w:bidi="fr-FR"/>
        </w:rPr>
        <w:t>Aussi paradoxal que cela puisse paraître, le premier poste bu</w:t>
      </w:r>
      <w:r>
        <w:rPr>
          <w:lang w:val="fr-FR" w:eastAsia="fr-FR" w:bidi="fr-FR"/>
        </w:rPr>
        <w:t>d</w:t>
      </w:r>
      <w:r>
        <w:rPr>
          <w:lang w:val="fr-FR" w:eastAsia="fr-FR" w:bidi="fr-FR"/>
        </w:rPr>
        <w:t>gétaire fédéral est effectivement, en termes quantitatifs, celui de l’aide et la sécurité soci</w:t>
      </w:r>
      <w:r>
        <w:rPr>
          <w:lang w:val="fr-FR" w:eastAsia="fr-FR" w:bidi="fr-FR"/>
        </w:rPr>
        <w:t>a</w:t>
      </w:r>
      <w:r>
        <w:rPr>
          <w:lang w:val="fr-FR" w:eastAsia="fr-FR" w:bidi="fr-FR"/>
        </w:rPr>
        <w:t>les</w:t>
      </w:r>
      <w:r>
        <w:t> :</w:t>
      </w:r>
      <w:r>
        <w:rPr>
          <w:lang w:val="fr-FR" w:eastAsia="fr-FR" w:bidi="fr-FR"/>
        </w:rPr>
        <w:t xml:space="preserve"> les prestations de base, les aides élémentaires, les pensions aux perso</w:t>
      </w:r>
      <w:r>
        <w:rPr>
          <w:lang w:val="fr-FR" w:eastAsia="fr-FR" w:bidi="fr-FR"/>
        </w:rPr>
        <w:t>n</w:t>
      </w:r>
      <w:r>
        <w:rPr>
          <w:lang w:val="fr-FR" w:eastAsia="fr-FR" w:bidi="fr-FR"/>
        </w:rPr>
        <w:t>nes âgées et handicapées prennent rapidement des proportions cons</w:t>
      </w:r>
      <w:r>
        <w:rPr>
          <w:lang w:val="fr-FR" w:eastAsia="fr-FR" w:bidi="fr-FR"/>
        </w:rPr>
        <w:t>i</w:t>
      </w:r>
      <w:r>
        <w:rPr>
          <w:lang w:val="fr-FR" w:eastAsia="fr-FR" w:bidi="fr-FR"/>
        </w:rPr>
        <w:t>dérables dans un pays de 300 millions d’habitants, affecté tant par le vieillissement de sa population que par un taux de pauvreté élevé.</w:t>
      </w:r>
    </w:p>
  </w:footnote>
  <w:footnote w:id="414">
    <w:p w14:paraId="1CAC748A" w14:textId="77777777" w:rsidR="0039793A" w:rsidRDefault="0039793A" w:rsidP="0039793A">
      <w:pPr>
        <w:pStyle w:val="Notedebasdepage"/>
      </w:pPr>
      <w:r>
        <w:rPr>
          <w:rStyle w:val="Appelnotedebasdep"/>
        </w:rPr>
        <w:footnoteRef/>
      </w:r>
      <w:r>
        <w:tab/>
      </w:r>
      <w:r>
        <w:rPr>
          <w:lang w:val="fr-FR" w:eastAsia="fr-FR" w:bidi="fr-FR"/>
        </w:rPr>
        <w:t xml:space="preserve">Wiarda, </w:t>
      </w:r>
      <w:r w:rsidRPr="00CC5EB4">
        <w:rPr>
          <w:i/>
        </w:rPr>
        <w:t>op. cit</w:t>
      </w:r>
      <w:r>
        <w:t>.,</w:t>
      </w:r>
      <w:r>
        <w:rPr>
          <w:lang w:val="fr-FR" w:eastAsia="fr-FR" w:bidi="fr-FR"/>
        </w:rPr>
        <w:t xml:space="preserve"> p. 206-209.</w:t>
      </w:r>
    </w:p>
  </w:footnote>
  <w:footnote w:id="415">
    <w:p w14:paraId="1EFFA4C8" w14:textId="77777777" w:rsidR="0039793A" w:rsidRDefault="0039793A" w:rsidP="0039793A">
      <w:pPr>
        <w:pStyle w:val="Notedebasdepage"/>
      </w:pPr>
      <w:r>
        <w:rPr>
          <w:rStyle w:val="Appelnotedebasdep"/>
        </w:rPr>
        <w:footnoteRef/>
      </w:r>
      <w:r>
        <w:tab/>
      </w:r>
      <w:r w:rsidRPr="003F1BC6">
        <w:t xml:space="preserve">Amy Zegart, </w:t>
      </w:r>
      <w:r w:rsidRPr="00D7372A">
        <w:rPr>
          <w:i/>
          <w:iCs/>
        </w:rPr>
        <w:t>Flawed by Design. The Evolution of the CIA, JCS</w:t>
      </w:r>
      <w:r>
        <w:rPr>
          <w:i/>
          <w:iCs/>
        </w:rPr>
        <w:t>,</w:t>
      </w:r>
      <w:r w:rsidRPr="00D7372A">
        <w:rPr>
          <w:i/>
          <w:iCs/>
        </w:rPr>
        <w:t xml:space="preserve"> and NSC</w:t>
      </w:r>
      <w:r w:rsidRPr="003F1BC6">
        <w:rPr>
          <w:i/>
          <w:iCs/>
        </w:rPr>
        <w:t>,</w:t>
      </w:r>
      <w:r>
        <w:t xml:space="preserve"> </w:t>
      </w:r>
      <w:r w:rsidRPr="003F1BC6">
        <w:t>Stanford, Stanford University Press, 1999, p. 109-162.</w:t>
      </w:r>
    </w:p>
  </w:footnote>
  <w:footnote w:id="416">
    <w:p w14:paraId="50614D8B" w14:textId="77777777" w:rsidR="0039793A" w:rsidRDefault="0039793A" w:rsidP="0039793A">
      <w:pPr>
        <w:pStyle w:val="Notedebasdepage"/>
      </w:pPr>
      <w:r>
        <w:rPr>
          <w:rStyle w:val="Appelnotedebasdep"/>
        </w:rPr>
        <w:footnoteRef/>
      </w:r>
      <w:r>
        <w:tab/>
      </w:r>
      <w:r>
        <w:rPr>
          <w:lang w:val="fr-FR" w:eastAsia="fr-FR" w:bidi="fr-FR"/>
        </w:rPr>
        <w:t xml:space="preserve">Wiarda, </w:t>
      </w:r>
      <w:r w:rsidRPr="00844915">
        <w:rPr>
          <w:i/>
          <w:iCs/>
        </w:rPr>
        <w:t>op. cit</w:t>
      </w:r>
      <w:r>
        <w:t>.,</w:t>
      </w:r>
      <w:r>
        <w:rPr>
          <w:lang w:val="fr-FR" w:eastAsia="fr-FR" w:bidi="fr-FR"/>
        </w:rPr>
        <w:t xml:space="preserve"> p. 210-212</w:t>
      </w:r>
      <w:r>
        <w:t> ;</w:t>
      </w:r>
      <w:r>
        <w:rPr>
          <w:lang w:val="fr-FR" w:eastAsia="fr-FR" w:bidi="fr-FR"/>
        </w:rPr>
        <w:t xml:space="preserve"> Sarkesian, </w:t>
      </w:r>
      <w:r w:rsidRPr="00844915">
        <w:rPr>
          <w:i/>
          <w:iCs/>
        </w:rPr>
        <w:t>op. cit</w:t>
      </w:r>
      <w:r>
        <w:t>.,</w:t>
      </w:r>
      <w:r>
        <w:rPr>
          <w:lang w:val="fr-FR" w:eastAsia="fr-FR" w:bidi="fr-FR"/>
        </w:rPr>
        <w:t xml:space="preserve"> p. 110-116</w:t>
      </w:r>
      <w:r>
        <w:t> ;</w:t>
      </w:r>
      <w:r>
        <w:rPr>
          <w:lang w:val="fr-FR" w:eastAsia="fr-FR" w:bidi="fr-FR"/>
        </w:rPr>
        <w:t xml:space="preserve"> Snow, </w:t>
      </w:r>
      <w:r w:rsidRPr="00844915">
        <w:rPr>
          <w:i/>
          <w:iCs/>
        </w:rPr>
        <w:t>op. cit</w:t>
      </w:r>
      <w:r>
        <w:t xml:space="preserve">., </w:t>
      </w:r>
      <w:r>
        <w:rPr>
          <w:lang w:val="fr-FR" w:eastAsia="fr-FR" w:bidi="fr-FR"/>
        </w:rPr>
        <w:t>p. 75-77</w:t>
      </w:r>
      <w:r>
        <w:t> ;</w:t>
      </w:r>
      <w:r>
        <w:rPr>
          <w:lang w:val="fr-FR" w:eastAsia="fr-FR" w:bidi="fr-FR"/>
        </w:rPr>
        <w:t xml:space="preserve"> Rosati, </w:t>
      </w:r>
      <w:r w:rsidRPr="00844915">
        <w:rPr>
          <w:i/>
          <w:iCs/>
        </w:rPr>
        <w:t>op. cit</w:t>
      </w:r>
      <w:r>
        <w:t>.,</w:t>
      </w:r>
      <w:r>
        <w:rPr>
          <w:lang w:val="fr-FR" w:eastAsia="fr-FR" w:bidi="fr-FR"/>
        </w:rPr>
        <w:t xml:space="preserve"> p. 142-146.</w:t>
      </w:r>
    </w:p>
  </w:footnote>
  <w:footnote w:id="417">
    <w:p w14:paraId="3FE8B2E0" w14:textId="77777777" w:rsidR="0039793A" w:rsidRDefault="0039793A" w:rsidP="0039793A">
      <w:pPr>
        <w:pStyle w:val="Notedebasdepage"/>
      </w:pPr>
      <w:r>
        <w:rPr>
          <w:rStyle w:val="Appelnotedebasdep"/>
        </w:rPr>
        <w:footnoteRef/>
      </w:r>
      <w:r>
        <w:tab/>
      </w:r>
      <w:r>
        <w:rPr>
          <w:lang w:val="fr-FR" w:eastAsia="fr-FR" w:bidi="fr-FR"/>
        </w:rPr>
        <w:t xml:space="preserve">Nathan et Oliver, </w:t>
      </w:r>
      <w:r w:rsidRPr="00DC4D4E">
        <w:rPr>
          <w:i/>
          <w:iCs/>
        </w:rPr>
        <w:t>op. cit</w:t>
      </w:r>
      <w:r>
        <w:t>.,</w:t>
      </w:r>
      <w:r>
        <w:rPr>
          <w:lang w:val="fr-FR" w:eastAsia="fr-FR" w:bidi="fr-FR"/>
        </w:rPr>
        <w:t xml:space="preserve"> p. 18-23</w:t>
      </w:r>
      <w:r>
        <w:t> ;</w:t>
      </w:r>
      <w:r>
        <w:rPr>
          <w:lang w:val="fr-FR" w:eastAsia="fr-FR" w:bidi="fr-FR"/>
        </w:rPr>
        <w:t xml:space="preserve"> Du</w:t>
      </w:r>
      <w:r>
        <w:rPr>
          <w:lang w:val="fr-FR" w:eastAsia="fr-FR" w:bidi="fr-FR"/>
        </w:rPr>
        <w:t>m</w:t>
      </w:r>
      <w:r>
        <w:rPr>
          <w:lang w:val="fr-FR" w:eastAsia="fr-FR" w:bidi="fr-FR"/>
        </w:rPr>
        <w:t xml:space="preserve">brell, </w:t>
      </w:r>
      <w:r w:rsidRPr="00DC4D4E">
        <w:rPr>
          <w:i/>
          <w:iCs/>
        </w:rPr>
        <w:t>op. cit</w:t>
      </w:r>
      <w:r>
        <w:t>.,</w:t>
      </w:r>
      <w:r>
        <w:rPr>
          <w:lang w:val="fr-FR" w:eastAsia="fr-FR" w:bidi="fr-FR"/>
        </w:rPr>
        <w:t xml:space="preserve"> p. 97-99</w:t>
      </w:r>
      <w:r>
        <w:t> ;</w:t>
      </w:r>
      <w:r>
        <w:rPr>
          <w:lang w:val="fr-FR" w:eastAsia="fr-FR" w:bidi="fr-FR"/>
        </w:rPr>
        <w:t xml:space="preserve"> Kegley et Wittkopf, </w:t>
      </w:r>
      <w:r w:rsidRPr="00DC4D4E">
        <w:rPr>
          <w:i/>
          <w:iCs/>
        </w:rPr>
        <w:t>op. cit</w:t>
      </w:r>
      <w:r>
        <w:t>.,</w:t>
      </w:r>
      <w:r>
        <w:rPr>
          <w:lang w:val="fr-FR" w:eastAsia="fr-FR" w:bidi="fr-FR"/>
        </w:rPr>
        <w:t xml:space="preserve"> p. 391-392.</w:t>
      </w:r>
    </w:p>
  </w:footnote>
  <w:footnote w:id="418">
    <w:p w14:paraId="5D230BFF" w14:textId="77777777" w:rsidR="0039793A" w:rsidRDefault="0039793A" w:rsidP="0039793A">
      <w:pPr>
        <w:pStyle w:val="Notedebasdepage"/>
      </w:pPr>
      <w:r>
        <w:rPr>
          <w:rStyle w:val="Appelnotedebasdep"/>
        </w:rPr>
        <w:footnoteRef/>
      </w:r>
      <w:r>
        <w:tab/>
      </w:r>
      <w:r>
        <w:rPr>
          <w:lang w:val="fr-FR" w:eastAsia="fr-FR" w:bidi="fr-FR"/>
        </w:rPr>
        <w:t>Pour éviter de réitérer la débâcle américaine au Liban, le secrétaire à la D</w:t>
      </w:r>
      <w:r>
        <w:rPr>
          <w:lang w:val="fr-FR" w:eastAsia="fr-FR" w:bidi="fr-FR"/>
        </w:rPr>
        <w:t>é</w:t>
      </w:r>
      <w:r>
        <w:rPr>
          <w:lang w:val="fr-FR" w:eastAsia="fr-FR" w:bidi="fr-FR"/>
        </w:rPr>
        <w:t>fense établit en 1984 une série de critères rigoureux pour encadrer le recours à la force</w:t>
      </w:r>
      <w:r>
        <w:t> :</w:t>
      </w:r>
      <w:r>
        <w:rPr>
          <w:lang w:val="fr-FR" w:eastAsia="fr-FR" w:bidi="fr-FR"/>
        </w:rPr>
        <w:t xml:space="preserve"> il s’agit ici de faire obstacle aux décisions d’intervention — pa</w:t>
      </w:r>
      <w:r>
        <w:rPr>
          <w:lang w:val="fr-FR" w:eastAsia="fr-FR" w:bidi="fr-FR"/>
        </w:rPr>
        <w:t>r</w:t>
      </w:r>
      <w:r>
        <w:rPr>
          <w:lang w:val="fr-FR" w:eastAsia="fr-FR" w:bidi="fr-FR"/>
        </w:rPr>
        <w:t>fois précipitées — des présidents, contre l’avis de l’institution milita</w:t>
      </w:r>
      <w:r>
        <w:rPr>
          <w:lang w:val="fr-FR" w:eastAsia="fr-FR" w:bidi="fr-FR"/>
        </w:rPr>
        <w:t>i</w:t>
      </w:r>
      <w:r>
        <w:rPr>
          <w:lang w:val="fr-FR" w:eastAsia="fr-FR" w:bidi="fr-FR"/>
        </w:rPr>
        <w:t xml:space="preserve">re. Voir Sarkesian, </w:t>
      </w:r>
      <w:r w:rsidRPr="00DC4D4E">
        <w:rPr>
          <w:i/>
          <w:iCs/>
        </w:rPr>
        <w:t>op. cit</w:t>
      </w:r>
      <w:r>
        <w:t>.,</w:t>
      </w:r>
      <w:r>
        <w:rPr>
          <w:lang w:val="fr-FR" w:eastAsia="fr-FR" w:bidi="fr-FR"/>
        </w:rPr>
        <w:t xml:space="preserve"> p. 138-139.</w:t>
      </w:r>
    </w:p>
  </w:footnote>
  <w:footnote w:id="419">
    <w:p w14:paraId="24902090" w14:textId="77777777" w:rsidR="0039793A" w:rsidRDefault="0039793A" w:rsidP="0039793A">
      <w:pPr>
        <w:pStyle w:val="Notedebasdepage"/>
      </w:pPr>
      <w:r>
        <w:rPr>
          <w:rStyle w:val="Appelnotedebasdep"/>
        </w:rPr>
        <w:footnoteRef/>
      </w:r>
      <w:r>
        <w:tab/>
      </w:r>
      <w:r w:rsidRPr="005D7D45">
        <w:rPr>
          <w:lang w:val="fr-FR" w:eastAsia="fr-FR" w:bidi="fr-FR"/>
        </w:rPr>
        <w:t xml:space="preserve">Sarkesian, </w:t>
      </w:r>
      <w:r w:rsidRPr="00243887">
        <w:rPr>
          <w:i/>
          <w:iCs/>
        </w:rPr>
        <w:t>op. cit</w:t>
      </w:r>
      <w:r w:rsidRPr="005D7D45">
        <w:t>.,</w:t>
      </w:r>
      <w:r w:rsidRPr="005D7D45">
        <w:rPr>
          <w:lang w:val="fr-FR" w:eastAsia="fr-FR" w:bidi="fr-FR"/>
        </w:rPr>
        <w:t xml:space="preserve"> p. 127-143</w:t>
      </w:r>
      <w:r w:rsidRPr="005D7D45">
        <w:t> ;</w:t>
      </w:r>
      <w:r w:rsidRPr="005D7D45">
        <w:rPr>
          <w:lang w:val="fr-FR" w:eastAsia="fr-FR" w:bidi="fr-FR"/>
        </w:rPr>
        <w:t xml:space="preserve"> Kegley et Wittkopf, </w:t>
      </w:r>
      <w:r w:rsidRPr="00243887">
        <w:rPr>
          <w:i/>
          <w:iCs/>
        </w:rPr>
        <w:t>op. cit</w:t>
      </w:r>
      <w:r w:rsidRPr="005D7D45">
        <w:t>.,</w:t>
      </w:r>
      <w:r w:rsidRPr="005D7D45">
        <w:rPr>
          <w:lang w:val="fr-FR" w:eastAsia="fr-FR" w:bidi="fr-FR"/>
        </w:rPr>
        <w:t xml:space="preserve"> p. 392-395.</w:t>
      </w:r>
    </w:p>
  </w:footnote>
  <w:footnote w:id="420">
    <w:p w14:paraId="483DEF81" w14:textId="77777777" w:rsidR="0039793A" w:rsidRDefault="0039793A" w:rsidP="0039793A">
      <w:pPr>
        <w:pStyle w:val="Notedebasdepage"/>
      </w:pPr>
      <w:r>
        <w:rPr>
          <w:rStyle w:val="Appelnotedebasdep"/>
        </w:rPr>
        <w:footnoteRef/>
      </w:r>
      <w:r>
        <w:tab/>
      </w:r>
      <w:r w:rsidRPr="005D7D45">
        <w:rPr>
          <w:lang w:val="fr-FR" w:eastAsia="fr-FR" w:bidi="fr-FR"/>
        </w:rPr>
        <w:t xml:space="preserve">George Wilson, </w:t>
      </w:r>
      <w:r w:rsidRPr="00243887">
        <w:rPr>
          <w:i/>
          <w:iCs/>
        </w:rPr>
        <w:t>This War Really Matters : Inside the Fig</w:t>
      </w:r>
      <w:r>
        <w:rPr>
          <w:i/>
          <w:iCs/>
        </w:rPr>
        <w:t>h</w:t>
      </w:r>
      <w:r w:rsidRPr="00243887">
        <w:rPr>
          <w:i/>
          <w:iCs/>
        </w:rPr>
        <w:t>t for Defense Do</w:t>
      </w:r>
      <w:r w:rsidRPr="00243887">
        <w:rPr>
          <w:i/>
          <w:iCs/>
        </w:rPr>
        <w:t>l</w:t>
      </w:r>
      <w:r w:rsidRPr="00243887">
        <w:rPr>
          <w:i/>
          <w:iCs/>
        </w:rPr>
        <w:t>lars</w:t>
      </w:r>
      <w:r w:rsidRPr="005D7D45">
        <w:rPr>
          <w:lang w:val="fr-FR" w:eastAsia="fr-FR" w:bidi="fr-FR"/>
        </w:rPr>
        <w:t>, Washington, Congressional Quarterly Press, 2000</w:t>
      </w:r>
      <w:r w:rsidRPr="005D7D45">
        <w:t> ;</w:t>
      </w:r>
      <w:r w:rsidRPr="005D7D45">
        <w:rPr>
          <w:lang w:val="fr-FR" w:eastAsia="fr-FR" w:bidi="fr-FR"/>
        </w:rPr>
        <w:t xml:space="preserve"> John Hiller, </w:t>
      </w:r>
      <w:r w:rsidRPr="005D7D45">
        <w:t>« </w:t>
      </w:r>
      <w:r w:rsidRPr="005D7D45">
        <w:rPr>
          <w:lang w:val="fr-FR" w:eastAsia="fr-FR" w:bidi="fr-FR"/>
        </w:rPr>
        <w:t>Defense’s Death Spiral</w:t>
      </w:r>
      <w:r w:rsidRPr="005D7D45">
        <w:t> »</w:t>
      </w:r>
      <w:r w:rsidRPr="005D7D45">
        <w:rPr>
          <w:lang w:val="fr-FR" w:eastAsia="fr-FR" w:bidi="fr-FR"/>
        </w:rPr>
        <w:t xml:space="preserve">, </w:t>
      </w:r>
      <w:r w:rsidRPr="005D7D45">
        <w:t>Foreign Affairs,</w:t>
      </w:r>
      <w:r w:rsidRPr="005D7D45">
        <w:rPr>
          <w:lang w:val="fr-FR" w:eastAsia="fr-FR" w:bidi="fr-FR"/>
        </w:rPr>
        <w:t xml:space="preserve"> 78, juillet-août 1999, p. 2-7.</w:t>
      </w:r>
    </w:p>
  </w:footnote>
  <w:footnote w:id="421">
    <w:p w14:paraId="0B1A14BD" w14:textId="77777777" w:rsidR="0039793A" w:rsidRDefault="0039793A" w:rsidP="0039793A">
      <w:pPr>
        <w:pStyle w:val="Notedebasdepage"/>
      </w:pPr>
      <w:r>
        <w:rPr>
          <w:rStyle w:val="Appelnotedebasdep"/>
        </w:rPr>
        <w:footnoteRef/>
      </w:r>
      <w:r>
        <w:tab/>
      </w:r>
      <w:r w:rsidRPr="005D7D45">
        <w:rPr>
          <w:lang w:val="fr-FR" w:eastAsia="fr-FR" w:bidi="fr-FR"/>
        </w:rPr>
        <w:t xml:space="preserve">Wiarda, </w:t>
      </w:r>
      <w:r w:rsidRPr="00243887">
        <w:rPr>
          <w:i/>
          <w:iCs/>
        </w:rPr>
        <w:t>op. cit</w:t>
      </w:r>
      <w:r w:rsidRPr="005D7D45">
        <w:t>.,</w:t>
      </w:r>
      <w:r w:rsidRPr="005D7D45">
        <w:rPr>
          <w:lang w:val="fr-FR" w:eastAsia="fr-FR" w:bidi="fr-FR"/>
        </w:rPr>
        <w:t xml:space="preserve"> p. 212-215</w:t>
      </w:r>
      <w:r w:rsidRPr="005D7D45">
        <w:t> ;</w:t>
      </w:r>
      <w:r w:rsidRPr="005D7D45">
        <w:rPr>
          <w:lang w:val="fr-FR" w:eastAsia="fr-FR" w:bidi="fr-FR"/>
        </w:rPr>
        <w:t xml:space="preserve"> Rosati, </w:t>
      </w:r>
      <w:r w:rsidRPr="00243887">
        <w:rPr>
          <w:i/>
          <w:iCs/>
        </w:rPr>
        <w:t>op. cit</w:t>
      </w:r>
      <w:r w:rsidRPr="005D7D45">
        <w:t>.,</w:t>
      </w:r>
      <w:r w:rsidRPr="005D7D45">
        <w:rPr>
          <w:lang w:val="fr-FR" w:eastAsia="fr-FR" w:bidi="fr-FR"/>
        </w:rPr>
        <w:t xml:space="preserve"> p. 147-168.</w:t>
      </w:r>
    </w:p>
  </w:footnote>
  <w:footnote w:id="422">
    <w:p w14:paraId="029A4738" w14:textId="77777777" w:rsidR="0039793A" w:rsidRDefault="0039793A" w:rsidP="0039793A">
      <w:pPr>
        <w:pStyle w:val="Notedebasdepage"/>
      </w:pPr>
      <w:r>
        <w:rPr>
          <w:rStyle w:val="Appelnotedebasdep"/>
        </w:rPr>
        <w:footnoteRef/>
      </w:r>
      <w:r>
        <w:tab/>
      </w:r>
      <w:r w:rsidRPr="005D7D45">
        <w:rPr>
          <w:lang w:val="fr-FR" w:eastAsia="fr-FR" w:bidi="fr-FR"/>
        </w:rPr>
        <w:t xml:space="preserve">Colin Powell, </w:t>
      </w:r>
      <w:r w:rsidRPr="0032098C">
        <w:rPr>
          <w:i/>
          <w:iCs/>
        </w:rPr>
        <w:t>My American Jou</w:t>
      </w:r>
      <w:r>
        <w:rPr>
          <w:i/>
          <w:iCs/>
        </w:rPr>
        <w:t>rn</w:t>
      </w:r>
      <w:r w:rsidRPr="0032098C">
        <w:rPr>
          <w:i/>
          <w:iCs/>
        </w:rPr>
        <w:t>ey</w:t>
      </w:r>
      <w:r w:rsidRPr="005D7D45">
        <w:t>,</w:t>
      </w:r>
      <w:r w:rsidRPr="005D7D45">
        <w:rPr>
          <w:lang w:val="fr-FR" w:eastAsia="fr-FR" w:bidi="fr-FR"/>
        </w:rPr>
        <w:t xml:space="preserve"> New York, Random Ho</w:t>
      </w:r>
      <w:r w:rsidRPr="005D7D45">
        <w:rPr>
          <w:lang w:val="fr-FR" w:eastAsia="fr-FR" w:bidi="fr-FR"/>
        </w:rPr>
        <w:t>u</w:t>
      </w:r>
      <w:r w:rsidRPr="005D7D45">
        <w:rPr>
          <w:lang w:val="fr-FR" w:eastAsia="fr-FR" w:bidi="fr-FR"/>
        </w:rPr>
        <w:t>se, 1995, p. 576.</w:t>
      </w:r>
    </w:p>
  </w:footnote>
  <w:footnote w:id="423">
    <w:p w14:paraId="73AAD76D" w14:textId="77777777" w:rsidR="0039793A" w:rsidRDefault="0039793A" w:rsidP="0039793A">
      <w:pPr>
        <w:pStyle w:val="Notedebasdepage"/>
      </w:pPr>
      <w:r>
        <w:rPr>
          <w:rStyle w:val="Appelnotedebasdep"/>
        </w:rPr>
        <w:footnoteRef/>
      </w:r>
      <w:r>
        <w:tab/>
      </w:r>
      <w:r w:rsidRPr="005D7D45">
        <w:rPr>
          <w:lang w:val="fr-FR" w:eastAsia="fr-FR" w:bidi="fr-FR"/>
        </w:rPr>
        <w:t>Clarté des objectifs, appui très large de la pop</w:t>
      </w:r>
      <w:r w:rsidRPr="005D7D45">
        <w:rPr>
          <w:lang w:val="fr-FR" w:eastAsia="fr-FR" w:bidi="fr-FR"/>
        </w:rPr>
        <w:t>u</w:t>
      </w:r>
      <w:r w:rsidRPr="005D7D45">
        <w:rPr>
          <w:lang w:val="fr-FR" w:eastAsia="fr-FR" w:bidi="fr-FR"/>
        </w:rPr>
        <w:t>lation et mise en œuvre de tous les moyens néce</w:t>
      </w:r>
      <w:r w:rsidRPr="005D7D45">
        <w:rPr>
          <w:lang w:val="fr-FR" w:eastAsia="fr-FR" w:bidi="fr-FR"/>
        </w:rPr>
        <w:t>s</w:t>
      </w:r>
      <w:r w:rsidRPr="005D7D45">
        <w:rPr>
          <w:lang w:val="fr-FR" w:eastAsia="fr-FR" w:bidi="fr-FR"/>
        </w:rPr>
        <w:t>saires pour gagner.</w:t>
      </w:r>
    </w:p>
  </w:footnote>
  <w:footnote w:id="424">
    <w:p w14:paraId="7C17779E" w14:textId="77777777" w:rsidR="0039793A" w:rsidRDefault="0039793A" w:rsidP="0039793A">
      <w:pPr>
        <w:pStyle w:val="Notedebasdepage"/>
      </w:pPr>
      <w:r>
        <w:rPr>
          <w:rStyle w:val="Appelnotedebasdep"/>
        </w:rPr>
        <w:footnoteRef/>
      </w:r>
      <w:r>
        <w:tab/>
      </w:r>
      <w:r w:rsidRPr="005D7D45">
        <w:rPr>
          <w:lang w:val="fr-FR" w:eastAsia="fr-FR" w:bidi="fr-FR"/>
        </w:rPr>
        <w:t xml:space="preserve">Jean-Philippe Racicot, </w:t>
      </w:r>
      <w:r w:rsidRPr="005D7D45">
        <w:t>« </w:t>
      </w:r>
      <w:r w:rsidRPr="005D7D45">
        <w:rPr>
          <w:lang w:val="fr-FR" w:eastAsia="fr-FR" w:bidi="fr-FR"/>
        </w:rPr>
        <w:t>La lutte antiterr</w:t>
      </w:r>
      <w:r w:rsidRPr="005D7D45">
        <w:rPr>
          <w:lang w:val="fr-FR" w:eastAsia="fr-FR" w:bidi="fr-FR"/>
        </w:rPr>
        <w:t>o</w:t>
      </w:r>
      <w:r w:rsidRPr="005D7D45">
        <w:rPr>
          <w:lang w:val="fr-FR" w:eastAsia="fr-FR" w:bidi="fr-FR"/>
        </w:rPr>
        <w:t>riste et les guerres de quatrième génération</w:t>
      </w:r>
      <w:r w:rsidRPr="005D7D45">
        <w:t> »</w:t>
      </w:r>
      <w:r w:rsidRPr="005D7D45">
        <w:rPr>
          <w:lang w:val="fr-FR" w:eastAsia="fr-FR" w:bidi="fr-FR"/>
        </w:rPr>
        <w:t xml:space="preserve">, dans David et al., </w:t>
      </w:r>
      <w:r w:rsidRPr="0032098C">
        <w:rPr>
          <w:i/>
          <w:iCs/>
        </w:rPr>
        <w:t>op. cit</w:t>
      </w:r>
      <w:r w:rsidRPr="005D7D45">
        <w:rPr>
          <w:lang w:val="fr-FR" w:eastAsia="fr-FR" w:bidi="fr-FR"/>
        </w:rPr>
        <w:t>., p. 111-134.</w:t>
      </w:r>
    </w:p>
  </w:footnote>
  <w:footnote w:id="425">
    <w:p w14:paraId="2B54E575" w14:textId="77777777" w:rsidR="0039793A" w:rsidRDefault="0039793A" w:rsidP="0039793A">
      <w:pPr>
        <w:pStyle w:val="Notedebasdepage"/>
      </w:pPr>
      <w:r>
        <w:rPr>
          <w:rStyle w:val="Appelnotedebasdep"/>
        </w:rPr>
        <w:footnoteRef/>
      </w:r>
      <w:r>
        <w:tab/>
      </w:r>
      <w:r w:rsidRPr="005D7D45">
        <w:rPr>
          <w:lang w:val="fr-FR" w:eastAsia="fr-FR" w:bidi="fr-FR"/>
        </w:rPr>
        <w:t xml:space="preserve">Voir le rapport de Eleanor Hill, </w:t>
      </w:r>
      <w:r w:rsidRPr="005D7D45">
        <w:t>« </w:t>
      </w:r>
      <w:r w:rsidRPr="005D7D45">
        <w:rPr>
          <w:lang w:val="fr-FR" w:eastAsia="fr-FR" w:bidi="fr-FR"/>
        </w:rPr>
        <w:t>Joint Inquiry Staff</w:t>
      </w:r>
      <w:r>
        <w:rPr>
          <w:lang w:val="fr-FR" w:eastAsia="fr-FR" w:bidi="fr-FR"/>
        </w:rPr>
        <w:t xml:space="preserve"> </w:t>
      </w:r>
      <w:r w:rsidRPr="005D7D45">
        <w:rPr>
          <w:lang w:val="fr-FR" w:eastAsia="fr-FR" w:bidi="fr-FR"/>
        </w:rPr>
        <w:t>Stat</w:t>
      </w:r>
      <w:r w:rsidRPr="005D7D45">
        <w:rPr>
          <w:lang w:val="fr-FR" w:eastAsia="fr-FR" w:bidi="fr-FR"/>
        </w:rPr>
        <w:t>e</w:t>
      </w:r>
      <w:r w:rsidRPr="005D7D45">
        <w:rPr>
          <w:lang w:val="fr-FR" w:eastAsia="fr-FR" w:bidi="fr-FR"/>
        </w:rPr>
        <w:t>ment</w:t>
      </w:r>
      <w:r w:rsidRPr="005D7D45">
        <w:t> »</w:t>
      </w:r>
      <w:r w:rsidRPr="005D7D45">
        <w:rPr>
          <w:lang w:val="fr-FR" w:eastAsia="fr-FR" w:bidi="fr-FR"/>
        </w:rPr>
        <w:t>, soumis au comité conjoint du Congrès sur le renseignement, 18 se</w:t>
      </w:r>
      <w:r w:rsidRPr="005D7D45">
        <w:rPr>
          <w:lang w:val="fr-FR" w:eastAsia="fr-FR" w:bidi="fr-FR"/>
        </w:rPr>
        <w:t>p</w:t>
      </w:r>
      <w:r w:rsidRPr="005D7D45">
        <w:rPr>
          <w:lang w:val="fr-FR" w:eastAsia="fr-FR" w:bidi="fr-FR"/>
        </w:rPr>
        <w:t>tembre 2002, 31p.</w:t>
      </w:r>
      <w:r w:rsidRPr="005D7D45">
        <w:t> ;</w:t>
      </w:r>
      <w:r w:rsidRPr="005D7D45">
        <w:rPr>
          <w:lang w:val="fr-FR" w:eastAsia="fr-FR" w:bidi="fr-FR"/>
        </w:rPr>
        <w:t xml:space="preserve"> James Harris, </w:t>
      </w:r>
      <w:r w:rsidRPr="005D7D45">
        <w:t>« </w:t>
      </w:r>
      <w:r w:rsidRPr="005D7D45">
        <w:rPr>
          <w:lang w:val="fr-FR" w:eastAsia="fr-FR" w:bidi="fr-FR"/>
        </w:rPr>
        <w:t>Building Leverage in the Long War</w:t>
      </w:r>
      <w:r w:rsidRPr="005D7D45">
        <w:t> »</w:t>
      </w:r>
      <w:r w:rsidRPr="005D7D45">
        <w:rPr>
          <w:lang w:val="fr-FR" w:eastAsia="fr-FR" w:bidi="fr-FR"/>
        </w:rPr>
        <w:t xml:space="preserve">, </w:t>
      </w:r>
      <w:r w:rsidRPr="0032098C">
        <w:rPr>
          <w:i/>
          <w:iCs/>
        </w:rPr>
        <w:t>Policy Analysis</w:t>
      </w:r>
      <w:r w:rsidRPr="005D7D45">
        <w:t xml:space="preserve">, </w:t>
      </w:r>
      <w:r w:rsidRPr="005D7D45">
        <w:rPr>
          <w:lang w:val="fr-FR" w:eastAsia="fr-FR" w:bidi="fr-FR"/>
        </w:rPr>
        <w:t>439, 16 mai 2002, 14 p.</w:t>
      </w:r>
    </w:p>
  </w:footnote>
  <w:footnote w:id="426">
    <w:p w14:paraId="72F3731F" w14:textId="77777777" w:rsidR="0039793A" w:rsidRDefault="0039793A" w:rsidP="0039793A">
      <w:pPr>
        <w:pStyle w:val="Notedebasdepage"/>
      </w:pPr>
      <w:r>
        <w:rPr>
          <w:rStyle w:val="Appelnotedebasdep"/>
        </w:rPr>
        <w:footnoteRef/>
      </w:r>
      <w:r>
        <w:tab/>
      </w:r>
      <w:r w:rsidRPr="005D7D45">
        <w:rPr>
          <w:lang w:val="fr-FR" w:eastAsia="fr-FR" w:bidi="fr-FR"/>
        </w:rPr>
        <w:t xml:space="preserve">Richard Betts, cité dans Maurice Greenberg et Richard Haass, </w:t>
      </w:r>
      <w:r w:rsidRPr="005F2F3C">
        <w:rPr>
          <w:i/>
        </w:rPr>
        <w:t>Making Inte</w:t>
      </w:r>
      <w:r w:rsidRPr="005F2F3C">
        <w:rPr>
          <w:i/>
        </w:rPr>
        <w:t>l</w:t>
      </w:r>
      <w:r w:rsidRPr="005F2F3C">
        <w:rPr>
          <w:i/>
        </w:rPr>
        <w:t xml:space="preserve">ligence Smarter. The Future </w:t>
      </w:r>
      <w:r w:rsidRPr="005F2F3C">
        <w:rPr>
          <w:i/>
          <w:iCs/>
        </w:rPr>
        <w:t xml:space="preserve">of US </w:t>
      </w:r>
      <w:r w:rsidRPr="005F2F3C">
        <w:rPr>
          <w:i/>
        </w:rPr>
        <w:t>Intelligence</w:t>
      </w:r>
      <w:r w:rsidRPr="005D7D45">
        <w:t>,</w:t>
      </w:r>
      <w:r w:rsidRPr="005D7D45">
        <w:rPr>
          <w:lang w:val="fr-FR" w:eastAsia="fr-FR" w:bidi="fr-FR"/>
        </w:rPr>
        <w:t xml:space="preserve"> New York, Council on F</w:t>
      </w:r>
      <w:r w:rsidRPr="005D7D45">
        <w:rPr>
          <w:lang w:val="fr-FR" w:eastAsia="fr-FR" w:bidi="fr-FR"/>
        </w:rPr>
        <w:t>o</w:t>
      </w:r>
      <w:r w:rsidRPr="005D7D45">
        <w:rPr>
          <w:lang w:val="fr-FR" w:eastAsia="fr-FR" w:bidi="fr-FR"/>
        </w:rPr>
        <w:t>reign Relations, 2002, p. 24.</w:t>
      </w:r>
    </w:p>
  </w:footnote>
  <w:footnote w:id="427">
    <w:p w14:paraId="00946041" w14:textId="77777777" w:rsidR="0039793A" w:rsidRDefault="0039793A" w:rsidP="0039793A">
      <w:pPr>
        <w:pStyle w:val="Notedebasdepage"/>
      </w:pPr>
      <w:r>
        <w:rPr>
          <w:rStyle w:val="Appelnotedebasdep"/>
        </w:rPr>
        <w:footnoteRef/>
      </w:r>
      <w:r>
        <w:tab/>
      </w:r>
      <w:r w:rsidRPr="005D7D45">
        <w:rPr>
          <w:lang w:val="fr-FR" w:eastAsia="fr-FR" w:bidi="fr-FR"/>
        </w:rPr>
        <w:t xml:space="preserve">Loch Johnson, </w:t>
      </w:r>
      <w:r w:rsidRPr="0032098C">
        <w:rPr>
          <w:i/>
          <w:iCs/>
        </w:rPr>
        <w:t xml:space="preserve">Bombs, Bugs, Drugs, and Thugs. Intelligence and America’s Quest </w:t>
      </w:r>
      <w:r w:rsidRPr="0032098C">
        <w:rPr>
          <w:i/>
          <w:iCs/>
          <w:lang w:val="fr-FR" w:eastAsia="fr-FR" w:bidi="fr-FR"/>
        </w:rPr>
        <w:t>for Sec</w:t>
      </w:r>
      <w:r w:rsidRPr="0032098C">
        <w:rPr>
          <w:i/>
          <w:iCs/>
          <w:lang w:val="fr-FR" w:eastAsia="fr-FR" w:bidi="fr-FR"/>
        </w:rPr>
        <w:t>u</w:t>
      </w:r>
      <w:r w:rsidRPr="0032098C">
        <w:rPr>
          <w:i/>
          <w:iCs/>
          <w:lang w:val="fr-FR" w:eastAsia="fr-FR" w:bidi="fr-FR"/>
        </w:rPr>
        <w:t>rity</w:t>
      </w:r>
      <w:r w:rsidRPr="005F2F3C">
        <w:rPr>
          <w:lang w:val="fr-FR" w:eastAsia="fr-FR" w:bidi="fr-FR"/>
        </w:rPr>
        <w:t>,</w:t>
      </w:r>
      <w:r w:rsidRPr="005D7D45">
        <w:rPr>
          <w:lang w:val="fr-FR" w:eastAsia="fr-FR" w:bidi="fr-FR"/>
        </w:rPr>
        <w:t xml:space="preserve"> New York, New York University Press, 2</w:t>
      </w:r>
      <w:r w:rsidRPr="005F2F3C">
        <w:rPr>
          <w:lang w:val="fr-FR" w:eastAsia="fr-FR" w:bidi="fr-FR"/>
        </w:rPr>
        <w:t>e</w:t>
      </w:r>
      <w:r w:rsidRPr="005D7D45">
        <w:rPr>
          <w:lang w:val="fr-FR" w:eastAsia="fr-FR" w:bidi="fr-FR"/>
        </w:rPr>
        <w:t xml:space="preserve"> éd., 2002, p. 1-8, 95-121</w:t>
      </w:r>
      <w:r w:rsidRPr="005F2F3C">
        <w:rPr>
          <w:lang w:val="fr-FR" w:eastAsia="fr-FR" w:bidi="fr-FR"/>
        </w:rPr>
        <w:t> ;</w:t>
      </w:r>
      <w:r w:rsidRPr="005D7D45">
        <w:rPr>
          <w:lang w:val="fr-FR" w:eastAsia="fr-FR" w:bidi="fr-FR"/>
        </w:rPr>
        <w:t xml:space="preserve"> Jeffrey Richelson, </w:t>
      </w:r>
      <w:r w:rsidRPr="0032098C">
        <w:rPr>
          <w:i/>
          <w:iCs/>
          <w:lang w:val="fr-FR" w:eastAsia="fr-FR" w:bidi="fr-FR"/>
        </w:rPr>
        <w:t xml:space="preserve">The </w:t>
      </w:r>
      <w:r w:rsidRPr="0032098C">
        <w:rPr>
          <w:i/>
          <w:iCs/>
        </w:rPr>
        <w:t xml:space="preserve">US </w:t>
      </w:r>
      <w:r w:rsidRPr="0032098C">
        <w:rPr>
          <w:i/>
          <w:iCs/>
          <w:lang w:val="fr-FR" w:eastAsia="fr-FR" w:bidi="fr-FR"/>
        </w:rPr>
        <w:t>Intell</w:t>
      </w:r>
      <w:r w:rsidRPr="0032098C">
        <w:rPr>
          <w:i/>
          <w:iCs/>
          <w:lang w:val="fr-FR" w:eastAsia="fr-FR" w:bidi="fr-FR"/>
        </w:rPr>
        <w:t>i</w:t>
      </w:r>
      <w:r w:rsidRPr="0032098C">
        <w:rPr>
          <w:i/>
          <w:iCs/>
          <w:lang w:val="fr-FR" w:eastAsia="fr-FR" w:bidi="fr-FR"/>
        </w:rPr>
        <w:t>gence Community</w:t>
      </w:r>
      <w:r w:rsidRPr="005F2F3C">
        <w:rPr>
          <w:lang w:val="fr-FR" w:eastAsia="fr-FR" w:bidi="fr-FR"/>
        </w:rPr>
        <w:t>,</w:t>
      </w:r>
      <w:r w:rsidRPr="005D7D45">
        <w:rPr>
          <w:lang w:val="fr-FR" w:eastAsia="fr-FR" w:bidi="fr-FR"/>
        </w:rPr>
        <w:t xml:space="preserve"> Boulder, Westview Press, 4</w:t>
      </w:r>
      <w:r w:rsidRPr="005F2F3C">
        <w:rPr>
          <w:lang w:val="fr-FR" w:eastAsia="fr-FR" w:bidi="fr-FR"/>
        </w:rPr>
        <w:t>e</w:t>
      </w:r>
      <w:r w:rsidRPr="005D7D45">
        <w:rPr>
          <w:lang w:val="fr-FR" w:eastAsia="fr-FR" w:bidi="fr-FR"/>
        </w:rPr>
        <w:t>éd., 1999, 544 p.</w:t>
      </w:r>
      <w:r w:rsidRPr="005F2F3C">
        <w:rPr>
          <w:lang w:val="fr-FR" w:eastAsia="fr-FR" w:bidi="fr-FR"/>
        </w:rPr>
        <w:t> ;</w:t>
      </w:r>
      <w:r w:rsidRPr="005D7D45">
        <w:rPr>
          <w:lang w:val="fr-FR" w:eastAsia="fr-FR" w:bidi="fr-FR"/>
        </w:rPr>
        <w:t xml:space="preserve"> Mark Lowenthal, </w:t>
      </w:r>
      <w:r w:rsidRPr="0032098C">
        <w:rPr>
          <w:i/>
          <w:iCs/>
        </w:rPr>
        <w:t xml:space="preserve">US </w:t>
      </w:r>
      <w:r w:rsidRPr="0032098C">
        <w:rPr>
          <w:i/>
          <w:iCs/>
          <w:lang w:val="fr-FR" w:eastAsia="fr-FR" w:bidi="fr-FR"/>
        </w:rPr>
        <w:t>Intelligence. Evolution and Anatomy</w:t>
      </w:r>
      <w:r w:rsidRPr="005F2F3C">
        <w:rPr>
          <w:lang w:val="fr-FR" w:eastAsia="fr-FR" w:bidi="fr-FR"/>
        </w:rPr>
        <w:t>,</w:t>
      </w:r>
      <w:r w:rsidRPr="005D7D45">
        <w:rPr>
          <w:lang w:val="fr-FR" w:eastAsia="fr-FR" w:bidi="fr-FR"/>
        </w:rPr>
        <w:t xml:space="preserve"> Westport, Pra</w:t>
      </w:r>
      <w:r w:rsidRPr="005D7D45">
        <w:rPr>
          <w:lang w:val="fr-FR" w:eastAsia="fr-FR" w:bidi="fr-FR"/>
        </w:rPr>
        <w:t>e</w:t>
      </w:r>
      <w:r w:rsidRPr="005D7D45">
        <w:rPr>
          <w:lang w:val="fr-FR" w:eastAsia="fr-FR" w:bidi="fr-FR"/>
        </w:rPr>
        <w:t>ger, 1992, p. 105-115, 141-143.</w:t>
      </w:r>
    </w:p>
  </w:footnote>
  <w:footnote w:id="428">
    <w:p w14:paraId="573D57FB" w14:textId="77777777" w:rsidR="0039793A" w:rsidRDefault="0039793A" w:rsidP="0039793A">
      <w:pPr>
        <w:pStyle w:val="Notedebasdepage"/>
      </w:pPr>
      <w:r>
        <w:rPr>
          <w:rStyle w:val="Appelnotedebasdep"/>
        </w:rPr>
        <w:footnoteRef/>
      </w:r>
      <w:r>
        <w:tab/>
      </w:r>
      <w:r w:rsidRPr="005D7D45">
        <w:rPr>
          <w:lang w:val="fr-FR" w:eastAsia="fr-FR" w:bidi="fr-FR"/>
        </w:rPr>
        <w:t xml:space="preserve">Richard Betts, </w:t>
      </w:r>
      <w:r w:rsidRPr="005D7D45">
        <w:t>« </w:t>
      </w:r>
      <w:r w:rsidRPr="005D7D45">
        <w:rPr>
          <w:lang w:val="fr-FR" w:eastAsia="fr-FR" w:bidi="fr-FR"/>
        </w:rPr>
        <w:t>Intelligence Test</w:t>
      </w:r>
      <w:r w:rsidRPr="005D7D45">
        <w:t> »</w:t>
      </w:r>
      <w:r w:rsidRPr="005D7D45">
        <w:rPr>
          <w:lang w:val="fr-FR" w:eastAsia="fr-FR" w:bidi="fr-FR"/>
        </w:rPr>
        <w:t>, dans J</w:t>
      </w:r>
      <w:r w:rsidRPr="005D7D45">
        <w:rPr>
          <w:lang w:val="fr-FR" w:eastAsia="fr-FR" w:bidi="fr-FR"/>
        </w:rPr>
        <w:t>a</w:t>
      </w:r>
      <w:r w:rsidRPr="005D7D45">
        <w:rPr>
          <w:lang w:val="fr-FR" w:eastAsia="fr-FR" w:bidi="fr-FR"/>
        </w:rPr>
        <w:t xml:space="preserve">mes Hoge et Gideon Rose (ed.), </w:t>
      </w:r>
      <w:r w:rsidRPr="0032098C">
        <w:rPr>
          <w:i/>
          <w:iCs/>
        </w:rPr>
        <w:t>How Did This Happen ? Terrorism and the New War</w:t>
      </w:r>
      <w:r w:rsidRPr="005D7D45">
        <w:t>,</w:t>
      </w:r>
      <w:r w:rsidRPr="005D7D45">
        <w:rPr>
          <w:lang w:val="fr-FR" w:eastAsia="fr-FR" w:bidi="fr-FR"/>
        </w:rPr>
        <w:t xml:space="preserve"> New York, Public A</w:t>
      </w:r>
      <w:r w:rsidRPr="005D7D45">
        <w:rPr>
          <w:lang w:val="fr-FR" w:eastAsia="fr-FR" w:bidi="fr-FR"/>
        </w:rPr>
        <w:t>f</w:t>
      </w:r>
      <w:r w:rsidRPr="005D7D45">
        <w:rPr>
          <w:lang w:val="fr-FR" w:eastAsia="fr-FR" w:bidi="fr-FR"/>
        </w:rPr>
        <w:t>fairs, 2001, p. 157.</w:t>
      </w:r>
    </w:p>
  </w:footnote>
  <w:footnote w:id="429">
    <w:p w14:paraId="67652521" w14:textId="77777777" w:rsidR="0039793A" w:rsidRDefault="0039793A" w:rsidP="0039793A">
      <w:pPr>
        <w:pStyle w:val="Notedebasdepage"/>
      </w:pPr>
      <w:r>
        <w:rPr>
          <w:rStyle w:val="Appelnotedebasdep"/>
        </w:rPr>
        <w:footnoteRef/>
      </w:r>
      <w:r>
        <w:tab/>
      </w:r>
      <w:r w:rsidRPr="005D7D45">
        <w:rPr>
          <w:lang w:val="fr-FR" w:eastAsia="fr-FR" w:bidi="fr-FR"/>
        </w:rPr>
        <w:t>Comme le propose le Comité conjoint du re</w:t>
      </w:r>
      <w:r w:rsidRPr="005D7D45">
        <w:rPr>
          <w:lang w:val="fr-FR" w:eastAsia="fr-FR" w:bidi="fr-FR"/>
        </w:rPr>
        <w:t>n</w:t>
      </w:r>
      <w:r w:rsidRPr="005D7D45">
        <w:rPr>
          <w:lang w:val="fr-FR" w:eastAsia="fr-FR" w:bidi="fr-FR"/>
        </w:rPr>
        <w:t xml:space="preserve">seignement au Congrès, dans son rapport déposé en décembre 2002, et qui suggère la création du poste de </w:t>
      </w:r>
      <w:r w:rsidRPr="005D7D45">
        <w:t xml:space="preserve">DNI </w:t>
      </w:r>
      <w:r w:rsidRPr="005D7D45">
        <w:rPr>
          <w:lang w:val="fr-FR" w:eastAsia="fr-FR" w:bidi="fr-FR"/>
        </w:rPr>
        <w:t xml:space="preserve">et la rétrogradation du poste de </w:t>
      </w:r>
      <w:r w:rsidRPr="005D7D45">
        <w:t>DCI :</w:t>
      </w:r>
      <w:r w:rsidRPr="005D7D45">
        <w:rPr>
          <w:lang w:val="fr-FR" w:eastAsia="fr-FR" w:bidi="fr-FR"/>
        </w:rPr>
        <w:t xml:space="preserve"> James Risen, </w:t>
      </w:r>
      <w:r w:rsidRPr="005D7D45">
        <w:t>« </w:t>
      </w:r>
      <w:r w:rsidRPr="005D7D45">
        <w:rPr>
          <w:lang w:val="fr-FR" w:eastAsia="fr-FR" w:bidi="fr-FR"/>
        </w:rPr>
        <w:t>Inquiry is Sharply Critical of Intelligence Agencies</w:t>
      </w:r>
      <w:r w:rsidRPr="005D7D45">
        <w:t> »</w:t>
      </w:r>
      <w:r w:rsidRPr="005D7D45">
        <w:rPr>
          <w:lang w:val="fr-FR" w:eastAsia="fr-FR" w:bidi="fr-FR"/>
        </w:rPr>
        <w:t xml:space="preserve">, </w:t>
      </w:r>
      <w:r w:rsidRPr="000F4A16">
        <w:rPr>
          <w:i/>
          <w:iCs/>
        </w:rPr>
        <w:t>New York Times</w:t>
      </w:r>
      <w:r w:rsidRPr="005D7D45">
        <w:rPr>
          <w:lang w:val="fr-FR" w:eastAsia="fr-FR" w:bidi="fr-FR"/>
        </w:rPr>
        <w:t>, 12 déce</w:t>
      </w:r>
      <w:r w:rsidRPr="005D7D45">
        <w:rPr>
          <w:lang w:val="fr-FR" w:eastAsia="fr-FR" w:bidi="fr-FR"/>
        </w:rPr>
        <w:t>m</w:t>
      </w:r>
      <w:r w:rsidRPr="005D7D45">
        <w:rPr>
          <w:lang w:val="fr-FR" w:eastAsia="fr-FR" w:bidi="fr-FR"/>
        </w:rPr>
        <w:t>bre 2002, p. A22</w:t>
      </w:r>
      <w:r w:rsidRPr="005D7D45">
        <w:t> ;</w:t>
      </w:r>
      <w:r w:rsidRPr="005D7D45">
        <w:rPr>
          <w:lang w:val="fr-FR" w:eastAsia="fr-FR" w:bidi="fr-FR"/>
        </w:rPr>
        <w:t xml:space="preserve"> Greenberg et Haass, </w:t>
      </w:r>
      <w:r w:rsidRPr="000F4A16">
        <w:rPr>
          <w:i/>
          <w:iCs/>
        </w:rPr>
        <w:t>op. cit</w:t>
      </w:r>
      <w:r w:rsidRPr="005D7D45">
        <w:t>.,</w:t>
      </w:r>
      <w:r w:rsidRPr="005D7D45">
        <w:rPr>
          <w:lang w:val="fr-FR" w:eastAsia="fr-FR" w:bidi="fr-FR"/>
        </w:rPr>
        <w:t xml:space="preserve"> p. 18.</w:t>
      </w:r>
    </w:p>
  </w:footnote>
  <w:footnote w:id="430">
    <w:p w14:paraId="2E4E4C57" w14:textId="77777777" w:rsidR="0039793A" w:rsidRDefault="0039793A" w:rsidP="0039793A">
      <w:pPr>
        <w:pStyle w:val="Notedebasdepage"/>
      </w:pPr>
      <w:r>
        <w:rPr>
          <w:rStyle w:val="Appelnotedebasdep"/>
        </w:rPr>
        <w:footnoteRef/>
      </w:r>
      <w:r>
        <w:tab/>
      </w:r>
      <w:r w:rsidRPr="005D7D45">
        <w:rPr>
          <w:lang w:val="fr-FR" w:eastAsia="fr-FR" w:bidi="fr-FR"/>
        </w:rPr>
        <w:t xml:space="preserve">Johnson, </w:t>
      </w:r>
      <w:r w:rsidRPr="000F4A16">
        <w:rPr>
          <w:i/>
          <w:iCs/>
        </w:rPr>
        <w:t>op. cit</w:t>
      </w:r>
      <w:r w:rsidRPr="005D7D45">
        <w:t>.,</w:t>
      </w:r>
      <w:r w:rsidRPr="005D7D45">
        <w:rPr>
          <w:lang w:val="fr-FR" w:eastAsia="fr-FR" w:bidi="fr-FR"/>
        </w:rPr>
        <w:t xml:space="preserve"> p. 109.</w:t>
      </w:r>
    </w:p>
  </w:footnote>
  <w:footnote w:id="431">
    <w:p w14:paraId="0CD367EC" w14:textId="77777777" w:rsidR="0039793A" w:rsidRDefault="0039793A" w:rsidP="0039793A">
      <w:pPr>
        <w:pStyle w:val="Notedebasdepage"/>
      </w:pPr>
      <w:r>
        <w:rPr>
          <w:rStyle w:val="Appelnotedebasdep"/>
        </w:rPr>
        <w:footnoteRef/>
      </w:r>
      <w:r>
        <w:tab/>
      </w:r>
      <w:r w:rsidRPr="005D7D45">
        <w:rPr>
          <w:lang w:val="fr-FR" w:eastAsia="fr-FR" w:bidi="fr-FR"/>
        </w:rPr>
        <w:t xml:space="preserve">Lowenthal, </w:t>
      </w:r>
      <w:r w:rsidRPr="000F4A16">
        <w:rPr>
          <w:i/>
          <w:iCs/>
        </w:rPr>
        <w:t>op. cit</w:t>
      </w:r>
      <w:r w:rsidRPr="005D7D45">
        <w:t>.,</w:t>
      </w:r>
      <w:r w:rsidRPr="005D7D45">
        <w:rPr>
          <w:lang w:val="fr-FR" w:eastAsia="fr-FR" w:bidi="fr-FR"/>
        </w:rPr>
        <w:t xml:space="preserve"> p. 116-137</w:t>
      </w:r>
      <w:r w:rsidRPr="005D7D45">
        <w:t> ;</w:t>
      </w:r>
      <w:r w:rsidRPr="005D7D45">
        <w:rPr>
          <w:lang w:val="fr-FR" w:eastAsia="fr-FR" w:bidi="fr-FR"/>
        </w:rPr>
        <w:t xml:space="preserve"> Kegley et Wittkopf, </w:t>
      </w:r>
      <w:r w:rsidRPr="000F4A16">
        <w:rPr>
          <w:i/>
          <w:iCs/>
        </w:rPr>
        <w:t>op. cit</w:t>
      </w:r>
      <w:r w:rsidRPr="005D7D45">
        <w:t>.,</w:t>
      </w:r>
      <w:r w:rsidRPr="005D7D45">
        <w:rPr>
          <w:lang w:val="fr-FR" w:eastAsia="fr-FR" w:bidi="fr-FR"/>
        </w:rPr>
        <w:t xml:space="preserve"> p. 398-402</w:t>
      </w:r>
      <w:r w:rsidRPr="005D7D45">
        <w:t> ;</w:t>
      </w:r>
      <w:r w:rsidRPr="005D7D45">
        <w:rPr>
          <w:lang w:val="fr-FR" w:eastAsia="fr-FR" w:bidi="fr-FR"/>
        </w:rPr>
        <w:t xml:space="preserve"> Rosati, </w:t>
      </w:r>
      <w:r w:rsidRPr="000F4A16">
        <w:rPr>
          <w:i/>
          <w:iCs/>
        </w:rPr>
        <w:t>op. cit</w:t>
      </w:r>
      <w:r w:rsidRPr="005D7D45">
        <w:t>.,</w:t>
      </w:r>
      <w:r w:rsidRPr="005D7D45">
        <w:rPr>
          <w:lang w:val="fr-FR" w:eastAsia="fr-FR" w:bidi="fr-FR"/>
        </w:rPr>
        <w:t xml:space="preserve"> p. 184-188</w:t>
      </w:r>
      <w:r w:rsidRPr="005D7D45">
        <w:t> ;</w:t>
      </w:r>
      <w:r w:rsidRPr="005D7D45">
        <w:rPr>
          <w:lang w:val="fr-FR" w:eastAsia="fr-FR" w:bidi="fr-FR"/>
        </w:rPr>
        <w:t xml:space="preserve"> Snow, </w:t>
      </w:r>
      <w:r w:rsidRPr="000F4A16">
        <w:rPr>
          <w:i/>
          <w:iCs/>
        </w:rPr>
        <w:t>op. cit</w:t>
      </w:r>
      <w:r w:rsidRPr="005D7D45">
        <w:t>.,</w:t>
      </w:r>
      <w:r>
        <w:rPr>
          <w:lang w:val="fr-FR" w:eastAsia="fr-FR" w:bidi="fr-FR"/>
        </w:rPr>
        <w:t xml:space="preserve"> p. 84-89.</w:t>
      </w:r>
    </w:p>
  </w:footnote>
  <w:footnote w:id="432">
    <w:p w14:paraId="254672B2" w14:textId="77777777" w:rsidR="0039793A" w:rsidRDefault="0039793A" w:rsidP="0039793A">
      <w:pPr>
        <w:pStyle w:val="Notedebasdepage"/>
      </w:pPr>
      <w:r>
        <w:rPr>
          <w:rStyle w:val="Appelnotedebasdep"/>
        </w:rPr>
        <w:footnoteRef/>
      </w:r>
      <w:r>
        <w:tab/>
      </w:r>
      <w:r w:rsidRPr="005D7D45">
        <w:rPr>
          <w:lang w:val="fr-FR" w:eastAsia="fr-FR" w:bidi="fr-FR"/>
        </w:rPr>
        <w:t xml:space="preserve">Robert Dreyfuss, </w:t>
      </w:r>
      <w:r w:rsidRPr="005D7D45">
        <w:t>« </w:t>
      </w:r>
      <w:r w:rsidRPr="005D7D45">
        <w:rPr>
          <w:lang w:val="fr-FR" w:eastAsia="fr-FR" w:bidi="fr-FR"/>
        </w:rPr>
        <w:t xml:space="preserve">Techint. The </w:t>
      </w:r>
      <w:r w:rsidRPr="005D7D45">
        <w:t xml:space="preserve">NSA, </w:t>
      </w:r>
      <w:r w:rsidRPr="005D7D45">
        <w:rPr>
          <w:lang w:val="fr-FR" w:eastAsia="fr-FR" w:bidi="fr-FR"/>
        </w:rPr>
        <w:t xml:space="preserve">the </w:t>
      </w:r>
      <w:r w:rsidRPr="005D7D45">
        <w:t xml:space="preserve">NRO, </w:t>
      </w:r>
      <w:r w:rsidRPr="005D7D45">
        <w:rPr>
          <w:lang w:val="fr-FR" w:eastAsia="fr-FR" w:bidi="fr-FR"/>
        </w:rPr>
        <w:t xml:space="preserve">and </w:t>
      </w:r>
      <w:r w:rsidRPr="005D7D45">
        <w:t xml:space="preserve">NIMA », </w:t>
      </w:r>
      <w:r w:rsidRPr="005D7D45">
        <w:rPr>
          <w:lang w:val="fr-FR" w:eastAsia="fr-FR" w:bidi="fr-FR"/>
        </w:rPr>
        <w:t xml:space="preserve">dans Craig Eisendrath (ed.). </w:t>
      </w:r>
      <w:r w:rsidRPr="000F4A16">
        <w:rPr>
          <w:i/>
          <w:iCs/>
        </w:rPr>
        <w:t xml:space="preserve">National Insecurity. </w:t>
      </w:r>
      <w:r>
        <w:rPr>
          <w:i/>
          <w:iCs/>
        </w:rPr>
        <w:t xml:space="preserve">US </w:t>
      </w:r>
      <w:r w:rsidRPr="000F4A16">
        <w:rPr>
          <w:rStyle w:val="Notedebasdepage65ptItalique"/>
          <w:i w:val="0"/>
          <w:iCs w:val="0"/>
        </w:rPr>
        <w:t xml:space="preserve"> </w:t>
      </w:r>
      <w:r w:rsidRPr="000F4A16">
        <w:rPr>
          <w:i/>
          <w:iCs/>
        </w:rPr>
        <w:t>Intelligence After the Cold War</w:t>
      </w:r>
      <w:r w:rsidRPr="005D7D45">
        <w:t>,</w:t>
      </w:r>
      <w:r w:rsidRPr="005D7D45">
        <w:rPr>
          <w:lang w:val="fr-FR" w:eastAsia="fr-FR" w:bidi="fr-FR"/>
        </w:rPr>
        <w:t xml:space="preserve"> Philadelphie, Temple University Press, 2000, p. 149-171.</w:t>
      </w:r>
    </w:p>
  </w:footnote>
  <w:footnote w:id="433">
    <w:p w14:paraId="1AAAE5B7" w14:textId="77777777" w:rsidR="0039793A" w:rsidRDefault="0039793A" w:rsidP="0039793A">
      <w:pPr>
        <w:pStyle w:val="Notedebasdepage"/>
      </w:pPr>
      <w:r>
        <w:rPr>
          <w:rStyle w:val="Appelnotedebasdep"/>
        </w:rPr>
        <w:footnoteRef/>
      </w:r>
      <w:r>
        <w:tab/>
      </w:r>
      <w:r w:rsidRPr="005D7D45">
        <w:rPr>
          <w:lang w:val="fr-FR" w:eastAsia="fr-FR" w:bidi="fr-FR"/>
        </w:rPr>
        <w:t xml:space="preserve">Sarkesian, </w:t>
      </w:r>
      <w:r w:rsidRPr="000F4A16">
        <w:rPr>
          <w:i/>
          <w:iCs/>
        </w:rPr>
        <w:t>op. cit</w:t>
      </w:r>
      <w:r w:rsidRPr="005D7D45">
        <w:t>.,</w:t>
      </w:r>
      <w:r w:rsidRPr="005D7D45">
        <w:rPr>
          <w:lang w:val="fr-FR" w:eastAsia="fr-FR" w:bidi="fr-FR"/>
        </w:rPr>
        <w:t xml:space="preserve"> p. 160-161.</w:t>
      </w:r>
    </w:p>
  </w:footnote>
  <w:footnote w:id="434">
    <w:p w14:paraId="293B6929" w14:textId="77777777" w:rsidR="0039793A" w:rsidRDefault="0039793A" w:rsidP="0039793A">
      <w:pPr>
        <w:pStyle w:val="Notedebasdepage"/>
      </w:pPr>
      <w:r>
        <w:rPr>
          <w:rStyle w:val="Appelnotedebasdep"/>
        </w:rPr>
        <w:footnoteRef/>
      </w:r>
      <w:r>
        <w:tab/>
      </w:r>
      <w:r w:rsidRPr="005D7D45">
        <w:rPr>
          <w:lang w:val="fr-FR" w:eastAsia="fr-FR" w:bidi="fr-FR"/>
        </w:rPr>
        <w:t xml:space="preserve">Zegart, </w:t>
      </w:r>
      <w:r w:rsidRPr="00DB6CAD">
        <w:rPr>
          <w:i/>
          <w:iCs/>
        </w:rPr>
        <w:t>op. cit</w:t>
      </w:r>
      <w:r w:rsidRPr="005D7D45">
        <w:t>.,</w:t>
      </w:r>
      <w:r w:rsidRPr="005D7D45">
        <w:rPr>
          <w:lang w:val="fr-FR" w:eastAsia="fr-FR" w:bidi="fr-FR"/>
        </w:rPr>
        <w:t xml:space="preserve"> p. 163-222.</w:t>
      </w:r>
    </w:p>
  </w:footnote>
  <w:footnote w:id="435">
    <w:p w14:paraId="673E0EE7" w14:textId="77777777" w:rsidR="0039793A" w:rsidRDefault="0039793A" w:rsidP="0039793A">
      <w:pPr>
        <w:pStyle w:val="Notedebasdepage"/>
      </w:pPr>
      <w:r>
        <w:rPr>
          <w:rStyle w:val="Appelnotedebasdep"/>
        </w:rPr>
        <w:footnoteRef/>
      </w:r>
      <w:r>
        <w:tab/>
      </w:r>
      <w:r w:rsidRPr="005D7D45">
        <w:rPr>
          <w:lang w:val="fr-FR" w:eastAsia="fr-FR" w:bidi="fr-FR"/>
        </w:rPr>
        <w:t xml:space="preserve">Johnson, </w:t>
      </w:r>
      <w:r w:rsidRPr="00DB6CAD">
        <w:rPr>
          <w:i/>
          <w:iCs/>
        </w:rPr>
        <w:t>op. cit</w:t>
      </w:r>
      <w:r w:rsidRPr="005D7D45">
        <w:t>.,</w:t>
      </w:r>
      <w:r w:rsidRPr="005D7D45">
        <w:rPr>
          <w:lang w:val="fr-FR" w:eastAsia="fr-FR" w:bidi="fr-FR"/>
        </w:rPr>
        <w:t xml:space="preserve"> p. 98-105</w:t>
      </w:r>
      <w:r w:rsidRPr="005D7D45">
        <w:t> ;</w:t>
      </w:r>
      <w:r w:rsidRPr="005D7D45">
        <w:rPr>
          <w:lang w:val="fr-FR" w:eastAsia="fr-FR" w:bidi="fr-FR"/>
        </w:rPr>
        <w:t xml:space="preserve"> Lowenthal, </w:t>
      </w:r>
      <w:r w:rsidRPr="00DB6CAD">
        <w:rPr>
          <w:i/>
          <w:iCs/>
        </w:rPr>
        <w:t>op. cit</w:t>
      </w:r>
      <w:r w:rsidRPr="005D7D45">
        <w:t>.,</w:t>
      </w:r>
      <w:r w:rsidRPr="005D7D45">
        <w:rPr>
          <w:lang w:val="fr-FR" w:eastAsia="fr-FR" w:bidi="fr-FR"/>
        </w:rPr>
        <w:t xml:space="preserve"> p. 118-123</w:t>
      </w:r>
      <w:r w:rsidRPr="005D7D45">
        <w:t> ;</w:t>
      </w:r>
      <w:r w:rsidRPr="005D7D45">
        <w:rPr>
          <w:lang w:val="fr-FR" w:eastAsia="fr-FR" w:bidi="fr-FR"/>
        </w:rPr>
        <w:t xml:space="preserve"> Sa</w:t>
      </w:r>
      <w:r w:rsidRPr="005D7D45">
        <w:rPr>
          <w:lang w:val="fr-FR" w:eastAsia="fr-FR" w:bidi="fr-FR"/>
        </w:rPr>
        <w:t>r</w:t>
      </w:r>
      <w:r w:rsidRPr="005D7D45">
        <w:rPr>
          <w:lang w:val="fr-FR" w:eastAsia="fr-FR" w:bidi="fr-FR"/>
        </w:rPr>
        <w:t xml:space="preserve">kesian, </w:t>
      </w:r>
      <w:r w:rsidRPr="00DB6CAD">
        <w:rPr>
          <w:i/>
          <w:iCs/>
        </w:rPr>
        <w:t>op. cit</w:t>
      </w:r>
      <w:r w:rsidRPr="005D7D45">
        <w:t>.,</w:t>
      </w:r>
      <w:r w:rsidRPr="005D7D45">
        <w:rPr>
          <w:lang w:val="fr-FR" w:eastAsia="fr-FR" w:bidi="fr-FR"/>
        </w:rPr>
        <w:t xml:space="preserve"> p. 157-178</w:t>
      </w:r>
      <w:r w:rsidRPr="005D7D45">
        <w:t> ;</w:t>
      </w:r>
      <w:r w:rsidRPr="005D7D45">
        <w:rPr>
          <w:lang w:val="fr-FR" w:eastAsia="fr-FR" w:bidi="fr-FR"/>
        </w:rPr>
        <w:t xml:space="preserve"> Wiarda, </w:t>
      </w:r>
      <w:r w:rsidRPr="005D7D45">
        <w:t>op. cit.,</w:t>
      </w:r>
      <w:r w:rsidRPr="005D7D45">
        <w:rPr>
          <w:lang w:val="fr-FR" w:eastAsia="fr-FR" w:bidi="fr-FR"/>
        </w:rPr>
        <w:t xml:space="preserve"> p. 216-225</w:t>
      </w:r>
      <w:r w:rsidRPr="005D7D45">
        <w:t> ;</w:t>
      </w:r>
      <w:r w:rsidRPr="005D7D45">
        <w:rPr>
          <w:lang w:val="fr-FR" w:eastAsia="fr-FR" w:bidi="fr-FR"/>
        </w:rPr>
        <w:t xml:space="preserve"> Kegley et Wittkopf, </w:t>
      </w:r>
      <w:r w:rsidRPr="00DB6CAD">
        <w:rPr>
          <w:i/>
          <w:iCs/>
        </w:rPr>
        <w:t>op. cit</w:t>
      </w:r>
      <w:r w:rsidRPr="005D7D45">
        <w:t xml:space="preserve">., </w:t>
      </w:r>
      <w:r w:rsidRPr="005D7D45">
        <w:rPr>
          <w:lang w:val="fr-FR" w:eastAsia="fr-FR" w:bidi="fr-FR"/>
        </w:rPr>
        <w:t>p. 402-411</w:t>
      </w:r>
      <w:r w:rsidRPr="005D7D45">
        <w:t> ;</w:t>
      </w:r>
      <w:r w:rsidRPr="005D7D45">
        <w:rPr>
          <w:lang w:val="fr-FR" w:eastAsia="fr-FR" w:bidi="fr-FR"/>
        </w:rPr>
        <w:t xml:space="preserve"> Rosati, </w:t>
      </w:r>
      <w:r w:rsidRPr="00DB6CAD">
        <w:rPr>
          <w:i/>
          <w:iCs/>
        </w:rPr>
        <w:t>op. cit</w:t>
      </w:r>
      <w:r w:rsidRPr="005D7D45">
        <w:t>.,</w:t>
      </w:r>
      <w:r w:rsidRPr="005D7D45">
        <w:rPr>
          <w:lang w:val="fr-FR" w:eastAsia="fr-FR" w:bidi="fr-FR"/>
        </w:rPr>
        <w:t xml:space="preserve"> p. 197-215</w:t>
      </w:r>
      <w:r w:rsidRPr="005D7D45">
        <w:t> ;</w:t>
      </w:r>
      <w:r w:rsidRPr="005D7D45">
        <w:rPr>
          <w:lang w:val="fr-FR" w:eastAsia="fr-FR" w:bidi="fr-FR"/>
        </w:rPr>
        <w:t xml:space="preserve"> Nathan et Oliver, </w:t>
      </w:r>
      <w:r w:rsidRPr="00DB6CAD">
        <w:rPr>
          <w:i/>
          <w:iCs/>
        </w:rPr>
        <w:t>op. cit</w:t>
      </w:r>
      <w:r w:rsidRPr="005D7D45">
        <w:t>.,</w:t>
      </w:r>
      <w:r w:rsidRPr="005D7D45">
        <w:rPr>
          <w:lang w:val="fr-FR" w:eastAsia="fr-FR" w:bidi="fr-FR"/>
        </w:rPr>
        <w:t xml:space="preserve"> p. 23-27</w:t>
      </w:r>
      <w:r w:rsidRPr="005D7D45">
        <w:t> ;</w:t>
      </w:r>
      <w:r w:rsidRPr="005D7D45">
        <w:rPr>
          <w:lang w:val="fr-FR" w:eastAsia="fr-FR" w:bidi="fr-FR"/>
        </w:rPr>
        <w:t xml:space="preserve"> Dumbrell, </w:t>
      </w:r>
      <w:r w:rsidRPr="00DB6CAD">
        <w:rPr>
          <w:i/>
          <w:iCs/>
        </w:rPr>
        <w:t>op. cit</w:t>
      </w:r>
      <w:r w:rsidRPr="005D7D45">
        <w:t>.,</w:t>
      </w:r>
      <w:r w:rsidRPr="005D7D45">
        <w:rPr>
          <w:lang w:val="fr-FR" w:eastAsia="fr-FR" w:bidi="fr-FR"/>
        </w:rPr>
        <w:t xml:space="preserve"> p. 101-109.</w:t>
      </w:r>
    </w:p>
  </w:footnote>
  <w:footnote w:id="436">
    <w:p w14:paraId="52CE98EC" w14:textId="77777777" w:rsidR="0039793A" w:rsidRDefault="0039793A" w:rsidP="0039793A">
      <w:pPr>
        <w:pStyle w:val="Notedebasdepage"/>
      </w:pPr>
      <w:r>
        <w:rPr>
          <w:rStyle w:val="Appelnotedebasdep"/>
        </w:rPr>
        <w:footnoteRef/>
      </w:r>
      <w:r>
        <w:tab/>
      </w:r>
      <w:r w:rsidRPr="005D7D45">
        <w:rPr>
          <w:lang w:val="fr-FR" w:eastAsia="fr-FR" w:bidi="fr-FR"/>
        </w:rPr>
        <w:t>Le président Ford a, en 1976, émis une directive proscrivant les assassinats politiques. En 1981, le président Reagan en précise la po</w:t>
      </w:r>
      <w:r w:rsidRPr="005D7D45">
        <w:rPr>
          <w:lang w:val="fr-FR" w:eastAsia="fr-FR" w:bidi="fr-FR"/>
        </w:rPr>
        <w:t>r</w:t>
      </w:r>
      <w:r w:rsidRPr="005D7D45">
        <w:rPr>
          <w:lang w:val="fr-FR" w:eastAsia="fr-FR" w:bidi="fr-FR"/>
        </w:rPr>
        <w:t>tée en spécifiant qu’aucun employé du gouvernement américain ne peut être impliqué - dire</w:t>
      </w:r>
      <w:r w:rsidRPr="005D7D45">
        <w:rPr>
          <w:lang w:val="fr-FR" w:eastAsia="fr-FR" w:bidi="fr-FR"/>
        </w:rPr>
        <w:t>c</w:t>
      </w:r>
      <w:r w:rsidRPr="005D7D45">
        <w:rPr>
          <w:lang w:val="fr-FR" w:eastAsia="fr-FR" w:bidi="fr-FR"/>
        </w:rPr>
        <w:t>tement ou indirectement - dans une tentative d’assassinat polit</w:t>
      </w:r>
      <w:r w:rsidRPr="005D7D45">
        <w:rPr>
          <w:lang w:val="fr-FR" w:eastAsia="fr-FR" w:bidi="fr-FR"/>
        </w:rPr>
        <w:t>i</w:t>
      </w:r>
      <w:r w:rsidRPr="005D7D45">
        <w:rPr>
          <w:lang w:val="fr-FR" w:eastAsia="fr-FR" w:bidi="fr-FR"/>
        </w:rPr>
        <w:t>que.</w:t>
      </w:r>
    </w:p>
  </w:footnote>
  <w:footnote w:id="437">
    <w:p w14:paraId="5ACD69E1" w14:textId="77777777" w:rsidR="0039793A" w:rsidRDefault="0039793A" w:rsidP="0039793A">
      <w:pPr>
        <w:pStyle w:val="Notedebasdepage"/>
      </w:pPr>
      <w:r>
        <w:rPr>
          <w:rStyle w:val="Appelnotedebasdep"/>
        </w:rPr>
        <w:footnoteRef/>
      </w:r>
      <w:r>
        <w:tab/>
      </w:r>
      <w:r w:rsidRPr="005D7D45">
        <w:rPr>
          <w:lang w:val="fr-FR" w:eastAsia="fr-FR" w:bidi="fr-FR"/>
        </w:rPr>
        <w:t xml:space="preserve">Rhodri Jeffrey-Jones et Christopher Andrew, </w:t>
      </w:r>
      <w:r w:rsidRPr="00A37CBF">
        <w:rPr>
          <w:i/>
          <w:iCs/>
        </w:rPr>
        <w:t>Eternal Vigilance.</w:t>
      </w:r>
      <w:r w:rsidRPr="00A37CBF">
        <w:rPr>
          <w:i/>
          <w:iCs/>
          <w:lang w:val="fr-FR" w:eastAsia="fr-FR" w:bidi="fr-FR"/>
        </w:rPr>
        <w:t xml:space="preserve"> 50 </w:t>
      </w:r>
      <w:r w:rsidRPr="00A37CBF">
        <w:rPr>
          <w:i/>
          <w:iCs/>
        </w:rPr>
        <w:t xml:space="preserve">Years of the </w:t>
      </w:r>
      <w:r>
        <w:rPr>
          <w:i/>
          <w:iCs/>
        </w:rPr>
        <w:t>CIA</w:t>
      </w:r>
      <w:r w:rsidRPr="005D7D45">
        <w:rPr>
          <w:lang w:val="fr-FR" w:eastAsia="fr-FR" w:bidi="fr-FR"/>
        </w:rPr>
        <w:t>, London, Frank Cass, 1997, 246 p.</w:t>
      </w:r>
      <w:r w:rsidRPr="005D7D45">
        <w:t> ;</w:t>
      </w:r>
      <w:r w:rsidRPr="005D7D45">
        <w:rPr>
          <w:lang w:val="fr-FR" w:eastAsia="fr-FR" w:bidi="fr-FR"/>
        </w:rPr>
        <w:t xml:space="preserve"> Rosati, </w:t>
      </w:r>
      <w:r w:rsidRPr="00A37CBF">
        <w:rPr>
          <w:i/>
          <w:iCs/>
        </w:rPr>
        <w:t>op. cit</w:t>
      </w:r>
      <w:r w:rsidRPr="005D7D45">
        <w:t>.,</w:t>
      </w:r>
      <w:r w:rsidRPr="005D7D45">
        <w:rPr>
          <w:lang w:val="fr-FR" w:eastAsia="fr-FR" w:bidi="fr-FR"/>
        </w:rPr>
        <w:t xml:space="preserve"> p. 192-197, 215- 223</w:t>
      </w:r>
      <w:r w:rsidRPr="005D7D45">
        <w:t> ;</w:t>
      </w:r>
      <w:r w:rsidRPr="005D7D45">
        <w:rPr>
          <w:lang w:val="fr-FR" w:eastAsia="fr-FR" w:bidi="fr-FR"/>
        </w:rPr>
        <w:t xml:space="preserve"> Loch Johnson, </w:t>
      </w:r>
      <w:r w:rsidRPr="005D7D45">
        <w:t>« </w:t>
      </w:r>
      <w:r w:rsidRPr="005D7D45">
        <w:rPr>
          <w:lang w:val="fr-FR" w:eastAsia="fr-FR" w:bidi="fr-FR"/>
        </w:rPr>
        <w:t xml:space="preserve">Reinventing the </w:t>
      </w:r>
      <w:r w:rsidRPr="005D7D45">
        <w:t>CIA »</w:t>
      </w:r>
      <w:r w:rsidRPr="005D7D45">
        <w:rPr>
          <w:lang w:val="fr-FR" w:eastAsia="fr-FR" w:bidi="fr-FR"/>
        </w:rPr>
        <w:t xml:space="preserve">, dans Lindsay, </w:t>
      </w:r>
      <w:r w:rsidRPr="00A37CBF">
        <w:rPr>
          <w:i/>
          <w:iCs/>
        </w:rPr>
        <w:t>op. cit</w:t>
      </w:r>
      <w:r w:rsidRPr="005D7D45">
        <w:t>.,</w:t>
      </w:r>
      <w:r w:rsidRPr="005D7D45">
        <w:rPr>
          <w:lang w:val="fr-FR" w:eastAsia="fr-FR" w:bidi="fr-FR"/>
        </w:rPr>
        <w:t xml:space="preserve"> p. 132- 158</w:t>
      </w:r>
      <w:r w:rsidRPr="005D7D45">
        <w:t> ;</w:t>
      </w:r>
      <w:r w:rsidRPr="005D7D45">
        <w:rPr>
          <w:lang w:val="fr-FR" w:eastAsia="fr-FR" w:bidi="fr-FR"/>
        </w:rPr>
        <w:t xml:space="preserve"> Loch Johnson, </w:t>
      </w:r>
      <w:r w:rsidRPr="005D7D45">
        <w:t>« </w:t>
      </w:r>
      <w:r w:rsidRPr="005D7D45">
        <w:rPr>
          <w:lang w:val="fr-FR" w:eastAsia="fr-FR" w:bidi="fr-FR"/>
        </w:rPr>
        <w:t>Spies</w:t>
      </w:r>
      <w:r w:rsidRPr="005D7D45">
        <w:t> »</w:t>
      </w:r>
      <w:r w:rsidRPr="005D7D45">
        <w:rPr>
          <w:lang w:val="fr-FR" w:eastAsia="fr-FR" w:bidi="fr-FR"/>
        </w:rPr>
        <w:t xml:space="preserve">, </w:t>
      </w:r>
      <w:r w:rsidRPr="00A37CBF">
        <w:rPr>
          <w:i/>
          <w:iCs/>
        </w:rPr>
        <w:t>Foreign Policy</w:t>
      </w:r>
      <w:r w:rsidRPr="005D7D45">
        <w:t>,</w:t>
      </w:r>
      <w:r w:rsidRPr="005D7D45">
        <w:rPr>
          <w:lang w:val="fr-FR" w:eastAsia="fr-FR" w:bidi="fr-FR"/>
        </w:rPr>
        <w:t xml:space="preserve"> 120, septe</w:t>
      </w:r>
      <w:r w:rsidRPr="005D7D45">
        <w:rPr>
          <w:lang w:val="fr-FR" w:eastAsia="fr-FR" w:bidi="fr-FR"/>
        </w:rPr>
        <w:t>m</w:t>
      </w:r>
      <w:r w:rsidRPr="005D7D45">
        <w:rPr>
          <w:lang w:val="fr-FR" w:eastAsia="fr-FR" w:bidi="fr-FR"/>
        </w:rPr>
        <w:t>bre-octobre 2000, p. 18-26</w:t>
      </w:r>
      <w:r w:rsidRPr="005D7D45">
        <w:t> ;</w:t>
      </w:r>
      <w:r w:rsidRPr="005D7D45">
        <w:rPr>
          <w:lang w:val="fr-FR" w:eastAsia="fr-FR" w:bidi="fr-FR"/>
        </w:rPr>
        <w:t xml:space="preserve"> Bruce Berkowitz, </w:t>
      </w:r>
      <w:r w:rsidRPr="005D7D45">
        <w:t>« </w:t>
      </w:r>
      <w:r w:rsidRPr="005D7D45">
        <w:rPr>
          <w:lang w:val="fr-FR" w:eastAsia="fr-FR" w:bidi="fr-FR"/>
        </w:rPr>
        <w:t>Information Age Intelligence</w:t>
      </w:r>
      <w:r w:rsidRPr="005D7D45">
        <w:t> »</w:t>
      </w:r>
      <w:r w:rsidRPr="005D7D45">
        <w:rPr>
          <w:lang w:val="fr-FR" w:eastAsia="fr-FR" w:bidi="fr-FR"/>
        </w:rPr>
        <w:t xml:space="preserve">, </w:t>
      </w:r>
      <w:r w:rsidRPr="00A37CBF">
        <w:rPr>
          <w:i/>
          <w:iCs/>
        </w:rPr>
        <w:t>F</w:t>
      </w:r>
      <w:r w:rsidRPr="00A37CBF">
        <w:rPr>
          <w:i/>
          <w:iCs/>
        </w:rPr>
        <w:t>o</w:t>
      </w:r>
      <w:r w:rsidRPr="00A37CBF">
        <w:rPr>
          <w:i/>
          <w:iCs/>
        </w:rPr>
        <w:t>reign Policy</w:t>
      </w:r>
      <w:r w:rsidRPr="005D7D45">
        <w:t xml:space="preserve">, </w:t>
      </w:r>
      <w:r w:rsidRPr="005D7D45">
        <w:rPr>
          <w:lang w:val="fr-FR" w:eastAsia="fr-FR" w:bidi="fr-FR"/>
        </w:rPr>
        <w:t>103, été 1996, p. 35-50</w:t>
      </w:r>
      <w:r w:rsidRPr="005D7D45">
        <w:t> ;</w:t>
      </w:r>
      <w:r w:rsidRPr="005D7D45">
        <w:rPr>
          <w:lang w:val="fr-FR" w:eastAsia="fr-FR" w:bidi="fr-FR"/>
        </w:rPr>
        <w:t xml:space="preserve"> Stewart Baker, </w:t>
      </w:r>
      <w:r w:rsidRPr="005D7D45">
        <w:t>« </w:t>
      </w:r>
      <w:r w:rsidRPr="005D7D45">
        <w:rPr>
          <w:lang w:val="fr-FR" w:eastAsia="fr-FR" w:bidi="fr-FR"/>
        </w:rPr>
        <w:t>Should Spies Be Cops</w:t>
      </w:r>
      <w:r w:rsidRPr="005D7D45">
        <w:t> »</w:t>
      </w:r>
      <w:r w:rsidRPr="005D7D45">
        <w:rPr>
          <w:lang w:val="fr-FR" w:eastAsia="fr-FR" w:bidi="fr-FR"/>
        </w:rPr>
        <w:t xml:space="preserve">, </w:t>
      </w:r>
      <w:r w:rsidRPr="00A37CBF">
        <w:rPr>
          <w:i/>
          <w:iCs/>
        </w:rPr>
        <w:t>Foreign Policy</w:t>
      </w:r>
      <w:r w:rsidRPr="005D7D45">
        <w:t>,</w:t>
      </w:r>
      <w:r w:rsidRPr="005D7D45">
        <w:rPr>
          <w:lang w:val="fr-FR" w:eastAsia="fr-FR" w:bidi="fr-FR"/>
        </w:rPr>
        <w:t xml:space="preserve"> 97, hiver 1994-1995, p. L’expression est de Joh</w:t>
      </w:r>
      <w:r w:rsidRPr="005D7D45">
        <w:rPr>
          <w:lang w:val="fr-FR" w:eastAsia="fr-FR" w:bidi="fr-FR"/>
        </w:rPr>
        <w:t>n</w:t>
      </w:r>
      <w:r w:rsidRPr="005D7D45">
        <w:rPr>
          <w:lang w:val="fr-FR" w:eastAsia="fr-FR" w:bidi="fr-FR"/>
        </w:rPr>
        <w:t xml:space="preserve">son, </w:t>
      </w:r>
      <w:r w:rsidRPr="005D7D45">
        <w:t>« </w:t>
      </w:r>
      <w:r w:rsidRPr="005D7D45">
        <w:rPr>
          <w:lang w:val="fr-FR" w:eastAsia="fr-FR" w:bidi="fr-FR"/>
        </w:rPr>
        <w:t>Bombs, Bugs...</w:t>
      </w:r>
      <w:r w:rsidRPr="005D7D45">
        <w:t> »</w:t>
      </w:r>
      <w:r w:rsidRPr="005D7D45">
        <w:rPr>
          <w:lang w:val="fr-FR" w:eastAsia="fr-FR" w:bidi="fr-FR"/>
        </w:rPr>
        <w:t xml:space="preserve">, </w:t>
      </w:r>
      <w:r w:rsidRPr="00A37CBF">
        <w:rPr>
          <w:i/>
          <w:iCs/>
        </w:rPr>
        <w:t>op. cit</w:t>
      </w:r>
      <w:r w:rsidRPr="005D7D45">
        <w:t>.,</w:t>
      </w:r>
      <w:r w:rsidRPr="005D7D45">
        <w:rPr>
          <w:lang w:val="fr-FR" w:eastAsia="fr-FR" w:bidi="fr-FR"/>
        </w:rPr>
        <w:t xml:space="preserve"> p. xv.36-52.</w:t>
      </w:r>
    </w:p>
  </w:footnote>
  <w:footnote w:id="438">
    <w:p w14:paraId="1563B5E8" w14:textId="77777777" w:rsidR="0039793A" w:rsidRDefault="0039793A" w:rsidP="0039793A">
      <w:pPr>
        <w:pStyle w:val="Notedebasdepage"/>
      </w:pPr>
      <w:r>
        <w:rPr>
          <w:rStyle w:val="Appelnotedebasdep"/>
        </w:rPr>
        <w:footnoteRef/>
      </w:r>
      <w:r>
        <w:tab/>
      </w:r>
      <w:r w:rsidRPr="00A7177D">
        <w:t xml:space="preserve">L’expression est de Johnson, « Bombs, Bugs... », </w:t>
      </w:r>
      <w:r w:rsidRPr="00A37CBF">
        <w:rPr>
          <w:i/>
          <w:iCs/>
        </w:rPr>
        <w:t>op. cit</w:t>
      </w:r>
      <w:r w:rsidRPr="00A7177D">
        <w:t>., p. xv.</w:t>
      </w:r>
    </w:p>
  </w:footnote>
  <w:footnote w:id="439">
    <w:p w14:paraId="2D463E9A" w14:textId="77777777" w:rsidR="0039793A" w:rsidRDefault="0039793A" w:rsidP="0039793A">
      <w:pPr>
        <w:pStyle w:val="Notedebasdepage"/>
      </w:pPr>
      <w:r>
        <w:rPr>
          <w:rStyle w:val="Appelnotedebasdep"/>
        </w:rPr>
        <w:footnoteRef/>
      </w:r>
      <w:r>
        <w:tab/>
      </w:r>
      <w:r w:rsidRPr="005D7D45">
        <w:rPr>
          <w:lang w:val="fr-FR" w:eastAsia="fr-FR" w:bidi="fr-FR"/>
        </w:rPr>
        <w:t xml:space="preserve">Melvin Goodman, </w:t>
      </w:r>
      <w:r w:rsidRPr="005D7D45">
        <w:t>« </w:t>
      </w:r>
      <w:r w:rsidRPr="005D7D45">
        <w:rPr>
          <w:lang w:val="fr-FR" w:eastAsia="fr-FR" w:bidi="fr-FR"/>
        </w:rPr>
        <w:t>Endi</w:t>
      </w:r>
      <w:r>
        <w:rPr>
          <w:lang w:val="fr-FR" w:eastAsia="fr-FR" w:bidi="fr-FR"/>
        </w:rPr>
        <w:t>n</w:t>
      </w:r>
      <w:r w:rsidRPr="005D7D45">
        <w:rPr>
          <w:lang w:val="fr-FR" w:eastAsia="fr-FR" w:bidi="fr-FR"/>
        </w:rPr>
        <w:t xml:space="preserve">g the </w:t>
      </w:r>
      <w:r w:rsidRPr="005D7D45">
        <w:t xml:space="preserve">ClA’s </w:t>
      </w:r>
      <w:r w:rsidRPr="005D7D45">
        <w:rPr>
          <w:lang w:val="fr-FR" w:eastAsia="fr-FR" w:bidi="fr-FR"/>
        </w:rPr>
        <w:t>Cold War Legacy</w:t>
      </w:r>
      <w:r w:rsidRPr="005D7D45">
        <w:t> »</w:t>
      </w:r>
      <w:r w:rsidRPr="005D7D45">
        <w:rPr>
          <w:lang w:val="fr-FR" w:eastAsia="fr-FR" w:bidi="fr-FR"/>
        </w:rPr>
        <w:t xml:space="preserve">, </w:t>
      </w:r>
      <w:r w:rsidRPr="00A37CBF">
        <w:rPr>
          <w:i/>
          <w:iCs/>
        </w:rPr>
        <w:t>F</w:t>
      </w:r>
      <w:r w:rsidRPr="00A37CBF">
        <w:rPr>
          <w:i/>
          <w:iCs/>
        </w:rPr>
        <w:t>o</w:t>
      </w:r>
      <w:r w:rsidRPr="00A37CBF">
        <w:rPr>
          <w:i/>
          <w:iCs/>
        </w:rPr>
        <w:t>reign Policy</w:t>
      </w:r>
      <w:r w:rsidRPr="005D7D45">
        <w:t xml:space="preserve">, </w:t>
      </w:r>
      <w:r w:rsidRPr="005D7D45">
        <w:rPr>
          <w:lang w:val="fr-FR" w:eastAsia="fr-FR" w:bidi="fr-FR"/>
        </w:rPr>
        <w:t>106, printemps 1997, p. 128-143.</w:t>
      </w:r>
    </w:p>
  </w:footnote>
  <w:footnote w:id="440">
    <w:p w14:paraId="7ADC720F" w14:textId="77777777" w:rsidR="0039793A" w:rsidRDefault="0039793A" w:rsidP="0039793A">
      <w:pPr>
        <w:pStyle w:val="Notedebasdepage"/>
      </w:pPr>
      <w:r>
        <w:rPr>
          <w:rStyle w:val="Appelnotedebasdep"/>
        </w:rPr>
        <w:footnoteRef/>
      </w:r>
      <w:r>
        <w:tab/>
      </w:r>
      <w:r w:rsidRPr="005D7D45">
        <w:rPr>
          <w:lang w:val="fr-FR" w:eastAsia="fr-FR" w:bidi="fr-FR"/>
        </w:rPr>
        <w:t xml:space="preserve">Thomas Omestad, </w:t>
      </w:r>
      <w:r w:rsidRPr="005D7D45">
        <w:t>« </w:t>
      </w:r>
      <w:r w:rsidRPr="005D7D45">
        <w:rPr>
          <w:lang w:val="fr-FR" w:eastAsia="fr-FR" w:bidi="fr-FR"/>
        </w:rPr>
        <w:t xml:space="preserve">Psychology and the </w:t>
      </w:r>
      <w:r w:rsidRPr="005D7D45">
        <w:t>CIA :</w:t>
      </w:r>
      <w:r w:rsidRPr="005D7D45">
        <w:rPr>
          <w:lang w:val="fr-FR" w:eastAsia="fr-FR" w:bidi="fr-FR"/>
        </w:rPr>
        <w:t xml:space="preserve"> Leaders on the Couch</w:t>
      </w:r>
      <w:r w:rsidRPr="005D7D45">
        <w:t> »</w:t>
      </w:r>
      <w:r w:rsidRPr="005D7D45">
        <w:rPr>
          <w:lang w:val="fr-FR" w:eastAsia="fr-FR" w:bidi="fr-FR"/>
        </w:rPr>
        <w:t xml:space="preserve">, </w:t>
      </w:r>
      <w:r w:rsidRPr="00A37CBF">
        <w:rPr>
          <w:i/>
          <w:iCs/>
        </w:rPr>
        <w:t>F</w:t>
      </w:r>
      <w:r w:rsidRPr="00A37CBF">
        <w:rPr>
          <w:i/>
          <w:iCs/>
        </w:rPr>
        <w:t>o</w:t>
      </w:r>
      <w:r w:rsidRPr="00A37CBF">
        <w:rPr>
          <w:i/>
          <w:iCs/>
        </w:rPr>
        <w:t>reign Policy</w:t>
      </w:r>
      <w:r w:rsidRPr="005D7D45">
        <w:t>,</w:t>
      </w:r>
      <w:r w:rsidRPr="005D7D45">
        <w:rPr>
          <w:lang w:val="fr-FR" w:eastAsia="fr-FR" w:bidi="fr-FR"/>
        </w:rPr>
        <w:t xml:space="preserve"> 95, été 1994, p. 105-122</w:t>
      </w:r>
      <w:r w:rsidRPr="005D7D45">
        <w:t> ;</w:t>
      </w:r>
      <w:r w:rsidRPr="005D7D45">
        <w:rPr>
          <w:lang w:val="fr-FR" w:eastAsia="fr-FR" w:bidi="fr-FR"/>
        </w:rPr>
        <w:t xml:space="preserve"> Loch Johnson, </w:t>
      </w:r>
      <w:r w:rsidRPr="005D7D45">
        <w:t>« </w:t>
      </w:r>
      <w:r w:rsidRPr="005D7D45">
        <w:rPr>
          <w:lang w:val="fr-FR" w:eastAsia="fr-FR" w:bidi="fr-FR"/>
        </w:rPr>
        <w:t>Smart Intellige</w:t>
      </w:r>
      <w:r w:rsidRPr="005D7D45">
        <w:rPr>
          <w:lang w:val="fr-FR" w:eastAsia="fr-FR" w:bidi="fr-FR"/>
        </w:rPr>
        <w:t>n</w:t>
      </w:r>
      <w:r w:rsidRPr="005D7D45">
        <w:rPr>
          <w:lang w:val="fr-FR" w:eastAsia="fr-FR" w:bidi="fr-FR"/>
        </w:rPr>
        <w:t>ce</w:t>
      </w:r>
      <w:r w:rsidRPr="005D7D45">
        <w:t> »</w:t>
      </w:r>
      <w:r w:rsidRPr="005D7D45">
        <w:rPr>
          <w:lang w:val="fr-FR" w:eastAsia="fr-FR" w:bidi="fr-FR"/>
        </w:rPr>
        <w:t xml:space="preserve">, </w:t>
      </w:r>
      <w:r w:rsidRPr="00A37CBF">
        <w:rPr>
          <w:i/>
          <w:iCs/>
        </w:rPr>
        <w:t>Foreign Policy</w:t>
      </w:r>
      <w:r w:rsidRPr="005D7D45">
        <w:t>,</w:t>
      </w:r>
      <w:r w:rsidRPr="005D7D45">
        <w:rPr>
          <w:lang w:val="fr-FR" w:eastAsia="fr-FR" w:bidi="fr-FR"/>
        </w:rPr>
        <w:t xml:space="preserve"> 89, hiver 1992-1993, p. 53-</w:t>
      </w:r>
      <w:r>
        <w:rPr>
          <w:lang w:val="fr-FR" w:eastAsia="fr-FR" w:bidi="fr-FR"/>
        </w:rPr>
        <w:t>69.</w:t>
      </w:r>
    </w:p>
  </w:footnote>
  <w:footnote w:id="441">
    <w:p w14:paraId="76109AAA" w14:textId="77777777" w:rsidR="0039793A" w:rsidRDefault="0039793A" w:rsidP="0039793A">
      <w:pPr>
        <w:pStyle w:val="Notedebasdepage"/>
      </w:pPr>
      <w:r>
        <w:rPr>
          <w:rStyle w:val="Appelnotedebasdep"/>
        </w:rPr>
        <w:footnoteRef/>
      </w:r>
      <w:r>
        <w:tab/>
      </w:r>
      <w:r w:rsidRPr="005D7D45">
        <w:rPr>
          <w:lang w:val="fr-FR" w:eastAsia="fr-FR" w:bidi="fr-FR"/>
        </w:rPr>
        <w:t xml:space="preserve">John Deutch et Jeffrey Smith, </w:t>
      </w:r>
      <w:r w:rsidRPr="005D7D45">
        <w:t>« </w:t>
      </w:r>
      <w:r w:rsidRPr="005D7D45">
        <w:rPr>
          <w:lang w:val="fr-FR" w:eastAsia="fr-FR" w:bidi="fr-FR"/>
        </w:rPr>
        <w:t>Smarter Intelligence</w:t>
      </w:r>
      <w:r w:rsidRPr="005D7D45">
        <w:t> »</w:t>
      </w:r>
      <w:r w:rsidRPr="005D7D45">
        <w:rPr>
          <w:lang w:val="fr-FR" w:eastAsia="fr-FR" w:bidi="fr-FR"/>
        </w:rPr>
        <w:t xml:space="preserve">, </w:t>
      </w:r>
      <w:r w:rsidRPr="00A37CBF">
        <w:rPr>
          <w:i/>
          <w:iCs/>
        </w:rPr>
        <w:t>Foreign Policy</w:t>
      </w:r>
      <w:r w:rsidRPr="005D7D45">
        <w:t xml:space="preserve">, </w:t>
      </w:r>
      <w:r w:rsidRPr="005D7D45">
        <w:rPr>
          <w:lang w:val="fr-FR" w:eastAsia="fr-FR" w:bidi="fr-FR"/>
        </w:rPr>
        <w:t>127, janvier-février 2002, p. 64-69</w:t>
      </w:r>
      <w:r w:rsidRPr="005D7D45">
        <w:t> ;</w:t>
      </w:r>
      <w:r w:rsidRPr="005D7D45">
        <w:rPr>
          <w:lang w:val="fr-FR" w:eastAsia="fr-FR" w:bidi="fr-FR"/>
        </w:rPr>
        <w:t xml:space="preserve"> Mark Lowenthal, </w:t>
      </w:r>
      <w:r w:rsidRPr="00A37CBF">
        <w:rPr>
          <w:i/>
          <w:iCs/>
        </w:rPr>
        <w:t>Intell</w:t>
      </w:r>
      <w:r w:rsidRPr="00A37CBF">
        <w:rPr>
          <w:i/>
          <w:iCs/>
        </w:rPr>
        <w:t>i</w:t>
      </w:r>
      <w:r w:rsidRPr="00A37CBF">
        <w:rPr>
          <w:i/>
          <w:iCs/>
        </w:rPr>
        <w:t>gence. From Secrets to Policy</w:t>
      </w:r>
      <w:r w:rsidRPr="005D7D45">
        <w:rPr>
          <w:lang w:val="fr-FR" w:eastAsia="fr-FR" w:bidi="fr-FR"/>
        </w:rPr>
        <w:t>, Washington, Congressional Quarterly Press, 2002, 288 p.</w:t>
      </w:r>
      <w:r w:rsidRPr="005D7D45">
        <w:t> ;</w:t>
      </w:r>
      <w:r w:rsidRPr="005D7D45">
        <w:rPr>
          <w:lang w:val="fr-FR" w:eastAsia="fr-FR" w:bidi="fr-FR"/>
        </w:rPr>
        <w:t xml:space="preserve"> Greg</w:t>
      </w:r>
      <w:r w:rsidRPr="005D7D45">
        <w:rPr>
          <w:lang w:val="fr-FR" w:eastAsia="fr-FR" w:bidi="fr-FR"/>
        </w:rPr>
        <w:t>o</w:t>
      </w:r>
      <w:r w:rsidRPr="005D7D45">
        <w:rPr>
          <w:lang w:val="fr-FR" w:eastAsia="fr-FR" w:bidi="fr-FR"/>
        </w:rPr>
        <w:t xml:space="preserve">ry Treverton, </w:t>
      </w:r>
      <w:r w:rsidRPr="00A37CBF">
        <w:rPr>
          <w:i/>
          <w:iCs/>
        </w:rPr>
        <w:t>Reshaping Intelligence in an Age of Info</w:t>
      </w:r>
      <w:r w:rsidRPr="00A37CBF">
        <w:rPr>
          <w:i/>
          <w:iCs/>
        </w:rPr>
        <w:t>r</w:t>
      </w:r>
      <w:r w:rsidRPr="00A37CBF">
        <w:rPr>
          <w:i/>
          <w:iCs/>
        </w:rPr>
        <w:t>mation</w:t>
      </w:r>
      <w:r w:rsidRPr="005D7D45">
        <w:rPr>
          <w:lang w:val="fr-FR" w:eastAsia="fr-FR" w:bidi="fr-FR"/>
        </w:rPr>
        <w:t>, Cambridge, Cambridge University Press, 2001, 282 p.</w:t>
      </w:r>
      <w:r w:rsidRPr="005D7D45">
        <w:t> ;</w:t>
      </w:r>
      <w:r w:rsidRPr="005D7D45">
        <w:rPr>
          <w:lang w:val="fr-FR" w:eastAsia="fr-FR" w:bidi="fr-FR"/>
        </w:rPr>
        <w:t xml:space="preserve"> Johnson, </w:t>
      </w:r>
      <w:r w:rsidRPr="00A37CBF">
        <w:rPr>
          <w:i/>
          <w:iCs/>
        </w:rPr>
        <w:t>op. cit</w:t>
      </w:r>
      <w:r w:rsidRPr="005D7D45">
        <w:t>.,</w:t>
      </w:r>
      <w:r w:rsidRPr="005D7D45">
        <w:rPr>
          <w:lang w:val="fr-FR" w:eastAsia="fr-FR" w:bidi="fr-FR"/>
        </w:rPr>
        <w:t xml:space="preserve"> p. xi-xvii, 175-198.</w:t>
      </w:r>
    </w:p>
  </w:footnote>
  <w:footnote w:id="442">
    <w:p w14:paraId="760A5747" w14:textId="77777777" w:rsidR="0039793A" w:rsidRDefault="0039793A" w:rsidP="0039793A">
      <w:pPr>
        <w:pStyle w:val="Notedebasdepage"/>
      </w:pPr>
      <w:r>
        <w:rPr>
          <w:rStyle w:val="Appelnotedebasdep"/>
        </w:rPr>
        <w:footnoteRef/>
      </w:r>
      <w:r>
        <w:tab/>
      </w:r>
      <w:r w:rsidRPr="005D7D45">
        <w:rPr>
          <w:lang w:val="fr-FR" w:eastAsia="fr-FR" w:bidi="fr-FR"/>
        </w:rPr>
        <w:t>International Institute of Strategi</w:t>
      </w:r>
      <w:r>
        <w:rPr>
          <w:lang w:val="fr-FR" w:eastAsia="fr-FR" w:bidi="fr-FR"/>
        </w:rPr>
        <w:t>c</w:t>
      </w:r>
      <w:r w:rsidRPr="005D7D45">
        <w:rPr>
          <w:lang w:val="fr-FR" w:eastAsia="fr-FR" w:bidi="fr-FR"/>
        </w:rPr>
        <w:t xml:space="preserve"> Studies, </w:t>
      </w:r>
      <w:r w:rsidRPr="005D7D45">
        <w:t xml:space="preserve">« US </w:t>
      </w:r>
      <w:r w:rsidRPr="005D7D45">
        <w:rPr>
          <w:lang w:val="fr-FR" w:eastAsia="fr-FR" w:bidi="fr-FR"/>
        </w:rPr>
        <w:t>Homeland Secur</w:t>
      </w:r>
      <w:r w:rsidRPr="005D7D45">
        <w:rPr>
          <w:lang w:val="fr-FR" w:eastAsia="fr-FR" w:bidi="fr-FR"/>
        </w:rPr>
        <w:t>i</w:t>
      </w:r>
      <w:r w:rsidRPr="005D7D45">
        <w:rPr>
          <w:lang w:val="fr-FR" w:eastAsia="fr-FR" w:bidi="fr-FR"/>
        </w:rPr>
        <w:t>ty</w:t>
      </w:r>
      <w:r w:rsidRPr="005D7D45">
        <w:t> :</w:t>
      </w:r>
      <w:r w:rsidRPr="005D7D45">
        <w:rPr>
          <w:lang w:val="fr-FR" w:eastAsia="fr-FR" w:bidi="fr-FR"/>
        </w:rPr>
        <w:t xml:space="preserve"> New Focus on Vulnerability</w:t>
      </w:r>
      <w:r w:rsidRPr="005D7D45">
        <w:t> »</w:t>
      </w:r>
      <w:r w:rsidRPr="005D7D45">
        <w:rPr>
          <w:lang w:val="fr-FR" w:eastAsia="fr-FR" w:bidi="fr-FR"/>
        </w:rPr>
        <w:t xml:space="preserve">, </w:t>
      </w:r>
      <w:r w:rsidRPr="00DF5FEC">
        <w:rPr>
          <w:i/>
          <w:iCs/>
        </w:rPr>
        <w:t>Strategic Survey 2001-2002</w:t>
      </w:r>
      <w:r w:rsidRPr="005D7D45">
        <w:t>,</w:t>
      </w:r>
      <w:r w:rsidRPr="005D7D45">
        <w:rPr>
          <w:lang w:val="fr-FR" w:eastAsia="fr-FR" w:bidi="fr-FR"/>
        </w:rPr>
        <w:t xml:space="preserve"> Lo</w:t>
      </w:r>
      <w:r w:rsidRPr="005D7D45">
        <w:rPr>
          <w:lang w:val="fr-FR" w:eastAsia="fr-FR" w:bidi="fr-FR"/>
        </w:rPr>
        <w:t>n</w:t>
      </w:r>
      <w:r w:rsidRPr="005D7D45">
        <w:rPr>
          <w:lang w:val="fr-FR" w:eastAsia="fr-FR" w:bidi="fr-FR"/>
        </w:rPr>
        <w:t>dres, Oxford University Press, 2002, p. 36-52</w:t>
      </w:r>
      <w:r w:rsidRPr="005D7D45">
        <w:t> ;</w:t>
      </w:r>
      <w:r w:rsidRPr="005D7D45">
        <w:rPr>
          <w:lang w:val="fr-FR" w:eastAsia="fr-FR" w:bidi="fr-FR"/>
        </w:rPr>
        <w:t xml:space="preserve"> Paul Bracken, </w:t>
      </w:r>
      <w:r w:rsidRPr="005D7D45">
        <w:t>« </w:t>
      </w:r>
      <w:r w:rsidRPr="005D7D45">
        <w:rPr>
          <w:lang w:val="fr-FR" w:eastAsia="fr-FR" w:bidi="fr-FR"/>
        </w:rPr>
        <w:t>Thinking the Unthink</w:t>
      </w:r>
      <w:r w:rsidRPr="005D7D45">
        <w:rPr>
          <w:lang w:val="fr-FR" w:eastAsia="fr-FR" w:bidi="fr-FR"/>
        </w:rPr>
        <w:t>a</w:t>
      </w:r>
      <w:r w:rsidRPr="005D7D45">
        <w:rPr>
          <w:lang w:val="fr-FR" w:eastAsia="fr-FR" w:bidi="fr-FR"/>
        </w:rPr>
        <w:t>ble</w:t>
      </w:r>
      <w:r w:rsidRPr="005D7D45">
        <w:t> :</w:t>
      </w:r>
      <w:r w:rsidRPr="005D7D45">
        <w:rPr>
          <w:lang w:val="fr-FR" w:eastAsia="fr-FR" w:bidi="fr-FR"/>
        </w:rPr>
        <w:t xml:space="preserve"> New Priorities for New National Security</w:t>
      </w:r>
      <w:r w:rsidRPr="005D7D45">
        <w:t> »</w:t>
      </w:r>
      <w:r w:rsidRPr="005D7D45">
        <w:rPr>
          <w:lang w:val="fr-FR" w:eastAsia="fr-FR" w:bidi="fr-FR"/>
        </w:rPr>
        <w:t>, dans Strobe Ta</w:t>
      </w:r>
      <w:r w:rsidRPr="005D7D45">
        <w:rPr>
          <w:lang w:val="fr-FR" w:eastAsia="fr-FR" w:bidi="fr-FR"/>
        </w:rPr>
        <w:t>l</w:t>
      </w:r>
      <w:r w:rsidRPr="005D7D45">
        <w:rPr>
          <w:lang w:val="fr-FR" w:eastAsia="fr-FR" w:bidi="fr-FR"/>
        </w:rPr>
        <w:t xml:space="preserve">bott et Nayan Chandra, </w:t>
      </w:r>
      <w:r w:rsidRPr="00DF5FEC">
        <w:rPr>
          <w:i/>
          <w:iCs/>
        </w:rPr>
        <w:t>The Age of Terror</w:t>
      </w:r>
      <w:r w:rsidRPr="005D7D45">
        <w:t>,</w:t>
      </w:r>
      <w:r w:rsidRPr="005D7D45">
        <w:rPr>
          <w:lang w:val="fr-FR" w:eastAsia="fr-FR" w:bidi="fr-FR"/>
        </w:rPr>
        <w:t xml:space="preserve"> New York, Basic Books, 2001, p. 171-192</w:t>
      </w:r>
      <w:r w:rsidRPr="005D7D45">
        <w:t> ;</w:t>
      </w:r>
      <w:r w:rsidRPr="005D7D45">
        <w:rPr>
          <w:lang w:val="fr-FR" w:eastAsia="fr-FR" w:bidi="fr-FR"/>
        </w:rPr>
        <w:t xml:space="preserve"> Stephen Flynn, </w:t>
      </w:r>
      <w:r w:rsidRPr="005D7D45">
        <w:t>« </w:t>
      </w:r>
      <w:r w:rsidRPr="005D7D45">
        <w:rPr>
          <w:lang w:val="fr-FR" w:eastAsia="fr-FR" w:bidi="fr-FR"/>
        </w:rPr>
        <w:t>The Ungua</w:t>
      </w:r>
      <w:r w:rsidRPr="005D7D45">
        <w:rPr>
          <w:lang w:val="fr-FR" w:eastAsia="fr-FR" w:bidi="fr-FR"/>
        </w:rPr>
        <w:t>r</w:t>
      </w:r>
      <w:r w:rsidRPr="005D7D45">
        <w:rPr>
          <w:lang w:val="fr-FR" w:eastAsia="fr-FR" w:bidi="fr-FR"/>
        </w:rPr>
        <w:t>ded Homeland</w:t>
      </w:r>
      <w:r w:rsidRPr="005D7D45">
        <w:t> »</w:t>
      </w:r>
      <w:r w:rsidRPr="005D7D45">
        <w:rPr>
          <w:lang w:val="fr-FR" w:eastAsia="fr-FR" w:bidi="fr-FR"/>
        </w:rPr>
        <w:t xml:space="preserve">, et Joseph Nye, </w:t>
      </w:r>
      <w:r w:rsidRPr="005D7D45">
        <w:t>« </w:t>
      </w:r>
      <w:r w:rsidRPr="005D7D45">
        <w:rPr>
          <w:lang w:val="fr-FR" w:eastAsia="fr-FR" w:bidi="fr-FR"/>
        </w:rPr>
        <w:t>Government’s Challenge</w:t>
      </w:r>
      <w:r w:rsidRPr="005D7D45">
        <w:t> »</w:t>
      </w:r>
      <w:r w:rsidRPr="005D7D45">
        <w:rPr>
          <w:lang w:val="fr-FR" w:eastAsia="fr-FR" w:bidi="fr-FR"/>
        </w:rPr>
        <w:t xml:space="preserve">, dans Hoge et Rose, </w:t>
      </w:r>
      <w:r w:rsidRPr="00DF5FEC">
        <w:rPr>
          <w:i/>
          <w:iCs/>
        </w:rPr>
        <w:t>op. cit</w:t>
      </w:r>
      <w:r w:rsidRPr="005D7D45">
        <w:t>.,</w:t>
      </w:r>
      <w:r w:rsidRPr="005D7D45">
        <w:rPr>
          <w:lang w:val="fr-FR" w:eastAsia="fr-FR" w:bidi="fr-FR"/>
        </w:rPr>
        <w:t xml:space="preserve"> p. 183-198, 199-210</w:t>
      </w:r>
      <w:r w:rsidRPr="005D7D45">
        <w:t> ;</w:t>
      </w:r>
      <w:r w:rsidRPr="005D7D45">
        <w:rPr>
          <w:lang w:val="fr-FR" w:eastAsia="fr-FR" w:bidi="fr-FR"/>
        </w:rPr>
        <w:t xml:space="preserve"> David Grondin et Benoît Gagnon, </w:t>
      </w:r>
      <w:r w:rsidRPr="005D7D45">
        <w:t>« </w:t>
      </w:r>
      <w:r w:rsidRPr="005D7D45">
        <w:rPr>
          <w:lang w:val="fr-FR" w:eastAsia="fr-FR" w:bidi="fr-FR"/>
        </w:rPr>
        <w:t>La sanctuarisation du territoire n</w:t>
      </w:r>
      <w:r w:rsidRPr="005D7D45">
        <w:rPr>
          <w:lang w:val="fr-FR" w:eastAsia="fr-FR" w:bidi="fr-FR"/>
        </w:rPr>
        <w:t>a</w:t>
      </w:r>
      <w:r w:rsidRPr="005D7D45">
        <w:rPr>
          <w:lang w:val="fr-FR" w:eastAsia="fr-FR" w:bidi="fr-FR"/>
        </w:rPr>
        <w:t>tional américain</w:t>
      </w:r>
      <w:r w:rsidRPr="005D7D45">
        <w:t> »</w:t>
      </w:r>
      <w:r w:rsidRPr="005D7D45">
        <w:rPr>
          <w:lang w:val="fr-FR" w:eastAsia="fr-FR" w:bidi="fr-FR"/>
        </w:rPr>
        <w:t xml:space="preserve">, dans Charles- Philippe David et al., </w:t>
      </w:r>
      <w:r w:rsidRPr="00DF5FEC">
        <w:rPr>
          <w:i/>
          <w:iCs/>
        </w:rPr>
        <w:t>op. cit</w:t>
      </w:r>
      <w:r w:rsidRPr="005D7D45">
        <w:t>.,</w:t>
      </w:r>
      <w:r w:rsidRPr="005D7D45">
        <w:rPr>
          <w:lang w:val="fr-FR" w:eastAsia="fr-FR" w:bidi="fr-FR"/>
        </w:rPr>
        <w:t xml:space="preserve"> p. 181-205.</w:t>
      </w:r>
    </w:p>
  </w:footnote>
  <w:footnote w:id="443">
    <w:p w14:paraId="05C331D0" w14:textId="77777777" w:rsidR="0039793A" w:rsidRDefault="0039793A" w:rsidP="0039793A">
      <w:pPr>
        <w:pStyle w:val="Notedebasdepage"/>
      </w:pPr>
      <w:r>
        <w:rPr>
          <w:rStyle w:val="Appelnotedebasdep"/>
        </w:rPr>
        <w:footnoteRef/>
      </w:r>
      <w:r>
        <w:tab/>
      </w:r>
      <w:r w:rsidRPr="005D7D45">
        <w:rPr>
          <w:lang w:val="fr-FR" w:eastAsia="fr-FR" w:bidi="fr-FR"/>
        </w:rPr>
        <w:t xml:space="preserve">Michael Scardaville, </w:t>
      </w:r>
      <w:r w:rsidRPr="005D7D45">
        <w:t>« </w:t>
      </w:r>
      <w:r w:rsidRPr="005D7D45">
        <w:rPr>
          <w:lang w:val="fr-FR" w:eastAsia="fr-FR" w:bidi="fr-FR"/>
        </w:rPr>
        <w:t>Fédéral Homeland Security Policy</w:t>
      </w:r>
      <w:r w:rsidRPr="005D7D45">
        <w:t> :</w:t>
      </w:r>
      <w:r w:rsidRPr="005D7D45">
        <w:rPr>
          <w:lang w:val="fr-FR" w:eastAsia="fr-FR" w:bidi="fr-FR"/>
        </w:rPr>
        <w:t xml:space="preserve"> A Nine-Month Assessment</w:t>
      </w:r>
      <w:r w:rsidRPr="005D7D45">
        <w:t> »</w:t>
      </w:r>
      <w:r w:rsidRPr="005D7D45">
        <w:rPr>
          <w:lang w:val="fr-FR" w:eastAsia="fr-FR" w:bidi="fr-FR"/>
        </w:rPr>
        <w:t xml:space="preserve">, </w:t>
      </w:r>
      <w:r w:rsidRPr="00601DCE">
        <w:rPr>
          <w:i/>
          <w:iCs/>
        </w:rPr>
        <w:t>Backgrounder</w:t>
      </w:r>
      <w:r w:rsidRPr="005D7D45">
        <w:t>,</w:t>
      </w:r>
      <w:r w:rsidRPr="005D7D45">
        <w:rPr>
          <w:lang w:val="fr-FR" w:eastAsia="fr-FR" w:bidi="fr-FR"/>
        </w:rPr>
        <w:t xml:space="preserve"> Washington, The Heritage Foundation, 25 juin 2002, 19 p.</w:t>
      </w:r>
      <w:r w:rsidRPr="005D7D45">
        <w:t> ;</w:t>
      </w:r>
      <w:r w:rsidRPr="005D7D45">
        <w:rPr>
          <w:lang w:val="fr-FR" w:eastAsia="fr-FR" w:bidi="fr-FR"/>
        </w:rPr>
        <w:t xml:space="preserve"> Alexis Simendiger, </w:t>
      </w:r>
      <w:r w:rsidRPr="005D7D45">
        <w:t>« </w:t>
      </w:r>
      <w:r w:rsidRPr="005D7D45">
        <w:rPr>
          <w:lang w:val="fr-FR" w:eastAsia="fr-FR" w:bidi="fr-FR"/>
        </w:rPr>
        <w:t>Bush’s Homeland Gambit</w:t>
      </w:r>
      <w:r w:rsidRPr="005D7D45">
        <w:t> »</w:t>
      </w:r>
      <w:r w:rsidRPr="005D7D45">
        <w:rPr>
          <w:lang w:val="fr-FR" w:eastAsia="fr-FR" w:bidi="fr-FR"/>
        </w:rPr>
        <w:t xml:space="preserve">, </w:t>
      </w:r>
      <w:r w:rsidRPr="00601DCE">
        <w:rPr>
          <w:i/>
          <w:iCs/>
        </w:rPr>
        <w:t>Nati</w:t>
      </w:r>
      <w:r w:rsidRPr="00601DCE">
        <w:rPr>
          <w:i/>
          <w:iCs/>
        </w:rPr>
        <w:t>o</w:t>
      </w:r>
      <w:r w:rsidRPr="00601DCE">
        <w:rPr>
          <w:i/>
          <w:iCs/>
        </w:rPr>
        <w:t>nal Journal</w:t>
      </w:r>
      <w:r w:rsidRPr="005D7D45">
        <w:t>,</w:t>
      </w:r>
      <w:r w:rsidRPr="005D7D45">
        <w:rPr>
          <w:lang w:val="fr-FR" w:eastAsia="fr-FR" w:bidi="fr-FR"/>
        </w:rPr>
        <w:t xml:space="preserve"> 34, 15 juin 2002, p. 1766-1787</w:t>
      </w:r>
      <w:r w:rsidRPr="005D7D45">
        <w:t> ;</w:t>
      </w:r>
      <w:r w:rsidRPr="005D7D45">
        <w:rPr>
          <w:lang w:val="fr-FR" w:eastAsia="fr-FR" w:bidi="fr-FR"/>
        </w:rPr>
        <w:t xml:space="preserve"> Charles Mann, </w:t>
      </w:r>
      <w:r w:rsidRPr="005D7D45">
        <w:t>« </w:t>
      </w:r>
      <w:r w:rsidRPr="005D7D45">
        <w:rPr>
          <w:lang w:val="fr-FR" w:eastAsia="fr-FR" w:bidi="fr-FR"/>
        </w:rPr>
        <w:t>Homeland Insecurity</w:t>
      </w:r>
      <w:r w:rsidRPr="005D7D45">
        <w:t> »</w:t>
      </w:r>
      <w:r w:rsidRPr="005D7D45">
        <w:rPr>
          <w:lang w:val="fr-FR" w:eastAsia="fr-FR" w:bidi="fr-FR"/>
        </w:rPr>
        <w:t xml:space="preserve">, </w:t>
      </w:r>
      <w:r w:rsidRPr="00601DCE">
        <w:rPr>
          <w:i/>
          <w:iCs/>
        </w:rPr>
        <w:t>The Atlantic Monthly</w:t>
      </w:r>
      <w:r w:rsidRPr="005D7D45">
        <w:t>,</w:t>
      </w:r>
      <w:r w:rsidRPr="005D7D45">
        <w:rPr>
          <w:lang w:val="fr-FR" w:eastAsia="fr-FR" w:bidi="fr-FR"/>
        </w:rPr>
        <w:t xml:space="preserve"> se</w:t>
      </w:r>
      <w:r w:rsidRPr="005D7D45">
        <w:rPr>
          <w:lang w:val="fr-FR" w:eastAsia="fr-FR" w:bidi="fr-FR"/>
        </w:rPr>
        <w:t>p</w:t>
      </w:r>
      <w:r w:rsidRPr="005D7D45">
        <w:rPr>
          <w:lang w:val="fr-FR" w:eastAsia="fr-FR" w:bidi="fr-FR"/>
        </w:rPr>
        <w:t>tembre 2002, p. 82-102</w:t>
      </w:r>
      <w:r w:rsidRPr="005D7D45">
        <w:t> ;</w:t>
      </w:r>
      <w:r w:rsidRPr="005D7D45">
        <w:rPr>
          <w:lang w:val="fr-FR" w:eastAsia="fr-FR" w:bidi="fr-FR"/>
        </w:rPr>
        <w:t xml:space="preserve"> Ivo Daalder et Irving Destler, </w:t>
      </w:r>
      <w:r w:rsidRPr="005D7D45">
        <w:t>« </w:t>
      </w:r>
      <w:r w:rsidRPr="005D7D45">
        <w:rPr>
          <w:lang w:val="fr-FR" w:eastAsia="fr-FR" w:bidi="fr-FR"/>
        </w:rPr>
        <w:t>Organizing for Homeland Security</w:t>
      </w:r>
      <w:r w:rsidRPr="005D7D45">
        <w:t> »</w:t>
      </w:r>
      <w:r w:rsidRPr="005D7D45">
        <w:rPr>
          <w:lang w:val="fr-FR" w:eastAsia="fr-FR" w:bidi="fr-FR"/>
        </w:rPr>
        <w:t>, présentation d</w:t>
      </w:r>
      <w:r w:rsidRPr="005D7D45">
        <w:rPr>
          <w:lang w:val="fr-FR" w:eastAsia="fr-FR" w:bidi="fr-FR"/>
        </w:rPr>
        <w:t>e</w:t>
      </w:r>
      <w:r w:rsidRPr="005D7D45">
        <w:rPr>
          <w:lang w:val="fr-FR" w:eastAsia="fr-FR" w:bidi="fr-FR"/>
        </w:rPr>
        <w:t>vant le comité des affaires gouve</w:t>
      </w:r>
      <w:r w:rsidRPr="005D7D45">
        <w:rPr>
          <w:lang w:val="fr-FR" w:eastAsia="fr-FR" w:bidi="fr-FR"/>
        </w:rPr>
        <w:t>r</w:t>
      </w:r>
      <w:r w:rsidRPr="005D7D45">
        <w:rPr>
          <w:lang w:val="fr-FR" w:eastAsia="fr-FR" w:bidi="fr-FR"/>
        </w:rPr>
        <w:t>nementales du Sénat, 12 octobre 2002, 10 p.</w:t>
      </w:r>
    </w:p>
  </w:footnote>
  <w:footnote w:id="444">
    <w:p w14:paraId="2C5AA525" w14:textId="77777777" w:rsidR="0039793A" w:rsidRDefault="0039793A" w:rsidP="0039793A">
      <w:pPr>
        <w:pStyle w:val="Notedebasdepage"/>
      </w:pPr>
      <w:r>
        <w:rPr>
          <w:rStyle w:val="Appelnotedebasdep"/>
        </w:rPr>
        <w:footnoteRef/>
      </w:r>
      <w:r>
        <w:tab/>
      </w:r>
      <w:r w:rsidRPr="005D7D45">
        <w:rPr>
          <w:lang w:val="fr-FR" w:eastAsia="fr-FR" w:bidi="fr-FR"/>
        </w:rPr>
        <w:t xml:space="preserve">Wiarda, </w:t>
      </w:r>
      <w:r w:rsidRPr="00BF7B5A">
        <w:rPr>
          <w:i/>
          <w:iCs/>
        </w:rPr>
        <w:t>op. cit</w:t>
      </w:r>
      <w:r w:rsidRPr="005D7D45">
        <w:t>.,</w:t>
      </w:r>
      <w:r w:rsidRPr="005D7D45">
        <w:rPr>
          <w:lang w:val="fr-FR" w:eastAsia="fr-FR" w:bidi="fr-FR"/>
        </w:rPr>
        <w:t xml:space="preserve"> p. 229-230.</w:t>
      </w:r>
    </w:p>
  </w:footnote>
  <w:footnote w:id="445">
    <w:p w14:paraId="2C7E5934" w14:textId="77777777" w:rsidR="0039793A" w:rsidRDefault="0039793A" w:rsidP="0039793A">
      <w:pPr>
        <w:pStyle w:val="Notedebasdepage"/>
      </w:pPr>
      <w:r>
        <w:rPr>
          <w:rStyle w:val="Appelnotedebasdep"/>
        </w:rPr>
        <w:footnoteRef/>
      </w:r>
      <w:r>
        <w:tab/>
      </w:r>
      <w:r w:rsidRPr="005D7D45">
        <w:rPr>
          <w:lang w:val="fr-FR" w:eastAsia="fr-FR" w:bidi="fr-FR"/>
        </w:rPr>
        <w:t xml:space="preserve">Wiarda, </w:t>
      </w:r>
      <w:r w:rsidRPr="00BF7B5A">
        <w:rPr>
          <w:i/>
          <w:iCs/>
        </w:rPr>
        <w:t>op. cit</w:t>
      </w:r>
      <w:r w:rsidRPr="005D7D45">
        <w:t>.,</w:t>
      </w:r>
      <w:r w:rsidRPr="005D7D45">
        <w:rPr>
          <w:lang w:val="fr-FR" w:eastAsia="fr-FR" w:bidi="fr-FR"/>
        </w:rPr>
        <w:t xml:space="preserve"> p. 231-243</w:t>
      </w:r>
      <w:r w:rsidRPr="005D7D45">
        <w:t> ;</w:t>
      </w:r>
      <w:r w:rsidRPr="005D7D45">
        <w:rPr>
          <w:lang w:val="fr-FR" w:eastAsia="fr-FR" w:bidi="fr-FR"/>
        </w:rPr>
        <w:t xml:space="preserve"> Rosati, </w:t>
      </w:r>
      <w:r w:rsidRPr="00BF7B5A">
        <w:rPr>
          <w:i/>
          <w:iCs/>
        </w:rPr>
        <w:t>op. cit</w:t>
      </w:r>
      <w:r w:rsidRPr="005D7D45">
        <w:t>.,</w:t>
      </w:r>
      <w:r w:rsidRPr="005D7D45">
        <w:rPr>
          <w:lang w:val="fr-FR" w:eastAsia="fr-FR" w:bidi="fr-FR"/>
        </w:rPr>
        <w:t xml:space="preserve"> p. 229-248</w:t>
      </w:r>
      <w:r w:rsidRPr="005D7D45">
        <w:t> ;</w:t>
      </w:r>
      <w:r w:rsidRPr="005D7D45">
        <w:rPr>
          <w:lang w:val="fr-FR" w:eastAsia="fr-FR" w:bidi="fr-FR"/>
        </w:rPr>
        <w:t xml:space="preserve"> Kegley et Wit</w:t>
      </w:r>
      <w:r w:rsidRPr="005D7D45">
        <w:rPr>
          <w:lang w:val="fr-FR" w:eastAsia="fr-FR" w:bidi="fr-FR"/>
        </w:rPr>
        <w:t>t</w:t>
      </w:r>
      <w:r w:rsidRPr="005D7D45">
        <w:rPr>
          <w:lang w:val="fr-FR" w:eastAsia="fr-FR" w:bidi="fr-FR"/>
        </w:rPr>
        <w:t xml:space="preserve">kopf, </w:t>
      </w:r>
      <w:r w:rsidRPr="00BF7B5A">
        <w:rPr>
          <w:i/>
          <w:iCs/>
        </w:rPr>
        <w:t>op. cit</w:t>
      </w:r>
      <w:r w:rsidRPr="005D7D45">
        <w:t>.,</w:t>
      </w:r>
      <w:r w:rsidRPr="005D7D45">
        <w:rPr>
          <w:lang w:val="fr-FR" w:eastAsia="fr-FR" w:bidi="fr-FR"/>
        </w:rPr>
        <w:t xml:space="preserve"> p. 412-415</w:t>
      </w:r>
      <w:r w:rsidRPr="005D7D45">
        <w:t> ;</w:t>
      </w:r>
      <w:r w:rsidRPr="005D7D45">
        <w:rPr>
          <w:lang w:val="fr-FR" w:eastAsia="fr-FR" w:bidi="fr-FR"/>
        </w:rPr>
        <w:t xml:space="preserve"> Snow et Brown, </w:t>
      </w:r>
      <w:r w:rsidRPr="00BF7B5A">
        <w:rPr>
          <w:i/>
          <w:iCs/>
        </w:rPr>
        <w:t>op. cit</w:t>
      </w:r>
      <w:r w:rsidRPr="005D7D45">
        <w:t>.,</w:t>
      </w:r>
      <w:r w:rsidRPr="005D7D45">
        <w:rPr>
          <w:lang w:val="fr-FR" w:eastAsia="fr-FR" w:bidi="fr-FR"/>
        </w:rPr>
        <w:t xml:space="preserve"> p. 101-105.</w:t>
      </w:r>
    </w:p>
  </w:footnote>
  <w:footnote w:id="446">
    <w:p w14:paraId="0630F4CA" w14:textId="77777777" w:rsidR="0039793A" w:rsidRDefault="0039793A" w:rsidP="0039793A">
      <w:pPr>
        <w:pStyle w:val="Notedebasdepage"/>
      </w:pPr>
      <w:r>
        <w:rPr>
          <w:rStyle w:val="Appelnotedebasdep"/>
        </w:rPr>
        <w:footnoteRef/>
      </w:r>
      <w:r>
        <w:tab/>
      </w:r>
      <w:r w:rsidRPr="005D7D45">
        <w:rPr>
          <w:lang w:val="fr-FR" w:eastAsia="fr-FR" w:bidi="fr-FR"/>
        </w:rPr>
        <w:t xml:space="preserve">Cité par Rourke et Boyer, </w:t>
      </w:r>
      <w:r w:rsidRPr="000F4D84">
        <w:rPr>
          <w:i/>
          <w:iCs/>
        </w:rPr>
        <w:t>op. cit</w:t>
      </w:r>
      <w:r w:rsidRPr="005D7D45">
        <w:t>.,</w:t>
      </w:r>
      <w:r w:rsidRPr="005D7D45">
        <w:rPr>
          <w:lang w:val="fr-FR" w:eastAsia="fr-FR" w:bidi="fr-FR"/>
        </w:rPr>
        <w:t xml:space="preserve"> p. 274.</w:t>
      </w:r>
    </w:p>
  </w:footnote>
  <w:footnote w:id="447">
    <w:p w14:paraId="1F2B9525" w14:textId="77777777" w:rsidR="0039793A" w:rsidRDefault="0039793A" w:rsidP="0039793A">
      <w:pPr>
        <w:pStyle w:val="Notedebasdepage"/>
      </w:pPr>
      <w:r>
        <w:rPr>
          <w:rStyle w:val="Appelnotedebasdep"/>
        </w:rPr>
        <w:footnoteRef/>
      </w:r>
      <w:r>
        <w:tab/>
      </w:r>
      <w:r w:rsidRPr="00DB7EE9">
        <w:rPr>
          <w:i/>
          <w:lang w:val="fr-FR" w:eastAsia="fr-FR" w:bidi="fr-FR"/>
        </w:rPr>
        <w:t>Ibid</w:t>
      </w:r>
      <w:r w:rsidRPr="005D7D45">
        <w:rPr>
          <w:lang w:val="fr-FR" w:eastAsia="fr-FR" w:bidi="fr-FR"/>
        </w:rPr>
        <w:t>.</w:t>
      </w:r>
    </w:p>
  </w:footnote>
  <w:footnote w:id="448">
    <w:p w14:paraId="660562EA" w14:textId="77777777" w:rsidR="0039793A" w:rsidRDefault="0039793A" w:rsidP="0039793A">
      <w:pPr>
        <w:pStyle w:val="Notedebasdepage"/>
      </w:pPr>
      <w:r>
        <w:rPr>
          <w:rStyle w:val="Appelnotedebasdep"/>
        </w:rPr>
        <w:footnoteRef/>
      </w:r>
      <w:r>
        <w:tab/>
      </w:r>
      <w:r w:rsidRPr="005D7D45">
        <w:rPr>
          <w:lang w:val="fr-FR" w:eastAsia="fr-FR" w:bidi="fr-FR"/>
        </w:rPr>
        <w:t xml:space="preserve">Zegart, </w:t>
      </w:r>
      <w:r w:rsidRPr="000F4D84">
        <w:rPr>
          <w:i/>
          <w:iCs/>
        </w:rPr>
        <w:t>op. cit</w:t>
      </w:r>
      <w:r w:rsidRPr="005D7D45">
        <w:t>.,</w:t>
      </w:r>
      <w:r w:rsidRPr="005D7D45">
        <w:rPr>
          <w:lang w:val="fr-FR" w:eastAsia="fr-FR" w:bidi="fr-FR"/>
        </w:rPr>
        <w:t xml:space="preserve"> p. 12-53.</w:t>
      </w:r>
    </w:p>
  </w:footnote>
  <w:footnote w:id="449">
    <w:p w14:paraId="77B086DE" w14:textId="77777777" w:rsidR="0039793A" w:rsidRDefault="0039793A" w:rsidP="0039793A">
      <w:pPr>
        <w:pStyle w:val="Notedebasdepage"/>
      </w:pPr>
      <w:r>
        <w:rPr>
          <w:rStyle w:val="Appelnotedebasdep"/>
        </w:rPr>
        <w:footnoteRef/>
      </w:r>
      <w:r>
        <w:tab/>
      </w:r>
      <w:r w:rsidRPr="005D7D45">
        <w:rPr>
          <w:lang w:val="fr-FR" w:eastAsia="fr-FR" w:bidi="fr-FR"/>
        </w:rPr>
        <w:t xml:space="preserve">Clifford Gary, </w:t>
      </w:r>
      <w:r w:rsidRPr="005D7D45">
        <w:t>« </w:t>
      </w:r>
      <w:r w:rsidRPr="005D7D45">
        <w:rPr>
          <w:lang w:val="fr-FR" w:eastAsia="fr-FR" w:bidi="fr-FR"/>
        </w:rPr>
        <w:t>Institutions of American Diplomacy and the Policy Pr</w:t>
      </w:r>
      <w:r w:rsidRPr="005D7D45">
        <w:rPr>
          <w:lang w:val="fr-FR" w:eastAsia="fr-FR" w:bidi="fr-FR"/>
        </w:rPr>
        <w:t>o</w:t>
      </w:r>
      <w:r w:rsidRPr="005D7D45">
        <w:rPr>
          <w:lang w:val="fr-FR" w:eastAsia="fr-FR" w:bidi="fr-FR"/>
        </w:rPr>
        <w:t>cess</w:t>
      </w:r>
      <w:r w:rsidRPr="005D7D45">
        <w:t> »</w:t>
      </w:r>
      <w:r w:rsidRPr="005D7D45">
        <w:rPr>
          <w:lang w:val="fr-FR" w:eastAsia="fr-FR" w:bidi="fr-FR"/>
        </w:rPr>
        <w:t xml:space="preserve">, dans Gordon Martel (ed.), </w:t>
      </w:r>
      <w:r w:rsidRPr="000F4D84">
        <w:rPr>
          <w:i/>
          <w:iCs/>
        </w:rPr>
        <w:t>American Foreign Relations Reconsid</w:t>
      </w:r>
      <w:r w:rsidRPr="000F4D84">
        <w:rPr>
          <w:i/>
          <w:iCs/>
        </w:rPr>
        <w:t>e</w:t>
      </w:r>
      <w:r w:rsidRPr="000F4D84">
        <w:rPr>
          <w:i/>
          <w:iCs/>
        </w:rPr>
        <w:t>red</w:t>
      </w:r>
      <w:r w:rsidRPr="005D7D45">
        <w:t xml:space="preserve">, </w:t>
      </w:r>
      <w:r w:rsidRPr="005D7D45">
        <w:rPr>
          <w:lang w:val="fr-FR" w:eastAsia="fr-FR" w:bidi="fr-FR"/>
        </w:rPr>
        <w:t>New York, Routledge, 1994, p. 21-36</w:t>
      </w:r>
      <w:r w:rsidRPr="005D7D45">
        <w:t> ;</w:t>
      </w:r>
      <w:r w:rsidRPr="005D7D45">
        <w:rPr>
          <w:lang w:val="fr-FR" w:eastAsia="fr-FR" w:bidi="fr-FR"/>
        </w:rPr>
        <w:t xml:space="preserve"> Donald Hafner, </w:t>
      </w:r>
      <w:r w:rsidRPr="005D7D45">
        <w:t>« </w:t>
      </w:r>
      <w:r w:rsidRPr="005D7D45">
        <w:rPr>
          <w:lang w:val="fr-FR" w:eastAsia="fr-FR" w:bidi="fr-FR"/>
        </w:rPr>
        <w:t>Presidential Leadership and the Foreign Policy Bureaucracy</w:t>
      </w:r>
      <w:r w:rsidRPr="005D7D45">
        <w:t> »</w:t>
      </w:r>
      <w:r w:rsidRPr="005D7D45">
        <w:rPr>
          <w:lang w:val="fr-FR" w:eastAsia="fr-FR" w:bidi="fr-FR"/>
        </w:rPr>
        <w:t xml:space="preserve">, dans David Deese (ed.), </w:t>
      </w:r>
      <w:r w:rsidRPr="000F4D84">
        <w:rPr>
          <w:i/>
          <w:iCs/>
        </w:rPr>
        <w:t>The New Politics of American Foreign Pol</w:t>
      </w:r>
      <w:r w:rsidRPr="000F4D84">
        <w:rPr>
          <w:i/>
          <w:iCs/>
        </w:rPr>
        <w:t>i</w:t>
      </w:r>
      <w:r w:rsidRPr="000F4D84">
        <w:rPr>
          <w:i/>
          <w:iCs/>
        </w:rPr>
        <w:t>cy</w:t>
      </w:r>
      <w:r w:rsidRPr="005D7D45">
        <w:t>,</w:t>
      </w:r>
      <w:r w:rsidRPr="005D7D45">
        <w:rPr>
          <w:lang w:val="fr-FR" w:eastAsia="fr-FR" w:bidi="fr-FR"/>
        </w:rPr>
        <w:t xml:space="preserve"> New York, St. Martin’s Press, 1994, p. 44-47</w:t>
      </w:r>
      <w:r w:rsidRPr="005D7D45">
        <w:t> ;</w:t>
      </w:r>
      <w:r w:rsidRPr="005D7D45">
        <w:rPr>
          <w:lang w:val="fr-FR" w:eastAsia="fr-FR" w:bidi="fr-FR"/>
        </w:rPr>
        <w:t xml:space="preserve"> Rosati, </w:t>
      </w:r>
      <w:r w:rsidRPr="000F4D84">
        <w:rPr>
          <w:i/>
          <w:iCs/>
        </w:rPr>
        <w:t xml:space="preserve">op. </w:t>
      </w:r>
      <w:r>
        <w:rPr>
          <w:i/>
          <w:iCs/>
        </w:rPr>
        <w:t>c</w:t>
      </w:r>
      <w:r w:rsidRPr="000F4D84">
        <w:rPr>
          <w:i/>
          <w:iCs/>
        </w:rPr>
        <w:t>it</w:t>
      </w:r>
      <w:r w:rsidRPr="005D7D45">
        <w:t>.,</w:t>
      </w:r>
      <w:r w:rsidRPr="005D7D45">
        <w:rPr>
          <w:lang w:val="fr-FR" w:eastAsia="fr-FR" w:bidi="fr-FR"/>
        </w:rPr>
        <w:t xml:space="preserve"> p. 249-277</w:t>
      </w:r>
      <w:r w:rsidRPr="005D7D45">
        <w:t> ;</w:t>
      </w:r>
      <w:r w:rsidRPr="005D7D45">
        <w:rPr>
          <w:lang w:val="fr-FR" w:eastAsia="fr-FR" w:bidi="fr-FR"/>
        </w:rPr>
        <w:t xml:space="preserve"> Rourke et Boyer, </w:t>
      </w:r>
      <w:r w:rsidRPr="000F4D84">
        <w:rPr>
          <w:i/>
          <w:iCs/>
        </w:rPr>
        <w:t>op. cit</w:t>
      </w:r>
      <w:r w:rsidRPr="005D7D45">
        <w:t>.,</w:t>
      </w:r>
      <w:r w:rsidRPr="005D7D45">
        <w:rPr>
          <w:lang w:val="fr-FR" w:eastAsia="fr-FR" w:bidi="fr-FR"/>
        </w:rPr>
        <w:t xml:space="preserve"> p. 294-319</w:t>
      </w:r>
      <w:r w:rsidRPr="005D7D45">
        <w:t> ;</w:t>
      </w:r>
      <w:r w:rsidRPr="005D7D45">
        <w:rPr>
          <w:lang w:val="fr-FR" w:eastAsia="fr-FR" w:bidi="fr-FR"/>
        </w:rPr>
        <w:t xml:space="preserve"> Sarkesian, </w:t>
      </w:r>
      <w:r w:rsidRPr="000F4D84">
        <w:rPr>
          <w:i/>
          <w:iCs/>
        </w:rPr>
        <w:t>op. cit</w:t>
      </w:r>
      <w:r w:rsidRPr="005D7D45">
        <w:t>.,p.</w:t>
      </w:r>
      <w:r w:rsidRPr="005D7D45">
        <w:rPr>
          <w:lang w:val="fr-FR" w:eastAsia="fr-FR" w:bidi="fr-FR"/>
        </w:rPr>
        <w:t xml:space="preserve"> 181-191.</w:t>
      </w:r>
    </w:p>
  </w:footnote>
  <w:footnote w:id="450">
    <w:p w14:paraId="4A32E703" w14:textId="77777777" w:rsidR="0039793A" w:rsidRDefault="0039793A" w:rsidP="0039793A">
      <w:pPr>
        <w:pStyle w:val="Notedebasdepage"/>
      </w:pPr>
      <w:r>
        <w:rPr>
          <w:rStyle w:val="Appelnotedebasdep"/>
        </w:rPr>
        <w:footnoteRef/>
      </w:r>
      <w:r>
        <w:tab/>
      </w:r>
      <w:r w:rsidRPr="005D7D45">
        <w:rPr>
          <w:lang w:val="fr-FR" w:eastAsia="fr-FR" w:bidi="fr-FR"/>
        </w:rPr>
        <w:t xml:space="preserve">Graham Allison et Philip Zelikow, </w:t>
      </w:r>
      <w:r w:rsidRPr="000F4D84">
        <w:rPr>
          <w:i/>
          <w:iCs/>
        </w:rPr>
        <w:t>Essence of Decision. Expla</w:t>
      </w:r>
      <w:r w:rsidRPr="000F4D84">
        <w:rPr>
          <w:i/>
          <w:iCs/>
        </w:rPr>
        <w:t>i</w:t>
      </w:r>
      <w:r w:rsidRPr="000F4D84">
        <w:rPr>
          <w:i/>
          <w:iCs/>
        </w:rPr>
        <w:t>ning the Cuban Missile Crisis</w:t>
      </w:r>
      <w:r w:rsidRPr="005D7D45">
        <w:t>,</w:t>
      </w:r>
      <w:r w:rsidRPr="005D7D45">
        <w:rPr>
          <w:lang w:val="fr-FR" w:eastAsia="fr-FR" w:bidi="fr-FR"/>
        </w:rPr>
        <w:t xml:space="preserve"> New York, Longman, 2</w:t>
      </w:r>
      <w:r w:rsidRPr="00DB7EE9">
        <w:rPr>
          <w:vertAlign w:val="superscript"/>
          <w:lang w:val="fr-FR" w:eastAsia="fr-FR" w:bidi="fr-FR"/>
        </w:rPr>
        <w:t>e</w:t>
      </w:r>
      <w:r>
        <w:rPr>
          <w:lang w:val="fr-FR" w:eastAsia="fr-FR" w:bidi="fr-FR"/>
        </w:rPr>
        <w:t xml:space="preserve"> </w:t>
      </w:r>
      <w:r w:rsidRPr="005D7D45">
        <w:rPr>
          <w:lang w:val="fr-FR" w:eastAsia="fr-FR" w:bidi="fr-FR"/>
        </w:rPr>
        <w:t>éd., 1999, p. 131.</w:t>
      </w:r>
    </w:p>
  </w:footnote>
  <w:footnote w:id="451">
    <w:p w14:paraId="1DD53B61" w14:textId="77777777" w:rsidR="0039793A" w:rsidRDefault="0039793A" w:rsidP="0039793A">
      <w:pPr>
        <w:pStyle w:val="Notedebasdepage"/>
      </w:pPr>
      <w:r>
        <w:rPr>
          <w:rStyle w:val="Appelnotedebasdep"/>
        </w:rPr>
        <w:footnoteRef/>
      </w:r>
      <w:r>
        <w:tab/>
      </w:r>
      <w:r w:rsidRPr="005D7D45">
        <w:rPr>
          <w:lang w:val="fr-FR" w:eastAsia="fr-FR" w:bidi="fr-FR"/>
        </w:rPr>
        <w:t xml:space="preserve">Stephen Krasner, </w:t>
      </w:r>
      <w:r w:rsidRPr="005D7D45">
        <w:t>« </w:t>
      </w:r>
      <w:r w:rsidRPr="005D7D45">
        <w:rPr>
          <w:lang w:val="fr-FR" w:eastAsia="fr-FR" w:bidi="fr-FR"/>
        </w:rPr>
        <w:t>Are Bureaucracies Important</w:t>
      </w:r>
      <w:r w:rsidRPr="005D7D45">
        <w:t> ?</w:t>
      </w:r>
      <w:r w:rsidRPr="005D7D45">
        <w:rPr>
          <w:lang w:val="fr-FR" w:eastAsia="fr-FR" w:bidi="fr-FR"/>
        </w:rPr>
        <w:t xml:space="preserve"> (Or Allison Wonde</w:t>
      </w:r>
      <w:r w:rsidRPr="005D7D45">
        <w:rPr>
          <w:lang w:val="fr-FR" w:eastAsia="fr-FR" w:bidi="fr-FR"/>
        </w:rPr>
        <w:t>r</w:t>
      </w:r>
      <w:r w:rsidRPr="005D7D45">
        <w:rPr>
          <w:lang w:val="fr-FR" w:eastAsia="fr-FR" w:bidi="fr-FR"/>
        </w:rPr>
        <w:t>land)</w:t>
      </w:r>
      <w:r w:rsidRPr="005D7D45">
        <w:t> »</w:t>
      </w:r>
      <w:r w:rsidRPr="005D7D45">
        <w:rPr>
          <w:lang w:val="fr-FR" w:eastAsia="fr-FR" w:bidi="fr-FR"/>
        </w:rPr>
        <w:t xml:space="preserve">, dans John Ikenberry (ed.), </w:t>
      </w:r>
      <w:r w:rsidRPr="000F4D84">
        <w:rPr>
          <w:i/>
          <w:iCs/>
        </w:rPr>
        <w:t>American Foreign Policy : The</w:t>
      </w:r>
      <w:r w:rsidRPr="000F4D84">
        <w:rPr>
          <w:i/>
          <w:iCs/>
        </w:rPr>
        <w:t>o</w:t>
      </w:r>
      <w:r w:rsidRPr="000F4D84">
        <w:rPr>
          <w:i/>
          <w:iCs/>
        </w:rPr>
        <w:t>retical Essays</w:t>
      </w:r>
      <w:r w:rsidRPr="005D7D45">
        <w:t xml:space="preserve">, </w:t>
      </w:r>
      <w:r w:rsidRPr="005D7D45">
        <w:rPr>
          <w:lang w:val="fr-FR" w:eastAsia="fr-FR" w:bidi="fr-FR"/>
        </w:rPr>
        <w:t>New York, Longman, 4</w:t>
      </w:r>
      <w:r w:rsidRPr="005D7D45">
        <w:rPr>
          <w:vertAlign w:val="superscript"/>
          <w:lang w:val="fr-FR" w:eastAsia="fr-FR" w:bidi="fr-FR"/>
        </w:rPr>
        <w:t>e</w:t>
      </w:r>
      <w:r w:rsidRPr="005D7D45">
        <w:rPr>
          <w:lang w:val="fr-FR" w:eastAsia="fr-FR" w:bidi="fr-FR"/>
        </w:rPr>
        <w:t xml:space="preserve"> éd., 2002, p. 441-453.</w:t>
      </w:r>
    </w:p>
  </w:footnote>
  <w:footnote w:id="452">
    <w:p w14:paraId="1853B130" w14:textId="77777777" w:rsidR="0039793A" w:rsidRDefault="0039793A" w:rsidP="0039793A">
      <w:pPr>
        <w:pStyle w:val="Notedebasdepage"/>
      </w:pPr>
      <w:r>
        <w:rPr>
          <w:rStyle w:val="Appelnotedebasdep"/>
        </w:rPr>
        <w:footnoteRef/>
      </w:r>
      <w:r>
        <w:tab/>
      </w:r>
      <w:r w:rsidRPr="005D7D45">
        <w:rPr>
          <w:lang w:val="fr-FR" w:eastAsia="fr-FR" w:bidi="fr-FR"/>
        </w:rPr>
        <w:t xml:space="preserve">Voir Charles-Philippe David, </w:t>
      </w:r>
      <w:r w:rsidRPr="000F4D84">
        <w:rPr>
          <w:i/>
          <w:iCs/>
        </w:rPr>
        <w:t>Au sein de la Maison-Blanche. La formulation de la politique étrangère des États-Unis de Truman à Cli</w:t>
      </w:r>
      <w:r w:rsidRPr="000F4D84">
        <w:rPr>
          <w:i/>
          <w:iCs/>
        </w:rPr>
        <w:t>n</w:t>
      </w:r>
      <w:r w:rsidRPr="000F4D84">
        <w:rPr>
          <w:i/>
          <w:iCs/>
        </w:rPr>
        <w:t>ton</w:t>
      </w:r>
      <w:r w:rsidRPr="005D7D45">
        <w:t>,</w:t>
      </w:r>
      <w:r w:rsidRPr="005D7D45">
        <w:rPr>
          <w:lang w:val="fr-FR" w:eastAsia="fr-FR" w:bidi="fr-FR"/>
        </w:rPr>
        <w:t xml:space="preserve"> Québec, Presses de l’Université Laval, 1994, 521p. (2</w:t>
      </w:r>
      <w:r w:rsidRPr="00DB7EE9">
        <w:rPr>
          <w:vertAlign w:val="superscript"/>
          <w:lang w:val="fr-FR" w:eastAsia="fr-FR" w:bidi="fr-FR"/>
        </w:rPr>
        <w:t>e</w:t>
      </w:r>
      <w:r>
        <w:rPr>
          <w:lang w:val="fr-FR" w:eastAsia="fr-FR" w:bidi="fr-FR"/>
        </w:rPr>
        <w:t xml:space="preserve"> </w:t>
      </w:r>
      <w:r w:rsidRPr="005D7D45">
        <w:rPr>
          <w:lang w:val="fr-FR" w:eastAsia="fr-FR" w:bidi="fr-FR"/>
        </w:rPr>
        <w:t>éd. à paraître en 2004)</w:t>
      </w:r>
      <w:r w:rsidRPr="005D7D45">
        <w:t> ;</w:t>
      </w:r>
      <w:r w:rsidRPr="005D7D45">
        <w:rPr>
          <w:lang w:val="fr-FR" w:eastAsia="fr-FR" w:bidi="fr-FR"/>
        </w:rPr>
        <w:t xml:space="preserve"> voir également, de Charles-Philippe David et al., </w:t>
      </w:r>
      <w:r w:rsidRPr="000F4D84">
        <w:rPr>
          <w:i/>
          <w:iCs/>
        </w:rPr>
        <w:t>Foreign Policy Fa</w:t>
      </w:r>
      <w:r w:rsidRPr="000F4D84">
        <w:rPr>
          <w:i/>
          <w:iCs/>
        </w:rPr>
        <w:t>i</w:t>
      </w:r>
      <w:r w:rsidRPr="000F4D84">
        <w:rPr>
          <w:i/>
          <w:iCs/>
        </w:rPr>
        <w:t>lure in the White House : Reappraising the Fail of the Shah and the Iran-Contra Affair</w:t>
      </w:r>
      <w:r w:rsidRPr="005D7D45">
        <w:rPr>
          <w:lang w:val="fr-FR" w:eastAsia="fr-FR" w:bidi="fr-FR"/>
        </w:rPr>
        <w:t>, Lanham, University Press of America, 1993, 191 p.</w:t>
      </w:r>
    </w:p>
  </w:footnote>
  <w:footnote w:id="453">
    <w:p w14:paraId="5DC133B6" w14:textId="77777777" w:rsidR="0039793A" w:rsidRDefault="0039793A" w:rsidP="0039793A">
      <w:pPr>
        <w:pStyle w:val="Notedebasdepage"/>
      </w:pPr>
      <w:r>
        <w:rPr>
          <w:rStyle w:val="Appelnotedebasdep"/>
        </w:rPr>
        <w:footnoteRef/>
      </w:r>
      <w:r>
        <w:tab/>
      </w:r>
      <w:r w:rsidRPr="005D7D45">
        <w:rPr>
          <w:lang w:val="fr-FR" w:eastAsia="fr-FR" w:bidi="fr-FR"/>
        </w:rPr>
        <w:t xml:space="preserve">Hedrick Smith, </w:t>
      </w:r>
      <w:r w:rsidRPr="000F4D84">
        <w:rPr>
          <w:i/>
          <w:iCs/>
        </w:rPr>
        <w:t>The Power Game. Ho</w:t>
      </w:r>
      <w:r>
        <w:rPr>
          <w:i/>
          <w:iCs/>
        </w:rPr>
        <w:t>w</w:t>
      </w:r>
      <w:r w:rsidRPr="000F4D84">
        <w:rPr>
          <w:i/>
          <w:iCs/>
        </w:rPr>
        <w:t xml:space="preserve"> Washington Works</w:t>
      </w:r>
      <w:r w:rsidRPr="005D7D45">
        <w:rPr>
          <w:lang w:val="fr-FR" w:eastAsia="fr-FR" w:bidi="fr-FR"/>
        </w:rPr>
        <w:t>, New York, Ba</w:t>
      </w:r>
      <w:r w:rsidRPr="005D7D45">
        <w:rPr>
          <w:lang w:val="fr-FR" w:eastAsia="fr-FR" w:bidi="fr-FR"/>
        </w:rPr>
        <w:t>l</w:t>
      </w:r>
      <w:r w:rsidRPr="005D7D45">
        <w:rPr>
          <w:lang w:val="fr-FR" w:eastAsia="fr-FR" w:bidi="fr-FR"/>
        </w:rPr>
        <w:t>lantine Books, 1996, 2</w:t>
      </w:r>
      <w:r w:rsidRPr="005D7D45">
        <w:rPr>
          <w:vertAlign w:val="superscript"/>
          <w:lang w:val="fr-FR" w:eastAsia="fr-FR" w:bidi="fr-FR"/>
        </w:rPr>
        <w:t>e</w:t>
      </w:r>
      <w:r w:rsidRPr="005D7D45">
        <w:rPr>
          <w:lang w:val="fr-FR" w:eastAsia="fr-FR" w:bidi="fr-FR"/>
        </w:rPr>
        <w:t xml:space="preserve"> éd., p. 566-595.</w:t>
      </w:r>
    </w:p>
  </w:footnote>
  <w:footnote w:id="454">
    <w:p w14:paraId="57E9AC93" w14:textId="77777777" w:rsidR="0039793A" w:rsidRDefault="0039793A" w:rsidP="0039793A">
      <w:pPr>
        <w:pStyle w:val="Notedebasdepage"/>
      </w:pPr>
      <w:r>
        <w:rPr>
          <w:rStyle w:val="Appelnotedebasdep"/>
        </w:rPr>
        <w:footnoteRef/>
      </w:r>
      <w:r>
        <w:tab/>
      </w:r>
      <w:r w:rsidRPr="005D7D45">
        <w:rPr>
          <w:lang w:val="fr-FR" w:eastAsia="fr-FR" w:bidi="fr-FR"/>
        </w:rPr>
        <w:t xml:space="preserve">Rosati, </w:t>
      </w:r>
      <w:r w:rsidRPr="000F4D84">
        <w:rPr>
          <w:i/>
          <w:iCs/>
        </w:rPr>
        <w:t>op. cit</w:t>
      </w:r>
      <w:r w:rsidRPr="005D7D45">
        <w:t>.,</w:t>
      </w:r>
      <w:r w:rsidRPr="005D7D45">
        <w:rPr>
          <w:lang w:val="fr-FR" w:eastAsia="fr-FR" w:bidi="fr-FR"/>
        </w:rPr>
        <w:t xml:space="preserve"> p. 260-272.</w:t>
      </w:r>
    </w:p>
  </w:footnote>
  <w:footnote w:id="455">
    <w:p w14:paraId="3A8E6CFA" w14:textId="77777777" w:rsidR="0039793A" w:rsidRDefault="0039793A" w:rsidP="0039793A">
      <w:pPr>
        <w:pStyle w:val="Notedebasdepage"/>
      </w:pPr>
      <w:r>
        <w:rPr>
          <w:rStyle w:val="Appelnotedebasdep"/>
        </w:rPr>
        <w:footnoteRef/>
      </w:r>
      <w:r>
        <w:tab/>
      </w:r>
      <w:r w:rsidRPr="005D7D45">
        <w:rPr>
          <w:lang w:val="fr-FR" w:eastAsia="fr-FR" w:bidi="fr-FR"/>
        </w:rPr>
        <w:t xml:space="preserve">En référence au titre de l’ouvrage de Irving Destler, Leslie Gelb et Anthony Lake, </w:t>
      </w:r>
      <w:r w:rsidRPr="000F4D84">
        <w:rPr>
          <w:i/>
          <w:iCs/>
        </w:rPr>
        <w:t>Our Own Worst Enemy. The Unmaking of American F</w:t>
      </w:r>
      <w:r w:rsidRPr="000F4D84">
        <w:rPr>
          <w:i/>
          <w:iCs/>
        </w:rPr>
        <w:t>o</w:t>
      </w:r>
      <w:r w:rsidRPr="000F4D84">
        <w:rPr>
          <w:i/>
          <w:iCs/>
        </w:rPr>
        <w:t>reign Policy</w:t>
      </w:r>
      <w:r w:rsidRPr="005D7D45">
        <w:t xml:space="preserve">, </w:t>
      </w:r>
      <w:r w:rsidRPr="005D7D45">
        <w:rPr>
          <w:lang w:val="fr-FR" w:eastAsia="fr-FR" w:bidi="fr-FR"/>
        </w:rPr>
        <w:t>New York, Simon and Schuster, 1984.</w:t>
      </w:r>
    </w:p>
  </w:footnote>
  <w:footnote w:id="456">
    <w:p w14:paraId="04F78A0A" w14:textId="77777777" w:rsidR="0039793A" w:rsidRDefault="0039793A" w:rsidP="0039793A">
      <w:pPr>
        <w:pStyle w:val="Notedebasdepage"/>
      </w:pPr>
      <w:r>
        <w:rPr>
          <w:rStyle w:val="Appelnotedebasdep"/>
        </w:rPr>
        <w:footnoteRef/>
      </w:r>
      <w:r>
        <w:tab/>
      </w:r>
      <w:r w:rsidRPr="005D7D45">
        <w:rPr>
          <w:lang w:val="fr-FR" w:eastAsia="fr-FR" w:bidi="fr-FR"/>
        </w:rPr>
        <w:t xml:space="preserve">Michael Mastanduno, </w:t>
      </w:r>
      <w:r w:rsidRPr="005D7D45">
        <w:t>« </w:t>
      </w:r>
      <w:r w:rsidRPr="005D7D45">
        <w:rPr>
          <w:lang w:val="fr-FR" w:eastAsia="fr-FR" w:bidi="fr-FR"/>
        </w:rPr>
        <w:t>The United States Political System and International Leadership</w:t>
      </w:r>
      <w:r w:rsidRPr="005D7D45">
        <w:t> :</w:t>
      </w:r>
      <w:r w:rsidRPr="005D7D45">
        <w:rPr>
          <w:lang w:val="fr-FR" w:eastAsia="fr-FR" w:bidi="fr-FR"/>
        </w:rPr>
        <w:t xml:space="preserve"> A “Decidedly Inferior” Form of Government</w:t>
      </w:r>
      <w:r w:rsidRPr="005D7D45">
        <w:t> ? »</w:t>
      </w:r>
      <w:r w:rsidRPr="005D7D45">
        <w:rPr>
          <w:lang w:val="fr-FR" w:eastAsia="fr-FR" w:bidi="fr-FR"/>
        </w:rPr>
        <w:t>, dans Ikenbe</w:t>
      </w:r>
      <w:r w:rsidRPr="005D7D45">
        <w:rPr>
          <w:lang w:val="fr-FR" w:eastAsia="fr-FR" w:bidi="fr-FR"/>
        </w:rPr>
        <w:t>r</w:t>
      </w:r>
      <w:r w:rsidRPr="005D7D45">
        <w:rPr>
          <w:lang w:val="fr-FR" w:eastAsia="fr-FR" w:bidi="fr-FR"/>
        </w:rPr>
        <w:t xml:space="preserve">ry, </w:t>
      </w:r>
      <w:r w:rsidRPr="000F4D84">
        <w:rPr>
          <w:i/>
          <w:iCs/>
        </w:rPr>
        <w:t>op. cit</w:t>
      </w:r>
      <w:r w:rsidRPr="005D7D45">
        <w:t>.,</w:t>
      </w:r>
      <w:r w:rsidRPr="005D7D45">
        <w:rPr>
          <w:lang w:val="fr-FR" w:eastAsia="fr-FR" w:bidi="fr-FR"/>
        </w:rPr>
        <w:t xml:space="preserve"> p. 238-238.</w:t>
      </w:r>
    </w:p>
  </w:footnote>
  <w:footnote w:id="457">
    <w:p w14:paraId="27776598" w14:textId="77777777" w:rsidR="0039793A" w:rsidRDefault="0039793A" w:rsidP="0039793A">
      <w:pPr>
        <w:pStyle w:val="Notedebasdepage"/>
      </w:pPr>
      <w:r>
        <w:rPr>
          <w:rStyle w:val="Appelnotedebasdep"/>
        </w:rPr>
        <w:footnoteRef/>
      </w:r>
      <w:r>
        <w:tab/>
      </w:r>
      <w:r w:rsidRPr="005D7D45">
        <w:rPr>
          <w:lang w:val="fr-FR" w:eastAsia="fr-FR" w:bidi="fr-FR"/>
        </w:rPr>
        <w:t xml:space="preserve">Bert Rockman, </w:t>
      </w:r>
      <w:r w:rsidRPr="005D7D45">
        <w:t>« </w:t>
      </w:r>
      <w:r w:rsidRPr="005D7D45">
        <w:rPr>
          <w:lang w:val="fr-FR" w:eastAsia="fr-FR" w:bidi="fr-FR"/>
        </w:rPr>
        <w:t>The Presidency and Burea</w:t>
      </w:r>
      <w:r w:rsidRPr="005D7D45">
        <w:rPr>
          <w:lang w:val="fr-FR" w:eastAsia="fr-FR" w:bidi="fr-FR"/>
        </w:rPr>
        <w:t>u</w:t>
      </w:r>
      <w:r w:rsidRPr="005D7D45">
        <w:rPr>
          <w:lang w:val="fr-FR" w:eastAsia="fr-FR" w:bidi="fr-FR"/>
        </w:rPr>
        <w:t>crati</w:t>
      </w:r>
      <w:r>
        <w:rPr>
          <w:lang w:val="fr-FR" w:eastAsia="fr-FR" w:bidi="fr-FR"/>
        </w:rPr>
        <w:t>c</w:t>
      </w:r>
      <w:r w:rsidRPr="005D7D45">
        <w:rPr>
          <w:lang w:val="fr-FR" w:eastAsia="fr-FR" w:bidi="fr-FR"/>
        </w:rPr>
        <w:t xml:space="preserve"> Change After the Cold War</w:t>
      </w:r>
      <w:r w:rsidRPr="005D7D45">
        <w:t> »</w:t>
      </w:r>
      <w:r w:rsidRPr="005D7D45">
        <w:rPr>
          <w:lang w:val="fr-FR" w:eastAsia="fr-FR" w:bidi="fr-FR"/>
        </w:rPr>
        <w:t xml:space="preserve">, dans Lindsay, </w:t>
      </w:r>
      <w:r w:rsidRPr="000F4D84">
        <w:rPr>
          <w:i/>
          <w:iCs/>
        </w:rPr>
        <w:t>op. cit</w:t>
      </w:r>
      <w:r w:rsidRPr="005D7D45">
        <w:t>.,</w:t>
      </w:r>
      <w:r w:rsidRPr="005D7D45">
        <w:rPr>
          <w:lang w:val="fr-FR" w:eastAsia="fr-FR" w:bidi="fr-FR"/>
        </w:rPr>
        <w:t xml:space="preserve"> p. 21-41.</w:t>
      </w:r>
    </w:p>
  </w:footnote>
  <w:footnote w:id="458">
    <w:p w14:paraId="2A814865" w14:textId="77777777" w:rsidR="0039793A" w:rsidRDefault="0039793A" w:rsidP="0039793A">
      <w:pPr>
        <w:pStyle w:val="Notedebasdepage"/>
      </w:pPr>
      <w:r>
        <w:rPr>
          <w:rStyle w:val="Appelnotedebasdep"/>
        </w:rPr>
        <w:footnoteRef/>
      </w:r>
      <w:r>
        <w:tab/>
      </w:r>
      <w:r w:rsidRPr="005D7D45">
        <w:rPr>
          <w:lang w:val="fr-FR" w:eastAsia="fr-FR" w:bidi="fr-FR"/>
        </w:rPr>
        <w:t xml:space="preserve">En plus de l’organisation du </w:t>
      </w:r>
      <w:r w:rsidRPr="005D7D45">
        <w:t xml:space="preserve">NSC, </w:t>
      </w:r>
      <w:r w:rsidRPr="005D7D45">
        <w:rPr>
          <w:lang w:val="fr-FR" w:eastAsia="fr-FR" w:bidi="fr-FR"/>
        </w:rPr>
        <w:t>le Bureau exécutif du prés</w:t>
      </w:r>
      <w:r w:rsidRPr="005D7D45">
        <w:rPr>
          <w:lang w:val="fr-FR" w:eastAsia="fr-FR" w:bidi="fr-FR"/>
        </w:rPr>
        <w:t>i</w:t>
      </w:r>
      <w:r w:rsidRPr="005D7D45">
        <w:rPr>
          <w:lang w:val="fr-FR" w:eastAsia="fr-FR" w:bidi="fr-FR"/>
        </w:rPr>
        <w:t>dent inclut le Bureau présidentiel, le Bureau de l’élaboration des pol</w:t>
      </w:r>
      <w:r w:rsidRPr="005D7D45">
        <w:rPr>
          <w:lang w:val="fr-FR" w:eastAsia="fr-FR" w:bidi="fr-FR"/>
        </w:rPr>
        <w:t>i</w:t>
      </w:r>
      <w:r w:rsidRPr="005D7D45">
        <w:rPr>
          <w:lang w:val="fr-FR" w:eastAsia="fr-FR" w:bidi="fr-FR"/>
        </w:rPr>
        <w:t>tiques, celui des communications, de la gestion et du budget, ainsi que des conseillers éc</w:t>
      </w:r>
      <w:r w:rsidRPr="005D7D45">
        <w:rPr>
          <w:lang w:val="fr-FR" w:eastAsia="fr-FR" w:bidi="fr-FR"/>
        </w:rPr>
        <w:t>o</w:t>
      </w:r>
      <w:r w:rsidRPr="005D7D45">
        <w:rPr>
          <w:lang w:val="fr-FR" w:eastAsia="fr-FR" w:bidi="fr-FR"/>
        </w:rPr>
        <w:t>nomiques.</w:t>
      </w:r>
    </w:p>
  </w:footnote>
  <w:footnote w:id="459">
    <w:p w14:paraId="3CC30BCE" w14:textId="77777777" w:rsidR="0039793A" w:rsidRDefault="0039793A" w:rsidP="0039793A">
      <w:pPr>
        <w:pStyle w:val="Notedebasdepage"/>
      </w:pPr>
      <w:r>
        <w:rPr>
          <w:rStyle w:val="Appelnotedebasdep"/>
        </w:rPr>
        <w:footnoteRef/>
      </w:r>
      <w:r>
        <w:tab/>
      </w:r>
      <w:r w:rsidRPr="005D7D45">
        <w:rPr>
          <w:lang w:val="fr-FR" w:eastAsia="fr-FR" w:bidi="fr-FR"/>
        </w:rPr>
        <w:t>Pour approfondir cette question, on pourra se référer à Charles-Philippe D</w:t>
      </w:r>
      <w:r w:rsidRPr="005D7D45">
        <w:rPr>
          <w:lang w:val="fr-FR" w:eastAsia="fr-FR" w:bidi="fr-FR"/>
        </w:rPr>
        <w:t>a</w:t>
      </w:r>
      <w:r w:rsidRPr="005D7D45">
        <w:rPr>
          <w:lang w:val="fr-FR" w:eastAsia="fr-FR" w:bidi="fr-FR"/>
        </w:rPr>
        <w:t xml:space="preserve">vid, </w:t>
      </w:r>
      <w:r w:rsidRPr="000C4024">
        <w:rPr>
          <w:i/>
          <w:iCs/>
        </w:rPr>
        <w:t>Au sein de la Maison-Blanche. La formulation de la politique étrangère des États-Unis de Truman à Clinton</w:t>
      </w:r>
      <w:r w:rsidRPr="005D7D45">
        <w:t>,</w:t>
      </w:r>
      <w:r w:rsidRPr="005D7D45">
        <w:rPr>
          <w:lang w:val="fr-FR" w:eastAsia="fr-FR" w:bidi="fr-FR"/>
        </w:rPr>
        <w:t xml:space="preserve"> Québec, Presses de l’Université Laval, 1994, 521p. (2</w:t>
      </w:r>
      <w:r w:rsidRPr="005D7D45">
        <w:rPr>
          <w:vertAlign w:val="superscript"/>
          <w:lang w:val="fr-FR" w:eastAsia="fr-FR" w:bidi="fr-FR"/>
        </w:rPr>
        <w:t>e</w:t>
      </w:r>
      <w:r w:rsidRPr="005D7D45">
        <w:rPr>
          <w:lang w:val="fr-FR" w:eastAsia="fr-FR" w:bidi="fr-FR"/>
        </w:rPr>
        <w:t xml:space="preserve"> édition à paraître en 2004).</w:t>
      </w:r>
    </w:p>
  </w:footnote>
  <w:footnote w:id="460">
    <w:p w14:paraId="21A8B1C2" w14:textId="77777777" w:rsidR="0039793A" w:rsidRDefault="0039793A" w:rsidP="0039793A">
      <w:pPr>
        <w:pStyle w:val="Notedebasdepage"/>
      </w:pPr>
      <w:r>
        <w:rPr>
          <w:rStyle w:val="Appelnotedebasdep"/>
        </w:rPr>
        <w:footnoteRef/>
      </w:r>
      <w:r>
        <w:tab/>
      </w:r>
      <w:r w:rsidRPr="005D7D45">
        <w:rPr>
          <w:lang w:val="fr-FR" w:eastAsia="fr-FR" w:bidi="fr-FR"/>
        </w:rPr>
        <w:t xml:space="preserve">Cité par Charles Kegley et Eugene Wittkopf, </w:t>
      </w:r>
      <w:r w:rsidRPr="000C4024">
        <w:rPr>
          <w:i/>
          <w:iCs/>
        </w:rPr>
        <w:t>American Foreign Policy : Pattern and Process</w:t>
      </w:r>
      <w:r w:rsidRPr="005D7D45">
        <w:t>,</w:t>
      </w:r>
      <w:r w:rsidRPr="005D7D45">
        <w:rPr>
          <w:lang w:val="fr-FR" w:eastAsia="fr-FR" w:bidi="fr-FR"/>
        </w:rPr>
        <w:t xml:space="preserve"> New York, St. Martin’s Press, 5</w:t>
      </w:r>
      <w:r w:rsidRPr="005D7D45">
        <w:rPr>
          <w:vertAlign w:val="superscript"/>
          <w:lang w:val="fr-FR" w:eastAsia="fr-FR" w:bidi="fr-FR"/>
        </w:rPr>
        <w:t>e</w:t>
      </w:r>
      <w:r w:rsidRPr="005D7D45">
        <w:rPr>
          <w:lang w:val="fr-FR" w:eastAsia="fr-FR" w:bidi="fr-FR"/>
        </w:rPr>
        <w:t xml:space="preserve"> éd., 1996, p. 348.</w:t>
      </w:r>
    </w:p>
  </w:footnote>
  <w:footnote w:id="461">
    <w:p w14:paraId="5FB823BC" w14:textId="77777777" w:rsidR="0039793A" w:rsidRDefault="0039793A" w:rsidP="0039793A">
      <w:pPr>
        <w:pStyle w:val="Notedebasdepage"/>
      </w:pPr>
      <w:r>
        <w:rPr>
          <w:rStyle w:val="Appelnotedebasdep"/>
        </w:rPr>
        <w:footnoteRef/>
      </w:r>
      <w:r>
        <w:tab/>
      </w:r>
      <w:r w:rsidRPr="005D7D45">
        <w:rPr>
          <w:lang w:val="fr-FR" w:eastAsia="fr-FR" w:bidi="fr-FR"/>
        </w:rPr>
        <w:t xml:space="preserve">Voir </w:t>
      </w:r>
      <w:r w:rsidRPr="005D7D45">
        <w:t xml:space="preserve">à </w:t>
      </w:r>
      <w:r w:rsidRPr="005D7D45">
        <w:rPr>
          <w:lang w:val="fr-FR" w:eastAsia="fr-FR" w:bidi="fr-FR"/>
        </w:rPr>
        <w:t xml:space="preserve">titre d’exemple l’histoire officielle du </w:t>
      </w:r>
      <w:r w:rsidRPr="005D7D45">
        <w:t xml:space="preserve">NSC </w:t>
      </w:r>
      <w:r w:rsidRPr="005D7D45">
        <w:rPr>
          <w:lang w:val="fr-FR" w:eastAsia="fr-FR" w:bidi="fr-FR"/>
        </w:rPr>
        <w:t>dans Jeffrey R</w:t>
      </w:r>
      <w:r w:rsidRPr="005D7D45">
        <w:rPr>
          <w:lang w:val="fr-FR" w:eastAsia="fr-FR" w:bidi="fr-FR"/>
        </w:rPr>
        <w:t>i</w:t>
      </w:r>
      <w:r w:rsidRPr="005D7D45">
        <w:rPr>
          <w:lang w:val="fr-FR" w:eastAsia="fr-FR" w:bidi="fr-FR"/>
        </w:rPr>
        <w:t xml:space="preserve">chelson et al., </w:t>
      </w:r>
      <w:r w:rsidRPr="005D7D45">
        <w:t>« </w:t>
      </w:r>
      <w:r w:rsidRPr="005D7D45">
        <w:rPr>
          <w:lang w:val="fr-FR" w:eastAsia="fr-FR" w:bidi="fr-FR"/>
        </w:rPr>
        <w:t>Presidential Directives on National Security from Truman to Clinton</w:t>
      </w:r>
      <w:r w:rsidRPr="005D7D45">
        <w:t> »</w:t>
      </w:r>
      <w:r w:rsidRPr="005D7D45">
        <w:rPr>
          <w:lang w:val="fr-FR" w:eastAsia="fr-FR" w:bidi="fr-FR"/>
        </w:rPr>
        <w:t xml:space="preserve">, </w:t>
      </w:r>
      <w:r w:rsidRPr="000C4024">
        <w:rPr>
          <w:i/>
          <w:iCs/>
        </w:rPr>
        <w:t>Digital National Security Archive</w:t>
      </w:r>
      <w:r w:rsidRPr="005D7D45">
        <w:t>,</w:t>
      </w:r>
      <w:r w:rsidRPr="005D7D45">
        <w:rPr>
          <w:lang w:val="fr-FR" w:eastAsia="fr-FR" w:bidi="fr-FR"/>
        </w:rPr>
        <w:t xml:space="preserve"> </w:t>
      </w:r>
      <w:hyperlink r:id="rId7" w:history="1">
        <w:r w:rsidRPr="005D7D45">
          <w:rPr>
            <w:rStyle w:val="Hyperlien"/>
            <w:lang w:val="en-US" w:bidi="en-US"/>
          </w:rPr>
          <w:t>http://nsarchive.chadwyck.com</w:t>
        </w:r>
      </w:hyperlink>
      <w:r w:rsidRPr="005D7D45">
        <w:rPr>
          <w:lang w:val="en-US" w:bidi="en-US"/>
        </w:rPr>
        <w:t xml:space="preserve">, </w:t>
      </w:r>
      <w:r w:rsidRPr="005D7D45">
        <w:rPr>
          <w:lang w:val="fr-FR" w:eastAsia="fr-FR" w:bidi="fr-FR"/>
        </w:rPr>
        <w:t>31p.</w:t>
      </w:r>
    </w:p>
  </w:footnote>
  <w:footnote w:id="462">
    <w:p w14:paraId="363FCF58" w14:textId="77777777" w:rsidR="0039793A" w:rsidRDefault="0039793A" w:rsidP="0039793A">
      <w:pPr>
        <w:pStyle w:val="Notedebasdepage"/>
      </w:pPr>
      <w:r>
        <w:rPr>
          <w:rStyle w:val="Appelnotedebasdep"/>
        </w:rPr>
        <w:footnoteRef/>
      </w:r>
      <w:r>
        <w:tab/>
      </w:r>
      <w:r w:rsidRPr="00681E91">
        <w:t xml:space="preserve">Amy Zegart, </w:t>
      </w:r>
      <w:r w:rsidRPr="000C4024">
        <w:rPr>
          <w:i/>
          <w:iCs/>
        </w:rPr>
        <w:t>Flawed by Design. The Evolution of the CIA, JCS, and NSC</w:t>
      </w:r>
      <w:r w:rsidRPr="00681E91">
        <w:t>, Stanford, Stanford University Press, 1999, p. 54-75.</w:t>
      </w:r>
    </w:p>
  </w:footnote>
  <w:footnote w:id="463">
    <w:p w14:paraId="490239F6" w14:textId="77777777" w:rsidR="0039793A" w:rsidRDefault="0039793A" w:rsidP="0039793A">
      <w:pPr>
        <w:pStyle w:val="Notedebasdepage"/>
      </w:pPr>
      <w:r>
        <w:rPr>
          <w:rStyle w:val="Appelnotedebasdep"/>
        </w:rPr>
        <w:footnoteRef/>
      </w:r>
      <w:r>
        <w:tab/>
      </w:r>
      <w:r w:rsidRPr="005D7D45">
        <w:rPr>
          <w:lang w:val="fr-FR" w:eastAsia="fr-FR" w:bidi="fr-FR"/>
        </w:rPr>
        <w:t xml:space="preserve">Townsend Hoopes et Douglas Brinkley, </w:t>
      </w:r>
      <w:r w:rsidRPr="000C4024">
        <w:rPr>
          <w:i/>
          <w:iCs/>
        </w:rPr>
        <w:t>Driven Patriot : the Life and Times of James Forrestal</w:t>
      </w:r>
      <w:r w:rsidRPr="005D7D45">
        <w:t>,</w:t>
      </w:r>
      <w:r w:rsidRPr="005D7D45">
        <w:rPr>
          <w:lang w:val="fr-FR" w:eastAsia="fr-FR" w:bidi="fr-FR"/>
        </w:rPr>
        <w:t xml:space="preserve"> New York, Knopf, 1992, p. 319-383</w:t>
      </w:r>
      <w:r w:rsidRPr="005D7D45">
        <w:t> ;</w:t>
      </w:r>
      <w:r w:rsidRPr="005D7D45">
        <w:rPr>
          <w:lang w:val="fr-FR" w:eastAsia="fr-FR" w:bidi="fr-FR"/>
        </w:rPr>
        <w:t xml:space="preserve"> Jeffery Dorwart, </w:t>
      </w:r>
      <w:r w:rsidRPr="000C4024">
        <w:rPr>
          <w:i/>
          <w:iCs/>
        </w:rPr>
        <w:t>Eberstadt and Forrestal : A National Security Par</w:t>
      </w:r>
      <w:r w:rsidRPr="000C4024">
        <w:rPr>
          <w:i/>
          <w:iCs/>
        </w:rPr>
        <w:t>t</w:t>
      </w:r>
      <w:r w:rsidRPr="000C4024">
        <w:rPr>
          <w:i/>
          <w:iCs/>
        </w:rPr>
        <w:t>nership</w:t>
      </w:r>
      <w:r w:rsidRPr="005D7D45">
        <w:t>,</w:t>
      </w:r>
      <w:r w:rsidRPr="005D7D45">
        <w:rPr>
          <w:lang w:val="fr-FR" w:eastAsia="fr-FR" w:bidi="fr-FR"/>
        </w:rPr>
        <w:t xml:space="preserve"> College Station, A &amp; M Un</w:t>
      </w:r>
      <w:r w:rsidRPr="005D7D45">
        <w:rPr>
          <w:lang w:val="fr-FR" w:eastAsia="fr-FR" w:bidi="fr-FR"/>
        </w:rPr>
        <w:t>i</w:t>
      </w:r>
      <w:r w:rsidRPr="005D7D45">
        <w:rPr>
          <w:lang w:val="fr-FR" w:eastAsia="fr-FR" w:bidi="fr-FR"/>
        </w:rPr>
        <w:t>versity Press, 1991, p. 90-148</w:t>
      </w:r>
      <w:r w:rsidRPr="005D7D45">
        <w:t> ;</w:t>
      </w:r>
      <w:r w:rsidRPr="005D7D45">
        <w:rPr>
          <w:lang w:val="fr-FR" w:eastAsia="fr-FR" w:bidi="fr-FR"/>
        </w:rPr>
        <w:t xml:space="preserve"> Alfred Sander, </w:t>
      </w:r>
      <w:r w:rsidRPr="005D7D45">
        <w:t>« </w:t>
      </w:r>
      <w:r w:rsidRPr="005D7D45">
        <w:rPr>
          <w:lang w:val="fr-FR" w:eastAsia="fr-FR" w:bidi="fr-FR"/>
        </w:rPr>
        <w:t>Truman and the National Security Council, 1945-1947</w:t>
      </w:r>
      <w:r w:rsidRPr="005D7D45">
        <w:t> »</w:t>
      </w:r>
      <w:r w:rsidRPr="005D7D45">
        <w:rPr>
          <w:lang w:val="fr-FR" w:eastAsia="fr-FR" w:bidi="fr-FR"/>
        </w:rPr>
        <w:t xml:space="preserve">, </w:t>
      </w:r>
      <w:r w:rsidRPr="000C4024">
        <w:rPr>
          <w:i/>
          <w:iCs/>
        </w:rPr>
        <w:t>The Journal of American History</w:t>
      </w:r>
      <w:r w:rsidRPr="005D7D45">
        <w:t>,</w:t>
      </w:r>
      <w:r w:rsidRPr="005D7D45">
        <w:rPr>
          <w:lang w:val="fr-FR" w:eastAsia="fr-FR" w:bidi="fr-FR"/>
        </w:rPr>
        <w:t xml:space="preserve"> 59, septembre 1972, p. 369-388</w:t>
      </w:r>
      <w:r w:rsidRPr="005D7D45">
        <w:t> ;</w:t>
      </w:r>
      <w:r w:rsidRPr="005D7D45">
        <w:rPr>
          <w:lang w:val="fr-FR" w:eastAsia="fr-FR" w:bidi="fr-FR"/>
        </w:rPr>
        <w:t xml:space="preserve"> et Demetrios Caraley, </w:t>
      </w:r>
      <w:r w:rsidRPr="000C4024">
        <w:rPr>
          <w:i/>
          <w:iCs/>
        </w:rPr>
        <w:t>The Politics of Mil</w:t>
      </w:r>
      <w:r w:rsidRPr="000C4024">
        <w:rPr>
          <w:i/>
          <w:iCs/>
        </w:rPr>
        <w:t>i</w:t>
      </w:r>
      <w:r w:rsidRPr="000C4024">
        <w:rPr>
          <w:i/>
          <w:iCs/>
        </w:rPr>
        <w:t>tary Unification</w:t>
      </w:r>
      <w:r w:rsidRPr="005D7D45">
        <w:t>,</w:t>
      </w:r>
      <w:r w:rsidRPr="005D7D45">
        <w:rPr>
          <w:lang w:val="fr-FR" w:eastAsia="fr-FR" w:bidi="fr-FR"/>
        </w:rPr>
        <w:t xml:space="preserve"> New York, Columbia University Press, 1966.</w:t>
      </w:r>
    </w:p>
  </w:footnote>
  <w:footnote w:id="464">
    <w:p w14:paraId="757667C8" w14:textId="77777777" w:rsidR="0039793A" w:rsidRDefault="0039793A" w:rsidP="0039793A">
      <w:pPr>
        <w:pStyle w:val="Notedebasdepage"/>
      </w:pPr>
      <w:r>
        <w:rPr>
          <w:rStyle w:val="Appelnotedebasdep"/>
        </w:rPr>
        <w:footnoteRef/>
      </w:r>
      <w:r>
        <w:tab/>
      </w:r>
      <w:r w:rsidRPr="005D7D45">
        <w:rPr>
          <w:lang w:val="fr-FR" w:eastAsia="fr-FR" w:bidi="fr-FR"/>
        </w:rPr>
        <w:t xml:space="preserve">John Hart, </w:t>
      </w:r>
      <w:r w:rsidRPr="000C4024">
        <w:rPr>
          <w:i/>
          <w:iCs/>
        </w:rPr>
        <w:t>The Presidential Branch. From Washington to Cli</w:t>
      </w:r>
      <w:r w:rsidRPr="000C4024">
        <w:rPr>
          <w:i/>
          <w:iCs/>
        </w:rPr>
        <w:t>n</w:t>
      </w:r>
      <w:r w:rsidRPr="000C4024">
        <w:rPr>
          <w:i/>
          <w:iCs/>
        </w:rPr>
        <w:t>ton</w:t>
      </w:r>
      <w:r w:rsidRPr="005D7D45">
        <w:rPr>
          <w:lang w:val="fr-FR" w:eastAsia="fr-FR" w:bidi="fr-FR"/>
        </w:rPr>
        <w:t>, Chatham, Chatha</w:t>
      </w:r>
      <w:r>
        <w:rPr>
          <w:lang w:val="fr-FR" w:eastAsia="fr-FR" w:bidi="fr-FR"/>
        </w:rPr>
        <w:t>m House Publishers, 1995, p. 69.</w:t>
      </w:r>
    </w:p>
  </w:footnote>
  <w:footnote w:id="465">
    <w:p w14:paraId="5A78668E" w14:textId="77777777" w:rsidR="0039793A" w:rsidRDefault="0039793A" w:rsidP="0039793A">
      <w:pPr>
        <w:pStyle w:val="Notedebasdepage"/>
      </w:pPr>
      <w:r>
        <w:rPr>
          <w:rStyle w:val="Appelnotedebasdep"/>
        </w:rPr>
        <w:footnoteRef/>
      </w:r>
      <w:r>
        <w:tab/>
      </w:r>
      <w:r w:rsidRPr="005D7D45">
        <w:rPr>
          <w:lang w:val="fr-FR" w:eastAsia="fr-FR" w:bidi="fr-FR"/>
        </w:rPr>
        <w:t xml:space="preserve">Voir Hart, </w:t>
      </w:r>
      <w:r w:rsidRPr="000C4024">
        <w:rPr>
          <w:i/>
          <w:iCs/>
        </w:rPr>
        <w:t>op. cit</w:t>
      </w:r>
      <w:r w:rsidRPr="005D7D45">
        <w:t>.,</w:t>
      </w:r>
      <w:r w:rsidRPr="005D7D45">
        <w:rPr>
          <w:lang w:val="fr-FR" w:eastAsia="fr-FR" w:bidi="fr-FR"/>
        </w:rPr>
        <w:t xml:space="preserve"> p. 67-68</w:t>
      </w:r>
      <w:r w:rsidRPr="005D7D45">
        <w:t> ;</w:t>
      </w:r>
      <w:r w:rsidRPr="005D7D45">
        <w:rPr>
          <w:lang w:val="fr-FR" w:eastAsia="fr-FR" w:bidi="fr-FR"/>
        </w:rPr>
        <w:t xml:space="preserve"> Jerel Rosati, </w:t>
      </w:r>
      <w:r w:rsidRPr="000C4024">
        <w:rPr>
          <w:i/>
          <w:iCs/>
        </w:rPr>
        <w:t>The Politics of United States F</w:t>
      </w:r>
      <w:r w:rsidRPr="000C4024">
        <w:rPr>
          <w:i/>
          <w:iCs/>
        </w:rPr>
        <w:t>o</w:t>
      </w:r>
      <w:r w:rsidRPr="000C4024">
        <w:rPr>
          <w:i/>
          <w:iCs/>
        </w:rPr>
        <w:t>reign Policy</w:t>
      </w:r>
      <w:r w:rsidRPr="005D7D45">
        <w:t>,</w:t>
      </w:r>
      <w:r w:rsidRPr="005D7D45">
        <w:rPr>
          <w:lang w:val="fr-FR" w:eastAsia="fr-FR" w:bidi="fr-FR"/>
        </w:rPr>
        <w:t xml:space="preserve"> New York, Harcourt Brace Jovanovich, 1993, p. 82-84. On peut également valablement se référer aux classiques de Irving Destler, </w:t>
      </w:r>
      <w:r w:rsidRPr="005D7D45">
        <w:t>« </w:t>
      </w:r>
      <w:r w:rsidRPr="005D7D45">
        <w:rPr>
          <w:lang w:val="fr-FR" w:eastAsia="fr-FR" w:bidi="fr-FR"/>
        </w:rPr>
        <w:t xml:space="preserve">National Security Advice to </w:t>
      </w:r>
      <w:r w:rsidRPr="005D7D45">
        <w:t xml:space="preserve">US </w:t>
      </w:r>
      <w:r w:rsidRPr="005D7D45">
        <w:rPr>
          <w:lang w:val="fr-FR" w:eastAsia="fr-FR" w:bidi="fr-FR"/>
        </w:rPr>
        <w:t>Presidents</w:t>
      </w:r>
      <w:r w:rsidRPr="005D7D45">
        <w:t> :</w:t>
      </w:r>
      <w:r w:rsidRPr="005D7D45">
        <w:rPr>
          <w:lang w:val="fr-FR" w:eastAsia="fr-FR" w:bidi="fr-FR"/>
        </w:rPr>
        <w:t xml:space="preserve"> Some Lessons from Thirty Years</w:t>
      </w:r>
      <w:r w:rsidRPr="005D7D45">
        <w:t> »</w:t>
      </w:r>
      <w:r w:rsidRPr="005D7D45">
        <w:rPr>
          <w:lang w:val="fr-FR" w:eastAsia="fr-FR" w:bidi="fr-FR"/>
        </w:rPr>
        <w:t xml:space="preserve">, </w:t>
      </w:r>
      <w:r w:rsidRPr="000C4024">
        <w:rPr>
          <w:i/>
          <w:iCs/>
        </w:rPr>
        <w:t>World Politics</w:t>
      </w:r>
      <w:r w:rsidRPr="005D7D45">
        <w:t>,</w:t>
      </w:r>
      <w:r w:rsidRPr="005D7D45">
        <w:rPr>
          <w:lang w:val="fr-FR" w:eastAsia="fr-FR" w:bidi="fr-FR"/>
        </w:rPr>
        <w:t xml:space="preserve"> 29, janvier 1977, p. 143-176</w:t>
      </w:r>
      <w:r w:rsidRPr="005D7D45">
        <w:t> ;</w:t>
      </w:r>
      <w:r w:rsidRPr="005D7D45">
        <w:rPr>
          <w:lang w:val="fr-FR" w:eastAsia="fr-FR" w:bidi="fr-FR"/>
        </w:rPr>
        <w:t xml:space="preserve"> Lames Buck, </w:t>
      </w:r>
      <w:r w:rsidRPr="005D7D45">
        <w:t>« </w:t>
      </w:r>
      <w:r w:rsidRPr="005D7D45">
        <w:rPr>
          <w:lang w:val="fr-FR" w:eastAsia="fr-FR" w:bidi="fr-FR"/>
        </w:rPr>
        <w:t>The Establishment</w:t>
      </w:r>
      <w:r w:rsidRPr="005D7D45">
        <w:t> :</w:t>
      </w:r>
      <w:r w:rsidRPr="005D7D45">
        <w:rPr>
          <w:lang w:val="fr-FR" w:eastAsia="fr-FR" w:bidi="fr-FR"/>
        </w:rPr>
        <w:t xml:space="preserve"> An Overview</w:t>
      </w:r>
      <w:r w:rsidRPr="005D7D45">
        <w:t> »</w:t>
      </w:r>
      <w:r w:rsidRPr="005D7D45">
        <w:rPr>
          <w:lang w:val="fr-FR" w:eastAsia="fr-FR" w:bidi="fr-FR"/>
        </w:rPr>
        <w:t xml:space="preserve">, dans Sam Sarkesian (ed.), </w:t>
      </w:r>
      <w:r w:rsidRPr="000C4024">
        <w:rPr>
          <w:i/>
          <w:iCs/>
        </w:rPr>
        <w:t>Pr</w:t>
      </w:r>
      <w:r>
        <w:rPr>
          <w:i/>
          <w:iCs/>
        </w:rPr>
        <w:t>e</w:t>
      </w:r>
      <w:r w:rsidRPr="000C4024">
        <w:rPr>
          <w:i/>
          <w:iCs/>
        </w:rPr>
        <w:t>sidential Leadership and National Security : Style, Inst</w:t>
      </w:r>
      <w:r w:rsidRPr="000C4024">
        <w:rPr>
          <w:i/>
          <w:iCs/>
        </w:rPr>
        <w:t>i</w:t>
      </w:r>
      <w:r w:rsidRPr="000C4024">
        <w:rPr>
          <w:i/>
          <w:iCs/>
        </w:rPr>
        <w:t>tutions and Politics</w:t>
      </w:r>
      <w:r w:rsidRPr="005D7D45">
        <w:t>,</w:t>
      </w:r>
      <w:r w:rsidRPr="005D7D45">
        <w:rPr>
          <w:lang w:val="fr-FR" w:eastAsia="fr-FR" w:bidi="fr-FR"/>
        </w:rPr>
        <w:t xml:space="preserve"> Boulder, Westview Press, 1984, p. 39-67.</w:t>
      </w:r>
    </w:p>
  </w:footnote>
  <w:footnote w:id="466">
    <w:p w14:paraId="58033C03" w14:textId="77777777" w:rsidR="0039793A" w:rsidRDefault="0039793A" w:rsidP="0039793A">
      <w:pPr>
        <w:pStyle w:val="Notedebasdepage"/>
      </w:pPr>
      <w:r>
        <w:rPr>
          <w:rStyle w:val="Appelnotedebasdep"/>
        </w:rPr>
        <w:footnoteRef/>
      </w:r>
      <w:r>
        <w:tab/>
      </w:r>
      <w:r w:rsidRPr="005D7D45">
        <w:rPr>
          <w:lang w:val="fr-FR" w:eastAsia="fr-FR" w:bidi="fr-FR"/>
        </w:rPr>
        <w:t>C’est ainsi que l’on a pu établir des distinctions entre le Conseil, le perso</w:t>
      </w:r>
      <w:r w:rsidRPr="005D7D45">
        <w:rPr>
          <w:lang w:val="fr-FR" w:eastAsia="fr-FR" w:bidi="fr-FR"/>
        </w:rPr>
        <w:t>n</w:t>
      </w:r>
      <w:r w:rsidRPr="005D7D45">
        <w:rPr>
          <w:lang w:val="fr-FR" w:eastAsia="fr-FR" w:bidi="fr-FR"/>
        </w:rPr>
        <w:t xml:space="preserve">nel et le système </w:t>
      </w:r>
      <w:r w:rsidRPr="005D7D45">
        <w:t xml:space="preserve">(NSC, NSC </w:t>
      </w:r>
      <w:r w:rsidRPr="005D7D45">
        <w:rPr>
          <w:lang w:val="fr-FR" w:eastAsia="fr-FR" w:bidi="fr-FR"/>
        </w:rPr>
        <w:t xml:space="preserve">Staff et </w:t>
      </w:r>
      <w:r w:rsidRPr="005D7D45">
        <w:t xml:space="preserve">NSC </w:t>
      </w:r>
      <w:r w:rsidRPr="005D7D45">
        <w:rPr>
          <w:lang w:val="fr-FR" w:eastAsia="fr-FR" w:bidi="fr-FR"/>
        </w:rPr>
        <w:t>System). Voir sur ce point, Z</w:t>
      </w:r>
      <w:r w:rsidRPr="005D7D45">
        <w:rPr>
          <w:lang w:val="fr-FR" w:eastAsia="fr-FR" w:bidi="fr-FR"/>
        </w:rPr>
        <w:t>e</w:t>
      </w:r>
      <w:r w:rsidRPr="005D7D45">
        <w:rPr>
          <w:lang w:val="fr-FR" w:eastAsia="fr-FR" w:bidi="fr-FR"/>
        </w:rPr>
        <w:t xml:space="preserve">gart, </w:t>
      </w:r>
      <w:r w:rsidRPr="000C4024">
        <w:rPr>
          <w:i/>
          <w:iCs/>
        </w:rPr>
        <w:t>op. cit</w:t>
      </w:r>
      <w:r w:rsidRPr="005D7D45">
        <w:t>.,</w:t>
      </w:r>
      <w:r w:rsidRPr="005D7D45">
        <w:rPr>
          <w:lang w:val="fr-FR" w:eastAsia="fr-FR" w:bidi="fr-FR"/>
        </w:rPr>
        <w:t xml:space="preserve"> p. 253.</w:t>
      </w:r>
    </w:p>
  </w:footnote>
  <w:footnote w:id="467">
    <w:p w14:paraId="0F22248C" w14:textId="77777777" w:rsidR="0039793A" w:rsidRDefault="0039793A" w:rsidP="0039793A">
      <w:pPr>
        <w:pStyle w:val="Notedebasdepage"/>
      </w:pPr>
      <w:r>
        <w:rPr>
          <w:rStyle w:val="Appelnotedebasdep"/>
        </w:rPr>
        <w:footnoteRef/>
      </w:r>
      <w:r>
        <w:tab/>
      </w:r>
      <w:r w:rsidRPr="005D7D45">
        <w:rPr>
          <w:lang w:val="fr-FR" w:eastAsia="fr-FR" w:bidi="fr-FR"/>
        </w:rPr>
        <w:t xml:space="preserve">Le poste de </w:t>
      </w:r>
      <w:r w:rsidRPr="001F14BC">
        <w:rPr>
          <w:i/>
          <w:iCs/>
        </w:rPr>
        <w:t>Director of the Office of Civil and Defense Mobil</w:t>
      </w:r>
      <w:r w:rsidRPr="001F14BC">
        <w:rPr>
          <w:i/>
          <w:iCs/>
        </w:rPr>
        <w:t>i</w:t>
      </w:r>
      <w:r w:rsidRPr="001F14BC">
        <w:rPr>
          <w:i/>
          <w:iCs/>
        </w:rPr>
        <w:t>zation</w:t>
      </w:r>
      <w:r w:rsidRPr="005D7D45">
        <w:rPr>
          <w:lang w:val="fr-FR" w:eastAsia="fr-FR" w:bidi="fr-FR"/>
        </w:rPr>
        <w:t xml:space="preserve"> a été abandonné en 1973 et transféré au Pentagone.</w:t>
      </w:r>
    </w:p>
  </w:footnote>
  <w:footnote w:id="468">
    <w:p w14:paraId="2BE0C017" w14:textId="77777777" w:rsidR="0039793A" w:rsidRDefault="0039793A" w:rsidP="0039793A">
      <w:pPr>
        <w:pStyle w:val="Notedebasdepage"/>
      </w:pPr>
      <w:r>
        <w:rPr>
          <w:rStyle w:val="Appelnotedebasdep"/>
        </w:rPr>
        <w:footnoteRef/>
      </w:r>
      <w:r>
        <w:tab/>
      </w:r>
      <w:r w:rsidRPr="005D7D45">
        <w:rPr>
          <w:lang w:val="fr-FR" w:eastAsia="fr-FR" w:bidi="fr-FR"/>
        </w:rPr>
        <w:t xml:space="preserve">Plusieurs ont suggéré que ces conseillers deviennent des </w:t>
      </w:r>
      <w:r w:rsidRPr="001F14BC">
        <w:rPr>
          <w:i/>
          <w:iCs/>
        </w:rPr>
        <w:t>membres</w:t>
      </w:r>
      <w:r w:rsidRPr="005D7D45">
        <w:rPr>
          <w:lang w:val="fr-FR" w:eastAsia="fr-FR" w:bidi="fr-FR"/>
        </w:rPr>
        <w:t xml:space="preserve"> statuta</w:t>
      </w:r>
      <w:r w:rsidRPr="005D7D45">
        <w:rPr>
          <w:lang w:val="fr-FR" w:eastAsia="fr-FR" w:bidi="fr-FR"/>
        </w:rPr>
        <w:t>i</w:t>
      </w:r>
      <w:r w:rsidRPr="005D7D45">
        <w:rPr>
          <w:lang w:val="fr-FR" w:eastAsia="fr-FR" w:bidi="fr-FR"/>
        </w:rPr>
        <w:t xml:space="preserve">res, notamment le </w:t>
      </w:r>
      <w:r w:rsidRPr="005D7D45">
        <w:t>DC</w:t>
      </w:r>
      <w:r>
        <w:t>I</w:t>
      </w:r>
      <w:r w:rsidRPr="005D7D45">
        <w:t xml:space="preserve">. </w:t>
      </w:r>
      <w:r w:rsidRPr="005D7D45">
        <w:rPr>
          <w:lang w:val="fr-FR" w:eastAsia="fr-FR" w:bidi="fr-FR"/>
        </w:rPr>
        <w:t xml:space="preserve">Voir Loch Johnson, </w:t>
      </w:r>
      <w:r w:rsidRPr="001F14BC">
        <w:rPr>
          <w:i/>
          <w:iCs/>
        </w:rPr>
        <w:t>Bombs, Bugs, Drugs, and Thugs. Intelligence and America’s Quest for Security</w:t>
      </w:r>
      <w:r w:rsidRPr="005D7D45">
        <w:t>,</w:t>
      </w:r>
      <w:r w:rsidRPr="005D7D45">
        <w:rPr>
          <w:lang w:val="fr-FR" w:eastAsia="fr-FR" w:bidi="fr-FR"/>
        </w:rPr>
        <w:t xml:space="preserve"> New York, New York University Press, 2</w:t>
      </w:r>
      <w:r w:rsidRPr="005D7D45">
        <w:rPr>
          <w:vertAlign w:val="superscript"/>
          <w:lang w:val="fr-FR" w:eastAsia="fr-FR" w:bidi="fr-FR"/>
        </w:rPr>
        <w:t>e</w:t>
      </w:r>
      <w:r w:rsidRPr="005D7D45">
        <w:rPr>
          <w:lang w:val="fr-FR" w:eastAsia="fr-FR" w:bidi="fr-FR"/>
        </w:rPr>
        <w:t xml:space="preserve"> éd., 2002, p. 116.</w:t>
      </w:r>
    </w:p>
  </w:footnote>
  <w:footnote w:id="469">
    <w:p w14:paraId="6835F2CB" w14:textId="77777777" w:rsidR="0039793A" w:rsidRDefault="0039793A" w:rsidP="0039793A">
      <w:pPr>
        <w:pStyle w:val="Notedebasdepage"/>
      </w:pPr>
      <w:r>
        <w:rPr>
          <w:rStyle w:val="Appelnotedebasdep"/>
        </w:rPr>
        <w:footnoteRef/>
      </w:r>
      <w:r>
        <w:tab/>
      </w:r>
      <w:r w:rsidRPr="005D7D45">
        <w:rPr>
          <w:lang w:val="fr-FR" w:eastAsia="fr-FR" w:bidi="fr-FR"/>
        </w:rPr>
        <w:t xml:space="preserve">Zegart, </w:t>
      </w:r>
      <w:r w:rsidRPr="001F14BC">
        <w:rPr>
          <w:i/>
          <w:iCs/>
        </w:rPr>
        <w:t>op. cit</w:t>
      </w:r>
      <w:r w:rsidRPr="005D7D45">
        <w:t>.,</w:t>
      </w:r>
      <w:r w:rsidRPr="005D7D45">
        <w:rPr>
          <w:lang w:val="fr-FR" w:eastAsia="fr-FR" w:bidi="fr-FR"/>
        </w:rPr>
        <w:t xml:space="preserve"> p. 87.</w:t>
      </w:r>
    </w:p>
  </w:footnote>
  <w:footnote w:id="470">
    <w:p w14:paraId="78B037AD" w14:textId="77777777" w:rsidR="0039793A" w:rsidRDefault="0039793A" w:rsidP="0039793A">
      <w:pPr>
        <w:pStyle w:val="Notedebasdepage"/>
      </w:pPr>
      <w:r>
        <w:rPr>
          <w:rStyle w:val="Appelnotedebasdep"/>
        </w:rPr>
        <w:footnoteRef/>
      </w:r>
      <w:r>
        <w:tab/>
      </w:r>
      <w:r w:rsidRPr="00B740BD">
        <w:t xml:space="preserve">Voir la compilation opérée dans le document </w:t>
      </w:r>
      <w:r w:rsidRPr="00B740BD">
        <w:rPr>
          <w:i/>
        </w:rPr>
        <w:t>History of the National Secur</w:t>
      </w:r>
      <w:r w:rsidRPr="00B740BD">
        <w:rPr>
          <w:i/>
        </w:rPr>
        <w:t>i</w:t>
      </w:r>
      <w:r w:rsidRPr="00B740BD">
        <w:rPr>
          <w:i/>
        </w:rPr>
        <w:t>ty Council, 1947-1997</w:t>
      </w:r>
      <w:r w:rsidRPr="00B740BD">
        <w:t>, publié sur le site officiel de la Maison-Blanche, juin 2002.</w:t>
      </w:r>
    </w:p>
  </w:footnote>
  <w:footnote w:id="471">
    <w:p w14:paraId="1B54D133" w14:textId="77777777" w:rsidR="0039793A" w:rsidRDefault="0039793A" w:rsidP="0039793A">
      <w:pPr>
        <w:pStyle w:val="Notedebasdepage"/>
      </w:pPr>
      <w:r>
        <w:rPr>
          <w:rStyle w:val="Appelnotedebasdep"/>
        </w:rPr>
        <w:footnoteRef/>
      </w:r>
      <w:r>
        <w:tab/>
      </w:r>
      <w:r w:rsidRPr="005D7D45">
        <w:rPr>
          <w:lang w:val="fr-FR" w:eastAsia="fr-FR" w:bidi="fr-FR"/>
        </w:rPr>
        <w:t>Voir Frederick Hartmann et Robert Wendzel</w:t>
      </w:r>
      <w:r w:rsidRPr="001F14BC">
        <w:rPr>
          <w:lang w:val="fr-FR" w:eastAsia="fr-FR" w:bidi="fr-FR"/>
        </w:rPr>
        <w:t>,</w:t>
      </w:r>
      <w:r w:rsidRPr="001F14BC">
        <w:rPr>
          <w:i/>
          <w:iCs/>
          <w:lang w:val="fr-FR" w:eastAsia="fr-FR" w:bidi="fr-FR"/>
        </w:rPr>
        <w:t xml:space="preserve"> </w:t>
      </w:r>
      <w:r w:rsidRPr="001F14BC">
        <w:rPr>
          <w:i/>
          <w:iCs/>
        </w:rPr>
        <w:t>America’s Foreign Policy in a Changing World</w:t>
      </w:r>
      <w:r w:rsidRPr="005D7D45">
        <w:rPr>
          <w:lang w:val="fr-FR" w:eastAsia="fr-FR" w:bidi="fr-FR"/>
        </w:rPr>
        <w:t>, New York, Harper Colli</w:t>
      </w:r>
      <w:r>
        <w:rPr>
          <w:lang w:val="fr-FR" w:eastAsia="fr-FR" w:bidi="fr-FR"/>
        </w:rPr>
        <w:t>ns Publishers, 1994, p. 159-169.</w:t>
      </w:r>
    </w:p>
  </w:footnote>
  <w:footnote w:id="472">
    <w:p w14:paraId="1FEA53FE" w14:textId="77777777" w:rsidR="0039793A" w:rsidRDefault="0039793A" w:rsidP="0039793A">
      <w:pPr>
        <w:pStyle w:val="Notedebasdepage"/>
      </w:pPr>
      <w:r>
        <w:rPr>
          <w:rStyle w:val="Appelnotedebasdep"/>
        </w:rPr>
        <w:footnoteRef/>
      </w:r>
      <w:r>
        <w:tab/>
      </w:r>
      <w:r w:rsidRPr="00B740BD">
        <w:t xml:space="preserve">Sam Sarkesian et al., </w:t>
      </w:r>
      <w:r w:rsidRPr="00F151A8">
        <w:rPr>
          <w:i/>
          <w:iCs/>
        </w:rPr>
        <w:t>US National Security. Policymakers, Pr</w:t>
      </w:r>
      <w:r w:rsidRPr="00F151A8">
        <w:rPr>
          <w:i/>
          <w:iCs/>
        </w:rPr>
        <w:t>o</w:t>
      </w:r>
      <w:r w:rsidRPr="00F151A8">
        <w:rPr>
          <w:i/>
          <w:iCs/>
        </w:rPr>
        <w:t>cesses, and Politics</w:t>
      </w:r>
      <w:r w:rsidRPr="00B740BD">
        <w:t>, Boulder, Lynne Rienner, 3</w:t>
      </w:r>
      <w:r w:rsidRPr="00B740BD">
        <w:rPr>
          <w:vertAlign w:val="superscript"/>
        </w:rPr>
        <w:t>e</w:t>
      </w:r>
      <w:r>
        <w:t xml:space="preserve"> éd., 2002, p. 118-121 ; Ho</w:t>
      </w:r>
      <w:r w:rsidRPr="00B740BD">
        <w:t>ward Wia</w:t>
      </w:r>
      <w:r w:rsidRPr="00B740BD">
        <w:t>r</w:t>
      </w:r>
      <w:r w:rsidRPr="00B740BD">
        <w:t xml:space="preserve">da, </w:t>
      </w:r>
      <w:r w:rsidRPr="00F151A8">
        <w:rPr>
          <w:i/>
          <w:iCs/>
        </w:rPr>
        <w:t>American Foreign Policy. Actors and Processes</w:t>
      </w:r>
      <w:r w:rsidRPr="00B740BD">
        <w:t>, New York, Harper Co</w:t>
      </w:r>
      <w:r w:rsidRPr="00B740BD">
        <w:t>l</w:t>
      </w:r>
      <w:r w:rsidRPr="00B740BD">
        <w:t>lins, 1996, p. 245-247.</w:t>
      </w:r>
    </w:p>
  </w:footnote>
  <w:footnote w:id="473">
    <w:p w14:paraId="7BA4EF2B" w14:textId="77777777" w:rsidR="0039793A" w:rsidRDefault="0039793A" w:rsidP="0039793A">
      <w:pPr>
        <w:pStyle w:val="Notedebasdepage"/>
      </w:pPr>
      <w:r>
        <w:rPr>
          <w:rStyle w:val="Appelnotedebasdep"/>
        </w:rPr>
        <w:footnoteRef/>
      </w:r>
      <w:r>
        <w:tab/>
      </w:r>
      <w:r w:rsidRPr="005D7D45">
        <w:rPr>
          <w:lang w:val="fr-FR" w:eastAsia="fr-FR" w:bidi="fr-FR"/>
        </w:rPr>
        <w:t xml:space="preserve">Richelson, </w:t>
      </w:r>
      <w:r w:rsidRPr="00F151A8">
        <w:rPr>
          <w:i/>
          <w:iCs/>
        </w:rPr>
        <w:t>op. cit</w:t>
      </w:r>
      <w:r w:rsidRPr="005D7D45">
        <w:t>.</w:t>
      </w:r>
    </w:p>
  </w:footnote>
  <w:footnote w:id="474">
    <w:p w14:paraId="017831CC" w14:textId="77777777" w:rsidR="0039793A" w:rsidRDefault="0039793A" w:rsidP="0039793A">
      <w:pPr>
        <w:pStyle w:val="Notedebasdepage"/>
      </w:pPr>
      <w:r>
        <w:rPr>
          <w:rStyle w:val="Appelnotedebasdep"/>
        </w:rPr>
        <w:footnoteRef/>
      </w:r>
      <w:r>
        <w:tab/>
      </w:r>
      <w:r w:rsidRPr="005D7D45">
        <w:rPr>
          <w:lang w:val="fr-FR" w:eastAsia="fr-FR" w:bidi="fr-FR"/>
        </w:rPr>
        <w:t>Frederick Hartmann et Robert Wendzel fournissent une excellente descri</w:t>
      </w:r>
      <w:r w:rsidRPr="005D7D45">
        <w:rPr>
          <w:lang w:val="fr-FR" w:eastAsia="fr-FR" w:bidi="fr-FR"/>
        </w:rPr>
        <w:t>p</w:t>
      </w:r>
      <w:r w:rsidRPr="005D7D45">
        <w:rPr>
          <w:lang w:val="fr-FR" w:eastAsia="fr-FR" w:bidi="fr-FR"/>
        </w:rPr>
        <w:t>tion du fonctionnement des mécanismes menant à la formulation d’une pol</w:t>
      </w:r>
      <w:r w:rsidRPr="005D7D45">
        <w:rPr>
          <w:lang w:val="fr-FR" w:eastAsia="fr-FR" w:bidi="fr-FR"/>
        </w:rPr>
        <w:t>i</w:t>
      </w:r>
      <w:r w:rsidRPr="005D7D45">
        <w:rPr>
          <w:lang w:val="fr-FR" w:eastAsia="fr-FR" w:bidi="fr-FR"/>
        </w:rPr>
        <w:t xml:space="preserve">tique et d’une décision. </w:t>
      </w:r>
      <w:r w:rsidRPr="0056287B">
        <w:rPr>
          <w:i/>
          <w:iCs/>
        </w:rPr>
        <w:t>Defending America’s Security</w:t>
      </w:r>
      <w:r>
        <w:rPr>
          <w:lang w:val="fr-FR" w:eastAsia="fr-FR" w:bidi="fr-FR"/>
        </w:rPr>
        <w:t>, Washington, Per</w:t>
      </w:r>
      <w:r w:rsidRPr="005D7D45">
        <w:rPr>
          <w:lang w:val="fr-FR" w:eastAsia="fr-FR" w:bidi="fr-FR"/>
        </w:rPr>
        <w:t>g</w:t>
      </w:r>
      <w:r w:rsidRPr="005D7D45">
        <w:rPr>
          <w:lang w:val="fr-FR" w:eastAsia="fr-FR" w:bidi="fr-FR"/>
        </w:rPr>
        <w:t>a</w:t>
      </w:r>
      <w:r w:rsidRPr="005D7D45">
        <w:rPr>
          <w:lang w:val="fr-FR" w:eastAsia="fr-FR" w:bidi="fr-FR"/>
        </w:rPr>
        <w:t>mon Press, 1988, p. 116-131.</w:t>
      </w:r>
    </w:p>
  </w:footnote>
  <w:footnote w:id="475">
    <w:p w14:paraId="7B1B053F" w14:textId="77777777" w:rsidR="0039793A" w:rsidRDefault="0039793A" w:rsidP="0039793A">
      <w:pPr>
        <w:pStyle w:val="Notedebasdepage"/>
      </w:pPr>
      <w:r>
        <w:rPr>
          <w:rStyle w:val="Appelnotedebasdep"/>
        </w:rPr>
        <w:footnoteRef/>
      </w:r>
      <w:r>
        <w:tab/>
      </w:r>
      <w:r w:rsidRPr="005D7D45">
        <w:rPr>
          <w:lang w:val="fr-FR" w:eastAsia="fr-FR" w:bidi="fr-FR"/>
        </w:rPr>
        <w:t xml:space="preserve">Rosati, </w:t>
      </w:r>
      <w:r w:rsidRPr="0056287B">
        <w:rPr>
          <w:i/>
          <w:iCs/>
        </w:rPr>
        <w:t>op. cit</w:t>
      </w:r>
      <w:r w:rsidRPr="005D7D45">
        <w:t>.,</w:t>
      </w:r>
      <w:r w:rsidRPr="005D7D45">
        <w:rPr>
          <w:lang w:val="fr-FR" w:eastAsia="fr-FR" w:bidi="fr-FR"/>
        </w:rPr>
        <w:t xml:space="preserve"> p. 79-84.</w:t>
      </w:r>
    </w:p>
  </w:footnote>
  <w:footnote w:id="476">
    <w:p w14:paraId="56A52D2F" w14:textId="77777777" w:rsidR="0039793A" w:rsidRDefault="0039793A" w:rsidP="0039793A">
      <w:pPr>
        <w:pStyle w:val="Notedebasdepage"/>
      </w:pPr>
      <w:r>
        <w:rPr>
          <w:rStyle w:val="Appelnotedebasdep"/>
        </w:rPr>
        <w:footnoteRef/>
      </w:r>
      <w:r>
        <w:tab/>
      </w:r>
      <w:r w:rsidRPr="005D7D45">
        <w:rPr>
          <w:lang w:val="fr-FR" w:eastAsia="fr-FR" w:bidi="fr-FR"/>
        </w:rPr>
        <w:t xml:space="preserve">John Dumbrell, </w:t>
      </w:r>
      <w:r w:rsidRPr="0056287B">
        <w:rPr>
          <w:i/>
          <w:iCs/>
        </w:rPr>
        <w:t xml:space="preserve">The Making of US </w:t>
      </w:r>
      <w:r w:rsidRPr="0056287B">
        <w:rPr>
          <w:i/>
          <w:iCs/>
          <w:lang w:val="fr-FR" w:eastAsia="fr-FR" w:bidi="fr-FR"/>
        </w:rPr>
        <w:t>Foreign</w:t>
      </w:r>
      <w:r w:rsidRPr="0056287B">
        <w:rPr>
          <w:i/>
          <w:iCs/>
        </w:rPr>
        <w:t xml:space="preserve"> Policy</w:t>
      </w:r>
      <w:r w:rsidRPr="005D7D45">
        <w:t>,</w:t>
      </w:r>
      <w:r w:rsidRPr="005D7D45">
        <w:rPr>
          <w:lang w:val="fr-FR" w:eastAsia="fr-FR" w:bidi="fr-FR"/>
        </w:rPr>
        <w:t xml:space="preserve"> Manchester, Ma</w:t>
      </w:r>
      <w:r w:rsidRPr="005D7D45">
        <w:rPr>
          <w:lang w:val="fr-FR" w:eastAsia="fr-FR" w:bidi="fr-FR"/>
        </w:rPr>
        <w:t>n</w:t>
      </w:r>
      <w:r w:rsidRPr="005D7D45">
        <w:rPr>
          <w:lang w:val="fr-FR" w:eastAsia="fr-FR" w:bidi="fr-FR"/>
        </w:rPr>
        <w:t>chester University Press, 2</w:t>
      </w:r>
      <w:r w:rsidRPr="005D7D45">
        <w:rPr>
          <w:vertAlign w:val="superscript"/>
          <w:lang w:val="fr-FR" w:eastAsia="fr-FR" w:bidi="fr-FR"/>
        </w:rPr>
        <w:t>e</w:t>
      </w:r>
      <w:r w:rsidRPr="005D7D45">
        <w:rPr>
          <w:lang w:val="fr-FR" w:eastAsia="fr-FR" w:bidi="fr-FR"/>
        </w:rPr>
        <w:t xml:space="preserve"> éd., 1997, p. 88-93</w:t>
      </w:r>
      <w:r w:rsidRPr="005D7D45">
        <w:t> ;</w:t>
      </w:r>
      <w:r w:rsidRPr="005D7D45">
        <w:rPr>
          <w:lang w:val="fr-FR" w:eastAsia="fr-FR" w:bidi="fr-FR"/>
        </w:rPr>
        <w:t xml:space="preserve"> Hart, </w:t>
      </w:r>
      <w:r w:rsidRPr="0056287B">
        <w:rPr>
          <w:i/>
          <w:iCs/>
        </w:rPr>
        <w:t>op. cit</w:t>
      </w:r>
      <w:r w:rsidRPr="005D7D45">
        <w:t>.,</w:t>
      </w:r>
      <w:r w:rsidRPr="005D7D45">
        <w:rPr>
          <w:lang w:val="fr-FR" w:eastAsia="fr-FR" w:bidi="fr-FR"/>
        </w:rPr>
        <w:t xml:space="preserve"> p. 73, 78-80.</w:t>
      </w:r>
    </w:p>
  </w:footnote>
  <w:footnote w:id="477">
    <w:p w14:paraId="19C34DA7" w14:textId="77777777" w:rsidR="0039793A" w:rsidRDefault="0039793A" w:rsidP="0039793A">
      <w:pPr>
        <w:pStyle w:val="Notedebasdepage"/>
      </w:pPr>
      <w:r>
        <w:rPr>
          <w:rStyle w:val="Appelnotedebasdep"/>
        </w:rPr>
        <w:footnoteRef/>
      </w:r>
      <w:r>
        <w:tab/>
      </w:r>
      <w:r w:rsidRPr="005D7D45">
        <w:rPr>
          <w:lang w:val="fr-FR" w:eastAsia="fr-FR" w:bidi="fr-FR"/>
        </w:rPr>
        <w:t xml:space="preserve">Andrew Preston, </w:t>
      </w:r>
      <w:r w:rsidRPr="005D7D45">
        <w:t>« </w:t>
      </w:r>
      <w:r w:rsidRPr="005D7D45">
        <w:rPr>
          <w:lang w:val="fr-FR" w:eastAsia="fr-FR" w:bidi="fr-FR"/>
        </w:rPr>
        <w:t>The Little State Depar</w:t>
      </w:r>
      <w:r w:rsidRPr="005D7D45">
        <w:rPr>
          <w:lang w:val="fr-FR" w:eastAsia="fr-FR" w:bidi="fr-FR"/>
        </w:rPr>
        <w:t>t</w:t>
      </w:r>
      <w:r w:rsidRPr="005D7D45">
        <w:rPr>
          <w:lang w:val="fr-FR" w:eastAsia="fr-FR" w:bidi="fr-FR"/>
        </w:rPr>
        <w:t>ment</w:t>
      </w:r>
      <w:r w:rsidRPr="005D7D45">
        <w:t> :</w:t>
      </w:r>
      <w:r w:rsidRPr="005D7D45">
        <w:rPr>
          <w:lang w:val="fr-FR" w:eastAsia="fr-FR" w:bidi="fr-FR"/>
        </w:rPr>
        <w:t xml:space="preserve"> McGeorge Bundy and the National Security Council Staff</w:t>
      </w:r>
      <w:r w:rsidRPr="005D7D45">
        <w:t> »</w:t>
      </w:r>
      <w:r w:rsidRPr="005D7D45">
        <w:rPr>
          <w:lang w:val="fr-FR" w:eastAsia="fr-FR" w:bidi="fr-FR"/>
        </w:rPr>
        <w:t xml:space="preserve">, </w:t>
      </w:r>
      <w:r w:rsidRPr="0056287B">
        <w:rPr>
          <w:i/>
          <w:iCs/>
        </w:rPr>
        <w:t>Presidential Studies Quarterly</w:t>
      </w:r>
      <w:r w:rsidRPr="005D7D45">
        <w:t>,</w:t>
      </w:r>
      <w:r w:rsidRPr="005D7D45">
        <w:rPr>
          <w:lang w:val="fr-FR" w:eastAsia="fr-FR" w:bidi="fr-FR"/>
        </w:rPr>
        <w:t xml:space="preserve"> 31, d</w:t>
      </w:r>
      <w:r w:rsidRPr="005D7D45">
        <w:rPr>
          <w:lang w:val="fr-FR" w:eastAsia="fr-FR" w:bidi="fr-FR"/>
        </w:rPr>
        <w:t>é</w:t>
      </w:r>
      <w:r w:rsidRPr="005D7D45">
        <w:rPr>
          <w:lang w:val="fr-FR" w:eastAsia="fr-FR" w:bidi="fr-FR"/>
        </w:rPr>
        <w:t>cembre 2001, p. 635-659</w:t>
      </w:r>
      <w:r w:rsidRPr="005D7D45">
        <w:t> ;</w:t>
      </w:r>
      <w:r w:rsidRPr="005D7D45">
        <w:rPr>
          <w:lang w:val="fr-FR" w:eastAsia="fr-FR" w:bidi="fr-FR"/>
        </w:rPr>
        <w:t xml:space="preserve"> Kevin Mulcahy, </w:t>
      </w:r>
      <w:r w:rsidRPr="005D7D45">
        <w:t>« </w:t>
      </w:r>
      <w:r w:rsidRPr="005D7D45">
        <w:rPr>
          <w:lang w:val="fr-FR" w:eastAsia="fr-FR" w:bidi="fr-FR"/>
        </w:rPr>
        <w:t>Walt Rostow as National S</w:t>
      </w:r>
      <w:r w:rsidRPr="005D7D45">
        <w:rPr>
          <w:lang w:val="fr-FR" w:eastAsia="fr-FR" w:bidi="fr-FR"/>
        </w:rPr>
        <w:t>e</w:t>
      </w:r>
      <w:r w:rsidRPr="005D7D45">
        <w:rPr>
          <w:lang w:val="fr-FR" w:eastAsia="fr-FR" w:bidi="fr-FR"/>
        </w:rPr>
        <w:t>curity Advisor</w:t>
      </w:r>
      <w:r w:rsidRPr="005D7D45">
        <w:t> »</w:t>
      </w:r>
      <w:r w:rsidRPr="005D7D45">
        <w:rPr>
          <w:lang w:val="fr-FR" w:eastAsia="fr-FR" w:bidi="fr-FR"/>
        </w:rPr>
        <w:t xml:space="preserve">, </w:t>
      </w:r>
      <w:r w:rsidRPr="0056287B">
        <w:rPr>
          <w:i/>
          <w:iCs/>
        </w:rPr>
        <w:t>Presidential Studies Quarte</w:t>
      </w:r>
      <w:r w:rsidRPr="0056287B">
        <w:rPr>
          <w:i/>
          <w:iCs/>
        </w:rPr>
        <w:t>r</w:t>
      </w:r>
      <w:r w:rsidRPr="0056287B">
        <w:rPr>
          <w:i/>
          <w:iCs/>
        </w:rPr>
        <w:t>ly</w:t>
      </w:r>
      <w:r w:rsidRPr="005D7D45">
        <w:rPr>
          <w:lang w:val="fr-FR" w:eastAsia="fr-FR" w:bidi="fr-FR"/>
        </w:rPr>
        <w:t>, 25, printemps 1995, p. 223-236.</w:t>
      </w:r>
    </w:p>
  </w:footnote>
  <w:footnote w:id="478">
    <w:p w14:paraId="7486B085" w14:textId="77777777" w:rsidR="0039793A" w:rsidRDefault="0039793A" w:rsidP="0039793A">
      <w:pPr>
        <w:pStyle w:val="Notedebasdepage"/>
      </w:pPr>
      <w:r>
        <w:rPr>
          <w:rStyle w:val="Appelnotedebasdep"/>
        </w:rPr>
        <w:footnoteRef/>
      </w:r>
      <w:r>
        <w:tab/>
      </w:r>
      <w:r w:rsidRPr="005D7D45">
        <w:rPr>
          <w:lang w:val="fr-FR" w:eastAsia="fr-FR" w:bidi="fr-FR"/>
        </w:rPr>
        <w:t xml:space="preserve">Vincent Auger, </w:t>
      </w:r>
      <w:r w:rsidRPr="005D7D45">
        <w:t>« </w:t>
      </w:r>
      <w:r w:rsidRPr="005D7D45">
        <w:rPr>
          <w:lang w:val="fr-FR" w:eastAsia="fr-FR" w:bidi="fr-FR"/>
        </w:rPr>
        <w:t>The National Security Council System After the Cold War</w:t>
      </w:r>
      <w:r w:rsidRPr="005D7D45">
        <w:t> »</w:t>
      </w:r>
      <w:r w:rsidRPr="005D7D45">
        <w:rPr>
          <w:lang w:val="fr-FR" w:eastAsia="fr-FR" w:bidi="fr-FR"/>
        </w:rPr>
        <w:t xml:space="preserve">, dans James Lindsay (ed.), </w:t>
      </w:r>
      <w:r w:rsidRPr="0056287B">
        <w:rPr>
          <w:i/>
          <w:iCs/>
        </w:rPr>
        <w:t>US Foreign Policy After the Cold War</w:t>
      </w:r>
      <w:r w:rsidRPr="005D7D45">
        <w:t>,</w:t>
      </w:r>
      <w:r w:rsidRPr="005D7D45">
        <w:rPr>
          <w:lang w:val="fr-FR" w:eastAsia="fr-FR" w:bidi="fr-FR"/>
        </w:rPr>
        <w:t xml:space="preserve"> Pittsburgh, University of Pittsburgh Press, 1997, p. 46-48</w:t>
      </w:r>
      <w:r w:rsidRPr="005D7D45">
        <w:t> ;</w:t>
      </w:r>
      <w:r w:rsidRPr="005D7D45">
        <w:rPr>
          <w:lang w:val="fr-FR" w:eastAsia="fr-FR" w:bidi="fr-FR"/>
        </w:rPr>
        <w:t xml:space="preserve"> John Rourke, Ralph Carter et Mark Boyer, </w:t>
      </w:r>
      <w:r w:rsidRPr="0056287B">
        <w:rPr>
          <w:i/>
          <w:iCs/>
        </w:rPr>
        <w:t>Making American F</w:t>
      </w:r>
      <w:r w:rsidRPr="0056287B">
        <w:rPr>
          <w:i/>
          <w:iCs/>
        </w:rPr>
        <w:t>o</w:t>
      </w:r>
      <w:r w:rsidRPr="0056287B">
        <w:rPr>
          <w:i/>
          <w:iCs/>
        </w:rPr>
        <w:t>reign Policy</w:t>
      </w:r>
      <w:r w:rsidRPr="005D7D45">
        <w:t>,</w:t>
      </w:r>
      <w:r w:rsidRPr="005D7D45">
        <w:rPr>
          <w:lang w:val="fr-FR" w:eastAsia="fr-FR" w:bidi="fr-FR"/>
        </w:rPr>
        <w:t xml:space="preserve"> Guilford, Brown and Benchmark, 2</w:t>
      </w:r>
      <w:r w:rsidRPr="0056287B">
        <w:rPr>
          <w:vertAlign w:val="superscript"/>
          <w:lang w:val="fr-FR" w:eastAsia="fr-FR" w:bidi="fr-FR"/>
        </w:rPr>
        <w:t>e</w:t>
      </w:r>
      <w:r>
        <w:rPr>
          <w:vertAlign w:val="superscript"/>
          <w:lang w:val="fr-FR" w:eastAsia="fr-FR" w:bidi="fr-FR"/>
        </w:rPr>
        <w:t xml:space="preserve"> </w:t>
      </w:r>
      <w:r w:rsidRPr="005D7D45">
        <w:rPr>
          <w:lang w:val="fr-FR" w:eastAsia="fr-FR" w:bidi="fr-FR"/>
        </w:rPr>
        <w:t>éd., 1996, p. 291-294</w:t>
      </w:r>
      <w:r w:rsidRPr="005D7D45">
        <w:t> ;</w:t>
      </w:r>
      <w:r w:rsidRPr="005D7D45">
        <w:rPr>
          <w:lang w:val="fr-FR" w:eastAsia="fr-FR" w:bidi="fr-FR"/>
        </w:rPr>
        <w:t xml:space="preserve"> Sarkesian et al., </w:t>
      </w:r>
      <w:r w:rsidRPr="0056287B">
        <w:rPr>
          <w:i/>
          <w:iCs/>
        </w:rPr>
        <w:t>op. cit</w:t>
      </w:r>
      <w:r w:rsidRPr="005D7D45">
        <w:t>.,</w:t>
      </w:r>
      <w:r w:rsidRPr="005D7D45">
        <w:rPr>
          <w:lang w:val="fr-FR" w:eastAsia="fr-FR" w:bidi="fr-FR"/>
        </w:rPr>
        <w:t xml:space="preserve"> p. 116-118</w:t>
      </w:r>
      <w:r w:rsidRPr="005D7D45">
        <w:t> ;</w:t>
      </w:r>
      <w:r w:rsidRPr="005D7D45">
        <w:rPr>
          <w:lang w:val="fr-FR" w:eastAsia="fr-FR" w:bidi="fr-FR"/>
        </w:rPr>
        <w:t xml:space="preserve"> Wiarda, </w:t>
      </w:r>
      <w:r w:rsidRPr="0056287B">
        <w:rPr>
          <w:i/>
          <w:iCs/>
        </w:rPr>
        <w:t>op. cit</w:t>
      </w:r>
      <w:r w:rsidRPr="005D7D45">
        <w:t>.,</w:t>
      </w:r>
      <w:r w:rsidRPr="005D7D45">
        <w:rPr>
          <w:lang w:val="fr-FR" w:eastAsia="fr-FR" w:bidi="fr-FR"/>
        </w:rPr>
        <w:t xml:space="preserve"> p. 261.</w:t>
      </w:r>
    </w:p>
  </w:footnote>
  <w:footnote w:id="479">
    <w:p w14:paraId="6E2EC8A3" w14:textId="77777777" w:rsidR="0039793A" w:rsidRDefault="0039793A" w:rsidP="0039793A">
      <w:pPr>
        <w:pStyle w:val="Notedebasdepage"/>
      </w:pPr>
      <w:r>
        <w:rPr>
          <w:rStyle w:val="Appelnotedebasdep"/>
        </w:rPr>
        <w:footnoteRef/>
      </w:r>
      <w:r>
        <w:tab/>
      </w:r>
      <w:r w:rsidRPr="005D7D45">
        <w:t xml:space="preserve">Voir Charles-Philippe David et al., </w:t>
      </w:r>
      <w:r w:rsidRPr="00EB1271">
        <w:rPr>
          <w:i/>
          <w:iCs/>
          <w:lang w:val="fr-FR" w:eastAsia="fr-FR" w:bidi="fr-FR"/>
        </w:rPr>
        <w:t>Foreign Policy Failure in the White House</w:t>
      </w:r>
      <w:r w:rsidRPr="00EB1271">
        <w:rPr>
          <w:i/>
          <w:iCs/>
        </w:rPr>
        <w:t> :</w:t>
      </w:r>
      <w:r w:rsidRPr="00EB1271">
        <w:rPr>
          <w:i/>
          <w:iCs/>
          <w:lang w:val="fr-FR" w:eastAsia="fr-FR" w:bidi="fr-FR"/>
        </w:rPr>
        <w:t xml:space="preserve"> Reappraising the Fall of the Shah and the Iran-Contra Affair</w:t>
      </w:r>
      <w:r w:rsidRPr="005D7D45">
        <w:rPr>
          <w:lang w:val="fr-FR" w:eastAsia="fr-FR" w:bidi="fr-FR"/>
        </w:rPr>
        <w:t>,</w:t>
      </w:r>
      <w:r w:rsidRPr="005D7D45">
        <w:t xml:space="preserve"> La</w:t>
      </w:r>
      <w:r w:rsidRPr="005D7D45">
        <w:t>n</w:t>
      </w:r>
      <w:r w:rsidRPr="005D7D45">
        <w:t>ham, University Press of America, 1993, 191 p.</w:t>
      </w:r>
    </w:p>
  </w:footnote>
  <w:footnote w:id="480">
    <w:p w14:paraId="13D40BD4" w14:textId="77777777" w:rsidR="0039793A" w:rsidRDefault="0039793A" w:rsidP="0039793A">
      <w:pPr>
        <w:pStyle w:val="Notedebasdepage"/>
      </w:pPr>
      <w:r>
        <w:rPr>
          <w:rStyle w:val="Appelnotedebasdep"/>
        </w:rPr>
        <w:footnoteRef/>
      </w:r>
      <w:r>
        <w:tab/>
      </w:r>
      <w:r w:rsidRPr="005D7D45">
        <w:rPr>
          <w:lang w:val="fr-FR" w:eastAsia="fr-FR" w:bidi="fr-FR"/>
        </w:rPr>
        <w:t xml:space="preserve">Alexander George et Eric Stern, </w:t>
      </w:r>
      <w:r w:rsidRPr="005D7D45">
        <w:t>« </w:t>
      </w:r>
      <w:r w:rsidRPr="005D7D45">
        <w:rPr>
          <w:lang w:val="fr-FR" w:eastAsia="fr-FR" w:bidi="fr-FR"/>
        </w:rPr>
        <w:t>Harnessing Conflict in F</w:t>
      </w:r>
      <w:r w:rsidRPr="005D7D45">
        <w:rPr>
          <w:lang w:val="fr-FR" w:eastAsia="fr-FR" w:bidi="fr-FR"/>
        </w:rPr>
        <w:t>o</w:t>
      </w:r>
      <w:r w:rsidRPr="005D7D45">
        <w:rPr>
          <w:lang w:val="fr-FR" w:eastAsia="fr-FR" w:bidi="fr-FR"/>
        </w:rPr>
        <w:t>reign Policy-Making</w:t>
      </w:r>
      <w:r w:rsidRPr="005D7D45">
        <w:t> :</w:t>
      </w:r>
      <w:r w:rsidRPr="005D7D45">
        <w:rPr>
          <w:lang w:val="fr-FR" w:eastAsia="fr-FR" w:bidi="fr-FR"/>
        </w:rPr>
        <w:t xml:space="preserve"> From Devil’s to Multiple Advocacy</w:t>
      </w:r>
      <w:r w:rsidRPr="005D7D45">
        <w:t> »</w:t>
      </w:r>
      <w:r w:rsidRPr="005D7D45">
        <w:rPr>
          <w:lang w:val="fr-FR" w:eastAsia="fr-FR" w:bidi="fr-FR"/>
        </w:rPr>
        <w:t xml:space="preserve">, </w:t>
      </w:r>
      <w:r w:rsidRPr="00EB1271">
        <w:rPr>
          <w:i/>
          <w:iCs/>
        </w:rPr>
        <w:t>Presidential Studies Qua</w:t>
      </w:r>
      <w:r w:rsidRPr="00EB1271">
        <w:rPr>
          <w:i/>
          <w:iCs/>
        </w:rPr>
        <w:t>r</w:t>
      </w:r>
      <w:r w:rsidRPr="00EB1271">
        <w:rPr>
          <w:i/>
          <w:iCs/>
        </w:rPr>
        <w:t>terly</w:t>
      </w:r>
      <w:r w:rsidRPr="005D7D45">
        <w:t xml:space="preserve">, </w:t>
      </w:r>
      <w:r w:rsidRPr="005D7D45">
        <w:rPr>
          <w:lang w:val="fr-FR" w:eastAsia="fr-FR" w:bidi="fr-FR"/>
        </w:rPr>
        <w:t>32, septembre 2002, p. 484-508</w:t>
      </w:r>
      <w:r w:rsidRPr="005D7D45">
        <w:t> ;</w:t>
      </w:r>
      <w:r w:rsidRPr="005D7D45">
        <w:rPr>
          <w:lang w:val="fr-FR" w:eastAsia="fr-FR" w:bidi="fr-FR"/>
        </w:rPr>
        <w:t xml:space="preserve"> Jean Ga</w:t>
      </w:r>
      <w:r w:rsidRPr="005D7D45">
        <w:rPr>
          <w:lang w:val="fr-FR" w:eastAsia="fr-FR" w:bidi="fr-FR"/>
        </w:rPr>
        <w:t>r</w:t>
      </w:r>
      <w:r w:rsidRPr="005D7D45">
        <w:rPr>
          <w:lang w:val="fr-FR" w:eastAsia="fr-FR" w:bidi="fr-FR"/>
        </w:rPr>
        <w:t xml:space="preserve">rison, </w:t>
      </w:r>
      <w:r w:rsidRPr="00EB1271">
        <w:rPr>
          <w:i/>
          <w:iCs/>
        </w:rPr>
        <w:t>Games Advisors Play : Foreign Policy in the Nixon and Carter Adm</w:t>
      </w:r>
      <w:r w:rsidRPr="00EB1271">
        <w:rPr>
          <w:i/>
          <w:iCs/>
        </w:rPr>
        <w:t>i</w:t>
      </w:r>
      <w:r w:rsidRPr="00EB1271">
        <w:rPr>
          <w:i/>
          <w:iCs/>
        </w:rPr>
        <w:t>nistrations</w:t>
      </w:r>
      <w:r w:rsidRPr="005D7D45">
        <w:rPr>
          <w:lang w:val="fr-FR" w:eastAsia="fr-FR" w:bidi="fr-FR"/>
        </w:rPr>
        <w:t>, College Park, Texas A &amp; M University Press, 1999, 192 p.</w:t>
      </w:r>
      <w:r w:rsidRPr="005D7D45">
        <w:t> ;</w:t>
      </w:r>
      <w:r w:rsidRPr="005D7D45">
        <w:rPr>
          <w:lang w:val="fr-FR" w:eastAsia="fr-FR" w:bidi="fr-FR"/>
        </w:rPr>
        <w:t xml:space="preserve"> Kegley et Wittkopf, </w:t>
      </w:r>
      <w:r w:rsidRPr="00EB1271">
        <w:rPr>
          <w:i/>
          <w:iCs/>
        </w:rPr>
        <w:t>op. cit</w:t>
      </w:r>
      <w:r w:rsidRPr="005D7D45">
        <w:t>.,</w:t>
      </w:r>
      <w:r w:rsidRPr="005D7D45">
        <w:rPr>
          <w:lang w:val="fr-FR" w:eastAsia="fr-FR" w:bidi="fr-FR"/>
        </w:rPr>
        <w:t xml:space="preserve"> p. 354-355.</w:t>
      </w:r>
    </w:p>
  </w:footnote>
  <w:footnote w:id="481">
    <w:p w14:paraId="48D68C2C" w14:textId="77777777" w:rsidR="0039793A" w:rsidRDefault="0039793A" w:rsidP="0039793A">
      <w:pPr>
        <w:pStyle w:val="Notedebasdepage"/>
      </w:pPr>
      <w:r>
        <w:rPr>
          <w:rStyle w:val="Appelnotedebasdep"/>
        </w:rPr>
        <w:footnoteRef/>
      </w:r>
      <w:r>
        <w:tab/>
      </w:r>
      <w:r w:rsidRPr="005D7D45">
        <w:rPr>
          <w:lang w:val="fr-FR" w:eastAsia="fr-FR" w:bidi="fr-FR"/>
        </w:rPr>
        <w:t xml:space="preserve">Zegart, </w:t>
      </w:r>
      <w:r w:rsidRPr="000815B9">
        <w:rPr>
          <w:i/>
          <w:iCs/>
        </w:rPr>
        <w:t>op. cit</w:t>
      </w:r>
      <w:r w:rsidRPr="005D7D45">
        <w:t>.,</w:t>
      </w:r>
      <w:r w:rsidRPr="005D7D45">
        <w:rPr>
          <w:lang w:val="fr-FR" w:eastAsia="fr-FR" w:bidi="fr-FR"/>
        </w:rPr>
        <w:t xml:space="preserve"> p. 94-108.</w:t>
      </w:r>
    </w:p>
  </w:footnote>
  <w:footnote w:id="482">
    <w:p w14:paraId="69CC4AC0" w14:textId="77777777" w:rsidR="0039793A" w:rsidRDefault="0039793A" w:rsidP="0039793A">
      <w:pPr>
        <w:pStyle w:val="Notedebasdepage"/>
      </w:pPr>
      <w:r>
        <w:rPr>
          <w:rStyle w:val="Appelnotedebasdep"/>
        </w:rPr>
        <w:footnoteRef/>
      </w:r>
      <w:r>
        <w:tab/>
      </w:r>
      <w:r w:rsidRPr="005D7D45">
        <w:rPr>
          <w:lang w:val="fr-FR" w:eastAsia="fr-FR" w:bidi="fr-FR"/>
        </w:rPr>
        <w:t xml:space="preserve">Preston, </w:t>
      </w:r>
      <w:r w:rsidRPr="000815B9">
        <w:rPr>
          <w:i/>
          <w:iCs/>
        </w:rPr>
        <w:t>op. cit</w:t>
      </w:r>
      <w:r w:rsidRPr="005D7D45">
        <w:t>.,</w:t>
      </w:r>
      <w:r w:rsidRPr="005D7D45">
        <w:rPr>
          <w:lang w:val="fr-FR" w:eastAsia="fr-FR" w:bidi="fr-FR"/>
        </w:rPr>
        <w:t xml:space="preserve"> p. 8-9 et 14-15</w:t>
      </w:r>
      <w:r w:rsidRPr="005D7D45">
        <w:t> ;</w:t>
      </w:r>
      <w:r w:rsidRPr="005D7D45">
        <w:rPr>
          <w:lang w:val="fr-FR" w:eastAsia="fr-FR" w:bidi="fr-FR"/>
        </w:rPr>
        <w:t xml:space="preserve"> Mulcahy, </w:t>
      </w:r>
      <w:r w:rsidRPr="000815B9">
        <w:rPr>
          <w:i/>
          <w:iCs/>
        </w:rPr>
        <w:t>op. cit</w:t>
      </w:r>
      <w:r w:rsidRPr="005D7D45">
        <w:t>.,</w:t>
      </w:r>
      <w:r w:rsidRPr="005D7D45">
        <w:rPr>
          <w:lang w:val="fr-FR" w:eastAsia="fr-FR" w:bidi="fr-FR"/>
        </w:rPr>
        <w:t xml:space="preserve"> p. 4-5 et 7.</w:t>
      </w:r>
    </w:p>
  </w:footnote>
  <w:footnote w:id="483">
    <w:p w14:paraId="5D5C8EA0" w14:textId="77777777" w:rsidR="0039793A" w:rsidRDefault="0039793A" w:rsidP="0039793A">
      <w:pPr>
        <w:pStyle w:val="Notedebasdepage"/>
      </w:pPr>
      <w:r>
        <w:rPr>
          <w:rStyle w:val="Appelnotedebasdep"/>
        </w:rPr>
        <w:footnoteRef/>
      </w:r>
      <w:r>
        <w:tab/>
      </w:r>
      <w:r w:rsidRPr="005D7D45">
        <w:rPr>
          <w:lang w:val="fr-FR" w:eastAsia="fr-FR" w:bidi="fr-FR"/>
        </w:rPr>
        <w:t xml:space="preserve">David Halberstam, </w:t>
      </w:r>
      <w:r w:rsidRPr="000815B9">
        <w:rPr>
          <w:i/>
          <w:iCs/>
        </w:rPr>
        <w:t>The Best and the Brightest</w:t>
      </w:r>
      <w:r w:rsidRPr="005D7D45">
        <w:t>,</w:t>
      </w:r>
      <w:r w:rsidRPr="005D7D45">
        <w:rPr>
          <w:lang w:val="fr-FR" w:eastAsia="fr-FR" w:bidi="fr-FR"/>
        </w:rPr>
        <w:t xml:space="preserve"> New York, Ra</w:t>
      </w:r>
      <w:r w:rsidRPr="005D7D45">
        <w:rPr>
          <w:lang w:val="fr-FR" w:eastAsia="fr-FR" w:bidi="fr-FR"/>
        </w:rPr>
        <w:t>n</w:t>
      </w:r>
      <w:r w:rsidRPr="005D7D45">
        <w:rPr>
          <w:lang w:val="fr-FR" w:eastAsia="fr-FR" w:bidi="fr-FR"/>
        </w:rPr>
        <w:t>dom House, 2</w:t>
      </w:r>
      <w:r w:rsidRPr="007602FA">
        <w:rPr>
          <w:vertAlign w:val="superscript"/>
          <w:lang w:val="fr-FR" w:eastAsia="fr-FR" w:bidi="fr-FR"/>
        </w:rPr>
        <w:t>e</w:t>
      </w:r>
      <w:r>
        <w:rPr>
          <w:lang w:val="fr-FR" w:eastAsia="fr-FR" w:bidi="fr-FR"/>
        </w:rPr>
        <w:t xml:space="preserve"> </w:t>
      </w:r>
      <w:r w:rsidRPr="005D7D45">
        <w:rPr>
          <w:lang w:val="fr-FR" w:eastAsia="fr-FR" w:bidi="fr-FR"/>
        </w:rPr>
        <w:t>éd</w:t>
      </w:r>
      <w:r>
        <w:rPr>
          <w:lang w:val="fr-FR" w:eastAsia="fr-FR" w:bidi="fr-FR"/>
        </w:rPr>
        <w:t>.</w:t>
      </w:r>
      <w:r w:rsidRPr="005D7D45">
        <w:rPr>
          <w:lang w:val="fr-FR" w:eastAsia="fr-FR" w:bidi="fr-FR"/>
        </w:rPr>
        <w:t xml:space="preserve"> 2001,780 p.</w:t>
      </w:r>
    </w:p>
  </w:footnote>
  <w:footnote w:id="484">
    <w:p w14:paraId="42D87906" w14:textId="77777777" w:rsidR="0039793A" w:rsidRDefault="0039793A" w:rsidP="0039793A">
      <w:pPr>
        <w:pStyle w:val="Notedebasdepage"/>
      </w:pPr>
      <w:r>
        <w:rPr>
          <w:rStyle w:val="Appelnotedebasdep"/>
        </w:rPr>
        <w:footnoteRef/>
      </w:r>
      <w:r>
        <w:tab/>
      </w:r>
      <w:r w:rsidRPr="005D7D45">
        <w:rPr>
          <w:lang w:val="fr-FR" w:eastAsia="fr-FR" w:bidi="fr-FR"/>
        </w:rPr>
        <w:t xml:space="preserve">Stephen Hess et James Pfiffner, </w:t>
      </w:r>
      <w:r w:rsidRPr="00E076DA">
        <w:rPr>
          <w:i/>
          <w:iCs/>
        </w:rPr>
        <w:t>Organizing the Presidency</w:t>
      </w:r>
      <w:r w:rsidRPr="005D7D45">
        <w:t>,</w:t>
      </w:r>
      <w:r w:rsidRPr="005D7D45">
        <w:rPr>
          <w:lang w:val="fr-FR" w:eastAsia="fr-FR" w:bidi="fr-FR"/>
        </w:rPr>
        <w:t xml:space="preserve"> Washington, The Brookings Institution, 3</w:t>
      </w:r>
      <w:r w:rsidRPr="00480FAF">
        <w:rPr>
          <w:vertAlign w:val="superscript"/>
          <w:lang w:val="fr-FR" w:eastAsia="fr-FR" w:bidi="fr-FR"/>
        </w:rPr>
        <w:t>è</w:t>
      </w:r>
      <w:r w:rsidRPr="005D7D45">
        <w:rPr>
          <w:lang w:val="fr-FR" w:eastAsia="fr-FR" w:bidi="fr-FR"/>
        </w:rPr>
        <w:t xml:space="preserve"> éd., 2002, 294 p.</w:t>
      </w:r>
      <w:r w:rsidRPr="005D7D45">
        <w:t> ;</w:t>
      </w:r>
      <w:r w:rsidRPr="005D7D45">
        <w:rPr>
          <w:lang w:val="fr-FR" w:eastAsia="fr-FR" w:bidi="fr-FR"/>
        </w:rPr>
        <w:t xml:space="preserve"> Bert Roc</w:t>
      </w:r>
      <w:r w:rsidRPr="005D7D45">
        <w:rPr>
          <w:lang w:val="fr-FR" w:eastAsia="fr-FR" w:bidi="fr-FR"/>
        </w:rPr>
        <w:t>k</w:t>
      </w:r>
      <w:r w:rsidRPr="005D7D45">
        <w:rPr>
          <w:lang w:val="fr-FR" w:eastAsia="fr-FR" w:bidi="fr-FR"/>
        </w:rPr>
        <w:t xml:space="preserve">man, </w:t>
      </w:r>
      <w:r w:rsidRPr="005D7D45">
        <w:t>« </w:t>
      </w:r>
      <w:r w:rsidRPr="005D7D45">
        <w:rPr>
          <w:lang w:val="fr-FR" w:eastAsia="fr-FR" w:bidi="fr-FR"/>
        </w:rPr>
        <w:t>Staffing and Organizing the Presidency</w:t>
      </w:r>
      <w:r w:rsidRPr="005D7D45">
        <w:t> »</w:t>
      </w:r>
      <w:r w:rsidRPr="005D7D45">
        <w:rPr>
          <w:lang w:val="fr-FR" w:eastAsia="fr-FR" w:bidi="fr-FR"/>
        </w:rPr>
        <w:t xml:space="preserve">, dans Robert Shapiro et al., </w:t>
      </w:r>
      <w:r w:rsidRPr="00E076DA">
        <w:rPr>
          <w:i/>
          <w:iCs/>
        </w:rPr>
        <w:t>Pr</w:t>
      </w:r>
      <w:r>
        <w:rPr>
          <w:i/>
          <w:iCs/>
        </w:rPr>
        <w:t>e</w:t>
      </w:r>
      <w:r w:rsidRPr="00E076DA">
        <w:rPr>
          <w:i/>
          <w:iCs/>
        </w:rPr>
        <w:t>sidential Power - Fo</w:t>
      </w:r>
      <w:r w:rsidRPr="00E076DA">
        <w:rPr>
          <w:i/>
          <w:iCs/>
        </w:rPr>
        <w:t>r</w:t>
      </w:r>
      <w:r w:rsidRPr="00E076DA">
        <w:rPr>
          <w:i/>
          <w:iCs/>
        </w:rPr>
        <w:t>ging the Presidency for the Twenty-First Century</w:t>
      </w:r>
      <w:r w:rsidRPr="005D7D45">
        <w:rPr>
          <w:lang w:val="fr-FR" w:eastAsia="fr-FR" w:bidi="fr-FR"/>
        </w:rPr>
        <w:t>, New York, Columbia University Press, 2000, p. 159-177</w:t>
      </w:r>
      <w:r w:rsidRPr="005D7D45">
        <w:t> ;</w:t>
      </w:r>
      <w:r w:rsidRPr="005D7D45">
        <w:rPr>
          <w:lang w:val="fr-FR" w:eastAsia="fr-FR" w:bidi="fr-FR"/>
        </w:rPr>
        <w:t xml:space="preserve"> Ivo Daalder et Irving Destler, </w:t>
      </w:r>
      <w:r w:rsidRPr="005D7D45">
        <w:t>« </w:t>
      </w:r>
      <w:r w:rsidRPr="005D7D45">
        <w:rPr>
          <w:lang w:val="fr-FR" w:eastAsia="fr-FR" w:bidi="fr-FR"/>
        </w:rPr>
        <w:t xml:space="preserve">A New </w:t>
      </w:r>
      <w:r w:rsidRPr="005D7D45">
        <w:t xml:space="preserve">NSC </w:t>
      </w:r>
      <w:r w:rsidRPr="005D7D45">
        <w:rPr>
          <w:lang w:val="fr-FR" w:eastAsia="fr-FR" w:bidi="fr-FR"/>
        </w:rPr>
        <w:t>for a New Adm</w:t>
      </w:r>
      <w:r w:rsidRPr="005D7D45">
        <w:rPr>
          <w:lang w:val="fr-FR" w:eastAsia="fr-FR" w:bidi="fr-FR"/>
        </w:rPr>
        <w:t>i</w:t>
      </w:r>
      <w:r w:rsidRPr="005D7D45">
        <w:rPr>
          <w:lang w:val="fr-FR" w:eastAsia="fr-FR" w:bidi="fr-FR"/>
        </w:rPr>
        <w:t>nistration</w:t>
      </w:r>
      <w:r w:rsidRPr="005D7D45">
        <w:t> »</w:t>
      </w:r>
      <w:r w:rsidRPr="005D7D45">
        <w:rPr>
          <w:lang w:val="fr-FR" w:eastAsia="fr-FR" w:bidi="fr-FR"/>
        </w:rPr>
        <w:t xml:space="preserve">, </w:t>
      </w:r>
      <w:r w:rsidRPr="00E076DA">
        <w:rPr>
          <w:i/>
          <w:iCs/>
        </w:rPr>
        <w:t>Policy Brief</w:t>
      </w:r>
      <w:r>
        <w:rPr>
          <w:lang w:val="fr-FR" w:eastAsia="fr-FR" w:bidi="fr-FR"/>
        </w:rPr>
        <w:t>,</w:t>
      </w:r>
      <w:r w:rsidRPr="005D7D45">
        <w:rPr>
          <w:lang w:val="fr-FR" w:eastAsia="fr-FR" w:bidi="fr-FR"/>
        </w:rPr>
        <w:t xml:space="preserve"> 68, novembre 2000, 12 p.</w:t>
      </w:r>
      <w:r w:rsidRPr="005D7D45">
        <w:t> ;</w:t>
      </w:r>
      <w:r w:rsidRPr="005D7D45">
        <w:rPr>
          <w:lang w:val="fr-FR" w:eastAsia="fr-FR" w:bidi="fr-FR"/>
        </w:rPr>
        <w:t xml:space="preserve"> Auger, </w:t>
      </w:r>
      <w:r w:rsidRPr="00E076DA">
        <w:rPr>
          <w:i/>
          <w:iCs/>
        </w:rPr>
        <w:t>op. cit</w:t>
      </w:r>
      <w:r w:rsidRPr="005D7D45">
        <w:t>.,</w:t>
      </w:r>
      <w:r w:rsidRPr="005D7D45">
        <w:rPr>
          <w:lang w:val="fr-FR" w:eastAsia="fr-FR" w:bidi="fr-FR"/>
        </w:rPr>
        <w:t xml:space="preserve"> p. 44-45</w:t>
      </w:r>
      <w:r w:rsidRPr="005D7D45">
        <w:t> ;</w:t>
      </w:r>
      <w:r w:rsidRPr="005D7D45">
        <w:rPr>
          <w:lang w:val="fr-FR" w:eastAsia="fr-FR" w:bidi="fr-FR"/>
        </w:rPr>
        <w:t xml:space="preserve"> Sarkesian et al., </w:t>
      </w:r>
      <w:r w:rsidRPr="00E076DA">
        <w:rPr>
          <w:i/>
          <w:iCs/>
        </w:rPr>
        <w:t>op. cit</w:t>
      </w:r>
      <w:r w:rsidRPr="005D7D45">
        <w:t>.,</w:t>
      </w:r>
      <w:r w:rsidRPr="005D7D45">
        <w:rPr>
          <w:lang w:val="fr-FR" w:eastAsia="fr-FR" w:bidi="fr-FR"/>
        </w:rPr>
        <w:t xml:space="preserve"> p. 121-122.</w:t>
      </w:r>
    </w:p>
  </w:footnote>
  <w:footnote w:id="485">
    <w:p w14:paraId="05A7C069" w14:textId="77777777" w:rsidR="0039793A" w:rsidRDefault="0039793A" w:rsidP="0039793A">
      <w:pPr>
        <w:pStyle w:val="Notedebasdepage"/>
      </w:pPr>
      <w:r>
        <w:rPr>
          <w:rStyle w:val="Appelnotedebasdep"/>
        </w:rPr>
        <w:footnoteRef/>
      </w:r>
      <w:r>
        <w:tab/>
      </w:r>
      <w:r w:rsidRPr="005D7D45">
        <w:rPr>
          <w:lang w:val="fr-FR" w:eastAsia="fr-FR" w:bidi="fr-FR"/>
        </w:rPr>
        <w:t xml:space="preserve">Rosati, </w:t>
      </w:r>
      <w:r w:rsidRPr="009C4E39">
        <w:rPr>
          <w:i/>
          <w:iCs/>
        </w:rPr>
        <w:t>op. cit</w:t>
      </w:r>
      <w:r w:rsidRPr="005D7D45">
        <w:t>.,</w:t>
      </w:r>
      <w:r w:rsidRPr="005D7D45">
        <w:rPr>
          <w:lang w:val="fr-FR" w:eastAsia="fr-FR" w:bidi="fr-FR"/>
        </w:rPr>
        <w:t xml:space="preserve"> p. 84-102</w:t>
      </w:r>
      <w:r w:rsidRPr="005D7D45">
        <w:t> ;</w:t>
      </w:r>
      <w:r w:rsidRPr="005D7D45">
        <w:rPr>
          <w:lang w:val="fr-FR" w:eastAsia="fr-FR" w:bidi="fr-FR"/>
        </w:rPr>
        <w:t xml:space="preserve"> Zegart, </w:t>
      </w:r>
      <w:r w:rsidRPr="009C4E39">
        <w:rPr>
          <w:i/>
          <w:iCs/>
        </w:rPr>
        <w:t>op. cit</w:t>
      </w:r>
      <w:r w:rsidRPr="005D7D45">
        <w:t>.,</w:t>
      </w:r>
      <w:r w:rsidRPr="005D7D45">
        <w:rPr>
          <w:lang w:val="fr-FR" w:eastAsia="fr-FR" w:bidi="fr-FR"/>
        </w:rPr>
        <w:t xml:space="preserve"> p. 76-108. Voir aussi Fred Greenstein, </w:t>
      </w:r>
      <w:r w:rsidRPr="009C4E39">
        <w:rPr>
          <w:i/>
          <w:iCs/>
        </w:rPr>
        <w:t>The Preside</w:t>
      </w:r>
      <w:r w:rsidRPr="009C4E39">
        <w:rPr>
          <w:i/>
          <w:iCs/>
        </w:rPr>
        <w:t>n</w:t>
      </w:r>
      <w:r w:rsidRPr="009C4E39">
        <w:rPr>
          <w:i/>
          <w:iCs/>
        </w:rPr>
        <w:t>tial Diff</w:t>
      </w:r>
      <w:r>
        <w:rPr>
          <w:i/>
          <w:iCs/>
        </w:rPr>
        <w:t>e</w:t>
      </w:r>
      <w:r w:rsidRPr="009C4E39">
        <w:rPr>
          <w:i/>
          <w:iCs/>
        </w:rPr>
        <w:t>rence — Leadership Style</w:t>
      </w:r>
      <w:r>
        <w:rPr>
          <w:i/>
          <w:iCs/>
        </w:rPr>
        <w:t xml:space="preserve"> </w:t>
      </w:r>
      <w:r w:rsidRPr="009C4E39">
        <w:rPr>
          <w:i/>
          <w:iCs/>
        </w:rPr>
        <w:t>fro</w:t>
      </w:r>
      <w:r>
        <w:rPr>
          <w:i/>
          <w:iCs/>
        </w:rPr>
        <w:t>m</w:t>
      </w:r>
      <w:r w:rsidRPr="009C4E39">
        <w:rPr>
          <w:i/>
          <w:iCs/>
        </w:rPr>
        <w:t xml:space="preserve"> FDR</w:t>
      </w:r>
      <w:r w:rsidRPr="009C4E39">
        <w:rPr>
          <w:rStyle w:val="Notedebasdepage65ptItalique"/>
          <w:i w:val="0"/>
          <w:iCs w:val="0"/>
        </w:rPr>
        <w:t xml:space="preserve"> </w:t>
      </w:r>
      <w:r w:rsidRPr="009C4E39">
        <w:rPr>
          <w:i/>
          <w:iCs/>
        </w:rPr>
        <w:t>to Clinton</w:t>
      </w:r>
      <w:r w:rsidRPr="005D7D45">
        <w:t xml:space="preserve">, </w:t>
      </w:r>
      <w:r w:rsidRPr="005D7D45">
        <w:rPr>
          <w:lang w:val="fr-FR" w:eastAsia="fr-FR" w:bidi="fr-FR"/>
        </w:rPr>
        <w:t>Princeton, Princeton University Press, 2001, 293 p.</w:t>
      </w:r>
      <w:r w:rsidRPr="005D7D45">
        <w:t> ;</w:t>
      </w:r>
      <w:r w:rsidRPr="005D7D45">
        <w:rPr>
          <w:lang w:val="fr-FR" w:eastAsia="fr-FR" w:bidi="fr-FR"/>
        </w:rPr>
        <w:t xml:space="preserve"> Alexander George et Eric Stem, </w:t>
      </w:r>
      <w:r w:rsidRPr="005D7D45">
        <w:t>« </w:t>
      </w:r>
      <w:r w:rsidRPr="005D7D45">
        <w:rPr>
          <w:lang w:val="fr-FR" w:eastAsia="fr-FR" w:bidi="fr-FR"/>
        </w:rPr>
        <w:t>Presidential Management Styles and Models</w:t>
      </w:r>
      <w:r w:rsidRPr="005D7D45">
        <w:t> »</w:t>
      </w:r>
      <w:r w:rsidRPr="005D7D45">
        <w:rPr>
          <w:lang w:val="fr-FR" w:eastAsia="fr-FR" w:bidi="fr-FR"/>
        </w:rPr>
        <w:t xml:space="preserve">, dans Juliette et Alexander George, </w:t>
      </w:r>
      <w:r w:rsidRPr="009C4E39">
        <w:rPr>
          <w:i/>
          <w:iCs/>
        </w:rPr>
        <w:t>Presidential Pers</w:t>
      </w:r>
      <w:r w:rsidRPr="009C4E39">
        <w:rPr>
          <w:i/>
          <w:iCs/>
        </w:rPr>
        <w:t>o</w:t>
      </w:r>
      <w:r w:rsidRPr="009C4E39">
        <w:rPr>
          <w:i/>
          <w:iCs/>
        </w:rPr>
        <w:t>nality and Performance</w:t>
      </w:r>
      <w:r w:rsidRPr="005D7D45">
        <w:t>,</w:t>
      </w:r>
      <w:r w:rsidRPr="005D7D45">
        <w:rPr>
          <w:lang w:val="fr-FR" w:eastAsia="fr-FR" w:bidi="fr-FR"/>
        </w:rPr>
        <w:t xml:space="preserve"> Boulder, Westview Press, 1998, p. 199-280</w:t>
      </w:r>
      <w:r w:rsidRPr="005D7D45">
        <w:t> ;</w:t>
      </w:r>
      <w:r w:rsidRPr="005D7D45">
        <w:rPr>
          <w:lang w:val="fr-FR" w:eastAsia="fr-FR" w:bidi="fr-FR"/>
        </w:rPr>
        <w:t xml:space="preserve"> Donald Snow et Eugene Brown, </w:t>
      </w:r>
      <w:r w:rsidRPr="009C4E39">
        <w:rPr>
          <w:i/>
          <w:iCs/>
        </w:rPr>
        <w:t>Puzzle Palaces and Foggy Bottom. US</w:t>
      </w:r>
      <w:r w:rsidRPr="009C4E39">
        <w:rPr>
          <w:rStyle w:val="Notedebasdepage65ptItalique"/>
          <w:i w:val="0"/>
          <w:iCs w:val="0"/>
        </w:rPr>
        <w:t xml:space="preserve"> </w:t>
      </w:r>
      <w:r w:rsidRPr="009C4E39">
        <w:rPr>
          <w:i/>
          <w:iCs/>
        </w:rPr>
        <w:t>F</w:t>
      </w:r>
      <w:r w:rsidRPr="009C4E39">
        <w:rPr>
          <w:i/>
          <w:iCs/>
        </w:rPr>
        <w:t>o</w:t>
      </w:r>
      <w:r w:rsidRPr="009C4E39">
        <w:rPr>
          <w:i/>
          <w:iCs/>
        </w:rPr>
        <w:t>reign and Defense Policy-Making</w:t>
      </w:r>
      <w:r w:rsidRPr="005D7D45">
        <w:t>,</w:t>
      </w:r>
      <w:r w:rsidRPr="005D7D45">
        <w:rPr>
          <w:lang w:val="fr-FR" w:eastAsia="fr-FR" w:bidi="fr-FR"/>
        </w:rPr>
        <w:t xml:space="preserve"> New York, St. Martin’s Press, 1994, p. 46-64</w:t>
      </w:r>
      <w:r w:rsidRPr="005D7D45">
        <w:t> ;</w:t>
      </w:r>
      <w:r w:rsidRPr="005D7D45">
        <w:rPr>
          <w:lang w:val="fr-FR" w:eastAsia="fr-FR" w:bidi="fr-FR"/>
        </w:rPr>
        <w:t xml:space="preserve"> James Nathan et James Oliver, </w:t>
      </w:r>
      <w:r w:rsidRPr="009C4E39">
        <w:rPr>
          <w:i/>
          <w:iCs/>
        </w:rPr>
        <w:t>Foreign Policy Making and the American Political System</w:t>
      </w:r>
      <w:r w:rsidRPr="005D7D45">
        <w:t>,</w:t>
      </w:r>
      <w:r w:rsidRPr="005D7D45">
        <w:rPr>
          <w:lang w:val="fr-FR" w:eastAsia="fr-FR" w:bidi="fr-FR"/>
        </w:rPr>
        <w:t xml:space="preserve"> Baltimore, Johns Hopkins University Press,</w:t>
      </w:r>
      <w:r>
        <w:rPr>
          <w:lang w:val="fr-FR" w:eastAsia="fr-FR" w:bidi="fr-FR"/>
        </w:rPr>
        <w:t xml:space="preserve"> 3</w:t>
      </w:r>
      <w:r w:rsidRPr="001710A1">
        <w:rPr>
          <w:vertAlign w:val="superscript"/>
          <w:lang w:val="fr-FR" w:eastAsia="fr-FR" w:bidi="fr-FR"/>
        </w:rPr>
        <w:t>e</w:t>
      </w:r>
      <w:r>
        <w:rPr>
          <w:lang w:val="fr-FR" w:eastAsia="fr-FR" w:bidi="fr-FR"/>
        </w:rPr>
        <w:t xml:space="preserve"> </w:t>
      </w:r>
      <w:r w:rsidRPr="005D7D45">
        <w:t>éd., 1994, p. 29-71 ; et J</w:t>
      </w:r>
      <w:r w:rsidRPr="005D7D45">
        <w:t>o</w:t>
      </w:r>
      <w:r w:rsidRPr="005D7D45">
        <w:t xml:space="preserve">seph Bock, </w:t>
      </w:r>
      <w:r w:rsidRPr="009C4E39">
        <w:rPr>
          <w:i/>
          <w:iCs/>
          <w:lang w:val="fr-FR" w:eastAsia="fr-FR" w:bidi="fr-FR"/>
        </w:rPr>
        <w:t>The White House Staff and the National Security Assistant</w:t>
      </w:r>
      <w:r w:rsidRPr="009C4E39">
        <w:rPr>
          <w:i/>
          <w:iCs/>
        </w:rPr>
        <w:t> :</w:t>
      </w:r>
      <w:r w:rsidRPr="009C4E39">
        <w:rPr>
          <w:i/>
          <w:iCs/>
          <w:lang w:val="fr-FR" w:eastAsia="fr-FR" w:bidi="fr-FR"/>
        </w:rPr>
        <w:t xml:space="preserve"> Friendship and Friction at the W</w:t>
      </w:r>
      <w:r w:rsidRPr="009C4E39">
        <w:rPr>
          <w:i/>
          <w:iCs/>
          <w:lang w:val="fr-FR" w:eastAsia="fr-FR" w:bidi="fr-FR"/>
        </w:rPr>
        <w:t>a</w:t>
      </w:r>
      <w:r w:rsidRPr="009C4E39">
        <w:rPr>
          <w:i/>
          <w:iCs/>
          <w:lang w:val="fr-FR" w:eastAsia="fr-FR" w:bidi="fr-FR"/>
        </w:rPr>
        <w:t>ter’s Edge</w:t>
      </w:r>
      <w:r w:rsidRPr="005D7D45">
        <w:rPr>
          <w:lang w:val="fr-FR" w:eastAsia="fr-FR" w:bidi="fr-FR"/>
        </w:rPr>
        <w:t>,</w:t>
      </w:r>
      <w:r w:rsidRPr="005D7D45">
        <w:t xml:space="preserve"> New York, Praeger, 1987, 226 p.</w:t>
      </w:r>
    </w:p>
  </w:footnote>
  <w:footnote w:id="486">
    <w:p w14:paraId="0F8D3ED6" w14:textId="77777777" w:rsidR="0039793A" w:rsidRDefault="0039793A" w:rsidP="0039793A">
      <w:pPr>
        <w:pStyle w:val="Notedebasdepage"/>
      </w:pPr>
      <w:r>
        <w:rPr>
          <w:rStyle w:val="Appelnotedebasdep"/>
        </w:rPr>
        <w:footnoteRef/>
      </w:r>
      <w:r>
        <w:tab/>
      </w:r>
      <w:r w:rsidRPr="001710A1">
        <w:t>Dean A</w:t>
      </w:r>
      <w:r>
        <w:t xml:space="preserve">cheson, </w:t>
      </w:r>
      <w:r w:rsidRPr="00973C1D">
        <w:rPr>
          <w:i/>
          <w:iCs/>
        </w:rPr>
        <w:t>Pr</w:t>
      </w:r>
      <w:r>
        <w:rPr>
          <w:i/>
          <w:iCs/>
        </w:rPr>
        <w:t>e</w:t>
      </w:r>
      <w:r w:rsidRPr="00973C1D">
        <w:rPr>
          <w:i/>
          <w:iCs/>
        </w:rPr>
        <w:t>sent at the Creation : my Years in the State Department</w:t>
      </w:r>
      <w:r w:rsidRPr="001710A1">
        <w:t>, New York, 1969, 798 p.</w:t>
      </w:r>
    </w:p>
  </w:footnote>
  <w:footnote w:id="487">
    <w:p w14:paraId="38B03E2E" w14:textId="77777777" w:rsidR="0039793A" w:rsidRDefault="0039793A" w:rsidP="0039793A">
      <w:pPr>
        <w:pStyle w:val="Notedebasdepage"/>
      </w:pPr>
      <w:r>
        <w:rPr>
          <w:rStyle w:val="Appelnotedebasdep"/>
        </w:rPr>
        <w:footnoteRef/>
      </w:r>
      <w:r>
        <w:tab/>
      </w:r>
      <w:r w:rsidRPr="005D7D45">
        <w:rPr>
          <w:lang w:val="fr-FR" w:eastAsia="fr-FR" w:bidi="fr-FR"/>
        </w:rPr>
        <w:t xml:space="preserve">Ils ont pourtant joué un rôle déterminant pour l’avenir du </w:t>
      </w:r>
      <w:r w:rsidRPr="005D7D45">
        <w:t xml:space="preserve">NSC. </w:t>
      </w:r>
      <w:r w:rsidRPr="005D7D45">
        <w:rPr>
          <w:lang w:val="fr-FR" w:eastAsia="fr-FR" w:bidi="fr-FR"/>
        </w:rPr>
        <w:t>En effet, Souers et Lay choisi</w:t>
      </w:r>
      <w:r w:rsidRPr="005D7D45">
        <w:rPr>
          <w:lang w:val="fr-FR" w:eastAsia="fr-FR" w:bidi="fr-FR"/>
        </w:rPr>
        <w:t>s</w:t>
      </w:r>
      <w:r w:rsidRPr="005D7D45">
        <w:rPr>
          <w:lang w:val="fr-FR" w:eastAsia="fr-FR" w:bidi="fr-FR"/>
        </w:rPr>
        <w:t>sent d’établir la petite organisation d’une vingtaine de hauts fonctionnaires, détachés par les départ</w:t>
      </w:r>
      <w:r w:rsidRPr="005D7D45">
        <w:rPr>
          <w:lang w:val="fr-FR" w:eastAsia="fr-FR" w:bidi="fr-FR"/>
        </w:rPr>
        <w:t>e</w:t>
      </w:r>
      <w:r w:rsidRPr="005D7D45">
        <w:rPr>
          <w:lang w:val="fr-FR" w:eastAsia="fr-FR" w:bidi="fr-FR"/>
        </w:rPr>
        <w:t>ments d’État et de la Défense, dans un édifice à proximité de la Maison-Blanche plutôt que d’accepter l’invitation du premier secrétaire à la Défense, James Forrestal, de s’installer au Pent</w:t>
      </w:r>
      <w:r w:rsidRPr="005D7D45">
        <w:rPr>
          <w:lang w:val="fr-FR" w:eastAsia="fr-FR" w:bidi="fr-FR"/>
        </w:rPr>
        <w:t>a</w:t>
      </w:r>
      <w:r w:rsidRPr="005D7D45">
        <w:rPr>
          <w:lang w:val="fr-FR" w:eastAsia="fr-FR" w:bidi="fr-FR"/>
        </w:rPr>
        <w:t>gone. Cette décision va s’avérer cruciale dans le développement des fonctions et de la mi</w:t>
      </w:r>
      <w:r w:rsidRPr="005D7D45">
        <w:rPr>
          <w:lang w:val="fr-FR" w:eastAsia="fr-FR" w:bidi="fr-FR"/>
        </w:rPr>
        <w:t>s</w:t>
      </w:r>
      <w:r w:rsidRPr="005D7D45">
        <w:rPr>
          <w:lang w:val="fr-FR" w:eastAsia="fr-FR" w:bidi="fr-FR"/>
        </w:rPr>
        <w:t xml:space="preserve">sion du personnel du </w:t>
      </w:r>
      <w:r w:rsidRPr="005D7D45">
        <w:t>NSC.</w:t>
      </w:r>
    </w:p>
  </w:footnote>
  <w:footnote w:id="488">
    <w:p w14:paraId="5C4E4B84" w14:textId="77777777" w:rsidR="0039793A" w:rsidRDefault="0039793A" w:rsidP="0039793A">
      <w:pPr>
        <w:pStyle w:val="Notedebasdepage"/>
      </w:pPr>
      <w:r>
        <w:rPr>
          <w:rStyle w:val="Appelnotedebasdep"/>
        </w:rPr>
        <w:footnoteRef/>
      </w:r>
      <w:r>
        <w:tab/>
      </w:r>
      <w:r w:rsidRPr="001C2E2B">
        <w:rPr>
          <w:lang w:eastAsia="fr-FR" w:bidi="fr-FR"/>
        </w:rPr>
        <w:t xml:space="preserve">Preston, </w:t>
      </w:r>
      <w:r w:rsidRPr="00EE346E">
        <w:rPr>
          <w:i/>
          <w:iCs/>
        </w:rPr>
        <w:t>op. cit</w:t>
      </w:r>
      <w:r w:rsidRPr="001C2E2B">
        <w:t>.,</w:t>
      </w:r>
      <w:r w:rsidRPr="001C2E2B">
        <w:rPr>
          <w:lang w:eastAsia="fr-FR" w:bidi="fr-FR"/>
        </w:rPr>
        <w:t xml:space="preserve"> p. 643.</w:t>
      </w:r>
    </w:p>
  </w:footnote>
  <w:footnote w:id="489">
    <w:p w14:paraId="42B3FADE" w14:textId="77777777" w:rsidR="0039793A" w:rsidRDefault="0039793A" w:rsidP="0039793A">
      <w:pPr>
        <w:pStyle w:val="Notedebasdepage"/>
      </w:pPr>
      <w:r>
        <w:rPr>
          <w:rStyle w:val="Appelnotedebasdep"/>
        </w:rPr>
        <w:footnoteRef/>
      </w:r>
      <w:r>
        <w:tab/>
      </w:r>
      <w:r w:rsidRPr="001C2E2B">
        <w:rPr>
          <w:lang w:eastAsia="fr-FR" w:bidi="fr-FR"/>
        </w:rPr>
        <w:t xml:space="preserve">Mulcahy, </w:t>
      </w:r>
      <w:r w:rsidRPr="00EE346E">
        <w:rPr>
          <w:i/>
          <w:iCs/>
        </w:rPr>
        <w:t>op. cit</w:t>
      </w:r>
      <w:r w:rsidRPr="001C2E2B">
        <w:t>.</w:t>
      </w:r>
    </w:p>
  </w:footnote>
  <w:footnote w:id="490">
    <w:p w14:paraId="0DABF06A" w14:textId="77777777" w:rsidR="0039793A" w:rsidRDefault="0039793A" w:rsidP="0039793A">
      <w:pPr>
        <w:pStyle w:val="Notedebasdepage"/>
      </w:pPr>
      <w:r>
        <w:rPr>
          <w:rStyle w:val="Appelnotedebasdep"/>
        </w:rPr>
        <w:footnoteRef/>
      </w:r>
      <w:r>
        <w:tab/>
      </w:r>
      <w:r w:rsidRPr="001710A1">
        <w:t>Kevin Mulcahy, «</w:t>
      </w:r>
      <w:r>
        <w:t> </w:t>
      </w:r>
      <w:r w:rsidRPr="001710A1">
        <w:t>Rethinking Groupthink</w:t>
      </w:r>
      <w:r>
        <w:t> </w:t>
      </w:r>
      <w:r w:rsidRPr="001710A1">
        <w:t>: Walt Rostow and the National Security Advisory Process in the Johnson Administration</w:t>
      </w:r>
      <w:r>
        <w:t> </w:t>
      </w:r>
      <w:r w:rsidRPr="001710A1">
        <w:t xml:space="preserve">», </w:t>
      </w:r>
      <w:r w:rsidRPr="001710A1">
        <w:rPr>
          <w:i/>
        </w:rPr>
        <w:t>Presidential Studies Quarterly</w:t>
      </w:r>
      <w:r w:rsidRPr="001710A1">
        <w:t>, 25, printemps 1995, p. 237-251.</w:t>
      </w:r>
    </w:p>
  </w:footnote>
  <w:footnote w:id="491">
    <w:p w14:paraId="1832DD37" w14:textId="77777777" w:rsidR="0039793A" w:rsidRDefault="0039793A" w:rsidP="0039793A">
      <w:pPr>
        <w:pStyle w:val="Notedebasdepage"/>
      </w:pPr>
      <w:r>
        <w:rPr>
          <w:rStyle w:val="Appelnotedebasdep"/>
        </w:rPr>
        <w:footnoteRef/>
      </w:r>
      <w:r>
        <w:tab/>
      </w:r>
      <w:r w:rsidRPr="005D7D45">
        <w:rPr>
          <w:lang w:val="fr-FR" w:eastAsia="fr-FR" w:bidi="fr-FR"/>
        </w:rPr>
        <w:t>Kissinger ne manquait pas de confiance en soi, il était même a</w:t>
      </w:r>
      <w:r w:rsidRPr="005D7D45">
        <w:rPr>
          <w:lang w:val="fr-FR" w:eastAsia="fr-FR" w:bidi="fr-FR"/>
        </w:rPr>
        <w:t>s</w:t>
      </w:r>
      <w:r w:rsidRPr="005D7D45">
        <w:rPr>
          <w:lang w:val="fr-FR" w:eastAsia="fr-FR" w:bidi="fr-FR"/>
        </w:rPr>
        <w:t>sez suffisant. À la question qui lui est posée le 12 octobre 1973 (un mois après sa nomin</w:t>
      </w:r>
      <w:r w:rsidRPr="005D7D45">
        <w:rPr>
          <w:lang w:val="fr-FR" w:eastAsia="fr-FR" w:bidi="fr-FR"/>
        </w:rPr>
        <w:t>a</w:t>
      </w:r>
      <w:r w:rsidRPr="005D7D45">
        <w:rPr>
          <w:lang w:val="fr-FR" w:eastAsia="fr-FR" w:bidi="fr-FR"/>
        </w:rPr>
        <w:t>tion comme secrétaire d’État), en pleine guerre du Kippour</w:t>
      </w:r>
      <w:r w:rsidRPr="005D7D45">
        <w:t> :</w:t>
      </w:r>
      <w:r w:rsidRPr="005D7D45">
        <w:rPr>
          <w:lang w:val="fr-FR" w:eastAsia="fr-FR" w:bidi="fr-FR"/>
        </w:rPr>
        <w:t xml:space="preserve"> </w:t>
      </w:r>
      <w:r w:rsidRPr="005D7D45">
        <w:t>« </w:t>
      </w:r>
      <w:r w:rsidRPr="005D7D45">
        <w:rPr>
          <w:lang w:val="fr-FR" w:eastAsia="fr-FR" w:bidi="fr-FR"/>
        </w:rPr>
        <w:t>en tant que conseiller pour la sécurité nationale, co</w:t>
      </w:r>
      <w:r w:rsidRPr="005D7D45">
        <w:rPr>
          <w:lang w:val="fr-FR" w:eastAsia="fr-FR" w:bidi="fr-FR"/>
        </w:rPr>
        <w:t>m</w:t>
      </w:r>
      <w:r w:rsidRPr="005D7D45">
        <w:rPr>
          <w:lang w:val="fr-FR" w:eastAsia="fr-FR" w:bidi="fr-FR"/>
        </w:rPr>
        <w:t>ment, Dr Kissinger, évaluez-vous la gestion de la crise par le Dépa</w:t>
      </w:r>
      <w:r w:rsidRPr="005D7D45">
        <w:rPr>
          <w:lang w:val="fr-FR" w:eastAsia="fr-FR" w:bidi="fr-FR"/>
        </w:rPr>
        <w:t>r</w:t>
      </w:r>
      <w:r w:rsidRPr="005D7D45">
        <w:rPr>
          <w:lang w:val="fr-FR" w:eastAsia="fr-FR" w:bidi="fr-FR"/>
        </w:rPr>
        <w:t>tement d’État</w:t>
      </w:r>
      <w:r w:rsidRPr="005D7D45">
        <w:t> ? »</w:t>
      </w:r>
      <w:r w:rsidRPr="005D7D45">
        <w:rPr>
          <w:lang w:val="fr-FR" w:eastAsia="fr-FR" w:bidi="fr-FR"/>
        </w:rPr>
        <w:t xml:space="preserve">, Kissinger avait répondu, par boutade, </w:t>
      </w:r>
      <w:r w:rsidRPr="005D7D45">
        <w:t>« </w:t>
      </w:r>
      <w:r w:rsidRPr="005D7D45">
        <w:rPr>
          <w:lang w:val="fr-FR" w:eastAsia="fr-FR" w:bidi="fr-FR"/>
        </w:rPr>
        <w:t>nous so</w:t>
      </w:r>
      <w:r w:rsidRPr="005D7D45">
        <w:rPr>
          <w:lang w:val="fr-FR" w:eastAsia="fr-FR" w:bidi="fr-FR"/>
        </w:rPr>
        <w:t>m</w:t>
      </w:r>
      <w:r w:rsidRPr="005D7D45">
        <w:rPr>
          <w:lang w:val="fr-FR" w:eastAsia="fr-FR" w:bidi="fr-FR"/>
        </w:rPr>
        <w:t>mes très impressionnés, à la Maison-Blanche, par le leadership dont bénéficie le Département d’État</w:t>
      </w:r>
      <w:r w:rsidRPr="005D7D45">
        <w:t> »</w:t>
      </w:r>
      <w:r w:rsidRPr="005D7D45">
        <w:rPr>
          <w:lang w:val="fr-FR" w:eastAsia="fr-FR" w:bidi="fr-FR"/>
        </w:rPr>
        <w:t>. Cité dans Nathan et Ol</w:t>
      </w:r>
      <w:r w:rsidRPr="005D7D45">
        <w:rPr>
          <w:lang w:val="fr-FR" w:eastAsia="fr-FR" w:bidi="fr-FR"/>
        </w:rPr>
        <w:t>i</w:t>
      </w:r>
      <w:r w:rsidRPr="005D7D45">
        <w:rPr>
          <w:lang w:val="fr-FR" w:eastAsia="fr-FR" w:bidi="fr-FR"/>
        </w:rPr>
        <w:t xml:space="preserve">ver, </w:t>
      </w:r>
      <w:r w:rsidRPr="00052648">
        <w:rPr>
          <w:i/>
          <w:iCs/>
        </w:rPr>
        <w:t>op. cit</w:t>
      </w:r>
      <w:r w:rsidRPr="005D7D45">
        <w:t>.,</w:t>
      </w:r>
      <w:r w:rsidRPr="005D7D45">
        <w:rPr>
          <w:lang w:val="fr-FR" w:eastAsia="fr-FR" w:bidi="fr-FR"/>
        </w:rPr>
        <w:t xml:space="preserve"> p. 38.</w:t>
      </w:r>
    </w:p>
  </w:footnote>
  <w:footnote w:id="492">
    <w:p w14:paraId="725D3E20" w14:textId="77777777" w:rsidR="0039793A" w:rsidRDefault="0039793A" w:rsidP="0039793A">
      <w:pPr>
        <w:pStyle w:val="Notedebasdepage"/>
      </w:pPr>
      <w:r>
        <w:rPr>
          <w:rStyle w:val="Appelnotedebasdep"/>
        </w:rPr>
        <w:footnoteRef/>
      </w:r>
      <w:r>
        <w:tab/>
      </w:r>
      <w:r w:rsidRPr="005D7D45">
        <w:rPr>
          <w:lang w:val="fr-FR" w:eastAsia="fr-FR" w:bidi="fr-FR"/>
        </w:rPr>
        <w:t xml:space="preserve">Voir Charles-Philippe David, </w:t>
      </w:r>
      <w:r w:rsidRPr="00052648">
        <w:rPr>
          <w:i/>
          <w:iCs/>
        </w:rPr>
        <w:t>op. cit</w:t>
      </w:r>
      <w:r w:rsidRPr="005D7D45">
        <w:t>.</w:t>
      </w:r>
    </w:p>
  </w:footnote>
  <w:footnote w:id="493">
    <w:p w14:paraId="7E2545D6" w14:textId="77777777" w:rsidR="0039793A" w:rsidRDefault="0039793A" w:rsidP="0039793A">
      <w:pPr>
        <w:pStyle w:val="Notedebasdepage"/>
      </w:pPr>
      <w:r>
        <w:rPr>
          <w:rStyle w:val="Appelnotedebasdep"/>
        </w:rPr>
        <w:footnoteRef/>
      </w:r>
      <w:r>
        <w:tab/>
      </w:r>
      <w:r>
        <w:rPr>
          <w:i/>
        </w:rPr>
        <w:t>Ibid.</w:t>
      </w:r>
    </w:p>
  </w:footnote>
  <w:footnote w:id="494">
    <w:p w14:paraId="76F51874" w14:textId="77777777" w:rsidR="0039793A" w:rsidRDefault="0039793A" w:rsidP="0039793A">
      <w:pPr>
        <w:pStyle w:val="Notedebasdepage"/>
      </w:pPr>
      <w:r>
        <w:rPr>
          <w:rStyle w:val="Appelnotedebasdep"/>
        </w:rPr>
        <w:footnoteRef/>
      </w:r>
      <w:r>
        <w:tab/>
      </w:r>
      <w:r w:rsidRPr="005D7D45">
        <w:rPr>
          <w:lang w:val="fr-FR" w:eastAsia="fr-FR" w:bidi="fr-FR"/>
        </w:rPr>
        <w:t xml:space="preserve">Auger, </w:t>
      </w:r>
      <w:r w:rsidRPr="00901C10">
        <w:rPr>
          <w:i/>
          <w:iCs/>
        </w:rPr>
        <w:t>op. cit</w:t>
      </w:r>
      <w:r w:rsidRPr="005D7D45">
        <w:t>.,</w:t>
      </w:r>
      <w:r w:rsidRPr="005D7D45">
        <w:rPr>
          <w:lang w:val="fr-FR" w:eastAsia="fr-FR" w:bidi="fr-FR"/>
        </w:rPr>
        <w:t xml:space="preserve"> p. 51-73.</w:t>
      </w:r>
    </w:p>
  </w:footnote>
  <w:footnote w:id="495">
    <w:p w14:paraId="33B801C4" w14:textId="77777777" w:rsidR="0039793A" w:rsidRDefault="0039793A" w:rsidP="0039793A">
      <w:pPr>
        <w:pStyle w:val="Notedebasdepage"/>
      </w:pPr>
      <w:r>
        <w:rPr>
          <w:rStyle w:val="Appelnotedebasdep"/>
        </w:rPr>
        <w:footnoteRef/>
      </w:r>
      <w:r>
        <w:tab/>
      </w:r>
      <w:r w:rsidRPr="005D7D45">
        <w:rPr>
          <w:lang w:val="fr-FR" w:eastAsia="fr-FR" w:bidi="fr-FR"/>
        </w:rPr>
        <w:t>Daalder et Destler</w:t>
      </w:r>
      <w:r>
        <w:rPr>
          <w:lang w:val="fr-FR" w:eastAsia="fr-FR" w:bidi="fr-FR"/>
        </w:rPr>
        <w:t xml:space="preserve">, </w:t>
      </w:r>
      <w:r>
        <w:rPr>
          <w:i/>
          <w:lang w:val="fr-FR" w:eastAsia="fr-FR" w:bidi="fr-FR"/>
        </w:rPr>
        <w:t>op. cit.</w:t>
      </w:r>
    </w:p>
  </w:footnote>
  <w:footnote w:id="496">
    <w:p w14:paraId="35289E23" w14:textId="77777777" w:rsidR="0039793A" w:rsidRDefault="0039793A" w:rsidP="0039793A">
      <w:pPr>
        <w:pStyle w:val="Notedebasdepage"/>
      </w:pPr>
      <w:r>
        <w:rPr>
          <w:rStyle w:val="Appelnotedebasdep"/>
        </w:rPr>
        <w:footnoteRef/>
      </w:r>
      <w:r>
        <w:tab/>
      </w:r>
      <w:r w:rsidRPr="005D7D45">
        <w:rPr>
          <w:lang w:val="fr-FR" w:eastAsia="fr-FR" w:bidi="fr-FR"/>
        </w:rPr>
        <w:t>On notera au demeurant quelle est la première femme à occuper ce poste.</w:t>
      </w:r>
    </w:p>
  </w:footnote>
  <w:footnote w:id="497">
    <w:p w14:paraId="724767B3" w14:textId="77777777" w:rsidR="0039793A" w:rsidRDefault="0039793A">
      <w:pPr>
        <w:pStyle w:val="Notedebasdepage"/>
      </w:pPr>
      <w:r>
        <w:rPr>
          <w:rStyle w:val="Appelnotedebasdep"/>
        </w:rPr>
        <w:footnoteRef/>
      </w:r>
      <w:r>
        <w:tab/>
      </w:r>
      <w:r w:rsidRPr="00E72F4B">
        <w:t>International Institute of Strategi</w:t>
      </w:r>
      <w:r>
        <w:t>c</w:t>
      </w:r>
      <w:r w:rsidRPr="00E72F4B">
        <w:t xml:space="preserve"> Studies, «</w:t>
      </w:r>
      <w:r>
        <w:t> </w:t>
      </w:r>
      <w:r w:rsidRPr="00E72F4B">
        <w:t>US National Sec</w:t>
      </w:r>
      <w:r w:rsidRPr="00E72F4B">
        <w:t>u</w:t>
      </w:r>
      <w:r>
        <w:t>rity Deci</w:t>
      </w:r>
      <w:r w:rsidRPr="00E72F4B">
        <w:t>sion-Making. Clarity or Confusion under Bush</w:t>
      </w:r>
      <w:r>
        <w:t> </w:t>
      </w:r>
      <w:r w:rsidRPr="00E72F4B">
        <w:t>?</w:t>
      </w:r>
      <w:r>
        <w:t> </w:t>
      </w:r>
      <w:r w:rsidRPr="00E72F4B">
        <w:t xml:space="preserve">», </w:t>
      </w:r>
      <w:r w:rsidRPr="00B34E0E">
        <w:rPr>
          <w:i/>
          <w:iCs/>
        </w:rPr>
        <w:t>Strategic Comments</w:t>
      </w:r>
      <w:r w:rsidRPr="00E72F4B">
        <w:t>, septe</w:t>
      </w:r>
      <w:r w:rsidRPr="00E72F4B">
        <w:t>m</w:t>
      </w:r>
      <w:r w:rsidRPr="00E72F4B">
        <w:t>bre 2002, 4 p.</w:t>
      </w:r>
      <w:r>
        <w:t> </w:t>
      </w:r>
      <w:r w:rsidRPr="00E72F4B">
        <w:t xml:space="preserve">; voir aussi Sabine Lavorel, </w:t>
      </w:r>
      <w:r w:rsidRPr="00B34E0E">
        <w:rPr>
          <w:i/>
          <w:iCs/>
        </w:rPr>
        <w:t>La pol</w:t>
      </w:r>
      <w:r w:rsidRPr="00B34E0E">
        <w:rPr>
          <w:i/>
          <w:iCs/>
        </w:rPr>
        <w:t>i</w:t>
      </w:r>
      <w:r w:rsidRPr="00B34E0E">
        <w:rPr>
          <w:i/>
          <w:iCs/>
        </w:rPr>
        <w:t>tique de sécurité nationale des États-Unis sous George W. Bush</w:t>
      </w:r>
      <w:r w:rsidRPr="00E72F4B">
        <w:t>, P</w:t>
      </w:r>
      <w:r w:rsidRPr="00E72F4B">
        <w:t>a</w:t>
      </w:r>
      <w:r w:rsidRPr="00E72F4B">
        <w:t>r</w:t>
      </w:r>
      <w:r>
        <w:t>is, L’Harmattan, coll. « Raoul-</w:t>
      </w:r>
      <w:r w:rsidRPr="00E72F4B">
        <w:t>Dandurand », 2003.</w:t>
      </w:r>
    </w:p>
  </w:footnote>
  <w:footnote w:id="498">
    <w:p w14:paraId="386226B4" w14:textId="77777777" w:rsidR="0039793A" w:rsidRDefault="0039793A" w:rsidP="0039793A">
      <w:pPr>
        <w:pStyle w:val="Notedebasdepage"/>
      </w:pPr>
      <w:r>
        <w:rPr>
          <w:rStyle w:val="Appelnotedebasdep"/>
        </w:rPr>
        <w:footnoteRef/>
      </w:r>
      <w:r>
        <w:tab/>
      </w:r>
      <w:r w:rsidRPr="004B021B">
        <w:rPr>
          <w:lang w:val="fr-FR" w:eastAsia="fr-FR" w:bidi="fr-FR"/>
        </w:rPr>
        <w:t xml:space="preserve">Alexis de Tocqueville, </w:t>
      </w:r>
      <w:hyperlink r:id="rId8" w:history="1">
        <w:r w:rsidRPr="001D3A99">
          <w:rPr>
            <w:rStyle w:val="Hyperlien"/>
            <w:i/>
            <w:iCs/>
          </w:rPr>
          <w:t>De la démocratie en Amérique</w:t>
        </w:r>
      </w:hyperlink>
      <w:r w:rsidRPr="004B021B">
        <w:rPr>
          <w:lang w:val="fr-FR" w:eastAsia="fr-FR" w:bidi="fr-FR"/>
        </w:rPr>
        <w:t>, Paris, Gallimard, 1986 (1835).</w:t>
      </w:r>
    </w:p>
  </w:footnote>
  <w:footnote w:id="499">
    <w:p w14:paraId="287397CA" w14:textId="77777777" w:rsidR="0039793A" w:rsidRDefault="0039793A">
      <w:pPr>
        <w:pStyle w:val="Notedebasdepage"/>
      </w:pPr>
      <w:r>
        <w:rPr>
          <w:rStyle w:val="Appelnotedebasdep"/>
        </w:rPr>
        <w:footnoteRef/>
      </w:r>
      <w:r>
        <w:tab/>
      </w:r>
      <w:r w:rsidRPr="004B021B">
        <w:rPr>
          <w:lang w:val="fr-FR" w:eastAsia="fr-FR" w:bidi="fr-FR"/>
        </w:rPr>
        <w:t xml:space="preserve">Edward Corwin, </w:t>
      </w:r>
      <w:r w:rsidRPr="00775577">
        <w:rPr>
          <w:i/>
          <w:iCs/>
        </w:rPr>
        <w:t>The President : Office and Powers</w:t>
      </w:r>
      <w:r w:rsidRPr="004B021B">
        <w:t>, 1787-1957,</w:t>
      </w:r>
      <w:r w:rsidRPr="004B021B">
        <w:rPr>
          <w:lang w:val="fr-FR" w:eastAsia="fr-FR" w:bidi="fr-FR"/>
        </w:rPr>
        <w:t xml:space="preserve"> New York, New York Un</w:t>
      </w:r>
      <w:r w:rsidRPr="004B021B">
        <w:rPr>
          <w:lang w:val="fr-FR" w:eastAsia="fr-FR" w:bidi="fr-FR"/>
        </w:rPr>
        <w:t>i</w:t>
      </w:r>
      <w:r w:rsidRPr="004B021B">
        <w:rPr>
          <w:lang w:val="fr-FR" w:eastAsia="fr-FR" w:bidi="fr-FR"/>
        </w:rPr>
        <w:t>versity Press, 1957, p. 44.</w:t>
      </w:r>
    </w:p>
  </w:footnote>
  <w:footnote w:id="500">
    <w:p w14:paraId="7592F666" w14:textId="77777777" w:rsidR="0039793A" w:rsidRDefault="0039793A" w:rsidP="0039793A">
      <w:pPr>
        <w:pStyle w:val="Notedebasdepage"/>
      </w:pPr>
      <w:r>
        <w:rPr>
          <w:rStyle w:val="Appelnotedebasdep"/>
        </w:rPr>
        <w:footnoteRef/>
      </w:r>
      <w:r>
        <w:tab/>
        <w:t xml:space="preserve">Ce chapitre reprend, avec la permission de l’éditeur, quelques extraits du chapitre 5 de Pierre Melandri, Justin Vaïsse, </w:t>
      </w:r>
      <w:r w:rsidRPr="00106A70">
        <w:rPr>
          <w:i/>
        </w:rPr>
        <w:t>L’empire du milieu — les États-Unis et le monde depuis la fin de la guerre froide</w:t>
      </w:r>
      <w:r>
        <w:t>, Paris, Odile Jacob, 2001.</w:t>
      </w:r>
    </w:p>
  </w:footnote>
  <w:footnote w:id="501">
    <w:p w14:paraId="220394FA" w14:textId="77777777" w:rsidR="0039793A" w:rsidRDefault="0039793A" w:rsidP="0039793A">
      <w:pPr>
        <w:pStyle w:val="Notedebasdepage"/>
      </w:pPr>
      <w:r>
        <w:rPr>
          <w:rStyle w:val="Appelnotedebasdep"/>
        </w:rPr>
        <w:footnoteRef/>
      </w:r>
      <w:r>
        <w:tab/>
        <w:t>Malgré une grande tournée d’explication dans le pays, le prés</w:t>
      </w:r>
      <w:r>
        <w:t>i</w:t>
      </w:r>
      <w:r>
        <w:t>dent Wilson ne parvient pas à convaincre les sénateurs que le traité de Versailles et su</w:t>
      </w:r>
      <w:r>
        <w:t>r</w:t>
      </w:r>
      <w:r>
        <w:t xml:space="preserve">tout l’entrée des États-Unis dans la SDN sont dans l’intérêt national, et le Sénat refuse de ratifier ses engagements pris en Europe. </w:t>
      </w:r>
    </w:p>
  </w:footnote>
  <w:footnote w:id="502">
    <w:p w14:paraId="7E770046" w14:textId="77777777" w:rsidR="0039793A" w:rsidRDefault="0039793A" w:rsidP="0039793A">
      <w:pPr>
        <w:pStyle w:val="Notedebasdepage"/>
      </w:pPr>
      <w:r>
        <w:rPr>
          <w:rStyle w:val="Appelnotedebasdep"/>
        </w:rPr>
        <w:footnoteRef/>
      </w:r>
      <w:r>
        <w:tab/>
      </w:r>
      <w:r w:rsidRPr="004B021B">
        <w:rPr>
          <w:lang w:val="fr-FR" w:eastAsia="fr-FR" w:bidi="fr-FR"/>
        </w:rPr>
        <w:t xml:space="preserve">Voir Arthur Schlesinger Jr., </w:t>
      </w:r>
      <w:r w:rsidRPr="00B62F67">
        <w:rPr>
          <w:i/>
          <w:iCs/>
        </w:rPr>
        <w:t>La présidence impériale</w:t>
      </w:r>
      <w:r w:rsidRPr="004B021B">
        <w:t>,</w:t>
      </w:r>
      <w:r w:rsidRPr="004B021B">
        <w:rPr>
          <w:lang w:val="fr-FR" w:eastAsia="fr-FR" w:bidi="fr-FR"/>
        </w:rPr>
        <w:t xml:space="preserve"> Paris, </w:t>
      </w:r>
      <w:r w:rsidRPr="004B021B">
        <w:t xml:space="preserve">PUF, </w:t>
      </w:r>
      <w:r w:rsidRPr="004B021B">
        <w:rPr>
          <w:lang w:val="fr-FR" w:eastAsia="fr-FR" w:bidi="fr-FR"/>
        </w:rPr>
        <w:t>1976, 568 p.</w:t>
      </w:r>
    </w:p>
  </w:footnote>
  <w:footnote w:id="503">
    <w:p w14:paraId="36528C3E" w14:textId="77777777" w:rsidR="0039793A" w:rsidRDefault="0039793A" w:rsidP="0039793A">
      <w:pPr>
        <w:pStyle w:val="Notedebasdepage"/>
      </w:pPr>
      <w:r>
        <w:rPr>
          <w:rStyle w:val="Appelnotedebasdep"/>
        </w:rPr>
        <w:footnoteRef/>
      </w:r>
      <w:r>
        <w:tab/>
      </w:r>
      <w:r w:rsidRPr="004B021B">
        <w:rPr>
          <w:lang w:val="fr-FR" w:eastAsia="fr-FR" w:bidi="fr-FR"/>
        </w:rPr>
        <w:t xml:space="preserve">Cette traduction vient du terme anglais </w:t>
      </w:r>
      <w:r w:rsidRPr="002112FF">
        <w:rPr>
          <w:i/>
          <w:iCs/>
        </w:rPr>
        <w:t>bipartisanism</w:t>
      </w:r>
      <w:r w:rsidRPr="004B021B">
        <w:t>,</w:t>
      </w:r>
      <w:r w:rsidRPr="004B021B">
        <w:rPr>
          <w:lang w:val="fr-FR" w:eastAsia="fr-FR" w:bidi="fr-FR"/>
        </w:rPr>
        <w:t xml:space="preserve"> qui qualifie une pol</w:t>
      </w:r>
      <w:r w:rsidRPr="004B021B">
        <w:rPr>
          <w:lang w:val="fr-FR" w:eastAsia="fr-FR" w:bidi="fr-FR"/>
        </w:rPr>
        <w:t>i</w:t>
      </w:r>
      <w:r w:rsidRPr="004B021B">
        <w:rPr>
          <w:lang w:val="fr-FR" w:eastAsia="fr-FR" w:bidi="fr-FR"/>
        </w:rPr>
        <w:t>tique conse</w:t>
      </w:r>
      <w:r w:rsidRPr="004B021B">
        <w:rPr>
          <w:lang w:val="fr-FR" w:eastAsia="fr-FR" w:bidi="fr-FR"/>
        </w:rPr>
        <w:t>n</w:t>
      </w:r>
      <w:r w:rsidRPr="004B021B">
        <w:rPr>
          <w:lang w:val="fr-FR" w:eastAsia="fr-FR" w:bidi="fr-FR"/>
        </w:rPr>
        <w:t>suelle réunissant les deux partis</w:t>
      </w:r>
      <w:r w:rsidRPr="004B021B">
        <w:t> :</w:t>
      </w:r>
      <w:r w:rsidRPr="004B021B">
        <w:rPr>
          <w:lang w:val="fr-FR" w:eastAsia="fr-FR" w:bidi="fr-FR"/>
        </w:rPr>
        <w:t xml:space="preserve"> en ce sens, une politique étrangère </w:t>
      </w:r>
      <w:r w:rsidRPr="004B021B">
        <w:t>« </w:t>
      </w:r>
      <w:r w:rsidRPr="004B021B">
        <w:rPr>
          <w:lang w:val="fr-FR" w:eastAsia="fr-FR" w:bidi="fr-FR"/>
        </w:rPr>
        <w:t>bipartisane</w:t>
      </w:r>
      <w:r w:rsidRPr="004B021B">
        <w:t> »</w:t>
      </w:r>
      <w:r w:rsidRPr="004B021B">
        <w:rPr>
          <w:lang w:val="fr-FR" w:eastAsia="fr-FR" w:bidi="fr-FR"/>
        </w:rPr>
        <w:t xml:space="preserve"> (ce qui serait une traduction littérale) est approuvée par les démocrates et par les républicains. Cet a</w:t>
      </w:r>
      <w:r w:rsidRPr="004B021B">
        <w:rPr>
          <w:lang w:val="fr-FR" w:eastAsia="fr-FR" w:bidi="fr-FR"/>
        </w:rPr>
        <w:t>n</w:t>
      </w:r>
      <w:r w:rsidRPr="004B021B">
        <w:rPr>
          <w:lang w:val="fr-FR" w:eastAsia="fr-FR" w:bidi="fr-FR"/>
        </w:rPr>
        <w:t xml:space="preserve">glicisme ne doit pas être confondu avec l’expression française </w:t>
      </w:r>
      <w:r w:rsidRPr="004B021B">
        <w:t>« </w:t>
      </w:r>
      <w:r w:rsidRPr="004B021B">
        <w:rPr>
          <w:lang w:val="fr-FR" w:eastAsia="fr-FR" w:bidi="fr-FR"/>
        </w:rPr>
        <w:t>bipartisme</w:t>
      </w:r>
      <w:r w:rsidRPr="004B021B">
        <w:t> »</w:t>
      </w:r>
      <w:r w:rsidRPr="004B021B">
        <w:rPr>
          <w:lang w:val="fr-FR" w:eastAsia="fr-FR" w:bidi="fr-FR"/>
        </w:rPr>
        <w:t>, qui décrit une situation nationale où deux partis seul</w:t>
      </w:r>
      <w:r w:rsidRPr="004B021B">
        <w:rPr>
          <w:lang w:val="fr-FR" w:eastAsia="fr-FR" w:bidi="fr-FR"/>
        </w:rPr>
        <w:t>e</w:t>
      </w:r>
      <w:r w:rsidRPr="004B021B">
        <w:rPr>
          <w:lang w:val="fr-FR" w:eastAsia="fr-FR" w:bidi="fr-FR"/>
        </w:rPr>
        <w:t>ment comptent</w:t>
      </w:r>
      <w:r w:rsidRPr="004B021B">
        <w:t> :</w:t>
      </w:r>
      <w:r w:rsidRPr="004B021B">
        <w:rPr>
          <w:lang w:val="fr-FR" w:eastAsia="fr-FR" w:bidi="fr-FR"/>
        </w:rPr>
        <w:t xml:space="preserve"> le bipartisme domine l’histoire de l’Amérique et de l’Angleterre, le multipa</w:t>
      </w:r>
      <w:r w:rsidRPr="004B021B">
        <w:rPr>
          <w:lang w:val="fr-FR" w:eastAsia="fr-FR" w:bidi="fr-FR"/>
        </w:rPr>
        <w:t>r</w:t>
      </w:r>
      <w:r w:rsidRPr="004B021B">
        <w:rPr>
          <w:lang w:val="fr-FR" w:eastAsia="fr-FR" w:bidi="fr-FR"/>
        </w:rPr>
        <w:t>tisme celle de la France.</w:t>
      </w:r>
    </w:p>
  </w:footnote>
  <w:footnote w:id="504">
    <w:p w14:paraId="17DB0875" w14:textId="77777777" w:rsidR="0039793A" w:rsidRDefault="0039793A" w:rsidP="0039793A">
      <w:pPr>
        <w:pStyle w:val="Notedebasdepage"/>
      </w:pPr>
      <w:r>
        <w:rPr>
          <w:rStyle w:val="Appelnotedebasdep"/>
        </w:rPr>
        <w:footnoteRef/>
      </w:r>
      <w:r>
        <w:tab/>
      </w:r>
      <w:r w:rsidRPr="004B021B">
        <w:rPr>
          <w:lang w:val="fr-FR" w:eastAsia="fr-FR" w:bidi="fr-FR"/>
        </w:rPr>
        <w:t>Adage classique repris par le sénateur Vandenberg, que l’on pourrait tradu</w:t>
      </w:r>
      <w:r w:rsidRPr="004B021B">
        <w:rPr>
          <w:lang w:val="fr-FR" w:eastAsia="fr-FR" w:bidi="fr-FR"/>
        </w:rPr>
        <w:t>i</w:t>
      </w:r>
      <w:r w:rsidRPr="004B021B">
        <w:rPr>
          <w:lang w:val="fr-FR" w:eastAsia="fr-FR" w:bidi="fr-FR"/>
        </w:rPr>
        <w:t xml:space="preserve">re par </w:t>
      </w:r>
      <w:r w:rsidRPr="004B021B">
        <w:t>« </w:t>
      </w:r>
      <w:r w:rsidRPr="004B021B">
        <w:rPr>
          <w:lang w:val="fr-FR" w:eastAsia="fr-FR" w:bidi="fr-FR"/>
        </w:rPr>
        <w:t>les jeux politiciens s’arrêtent au pied du mur</w:t>
      </w:r>
      <w:r w:rsidRPr="004B021B">
        <w:t> »</w:t>
      </w:r>
      <w:r w:rsidRPr="004B021B">
        <w:rPr>
          <w:lang w:val="fr-FR" w:eastAsia="fr-FR" w:bidi="fr-FR"/>
        </w:rPr>
        <w:t>.</w:t>
      </w:r>
    </w:p>
  </w:footnote>
  <w:footnote w:id="505">
    <w:p w14:paraId="48E0337D" w14:textId="77777777" w:rsidR="0039793A" w:rsidRDefault="0039793A" w:rsidP="0039793A">
      <w:pPr>
        <w:pStyle w:val="Notedebasdepage"/>
      </w:pPr>
      <w:r>
        <w:rPr>
          <w:rStyle w:val="Appelnotedebasdep"/>
        </w:rPr>
        <w:footnoteRef/>
      </w:r>
      <w:r>
        <w:tab/>
      </w:r>
      <w:r w:rsidRPr="004B021B">
        <w:rPr>
          <w:lang w:val="fr-FR" w:eastAsia="fr-FR" w:bidi="fr-FR"/>
        </w:rPr>
        <w:t xml:space="preserve">Gordon Jones, John Marini (eds), </w:t>
      </w:r>
      <w:r w:rsidRPr="002112FF">
        <w:rPr>
          <w:i/>
          <w:iCs/>
        </w:rPr>
        <w:t>The Imp</w:t>
      </w:r>
      <w:r>
        <w:rPr>
          <w:i/>
          <w:iCs/>
        </w:rPr>
        <w:t>e</w:t>
      </w:r>
      <w:r w:rsidRPr="002112FF">
        <w:rPr>
          <w:i/>
          <w:iCs/>
        </w:rPr>
        <w:t>rial Congress : Crisis in the S</w:t>
      </w:r>
      <w:r>
        <w:rPr>
          <w:i/>
          <w:iCs/>
        </w:rPr>
        <w:t>e</w:t>
      </w:r>
      <w:r w:rsidRPr="002112FF">
        <w:rPr>
          <w:i/>
          <w:iCs/>
        </w:rPr>
        <w:t>paration of Power</w:t>
      </w:r>
      <w:r w:rsidRPr="004B021B">
        <w:t>,</w:t>
      </w:r>
      <w:r w:rsidRPr="004B021B">
        <w:rPr>
          <w:lang w:val="fr-FR" w:eastAsia="fr-FR" w:bidi="fr-FR"/>
        </w:rPr>
        <w:t xml:space="preserve"> New York, Pharos Books, 1988, 366 p. Plus général</w:t>
      </w:r>
      <w:r w:rsidRPr="004B021B">
        <w:rPr>
          <w:lang w:val="fr-FR" w:eastAsia="fr-FR" w:bidi="fr-FR"/>
        </w:rPr>
        <w:t>e</w:t>
      </w:r>
      <w:r w:rsidRPr="004B021B">
        <w:rPr>
          <w:lang w:val="fr-FR" w:eastAsia="fr-FR" w:bidi="fr-FR"/>
        </w:rPr>
        <w:t xml:space="preserve">ment, sur la montée en puissance du Congrès, voir Charles Kegley, Eugene Wittkopf, </w:t>
      </w:r>
      <w:r w:rsidRPr="002112FF">
        <w:rPr>
          <w:i/>
          <w:iCs/>
        </w:rPr>
        <w:t>American F</w:t>
      </w:r>
      <w:r w:rsidRPr="002112FF">
        <w:rPr>
          <w:i/>
          <w:iCs/>
        </w:rPr>
        <w:t>o</w:t>
      </w:r>
      <w:r w:rsidRPr="002112FF">
        <w:rPr>
          <w:i/>
          <w:iCs/>
        </w:rPr>
        <w:t>reign Policy, Pattern and Process</w:t>
      </w:r>
      <w:r w:rsidRPr="004B021B">
        <w:t>,</w:t>
      </w:r>
      <w:r w:rsidRPr="004B021B">
        <w:rPr>
          <w:lang w:val="fr-FR" w:eastAsia="fr-FR" w:bidi="fr-FR"/>
        </w:rPr>
        <w:t xml:space="preserve"> New York, St. Martin’s Press, 1996, 5' éd., p. 420 et suiv.</w:t>
      </w:r>
    </w:p>
  </w:footnote>
  <w:footnote w:id="506">
    <w:p w14:paraId="5C242B15" w14:textId="77777777" w:rsidR="0039793A" w:rsidRDefault="0039793A" w:rsidP="0039793A">
      <w:pPr>
        <w:pStyle w:val="Notedebasdepage"/>
      </w:pPr>
      <w:r>
        <w:rPr>
          <w:rStyle w:val="Appelnotedebasdep"/>
        </w:rPr>
        <w:footnoteRef/>
      </w:r>
      <w:r>
        <w:tab/>
      </w:r>
      <w:r w:rsidRPr="004B021B">
        <w:rPr>
          <w:lang w:val="fr-FR" w:eastAsia="fr-FR" w:bidi="fr-FR"/>
        </w:rPr>
        <w:t>Créé également dans les années 1970, il est fermé par le Congrès républ</w:t>
      </w:r>
      <w:r w:rsidRPr="004B021B">
        <w:rPr>
          <w:lang w:val="fr-FR" w:eastAsia="fr-FR" w:bidi="fr-FR"/>
        </w:rPr>
        <w:t>i</w:t>
      </w:r>
      <w:r w:rsidRPr="004B021B">
        <w:rPr>
          <w:lang w:val="fr-FR" w:eastAsia="fr-FR" w:bidi="fr-FR"/>
        </w:rPr>
        <w:t>cain en 1995 au nom de la réduction des déficits et de la diminution de la burea</w:t>
      </w:r>
      <w:r w:rsidRPr="004B021B">
        <w:rPr>
          <w:lang w:val="fr-FR" w:eastAsia="fr-FR" w:bidi="fr-FR"/>
        </w:rPr>
        <w:t>u</w:t>
      </w:r>
      <w:r w:rsidRPr="004B021B">
        <w:rPr>
          <w:lang w:val="fr-FR" w:eastAsia="fr-FR" w:bidi="fr-FR"/>
        </w:rPr>
        <w:t>cratie washingtonienne, ce qui révèle d'ailleurs l’une des contradictions du 104'Congrès</w:t>
      </w:r>
      <w:r w:rsidRPr="004B021B">
        <w:t> :</w:t>
      </w:r>
      <w:r w:rsidRPr="004B021B">
        <w:rPr>
          <w:lang w:val="fr-FR" w:eastAsia="fr-FR" w:bidi="fr-FR"/>
        </w:rPr>
        <w:t xml:space="preserve"> il souhaite i</w:t>
      </w:r>
      <w:r w:rsidRPr="004B021B">
        <w:rPr>
          <w:lang w:val="fr-FR" w:eastAsia="fr-FR" w:bidi="fr-FR"/>
        </w:rPr>
        <w:t>m</w:t>
      </w:r>
      <w:r w:rsidRPr="004B021B">
        <w:rPr>
          <w:lang w:val="fr-FR" w:eastAsia="fr-FR" w:bidi="fr-FR"/>
        </w:rPr>
        <w:t>poser sa volonté à l’Exécutif, mais veut dans le même temps réduire ses propres coûts de fonctionnement. Les autres b</w:t>
      </w:r>
      <w:r w:rsidRPr="004B021B">
        <w:rPr>
          <w:lang w:val="fr-FR" w:eastAsia="fr-FR" w:bidi="fr-FR"/>
        </w:rPr>
        <w:t>u</w:t>
      </w:r>
      <w:r w:rsidRPr="004B021B">
        <w:rPr>
          <w:lang w:val="fr-FR" w:eastAsia="fr-FR" w:bidi="fr-FR"/>
        </w:rPr>
        <w:t xml:space="preserve">reaux </w:t>
      </w:r>
      <w:r w:rsidRPr="004B021B">
        <w:rPr>
          <w:rStyle w:val="Notedebasdepage65ptPetitesmajuscules"/>
          <w:sz w:val="24"/>
        </w:rPr>
        <w:t xml:space="preserve">(GAO, cbo, CRS) </w:t>
      </w:r>
      <w:r w:rsidRPr="004B021B">
        <w:rPr>
          <w:lang w:val="fr-FR" w:eastAsia="fr-FR" w:bidi="fr-FR"/>
        </w:rPr>
        <w:t>voient leur personnel d</w:t>
      </w:r>
      <w:r w:rsidRPr="004B021B">
        <w:rPr>
          <w:lang w:val="fr-FR" w:eastAsia="fr-FR" w:bidi="fr-FR"/>
        </w:rPr>
        <w:t>i</w:t>
      </w:r>
      <w:r w:rsidRPr="004B021B">
        <w:rPr>
          <w:lang w:val="fr-FR" w:eastAsia="fr-FR" w:bidi="fr-FR"/>
        </w:rPr>
        <w:t xml:space="preserve">minuer </w:t>
      </w:r>
      <w:r w:rsidRPr="004B021B">
        <w:t xml:space="preserve">à </w:t>
      </w:r>
      <w:r w:rsidRPr="004B021B">
        <w:rPr>
          <w:lang w:val="fr-FR" w:eastAsia="fr-FR" w:bidi="fr-FR"/>
        </w:rPr>
        <w:t>compter de 1995-1996.</w:t>
      </w:r>
    </w:p>
  </w:footnote>
  <w:footnote w:id="507">
    <w:p w14:paraId="7295BB50" w14:textId="77777777" w:rsidR="0039793A" w:rsidRDefault="0039793A" w:rsidP="0039793A">
      <w:pPr>
        <w:pStyle w:val="Notedebasdepage"/>
      </w:pPr>
      <w:r>
        <w:rPr>
          <w:rStyle w:val="Appelnotedebasdep"/>
        </w:rPr>
        <w:footnoteRef/>
      </w:r>
      <w:r>
        <w:tab/>
      </w:r>
      <w:r w:rsidRPr="004B021B">
        <w:rPr>
          <w:lang w:val="fr-FR" w:eastAsia="fr-FR" w:bidi="fr-FR"/>
        </w:rPr>
        <w:t xml:space="preserve">C’est-à-dire insistant sur les prérogatives de l’Exécutif, avec un président puissant. Voir </w:t>
      </w:r>
      <w:r w:rsidRPr="004B021B">
        <w:t xml:space="preserve">à </w:t>
      </w:r>
      <w:r w:rsidRPr="004B021B">
        <w:rPr>
          <w:lang w:val="fr-FR" w:eastAsia="fr-FR" w:bidi="fr-FR"/>
        </w:rPr>
        <w:t xml:space="preserve">ce titre, Denis Lacorne, </w:t>
      </w:r>
      <w:r w:rsidRPr="004B021B">
        <w:t>« </w:t>
      </w:r>
      <w:r w:rsidRPr="004B021B">
        <w:rPr>
          <w:lang w:val="fr-FR" w:eastAsia="fr-FR" w:bidi="fr-FR"/>
        </w:rPr>
        <w:t>Une présidence hamiltonienne</w:t>
      </w:r>
      <w:r w:rsidRPr="004B021B">
        <w:t> :</w:t>
      </w:r>
      <w:r w:rsidRPr="004B021B">
        <w:rPr>
          <w:lang w:val="fr-FR" w:eastAsia="fr-FR" w:bidi="fr-FR"/>
        </w:rPr>
        <w:t xml:space="preserve"> la politique étrangère de Ronald Reagan</w:t>
      </w:r>
      <w:r w:rsidRPr="004B021B">
        <w:t> »</w:t>
      </w:r>
      <w:r w:rsidRPr="004B021B">
        <w:rPr>
          <w:lang w:val="fr-FR" w:eastAsia="fr-FR" w:bidi="fr-FR"/>
        </w:rPr>
        <w:t xml:space="preserve">, </w:t>
      </w:r>
      <w:r w:rsidRPr="00006049">
        <w:rPr>
          <w:i/>
          <w:iCs/>
        </w:rPr>
        <w:t>Revue française de science polit</w:t>
      </w:r>
      <w:r w:rsidRPr="00006049">
        <w:rPr>
          <w:i/>
          <w:iCs/>
        </w:rPr>
        <w:t>i</w:t>
      </w:r>
      <w:r w:rsidRPr="00006049">
        <w:rPr>
          <w:i/>
          <w:iCs/>
        </w:rPr>
        <w:t>que</w:t>
      </w:r>
      <w:r w:rsidRPr="004B021B">
        <w:rPr>
          <w:lang w:val="fr-FR" w:eastAsia="fr-FR" w:bidi="fr-FR"/>
        </w:rPr>
        <w:t>, (39) 4, août 1989, p. 539-562.</w:t>
      </w:r>
    </w:p>
  </w:footnote>
  <w:footnote w:id="508">
    <w:p w14:paraId="753FE179" w14:textId="77777777" w:rsidR="0039793A" w:rsidRDefault="0039793A" w:rsidP="0039793A">
      <w:pPr>
        <w:pStyle w:val="Notedebasdepage"/>
      </w:pPr>
      <w:r>
        <w:rPr>
          <w:rStyle w:val="Appelnotedebasdep"/>
        </w:rPr>
        <w:footnoteRef/>
      </w:r>
      <w:r>
        <w:tab/>
      </w:r>
      <w:r w:rsidRPr="004B021B">
        <w:rPr>
          <w:lang w:val="fr-FR" w:eastAsia="fr-FR" w:bidi="fr-FR"/>
        </w:rPr>
        <w:t>La demi-année correspond à la décision, en juin 2001, du sénateur républ</w:t>
      </w:r>
      <w:r w:rsidRPr="004B021B">
        <w:rPr>
          <w:lang w:val="fr-FR" w:eastAsia="fr-FR" w:bidi="fr-FR"/>
        </w:rPr>
        <w:t>i</w:t>
      </w:r>
      <w:r w:rsidRPr="004B021B">
        <w:rPr>
          <w:lang w:val="fr-FR" w:eastAsia="fr-FR" w:bidi="fr-FR"/>
        </w:rPr>
        <w:t>cain James Jeffords de devenir indépendant et de voter avec les démocrates, faisant ainsi perdre aux républicains leur m</w:t>
      </w:r>
      <w:r w:rsidRPr="004B021B">
        <w:rPr>
          <w:lang w:val="fr-FR" w:eastAsia="fr-FR" w:bidi="fr-FR"/>
        </w:rPr>
        <w:t>a</w:t>
      </w:r>
      <w:r w:rsidRPr="004B021B">
        <w:rPr>
          <w:lang w:val="fr-FR" w:eastAsia="fr-FR" w:bidi="fr-FR"/>
        </w:rPr>
        <w:t>jorité au Sénat.</w:t>
      </w:r>
    </w:p>
  </w:footnote>
  <w:footnote w:id="509">
    <w:p w14:paraId="2EB9D113" w14:textId="77777777" w:rsidR="0039793A" w:rsidRDefault="0039793A" w:rsidP="0039793A">
      <w:pPr>
        <w:pStyle w:val="Notedebasdepage"/>
      </w:pPr>
      <w:r>
        <w:rPr>
          <w:rStyle w:val="Appelnotedebasdep"/>
        </w:rPr>
        <w:footnoteRef/>
      </w:r>
      <w:r>
        <w:tab/>
      </w:r>
      <w:r w:rsidRPr="004B021B">
        <w:rPr>
          <w:lang w:val="fr-FR" w:eastAsia="fr-FR" w:bidi="fr-FR"/>
        </w:rPr>
        <w:t>Le Watergate est le scandale qui suit le cambriolage, en juin 1972, par une équipe aux ordres de Nixon, des locaux de la ca</w:t>
      </w:r>
      <w:r w:rsidRPr="004B021B">
        <w:rPr>
          <w:lang w:val="fr-FR" w:eastAsia="fr-FR" w:bidi="fr-FR"/>
        </w:rPr>
        <w:t>m</w:t>
      </w:r>
      <w:r w:rsidRPr="004B021B">
        <w:rPr>
          <w:lang w:val="fr-FR" w:eastAsia="fr-FR" w:bidi="fr-FR"/>
        </w:rPr>
        <w:t xml:space="preserve">pagne présidentielle du parti démocrate. Le </w:t>
      </w:r>
      <w:r w:rsidRPr="00FE6054">
        <w:rPr>
          <w:i/>
          <w:iCs/>
        </w:rPr>
        <w:t>Monic</w:t>
      </w:r>
      <w:r w:rsidRPr="00FE6054">
        <w:rPr>
          <w:i/>
          <w:iCs/>
        </w:rPr>
        <w:t>a</w:t>
      </w:r>
      <w:r w:rsidRPr="00FE6054">
        <w:rPr>
          <w:i/>
          <w:iCs/>
        </w:rPr>
        <w:t>gate</w:t>
      </w:r>
      <w:r w:rsidRPr="004B021B">
        <w:rPr>
          <w:lang w:val="fr-FR" w:eastAsia="fr-FR" w:bidi="fr-FR"/>
        </w:rPr>
        <w:t xml:space="preserve"> est le scandale qui suit la révélation d’une liaison entre le président Clinton et une jeune stagiaire de la Maison-Blanche, Monica Lewin</w:t>
      </w:r>
      <w:r w:rsidRPr="004B021B">
        <w:rPr>
          <w:lang w:val="fr-FR" w:eastAsia="fr-FR" w:bidi="fr-FR"/>
        </w:rPr>
        <w:t>s</w:t>
      </w:r>
      <w:r w:rsidRPr="004B021B">
        <w:rPr>
          <w:lang w:val="fr-FR" w:eastAsia="fr-FR" w:bidi="fr-FR"/>
        </w:rPr>
        <w:t>ky, liaison niée pendant un temps par le président.</w:t>
      </w:r>
    </w:p>
  </w:footnote>
  <w:footnote w:id="510">
    <w:p w14:paraId="299691F5" w14:textId="77777777" w:rsidR="0039793A" w:rsidRDefault="0039793A" w:rsidP="0039793A">
      <w:pPr>
        <w:pStyle w:val="Notedebasdepage"/>
      </w:pPr>
      <w:r>
        <w:rPr>
          <w:rStyle w:val="Appelnotedebasdep"/>
        </w:rPr>
        <w:footnoteRef/>
      </w:r>
      <w:r>
        <w:tab/>
      </w:r>
      <w:r w:rsidRPr="004B021B">
        <w:rPr>
          <w:lang w:val="fr-FR" w:eastAsia="fr-FR" w:bidi="fr-FR"/>
        </w:rPr>
        <w:t xml:space="preserve">Ce que les Français appellent </w:t>
      </w:r>
      <w:r w:rsidRPr="004B021B">
        <w:t>« </w:t>
      </w:r>
      <w:r w:rsidRPr="004B021B">
        <w:rPr>
          <w:lang w:val="fr-FR" w:eastAsia="fr-FR" w:bidi="fr-FR"/>
        </w:rPr>
        <w:t>phénomène d’union sacrée</w:t>
      </w:r>
      <w:r w:rsidRPr="004B021B">
        <w:t> »</w:t>
      </w:r>
      <w:r w:rsidRPr="004B021B">
        <w:rPr>
          <w:lang w:val="fr-FR" w:eastAsia="fr-FR" w:bidi="fr-FR"/>
        </w:rPr>
        <w:t xml:space="preserve"> en référence </w:t>
      </w:r>
      <w:r w:rsidRPr="004B021B">
        <w:t xml:space="preserve">à </w:t>
      </w:r>
      <w:r w:rsidRPr="004B021B">
        <w:rPr>
          <w:lang w:val="fr-FR" w:eastAsia="fr-FR" w:bidi="fr-FR"/>
        </w:rPr>
        <w:t>la première guerre mondiale</w:t>
      </w:r>
      <w:r w:rsidRPr="004B021B">
        <w:t> :</w:t>
      </w:r>
      <w:r w:rsidRPr="004B021B">
        <w:rPr>
          <w:lang w:val="fr-FR" w:eastAsia="fr-FR" w:bidi="fr-FR"/>
        </w:rPr>
        <w:t xml:space="preserve"> les partis font cesser leurs désaccords dans l’intérêt du pays.</w:t>
      </w:r>
    </w:p>
  </w:footnote>
  <w:footnote w:id="511">
    <w:p w14:paraId="106A257F" w14:textId="77777777" w:rsidR="0039793A" w:rsidRDefault="0039793A" w:rsidP="0039793A">
      <w:pPr>
        <w:pStyle w:val="Notedebasdepage"/>
      </w:pPr>
      <w:r>
        <w:rPr>
          <w:rStyle w:val="Appelnotedebasdep"/>
        </w:rPr>
        <w:footnoteRef/>
      </w:r>
      <w:r>
        <w:tab/>
      </w:r>
      <w:r w:rsidRPr="004B021B">
        <w:rPr>
          <w:lang w:val="fr-FR" w:eastAsia="fr-FR" w:bidi="fr-FR"/>
        </w:rPr>
        <w:t xml:space="preserve">Il s’agit de la </w:t>
      </w:r>
      <w:r w:rsidRPr="00FE6054">
        <w:rPr>
          <w:i/>
          <w:iCs/>
        </w:rPr>
        <w:t>Senate Joint R</w:t>
      </w:r>
      <w:r>
        <w:rPr>
          <w:i/>
          <w:iCs/>
        </w:rPr>
        <w:t>e</w:t>
      </w:r>
      <w:r w:rsidRPr="00FE6054">
        <w:rPr>
          <w:i/>
          <w:iCs/>
        </w:rPr>
        <w:t>solution</w:t>
      </w:r>
      <w:r w:rsidRPr="004B021B">
        <w:rPr>
          <w:lang w:val="fr-FR" w:eastAsia="fr-FR" w:bidi="fr-FR"/>
        </w:rPr>
        <w:t xml:space="preserve"> 23, signée par le président le 18 se</w:t>
      </w:r>
      <w:r w:rsidRPr="004B021B">
        <w:rPr>
          <w:lang w:val="fr-FR" w:eastAsia="fr-FR" w:bidi="fr-FR"/>
        </w:rPr>
        <w:t>p</w:t>
      </w:r>
      <w:r w:rsidRPr="004B021B">
        <w:rPr>
          <w:lang w:val="fr-FR" w:eastAsia="fr-FR" w:bidi="fr-FR"/>
        </w:rPr>
        <w:t xml:space="preserve">tembre 2001, et de la </w:t>
      </w:r>
      <w:r w:rsidRPr="00FE6054">
        <w:rPr>
          <w:i/>
          <w:iCs/>
        </w:rPr>
        <w:t>House</w:t>
      </w:r>
      <w:r>
        <w:rPr>
          <w:i/>
          <w:iCs/>
        </w:rPr>
        <w:t xml:space="preserve"> </w:t>
      </w:r>
      <w:r w:rsidRPr="00FE6054">
        <w:rPr>
          <w:i/>
          <w:iCs/>
        </w:rPr>
        <w:t>Joint Resolution</w:t>
      </w:r>
      <w:r w:rsidRPr="004B021B">
        <w:rPr>
          <w:lang w:val="fr-FR" w:eastAsia="fr-FR" w:bidi="fr-FR"/>
        </w:rPr>
        <w:t xml:space="preserve"> 114, signée le 16 oct</w:t>
      </w:r>
      <w:r w:rsidRPr="004B021B">
        <w:rPr>
          <w:lang w:val="fr-FR" w:eastAsia="fr-FR" w:bidi="fr-FR"/>
        </w:rPr>
        <w:t>o</w:t>
      </w:r>
      <w:r w:rsidRPr="004B021B">
        <w:rPr>
          <w:lang w:val="fr-FR" w:eastAsia="fr-FR" w:bidi="fr-FR"/>
        </w:rPr>
        <w:t>bre 2002.</w:t>
      </w:r>
    </w:p>
  </w:footnote>
  <w:footnote w:id="512">
    <w:p w14:paraId="532D232C" w14:textId="77777777" w:rsidR="0039793A" w:rsidRDefault="0039793A" w:rsidP="0039793A">
      <w:pPr>
        <w:pStyle w:val="Notedebasdepage"/>
      </w:pPr>
      <w:r>
        <w:rPr>
          <w:rStyle w:val="Appelnotedebasdep"/>
        </w:rPr>
        <w:footnoteRef/>
      </w:r>
      <w:r>
        <w:tab/>
      </w:r>
      <w:r w:rsidRPr="004B021B">
        <w:rPr>
          <w:lang w:val="fr-FR" w:eastAsia="fr-FR" w:bidi="fr-FR"/>
        </w:rPr>
        <w:t xml:space="preserve">Sur ce point, voir Daniel Sabbagh, </w:t>
      </w:r>
      <w:r w:rsidRPr="004B021B">
        <w:t>« </w:t>
      </w:r>
      <w:r w:rsidRPr="004B021B">
        <w:rPr>
          <w:lang w:val="fr-FR" w:eastAsia="fr-FR" w:bidi="fr-FR"/>
        </w:rPr>
        <w:t>Les déterminants internes de la polit</w:t>
      </w:r>
      <w:r w:rsidRPr="004B021B">
        <w:rPr>
          <w:lang w:val="fr-FR" w:eastAsia="fr-FR" w:bidi="fr-FR"/>
        </w:rPr>
        <w:t>i</w:t>
      </w:r>
      <w:r w:rsidRPr="004B021B">
        <w:rPr>
          <w:lang w:val="fr-FR" w:eastAsia="fr-FR" w:bidi="fr-FR"/>
        </w:rPr>
        <w:t>que étrangère des États-Unis</w:t>
      </w:r>
      <w:r w:rsidRPr="004B021B">
        <w:t> :</w:t>
      </w:r>
      <w:r w:rsidRPr="004B021B">
        <w:rPr>
          <w:lang w:val="fr-FR" w:eastAsia="fr-FR" w:bidi="fr-FR"/>
        </w:rPr>
        <w:t xml:space="preserve"> une perspective diachronique</w:t>
      </w:r>
      <w:r w:rsidRPr="004B021B">
        <w:t> »</w:t>
      </w:r>
      <w:r w:rsidRPr="004B021B">
        <w:rPr>
          <w:lang w:val="fr-FR" w:eastAsia="fr-FR" w:bidi="fr-FR"/>
        </w:rPr>
        <w:t xml:space="preserve">, </w:t>
      </w:r>
      <w:r w:rsidRPr="00FE6054">
        <w:rPr>
          <w:i/>
          <w:iCs/>
        </w:rPr>
        <w:t>Revue inte</w:t>
      </w:r>
      <w:r w:rsidRPr="00FE6054">
        <w:rPr>
          <w:i/>
          <w:iCs/>
        </w:rPr>
        <w:t>r</w:t>
      </w:r>
      <w:r w:rsidRPr="00FE6054">
        <w:rPr>
          <w:i/>
          <w:iCs/>
        </w:rPr>
        <w:t>nationale de politique co</w:t>
      </w:r>
      <w:r w:rsidRPr="00FE6054">
        <w:rPr>
          <w:i/>
          <w:iCs/>
        </w:rPr>
        <w:t>m</w:t>
      </w:r>
      <w:r w:rsidRPr="00FE6054">
        <w:rPr>
          <w:i/>
          <w:iCs/>
        </w:rPr>
        <w:t>parée</w:t>
      </w:r>
      <w:r w:rsidRPr="004B021B">
        <w:t>,</w:t>
      </w:r>
      <w:r w:rsidRPr="004B021B">
        <w:rPr>
          <w:lang w:val="fr-FR" w:eastAsia="fr-FR" w:bidi="fr-FR"/>
        </w:rPr>
        <w:t xml:space="preserve"> 8 (1), 2001, p. 135-161.</w:t>
      </w:r>
    </w:p>
  </w:footnote>
  <w:footnote w:id="513">
    <w:p w14:paraId="05AB2502" w14:textId="77777777" w:rsidR="0039793A" w:rsidRDefault="0039793A" w:rsidP="0039793A">
      <w:pPr>
        <w:pStyle w:val="Notedebasdepage"/>
      </w:pPr>
      <w:r>
        <w:rPr>
          <w:rStyle w:val="Appelnotedebasdep"/>
        </w:rPr>
        <w:footnoteRef/>
      </w:r>
      <w:r>
        <w:tab/>
      </w:r>
      <w:r w:rsidRPr="004B021B">
        <w:rPr>
          <w:lang w:val="fr-FR" w:eastAsia="fr-FR" w:bidi="fr-FR"/>
        </w:rPr>
        <w:t xml:space="preserve">Pour l’exemple historique d’un </w:t>
      </w:r>
      <w:r w:rsidRPr="004B021B">
        <w:t>« </w:t>
      </w:r>
      <w:r w:rsidRPr="004B021B">
        <w:rPr>
          <w:lang w:val="fr-FR" w:eastAsia="fr-FR" w:bidi="fr-FR"/>
        </w:rPr>
        <w:t>maître du Sénat</w:t>
      </w:r>
      <w:r w:rsidRPr="004B021B">
        <w:t> »</w:t>
      </w:r>
      <w:r w:rsidRPr="004B021B">
        <w:rPr>
          <w:lang w:val="fr-FR" w:eastAsia="fr-FR" w:bidi="fr-FR"/>
        </w:rPr>
        <w:t xml:space="preserve"> et de la manière dont le président cajole les sénateurs et représentants importants, voir la biogr</w:t>
      </w:r>
      <w:r w:rsidRPr="004B021B">
        <w:rPr>
          <w:lang w:val="fr-FR" w:eastAsia="fr-FR" w:bidi="fr-FR"/>
        </w:rPr>
        <w:t>a</w:t>
      </w:r>
      <w:r w:rsidRPr="004B021B">
        <w:rPr>
          <w:lang w:val="fr-FR" w:eastAsia="fr-FR" w:bidi="fr-FR"/>
        </w:rPr>
        <w:t xml:space="preserve">phie de L.B. Johnson par Robert Caro, </w:t>
      </w:r>
      <w:r w:rsidRPr="00FE6054">
        <w:rPr>
          <w:i/>
          <w:iCs/>
        </w:rPr>
        <w:t>Master of the Senate : The Years of Ly</w:t>
      </w:r>
      <w:r w:rsidRPr="00FE6054">
        <w:rPr>
          <w:i/>
          <w:iCs/>
        </w:rPr>
        <w:t>n</w:t>
      </w:r>
      <w:r w:rsidRPr="00FE6054">
        <w:rPr>
          <w:i/>
          <w:iCs/>
        </w:rPr>
        <w:t>don Joh</w:t>
      </w:r>
      <w:r w:rsidRPr="00FE6054">
        <w:rPr>
          <w:i/>
          <w:iCs/>
        </w:rPr>
        <w:t>n</w:t>
      </w:r>
      <w:r w:rsidRPr="00FE6054">
        <w:rPr>
          <w:i/>
          <w:iCs/>
        </w:rPr>
        <w:t>son</w:t>
      </w:r>
      <w:r w:rsidRPr="004B021B">
        <w:t>,</w:t>
      </w:r>
      <w:r w:rsidRPr="004B021B">
        <w:rPr>
          <w:lang w:val="fr-FR" w:eastAsia="fr-FR" w:bidi="fr-FR"/>
        </w:rPr>
        <w:t xml:space="preserve"> tome 3, New York, Knopf, avril 2002, 1132 p.</w:t>
      </w:r>
    </w:p>
  </w:footnote>
  <w:footnote w:id="514">
    <w:p w14:paraId="11B75EEC" w14:textId="77777777" w:rsidR="0039793A" w:rsidRDefault="0039793A" w:rsidP="0039793A">
      <w:pPr>
        <w:pStyle w:val="Notedebasdepage"/>
      </w:pPr>
      <w:r>
        <w:rPr>
          <w:rStyle w:val="Appelnotedebasdep"/>
        </w:rPr>
        <w:footnoteRef/>
      </w:r>
      <w:r>
        <w:tab/>
      </w:r>
      <w:r w:rsidRPr="004B021B">
        <w:rPr>
          <w:lang w:val="fr-FR" w:eastAsia="fr-FR" w:bidi="fr-FR"/>
        </w:rPr>
        <w:t>Cette procédure vise à informer les parlementaires, mais ég</w:t>
      </w:r>
      <w:r w:rsidRPr="004B021B">
        <w:rPr>
          <w:lang w:val="fr-FR" w:eastAsia="fr-FR" w:bidi="fr-FR"/>
        </w:rPr>
        <w:t>a</w:t>
      </w:r>
      <w:r w:rsidRPr="004B021B">
        <w:rPr>
          <w:lang w:val="fr-FR" w:eastAsia="fr-FR" w:bidi="fr-FR"/>
        </w:rPr>
        <w:t>lement à leur permettre d’exprimer leur désaccord ou leur mécontentement quant à la p</w:t>
      </w:r>
      <w:r w:rsidRPr="004B021B">
        <w:rPr>
          <w:lang w:val="fr-FR" w:eastAsia="fr-FR" w:bidi="fr-FR"/>
        </w:rPr>
        <w:t>o</w:t>
      </w:r>
      <w:r w:rsidRPr="004B021B">
        <w:rPr>
          <w:lang w:val="fr-FR" w:eastAsia="fr-FR" w:bidi="fr-FR"/>
        </w:rPr>
        <w:t>litique conduite par l’Exécutif.</w:t>
      </w:r>
    </w:p>
  </w:footnote>
  <w:footnote w:id="515">
    <w:p w14:paraId="42C1491E" w14:textId="77777777" w:rsidR="0039793A" w:rsidRDefault="0039793A" w:rsidP="0039793A">
      <w:pPr>
        <w:pStyle w:val="Notedebasdepage"/>
      </w:pPr>
      <w:r>
        <w:rPr>
          <w:rStyle w:val="Appelnotedebasdep"/>
        </w:rPr>
        <w:footnoteRef/>
      </w:r>
      <w:r>
        <w:tab/>
      </w:r>
      <w:r w:rsidRPr="004B021B">
        <w:rPr>
          <w:lang w:val="fr-FR" w:eastAsia="fr-FR" w:bidi="fr-FR"/>
        </w:rPr>
        <w:t>Comme il a été noté précédemment, cette dernière mesure constitue un veto législatif et tombe par conséquent sous la juri</w:t>
      </w:r>
      <w:r w:rsidRPr="004B021B">
        <w:rPr>
          <w:lang w:val="fr-FR" w:eastAsia="fr-FR" w:bidi="fr-FR"/>
        </w:rPr>
        <w:t>s</w:t>
      </w:r>
      <w:r w:rsidRPr="004B021B">
        <w:rPr>
          <w:lang w:val="fr-FR" w:eastAsia="fr-FR" w:bidi="fr-FR"/>
        </w:rPr>
        <w:t xml:space="preserve">prudence de l’arrêt </w:t>
      </w:r>
      <w:r w:rsidRPr="004B021B">
        <w:rPr>
          <w:rStyle w:val="Notedebasdepage7ptItalique"/>
          <w:sz w:val="24"/>
        </w:rPr>
        <w:t xml:space="preserve">INS </w:t>
      </w:r>
      <w:r w:rsidRPr="006762B2">
        <w:rPr>
          <w:i/>
          <w:iCs/>
        </w:rPr>
        <w:t>vs. Chadha</w:t>
      </w:r>
      <w:r w:rsidRPr="004B021B">
        <w:rPr>
          <w:lang w:val="fr-FR" w:eastAsia="fr-FR" w:bidi="fr-FR"/>
        </w:rPr>
        <w:t xml:space="preserve"> de 1983</w:t>
      </w:r>
      <w:r w:rsidRPr="004B021B">
        <w:t> ;</w:t>
      </w:r>
      <w:r w:rsidRPr="004B021B">
        <w:rPr>
          <w:lang w:val="fr-FR" w:eastAsia="fr-FR" w:bidi="fr-FR"/>
        </w:rPr>
        <w:t xml:space="preserve"> il est, depuis 1983, nécessaire de voter une résolution conjointe (à l</w:t>
      </w:r>
      <w:r w:rsidRPr="004B021B">
        <w:rPr>
          <w:lang w:val="fr-FR" w:eastAsia="fr-FR" w:bidi="fr-FR"/>
        </w:rPr>
        <w:t>a</w:t>
      </w:r>
      <w:r w:rsidRPr="004B021B">
        <w:rPr>
          <w:lang w:val="fr-FR" w:eastAsia="fr-FR" w:bidi="fr-FR"/>
        </w:rPr>
        <w:t>quelle le président peut mettre son veto) pour faire cesser le déploiement</w:t>
      </w:r>
      <w:r w:rsidRPr="004B021B">
        <w:t> ;</w:t>
      </w:r>
      <w:r w:rsidRPr="004B021B">
        <w:rPr>
          <w:lang w:val="fr-FR" w:eastAsia="fr-FR" w:bidi="fr-FR"/>
        </w:rPr>
        <w:t xml:space="preserve"> mais ce point est controversé comme le prouve une tentative du républ</w:t>
      </w:r>
      <w:r w:rsidRPr="004B021B">
        <w:rPr>
          <w:lang w:val="fr-FR" w:eastAsia="fr-FR" w:bidi="fr-FR"/>
        </w:rPr>
        <w:t>i</w:t>
      </w:r>
      <w:r w:rsidRPr="004B021B">
        <w:rPr>
          <w:lang w:val="fr-FR" w:eastAsia="fr-FR" w:bidi="fr-FR"/>
        </w:rPr>
        <w:t xml:space="preserve">cain Benjamin Gilman lors de l’opération en Somalie en 1993. Voir Richard F. Grimmett, </w:t>
      </w:r>
      <w:r w:rsidRPr="006762B2">
        <w:rPr>
          <w:i/>
          <w:iCs/>
        </w:rPr>
        <w:t>War Powers R</w:t>
      </w:r>
      <w:r>
        <w:rPr>
          <w:i/>
          <w:iCs/>
        </w:rPr>
        <w:t>e</w:t>
      </w:r>
      <w:r w:rsidRPr="006762B2">
        <w:rPr>
          <w:i/>
          <w:iCs/>
        </w:rPr>
        <w:t>solution : Presidential Co</w:t>
      </w:r>
      <w:r w:rsidRPr="006762B2">
        <w:rPr>
          <w:i/>
          <w:iCs/>
        </w:rPr>
        <w:t>m</w:t>
      </w:r>
      <w:r w:rsidRPr="006762B2">
        <w:rPr>
          <w:i/>
          <w:iCs/>
        </w:rPr>
        <w:t>pliance</w:t>
      </w:r>
      <w:r w:rsidRPr="004B021B">
        <w:rPr>
          <w:lang w:val="fr-FR" w:eastAsia="fr-FR" w:bidi="fr-FR"/>
        </w:rPr>
        <w:t xml:space="preserve">, </w:t>
      </w:r>
      <w:r w:rsidRPr="004B021B">
        <w:t xml:space="preserve">CRS </w:t>
      </w:r>
      <w:r w:rsidRPr="004B021B">
        <w:rPr>
          <w:lang w:val="fr-FR" w:eastAsia="fr-FR" w:bidi="fr-FR"/>
        </w:rPr>
        <w:t>Issue Brief, L</w:t>
      </w:r>
      <w:r w:rsidRPr="004B021B">
        <w:rPr>
          <w:lang w:val="fr-FR" w:eastAsia="fr-FR" w:bidi="fr-FR"/>
        </w:rPr>
        <w:t>i</w:t>
      </w:r>
      <w:r w:rsidRPr="004B021B">
        <w:rPr>
          <w:lang w:val="fr-FR" w:eastAsia="fr-FR" w:bidi="fr-FR"/>
        </w:rPr>
        <w:t xml:space="preserve">brary of Congress, Washington </w:t>
      </w:r>
      <w:r w:rsidRPr="004B021B">
        <w:t xml:space="preserve">DC, </w:t>
      </w:r>
      <w:r w:rsidRPr="004B021B">
        <w:rPr>
          <w:lang w:val="fr-FR" w:eastAsia="fr-FR" w:bidi="fr-FR"/>
        </w:rPr>
        <w:t xml:space="preserve">1999, 15 p. et du même auteur, </w:t>
      </w:r>
      <w:r w:rsidRPr="006762B2">
        <w:rPr>
          <w:i/>
          <w:iCs/>
        </w:rPr>
        <w:t>The War Powers R</w:t>
      </w:r>
      <w:r w:rsidRPr="006762B2">
        <w:rPr>
          <w:i/>
          <w:iCs/>
        </w:rPr>
        <w:t>e</w:t>
      </w:r>
      <w:r w:rsidRPr="006762B2">
        <w:rPr>
          <w:i/>
          <w:iCs/>
        </w:rPr>
        <w:t>solution : After Twenty-Eight Years</w:t>
      </w:r>
      <w:r w:rsidRPr="004B021B">
        <w:t>,</w:t>
      </w:r>
      <w:r w:rsidRPr="004B021B">
        <w:rPr>
          <w:lang w:val="fr-FR" w:eastAsia="fr-FR" w:bidi="fr-FR"/>
        </w:rPr>
        <w:t xml:space="preserve"> Washington </w:t>
      </w:r>
      <w:r w:rsidRPr="004B021B">
        <w:t xml:space="preserve">DC, CRS </w:t>
      </w:r>
      <w:r w:rsidRPr="004B021B">
        <w:rPr>
          <w:lang w:val="fr-FR" w:eastAsia="fr-FR" w:bidi="fr-FR"/>
        </w:rPr>
        <w:t>Issue Brief, L</w:t>
      </w:r>
      <w:r w:rsidRPr="004B021B">
        <w:rPr>
          <w:lang w:val="fr-FR" w:eastAsia="fr-FR" w:bidi="fr-FR"/>
        </w:rPr>
        <w:t>i</w:t>
      </w:r>
      <w:r w:rsidRPr="004B021B">
        <w:rPr>
          <w:lang w:val="fr-FR" w:eastAsia="fr-FR" w:bidi="fr-FR"/>
        </w:rPr>
        <w:t>brary of Congress, 15 novembre 2001, 69 p.</w:t>
      </w:r>
    </w:p>
  </w:footnote>
  <w:footnote w:id="516">
    <w:p w14:paraId="0C1EE562" w14:textId="77777777" w:rsidR="0039793A" w:rsidRDefault="0039793A" w:rsidP="0039793A">
      <w:pPr>
        <w:pStyle w:val="Notedebasdepage"/>
      </w:pPr>
      <w:r>
        <w:rPr>
          <w:rStyle w:val="Appelnotedebasdep"/>
        </w:rPr>
        <w:footnoteRef/>
      </w:r>
      <w:r>
        <w:tab/>
      </w:r>
      <w:r w:rsidRPr="004B021B">
        <w:t xml:space="preserve">Richard Grimmett, </w:t>
      </w:r>
      <w:r w:rsidRPr="006762B2">
        <w:rPr>
          <w:i/>
          <w:iCs/>
          <w:lang w:val="fr-FR" w:eastAsia="fr-FR" w:bidi="fr-FR"/>
        </w:rPr>
        <w:t>The War Powers Resolution</w:t>
      </w:r>
      <w:r w:rsidRPr="004B021B">
        <w:rPr>
          <w:lang w:val="fr-FR" w:eastAsia="fr-FR" w:bidi="fr-FR"/>
        </w:rPr>
        <w:t>.</w:t>
      </w:r>
      <w:r w:rsidRPr="004B021B">
        <w:t xml:space="preserve">.., </w:t>
      </w:r>
      <w:r w:rsidRPr="006762B2">
        <w:rPr>
          <w:i/>
          <w:iCs/>
          <w:lang w:val="fr-FR" w:eastAsia="fr-FR" w:bidi="fr-FR"/>
        </w:rPr>
        <w:t>op. cit</w:t>
      </w:r>
      <w:r w:rsidRPr="004B021B">
        <w:rPr>
          <w:lang w:val="fr-FR" w:eastAsia="fr-FR" w:bidi="fr-FR"/>
        </w:rPr>
        <w:t>.,</w:t>
      </w:r>
      <w:r w:rsidRPr="004B021B">
        <w:t xml:space="preserve"> p. 23.</w:t>
      </w:r>
    </w:p>
  </w:footnote>
  <w:footnote w:id="517">
    <w:p w14:paraId="1852A025" w14:textId="77777777" w:rsidR="0039793A" w:rsidRDefault="0039793A" w:rsidP="0039793A">
      <w:pPr>
        <w:pStyle w:val="Notedebasdepage"/>
      </w:pPr>
      <w:r>
        <w:rPr>
          <w:rStyle w:val="Appelnotedebasdep"/>
        </w:rPr>
        <w:footnoteRef/>
      </w:r>
      <w:r>
        <w:tab/>
      </w:r>
      <w:r w:rsidRPr="004B021B">
        <w:rPr>
          <w:lang w:val="fr-FR" w:eastAsia="fr-FR" w:bidi="fr-FR"/>
        </w:rPr>
        <w:t xml:space="preserve">Voir Richard Grimmett, </w:t>
      </w:r>
      <w:r w:rsidRPr="00626420">
        <w:rPr>
          <w:i/>
          <w:iCs/>
        </w:rPr>
        <w:t>The War Powers Resolution</w:t>
      </w:r>
      <w:r w:rsidRPr="00626420">
        <w:t>...</w:t>
      </w:r>
      <w:r w:rsidRPr="00626420">
        <w:rPr>
          <w:i/>
          <w:iCs/>
        </w:rPr>
        <w:t>, op. cit</w:t>
      </w:r>
      <w:r w:rsidRPr="004B021B">
        <w:t>.,</w:t>
      </w:r>
      <w:r w:rsidRPr="004B021B">
        <w:rPr>
          <w:lang w:val="fr-FR" w:eastAsia="fr-FR" w:bidi="fr-FR"/>
        </w:rPr>
        <w:t xml:space="preserve"> p. 40-41. Arrêts successifs du juge Friedman de la </w:t>
      </w:r>
      <w:r w:rsidRPr="00626420">
        <w:rPr>
          <w:rStyle w:val="Notedebasdepage7ptItalique"/>
          <w:sz w:val="24"/>
        </w:rPr>
        <w:t xml:space="preserve">US </w:t>
      </w:r>
      <w:r w:rsidRPr="00626420">
        <w:rPr>
          <w:i/>
          <w:iCs/>
        </w:rPr>
        <w:t>District Court for the District of Columbia</w:t>
      </w:r>
      <w:r w:rsidRPr="004B021B">
        <w:rPr>
          <w:lang w:val="fr-FR" w:eastAsia="fr-FR" w:bidi="fr-FR"/>
        </w:rPr>
        <w:t xml:space="preserve"> at 52 F. Sup. 2d 34 (1999) du 8 juin 1999</w:t>
      </w:r>
      <w:r w:rsidRPr="004B021B">
        <w:t> ;</w:t>
      </w:r>
      <w:r w:rsidRPr="004B021B">
        <w:rPr>
          <w:lang w:val="fr-FR" w:eastAsia="fr-FR" w:bidi="fr-FR"/>
        </w:rPr>
        <w:t xml:space="preserve"> </w:t>
      </w:r>
      <w:r w:rsidRPr="00626420">
        <w:rPr>
          <w:i/>
          <w:iCs/>
        </w:rPr>
        <w:t>Campbell v. Cli</w:t>
      </w:r>
      <w:r w:rsidRPr="00626420">
        <w:rPr>
          <w:i/>
          <w:iCs/>
        </w:rPr>
        <w:t>n</w:t>
      </w:r>
      <w:r w:rsidRPr="00626420">
        <w:rPr>
          <w:i/>
          <w:iCs/>
        </w:rPr>
        <w:t>ton</w:t>
      </w:r>
      <w:r w:rsidRPr="004B021B">
        <w:t xml:space="preserve">, </w:t>
      </w:r>
      <w:r w:rsidRPr="004B021B">
        <w:rPr>
          <w:lang w:val="fr-FR" w:eastAsia="fr-FR" w:bidi="fr-FR"/>
        </w:rPr>
        <w:t xml:space="preserve">203 F.3d 19 </w:t>
      </w:r>
      <w:r w:rsidRPr="004B021B">
        <w:t xml:space="preserve">(DC </w:t>
      </w:r>
      <w:r w:rsidRPr="004B021B">
        <w:rPr>
          <w:lang w:val="fr-FR" w:eastAsia="fr-FR" w:bidi="fr-FR"/>
        </w:rPr>
        <w:t>Cir. 2000) du 18 février 2000</w:t>
      </w:r>
      <w:r w:rsidRPr="004B021B">
        <w:t> ;</w:t>
      </w:r>
      <w:r w:rsidRPr="004B021B">
        <w:rPr>
          <w:lang w:val="fr-FR" w:eastAsia="fr-FR" w:bidi="fr-FR"/>
        </w:rPr>
        <w:t xml:space="preserve"> et enfin refus de tra</w:t>
      </w:r>
      <w:r w:rsidRPr="004B021B">
        <w:rPr>
          <w:lang w:val="fr-FR" w:eastAsia="fr-FR" w:bidi="fr-FR"/>
        </w:rPr>
        <w:t>n</w:t>
      </w:r>
      <w:r w:rsidRPr="004B021B">
        <w:rPr>
          <w:lang w:val="fr-FR" w:eastAsia="fr-FR" w:bidi="fr-FR"/>
        </w:rPr>
        <w:t>cher par la Cour s</w:t>
      </w:r>
      <w:r w:rsidRPr="004B021B">
        <w:rPr>
          <w:lang w:val="fr-FR" w:eastAsia="fr-FR" w:bidi="fr-FR"/>
        </w:rPr>
        <w:t>u</w:t>
      </w:r>
      <w:r w:rsidRPr="004B021B">
        <w:rPr>
          <w:lang w:val="fr-FR" w:eastAsia="fr-FR" w:bidi="fr-FR"/>
        </w:rPr>
        <w:t xml:space="preserve">prême </w:t>
      </w:r>
      <w:r w:rsidRPr="00626420">
        <w:rPr>
          <w:i/>
          <w:iCs/>
        </w:rPr>
        <w:t>Campbell v. Clinton</w:t>
      </w:r>
      <w:r w:rsidRPr="004B021B">
        <w:t>,</w:t>
      </w:r>
      <w:r w:rsidRPr="004B021B">
        <w:rPr>
          <w:lang w:val="fr-FR" w:eastAsia="fr-FR" w:bidi="fr-FR"/>
        </w:rPr>
        <w:t xml:space="preserve"> cert. denied, 531 </w:t>
      </w:r>
      <w:r w:rsidRPr="004B021B">
        <w:t xml:space="preserve">US </w:t>
      </w:r>
      <w:r w:rsidRPr="004B021B">
        <w:rPr>
          <w:lang w:val="fr-FR" w:eastAsia="fr-FR" w:bidi="fr-FR"/>
        </w:rPr>
        <w:t>815 du 2 o</w:t>
      </w:r>
      <w:r w:rsidRPr="004B021B">
        <w:rPr>
          <w:lang w:val="fr-FR" w:eastAsia="fr-FR" w:bidi="fr-FR"/>
        </w:rPr>
        <w:t>c</w:t>
      </w:r>
      <w:r w:rsidRPr="004B021B">
        <w:rPr>
          <w:lang w:val="fr-FR" w:eastAsia="fr-FR" w:bidi="fr-FR"/>
        </w:rPr>
        <w:t>tobre</w:t>
      </w:r>
      <w:r>
        <w:rPr>
          <w:lang w:val="fr-FR" w:eastAsia="fr-FR" w:bidi="fr-FR"/>
        </w:rPr>
        <w:t xml:space="preserve"> </w:t>
      </w:r>
      <w:r w:rsidRPr="004B021B">
        <w:rPr>
          <w:lang w:val="fr-FR" w:eastAsia="fr-FR" w:bidi="fr-FR"/>
        </w:rPr>
        <w:t>2000</w:t>
      </w:r>
      <w:r w:rsidRPr="004B021B">
        <w:rPr>
          <w:rStyle w:val="Notedebasdepage3AppleGothic65pt"/>
          <w:sz w:val="24"/>
        </w:rPr>
        <w:t>.</w:t>
      </w:r>
    </w:p>
  </w:footnote>
  <w:footnote w:id="518">
    <w:p w14:paraId="34D6601E" w14:textId="77777777" w:rsidR="0039793A" w:rsidRDefault="0039793A" w:rsidP="0039793A">
      <w:pPr>
        <w:pStyle w:val="Notedebasdepage"/>
      </w:pPr>
      <w:r>
        <w:rPr>
          <w:rStyle w:val="Appelnotedebasdep"/>
        </w:rPr>
        <w:footnoteRef/>
      </w:r>
      <w:r>
        <w:tab/>
      </w:r>
      <w:r w:rsidRPr="004B021B">
        <w:rPr>
          <w:lang w:val="fr-FR" w:eastAsia="fr-FR" w:bidi="fr-FR"/>
        </w:rPr>
        <w:t xml:space="preserve">Voir la </w:t>
      </w:r>
      <w:r w:rsidRPr="00626420">
        <w:rPr>
          <w:i/>
          <w:iCs/>
        </w:rPr>
        <w:t>Senate</w:t>
      </w:r>
      <w:r>
        <w:rPr>
          <w:i/>
          <w:iCs/>
        </w:rPr>
        <w:t xml:space="preserve"> </w:t>
      </w:r>
      <w:r w:rsidRPr="00626420">
        <w:rPr>
          <w:i/>
          <w:iCs/>
        </w:rPr>
        <w:t>Joint Resolution</w:t>
      </w:r>
      <w:r w:rsidRPr="004B021B">
        <w:rPr>
          <w:lang w:val="fr-FR" w:eastAsia="fr-FR" w:bidi="fr-FR"/>
        </w:rPr>
        <w:t xml:space="preserve"> 23, signée par le président le 18 septe</w:t>
      </w:r>
      <w:r w:rsidRPr="004B021B">
        <w:rPr>
          <w:lang w:val="fr-FR" w:eastAsia="fr-FR" w:bidi="fr-FR"/>
        </w:rPr>
        <w:t>m</w:t>
      </w:r>
      <w:r w:rsidRPr="004B021B">
        <w:rPr>
          <w:lang w:val="fr-FR" w:eastAsia="fr-FR" w:bidi="fr-FR"/>
        </w:rPr>
        <w:t>bre</w:t>
      </w:r>
      <w:r>
        <w:rPr>
          <w:lang w:val="fr-FR" w:eastAsia="fr-FR" w:bidi="fr-FR"/>
        </w:rPr>
        <w:t xml:space="preserve"> </w:t>
      </w:r>
      <w:r w:rsidRPr="004B021B">
        <w:rPr>
          <w:lang w:val="fr-FR" w:eastAsia="fr-FR" w:bidi="fr-FR"/>
        </w:rPr>
        <w:t>2001</w:t>
      </w:r>
      <w:r w:rsidRPr="004B021B">
        <w:t>.</w:t>
      </w:r>
    </w:p>
  </w:footnote>
  <w:footnote w:id="519">
    <w:p w14:paraId="1F322CFA" w14:textId="77777777" w:rsidR="0039793A" w:rsidRDefault="0039793A" w:rsidP="0039793A">
      <w:pPr>
        <w:pStyle w:val="Notedebasdepage"/>
      </w:pPr>
      <w:r>
        <w:rPr>
          <w:rStyle w:val="Appelnotedebasdep"/>
        </w:rPr>
        <w:footnoteRef/>
      </w:r>
      <w:r>
        <w:tab/>
      </w:r>
      <w:r w:rsidRPr="004B021B">
        <w:rPr>
          <w:lang w:val="fr-FR" w:eastAsia="fr-FR" w:bidi="fr-FR"/>
        </w:rPr>
        <w:t xml:space="preserve">Voir la </w:t>
      </w:r>
      <w:r w:rsidRPr="00626420">
        <w:rPr>
          <w:i/>
          <w:iCs/>
        </w:rPr>
        <w:t>House Joint Resolution</w:t>
      </w:r>
      <w:r w:rsidRPr="004B021B">
        <w:rPr>
          <w:lang w:val="fr-FR" w:eastAsia="fr-FR" w:bidi="fr-FR"/>
        </w:rPr>
        <w:t xml:space="preserve"> 114, signée par le président le 16 octobre</w:t>
      </w:r>
      <w:r>
        <w:rPr>
          <w:lang w:val="fr-FR" w:eastAsia="fr-FR" w:bidi="fr-FR"/>
        </w:rPr>
        <w:t xml:space="preserve"> </w:t>
      </w:r>
      <w:r w:rsidRPr="004B021B">
        <w:rPr>
          <w:lang w:val="fr-FR" w:eastAsia="fr-FR" w:bidi="fr-FR"/>
        </w:rPr>
        <w:t>2002</w:t>
      </w:r>
      <w:r w:rsidRPr="004B021B">
        <w:rPr>
          <w:rStyle w:val="Notedebasdepage5AppleGothic5pt"/>
          <w:sz w:val="24"/>
        </w:rPr>
        <w:t>.</w:t>
      </w:r>
    </w:p>
  </w:footnote>
  <w:footnote w:id="520">
    <w:p w14:paraId="62F430A2" w14:textId="77777777" w:rsidR="0039793A" w:rsidRDefault="0039793A" w:rsidP="0039793A">
      <w:pPr>
        <w:pStyle w:val="Notedebasdepage"/>
      </w:pPr>
      <w:r>
        <w:rPr>
          <w:rStyle w:val="Appelnotedebasdep"/>
        </w:rPr>
        <w:footnoteRef/>
      </w:r>
      <w:r>
        <w:tab/>
      </w:r>
      <w:r w:rsidRPr="004B021B">
        <w:rPr>
          <w:lang w:val="fr-FR" w:eastAsia="fr-FR" w:bidi="fr-FR"/>
        </w:rPr>
        <w:t xml:space="preserve">Voir Daniel Sabbagh, </w:t>
      </w:r>
      <w:r w:rsidRPr="002C29C7">
        <w:rPr>
          <w:i/>
          <w:iCs/>
        </w:rPr>
        <w:t>op. cit</w:t>
      </w:r>
      <w:r w:rsidRPr="004B021B">
        <w:t>.,</w:t>
      </w:r>
      <w:r w:rsidRPr="004B021B">
        <w:rPr>
          <w:lang w:val="fr-FR" w:eastAsia="fr-FR" w:bidi="fr-FR"/>
        </w:rPr>
        <w:t xml:space="preserve"> p. 145.</w:t>
      </w:r>
    </w:p>
  </w:footnote>
  <w:footnote w:id="521">
    <w:p w14:paraId="4CFAB16F" w14:textId="77777777" w:rsidR="0039793A" w:rsidRDefault="0039793A" w:rsidP="0039793A">
      <w:pPr>
        <w:pStyle w:val="Notedebasdepage"/>
      </w:pPr>
      <w:r>
        <w:rPr>
          <w:rStyle w:val="Appelnotedebasdep"/>
        </w:rPr>
        <w:footnoteRef/>
      </w:r>
      <w:r>
        <w:tab/>
      </w:r>
      <w:r w:rsidRPr="004B021B">
        <w:rPr>
          <w:lang w:val="fr-FR" w:eastAsia="fr-FR" w:bidi="fr-FR"/>
        </w:rPr>
        <w:t>Lesquels souhaitaient renverser le gouvernement sandiniste arrivé au po</w:t>
      </w:r>
      <w:r w:rsidRPr="004B021B">
        <w:rPr>
          <w:lang w:val="fr-FR" w:eastAsia="fr-FR" w:bidi="fr-FR"/>
        </w:rPr>
        <w:t>u</w:t>
      </w:r>
      <w:r w:rsidRPr="004B021B">
        <w:rPr>
          <w:lang w:val="fr-FR" w:eastAsia="fr-FR" w:bidi="fr-FR"/>
        </w:rPr>
        <w:t>voir en 1979, et tenu pour un avant-poste de Moscou et La H</w:t>
      </w:r>
      <w:r w:rsidRPr="004B021B">
        <w:rPr>
          <w:lang w:val="fr-FR" w:eastAsia="fr-FR" w:bidi="fr-FR"/>
        </w:rPr>
        <w:t>a</w:t>
      </w:r>
      <w:r w:rsidRPr="004B021B">
        <w:rPr>
          <w:lang w:val="fr-FR" w:eastAsia="fr-FR" w:bidi="fr-FR"/>
        </w:rPr>
        <w:t>vane par l’Administration Reagan.</w:t>
      </w:r>
    </w:p>
  </w:footnote>
  <w:footnote w:id="522">
    <w:p w14:paraId="4875CF75" w14:textId="77777777" w:rsidR="0039793A" w:rsidRDefault="0039793A" w:rsidP="0039793A">
      <w:pPr>
        <w:pStyle w:val="Notedebasdepage"/>
      </w:pPr>
      <w:r>
        <w:rPr>
          <w:rStyle w:val="Appelnotedebasdep"/>
        </w:rPr>
        <w:footnoteRef/>
      </w:r>
      <w:r>
        <w:tab/>
      </w:r>
      <w:r w:rsidRPr="004B021B">
        <w:rPr>
          <w:lang w:val="fr-FR" w:eastAsia="fr-FR" w:bidi="fr-FR"/>
        </w:rPr>
        <w:t xml:space="preserve">Voir Kegley, </w:t>
      </w:r>
      <w:r w:rsidRPr="007C44B3">
        <w:rPr>
          <w:i/>
          <w:iCs/>
        </w:rPr>
        <w:t>op. cit</w:t>
      </w:r>
      <w:r w:rsidRPr="004B021B">
        <w:t>.,</w:t>
      </w:r>
      <w:r w:rsidRPr="004B021B">
        <w:rPr>
          <w:lang w:val="fr-FR" w:eastAsia="fr-FR" w:bidi="fr-FR"/>
        </w:rPr>
        <w:t xml:space="preserve"> p. 431 et suiv.</w:t>
      </w:r>
    </w:p>
  </w:footnote>
  <w:footnote w:id="523">
    <w:p w14:paraId="6AA49710" w14:textId="77777777" w:rsidR="0039793A" w:rsidRDefault="0039793A" w:rsidP="0039793A">
      <w:pPr>
        <w:pStyle w:val="Notedebasdepage"/>
      </w:pPr>
      <w:r>
        <w:rPr>
          <w:rStyle w:val="Appelnotedebasdep"/>
        </w:rPr>
        <w:footnoteRef/>
      </w:r>
      <w:r>
        <w:tab/>
      </w:r>
      <w:r w:rsidRPr="004B021B">
        <w:rPr>
          <w:lang w:val="fr-FR" w:eastAsia="fr-FR" w:bidi="fr-FR"/>
        </w:rPr>
        <w:t xml:space="preserve">Ralph G. Carter, </w:t>
      </w:r>
      <w:r w:rsidRPr="004B021B">
        <w:t>« </w:t>
      </w:r>
      <w:r w:rsidRPr="004B021B">
        <w:rPr>
          <w:lang w:val="fr-FR" w:eastAsia="fr-FR" w:bidi="fr-FR"/>
        </w:rPr>
        <w:t xml:space="preserve">Congress and Post-Cold War </w:t>
      </w:r>
      <w:r w:rsidRPr="004B021B">
        <w:t xml:space="preserve">US </w:t>
      </w:r>
      <w:r w:rsidRPr="004B021B">
        <w:rPr>
          <w:lang w:val="fr-FR" w:eastAsia="fr-FR" w:bidi="fr-FR"/>
        </w:rPr>
        <w:t>Foreign Policy</w:t>
      </w:r>
      <w:r w:rsidRPr="004B021B">
        <w:t> »</w:t>
      </w:r>
      <w:r w:rsidRPr="004B021B">
        <w:rPr>
          <w:lang w:val="fr-FR" w:eastAsia="fr-FR" w:bidi="fr-FR"/>
        </w:rPr>
        <w:t xml:space="preserve">, dans James Scott (ed.), </w:t>
      </w:r>
      <w:r w:rsidRPr="007C44B3">
        <w:rPr>
          <w:i/>
          <w:iCs/>
        </w:rPr>
        <w:t xml:space="preserve">After the End - Making </w:t>
      </w:r>
      <w:r w:rsidRPr="007C44B3">
        <w:rPr>
          <w:rStyle w:val="Notedebasdepage7ptItalique"/>
          <w:i w:val="0"/>
          <w:iCs w:val="0"/>
          <w:sz w:val="24"/>
        </w:rPr>
        <w:t xml:space="preserve">US </w:t>
      </w:r>
      <w:r w:rsidRPr="007C44B3">
        <w:rPr>
          <w:i/>
          <w:iCs/>
        </w:rPr>
        <w:t>F</w:t>
      </w:r>
      <w:r w:rsidRPr="007C44B3">
        <w:rPr>
          <w:i/>
          <w:iCs/>
        </w:rPr>
        <w:t>o</w:t>
      </w:r>
      <w:r w:rsidRPr="007C44B3">
        <w:rPr>
          <w:i/>
          <w:iCs/>
        </w:rPr>
        <w:t>reign Policy After the Cold War</w:t>
      </w:r>
      <w:r w:rsidRPr="004B021B">
        <w:t>,</w:t>
      </w:r>
      <w:r w:rsidRPr="004B021B">
        <w:rPr>
          <w:lang w:val="fr-FR" w:eastAsia="fr-FR" w:bidi="fr-FR"/>
        </w:rPr>
        <w:t xml:space="preserve"> Durham, Duke University Press, 1998, p. 121.</w:t>
      </w:r>
    </w:p>
  </w:footnote>
  <w:footnote w:id="524">
    <w:p w14:paraId="47443FAA" w14:textId="77777777" w:rsidR="0039793A" w:rsidRDefault="0039793A" w:rsidP="0039793A">
      <w:pPr>
        <w:pStyle w:val="Notedebasdepage"/>
      </w:pPr>
      <w:r>
        <w:rPr>
          <w:rStyle w:val="Appelnotedebasdep"/>
        </w:rPr>
        <w:footnoteRef/>
      </w:r>
      <w:r>
        <w:tab/>
      </w:r>
      <w:r w:rsidRPr="004B021B">
        <w:rPr>
          <w:lang w:val="fr-FR" w:eastAsia="fr-FR" w:bidi="fr-FR"/>
        </w:rPr>
        <w:t xml:space="preserve">Le président pendant cette période est Bill Clinton, le </w:t>
      </w:r>
      <w:r w:rsidRPr="007C44B3">
        <w:rPr>
          <w:i/>
          <w:iCs/>
        </w:rPr>
        <w:t>Speaker</w:t>
      </w:r>
      <w:r w:rsidRPr="004B021B">
        <w:rPr>
          <w:lang w:val="fr-FR" w:eastAsia="fr-FR" w:bidi="fr-FR"/>
        </w:rPr>
        <w:t xml:space="preserve"> de 1995 à 1998 est Newt Gingrich.</w:t>
      </w:r>
    </w:p>
  </w:footnote>
  <w:footnote w:id="525">
    <w:p w14:paraId="204B4A75" w14:textId="77777777" w:rsidR="0039793A" w:rsidRDefault="0039793A" w:rsidP="0039793A">
      <w:pPr>
        <w:pStyle w:val="Notedebasdepage"/>
      </w:pPr>
      <w:r>
        <w:rPr>
          <w:rStyle w:val="Appelnotedebasdep"/>
        </w:rPr>
        <w:footnoteRef/>
      </w:r>
      <w:r>
        <w:tab/>
      </w:r>
      <w:r w:rsidRPr="00C30976">
        <w:rPr>
          <w:lang w:eastAsia="fr-FR" w:bidi="fr-FR"/>
        </w:rPr>
        <w:t>Or, compte tenu du mode d’élection des sén</w:t>
      </w:r>
      <w:r w:rsidRPr="00C30976">
        <w:rPr>
          <w:lang w:eastAsia="fr-FR" w:bidi="fr-FR"/>
        </w:rPr>
        <w:t>a</w:t>
      </w:r>
      <w:r w:rsidRPr="00C30976">
        <w:rPr>
          <w:lang w:eastAsia="fr-FR" w:bidi="fr-FR"/>
        </w:rPr>
        <w:t>teurs (deux par État, y compris pour les États très peu peuplés), ceci ne représente, sous certaines configur</w:t>
      </w:r>
      <w:r w:rsidRPr="00C30976">
        <w:rPr>
          <w:lang w:eastAsia="fr-FR" w:bidi="fr-FR"/>
        </w:rPr>
        <w:t>a</w:t>
      </w:r>
      <w:r w:rsidRPr="00C30976">
        <w:rPr>
          <w:lang w:eastAsia="fr-FR" w:bidi="fr-FR"/>
        </w:rPr>
        <w:t>tions, que 5</w:t>
      </w:r>
      <w:r>
        <w:rPr>
          <w:lang w:eastAsia="fr-FR" w:bidi="fr-FR"/>
        </w:rPr>
        <w:t>%</w:t>
      </w:r>
      <w:r w:rsidRPr="00C30976">
        <w:rPr>
          <w:lang w:eastAsia="fr-FR" w:bidi="fr-FR"/>
        </w:rPr>
        <w:t xml:space="preserve"> de la population.</w:t>
      </w:r>
    </w:p>
  </w:footnote>
  <w:footnote w:id="526">
    <w:p w14:paraId="03741AFD" w14:textId="77777777" w:rsidR="0039793A" w:rsidRDefault="0039793A" w:rsidP="0039793A">
      <w:pPr>
        <w:pStyle w:val="Notedebasdepage"/>
      </w:pPr>
      <w:r>
        <w:rPr>
          <w:rStyle w:val="Appelnotedebasdep"/>
        </w:rPr>
        <w:footnoteRef/>
      </w:r>
      <w:r>
        <w:tab/>
      </w:r>
      <w:r w:rsidRPr="00C30976">
        <w:rPr>
          <w:lang w:eastAsia="fr-FR" w:bidi="fr-FR"/>
        </w:rPr>
        <w:t xml:space="preserve">Voir Terry Deibel, </w:t>
      </w:r>
      <w:r w:rsidRPr="00C30976">
        <w:t>« </w:t>
      </w:r>
      <w:r w:rsidRPr="00C30976">
        <w:rPr>
          <w:lang w:eastAsia="fr-FR" w:bidi="fr-FR"/>
        </w:rPr>
        <w:t>The Death of a Treaty</w:t>
      </w:r>
      <w:r w:rsidRPr="00C30976">
        <w:t> »</w:t>
      </w:r>
      <w:r w:rsidRPr="00C30976">
        <w:rPr>
          <w:lang w:eastAsia="fr-FR" w:bidi="fr-FR"/>
        </w:rPr>
        <w:t xml:space="preserve">, </w:t>
      </w:r>
      <w:r w:rsidRPr="00AA0230">
        <w:rPr>
          <w:i/>
          <w:iCs/>
        </w:rPr>
        <w:t>Foreign Affairs</w:t>
      </w:r>
      <w:r w:rsidRPr="00C30976">
        <w:t>,</w:t>
      </w:r>
      <w:r w:rsidRPr="00C30976">
        <w:rPr>
          <w:lang w:eastAsia="fr-FR" w:bidi="fr-FR"/>
        </w:rPr>
        <w:t xml:space="preserve"> 18, septe</w:t>
      </w:r>
      <w:r w:rsidRPr="00C30976">
        <w:rPr>
          <w:lang w:eastAsia="fr-FR" w:bidi="fr-FR"/>
        </w:rPr>
        <w:t>m</w:t>
      </w:r>
      <w:r w:rsidRPr="00C30976">
        <w:rPr>
          <w:lang w:eastAsia="fr-FR" w:bidi="fr-FR"/>
        </w:rPr>
        <w:t>bre-octobre 2002, p. 142-161.</w:t>
      </w:r>
    </w:p>
  </w:footnote>
  <w:footnote w:id="527">
    <w:p w14:paraId="183BFD08" w14:textId="77777777" w:rsidR="0039793A" w:rsidRDefault="0039793A" w:rsidP="0039793A">
      <w:pPr>
        <w:pStyle w:val="Notedebasdepage"/>
      </w:pPr>
      <w:r>
        <w:rPr>
          <w:rStyle w:val="Appelnotedebasdep"/>
        </w:rPr>
        <w:footnoteRef/>
      </w:r>
      <w:r>
        <w:tab/>
      </w:r>
      <w:r w:rsidRPr="004B021B">
        <w:rPr>
          <w:lang w:val="fr-FR" w:eastAsia="fr-FR" w:bidi="fr-FR"/>
        </w:rPr>
        <w:t>En effet, en 1992, Al Gore, participant en sa qualité de sén</w:t>
      </w:r>
      <w:r w:rsidRPr="004B021B">
        <w:rPr>
          <w:lang w:val="fr-FR" w:eastAsia="fr-FR" w:bidi="fr-FR"/>
        </w:rPr>
        <w:t>a</w:t>
      </w:r>
      <w:r w:rsidRPr="004B021B">
        <w:rPr>
          <w:lang w:val="fr-FR" w:eastAsia="fr-FR" w:bidi="fr-FR"/>
        </w:rPr>
        <w:t>teur au Sommet de la terre sur le réchauffement climatique à Rio, critique la délégation am</w:t>
      </w:r>
      <w:r w:rsidRPr="004B021B">
        <w:rPr>
          <w:lang w:val="fr-FR" w:eastAsia="fr-FR" w:bidi="fr-FR"/>
        </w:rPr>
        <w:t>é</w:t>
      </w:r>
      <w:r w:rsidRPr="004B021B">
        <w:rPr>
          <w:lang w:val="fr-FR" w:eastAsia="fr-FR" w:bidi="fr-FR"/>
        </w:rPr>
        <w:t xml:space="preserve">ricaine conduite par William Reilly, directeur de </w:t>
      </w:r>
      <w:r w:rsidRPr="004B021B">
        <w:rPr>
          <w:rStyle w:val="Notedebasdepage65ptPetitesmajuscules"/>
          <w:sz w:val="24"/>
        </w:rPr>
        <w:t xml:space="preserve">I’epa </w:t>
      </w:r>
      <w:r w:rsidRPr="004B021B">
        <w:rPr>
          <w:lang w:val="fr-FR" w:eastAsia="fr-FR" w:bidi="fr-FR"/>
        </w:rPr>
        <w:t>(l’Agence de prote</w:t>
      </w:r>
      <w:r w:rsidRPr="004B021B">
        <w:rPr>
          <w:lang w:val="fr-FR" w:eastAsia="fr-FR" w:bidi="fr-FR"/>
        </w:rPr>
        <w:t>c</w:t>
      </w:r>
      <w:r w:rsidRPr="004B021B">
        <w:rPr>
          <w:lang w:val="fr-FR" w:eastAsia="fr-FR" w:bidi="fr-FR"/>
        </w:rPr>
        <w:t>tion de l’environnement), en dénonçant l’abdication du leadership amér</w:t>
      </w:r>
      <w:r w:rsidRPr="004B021B">
        <w:rPr>
          <w:lang w:val="fr-FR" w:eastAsia="fr-FR" w:bidi="fr-FR"/>
        </w:rPr>
        <w:t>i</w:t>
      </w:r>
      <w:r w:rsidRPr="004B021B">
        <w:rPr>
          <w:lang w:val="fr-FR" w:eastAsia="fr-FR" w:bidi="fr-FR"/>
        </w:rPr>
        <w:t>cain, s’assurant ainsi une publicité nationale et internationale utile en cette période de ca</w:t>
      </w:r>
      <w:r w:rsidRPr="004B021B">
        <w:rPr>
          <w:lang w:val="fr-FR" w:eastAsia="fr-FR" w:bidi="fr-FR"/>
        </w:rPr>
        <w:t>m</w:t>
      </w:r>
      <w:r w:rsidRPr="004B021B">
        <w:rPr>
          <w:lang w:val="fr-FR" w:eastAsia="fr-FR" w:bidi="fr-FR"/>
        </w:rPr>
        <w:t>pagne électorale.</w:t>
      </w:r>
    </w:p>
  </w:footnote>
  <w:footnote w:id="528">
    <w:p w14:paraId="5066DA52" w14:textId="77777777" w:rsidR="0039793A" w:rsidRDefault="0039793A" w:rsidP="0039793A">
      <w:pPr>
        <w:pStyle w:val="Notedebasdepage"/>
      </w:pPr>
      <w:r>
        <w:rPr>
          <w:rStyle w:val="Appelnotedebasdep"/>
        </w:rPr>
        <w:footnoteRef/>
      </w:r>
      <w:r>
        <w:tab/>
      </w:r>
      <w:r w:rsidRPr="004B021B">
        <w:rPr>
          <w:lang w:val="fr-FR" w:eastAsia="fr-FR" w:bidi="fr-FR"/>
        </w:rPr>
        <w:t>Il faut toutefois signaler que les accords exécutifs, qui const</w:t>
      </w:r>
      <w:r w:rsidRPr="004B021B">
        <w:rPr>
          <w:lang w:val="fr-FR" w:eastAsia="fr-FR" w:bidi="fr-FR"/>
        </w:rPr>
        <w:t>i</w:t>
      </w:r>
      <w:r w:rsidRPr="004B021B">
        <w:rPr>
          <w:lang w:val="fr-FR" w:eastAsia="fr-FR" w:bidi="fr-FR"/>
        </w:rPr>
        <w:t>tuent l’autre forme juridique possible des engagements intern</w:t>
      </w:r>
      <w:r w:rsidRPr="004B021B">
        <w:rPr>
          <w:lang w:val="fr-FR" w:eastAsia="fr-FR" w:bidi="fr-FR"/>
        </w:rPr>
        <w:t>a</w:t>
      </w:r>
      <w:r w:rsidRPr="004B021B">
        <w:rPr>
          <w:lang w:val="fr-FR" w:eastAsia="fr-FR" w:bidi="fr-FR"/>
        </w:rPr>
        <w:t>tionaux de l’Amérique et ne nécessitent pas de ratification, dominent largement, puisqu’ils représe</w:t>
      </w:r>
      <w:r w:rsidRPr="004B021B">
        <w:rPr>
          <w:lang w:val="fr-FR" w:eastAsia="fr-FR" w:bidi="fr-FR"/>
        </w:rPr>
        <w:t>n</w:t>
      </w:r>
      <w:r w:rsidRPr="004B021B">
        <w:rPr>
          <w:lang w:val="fr-FR" w:eastAsia="fr-FR" w:bidi="fr-FR"/>
        </w:rPr>
        <w:t>tent plus de 90</w:t>
      </w:r>
      <w:r>
        <w:rPr>
          <w:lang w:val="fr-FR" w:eastAsia="fr-FR" w:bidi="fr-FR"/>
        </w:rPr>
        <w:t>%</w:t>
      </w:r>
      <w:r w:rsidRPr="004B021B">
        <w:rPr>
          <w:lang w:val="fr-FR" w:eastAsia="fr-FR" w:bidi="fr-FR"/>
        </w:rPr>
        <w:t xml:space="preserve"> de ces eng</w:t>
      </w:r>
      <w:r w:rsidRPr="004B021B">
        <w:rPr>
          <w:lang w:val="fr-FR" w:eastAsia="fr-FR" w:bidi="fr-FR"/>
        </w:rPr>
        <w:t>a</w:t>
      </w:r>
      <w:r w:rsidRPr="004B021B">
        <w:rPr>
          <w:lang w:val="fr-FR" w:eastAsia="fr-FR" w:bidi="fr-FR"/>
        </w:rPr>
        <w:t>gements.</w:t>
      </w:r>
    </w:p>
  </w:footnote>
  <w:footnote w:id="529">
    <w:p w14:paraId="14D26165" w14:textId="77777777" w:rsidR="0039793A" w:rsidRDefault="0039793A" w:rsidP="0039793A">
      <w:pPr>
        <w:pStyle w:val="Notedebasdepage"/>
      </w:pPr>
      <w:r>
        <w:rPr>
          <w:rStyle w:val="Appelnotedebasdep"/>
        </w:rPr>
        <w:footnoteRef/>
      </w:r>
      <w:r>
        <w:tab/>
      </w:r>
      <w:r w:rsidRPr="004B021B">
        <w:rPr>
          <w:lang w:val="fr-FR" w:eastAsia="fr-FR" w:bidi="fr-FR"/>
        </w:rPr>
        <w:t>Et jusqu’à 130, selon certains comptes. Voir Baker Spring, Brett D. Schae</w:t>
      </w:r>
      <w:r w:rsidRPr="004B021B">
        <w:rPr>
          <w:lang w:val="fr-FR" w:eastAsia="fr-FR" w:bidi="fr-FR"/>
        </w:rPr>
        <w:t>f</w:t>
      </w:r>
      <w:r w:rsidRPr="004B021B">
        <w:rPr>
          <w:lang w:val="fr-FR" w:eastAsia="fr-FR" w:bidi="fr-FR"/>
        </w:rPr>
        <w:t xml:space="preserve">fer, </w:t>
      </w:r>
      <w:r w:rsidRPr="004B021B">
        <w:t>« </w:t>
      </w:r>
      <w:r w:rsidRPr="004B021B">
        <w:rPr>
          <w:lang w:val="fr-FR" w:eastAsia="fr-FR" w:bidi="fr-FR"/>
        </w:rPr>
        <w:t>Clearing Out the Bulging Treaty In-Box</w:t>
      </w:r>
      <w:r w:rsidRPr="004B021B">
        <w:t> »</w:t>
      </w:r>
      <w:r w:rsidRPr="004B021B">
        <w:rPr>
          <w:lang w:val="fr-FR" w:eastAsia="fr-FR" w:bidi="fr-FR"/>
        </w:rPr>
        <w:t xml:space="preserve">, </w:t>
      </w:r>
      <w:r w:rsidRPr="00AA0230">
        <w:rPr>
          <w:i/>
          <w:iCs/>
        </w:rPr>
        <w:t>The Heritage Foundation Backgrounder</w:t>
      </w:r>
      <w:r w:rsidRPr="004B021B">
        <w:rPr>
          <w:lang w:val="fr-FR" w:eastAsia="fr-FR" w:bidi="fr-FR"/>
        </w:rPr>
        <w:t>, 8 ja</w:t>
      </w:r>
      <w:r w:rsidRPr="004B021B">
        <w:rPr>
          <w:lang w:val="fr-FR" w:eastAsia="fr-FR" w:bidi="fr-FR"/>
        </w:rPr>
        <w:t>n</w:t>
      </w:r>
      <w:r w:rsidRPr="004B021B">
        <w:rPr>
          <w:lang w:val="fr-FR" w:eastAsia="fr-FR" w:bidi="fr-FR"/>
        </w:rPr>
        <w:t xml:space="preserve">vier 1999, p. 1, et Thomas W. Lippman, </w:t>
      </w:r>
      <w:r w:rsidRPr="004B021B">
        <w:t>« </w:t>
      </w:r>
      <w:r w:rsidRPr="004B021B">
        <w:rPr>
          <w:lang w:val="fr-FR" w:eastAsia="fr-FR" w:bidi="fr-FR"/>
        </w:rPr>
        <w:t>52 Treaties in Senate Purgatory May Be Put to Rest</w:t>
      </w:r>
      <w:r w:rsidRPr="004B021B">
        <w:t> »</w:t>
      </w:r>
      <w:r w:rsidRPr="004B021B">
        <w:rPr>
          <w:lang w:val="fr-FR" w:eastAsia="fr-FR" w:bidi="fr-FR"/>
        </w:rPr>
        <w:t xml:space="preserve">, </w:t>
      </w:r>
      <w:r w:rsidRPr="00AA0230">
        <w:rPr>
          <w:i/>
          <w:iCs/>
        </w:rPr>
        <w:t>International Herald Tribune</w:t>
      </w:r>
      <w:r w:rsidRPr="004B021B">
        <w:t xml:space="preserve">, </w:t>
      </w:r>
      <w:r w:rsidRPr="004B021B">
        <w:rPr>
          <w:lang w:val="fr-FR" w:eastAsia="fr-FR" w:bidi="fr-FR"/>
        </w:rPr>
        <w:t>16 février 1999.</w:t>
      </w:r>
    </w:p>
  </w:footnote>
  <w:footnote w:id="530">
    <w:p w14:paraId="65EF1EDB" w14:textId="77777777" w:rsidR="0039793A" w:rsidRDefault="0039793A" w:rsidP="0039793A">
      <w:pPr>
        <w:pStyle w:val="Notedebasdepage"/>
      </w:pPr>
      <w:r>
        <w:rPr>
          <w:rStyle w:val="Appelnotedebasdep"/>
        </w:rPr>
        <w:footnoteRef/>
      </w:r>
      <w:r>
        <w:tab/>
      </w:r>
      <w:r w:rsidRPr="004B021B">
        <w:rPr>
          <w:lang w:val="fr-FR" w:eastAsia="fr-FR" w:bidi="fr-FR"/>
        </w:rPr>
        <w:t>La loi Helms-Burton (</w:t>
      </w:r>
      <w:r w:rsidRPr="00C14263">
        <w:rPr>
          <w:i/>
          <w:iCs/>
        </w:rPr>
        <w:t>Cuban Liberty and Démocratie Solidarity</w:t>
      </w:r>
      <w:r w:rsidRPr="004B021B">
        <w:t xml:space="preserve"> [</w:t>
      </w:r>
      <w:r w:rsidRPr="00C14263">
        <w:rPr>
          <w:i/>
          <w:iCs/>
        </w:rPr>
        <w:t>Libe</w:t>
      </w:r>
      <w:r w:rsidRPr="00C14263">
        <w:rPr>
          <w:i/>
          <w:iCs/>
        </w:rPr>
        <w:t>r</w:t>
      </w:r>
      <w:r w:rsidRPr="00C14263">
        <w:rPr>
          <w:i/>
          <w:iCs/>
        </w:rPr>
        <w:t>tad</w:t>
      </w:r>
      <w:r w:rsidRPr="004B021B">
        <w:t xml:space="preserve">] </w:t>
      </w:r>
      <w:r w:rsidRPr="00C14263">
        <w:rPr>
          <w:i/>
          <w:iCs/>
        </w:rPr>
        <w:t>Act</w:t>
      </w:r>
      <w:r w:rsidRPr="004B021B">
        <w:t>),</w:t>
      </w:r>
      <w:r w:rsidRPr="004B021B">
        <w:rPr>
          <w:lang w:val="fr-FR" w:eastAsia="fr-FR" w:bidi="fr-FR"/>
        </w:rPr>
        <w:t xml:space="preserve"> promu</w:t>
      </w:r>
      <w:r w:rsidRPr="004B021B">
        <w:rPr>
          <w:lang w:val="fr-FR" w:eastAsia="fr-FR" w:bidi="fr-FR"/>
        </w:rPr>
        <w:t>l</w:t>
      </w:r>
      <w:r w:rsidRPr="004B021B">
        <w:rPr>
          <w:lang w:val="fr-FR" w:eastAsia="fr-FR" w:bidi="fr-FR"/>
        </w:rPr>
        <w:t>guée par le président le 12 mars 1996, vise à renforcer l’embargo sur Cuba notamment en sanctionnant les personnes et sociétés, y compris de pays tiers, faisant du co</w:t>
      </w:r>
      <w:r w:rsidRPr="004B021B">
        <w:rPr>
          <w:lang w:val="fr-FR" w:eastAsia="fr-FR" w:bidi="fr-FR"/>
        </w:rPr>
        <w:t>m</w:t>
      </w:r>
      <w:r w:rsidRPr="004B021B">
        <w:rPr>
          <w:lang w:val="fr-FR" w:eastAsia="fr-FR" w:bidi="fr-FR"/>
        </w:rPr>
        <w:t xml:space="preserve">merce avec l’île. La loi d’Amato-Kennedy </w:t>
      </w:r>
      <w:r w:rsidRPr="004B021B">
        <w:t>(</w:t>
      </w:r>
      <w:r w:rsidRPr="00C14263">
        <w:rPr>
          <w:i/>
          <w:iCs/>
        </w:rPr>
        <w:t>Iran and Libya Sanctions Act of 1996</w:t>
      </w:r>
      <w:r w:rsidRPr="004B021B">
        <w:t>),</w:t>
      </w:r>
      <w:r w:rsidRPr="004B021B">
        <w:rPr>
          <w:lang w:val="fr-FR" w:eastAsia="fr-FR" w:bidi="fr-FR"/>
        </w:rPr>
        <w:t xml:space="preserve"> promulguée par le prés</w:t>
      </w:r>
      <w:r w:rsidRPr="004B021B">
        <w:rPr>
          <w:lang w:val="fr-FR" w:eastAsia="fr-FR" w:bidi="fr-FR"/>
        </w:rPr>
        <w:t>i</w:t>
      </w:r>
      <w:r w:rsidRPr="004B021B">
        <w:rPr>
          <w:lang w:val="fr-FR" w:eastAsia="fr-FR" w:bidi="fr-FR"/>
        </w:rPr>
        <w:t>dent le 5 août 1996, vise à emp</w:t>
      </w:r>
      <w:r w:rsidRPr="004B021B">
        <w:rPr>
          <w:lang w:val="fr-FR" w:eastAsia="fr-FR" w:bidi="fr-FR"/>
        </w:rPr>
        <w:t>ê</w:t>
      </w:r>
      <w:r w:rsidRPr="004B021B">
        <w:rPr>
          <w:lang w:val="fr-FR" w:eastAsia="fr-FR" w:bidi="fr-FR"/>
        </w:rPr>
        <w:t>cher les compagnies pétrolières, y compris de pays tiers, d’investir dans le dév</w:t>
      </w:r>
      <w:r w:rsidRPr="004B021B">
        <w:rPr>
          <w:lang w:val="fr-FR" w:eastAsia="fr-FR" w:bidi="fr-FR"/>
        </w:rPr>
        <w:t>e</w:t>
      </w:r>
      <w:r w:rsidRPr="004B021B">
        <w:rPr>
          <w:lang w:val="fr-FR" w:eastAsia="fr-FR" w:bidi="fr-FR"/>
        </w:rPr>
        <w:t>loppement de l’industrie pétrolière d’Iran.</w:t>
      </w:r>
    </w:p>
  </w:footnote>
  <w:footnote w:id="531">
    <w:p w14:paraId="217F961F" w14:textId="77777777" w:rsidR="0039793A" w:rsidRDefault="0039793A" w:rsidP="0039793A">
      <w:pPr>
        <w:pStyle w:val="Notedebasdepage"/>
      </w:pPr>
      <w:r>
        <w:rPr>
          <w:rStyle w:val="Appelnotedebasdep"/>
        </w:rPr>
        <w:footnoteRef/>
      </w:r>
      <w:r>
        <w:tab/>
      </w:r>
      <w:r w:rsidRPr="004B021B">
        <w:rPr>
          <w:lang w:val="fr-FR" w:eastAsia="fr-FR" w:bidi="fr-FR"/>
        </w:rPr>
        <w:t>Proposition de loi du représentant Joe Scarborough (</w:t>
      </w:r>
      <w:r w:rsidRPr="00C14263">
        <w:rPr>
          <w:rStyle w:val="Notedebasdepage7ptItalique"/>
          <w:sz w:val="24"/>
        </w:rPr>
        <w:t>US-UN</w:t>
      </w:r>
      <w:r w:rsidRPr="00C14263">
        <w:rPr>
          <w:rStyle w:val="Notedebasdepage7ptItalique"/>
          <w:i w:val="0"/>
          <w:iCs w:val="0"/>
          <w:sz w:val="24"/>
        </w:rPr>
        <w:t xml:space="preserve"> </w:t>
      </w:r>
      <w:r w:rsidRPr="00C14263">
        <w:rPr>
          <w:i/>
          <w:iCs/>
        </w:rPr>
        <w:t>Wit</w:t>
      </w:r>
      <w:r w:rsidRPr="00C14263">
        <w:rPr>
          <w:i/>
          <w:iCs/>
        </w:rPr>
        <w:t>h</w:t>
      </w:r>
      <w:r w:rsidRPr="00C14263">
        <w:rPr>
          <w:i/>
          <w:iCs/>
        </w:rPr>
        <w:t>drawal Act</w:t>
      </w:r>
      <w:r w:rsidRPr="004B021B">
        <w:t>),</w:t>
      </w:r>
      <w:r w:rsidRPr="004B021B">
        <w:rPr>
          <w:lang w:val="fr-FR" w:eastAsia="fr-FR" w:bidi="fr-FR"/>
        </w:rPr>
        <w:t xml:space="preserve"> déposée le 25 oct</w:t>
      </w:r>
      <w:r w:rsidRPr="004B021B">
        <w:rPr>
          <w:lang w:val="fr-FR" w:eastAsia="fr-FR" w:bidi="fr-FR"/>
        </w:rPr>
        <w:t>o</w:t>
      </w:r>
      <w:r w:rsidRPr="004B021B">
        <w:rPr>
          <w:lang w:val="fr-FR" w:eastAsia="fr-FR" w:bidi="fr-FR"/>
        </w:rPr>
        <w:t>bre 1995.</w:t>
      </w:r>
    </w:p>
  </w:footnote>
  <w:footnote w:id="532">
    <w:p w14:paraId="36AEDF94" w14:textId="77777777" w:rsidR="0039793A" w:rsidRDefault="0039793A" w:rsidP="0039793A">
      <w:pPr>
        <w:pStyle w:val="Notedebasdepage"/>
      </w:pPr>
      <w:r>
        <w:rPr>
          <w:rStyle w:val="Appelnotedebasdep"/>
        </w:rPr>
        <w:footnoteRef/>
      </w:r>
      <w:r>
        <w:tab/>
      </w:r>
      <w:r w:rsidRPr="004B021B">
        <w:rPr>
          <w:lang w:val="fr-FR" w:eastAsia="fr-FR" w:bidi="fr-FR"/>
        </w:rPr>
        <w:t xml:space="preserve">James Lindsay, </w:t>
      </w:r>
      <w:r w:rsidRPr="00C14263">
        <w:rPr>
          <w:i/>
          <w:iCs/>
        </w:rPr>
        <w:t xml:space="preserve">Congress and the Politics of </w:t>
      </w:r>
      <w:r w:rsidRPr="00C14263">
        <w:rPr>
          <w:rStyle w:val="Notedebasdepage7ptItalique"/>
          <w:i w:val="0"/>
          <w:iCs w:val="0"/>
          <w:sz w:val="24"/>
        </w:rPr>
        <w:t xml:space="preserve">US </w:t>
      </w:r>
      <w:r w:rsidRPr="00C14263">
        <w:rPr>
          <w:i/>
          <w:iCs/>
        </w:rPr>
        <w:t>Foreign Policy</w:t>
      </w:r>
      <w:r w:rsidRPr="004B021B">
        <w:t>,</w:t>
      </w:r>
      <w:r w:rsidRPr="004B021B">
        <w:rPr>
          <w:lang w:val="fr-FR" w:eastAsia="fr-FR" w:bidi="fr-FR"/>
        </w:rPr>
        <w:t xml:space="preserve"> Baltim</w:t>
      </w:r>
      <w:r w:rsidRPr="004B021B">
        <w:rPr>
          <w:lang w:val="fr-FR" w:eastAsia="fr-FR" w:bidi="fr-FR"/>
        </w:rPr>
        <w:t>o</w:t>
      </w:r>
      <w:r w:rsidRPr="004B021B">
        <w:rPr>
          <w:lang w:val="fr-FR" w:eastAsia="fr-FR" w:bidi="fr-FR"/>
        </w:rPr>
        <w:t>re, Johns Hopkins University Press, 1994, 228 p.</w:t>
      </w:r>
      <w:r w:rsidRPr="004B021B">
        <w:t> ;</w:t>
      </w:r>
      <w:r w:rsidRPr="004B021B">
        <w:rPr>
          <w:lang w:val="fr-FR" w:eastAsia="fr-FR" w:bidi="fr-FR"/>
        </w:rPr>
        <w:t xml:space="preserve"> voir aussi James Lindsay, Ran- dall Ripley, </w:t>
      </w:r>
      <w:r w:rsidRPr="00C14263">
        <w:rPr>
          <w:i/>
          <w:iCs/>
        </w:rPr>
        <w:t>Congress R</w:t>
      </w:r>
      <w:r>
        <w:rPr>
          <w:i/>
          <w:iCs/>
        </w:rPr>
        <w:t>e</w:t>
      </w:r>
      <w:r w:rsidRPr="00C14263">
        <w:rPr>
          <w:i/>
          <w:iCs/>
        </w:rPr>
        <w:t>surgent : Foreign and Defense Policy on C</w:t>
      </w:r>
      <w:r w:rsidRPr="00C14263">
        <w:rPr>
          <w:i/>
          <w:iCs/>
        </w:rPr>
        <w:t>a</w:t>
      </w:r>
      <w:r w:rsidRPr="00C14263">
        <w:rPr>
          <w:i/>
          <w:iCs/>
        </w:rPr>
        <w:t>pitol Hill</w:t>
      </w:r>
      <w:r w:rsidRPr="004B021B">
        <w:t>,</w:t>
      </w:r>
      <w:r w:rsidRPr="004B021B">
        <w:rPr>
          <w:lang w:val="fr-FR" w:eastAsia="fr-FR" w:bidi="fr-FR"/>
        </w:rPr>
        <w:t xml:space="preserve"> Ann Arbor, University of Michigan Press, 1993, 337 p.</w:t>
      </w:r>
    </w:p>
  </w:footnote>
  <w:footnote w:id="533">
    <w:p w14:paraId="6DC41312" w14:textId="77777777" w:rsidR="0039793A" w:rsidRDefault="0039793A" w:rsidP="0039793A">
      <w:pPr>
        <w:pStyle w:val="Notedebasdepage"/>
      </w:pPr>
      <w:r>
        <w:rPr>
          <w:rStyle w:val="Appelnotedebasdep"/>
        </w:rPr>
        <w:footnoteRef/>
      </w:r>
      <w:r>
        <w:tab/>
      </w:r>
      <w:r w:rsidRPr="004B021B">
        <w:rPr>
          <w:lang w:val="fr-FR" w:eastAsia="fr-FR" w:bidi="fr-FR"/>
        </w:rPr>
        <w:t xml:space="preserve">Ralph G. Carter, </w:t>
      </w:r>
      <w:r w:rsidRPr="00C14263">
        <w:rPr>
          <w:i/>
          <w:iCs/>
        </w:rPr>
        <w:t>op. cit</w:t>
      </w:r>
      <w:r w:rsidRPr="004B021B">
        <w:t>.,</w:t>
      </w:r>
      <w:r w:rsidRPr="004B021B">
        <w:rPr>
          <w:lang w:val="fr-FR" w:eastAsia="fr-FR" w:bidi="fr-FR"/>
        </w:rPr>
        <w:t xml:space="preserve"> p. 121.</w:t>
      </w:r>
    </w:p>
  </w:footnote>
  <w:footnote w:id="534">
    <w:p w14:paraId="161C7F5F" w14:textId="77777777" w:rsidR="0039793A" w:rsidRDefault="0039793A" w:rsidP="0039793A">
      <w:pPr>
        <w:pStyle w:val="Notedebasdepage"/>
      </w:pPr>
      <w:r>
        <w:rPr>
          <w:rStyle w:val="Appelnotedebasdep"/>
        </w:rPr>
        <w:footnoteRef/>
      </w:r>
      <w:r>
        <w:tab/>
      </w:r>
      <w:r w:rsidRPr="004B021B">
        <w:rPr>
          <w:lang w:val="fr-FR" w:eastAsia="fr-FR" w:bidi="fr-FR"/>
        </w:rPr>
        <w:t>Pour les mêmes raisons, les séances plénières ont été télév</w:t>
      </w:r>
      <w:r w:rsidRPr="004B021B">
        <w:rPr>
          <w:lang w:val="fr-FR" w:eastAsia="fr-FR" w:bidi="fr-FR"/>
        </w:rPr>
        <w:t>i</w:t>
      </w:r>
      <w:r w:rsidRPr="004B021B">
        <w:rPr>
          <w:lang w:val="fr-FR" w:eastAsia="fr-FR" w:bidi="fr-FR"/>
        </w:rPr>
        <w:t>sées, en 1979 à la Chambre, en 1986 au Sénat.</w:t>
      </w:r>
    </w:p>
  </w:footnote>
  <w:footnote w:id="535">
    <w:p w14:paraId="5E4F0D4B" w14:textId="77777777" w:rsidR="0039793A" w:rsidRDefault="0039793A" w:rsidP="0039793A">
      <w:pPr>
        <w:pStyle w:val="Notedebasdepage"/>
      </w:pPr>
      <w:r>
        <w:rPr>
          <w:rStyle w:val="Appelnotedebasdep"/>
        </w:rPr>
        <w:footnoteRef/>
      </w:r>
      <w:r>
        <w:tab/>
      </w:r>
      <w:r w:rsidRPr="004B021B">
        <w:rPr>
          <w:lang w:val="fr-FR" w:eastAsia="fr-FR" w:bidi="fr-FR"/>
        </w:rPr>
        <w:t xml:space="preserve">James Lindsay, </w:t>
      </w:r>
      <w:r w:rsidRPr="00C14263">
        <w:rPr>
          <w:i/>
          <w:iCs/>
        </w:rPr>
        <w:t>op. cit</w:t>
      </w:r>
      <w:r w:rsidRPr="004B021B">
        <w:t>.,</w:t>
      </w:r>
      <w:r w:rsidRPr="004B021B">
        <w:rPr>
          <w:lang w:val="fr-FR" w:eastAsia="fr-FR" w:bidi="fr-FR"/>
        </w:rPr>
        <w:t xml:space="preserve"> p. 165.</w:t>
      </w:r>
    </w:p>
  </w:footnote>
  <w:footnote w:id="536">
    <w:p w14:paraId="19BDCF6A" w14:textId="77777777" w:rsidR="0039793A" w:rsidRDefault="0039793A" w:rsidP="0039793A">
      <w:pPr>
        <w:pStyle w:val="Notedebasdepage"/>
      </w:pPr>
      <w:r>
        <w:rPr>
          <w:rStyle w:val="Appelnotedebasdep"/>
        </w:rPr>
        <w:footnoteRef/>
      </w:r>
      <w:r>
        <w:tab/>
      </w:r>
      <w:r w:rsidRPr="004B021B">
        <w:rPr>
          <w:lang w:val="fr-FR" w:eastAsia="fr-FR" w:bidi="fr-FR"/>
        </w:rPr>
        <w:t xml:space="preserve">James M. McCormick, </w:t>
      </w:r>
      <w:r w:rsidRPr="004B021B">
        <w:t>« </w:t>
      </w:r>
      <w:r w:rsidRPr="004B021B">
        <w:rPr>
          <w:lang w:val="fr-FR" w:eastAsia="fr-FR" w:bidi="fr-FR"/>
        </w:rPr>
        <w:t>Congress</w:t>
      </w:r>
      <w:r w:rsidRPr="004B021B">
        <w:t> »</w:t>
      </w:r>
      <w:r w:rsidRPr="004B021B">
        <w:rPr>
          <w:lang w:val="fr-FR" w:eastAsia="fr-FR" w:bidi="fr-FR"/>
        </w:rPr>
        <w:t xml:space="preserve"> dans Bruce Jentleson, Thomas Pate</w:t>
      </w:r>
      <w:r w:rsidRPr="004B021B">
        <w:rPr>
          <w:lang w:val="fr-FR" w:eastAsia="fr-FR" w:bidi="fr-FR"/>
        </w:rPr>
        <w:t>r</w:t>
      </w:r>
      <w:r w:rsidRPr="004B021B">
        <w:rPr>
          <w:lang w:val="fr-FR" w:eastAsia="fr-FR" w:bidi="fr-FR"/>
        </w:rPr>
        <w:t xml:space="preserve">son, </w:t>
      </w:r>
      <w:r w:rsidRPr="00C14263">
        <w:rPr>
          <w:i/>
          <w:iCs/>
        </w:rPr>
        <w:t>Encyclop</w:t>
      </w:r>
      <w:r w:rsidRPr="00C14263">
        <w:rPr>
          <w:i/>
          <w:iCs/>
        </w:rPr>
        <w:t>e</w:t>
      </w:r>
      <w:r w:rsidRPr="00C14263">
        <w:rPr>
          <w:i/>
          <w:iCs/>
        </w:rPr>
        <w:t xml:space="preserve">dia of </w:t>
      </w:r>
      <w:r w:rsidRPr="00C14263">
        <w:rPr>
          <w:rStyle w:val="Notedebasdepage7ptItalique"/>
          <w:sz w:val="24"/>
        </w:rPr>
        <w:t>US</w:t>
      </w:r>
      <w:r w:rsidRPr="00C14263">
        <w:rPr>
          <w:rStyle w:val="Notedebasdepage7ptItalique"/>
          <w:i w:val="0"/>
          <w:iCs w:val="0"/>
          <w:sz w:val="24"/>
        </w:rPr>
        <w:t xml:space="preserve"> </w:t>
      </w:r>
      <w:r w:rsidRPr="00C14263">
        <w:rPr>
          <w:i/>
          <w:iCs/>
        </w:rPr>
        <w:t>Foreign Relations</w:t>
      </w:r>
      <w:r w:rsidRPr="004B021B">
        <w:t>,</w:t>
      </w:r>
      <w:r w:rsidRPr="004B021B">
        <w:rPr>
          <w:lang w:val="fr-FR" w:eastAsia="fr-FR" w:bidi="fr-FR"/>
        </w:rPr>
        <w:t xml:space="preserve"> Oxford University Press, New York, 1997, tome 1, p. 312-328.</w:t>
      </w:r>
    </w:p>
  </w:footnote>
  <w:footnote w:id="537">
    <w:p w14:paraId="21CACED5" w14:textId="77777777" w:rsidR="0039793A" w:rsidRDefault="0039793A" w:rsidP="0039793A">
      <w:pPr>
        <w:pStyle w:val="Notedebasdepage"/>
      </w:pPr>
      <w:r>
        <w:rPr>
          <w:rStyle w:val="Appelnotedebasdep"/>
        </w:rPr>
        <w:footnoteRef/>
      </w:r>
      <w:r>
        <w:tab/>
      </w:r>
      <w:r w:rsidRPr="004B021B">
        <w:rPr>
          <w:lang w:val="fr-FR" w:eastAsia="fr-FR" w:bidi="fr-FR"/>
        </w:rPr>
        <w:t xml:space="preserve">Voir Kegley, Wittkopf, </w:t>
      </w:r>
      <w:r w:rsidRPr="00C14263">
        <w:rPr>
          <w:i/>
          <w:iCs/>
        </w:rPr>
        <w:t>op. cit</w:t>
      </w:r>
      <w:r w:rsidRPr="004B021B">
        <w:t>.,</w:t>
      </w:r>
      <w:r w:rsidRPr="004B021B">
        <w:rPr>
          <w:lang w:val="fr-FR" w:eastAsia="fr-FR" w:bidi="fr-FR"/>
        </w:rPr>
        <w:t xml:space="preserve"> p. 409 et suiv.</w:t>
      </w:r>
    </w:p>
  </w:footnote>
  <w:footnote w:id="538">
    <w:p w14:paraId="7C6D7321" w14:textId="77777777" w:rsidR="0039793A" w:rsidRDefault="0039793A" w:rsidP="0039793A">
      <w:pPr>
        <w:pStyle w:val="Notedebasdepage"/>
      </w:pPr>
      <w:r>
        <w:rPr>
          <w:rStyle w:val="Appelnotedebasdep"/>
        </w:rPr>
        <w:footnoteRef/>
      </w:r>
      <w:r>
        <w:tab/>
      </w:r>
      <w:r w:rsidRPr="004B021B">
        <w:t xml:space="preserve">Voir Charles-Philippe David et al., </w:t>
      </w:r>
      <w:r w:rsidRPr="00C14263">
        <w:rPr>
          <w:i/>
          <w:iCs/>
          <w:lang w:val="fr-FR" w:eastAsia="fr-FR" w:bidi="fr-FR"/>
        </w:rPr>
        <w:t>Foreign Pol</w:t>
      </w:r>
      <w:r>
        <w:rPr>
          <w:i/>
          <w:iCs/>
          <w:lang w:val="fr-FR" w:eastAsia="fr-FR" w:bidi="fr-FR"/>
        </w:rPr>
        <w:t>i</w:t>
      </w:r>
      <w:r w:rsidRPr="00C14263">
        <w:rPr>
          <w:i/>
          <w:iCs/>
          <w:lang w:val="fr-FR" w:eastAsia="fr-FR" w:bidi="fr-FR"/>
        </w:rPr>
        <w:t>cy Failure in the White House</w:t>
      </w:r>
      <w:r w:rsidRPr="00C14263">
        <w:rPr>
          <w:i/>
          <w:iCs/>
        </w:rPr>
        <w:t> :</w:t>
      </w:r>
      <w:r w:rsidRPr="00C14263">
        <w:rPr>
          <w:i/>
          <w:iCs/>
          <w:lang w:val="fr-FR" w:eastAsia="fr-FR" w:bidi="fr-FR"/>
        </w:rPr>
        <w:t xml:space="preserve"> Reappraising the Fail of the Shah and the Iran-Contra Affair</w:t>
      </w:r>
      <w:r w:rsidRPr="004B021B">
        <w:rPr>
          <w:lang w:val="fr-FR" w:eastAsia="fr-FR" w:bidi="fr-FR"/>
        </w:rPr>
        <w:t>,</w:t>
      </w:r>
      <w:r w:rsidRPr="004B021B">
        <w:t xml:space="preserve"> La</w:t>
      </w:r>
      <w:r w:rsidRPr="004B021B">
        <w:t>n</w:t>
      </w:r>
      <w:r w:rsidRPr="004B021B">
        <w:t>ham, University Press of America, 1993, 191 p.</w:t>
      </w:r>
    </w:p>
  </w:footnote>
  <w:footnote w:id="539">
    <w:p w14:paraId="0DE6AA35" w14:textId="77777777" w:rsidR="0039793A" w:rsidRDefault="0039793A" w:rsidP="0039793A">
      <w:pPr>
        <w:pStyle w:val="Notedebasdepage"/>
      </w:pPr>
      <w:r>
        <w:rPr>
          <w:rStyle w:val="Appelnotedebasdep"/>
        </w:rPr>
        <w:footnoteRef/>
      </w:r>
      <w:r>
        <w:tab/>
      </w:r>
      <w:r w:rsidRPr="004B021B">
        <w:rPr>
          <w:lang w:val="fr-FR" w:eastAsia="fr-FR" w:bidi="fr-FR"/>
        </w:rPr>
        <w:t xml:space="preserve">Ellen Collier, </w:t>
      </w:r>
      <w:r w:rsidRPr="004B021B">
        <w:t>« </w:t>
      </w:r>
      <w:r w:rsidRPr="004B021B">
        <w:rPr>
          <w:lang w:val="fr-FR" w:eastAsia="fr-FR" w:bidi="fr-FR"/>
        </w:rPr>
        <w:t>Foreign Policy by Reporting Requirement</w:t>
      </w:r>
      <w:r w:rsidRPr="004B021B">
        <w:t> »</w:t>
      </w:r>
      <w:r w:rsidRPr="004B021B">
        <w:rPr>
          <w:lang w:val="fr-FR" w:eastAsia="fr-FR" w:bidi="fr-FR"/>
        </w:rPr>
        <w:t xml:space="preserve">, </w:t>
      </w:r>
      <w:r w:rsidRPr="00817345">
        <w:rPr>
          <w:i/>
          <w:iCs/>
        </w:rPr>
        <w:t>The Washin</w:t>
      </w:r>
      <w:r w:rsidRPr="00817345">
        <w:rPr>
          <w:i/>
          <w:iCs/>
        </w:rPr>
        <w:t>g</w:t>
      </w:r>
      <w:r w:rsidRPr="00817345">
        <w:rPr>
          <w:i/>
          <w:iCs/>
        </w:rPr>
        <w:t>ton Quarterly</w:t>
      </w:r>
      <w:r w:rsidRPr="004B021B">
        <w:t>,</w:t>
      </w:r>
      <w:r w:rsidRPr="004B021B">
        <w:rPr>
          <w:lang w:val="fr-FR" w:eastAsia="fr-FR" w:bidi="fr-FR"/>
        </w:rPr>
        <w:t xml:space="preserve"> 11, hiver 1988, p. 75-88.</w:t>
      </w:r>
    </w:p>
  </w:footnote>
  <w:footnote w:id="540">
    <w:p w14:paraId="651C7869" w14:textId="77777777" w:rsidR="0039793A" w:rsidRDefault="0039793A" w:rsidP="0039793A">
      <w:pPr>
        <w:pStyle w:val="Notedebasdepage"/>
      </w:pPr>
      <w:r>
        <w:rPr>
          <w:rStyle w:val="Appelnotedebasdep"/>
        </w:rPr>
        <w:footnoteRef/>
      </w:r>
      <w:r>
        <w:tab/>
      </w:r>
      <w:r w:rsidRPr="004B021B">
        <w:rPr>
          <w:lang w:val="fr-FR" w:eastAsia="fr-FR" w:bidi="fr-FR"/>
        </w:rPr>
        <w:t xml:space="preserve">Isabelle Vagnoux, </w:t>
      </w:r>
      <w:r w:rsidRPr="004B021B">
        <w:t>« </w:t>
      </w:r>
      <w:r w:rsidRPr="004B021B">
        <w:rPr>
          <w:lang w:val="fr-FR" w:eastAsia="fr-FR" w:bidi="fr-FR"/>
        </w:rPr>
        <w:t>Trafic de drogue et ce</w:t>
      </w:r>
      <w:r w:rsidRPr="004B021B">
        <w:rPr>
          <w:lang w:val="fr-FR" w:eastAsia="fr-FR" w:bidi="fr-FR"/>
        </w:rPr>
        <w:t>r</w:t>
      </w:r>
      <w:r w:rsidRPr="004B021B">
        <w:rPr>
          <w:lang w:val="fr-FR" w:eastAsia="fr-FR" w:bidi="fr-FR"/>
        </w:rPr>
        <w:t>tificat de bonne conduite</w:t>
      </w:r>
      <w:r w:rsidRPr="004B021B">
        <w:t> :</w:t>
      </w:r>
      <w:r w:rsidRPr="004B021B">
        <w:rPr>
          <w:lang w:val="fr-FR" w:eastAsia="fr-FR" w:bidi="fr-FR"/>
        </w:rPr>
        <w:t xml:space="preserve"> les États-Unis, gendarme de l’Amérique latine</w:t>
      </w:r>
      <w:r w:rsidRPr="004B021B">
        <w:t> »</w:t>
      </w:r>
      <w:r w:rsidRPr="004B021B">
        <w:rPr>
          <w:lang w:val="fr-FR" w:eastAsia="fr-FR" w:bidi="fr-FR"/>
        </w:rPr>
        <w:t>, dans Pierre M</w:t>
      </w:r>
      <w:r w:rsidRPr="004B021B">
        <w:rPr>
          <w:lang w:val="fr-FR" w:eastAsia="fr-FR" w:bidi="fr-FR"/>
        </w:rPr>
        <w:t>e</w:t>
      </w:r>
      <w:r w:rsidRPr="004B021B">
        <w:rPr>
          <w:lang w:val="fr-FR" w:eastAsia="fr-FR" w:bidi="fr-FR"/>
        </w:rPr>
        <w:t xml:space="preserve">landri, Serge Ricard (dir.). </w:t>
      </w:r>
      <w:r w:rsidRPr="00C621E8">
        <w:rPr>
          <w:i/>
          <w:iCs/>
        </w:rPr>
        <w:t>Ethnocentrisme et diplom</w:t>
      </w:r>
      <w:r w:rsidRPr="00C621E8">
        <w:rPr>
          <w:i/>
          <w:iCs/>
        </w:rPr>
        <w:t>a</w:t>
      </w:r>
      <w:r w:rsidRPr="00C621E8">
        <w:rPr>
          <w:i/>
          <w:iCs/>
        </w:rPr>
        <w:t>tie : l’Amérique et le monde au X</w:t>
      </w:r>
      <w:r>
        <w:rPr>
          <w:i/>
          <w:iCs/>
        </w:rPr>
        <w:t>X</w:t>
      </w:r>
      <w:r w:rsidRPr="00C621E8">
        <w:rPr>
          <w:i/>
          <w:iCs/>
          <w:vertAlign w:val="superscript"/>
        </w:rPr>
        <w:t>e</w:t>
      </w:r>
      <w:r w:rsidRPr="00C621E8">
        <w:rPr>
          <w:i/>
          <w:iCs/>
        </w:rPr>
        <w:t xml:space="preserve"> siècle</w:t>
      </w:r>
      <w:r w:rsidRPr="004B021B">
        <w:t xml:space="preserve">, </w:t>
      </w:r>
      <w:r w:rsidRPr="004B021B">
        <w:rPr>
          <w:lang w:val="fr-FR" w:eastAsia="fr-FR" w:bidi="fr-FR"/>
        </w:rPr>
        <w:t>Paris, L’Harmattan, 2001, 253 p.</w:t>
      </w:r>
    </w:p>
  </w:footnote>
  <w:footnote w:id="541">
    <w:p w14:paraId="10444716" w14:textId="77777777" w:rsidR="0039793A" w:rsidRDefault="0039793A" w:rsidP="0039793A">
      <w:pPr>
        <w:pStyle w:val="Notedebasdepage"/>
      </w:pPr>
      <w:r>
        <w:rPr>
          <w:rStyle w:val="Appelnotedebasdep"/>
        </w:rPr>
        <w:footnoteRef/>
      </w:r>
      <w:r>
        <w:tab/>
      </w:r>
      <w:r w:rsidRPr="004B021B">
        <w:rPr>
          <w:lang w:val="fr-FR" w:eastAsia="fr-FR" w:bidi="fr-FR"/>
        </w:rPr>
        <w:t>L’exemple le plus célèbre remonte aux a</w:t>
      </w:r>
      <w:r w:rsidRPr="004B021B">
        <w:rPr>
          <w:lang w:val="fr-FR" w:eastAsia="fr-FR" w:bidi="fr-FR"/>
        </w:rPr>
        <w:t>n</w:t>
      </w:r>
      <w:r w:rsidRPr="004B021B">
        <w:rPr>
          <w:lang w:val="fr-FR" w:eastAsia="fr-FR" w:bidi="fr-FR"/>
        </w:rPr>
        <w:t>nées 1970</w:t>
      </w:r>
      <w:r w:rsidRPr="004B021B">
        <w:t> :</w:t>
      </w:r>
      <w:r w:rsidRPr="004B021B">
        <w:rPr>
          <w:lang w:val="fr-FR" w:eastAsia="fr-FR" w:bidi="fr-FR"/>
        </w:rPr>
        <w:t xml:space="preserve"> par l’amendement Jackson-Vanik, le Congrès s’est donné la possibilité de décider chaque a</w:t>
      </w:r>
      <w:r w:rsidRPr="004B021B">
        <w:rPr>
          <w:lang w:val="fr-FR" w:eastAsia="fr-FR" w:bidi="fr-FR"/>
        </w:rPr>
        <w:t>n</w:t>
      </w:r>
      <w:r w:rsidRPr="004B021B">
        <w:rPr>
          <w:lang w:val="fr-FR" w:eastAsia="fr-FR" w:bidi="fr-FR"/>
        </w:rPr>
        <w:t xml:space="preserve">née si la clause de la nation la plus favorisée (devenue depuis </w:t>
      </w:r>
      <w:r w:rsidRPr="004B021B">
        <w:t>« </w:t>
      </w:r>
      <w:r w:rsidRPr="004B021B">
        <w:rPr>
          <w:lang w:val="fr-FR" w:eastAsia="fr-FR" w:bidi="fr-FR"/>
        </w:rPr>
        <w:t>statut de pa</w:t>
      </w:r>
      <w:r w:rsidRPr="004B021B">
        <w:rPr>
          <w:lang w:val="fr-FR" w:eastAsia="fr-FR" w:bidi="fr-FR"/>
        </w:rPr>
        <w:t>r</w:t>
      </w:r>
      <w:r w:rsidRPr="004B021B">
        <w:rPr>
          <w:lang w:val="fr-FR" w:eastAsia="fr-FR" w:bidi="fr-FR"/>
        </w:rPr>
        <w:t>tenaire co</w:t>
      </w:r>
      <w:r w:rsidRPr="004B021B">
        <w:rPr>
          <w:lang w:val="fr-FR" w:eastAsia="fr-FR" w:bidi="fr-FR"/>
        </w:rPr>
        <w:t>m</w:t>
      </w:r>
      <w:r w:rsidRPr="004B021B">
        <w:rPr>
          <w:lang w:val="fr-FR" w:eastAsia="fr-FR" w:bidi="fr-FR"/>
        </w:rPr>
        <w:t>mercial normal</w:t>
      </w:r>
      <w:r w:rsidRPr="004B021B">
        <w:t> »</w:t>
      </w:r>
      <w:r w:rsidRPr="004B021B">
        <w:rPr>
          <w:lang w:val="fr-FR" w:eastAsia="fr-FR" w:bidi="fr-FR"/>
        </w:rPr>
        <w:t xml:space="preserve">) devait être octroyée aux pays communistes. En 1974, cette disposition visait </w:t>
      </w:r>
      <w:r w:rsidRPr="004B021B">
        <w:t xml:space="preserve">l’URSS, </w:t>
      </w:r>
      <w:r w:rsidRPr="004B021B">
        <w:rPr>
          <w:lang w:val="fr-FR" w:eastAsia="fr-FR" w:bidi="fr-FR"/>
        </w:rPr>
        <w:t>et conditionnait l’octroi de la cla</w:t>
      </w:r>
      <w:r w:rsidRPr="004B021B">
        <w:rPr>
          <w:lang w:val="fr-FR" w:eastAsia="fr-FR" w:bidi="fr-FR"/>
        </w:rPr>
        <w:t>u</w:t>
      </w:r>
      <w:r w:rsidRPr="004B021B">
        <w:rPr>
          <w:lang w:val="fr-FR" w:eastAsia="fr-FR" w:bidi="fr-FR"/>
        </w:rPr>
        <w:t xml:space="preserve">se </w:t>
      </w:r>
      <w:r w:rsidRPr="004B021B">
        <w:t xml:space="preserve">à </w:t>
      </w:r>
      <w:r w:rsidRPr="004B021B">
        <w:rPr>
          <w:lang w:val="fr-FR" w:eastAsia="fr-FR" w:bidi="fr-FR"/>
        </w:rPr>
        <w:t>la libéralisation des règles d’émigration pour les Juifs soviétiques - sans succès notable d’ailleurs. Au début des années 1990, suite au printemps de Pékin, c’est bien sûr la Chine qui a fait l’objet de débats passionnés pour s</w:t>
      </w:r>
      <w:r w:rsidRPr="004B021B">
        <w:rPr>
          <w:lang w:val="fr-FR" w:eastAsia="fr-FR" w:bidi="fr-FR"/>
        </w:rPr>
        <w:t>a</w:t>
      </w:r>
      <w:r w:rsidRPr="004B021B">
        <w:rPr>
          <w:lang w:val="fr-FR" w:eastAsia="fr-FR" w:bidi="fr-FR"/>
        </w:rPr>
        <w:t>voir s’il convenait de lui reno</w:t>
      </w:r>
      <w:r w:rsidRPr="004B021B">
        <w:rPr>
          <w:lang w:val="fr-FR" w:eastAsia="fr-FR" w:bidi="fr-FR"/>
        </w:rPr>
        <w:t>u</w:t>
      </w:r>
      <w:r w:rsidRPr="004B021B">
        <w:rPr>
          <w:lang w:val="fr-FR" w:eastAsia="fr-FR" w:bidi="fr-FR"/>
        </w:rPr>
        <w:t>veler le statut.</w:t>
      </w:r>
    </w:p>
  </w:footnote>
  <w:footnote w:id="542">
    <w:p w14:paraId="2667E2E5" w14:textId="77777777" w:rsidR="0039793A" w:rsidRDefault="0039793A" w:rsidP="0039793A">
      <w:pPr>
        <w:pStyle w:val="Notedebasdepage"/>
      </w:pPr>
      <w:r>
        <w:rPr>
          <w:rStyle w:val="Appelnotedebasdep"/>
        </w:rPr>
        <w:footnoteRef/>
      </w:r>
      <w:r>
        <w:tab/>
      </w:r>
      <w:r w:rsidRPr="004B021B">
        <w:rPr>
          <w:lang w:val="fr-FR" w:eastAsia="fr-FR" w:bidi="fr-FR"/>
        </w:rPr>
        <w:t xml:space="preserve">James Lindsay, </w:t>
      </w:r>
      <w:r w:rsidRPr="00C621E8">
        <w:rPr>
          <w:i/>
          <w:iCs/>
        </w:rPr>
        <w:t>op. cit</w:t>
      </w:r>
      <w:r w:rsidRPr="004B021B">
        <w:t>.,</w:t>
      </w:r>
      <w:r w:rsidRPr="004B021B">
        <w:rPr>
          <w:lang w:val="fr-FR" w:eastAsia="fr-FR" w:bidi="fr-FR"/>
        </w:rPr>
        <w:t xml:space="preserve"> p. 102</w:t>
      </w:r>
    </w:p>
  </w:footnote>
  <w:footnote w:id="543">
    <w:p w14:paraId="7A78451A" w14:textId="77777777" w:rsidR="0039793A" w:rsidRDefault="0039793A" w:rsidP="0039793A">
      <w:pPr>
        <w:pStyle w:val="Notedebasdepage"/>
      </w:pPr>
      <w:r>
        <w:rPr>
          <w:rStyle w:val="Appelnotedebasdep"/>
        </w:rPr>
        <w:footnoteRef/>
      </w:r>
      <w:r>
        <w:tab/>
      </w:r>
      <w:r w:rsidRPr="004B021B">
        <w:rPr>
          <w:lang w:val="fr-FR" w:eastAsia="fr-FR" w:bidi="fr-FR"/>
        </w:rPr>
        <w:t xml:space="preserve">Voir Kegley, Wittkopf, </w:t>
      </w:r>
      <w:r w:rsidRPr="00C621E8">
        <w:rPr>
          <w:i/>
          <w:iCs/>
        </w:rPr>
        <w:t>op. cit</w:t>
      </w:r>
      <w:r w:rsidRPr="004B021B">
        <w:t>.,</w:t>
      </w:r>
      <w:r w:rsidRPr="004B021B">
        <w:rPr>
          <w:lang w:val="fr-FR" w:eastAsia="fr-FR" w:bidi="fr-FR"/>
        </w:rPr>
        <w:t xml:space="preserve"> p. 409 suiv.</w:t>
      </w:r>
    </w:p>
  </w:footnote>
  <w:footnote w:id="544">
    <w:p w14:paraId="72FFF572" w14:textId="77777777" w:rsidR="0039793A" w:rsidRDefault="0039793A" w:rsidP="0039793A">
      <w:pPr>
        <w:pStyle w:val="Notedebasdepage"/>
      </w:pPr>
      <w:r>
        <w:rPr>
          <w:rStyle w:val="Appelnotedebasdep"/>
        </w:rPr>
        <w:footnoteRef/>
      </w:r>
      <w:r>
        <w:tab/>
      </w:r>
      <w:r w:rsidRPr="004B021B">
        <w:rPr>
          <w:lang w:val="fr-FR" w:eastAsia="fr-FR" w:bidi="fr-FR"/>
        </w:rPr>
        <w:t xml:space="preserve">Voir notamment Robert Zoellick, </w:t>
      </w:r>
      <w:r w:rsidRPr="004B021B">
        <w:t>« </w:t>
      </w:r>
      <w:r w:rsidRPr="004B021B">
        <w:rPr>
          <w:lang w:val="fr-FR" w:eastAsia="fr-FR" w:bidi="fr-FR"/>
        </w:rPr>
        <w:t xml:space="preserve">Congress and the Making of </w:t>
      </w:r>
      <w:r w:rsidRPr="004B021B">
        <w:t xml:space="preserve">US </w:t>
      </w:r>
      <w:r w:rsidRPr="004B021B">
        <w:rPr>
          <w:lang w:val="fr-FR" w:eastAsia="fr-FR" w:bidi="fr-FR"/>
        </w:rPr>
        <w:t>F</w:t>
      </w:r>
      <w:r w:rsidRPr="004B021B">
        <w:rPr>
          <w:lang w:val="fr-FR" w:eastAsia="fr-FR" w:bidi="fr-FR"/>
        </w:rPr>
        <w:t>o</w:t>
      </w:r>
      <w:r w:rsidRPr="004B021B">
        <w:rPr>
          <w:lang w:val="fr-FR" w:eastAsia="fr-FR" w:bidi="fr-FR"/>
        </w:rPr>
        <w:t>reign Pol</w:t>
      </w:r>
      <w:r w:rsidRPr="004B021B">
        <w:rPr>
          <w:lang w:val="fr-FR" w:eastAsia="fr-FR" w:bidi="fr-FR"/>
        </w:rPr>
        <w:t>i</w:t>
      </w:r>
      <w:r w:rsidRPr="004B021B">
        <w:rPr>
          <w:lang w:val="fr-FR" w:eastAsia="fr-FR" w:bidi="fr-FR"/>
        </w:rPr>
        <w:t>cy</w:t>
      </w:r>
      <w:r w:rsidRPr="004B021B">
        <w:t> »</w:t>
      </w:r>
      <w:r w:rsidRPr="004B021B">
        <w:rPr>
          <w:lang w:val="fr-FR" w:eastAsia="fr-FR" w:bidi="fr-FR"/>
        </w:rPr>
        <w:t xml:space="preserve">, </w:t>
      </w:r>
      <w:r w:rsidRPr="00241E6D">
        <w:rPr>
          <w:i/>
          <w:iCs/>
        </w:rPr>
        <w:t>Survival</w:t>
      </w:r>
      <w:r w:rsidRPr="004B021B">
        <w:t>,</w:t>
      </w:r>
      <w:r w:rsidRPr="004B021B">
        <w:rPr>
          <w:lang w:val="fr-FR" w:eastAsia="fr-FR" w:bidi="fr-FR"/>
        </w:rPr>
        <w:t xml:space="preserve"> 4l (4), hiver 1999-2000, p. 20-41.</w:t>
      </w:r>
    </w:p>
  </w:footnote>
  <w:footnote w:id="545">
    <w:p w14:paraId="6078121E" w14:textId="77777777" w:rsidR="0039793A" w:rsidRDefault="0039793A">
      <w:pPr>
        <w:pStyle w:val="Notedebasdepage"/>
      </w:pPr>
      <w:r>
        <w:rPr>
          <w:rStyle w:val="Appelnotedebasdep"/>
        </w:rPr>
        <w:footnoteRef/>
      </w:r>
      <w:r>
        <w:tab/>
      </w:r>
      <w:r w:rsidRPr="004B021B">
        <w:rPr>
          <w:lang w:val="fr-FR" w:eastAsia="fr-FR" w:bidi="fr-FR"/>
        </w:rPr>
        <w:t xml:space="preserve">Ralph G. Carter, </w:t>
      </w:r>
      <w:r w:rsidRPr="00241E6D">
        <w:rPr>
          <w:i/>
          <w:iCs/>
        </w:rPr>
        <w:t>op. cit</w:t>
      </w:r>
      <w:r w:rsidRPr="004B021B">
        <w:t>.,</w:t>
      </w:r>
      <w:r w:rsidRPr="004B021B">
        <w:rPr>
          <w:lang w:val="fr-FR" w:eastAsia="fr-FR" w:bidi="fr-FR"/>
        </w:rPr>
        <w:t xml:space="preserve"> p. 113.</w:t>
      </w:r>
    </w:p>
  </w:footnote>
  <w:footnote w:id="546">
    <w:p w14:paraId="795C04E7" w14:textId="77777777" w:rsidR="0039793A" w:rsidRDefault="0039793A" w:rsidP="0039793A">
      <w:pPr>
        <w:pStyle w:val="Notedebasdepage"/>
      </w:pPr>
      <w:r>
        <w:rPr>
          <w:rStyle w:val="Appelnotedebasdep"/>
        </w:rPr>
        <w:footnoteRef/>
      </w:r>
      <w:r>
        <w:tab/>
      </w:r>
      <w:r w:rsidRPr="004B021B">
        <w:rPr>
          <w:lang w:val="fr-FR" w:eastAsia="fr-FR" w:bidi="fr-FR"/>
        </w:rPr>
        <w:t xml:space="preserve">Il est en effet difficile pour un parlementaire de </w:t>
      </w:r>
      <w:r w:rsidRPr="004B021B">
        <w:t>« </w:t>
      </w:r>
      <w:r w:rsidRPr="004B021B">
        <w:rPr>
          <w:lang w:val="fr-FR" w:eastAsia="fr-FR" w:bidi="fr-FR"/>
        </w:rPr>
        <w:t>renvoyer l’ascenseur</w:t>
      </w:r>
      <w:r w:rsidRPr="004B021B">
        <w:t> »</w:t>
      </w:r>
      <w:r w:rsidRPr="004B021B">
        <w:rPr>
          <w:lang w:val="fr-FR" w:eastAsia="fr-FR" w:bidi="fr-FR"/>
        </w:rPr>
        <w:t xml:space="preserve"> à un collègue qui lui a obtenu de nouvelles subventions agricoles pour sa ci</w:t>
      </w:r>
      <w:r w:rsidRPr="004B021B">
        <w:rPr>
          <w:lang w:val="fr-FR" w:eastAsia="fr-FR" w:bidi="fr-FR"/>
        </w:rPr>
        <w:t>r</w:t>
      </w:r>
      <w:r w:rsidRPr="004B021B">
        <w:rPr>
          <w:lang w:val="fr-FR" w:eastAsia="fr-FR" w:bidi="fr-FR"/>
        </w:rPr>
        <w:t>conscription quand il s’occupe principalement de l’Asie du Sud, difficile ég</w:t>
      </w:r>
      <w:r w:rsidRPr="004B021B">
        <w:rPr>
          <w:lang w:val="fr-FR" w:eastAsia="fr-FR" w:bidi="fr-FR"/>
        </w:rPr>
        <w:t>a</w:t>
      </w:r>
      <w:r w:rsidRPr="004B021B">
        <w:rPr>
          <w:lang w:val="fr-FR" w:eastAsia="fr-FR" w:bidi="fr-FR"/>
        </w:rPr>
        <w:t xml:space="preserve">lement de concurrencer les membres du </w:t>
      </w:r>
      <w:r w:rsidRPr="002E0470">
        <w:rPr>
          <w:i/>
          <w:iCs/>
        </w:rPr>
        <w:t>Banking Committee</w:t>
      </w:r>
      <w:r w:rsidRPr="004B021B">
        <w:rPr>
          <w:lang w:val="fr-FR" w:eastAsia="fr-FR" w:bidi="fr-FR"/>
        </w:rPr>
        <w:t xml:space="preserve"> dans une tentative de récolter des f</w:t>
      </w:r>
      <w:r w:rsidRPr="004B021B">
        <w:rPr>
          <w:lang w:val="fr-FR" w:eastAsia="fr-FR" w:bidi="fr-FR"/>
        </w:rPr>
        <w:t>i</w:t>
      </w:r>
      <w:r w:rsidRPr="004B021B">
        <w:rPr>
          <w:lang w:val="fr-FR" w:eastAsia="fr-FR" w:bidi="fr-FR"/>
        </w:rPr>
        <w:t>nancements de campagne électorale auprès des banques.</w:t>
      </w:r>
    </w:p>
  </w:footnote>
  <w:footnote w:id="547">
    <w:p w14:paraId="5A35035C" w14:textId="77777777" w:rsidR="0039793A" w:rsidRDefault="0039793A" w:rsidP="0039793A">
      <w:pPr>
        <w:pStyle w:val="Notedebasdepage"/>
      </w:pPr>
      <w:r>
        <w:rPr>
          <w:rStyle w:val="Appelnotedebasdep"/>
        </w:rPr>
        <w:footnoteRef/>
      </w:r>
      <w:r>
        <w:tab/>
      </w:r>
      <w:r w:rsidRPr="004B021B">
        <w:rPr>
          <w:lang w:val="fr-FR" w:eastAsia="fr-FR" w:bidi="fr-FR"/>
        </w:rPr>
        <w:t>La première révolution conservatrice est celle conduite par R. Reagan à pa</w:t>
      </w:r>
      <w:r w:rsidRPr="004B021B">
        <w:rPr>
          <w:lang w:val="fr-FR" w:eastAsia="fr-FR" w:bidi="fr-FR"/>
        </w:rPr>
        <w:t>r</w:t>
      </w:r>
      <w:r w:rsidRPr="004B021B">
        <w:rPr>
          <w:lang w:val="fr-FR" w:eastAsia="fr-FR" w:bidi="fr-FR"/>
        </w:rPr>
        <w:t>tir de 1981</w:t>
      </w:r>
      <w:r w:rsidRPr="004B021B">
        <w:t> ;</w:t>
      </w:r>
      <w:r w:rsidRPr="004B021B">
        <w:rPr>
          <w:lang w:val="fr-FR" w:eastAsia="fr-FR" w:bidi="fr-FR"/>
        </w:rPr>
        <w:t xml:space="preserve"> la seconde est celle conduite par N. Gingrich à pa</w:t>
      </w:r>
      <w:r w:rsidRPr="004B021B">
        <w:rPr>
          <w:lang w:val="fr-FR" w:eastAsia="fr-FR" w:bidi="fr-FR"/>
        </w:rPr>
        <w:t>r</w:t>
      </w:r>
      <w:r w:rsidRPr="004B021B">
        <w:rPr>
          <w:lang w:val="fr-FR" w:eastAsia="fr-FR" w:bidi="fr-FR"/>
        </w:rPr>
        <w:t>tir de 1994.</w:t>
      </w:r>
    </w:p>
  </w:footnote>
  <w:footnote w:id="548">
    <w:p w14:paraId="3ECEBA90" w14:textId="77777777" w:rsidR="0039793A" w:rsidRDefault="0039793A" w:rsidP="0039793A">
      <w:pPr>
        <w:pStyle w:val="Notedebasdepage"/>
      </w:pPr>
      <w:r>
        <w:rPr>
          <w:rStyle w:val="Appelnotedebasdep"/>
        </w:rPr>
        <w:footnoteRef/>
      </w:r>
      <w:r>
        <w:tab/>
      </w:r>
      <w:r w:rsidRPr="004B021B">
        <w:rPr>
          <w:lang w:val="fr-FR" w:eastAsia="fr-FR" w:bidi="fr-FR"/>
        </w:rPr>
        <w:t xml:space="preserve">Jeremy Rosner, </w:t>
      </w:r>
      <w:r w:rsidRPr="002E0470">
        <w:rPr>
          <w:i/>
          <w:iCs/>
        </w:rPr>
        <w:t>The New Tug-Of-War : Congress, the Execut</w:t>
      </w:r>
      <w:r w:rsidRPr="002E0470">
        <w:rPr>
          <w:i/>
          <w:iCs/>
        </w:rPr>
        <w:t>i</w:t>
      </w:r>
      <w:r w:rsidRPr="002E0470">
        <w:rPr>
          <w:i/>
          <w:iCs/>
        </w:rPr>
        <w:t>ve Branch, and National Security</w:t>
      </w:r>
      <w:r w:rsidRPr="004B021B">
        <w:t>,</w:t>
      </w:r>
      <w:r w:rsidRPr="004B021B">
        <w:rPr>
          <w:lang w:val="fr-FR" w:eastAsia="fr-FR" w:bidi="fr-FR"/>
        </w:rPr>
        <w:t xml:space="preserve"> Washington, Carnegie Endo</w:t>
      </w:r>
      <w:r w:rsidRPr="004B021B">
        <w:rPr>
          <w:lang w:val="fr-FR" w:eastAsia="fr-FR" w:bidi="fr-FR"/>
        </w:rPr>
        <w:t>w</w:t>
      </w:r>
      <w:r w:rsidRPr="004B021B">
        <w:rPr>
          <w:lang w:val="fr-FR" w:eastAsia="fr-FR" w:bidi="fr-FR"/>
        </w:rPr>
        <w:t>ment for International Peace, 1995, p. 25.</w:t>
      </w:r>
    </w:p>
  </w:footnote>
  <w:footnote w:id="549">
    <w:p w14:paraId="1BD7ED7F" w14:textId="77777777" w:rsidR="0039793A" w:rsidRDefault="0039793A" w:rsidP="0039793A">
      <w:pPr>
        <w:pStyle w:val="Notedebasdepage"/>
      </w:pPr>
      <w:r>
        <w:rPr>
          <w:rStyle w:val="Appelnotedebasdep"/>
        </w:rPr>
        <w:footnoteRef/>
      </w:r>
      <w:r>
        <w:tab/>
      </w:r>
      <w:r w:rsidRPr="004B021B">
        <w:rPr>
          <w:lang w:val="fr-FR" w:eastAsia="fr-FR" w:bidi="fr-FR"/>
        </w:rPr>
        <w:t>Au total, il reste donc peu d’élus vraiment intéressés par les affaires étrang</w:t>
      </w:r>
      <w:r w:rsidRPr="004B021B">
        <w:rPr>
          <w:lang w:val="fr-FR" w:eastAsia="fr-FR" w:bidi="fr-FR"/>
        </w:rPr>
        <w:t>è</w:t>
      </w:r>
      <w:r w:rsidRPr="004B021B">
        <w:rPr>
          <w:lang w:val="fr-FR" w:eastAsia="fr-FR" w:bidi="fr-FR"/>
        </w:rPr>
        <w:t>res, ce dont témoigne une anecdote colportée dans la seconde moitié des a</w:t>
      </w:r>
      <w:r w:rsidRPr="004B021B">
        <w:rPr>
          <w:lang w:val="fr-FR" w:eastAsia="fr-FR" w:bidi="fr-FR"/>
        </w:rPr>
        <w:t>n</w:t>
      </w:r>
      <w:r w:rsidRPr="004B021B">
        <w:rPr>
          <w:lang w:val="fr-FR" w:eastAsia="fr-FR" w:bidi="fr-FR"/>
        </w:rPr>
        <w:t>nées 1990</w:t>
      </w:r>
      <w:r w:rsidRPr="004B021B">
        <w:t> :</w:t>
      </w:r>
      <w:r w:rsidRPr="004B021B">
        <w:rPr>
          <w:lang w:val="fr-FR" w:eastAsia="fr-FR" w:bidi="fr-FR"/>
        </w:rPr>
        <w:t xml:space="preserve"> plus d’un tiers des parlementaires ne posséderait pas de pass</w:t>
      </w:r>
      <w:r w:rsidRPr="004B021B">
        <w:rPr>
          <w:lang w:val="fr-FR" w:eastAsia="fr-FR" w:bidi="fr-FR"/>
        </w:rPr>
        <w:t>e</w:t>
      </w:r>
      <w:r w:rsidRPr="004B021B">
        <w:rPr>
          <w:lang w:val="fr-FR" w:eastAsia="fr-FR" w:bidi="fr-FR"/>
        </w:rPr>
        <w:t>port. Si cette histoire a ensuite été démentie, il n’en reste pas moins que nombre d’entre eux ne marquent aucun intérêt particulier pour le monde e</w:t>
      </w:r>
      <w:r w:rsidRPr="004B021B">
        <w:rPr>
          <w:lang w:val="fr-FR" w:eastAsia="fr-FR" w:bidi="fr-FR"/>
        </w:rPr>
        <w:t>x</w:t>
      </w:r>
      <w:r w:rsidRPr="004B021B">
        <w:rPr>
          <w:lang w:val="fr-FR" w:eastAsia="fr-FR" w:bidi="fr-FR"/>
        </w:rPr>
        <w:t xml:space="preserve">térieur, et que beaucoup se méfient des accusations portées par le passé contre certains élus de se faire payer des </w:t>
      </w:r>
      <w:r w:rsidRPr="00835740">
        <w:rPr>
          <w:i/>
          <w:iCs/>
        </w:rPr>
        <w:t>junkets</w:t>
      </w:r>
      <w:r w:rsidRPr="004B021B">
        <w:t>,</w:t>
      </w:r>
      <w:r w:rsidRPr="004B021B">
        <w:rPr>
          <w:lang w:val="fr-FR" w:eastAsia="fr-FR" w:bidi="fr-FR"/>
        </w:rPr>
        <w:t xml:space="preserve"> c’est-à-dire des voy</w:t>
      </w:r>
      <w:r w:rsidRPr="004B021B">
        <w:rPr>
          <w:lang w:val="fr-FR" w:eastAsia="fr-FR" w:bidi="fr-FR"/>
        </w:rPr>
        <w:t>a</w:t>
      </w:r>
      <w:r w:rsidRPr="004B021B">
        <w:rPr>
          <w:lang w:val="fr-FR" w:eastAsia="fr-FR" w:bidi="fr-FR"/>
        </w:rPr>
        <w:t>ges aux frais du contribuable.</w:t>
      </w:r>
    </w:p>
  </w:footnote>
  <w:footnote w:id="550">
    <w:p w14:paraId="45BEEA0B" w14:textId="77777777" w:rsidR="0039793A" w:rsidRDefault="0039793A" w:rsidP="0039793A">
      <w:pPr>
        <w:pStyle w:val="Notedebasdepage"/>
      </w:pPr>
      <w:r>
        <w:rPr>
          <w:rStyle w:val="Appelnotedebasdep"/>
        </w:rPr>
        <w:footnoteRef/>
      </w:r>
      <w:r>
        <w:tab/>
      </w:r>
      <w:r w:rsidRPr="004B021B">
        <w:rPr>
          <w:lang w:val="fr-FR" w:eastAsia="fr-FR" w:bidi="fr-FR"/>
        </w:rPr>
        <w:t xml:space="preserve">Richard E. Cohen, </w:t>
      </w:r>
      <w:r w:rsidRPr="004B021B">
        <w:t>« </w:t>
      </w:r>
      <w:r w:rsidRPr="004B021B">
        <w:rPr>
          <w:lang w:val="fr-FR" w:eastAsia="fr-FR" w:bidi="fr-FR"/>
        </w:rPr>
        <w:t>Why Congress Is So Alienated From Decision-m</w:t>
      </w:r>
      <w:r w:rsidRPr="004B021B">
        <w:rPr>
          <w:lang w:val="fr-FR" w:eastAsia="fr-FR" w:bidi="fr-FR"/>
        </w:rPr>
        <w:t>a</w:t>
      </w:r>
      <w:r w:rsidRPr="004B021B">
        <w:rPr>
          <w:lang w:val="fr-FR" w:eastAsia="fr-FR" w:bidi="fr-FR"/>
        </w:rPr>
        <w:t xml:space="preserve">king on </w:t>
      </w:r>
      <w:r w:rsidRPr="004B021B">
        <w:t xml:space="preserve">US </w:t>
      </w:r>
      <w:r w:rsidRPr="004B021B">
        <w:rPr>
          <w:lang w:val="fr-FR" w:eastAsia="fr-FR" w:bidi="fr-FR"/>
        </w:rPr>
        <w:t>F</w:t>
      </w:r>
      <w:r w:rsidRPr="004B021B">
        <w:rPr>
          <w:lang w:val="fr-FR" w:eastAsia="fr-FR" w:bidi="fr-FR"/>
        </w:rPr>
        <w:t>o</w:t>
      </w:r>
      <w:r w:rsidRPr="004B021B">
        <w:rPr>
          <w:lang w:val="fr-FR" w:eastAsia="fr-FR" w:bidi="fr-FR"/>
        </w:rPr>
        <w:t>reign Policy</w:t>
      </w:r>
      <w:r w:rsidRPr="004B021B">
        <w:t> »</w:t>
      </w:r>
      <w:r w:rsidRPr="004B021B">
        <w:rPr>
          <w:lang w:val="fr-FR" w:eastAsia="fr-FR" w:bidi="fr-FR"/>
        </w:rPr>
        <w:t xml:space="preserve">, </w:t>
      </w:r>
      <w:r w:rsidRPr="00835740">
        <w:rPr>
          <w:i/>
          <w:iCs/>
        </w:rPr>
        <w:t>The National Journal</w:t>
      </w:r>
      <w:r w:rsidRPr="004B021B">
        <w:t>,</w:t>
      </w:r>
      <w:r w:rsidRPr="004B021B">
        <w:rPr>
          <w:lang w:val="fr-FR" w:eastAsia="fr-FR" w:bidi="fr-FR"/>
        </w:rPr>
        <w:t xml:space="preserve"> 17 av</w:t>
      </w:r>
      <w:r>
        <w:rPr>
          <w:lang w:val="fr-FR" w:eastAsia="fr-FR" w:bidi="fr-FR"/>
        </w:rPr>
        <w:t>ril 1999.</w:t>
      </w:r>
    </w:p>
  </w:footnote>
  <w:footnote w:id="551">
    <w:p w14:paraId="482577B8" w14:textId="77777777" w:rsidR="0039793A" w:rsidRDefault="0039793A" w:rsidP="0039793A">
      <w:pPr>
        <w:pStyle w:val="Notedebasdepage"/>
      </w:pPr>
      <w:r>
        <w:rPr>
          <w:rStyle w:val="Appelnotedebasdep"/>
        </w:rPr>
        <w:footnoteRef/>
      </w:r>
      <w:r>
        <w:tab/>
      </w:r>
      <w:r w:rsidRPr="004B021B">
        <w:rPr>
          <w:lang w:val="fr-FR" w:eastAsia="fr-FR" w:bidi="fr-FR"/>
        </w:rPr>
        <w:t>Il s’agit de subvention agricole, crédit de recherche, commande de mat</w:t>
      </w:r>
      <w:r w:rsidRPr="004B021B">
        <w:rPr>
          <w:lang w:val="fr-FR" w:eastAsia="fr-FR" w:bidi="fr-FR"/>
        </w:rPr>
        <w:t>é</w:t>
      </w:r>
      <w:r w:rsidRPr="004B021B">
        <w:rPr>
          <w:lang w:val="fr-FR" w:eastAsia="fr-FR" w:bidi="fr-FR"/>
        </w:rPr>
        <w:t>riel militaire ou maintien d’une base militaire pourtant inutile, programme social sp</w:t>
      </w:r>
      <w:r w:rsidRPr="004B021B">
        <w:rPr>
          <w:lang w:val="fr-FR" w:eastAsia="fr-FR" w:bidi="fr-FR"/>
        </w:rPr>
        <w:t>é</w:t>
      </w:r>
      <w:r w:rsidRPr="004B021B">
        <w:rPr>
          <w:lang w:val="fr-FR" w:eastAsia="fr-FR" w:bidi="fr-FR"/>
        </w:rPr>
        <w:t xml:space="preserve">cifique. On estime que ces dépenses se monteraient à 22,5 milliards de dollars en 2003. </w:t>
      </w:r>
      <w:r w:rsidRPr="002633C0">
        <w:rPr>
          <w:i/>
          <w:iCs/>
        </w:rPr>
        <w:t>Time</w:t>
      </w:r>
      <w:r w:rsidRPr="004B021B">
        <w:rPr>
          <w:lang w:val="fr-FR" w:eastAsia="fr-FR" w:bidi="fr-FR"/>
        </w:rPr>
        <w:t>, 5 mai 2003, p. 24.</w:t>
      </w:r>
    </w:p>
  </w:footnote>
  <w:footnote w:id="552">
    <w:p w14:paraId="606EB1DF" w14:textId="77777777" w:rsidR="0039793A" w:rsidRDefault="0039793A" w:rsidP="0039793A">
      <w:pPr>
        <w:pStyle w:val="Notedebasdepage"/>
      </w:pPr>
      <w:r>
        <w:rPr>
          <w:rStyle w:val="Appelnotedebasdep"/>
        </w:rPr>
        <w:footnoteRef/>
      </w:r>
      <w:r>
        <w:tab/>
      </w:r>
      <w:r w:rsidRPr="004B021B">
        <w:rPr>
          <w:lang w:val="fr-FR" w:eastAsia="fr-FR" w:bidi="fr-FR"/>
        </w:rPr>
        <w:t xml:space="preserve">Ralph G. Carter, </w:t>
      </w:r>
      <w:r w:rsidRPr="0061267F">
        <w:rPr>
          <w:i/>
          <w:iCs/>
        </w:rPr>
        <w:t>op. cit</w:t>
      </w:r>
      <w:r w:rsidRPr="004B021B">
        <w:t>.,</w:t>
      </w:r>
      <w:r w:rsidRPr="004B021B">
        <w:rPr>
          <w:lang w:val="fr-FR" w:eastAsia="fr-FR" w:bidi="fr-FR"/>
        </w:rPr>
        <w:t xml:space="preserve"> p. 122.</w:t>
      </w:r>
    </w:p>
  </w:footnote>
  <w:footnote w:id="553">
    <w:p w14:paraId="11AAA4A9" w14:textId="77777777" w:rsidR="0039793A" w:rsidRDefault="0039793A" w:rsidP="0039793A">
      <w:pPr>
        <w:pStyle w:val="Notedebasdepage"/>
      </w:pPr>
      <w:r>
        <w:rPr>
          <w:rStyle w:val="Appelnotedebasdep"/>
        </w:rPr>
        <w:footnoteRef/>
      </w:r>
      <w:r>
        <w:tab/>
      </w:r>
      <w:r w:rsidRPr="004B021B">
        <w:rPr>
          <w:lang w:val="fr-FR" w:eastAsia="fr-FR" w:bidi="fr-FR"/>
        </w:rPr>
        <w:t>Anciennement commission des Affaires étrangères, dont le nom a changé au début du 104</w:t>
      </w:r>
      <w:r w:rsidRPr="004B021B">
        <w:rPr>
          <w:vertAlign w:val="superscript"/>
          <w:lang w:val="fr-FR" w:eastAsia="fr-FR" w:bidi="fr-FR"/>
        </w:rPr>
        <w:t>e</w:t>
      </w:r>
      <w:r w:rsidRPr="004B021B">
        <w:rPr>
          <w:lang w:val="fr-FR" w:eastAsia="fr-FR" w:bidi="fr-FR"/>
        </w:rPr>
        <w:t xml:space="preserve"> Congrès.</w:t>
      </w:r>
    </w:p>
  </w:footnote>
  <w:footnote w:id="554">
    <w:p w14:paraId="5A7BA968" w14:textId="77777777" w:rsidR="0039793A" w:rsidRDefault="0039793A" w:rsidP="0039793A">
      <w:pPr>
        <w:pStyle w:val="Notedebasdepage"/>
      </w:pPr>
      <w:r>
        <w:rPr>
          <w:rStyle w:val="Appelnotedebasdep"/>
        </w:rPr>
        <w:footnoteRef/>
      </w:r>
      <w:r>
        <w:tab/>
      </w:r>
      <w:r w:rsidRPr="004B021B">
        <w:rPr>
          <w:lang w:val="fr-FR" w:eastAsia="fr-FR" w:bidi="fr-FR"/>
        </w:rPr>
        <w:t>Anciennement commission des Forces a</w:t>
      </w:r>
      <w:r w:rsidRPr="004B021B">
        <w:rPr>
          <w:lang w:val="fr-FR" w:eastAsia="fr-FR" w:bidi="fr-FR"/>
        </w:rPr>
        <w:t>r</w:t>
      </w:r>
      <w:r w:rsidRPr="004B021B">
        <w:rPr>
          <w:lang w:val="fr-FR" w:eastAsia="fr-FR" w:bidi="fr-FR"/>
        </w:rPr>
        <w:t>mées, dont le nom a changé au début du 104</w:t>
      </w:r>
      <w:r w:rsidRPr="004B021B">
        <w:rPr>
          <w:vertAlign w:val="superscript"/>
          <w:lang w:val="fr-FR" w:eastAsia="fr-FR" w:bidi="fr-FR"/>
        </w:rPr>
        <w:t>e</w:t>
      </w:r>
      <w:r w:rsidRPr="004B021B">
        <w:rPr>
          <w:lang w:val="fr-FR" w:eastAsia="fr-FR" w:bidi="fr-FR"/>
        </w:rPr>
        <w:t xml:space="preserve"> Congrès.</w:t>
      </w:r>
    </w:p>
  </w:footnote>
  <w:footnote w:id="555">
    <w:p w14:paraId="551ED598" w14:textId="77777777" w:rsidR="0039793A" w:rsidRDefault="0039793A" w:rsidP="0039793A">
      <w:pPr>
        <w:pStyle w:val="Notedebasdepage"/>
      </w:pPr>
      <w:r>
        <w:rPr>
          <w:rStyle w:val="Appelnotedebasdep"/>
        </w:rPr>
        <w:footnoteRef/>
      </w:r>
      <w:r>
        <w:tab/>
      </w:r>
      <w:r w:rsidRPr="004B021B">
        <w:rPr>
          <w:lang w:val="fr-FR" w:eastAsia="fr-FR" w:bidi="fr-FR"/>
        </w:rPr>
        <w:t>Cette affaire s’ajoutant à celle des 1,8 mi</w:t>
      </w:r>
      <w:r w:rsidRPr="004B021B">
        <w:rPr>
          <w:lang w:val="fr-FR" w:eastAsia="fr-FR" w:bidi="fr-FR"/>
        </w:rPr>
        <w:t>l</w:t>
      </w:r>
      <w:r w:rsidRPr="004B021B">
        <w:rPr>
          <w:lang w:val="fr-FR" w:eastAsia="fr-FR" w:bidi="fr-FR"/>
        </w:rPr>
        <w:t>liard de dollars d’arriérés que les États-Unis doivent, à cette date, à l’organisation, mais qui seront réglés plus tard en 2001.</w:t>
      </w:r>
    </w:p>
  </w:footnote>
  <w:footnote w:id="556">
    <w:p w14:paraId="1AF507C1" w14:textId="77777777" w:rsidR="0039793A" w:rsidRDefault="0039793A" w:rsidP="0039793A">
      <w:pPr>
        <w:pStyle w:val="Notedebasdepage"/>
      </w:pPr>
      <w:r>
        <w:rPr>
          <w:rStyle w:val="Appelnotedebasdep"/>
        </w:rPr>
        <w:footnoteRef/>
      </w:r>
      <w:r>
        <w:tab/>
      </w:r>
      <w:r w:rsidRPr="004B021B">
        <w:rPr>
          <w:lang w:val="fr-FR" w:eastAsia="fr-FR" w:bidi="fr-FR"/>
        </w:rPr>
        <w:t xml:space="preserve">Tim Weiner, </w:t>
      </w:r>
      <w:r w:rsidRPr="004B021B">
        <w:t>« </w:t>
      </w:r>
      <w:r w:rsidRPr="004B021B">
        <w:rPr>
          <w:lang w:val="fr-FR" w:eastAsia="fr-FR" w:bidi="fr-FR"/>
        </w:rPr>
        <w:t>Solitary Republican Senator Blocks Peacekeeping Funds</w:t>
      </w:r>
      <w:r w:rsidRPr="004B021B">
        <w:t> »</w:t>
      </w:r>
      <w:r w:rsidRPr="004B021B">
        <w:rPr>
          <w:lang w:val="fr-FR" w:eastAsia="fr-FR" w:bidi="fr-FR"/>
        </w:rPr>
        <w:t xml:space="preserve">, </w:t>
      </w:r>
      <w:r w:rsidRPr="00BF6E85">
        <w:rPr>
          <w:i/>
          <w:iCs/>
        </w:rPr>
        <w:t>New York T</w:t>
      </w:r>
      <w:r w:rsidRPr="00BF6E85">
        <w:rPr>
          <w:i/>
          <w:iCs/>
        </w:rPr>
        <w:t>i</w:t>
      </w:r>
      <w:r w:rsidRPr="00BF6E85">
        <w:rPr>
          <w:i/>
          <w:iCs/>
        </w:rPr>
        <w:t>mes</w:t>
      </w:r>
      <w:r w:rsidRPr="004B021B">
        <w:t>,</w:t>
      </w:r>
      <w:r w:rsidRPr="004B021B">
        <w:rPr>
          <w:lang w:val="fr-FR" w:eastAsia="fr-FR" w:bidi="fr-FR"/>
        </w:rPr>
        <w:t xml:space="preserve"> 20 mai 2000, p. Al.</w:t>
      </w:r>
    </w:p>
  </w:footnote>
  <w:footnote w:id="557">
    <w:p w14:paraId="4537414B" w14:textId="77777777" w:rsidR="0039793A" w:rsidRDefault="0039793A" w:rsidP="0039793A">
      <w:pPr>
        <w:pStyle w:val="Notedebasdepage"/>
      </w:pPr>
      <w:r>
        <w:rPr>
          <w:rStyle w:val="Appelnotedebasdep"/>
        </w:rPr>
        <w:footnoteRef/>
      </w:r>
      <w:r>
        <w:tab/>
      </w:r>
      <w:r w:rsidRPr="004B021B">
        <w:rPr>
          <w:lang w:val="fr-FR" w:eastAsia="fr-FR" w:bidi="fr-FR"/>
        </w:rPr>
        <w:t>Le sénateur a en effet reçu de Richard Ho</w:t>
      </w:r>
      <w:r w:rsidRPr="004B021B">
        <w:rPr>
          <w:lang w:val="fr-FR" w:eastAsia="fr-FR" w:bidi="fr-FR"/>
        </w:rPr>
        <w:t>l</w:t>
      </w:r>
      <w:r w:rsidRPr="004B021B">
        <w:rPr>
          <w:lang w:val="fr-FR" w:eastAsia="fr-FR" w:bidi="fr-FR"/>
        </w:rPr>
        <w:t xml:space="preserve">brooke, ambassadeur auprès de </w:t>
      </w:r>
      <w:r w:rsidRPr="004B021B">
        <w:t xml:space="preserve">l’ONU, </w:t>
      </w:r>
      <w:r w:rsidRPr="004B021B">
        <w:rPr>
          <w:lang w:val="fr-FR" w:eastAsia="fr-FR" w:bidi="fr-FR"/>
        </w:rPr>
        <w:t>une lettre en cinq points répondant à ses attentes, déclarant nota</w:t>
      </w:r>
      <w:r w:rsidRPr="004B021B">
        <w:rPr>
          <w:lang w:val="fr-FR" w:eastAsia="fr-FR" w:bidi="fr-FR"/>
        </w:rPr>
        <w:t>m</w:t>
      </w:r>
      <w:r w:rsidRPr="004B021B">
        <w:rPr>
          <w:lang w:val="fr-FR" w:eastAsia="fr-FR" w:bidi="fr-FR"/>
        </w:rPr>
        <w:t xml:space="preserve">ment que Foday Sankoh (chef des rebelles du </w:t>
      </w:r>
      <w:r w:rsidRPr="004B021B">
        <w:t xml:space="preserve">RUF) </w:t>
      </w:r>
      <w:r w:rsidRPr="004B021B">
        <w:rPr>
          <w:lang w:val="fr-FR" w:eastAsia="fr-FR" w:bidi="fr-FR"/>
        </w:rPr>
        <w:t>serait jugé par un trib</w:t>
      </w:r>
      <w:r w:rsidRPr="004B021B">
        <w:rPr>
          <w:lang w:val="fr-FR" w:eastAsia="fr-FR" w:bidi="fr-FR"/>
        </w:rPr>
        <w:t>u</w:t>
      </w:r>
      <w:r w:rsidRPr="004B021B">
        <w:rPr>
          <w:lang w:val="fr-FR" w:eastAsia="fr-FR" w:bidi="fr-FR"/>
        </w:rPr>
        <w:t>nal international, que l’Amérique soutenait politiquement la présence mil</w:t>
      </w:r>
      <w:r w:rsidRPr="004B021B">
        <w:rPr>
          <w:lang w:val="fr-FR" w:eastAsia="fr-FR" w:bidi="fr-FR"/>
        </w:rPr>
        <w:t>i</w:t>
      </w:r>
      <w:r w:rsidRPr="004B021B">
        <w:rPr>
          <w:lang w:val="fr-FR" w:eastAsia="fr-FR" w:bidi="fr-FR"/>
        </w:rPr>
        <w:t>taire britannique et qu’elle allait s’occuper sérieusement du cas de Charles Taylor soupçonné de dir</w:t>
      </w:r>
      <w:r w:rsidRPr="004B021B">
        <w:rPr>
          <w:lang w:val="fr-FR" w:eastAsia="fr-FR" w:bidi="fr-FR"/>
        </w:rPr>
        <w:t>i</w:t>
      </w:r>
      <w:r w:rsidRPr="004B021B">
        <w:rPr>
          <w:lang w:val="fr-FR" w:eastAsia="fr-FR" w:bidi="fr-FR"/>
        </w:rPr>
        <w:t xml:space="preserve">ger le </w:t>
      </w:r>
      <w:r w:rsidRPr="004B021B">
        <w:t xml:space="preserve">RUF </w:t>
      </w:r>
      <w:r w:rsidRPr="004B021B">
        <w:rPr>
          <w:lang w:val="fr-FR" w:eastAsia="fr-FR" w:bidi="fr-FR"/>
        </w:rPr>
        <w:t>à distance, depuis le Liberia.</w:t>
      </w:r>
    </w:p>
  </w:footnote>
  <w:footnote w:id="558">
    <w:p w14:paraId="73D0AD57" w14:textId="77777777" w:rsidR="0039793A" w:rsidRDefault="0039793A" w:rsidP="0039793A">
      <w:pPr>
        <w:pStyle w:val="Notedebasdepage"/>
      </w:pPr>
      <w:r>
        <w:rPr>
          <w:rStyle w:val="Appelnotedebasdep"/>
        </w:rPr>
        <w:footnoteRef/>
      </w:r>
      <w:r>
        <w:tab/>
      </w:r>
      <w:r w:rsidRPr="004B021B">
        <w:rPr>
          <w:lang w:val="fr-FR" w:eastAsia="fr-FR" w:bidi="fr-FR"/>
        </w:rPr>
        <w:t xml:space="preserve">Randall Ripley, </w:t>
      </w:r>
      <w:r w:rsidRPr="004B021B">
        <w:t>« </w:t>
      </w:r>
      <w:r w:rsidRPr="004B021B">
        <w:rPr>
          <w:lang w:val="fr-FR" w:eastAsia="fr-FR" w:bidi="fr-FR"/>
        </w:rPr>
        <w:t>A Neglected Stage</w:t>
      </w:r>
      <w:r w:rsidRPr="004B021B">
        <w:t> :</w:t>
      </w:r>
      <w:r w:rsidRPr="004B021B">
        <w:rPr>
          <w:lang w:val="fr-FR" w:eastAsia="fr-FR" w:bidi="fr-FR"/>
        </w:rPr>
        <w:t xml:space="preserve"> Congress and Foreign Policy</w:t>
      </w:r>
      <w:r w:rsidRPr="004B021B">
        <w:t> »</w:t>
      </w:r>
      <w:r w:rsidRPr="004B021B">
        <w:rPr>
          <w:lang w:val="fr-FR" w:eastAsia="fr-FR" w:bidi="fr-FR"/>
        </w:rPr>
        <w:t xml:space="preserve">, dans Herbert Weisberg, Samuel Patterson (ed.), </w:t>
      </w:r>
      <w:r w:rsidRPr="00BF6E85">
        <w:rPr>
          <w:i/>
          <w:iCs/>
        </w:rPr>
        <w:t>The Great Theatre</w:t>
      </w:r>
      <w:r w:rsidRPr="00BF6E85">
        <w:rPr>
          <w:i/>
          <w:iCs/>
          <w:lang w:val="fr-FR" w:eastAsia="fr-FR" w:bidi="fr-FR"/>
        </w:rPr>
        <w:t xml:space="preserve"> - </w:t>
      </w:r>
      <w:r w:rsidRPr="00BF6E85">
        <w:rPr>
          <w:i/>
          <w:iCs/>
        </w:rPr>
        <w:t>The Amer</w:t>
      </w:r>
      <w:r w:rsidRPr="00BF6E85">
        <w:rPr>
          <w:i/>
          <w:iCs/>
        </w:rPr>
        <w:t>i</w:t>
      </w:r>
      <w:r w:rsidRPr="00BF6E85">
        <w:rPr>
          <w:i/>
          <w:iCs/>
        </w:rPr>
        <w:t>can Congress in the 1990s</w:t>
      </w:r>
      <w:r w:rsidRPr="004B021B">
        <w:t>,</w:t>
      </w:r>
      <w:r w:rsidRPr="004B021B">
        <w:rPr>
          <w:lang w:val="fr-FR" w:eastAsia="fr-FR" w:bidi="fr-FR"/>
        </w:rPr>
        <w:t xml:space="preserve"> Cambridge, Cambridge University Press, 1998, p. 248-270.</w:t>
      </w:r>
    </w:p>
  </w:footnote>
  <w:footnote w:id="559">
    <w:p w14:paraId="2796CD4E" w14:textId="77777777" w:rsidR="0039793A" w:rsidRDefault="0039793A" w:rsidP="0039793A">
      <w:pPr>
        <w:pStyle w:val="Notedebasdepage"/>
      </w:pPr>
      <w:r>
        <w:rPr>
          <w:rStyle w:val="Appelnotedebasdep"/>
        </w:rPr>
        <w:footnoteRef/>
      </w:r>
      <w:r>
        <w:tab/>
      </w:r>
      <w:r w:rsidRPr="004B021B">
        <w:rPr>
          <w:lang w:val="fr-FR" w:eastAsia="fr-FR" w:bidi="fr-FR"/>
        </w:rPr>
        <w:t xml:space="preserve">Voir sur ce point, Isabelle Vagnoux, </w:t>
      </w:r>
      <w:r w:rsidRPr="00BF6E85">
        <w:rPr>
          <w:i/>
          <w:iCs/>
        </w:rPr>
        <w:t>op. cit</w:t>
      </w:r>
      <w:r w:rsidRPr="004B021B">
        <w:t>.,</w:t>
      </w:r>
      <w:r w:rsidRPr="004B021B">
        <w:rPr>
          <w:lang w:val="fr-FR" w:eastAsia="fr-FR" w:bidi="fr-FR"/>
        </w:rPr>
        <w:t xml:space="preserve"> p. 64.</w:t>
      </w:r>
    </w:p>
  </w:footnote>
  <w:footnote w:id="560">
    <w:p w14:paraId="5F4EF5FC" w14:textId="77777777" w:rsidR="0039793A" w:rsidRDefault="0039793A" w:rsidP="0039793A">
      <w:pPr>
        <w:pStyle w:val="Notedebasdepage"/>
      </w:pPr>
      <w:r>
        <w:rPr>
          <w:rStyle w:val="Appelnotedebasdep"/>
        </w:rPr>
        <w:footnoteRef/>
      </w:r>
      <w:r>
        <w:tab/>
      </w:r>
      <w:r w:rsidRPr="004B021B">
        <w:rPr>
          <w:lang w:val="fr-FR" w:eastAsia="fr-FR" w:bidi="fr-FR"/>
        </w:rPr>
        <w:t>Ces renseignements sur l’aide à la Russie ont été donnés par Stuart Gol</w:t>
      </w:r>
      <w:r w:rsidRPr="004B021B">
        <w:rPr>
          <w:lang w:val="fr-FR" w:eastAsia="fr-FR" w:bidi="fr-FR"/>
        </w:rPr>
        <w:t>d</w:t>
      </w:r>
      <w:r w:rsidRPr="004B021B">
        <w:rPr>
          <w:lang w:val="fr-FR" w:eastAsia="fr-FR" w:bidi="fr-FR"/>
        </w:rPr>
        <w:t xml:space="preserve">man, du Congressional Research Service, lors d’une conférence au </w:t>
      </w:r>
      <w:r w:rsidRPr="004B021B">
        <w:t>C</w:t>
      </w:r>
      <w:r w:rsidRPr="004B021B">
        <w:t>E</w:t>
      </w:r>
      <w:r w:rsidRPr="004B021B">
        <w:t xml:space="preserve">RI </w:t>
      </w:r>
      <w:r>
        <w:rPr>
          <w:lang w:val="fr-FR" w:eastAsia="fr-FR" w:bidi="fr-FR"/>
        </w:rPr>
        <w:t>le 3 décembre 1999.</w:t>
      </w:r>
    </w:p>
  </w:footnote>
  <w:footnote w:id="561">
    <w:p w14:paraId="733FBDC7" w14:textId="77777777" w:rsidR="0039793A" w:rsidRDefault="0039793A" w:rsidP="0039793A">
      <w:pPr>
        <w:pStyle w:val="Notedebasdepage"/>
      </w:pPr>
      <w:r>
        <w:rPr>
          <w:rStyle w:val="Appelnotedebasdep"/>
        </w:rPr>
        <w:footnoteRef/>
      </w:r>
      <w:r>
        <w:tab/>
      </w:r>
      <w:r w:rsidRPr="004B021B">
        <w:rPr>
          <w:lang w:val="fr-FR" w:eastAsia="fr-FR" w:bidi="fr-FR"/>
        </w:rPr>
        <w:t>D’ailleurs, à chaque course à la Maison-Blanche, les candidats se livrent à une sure</w:t>
      </w:r>
      <w:r w:rsidRPr="004B021B">
        <w:rPr>
          <w:lang w:val="fr-FR" w:eastAsia="fr-FR" w:bidi="fr-FR"/>
        </w:rPr>
        <w:t>n</w:t>
      </w:r>
      <w:r w:rsidRPr="004B021B">
        <w:rPr>
          <w:lang w:val="fr-FR" w:eastAsia="fr-FR" w:bidi="fr-FR"/>
        </w:rPr>
        <w:t>chère auprès de</w:t>
      </w:r>
      <w:r>
        <w:rPr>
          <w:lang w:val="fr-FR" w:eastAsia="fr-FR" w:bidi="fr-FR"/>
        </w:rPr>
        <w:t xml:space="preserve"> l’</w:t>
      </w:r>
      <w:r w:rsidRPr="00B423FA">
        <w:rPr>
          <w:rStyle w:val="Notedebasdepage65ptPetitesmajuscules"/>
          <w:caps/>
          <w:smallCaps w:val="0"/>
          <w:sz w:val="24"/>
        </w:rPr>
        <w:t>aipac</w:t>
      </w:r>
      <w:r w:rsidRPr="004B021B">
        <w:rPr>
          <w:rStyle w:val="Notedebasdepage65ptPetitesmajuscules"/>
          <w:sz w:val="24"/>
        </w:rPr>
        <w:t xml:space="preserve">, </w:t>
      </w:r>
      <w:r w:rsidRPr="004B021B">
        <w:rPr>
          <w:lang w:val="fr-FR" w:eastAsia="fr-FR" w:bidi="fr-FR"/>
        </w:rPr>
        <w:t>le républicain essayant de chasser sur les te</w:t>
      </w:r>
      <w:r w:rsidRPr="004B021B">
        <w:rPr>
          <w:lang w:val="fr-FR" w:eastAsia="fr-FR" w:bidi="fr-FR"/>
        </w:rPr>
        <w:t>r</w:t>
      </w:r>
      <w:r w:rsidRPr="004B021B">
        <w:rPr>
          <w:lang w:val="fr-FR" w:eastAsia="fr-FR" w:bidi="fr-FR"/>
        </w:rPr>
        <w:t>res du candidat démocrate.</w:t>
      </w:r>
    </w:p>
  </w:footnote>
  <w:footnote w:id="562">
    <w:p w14:paraId="6F607772" w14:textId="77777777" w:rsidR="0039793A" w:rsidRDefault="0039793A" w:rsidP="0039793A">
      <w:pPr>
        <w:pStyle w:val="Notedebasdepage"/>
      </w:pPr>
      <w:r>
        <w:rPr>
          <w:rStyle w:val="Appelnotedebasdep"/>
        </w:rPr>
        <w:footnoteRef/>
      </w:r>
      <w:r>
        <w:tab/>
      </w:r>
      <w:r w:rsidRPr="004B021B">
        <w:rPr>
          <w:lang w:val="fr-FR" w:eastAsia="fr-FR" w:bidi="fr-FR"/>
        </w:rPr>
        <w:t xml:space="preserve">Voir aussi Andrew Bennett, </w:t>
      </w:r>
      <w:r w:rsidRPr="004B021B">
        <w:t>« </w:t>
      </w:r>
      <w:r w:rsidRPr="004B021B">
        <w:rPr>
          <w:lang w:val="fr-FR" w:eastAsia="fr-FR" w:bidi="fr-FR"/>
        </w:rPr>
        <w:t>Who Rules the Roost</w:t>
      </w:r>
      <w:r w:rsidRPr="004B021B">
        <w:t> ?</w:t>
      </w:r>
      <w:r w:rsidRPr="004B021B">
        <w:rPr>
          <w:lang w:val="fr-FR" w:eastAsia="fr-FR" w:bidi="fr-FR"/>
        </w:rPr>
        <w:t xml:space="preserve"> Congressional- Ex</w:t>
      </w:r>
      <w:r w:rsidRPr="004B021B">
        <w:rPr>
          <w:lang w:val="fr-FR" w:eastAsia="fr-FR" w:bidi="fr-FR"/>
        </w:rPr>
        <w:t>e</w:t>
      </w:r>
      <w:r w:rsidRPr="004B021B">
        <w:rPr>
          <w:lang w:val="fr-FR" w:eastAsia="fr-FR" w:bidi="fr-FR"/>
        </w:rPr>
        <w:t>cutive Relations on Foreign Policy After the Cold War</w:t>
      </w:r>
      <w:r w:rsidRPr="004B021B">
        <w:t> »</w:t>
      </w:r>
      <w:r w:rsidRPr="004B021B">
        <w:rPr>
          <w:lang w:val="fr-FR" w:eastAsia="fr-FR" w:bidi="fr-FR"/>
        </w:rPr>
        <w:t>, dans Ronald Li</w:t>
      </w:r>
      <w:r w:rsidRPr="004B021B">
        <w:rPr>
          <w:lang w:val="fr-FR" w:eastAsia="fr-FR" w:bidi="fr-FR"/>
        </w:rPr>
        <w:t>e</w:t>
      </w:r>
      <w:r w:rsidRPr="004B021B">
        <w:rPr>
          <w:lang w:val="fr-FR" w:eastAsia="fr-FR" w:bidi="fr-FR"/>
        </w:rPr>
        <w:t xml:space="preserve">ber (ed.), </w:t>
      </w:r>
      <w:r w:rsidRPr="00B040CB">
        <w:rPr>
          <w:i/>
          <w:iCs/>
        </w:rPr>
        <w:t>Eagle Rules ? Foreign Policy and American Primacy in the Twe</w:t>
      </w:r>
      <w:r w:rsidRPr="00B040CB">
        <w:rPr>
          <w:i/>
          <w:iCs/>
        </w:rPr>
        <w:t>n</w:t>
      </w:r>
      <w:r w:rsidRPr="00B040CB">
        <w:rPr>
          <w:i/>
          <w:iCs/>
        </w:rPr>
        <w:t>ty-First Century</w:t>
      </w:r>
      <w:r w:rsidRPr="004B021B">
        <w:rPr>
          <w:lang w:val="fr-FR" w:eastAsia="fr-FR" w:bidi="fr-FR"/>
        </w:rPr>
        <w:t>, Upper Saddle, Prentice Hall, 2002, p. 47-69.</w:t>
      </w:r>
    </w:p>
  </w:footnote>
  <w:footnote w:id="563">
    <w:p w14:paraId="62D34FDE" w14:textId="77777777" w:rsidR="0039793A" w:rsidRDefault="0039793A" w:rsidP="0039793A">
      <w:pPr>
        <w:pStyle w:val="Notedebasdepage"/>
      </w:pPr>
      <w:r>
        <w:rPr>
          <w:rStyle w:val="Appelnotedebasdep"/>
        </w:rPr>
        <w:footnoteRef/>
      </w:r>
      <w:r>
        <w:tab/>
      </w:r>
      <w:r w:rsidRPr="004B021B">
        <w:rPr>
          <w:lang w:val="fr-FR" w:eastAsia="fr-FR" w:bidi="fr-FR"/>
        </w:rPr>
        <w:t xml:space="preserve">Ralph G. Carter, </w:t>
      </w:r>
      <w:r w:rsidRPr="00F463F8">
        <w:rPr>
          <w:i/>
          <w:iCs/>
        </w:rPr>
        <w:t>op. cit</w:t>
      </w:r>
      <w:r w:rsidRPr="004B021B">
        <w:rPr>
          <w:lang w:val="fr-FR" w:eastAsia="fr-FR" w:bidi="fr-FR"/>
        </w:rPr>
        <w:t>., p. 121.</w:t>
      </w:r>
    </w:p>
  </w:footnote>
  <w:footnote w:id="564">
    <w:p w14:paraId="5FABD070" w14:textId="77777777" w:rsidR="0039793A" w:rsidRDefault="0039793A" w:rsidP="0039793A">
      <w:pPr>
        <w:pStyle w:val="Notedebasdepage"/>
      </w:pPr>
      <w:r>
        <w:rPr>
          <w:rStyle w:val="Appelnotedebasdep"/>
        </w:rPr>
        <w:footnoteRef/>
      </w:r>
      <w:r>
        <w:tab/>
      </w:r>
      <w:r w:rsidRPr="004B021B">
        <w:rPr>
          <w:lang w:val="fr-FR" w:eastAsia="fr-FR" w:bidi="fr-FR"/>
        </w:rPr>
        <w:t>Le libéralisme au sens américain désigne un soutien à l’intervention de l’État dans les affaires économiques et sociales</w:t>
      </w:r>
      <w:r w:rsidRPr="004B021B">
        <w:t> ;</w:t>
      </w:r>
      <w:r w:rsidRPr="004B021B">
        <w:rPr>
          <w:lang w:val="fr-FR" w:eastAsia="fr-FR" w:bidi="fr-FR"/>
        </w:rPr>
        <w:t xml:space="preserve"> le conservatisme désigne un so</w:t>
      </w:r>
      <w:r w:rsidRPr="004B021B">
        <w:rPr>
          <w:lang w:val="fr-FR" w:eastAsia="fr-FR" w:bidi="fr-FR"/>
        </w:rPr>
        <w:t>u</w:t>
      </w:r>
      <w:r w:rsidRPr="004B021B">
        <w:rPr>
          <w:lang w:val="fr-FR" w:eastAsia="fr-FR" w:bidi="fr-FR"/>
        </w:rPr>
        <w:t>tien au retrait de l’État de ces domaines, et au reflux de l’État fédéral au profit des États fédérés.</w:t>
      </w:r>
    </w:p>
  </w:footnote>
  <w:footnote w:id="565">
    <w:p w14:paraId="5D683BE4" w14:textId="77777777" w:rsidR="0039793A" w:rsidRDefault="0039793A" w:rsidP="0039793A">
      <w:pPr>
        <w:pStyle w:val="Notedebasdepage"/>
      </w:pPr>
      <w:r>
        <w:rPr>
          <w:rStyle w:val="Appelnotedebasdep"/>
        </w:rPr>
        <w:footnoteRef/>
      </w:r>
      <w:r>
        <w:tab/>
      </w:r>
      <w:r w:rsidRPr="004B021B">
        <w:rPr>
          <w:lang w:val="fr-FR" w:eastAsia="fr-FR" w:bidi="fr-FR"/>
        </w:rPr>
        <w:t xml:space="preserve">Ainsi qu’en témoignent les polémiques sur l’aide d’urgence au Mexique (N. Gingrich est ici débordé par ses </w:t>
      </w:r>
      <w:r w:rsidRPr="00305BA1">
        <w:rPr>
          <w:i/>
          <w:iCs/>
        </w:rPr>
        <w:t>Freshmen</w:t>
      </w:r>
      <w:r w:rsidRPr="004B021B">
        <w:t>,</w:t>
      </w:r>
      <w:r w:rsidRPr="004B021B">
        <w:rPr>
          <w:lang w:val="fr-FR" w:eastAsia="fr-FR" w:bidi="fr-FR"/>
        </w:rPr>
        <w:t xml:space="preserve"> encore plus radicaux que lui, qui refusent de soutenir le président), les coupes dans le financement des instit</w:t>
      </w:r>
      <w:r w:rsidRPr="004B021B">
        <w:rPr>
          <w:lang w:val="fr-FR" w:eastAsia="fr-FR" w:bidi="fr-FR"/>
        </w:rPr>
        <w:t>u</w:t>
      </w:r>
      <w:r w:rsidRPr="004B021B">
        <w:rPr>
          <w:lang w:val="fr-FR" w:eastAsia="fr-FR" w:bidi="fr-FR"/>
        </w:rPr>
        <w:t>tions multilatérales (</w:t>
      </w:r>
      <w:r>
        <w:rPr>
          <w:lang w:val="fr-FR" w:eastAsia="fr-FR" w:bidi="fr-FR"/>
        </w:rPr>
        <w:t>-</w:t>
      </w:r>
      <w:r w:rsidRPr="004B021B">
        <w:rPr>
          <w:lang w:val="fr-FR" w:eastAsia="fr-FR" w:bidi="fr-FR"/>
        </w:rPr>
        <w:t xml:space="preserve"> 34</w:t>
      </w:r>
      <w:r>
        <w:rPr>
          <w:lang w:val="fr-FR" w:eastAsia="fr-FR" w:bidi="fr-FR"/>
        </w:rPr>
        <w:t>%</w:t>
      </w:r>
      <w:r w:rsidRPr="004B021B">
        <w:rPr>
          <w:lang w:val="fr-FR" w:eastAsia="fr-FR" w:bidi="fr-FR"/>
        </w:rPr>
        <w:t>), les attaques de Bob Dole sur la Bosnie ou enc</w:t>
      </w:r>
      <w:r w:rsidRPr="004B021B">
        <w:rPr>
          <w:lang w:val="fr-FR" w:eastAsia="fr-FR" w:bidi="fr-FR"/>
        </w:rPr>
        <w:t>o</w:t>
      </w:r>
      <w:r w:rsidRPr="004B021B">
        <w:rPr>
          <w:lang w:val="fr-FR" w:eastAsia="fr-FR" w:bidi="fr-FR"/>
        </w:rPr>
        <w:t>re la di</w:t>
      </w:r>
      <w:r w:rsidRPr="004B021B">
        <w:rPr>
          <w:lang w:val="fr-FR" w:eastAsia="fr-FR" w:bidi="fr-FR"/>
        </w:rPr>
        <w:t>s</w:t>
      </w:r>
      <w:r w:rsidRPr="004B021B">
        <w:rPr>
          <w:lang w:val="fr-FR" w:eastAsia="fr-FR" w:bidi="fr-FR"/>
        </w:rPr>
        <w:t>pute avec Jesse Helms sur la réorganisation du Département d’État.</w:t>
      </w:r>
    </w:p>
  </w:footnote>
  <w:footnote w:id="566">
    <w:p w14:paraId="02CE868E" w14:textId="77777777" w:rsidR="0039793A" w:rsidRDefault="0039793A" w:rsidP="0039793A">
      <w:pPr>
        <w:pStyle w:val="Notedebasdepage"/>
      </w:pPr>
      <w:r>
        <w:rPr>
          <w:rStyle w:val="Appelnotedebasdep"/>
        </w:rPr>
        <w:footnoteRef/>
      </w:r>
      <w:r>
        <w:tab/>
      </w:r>
      <w:r w:rsidRPr="004B021B">
        <w:rPr>
          <w:lang w:val="fr-FR" w:eastAsia="fr-FR" w:bidi="fr-FR"/>
        </w:rPr>
        <w:t>Le candidat démocrate Al Gore a remporté le vote populaire, mais le cand</w:t>
      </w:r>
      <w:r w:rsidRPr="004B021B">
        <w:rPr>
          <w:lang w:val="fr-FR" w:eastAsia="fr-FR" w:bidi="fr-FR"/>
        </w:rPr>
        <w:t>i</w:t>
      </w:r>
      <w:r w:rsidRPr="004B021B">
        <w:rPr>
          <w:lang w:val="fr-FR" w:eastAsia="fr-FR" w:bidi="fr-FR"/>
        </w:rPr>
        <w:t>dat républicain George W. Bush a toutefois plus de mandats de grands éle</w:t>
      </w:r>
      <w:r w:rsidRPr="004B021B">
        <w:rPr>
          <w:lang w:val="fr-FR" w:eastAsia="fr-FR" w:bidi="fr-FR"/>
        </w:rPr>
        <w:t>c</w:t>
      </w:r>
      <w:r w:rsidRPr="004B021B">
        <w:rPr>
          <w:lang w:val="fr-FR" w:eastAsia="fr-FR" w:bidi="fr-FR"/>
        </w:rPr>
        <w:t>teurs s’il est déclaré victorieux en Fl</w:t>
      </w:r>
      <w:r w:rsidRPr="004B021B">
        <w:rPr>
          <w:lang w:val="fr-FR" w:eastAsia="fr-FR" w:bidi="fr-FR"/>
        </w:rPr>
        <w:t>o</w:t>
      </w:r>
      <w:r w:rsidRPr="004B021B">
        <w:rPr>
          <w:lang w:val="fr-FR" w:eastAsia="fr-FR" w:bidi="fr-FR"/>
        </w:rPr>
        <w:t>ride</w:t>
      </w:r>
      <w:r w:rsidRPr="004B021B">
        <w:t> ;</w:t>
      </w:r>
      <w:r w:rsidRPr="004B021B">
        <w:rPr>
          <w:lang w:val="fr-FR" w:eastAsia="fr-FR" w:bidi="fr-FR"/>
        </w:rPr>
        <w:t xml:space="preserve"> or les résultats de Floride sont incertains, en raison du score très serré et des irrégularités du scrutin dans plusieurs co</w:t>
      </w:r>
      <w:r w:rsidRPr="004B021B">
        <w:rPr>
          <w:lang w:val="fr-FR" w:eastAsia="fr-FR" w:bidi="fr-FR"/>
        </w:rPr>
        <w:t>m</w:t>
      </w:r>
      <w:r w:rsidRPr="004B021B">
        <w:rPr>
          <w:lang w:val="fr-FR" w:eastAsia="fr-FR" w:bidi="fr-FR"/>
        </w:rPr>
        <w:t>tés. Finalement, la querelle du recomptage des voix est portée devant les trib</w:t>
      </w:r>
      <w:r w:rsidRPr="004B021B">
        <w:rPr>
          <w:lang w:val="fr-FR" w:eastAsia="fr-FR" w:bidi="fr-FR"/>
        </w:rPr>
        <w:t>u</w:t>
      </w:r>
      <w:r w:rsidRPr="004B021B">
        <w:rPr>
          <w:lang w:val="fr-FR" w:eastAsia="fr-FR" w:bidi="fr-FR"/>
        </w:rPr>
        <w:t xml:space="preserve">naux, et tranchée en dernier recours par la Cour suprême en faveur du candidat Bush. Voir Ronald Dworkin, </w:t>
      </w:r>
      <w:r w:rsidRPr="009C4F7E">
        <w:rPr>
          <w:i/>
          <w:iCs/>
        </w:rPr>
        <w:t>A Badly Fla</w:t>
      </w:r>
      <w:r>
        <w:rPr>
          <w:i/>
          <w:iCs/>
        </w:rPr>
        <w:t>w</w:t>
      </w:r>
      <w:r w:rsidRPr="009C4F7E">
        <w:rPr>
          <w:i/>
          <w:iCs/>
        </w:rPr>
        <w:t>ed Election :</w:t>
      </w:r>
      <w:r w:rsidRPr="009C4F7E">
        <w:rPr>
          <w:i/>
          <w:iCs/>
          <w:lang w:val="fr-FR" w:eastAsia="fr-FR" w:bidi="fr-FR"/>
        </w:rPr>
        <w:t xml:space="preserve"> </w:t>
      </w:r>
      <w:r w:rsidRPr="009C4F7E">
        <w:rPr>
          <w:i/>
          <w:iCs/>
        </w:rPr>
        <w:t>Debating Bush v. G</w:t>
      </w:r>
      <w:r w:rsidRPr="009C4F7E">
        <w:rPr>
          <w:i/>
          <w:iCs/>
        </w:rPr>
        <w:t>o</w:t>
      </w:r>
      <w:r w:rsidRPr="009C4F7E">
        <w:rPr>
          <w:i/>
          <w:iCs/>
        </w:rPr>
        <w:t>re, the Supr</w:t>
      </w:r>
      <w:r>
        <w:rPr>
          <w:i/>
          <w:iCs/>
        </w:rPr>
        <w:t>e</w:t>
      </w:r>
      <w:r w:rsidRPr="009C4F7E">
        <w:rPr>
          <w:i/>
          <w:iCs/>
        </w:rPr>
        <w:t>me Court, and American Democracy</w:t>
      </w:r>
      <w:r w:rsidRPr="004B021B">
        <w:t>,</w:t>
      </w:r>
      <w:r w:rsidRPr="004B021B">
        <w:rPr>
          <w:lang w:val="fr-FR" w:eastAsia="fr-FR" w:bidi="fr-FR"/>
        </w:rPr>
        <w:t xml:space="preserve"> New York, New Press, 2002, 344 p.</w:t>
      </w:r>
    </w:p>
  </w:footnote>
  <w:footnote w:id="567">
    <w:p w14:paraId="480C9834" w14:textId="77777777" w:rsidR="0039793A" w:rsidRDefault="0039793A" w:rsidP="0039793A">
      <w:pPr>
        <w:pStyle w:val="Notedebasdepage"/>
      </w:pPr>
      <w:r>
        <w:rPr>
          <w:rStyle w:val="Appelnotedebasdep"/>
        </w:rPr>
        <w:footnoteRef/>
      </w:r>
      <w:r>
        <w:tab/>
      </w:r>
      <w:r w:rsidRPr="004B021B">
        <w:rPr>
          <w:lang w:val="fr-FR" w:eastAsia="fr-FR" w:bidi="fr-FR"/>
        </w:rPr>
        <w:t>Voir Terry Deibel, art. cité, p. 158.</w:t>
      </w:r>
    </w:p>
  </w:footnote>
  <w:footnote w:id="568">
    <w:p w14:paraId="2637D996" w14:textId="77777777" w:rsidR="0039793A" w:rsidRDefault="0039793A" w:rsidP="0039793A">
      <w:pPr>
        <w:pStyle w:val="Notedebasdepage"/>
      </w:pPr>
      <w:r>
        <w:rPr>
          <w:rStyle w:val="Appelnotedebasdep"/>
        </w:rPr>
        <w:footnoteRef/>
      </w:r>
      <w:r>
        <w:tab/>
      </w:r>
      <w:r w:rsidRPr="004B021B">
        <w:rPr>
          <w:lang w:val="fr-FR" w:eastAsia="fr-FR" w:bidi="fr-FR"/>
        </w:rPr>
        <w:t xml:space="preserve">Daniel Sabbagh, </w:t>
      </w:r>
      <w:r w:rsidRPr="004B021B">
        <w:t>« </w:t>
      </w:r>
      <w:r w:rsidRPr="004B021B">
        <w:rPr>
          <w:lang w:val="fr-FR" w:eastAsia="fr-FR" w:bidi="fr-FR"/>
        </w:rPr>
        <w:t>Les déterminants i</w:t>
      </w:r>
      <w:r w:rsidRPr="004B021B">
        <w:rPr>
          <w:lang w:val="fr-FR" w:eastAsia="fr-FR" w:bidi="fr-FR"/>
        </w:rPr>
        <w:t>n</w:t>
      </w:r>
      <w:r w:rsidRPr="004B021B">
        <w:rPr>
          <w:lang w:val="fr-FR" w:eastAsia="fr-FR" w:bidi="fr-FR"/>
        </w:rPr>
        <w:t>ternes de la politique étrangère des États-Unis</w:t>
      </w:r>
      <w:r w:rsidRPr="004B021B">
        <w:t> :</w:t>
      </w:r>
      <w:r w:rsidRPr="004B021B">
        <w:rPr>
          <w:lang w:val="fr-FR" w:eastAsia="fr-FR" w:bidi="fr-FR"/>
        </w:rPr>
        <w:t xml:space="preserve"> une perspective diachronique</w:t>
      </w:r>
      <w:r w:rsidRPr="004B021B">
        <w:t> »</w:t>
      </w:r>
      <w:r w:rsidRPr="004B021B">
        <w:rPr>
          <w:lang w:val="fr-FR" w:eastAsia="fr-FR" w:bidi="fr-FR"/>
        </w:rPr>
        <w:t xml:space="preserve">, </w:t>
      </w:r>
      <w:r w:rsidRPr="002E02B0">
        <w:rPr>
          <w:i/>
          <w:iCs/>
        </w:rPr>
        <w:t>Revue internationale de polit</w:t>
      </w:r>
      <w:r w:rsidRPr="002E02B0">
        <w:rPr>
          <w:i/>
          <w:iCs/>
        </w:rPr>
        <w:t>i</w:t>
      </w:r>
      <w:r w:rsidRPr="002E02B0">
        <w:rPr>
          <w:i/>
          <w:iCs/>
        </w:rPr>
        <w:t>que comparée</w:t>
      </w:r>
      <w:r w:rsidRPr="004B021B">
        <w:rPr>
          <w:lang w:val="fr-FR" w:eastAsia="fr-FR" w:bidi="fr-FR"/>
        </w:rPr>
        <w:t>, 8 (1), 2001, p. 135-161.</w:t>
      </w:r>
    </w:p>
  </w:footnote>
  <w:footnote w:id="569">
    <w:p w14:paraId="47A3200A" w14:textId="77777777" w:rsidR="0039793A" w:rsidRDefault="0039793A" w:rsidP="0039793A">
      <w:pPr>
        <w:pStyle w:val="Notedebasdepage"/>
      </w:pPr>
      <w:r>
        <w:rPr>
          <w:rStyle w:val="Appelnotedebasdep"/>
        </w:rPr>
        <w:footnoteRef/>
      </w:r>
      <w:r>
        <w:tab/>
      </w:r>
      <w:r w:rsidRPr="004B021B">
        <w:rPr>
          <w:lang w:val="fr-FR" w:eastAsia="fr-FR" w:bidi="fr-FR"/>
        </w:rPr>
        <w:t>Comme le montrent les exemples d’entrée en guerre et le travail de l’opinion réticente des Américains au cours du</w:t>
      </w:r>
      <w:r>
        <w:rPr>
          <w:lang w:val="fr-FR" w:eastAsia="fr-FR" w:bidi="fr-FR"/>
        </w:rPr>
        <w:t xml:space="preserve"> XX</w:t>
      </w:r>
      <w:r w:rsidRPr="005D2132">
        <w:rPr>
          <w:vertAlign w:val="superscript"/>
          <w:lang w:val="fr-FR" w:eastAsia="fr-FR" w:bidi="fr-FR"/>
        </w:rPr>
        <w:t>e</w:t>
      </w:r>
      <w:r>
        <w:rPr>
          <w:lang w:val="fr-FR" w:eastAsia="fr-FR" w:bidi="fr-FR"/>
        </w:rPr>
        <w:t xml:space="preserve"> </w:t>
      </w:r>
      <w:r w:rsidRPr="004B021B">
        <w:rPr>
          <w:lang w:val="fr-FR" w:eastAsia="fr-FR" w:bidi="fr-FR"/>
        </w:rPr>
        <w:t>si</w:t>
      </w:r>
      <w:r w:rsidRPr="004B021B">
        <w:rPr>
          <w:lang w:val="fr-FR" w:eastAsia="fr-FR" w:bidi="fr-FR"/>
        </w:rPr>
        <w:t>è</w:t>
      </w:r>
      <w:r w:rsidRPr="004B021B">
        <w:rPr>
          <w:lang w:val="fr-FR" w:eastAsia="fr-FR" w:bidi="fr-FR"/>
        </w:rPr>
        <w:t>cle.</w:t>
      </w:r>
    </w:p>
  </w:footnote>
  <w:footnote w:id="570">
    <w:p w14:paraId="58110396" w14:textId="77777777" w:rsidR="0039793A" w:rsidRDefault="0039793A" w:rsidP="0039793A">
      <w:pPr>
        <w:pStyle w:val="Notedebasdepage"/>
      </w:pPr>
      <w:r>
        <w:rPr>
          <w:rStyle w:val="Appelnotedebasdep"/>
        </w:rPr>
        <w:footnoteRef/>
      </w:r>
      <w:r>
        <w:tab/>
      </w:r>
      <w:r w:rsidRPr="004B021B">
        <w:rPr>
          <w:lang w:val="fr-FR" w:eastAsia="fr-FR" w:bidi="fr-FR"/>
        </w:rPr>
        <w:t>Il faut toutefois à ce stade apporter une précision quant à la notion d’isolationnisme. Elle peut en effet induire en erreur tant en raison de son inad</w:t>
      </w:r>
      <w:r w:rsidRPr="004B021B">
        <w:rPr>
          <w:lang w:val="fr-FR" w:eastAsia="fr-FR" w:bidi="fr-FR"/>
        </w:rPr>
        <w:t>é</w:t>
      </w:r>
      <w:r w:rsidRPr="004B021B">
        <w:rPr>
          <w:lang w:val="fr-FR" w:eastAsia="fr-FR" w:bidi="fr-FR"/>
        </w:rPr>
        <w:t>quation sémantique que par son inaptitude à désigner les nouvelles formes de réticence à l’engagement international. L’inadéquation sémant</w:t>
      </w:r>
      <w:r w:rsidRPr="004B021B">
        <w:rPr>
          <w:lang w:val="fr-FR" w:eastAsia="fr-FR" w:bidi="fr-FR"/>
        </w:rPr>
        <w:t>i</w:t>
      </w:r>
      <w:r w:rsidRPr="004B021B">
        <w:rPr>
          <w:lang w:val="fr-FR" w:eastAsia="fr-FR" w:bidi="fr-FR"/>
        </w:rPr>
        <w:t>que provient de la racine du mot</w:t>
      </w:r>
      <w:r w:rsidRPr="004B021B">
        <w:t> :</w:t>
      </w:r>
      <w:r w:rsidRPr="004B021B">
        <w:rPr>
          <w:lang w:val="fr-FR" w:eastAsia="fr-FR" w:bidi="fr-FR"/>
        </w:rPr>
        <w:t xml:space="preserve"> les isolationnistes n’ont en réalité j</w:t>
      </w:r>
      <w:r w:rsidRPr="004B021B">
        <w:rPr>
          <w:lang w:val="fr-FR" w:eastAsia="fr-FR" w:bidi="fr-FR"/>
        </w:rPr>
        <w:t>a</w:t>
      </w:r>
      <w:r w:rsidRPr="004B021B">
        <w:rPr>
          <w:lang w:val="fr-FR" w:eastAsia="fr-FR" w:bidi="fr-FR"/>
        </w:rPr>
        <w:t>mais souhaité l’isolement total de l’Amérique, certainement pas sur le plan co</w:t>
      </w:r>
      <w:r w:rsidRPr="004B021B">
        <w:rPr>
          <w:lang w:val="fr-FR" w:eastAsia="fr-FR" w:bidi="fr-FR"/>
        </w:rPr>
        <w:t>m</w:t>
      </w:r>
      <w:r w:rsidRPr="004B021B">
        <w:rPr>
          <w:lang w:val="fr-FR" w:eastAsia="fr-FR" w:bidi="fr-FR"/>
        </w:rPr>
        <w:t>mercial, ni même vraiment sur le plan politique. De surcroît, ce terme d’isolationnisme, parce qu’il est péjoratif (ce que ne rend pas forcément la langue française), est utilisé depuis longtemps comme une arme par les a</w:t>
      </w:r>
      <w:r w:rsidRPr="004B021B">
        <w:rPr>
          <w:lang w:val="fr-FR" w:eastAsia="fr-FR" w:bidi="fr-FR"/>
        </w:rPr>
        <w:t>d</w:t>
      </w:r>
      <w:r w:rsidRPr="004B021B">
        <w:rPr>
          <w:lang w:val="fr-FR" w:eastAsia="fr-FR" w:bidi="fr-FR"/>
        </w:rPr>
        <w:t>versaires de cette école et sert également d’anathème traditionnel pour di</w:t>
      </w:r>
      <w:r w:rsidRPr="004B021B">
        <w:rPr>
          <w:lang w:val="fr-FR" w:eastAsia="fr-FR" w:bidi="fr-FR"/>
        </w:rPr>
        <w:t>s</w:t>
      </w:r>
      <w:r w:rsidRPr="004B021B">
        <w:rPr>
          <w:lang w:val="fr-FR" w:eastAsia="fr-FR" w:bidi="fr-FR"/>
        </w:rPr>
        <w:t>créditer, au prix d’une contrevérité, d’autres courants de pe</w:t>
      </w:r>
      <w:r w:rsidRPr="004B021B">
        <w:rPr>
          <w:lang w:val="fr-FR" w:eastAsia="fr-FR" w:bidi="fr-FR"/>
        </w:rPr>
        <w:t>n</w:t>
      </w:r>
      <w:r w:rsidRPr="004B021B">
        <w:rPr>
          <w:lang w:val="fr-FR" w:eastAsia="fr-FR" w:bidi="fr-FR"/>
        </w:rPr>
        <w:t>sée tels que l’école unilatér</w:t>
      </w:r>
      <w:r w:rsidRPr="004B021B">
        <w:rPr>
          <w:lang w:val="fr-FR" w:eastAsia="fr-FR" w:bidi="fr-FR"/>
        </w:rPr>
        <w:t>a</w:t>
      </w:r>
      <w:r w:rsidRPr="004B021B">
        <w:rPr>
          <w:lang w:val="fr-FR" w:eastAsia="fr-FR" w:bidi="fr-FR"/>
        </w:rPr>
        <w:t>liste.</w:t>
      </w:r>
    </w:p>
  </w:footnote>
  <w:footnote w:id="571">
    <w:p w14:paraId="1FC3772C" w14:textId="77777777" w:rsidR="0039793A" w:rsidRDefault="0039793A" w:rsidP="0039793A">
      <w:pPr>
        <w:pStyle w:val="Notedebasdepage"/>
      </w:pPr>
      <w:r>
        <w:rPr>
          <w:rStyle w:val="Appelnotedebasdep"/>
        </w:rPr>
        <w:footnoteRef/>
      </w:r>
      <w:r>
        <w:tab/>
      </w:r>
      <w:r w:rsidRPr="004B021B">
        <w:rPr>
          <w:lang w:val="fr-FR" w:eastAsia="fr-FR" w:bidi="fr-FR"/>
        </w:rPr>
        <w:t xml:space="preserve">Le comité </w:t>
      </w:r>
      <w:r w:rsidRPr="001F5FBC">
        <w:rPr>
          <w:i/>
          <w:iCs/>
        </w:rPr>
        <w:t>America First</w:t>
      </w:r>
      <w:r w:rsidRPr="004B021B">
        <w:t>,</w:t>
      </w:r>
      <w:r w:rsidRPr="004B021B">
        <w:rPr>
          <w:lang w:val="fr-FR" w:eastAsia="fr-FR" w:bidi="fr-FR"/>
        </w:rPr>
        <w:t xml:space="preserve"> sous la direction de l’aviateur Charles Lin</w:t>
      </w:r>
      <w:r w:rsidRPr="004B021B">
        <w:rPr>
          <w:lang w:val="fr-FR" w:eastAsia="fr-FR" w:bidi="fr-FR"/>
        </w:rPr>
        <w:t>d</w:t>
      </w:r>
      <w:r w:rsidRPr="004B021B">
        <w:rPr>
          <w:lang w:val="fr-FR" w:eastAsia="fr-FR" w:bidi="fr-FR"/>
        </w:rPr>
        <w:t>bergh, rassemblait les forces opposées à l’entrée en guerre des États-Unis, princip</w:t>
      </w:r>
      <w:r w:rsidRPr="004B021B">
        <w:rPr>
          <w:lang w:val="fr-FR" w:eastAsia="fr-FR" w:bidi="fr-FR"/>
        </w:rPr>
        <w:t>a</w:t>
      </w:r>
      <w:r w:rsidRPr="004B021B">
        <w:rPr>
          <w:lang w:val="fr-FR" w:eastAsia="fr-FR" w:bidi="fr-FR"/>
        </w:rPr>
        <w:t>lement du c</w:t>
      </w:r>
      <w:r w:rsidRPr="004B021B">
        <w:rPr>
          <w:lang w:val="fr-FR" w:eastAsia="fr-FR" w:bidi="fr-FR"/>
        </w:rPr>
        <w:t>ô</w:t>
      </w:r>
      <w:r w:rsidRPr="004B021B">
        <w:rPr>
          <w:lang w:val="fr-FR" w:eastAsia="fr-FR" w:bidi="fr-FR"/>
        </w:rPr>
        <w:t>té républicain.</w:t>
      </w:r>
    </w:p>
  </w:footnote>
  <w:footnote w:id="572">
    <w:p w14:paraId="28BF991E" w14:textId="77777777" w:rsidR="0039793A" w:rsidRDefault="0039793A" w:rsidP="0039793A">
      <w:pPr>
        <w:pStyle w:val="Notedebasdepage"/>
      </w:pPr>
      <w:r>
        <w:rPr>
          <w:rStyle w:val="Appelnotedebasdep"/>
        </w:rPr>
        <w:footnoteRef/>
      </w:r>
      <w:r>
        <w:tab/>
      </w:r>
      <w:r w:rsidRPr="004B021B">
        <w:rPr>
          <w:lang w:val="fr-FR" w:eastAsia="fr-FR" w:bidi="fr-FR"/>
        </w:rPr>
        <w:t xml:space="preserve">Voir Ole Holsti, </w:t>
      </w:r>
      <w:r w:rsidRPr="004B021B">
        <w:t>« </w:t>
      </w:r>
      <w:r w:rsidRPr="004B021B">
        <w:rPr>
          <w:lang w:val="fr-FR" w:eastAsia="fr-FR" w:bidi="fr-FR"/>
        </w:rPr>
        <w:t>Public Opinion and Foreign Policy</w:t>
      </w:r>
      <w:r w:rsidRPr="004B021B">
        <w:t> »</w:t>
      </w:r>
      <w:r w:rsidRPr="004B021B">
        <w:rPr>
          <w:lang w:val="fr-FR" w:eastAsia="fr-FR" w:bidi="fr-FR"/>
        </w:rPr>
        <w:t>, dans Ronald Li</w:t>
      </w:r>
      <w:r w:rsidRPr="004B021B">
        <w:rPr>
          <w:lang w:val="fr-FR" w:eastAsia="fr-FR" w:bidi="fr-FR"/>
        </w:rPr>
        <w:t>e</w:t>
      </w:r>
      <w:r w:rsidRPr="004B021B">
        <w:rPr>
          <w:lang w:val="fr-FR" w:eastAsia="fr-FR" w:bidi="fr-FR"/>
        </w:rPr>
        <w:t xml:space="preserve">ber (ed.), </w:t>
      </w:r>
      <w:r w:rsidRPr="001F5FBC">
        <w:rPr>
          <w:i/>
          <w:iCs/>
        </w:rPr>
        <w:t>Eagle Rules ? Foreign Policy and American Primacy in the Twenty-First Century</w:t>
      </w:r>
      <w:r w:rsidRPr="004B021B">
        <w:t>,</w:t>
      </w:r>
      <w:r w:rsidRPr="004B021B">
        <w:rPr>
          <w:lang w:val="fr-FR" w:eastAsia="fr-FR" w:bidi="fr-FR"/>
        </w:rPr>
        <w:t xml:space="preserve"> Upper Saddle, Prentice Hall, 2002, p. 16-46.</w:t>
      </w:r>
    </w:p>
  </w:footnote>
  <w:footnote w:id="573">
    <w:p w14:paraId="5961EE56" w14:textId="77777777" w:rsidR="0039793A" w:rsidRDefault="0039793A" w:rsidP="0039793A">
      <w:pPr>
        <w:pStyle w:val="Notedebasdepage"/>
      </w:pPr>
      <w:r>
        <w:rPr>
          <w:rStyle w:val="Appelnotedebasdep"/>
        </w:rPr>
        <w:footnoteRef/>
      </w:r>
      <w:r>
        <w:tab/>
      </w:r>
      <w:r w:rsidRPr="00C30976">
        <w:rPr>
          <w:lang w:eastAsia="fr-FR" w:bidi="fr-FR"/>
        </w:rPr>
        <w:t xml:space="preserve">Steven Kull, I.M. Destler, </w:t>
      </w:r>
      <w:r w:rsidRPr="0049457C">
        <w:rPr>
          <w:i/>
          <w:iCs/>
        </w:rPr>
        <w:t>Misreading the Public - The Myth of a New Isol</w:t>
      </w:r>
      <w:r w:rsidRPr="0049457C">
        <w:rPr>
          <w:i/>
          <w:iCs/>
        </w:rPr>
        <w:t>a</w:t>
      </w:r>
      <w:r w:rsidRPr="0049457C">
        <w:rPr>
          <w:i/>
          <w:iCs/>
        </w:rPr>
        <w:t>tionism</w:t>
      </w:r>
      <w:r w:rsidRPr="00C30976">
        <w:t>,</w:t>
      </w:r>
      <w:r w:rsidRPr="00C30976">
        <w:rPr>
          <w:lang w:eastAsia="fr-FR" w:bidi="fr-FR"/>
        </w:rPr>
        <w:t xml:space="preserve"> Washington, Brookings, 1999, 312 p.</w:t>
      </w:r>
    </w:p>
  </w:footnote>
  <w:footnote w:id="574">
    <w:p w14:paraId="1D013C4D" w14:textId="77777777" w:rsidR="0039793A" w:rsidRDefault="0039793A">
      <w:pPr>
        <w:pStyle w:val="Notedebasdepage"/>
      </w:pPr>
      <w:r>
        <w:rPr>
          <w:rStyle w:val="Appelnotedebasdep"/>
        </w:rPr>
        <w:footnoteRef/>
      </w:r>
      <w:r>
        <w:tab/>
      </w:r>
      <w:r w:rsidRPr="00C30976">
        <w:rPr>
          <w:lang w:eastAsia="fr-FR" w:bidi="fr-FR"/>
        </w:rPr>
        <w:t>Ces chiffres sont extraits de</w:t>
      </w:r>
      <w:r w:rsidRPr="00C30976">
        <w:t> :</w:t>
      </w:r>
      <w:r w:rsidRPr="00C30976">
        <w:rPr>
          <w:lang w:eastAsia="fr-FR" w:bidi="fr-FR"/>
        </w:rPr>
        <w:t xml:space="preserve"> Steven Kull, I.M. Destler, </w:t>
      </w:r>
      <w:r w:rsidRPr="0049457C">
        <w:rPr>
          <w:i/>
          <w:iCs/>
        </w:rPr>
        <w:t>op. cit</w:t>
      </w:r>
      <w:r w:rsidRPr="00C30976">
        <w:t>. ;</w:t>
      </w:r>
      <w:r w:rsidRPr="00C30976">
        <w:rPr>
          <w:lang w:eastAsia="fr-FR" w:bidi="fr-FR"/>
        </w:rPr>
        <w:t xml:space="preserve"> John E. Rielly (ed.), </w:t>
      </w:r>
      <w:r w:rsidRPr="0049457C">
        <w:rPr>
          <w:i/>
          <w:iCs/>
        </w:rPr>
        <w:t>American Public Opinion and Foreign Policy 1999</w:t>
      </w:r>
      <w:r w:rsidRPr="00C30976">
        <w:t>,</w:t>
      </w:r>
      <w:r w:rsidRPr="00C30976">
        <w:rPr>
          <w:lang w:eastAsia="fr-FR" w:bidi="fr-FR"/>
        </w:rPr>
        <w:t xml:space="preserve"> Chicago, Chicago Council on Foreign Relations, 1999, 40 p</w:t>
      </w:r>
      <w:r w:rsidRPr="00C30976">
        <w:rPr>
          <w:lang w:eastAsia="fr-FR" w:bidi="fr-FR"/>
        </w:rPr>
        <w:t>a</w:t>
      </w:r>
      <w:r w:rsidRPr="00C30976">
        <w:rPr>
          <w:lang w:eastAsia="fr-FR" w:bidi="fr-FR"/>
        </w:rPr>
        <w:t>ges</w:t>
      </w:r>
      <w:r w:rsidRPr="00C30976">
        <w:t> ;</w:t>
      </w:r>
      <w:r w:rsidRPr="00C30976">
        <w:rPr>
          <w:lang w:eastAsia="fr-FR" w:bidi="fr-FR"/>
        </w:rPr>
        <w:t xml:space="preserve"> et </w:t>
      </w:r>
      <w:r w:rsidRPr="0049457C">
        <w:rPr>
          <w:i/>
          <w:iCs/>
        </w:rPr>
        <w:t>Worldviews 2002</w:t>
      </w:r>
      <w:r w:rsidRPr="0049457C">
        <w:rPr>
          <w:i/>
          <w:iCs/>
          <w:lang w:eastAsia="fr-FR" w:bidi="fr-FR"/>
        </w:rPr>
        <w:t xml:space="preserve"> — </w:t>
      </w:r>
      <w:r w:rsidRPr="0049457C">
        <w:rPr>
          <w:i/>
          <w:iCs/>
        </w:rPr>
        <w:t>American Public Opinion and Foreign Policy</w:t>
      </w:r>
      <w:r w:rsidRPr="00C30976">
        <w:t>,</w:t>
      </w:r>
      <w:r w:rsidRPr="00C30976">
        <w:rPr>
          <w:lang w:eastAsia="fr-FR" w:bidi="fr-FR"/>
        </w:rPr>
        <w:t xml:space="preserve"> Chicago, Chicago Council on Foreign Relations (CCFR)-German Marshall Fund of the </w:t>
      </w:r>
      <w:r w:rsidRPr="00C30976">
        <w:t xml:space="preserve">US (GMFUS), </w:t>
      </w:r>
      <w:r w:rsidRPr="00C30976">
        <w:rPr>
          <w:lang w:eastAsia="fr-FR" w:bidi="fr-FR"/>
        </w:rPr>
        <w:t>2002,</w:t>
      </w:r>
      <w:r>
        <w:rPr>
          <w:lang w:eastAsia="fr-FR" w:bidi="fr-FR"/>
        </w:rPr>
        <w:t xml:space="preserve"> 74 p.</w:t>
      </w:r>
    </w:p>
  </w:footnote>
  <w:footnote w:id="575">
    <w:p w14:paraId="53730E65" w14:textId="77777777" w:rsidR="0039793A" w:rsidRDefault="0039793A" w:rsidP="0039793A">
      <w:pPr>
        <w:pStyle w:val="Notedebasdepage"/>
      </w:pPr>
      <w:r>
        <w:rPr>
          <w:rStyle w:val="Appelnotedebasdep"/>
        </w:rPr>
        <w:footnoteRef/>
      </w:r>
      <w:r>
        <w:tab/>
      </w:r>
      <w:r w:rsidRPr="00C30976">
        <w:rPr>
          <w:lang w:eastAsia="fr-FR" w:bidi="fr-FR"/>
        </w:rPr>
        <w:t xml:space="preserve">À cette époque en effet, les </w:t>
      </w:r>
      <w:r>
        <w:rPr>
          <w:lang w:eastAsia="fr-FR" w:bidi="fr-FR"/>
        </w:rPr>
        <w:t>État</w:t>
      </w:r>
      <w:r w:rsidRPr="00C30976">
        <w:rPr>
          <w:lang w:eastAsia="fr-FR" w:bidi="fr-FR"/>
        </w:rPr>
        <w:t>s-Unis ont a</w:t>
      </w:r>
      <w:r w:rsidRPr="00C30976">
        <w:rPr>
          <w:lang w:eastAsia="fr-FR" w:bidi="fr-FR"/>
        </w:rPr>
        <w:t>c</w:t>
      </w:r>
      <w:r w:rsidRPr="00C30976">
        <w:rPr>
          <w:lang w:eastAsia="fr-FR" w:bidi="fr-FR"/>
        </w:rPr>
        <w:t>cumulé des retards de paiement de plusieurs années à l’organisation suite à une lutte politique conce</w:t>
      </w:r>
      <w:r w:rsidRPr="00C30976">
        <w:rPr>
          <w:lang w:eastAsia="fr-FR" w:bidi="fr-FR"/>
        </w:rPr>
        <w:t>r</w:t>
      </w:r>
      <w:r w:rsidRPr="00C30976">
        <w:rPr>
          <w:lang w:eastAsia="fr-FR" w:bidi="fr-FR"/>
        </w:rPr>
        <w:t xml:space="preserve">nant la réforme de </w:t>
      </w:r>
      <w:r w:rsidRPr="00C30976">
        <w:t>l’ONU.</w:t>
      </w:r>
    </w:p>
  </w:footnote>
  <w:footnote w:id="576">
    <w:p w14:paraId="7FFC09E9" w14:textId="77777777" w:rsidR="0039793A" w:rsidRDefault="0039793A" w:rsidP="0039793A">
      <w:pPr>
        <w:pStyle w:val="Notedebasdepage"/>
      </w:pPr>
      <w:r>
        <w:rPr>
          <w:rStyle w:val="Appelnotedebasdep"/>
        </w:rPr>
        <w:footnoteRef/>
      </w:r>
      <w:r>
        <w:tab/>
      </w:r>
      <w:r w:rsidRPr="004B021B">
        <w:rPr>
          <w:lang w:val="fr-FR" w:eastAsia="fr-FR" w:bidi="fr-FR"/>
        </w:rPr>
        <w:t xml:space="preserve">Steven Kull, I.M. Destler, </w:t>
      </w:r>
      <w:r w:rsidRPr="00A71E26">
        <w:rPr>
          <w:i/>
          <w:iCs/>
        </w:rPr>
        <w:t>op. cit</w:t>
      </w:r>
      <w:r w:rsidRPr="004B021B">
        <w:t>.,</w:t>
      </w:r>
      <w:r w:rsidRPr="004B021B">
        <w:rPr>
          <w:lang w:val="fr-FR" w:eastAsia="fr-FR" w:bidi="fr-FR"/>
        </w:rPr>
        <w:t xml:space="preserve"> p. 210.</w:t>
      </w:r>
    </w:p>
  </w:footnote>
  <w:footnote w:id="577">
    <w:p w14:paraId="03152BF4" w14:textId="77777777" w:rsidR="0039793A" w:rsidRDefault="0039793A" w:rsidP="0039793A">
      <w:pPr>
        <w:pStyle w:val="Notedebasdepage"/>
      </w:pPr>
      <w:r>
        <w:rPr>
          <w:rStyle w:val="Appelnotedebasdep"/>
        </w:rPr>
        <w:footnoteRef/>
      </w:r>
      <w:r>
        <w:tab/>
      </w:r>
      <w:r w:rsidRPr="004B021B">
        <w:rPr>
          <w:lang w:val="fr-FR" w:eastAsia="fr-FR" w:bidi="fr-FR"/>
        </w:rPr>
        <w:t>Ainsi les milices armées dans ce</w:t>
      </w:r>
      <w:r w:rsidRPr="004B021B">
        <w:rPr>
          <w:lang w:val="fr-FR" w:eastAsia="fr-FR" w:bidi="fr-FR"/>
        </w:rPr>
        <w:t>r</w:t>
      </w:r>
      <w:r w:rsidRPr="004B021B">
        <w:rPr>
          <w:lang w:val="fr-FR" w:eastAsia="fr-FR" w:bidi="fr-FR"/>
        </w:rPr>
        <w:t>tains États, qui entendent lutter contre l’intrusion du gouvernement fédéral, et dont les penchants anti-ONU sont connus.</w:t>
      </w:r>
    </w:p>
  </w:footnote>
  <w:footnote w:id="578">
    <w:p w14:paraId="5E43F04D" w14:textId="77777777" w:rsidR="0039793A" w:rsidRDefault="0039793A" w:rsidP="0039793A">
      <w:pPr>
        <w:pStyle w:val="Notedebasdepage"/>
      </w:pPr>
      <w:r>
        <w:rPr>
          <w:rStyle w:val="Appelnotedebasdep"/>
        </w:rPr>
        <w:footnoteRef/>
      </w:r>
      <w:r>
        <w:tab/>
      </w:r>
      <w:r w:rsidRPr="004B021B">
        <w:rPr>
          <w:lang w:val="fr-FR" w:eastAsia="fr-FR" w:bidi="fr-FR"/>
        </w:rPr>
        <w:t xml:space="preserve">Steven Kull, I.M. Destler, </w:t>
      </w:r>
      <w:r w:rsidRPr="008C7141">
        <w:rPr>
          <w:i/>
          <w:iCs/>
        </w:rPr>
        <w:t>op. cit</w:t>
      </w:r>
      <w:r w:rsidRPr="004B021B">
        <w:t>.,</w:t>
      </w:r>
      <w:r w:rsidRPr="004B021B">
        <w:rPr>
          <w:lang w:val="fr-FR" w:eastAsia="fr-FR" w:bidi="fr-FR"/>
        </w:rPr>
        <w:t xml:space="preserve"> p. 15. L’article e</w:t>
      </w:r>
      <w:r>
        <w:rPr>
          <w:lang w:val="fr-FR" w:eastAsia="fr-FR" w:bidi="fr-FR"/>
        </w:rPr>
        <w:t>s</w:t>
      </w:r>
      <w:r w:rsidRPr="004B021B">
        <w:rPr>
          <w:lang w:val="fr-FR" w:eastAsia="fr-FR" w:bidi="fr-FR"/>
        </w:rPr>
        <w:t>t de Robert Green- be</w:t>
      </w:r>
      <w:r w:rsidRPr="004B021B">
        <w:rPr>
          <w:lang w:val="fr-FR" w:eastAsia="fr-FR" w:bidi="fr-FR"/>
        </w:rPr>
        <w:t>r</w:t>
      </w:r>
      <w:r w:rsidRPr="004B021B">
        <w:rPr>
          <w:lang w:val="fr-FR" w:eastAsia="fr-FR" w:bidi="fr-FR"/>
        </w:rPr>
        <w:t xml:space="preserve">ger, </w:t>
      </w:r>
      <w:r w:rsidRPr="004B021B">
        <w:t>« </w:t>
      </w:r>
      <w:r w:rsidRPr="004B021B">
        <w:rPr>
          <w:lang w:val="fr-FR" w:eastAsia="fr-FR" w:bidi="fr-FR"/>
        </w:rPr>
        <w:t>Cold Shoulder</w:t>
      </w:r>
      <w:r w:rsidRPr="004B021B">
        <w:t> »</w:t>
      </w:r>
      <w:r w:rsidRPr="004B021B">
        <w:rPr>
          <w:lang w:val="fr-FR" w:eastAsia="fr-FR" w:bidi="fr-FR"/>
        </w:rPr>
        <w:t xml:space="preserve">, </w:t>
      </w:r>
      <w:r w:rsidRPr="008C7141">
        <w:rPr>
          <w:i/>
          <w:iCs/>
        </w:rPr>
        <w:t>Wall Street Journal</w:t>
      </w:r>
      <w:r>
        <w:rPr>
          <w:lang w:val="fr-FR" w:eastAsia="fr-FR" w:bidi="fr-FR"/>
        </w:rPr>
        <w:t>, 28 octobre 1993.</w:t>
      </w:r>
    </w:p>
  </w:footnote>
  <w:footnote w:id="579">
    <w:p w14:paraId="6F66B0CF" w14:textId="77777777" w:rsidR="0039793A" w:rsidRDefault="0039793A" w:rsidP="0039793A">
      <w:pPr>
        <w:pStyle w:val="Notedebasdepage"/>
      </w:pPr>
      <w:r>
        <w:rPr>
          <w:rStyle w:val="Appelnotedebasdep"/>
        </w:rPr>
        <w:footnoteRef/>
      </w:r>
      <w:r>
        <w:tab/>
      </w:r>
      <w:r w:rsidRPr="004B021B">
        <w:rPr>
          <w:lang w:val="fr-FR" w:eastAsia="fr-FR" w:bidi="fr-FR"/>
        </w:rPr>
        <w:t>Le 11 septembre a partiellement retouché cette évolution, comme nous le verrons, en recentrant l’intérêt de l’opinion publique autour de la question du te</w:t>
      </w:r>
      <w:r w:rsidRPr="004B021B">
        <w:rPr>
          <w:lang w:val="fr-FR" w:eastAsia="fr-FR" w:bidi="fr-FR"/>
        </w:rPr>
        <w:t>r</w:t>
      </w:r>
      <w:r w:rsidRPr="004B021B">
        <w:rPr>
          <w:lang w:val="fr-FR" w:eastAsia="fr-FR" w:bidi="fr-FR"/>
        </w:rPr>
        <w:t>rorisme.</w:t>
      </w:r>
    </w:p>
  </w:footnote>
  <w:footnote w:id="580">
    <w:p w14:paraId="5199E930" w14:textId="77777777" w:rsidR="0039793A" w:rsidRDefault="0039793A" w:rsidP="0039793A">
      <w:pPr>
        <w:pStyle w:val="Notedebasdepage"/>
      </w:pPr>
      <w:r>
        <w:rPr>
          <w:rStyle w:val="Appelnotedebasdep"/>
        </w:rPr>
        <w:footnoteRef/>
      </w:r>
      <w:r>
        <w:tab/>
      </w:r>
      <w:r w:rsidRPr="004B021B">
        <w:rPr>
          <w:lang w:val="fr-FR" w:eastAsia="fr-FR" w:bidi="fr-FR"/>
        </w:rPr>
        <w:t>Ces études sont disponibles en ligne, sur le site du Chicago Council on F</w:t>
      </w:r>
      <w:r w:rsidRPr="004B021B">
        <w:rPr>
          <w:lang w:val="fr-FR" w:eastAsia="fr-FR" w:bidi="fr-FR"/>
        </w:rPr>
        <w:t>o</w:t>
      </w:r>
      <w:r w:rsidRPr="004B021B">
        <w:rPr>
          <w:lang w:val="fr-FR" w:eastAsia="fr-FR" w:bidi="fr-FR"/>
        </w:rPr>
        <w:t>reign Relations http</w:t>
      </w:r>
      <w:r w:rsidRPr="004B021B">
        <w:t>:</w:t>
      </w:r>
      <w:r w:rsidRPr="004B021B">
        <w:rPr>
          <w:lang w:val="fr-FR" w:eastAsia="fr-FR" w:bidi="fr-FR"/>
        </w:rPr>
        <w:t>//</w:t>
      </w:r>
      <w:hyperlink r:id="rId9" w:history="1">
        <w:r w:rsidRPr="004B021B">
          <w:rPr>
            <w:rStyle w:val="Hyperlien"/>
            <w:lang w:val="fr-FR" w:eastAsia="fr-FR" w:bidi="fr-FR"/>
          </w:rPr>
          <w:t>www.ccfr.org</w:t>
        </w:r>
      </w:hyperlink>
      <w:r w:rsidRPr="004B021B">
        <w:rPr>
          <w:lang w:val="fr-FR" w:eastAsia="fr-FR" w:bidi="fr-FR"/>
        </w:rPr>
        <w:t>.</w:t>
      </w:r>
    </w:p>
  </w:footnote>
  <w:footnote w:id="581">
    <w:p w14:paraId="1893B72C" w14:textId="77777777" w:rsidR="0039793A" w:rsidRDefault="0039793A" w:rsidP="0039793A">
      <w:pPr>
        <w:pStyle w:val="Notedebasdepage"/>
      </w:pPr>
      <w:r>
        <w:rPr>
          <w:rStyle w:val="Appelnotedebasdep"/>
        </w:rPr>
        <w:footnoteRef/>
      </w:r>
      <w:r>
        <w:tab/>
      </w:r>
      <w:r w:rsidRPr="004B021B">
        <w:rPr>
          <w:lang w:val="fr-FR" w:eastAsia="fr-FR" w:bidi="fr-FR"/>
        </w:rPr>
        <w:t xml:space="preserve">John E. Rielly, 1999, et </w:t>
      </w:r>
      <w:r w:rsidRPr="004B021B">
        <w:rPr>
          <w:rStyle w:val="Notedebasdepage65ptPetitesmajuscules"/>
          <w:sz w:val="24"/>
        </w:rPr>
        <w:t xml:space="preserve">ccfr-gmfus, </w:t>
      </w:r>
      <w:r w:rsidRPr="004B021B">
        <w:rPr>
          <w:lang w:val="fr-FR" w:eastAsia="fr-FR" w:bidi="fr-FR"/>
        </w:rPr>
        <w:t xml:space="preserve">2002, </w:t>
      </w:r>
      <w:r w:rsidRPr="00880F63">
        <w:rPr>
          <w:i/>
          <w:iCs/>
        </w:rPr>
        <w:t>op. cit</w:t>
      </w:r>
      <w:r w:rsidRPr="004B021B">
        <w:t>.</w:t>
      </w:r>
    </w:p>
  </w:footnote>
  <w:footnote w:id="582">
    <w:p w14:paraId="75E6D990" w14:textId="77777777" w:rsidR="0039793A" w:rsidRDefault="0039793A" w:rsidP="0039793A">
      <w:pPr>
        <w:pStyle w:val="Notedebasdepage"/>
      </w:pPr>
      <w:r>
        <w:rPr>
          <w:rStyle w:val="Appelnotedebasdep"/>
        </w:rPr>
        <w:footnoteRef/>
      </w:r>
      <w:r>
        <w:tab/>
      </w:r>
      <w:r w:rsidRPr="004B021B">
        <w:rPr>
          <w:lang w:val="fr-FR" w:eastAsia="fr-FR" w:bidi="fr-FR"/>
        </w:rPr>
        <w:t>Comme par exemple les négociations commerciales, les dossiers transfro</w:t>
      </w:r>
      <w:r w:rsidRPr="004B021B">
        <w:rPr>
          <w:lang w:val="fr-FR" w:eastAsia="fr-FR" w:bidi="fr-FR"/>
        </w:rPr>
        <w:t>n</w:t>
      </w:r>
      <w:r w:rsidRPr="004B021B">
        <w:rPr>
          <w:lang w:val="fr-FR" w:eastAsia="fr-FR" w:bidi="fr-FR"/>
        </w:rPr>
        <w:t>taliers, l’immigration, l’environnement, les questions liées au trafic de dr</w:t>
      </w:r>
      <w:r w:rsidRPr="004B021B">
        <w:rPr>
          <w:lang w:val="fr-FR" w:eastAsia="fr-FR" w:bidi="fr-FR"/>
        </w:rPr>
        <w:t>o</w:t>
      </w:r>
      <w:r w:rsidRPr="004B021B">
        <w:rPr>
          <w:lang w:val="fr-FR" w:eastAsia="fr-FR" w:bidi="fr-FR"/>
        </w:rPr>
        <w:t>gue</w:t>
      </w:r>
      <w:r w:rsidRPr="004B021B">
        <w:t> ;</w:t>
      </w:r>
      <w:r w:rsidRPr="004B021B">
        <w:rPr>
          <w:lang w:val="fr-FR" w:eastAsia="fr-FR" w:bidi="fr-FR"/>
        </w:rPr>
        <w:t xml:space="preserve"> et surtout le terr</w:t>
      </w:r>
      <w:r w:rsidRPr="004B021B">
        <w:rPr>
          <w:lang w:val="fr-FR" w:eastAsia="fr-FR" w:bidi="fr-FR"/>
        </w:rPr>
        <w:t>o</w:t>
      </w:r>
      <w:r w:rsidRPr="004B021B">
        <w:rPr>
          <w:lang w:val="fr-FR" w:eastAsia="fr-FR" w:bidi="fr-FR"/>
        </w:rPr>
        <w:t>risme.</w:t>
      </w:r>
    </w:p>
  </w:footnote>
  <w:footnote w:id="583">
    <w:p w14:paraId="34356D90" w14:textId="77777777" w:rsidR="0039793A" w:rsidRDefault="0039793A" w:rsidP="0039793A">
      <w:pPr>
        <w:pStyle w:val="Notedebasdepage"/>
      </w:pPr>
      <w:r>
        <w:rPr>
          <w:rStyle w:val="Appelnotedebasdep"/>
        </w:rPr>
        <w:footnoteRef/>
      </w:r>
      <w:r>
        <w:tab/>
      </w:r>
      <w:r w:rsidRPr="004B021B">
        <w:rPr>
          <w:lang w:val="fr-FR" w:eastAsia="fr-FR" w:bidi="fr-FR"/>
        </w:rPr>
        <w:t xml:space="preserve">CCFR-GMFUS, </w:t>
      </w:r>
      <w:r w:rsidRPr="004B021B">
        <w:t xml:space="preserve">2002, </w:t>
      </w:r>
      <w:r w:rsidRPr="004B021B">
        <w:rPr>
          <w:rStyle w:val="Notedebasdepage785ptItalique"/>
          <w:sz w:val="24"/>
        </w:rPr>
        <w:t>op. cit.</w:t>
      </w:r>
    </w:p>
  </w:footnote>
  <w:footnote w:id="584">
    <w:p w14:paraId="00B8F7B8" w14:textId="77777777" w:rsidR="0039793A" w:rsidRDefault="0039793A" w:rsidP="0039793A">
      <w:pPr>
        <w:pStyle w:val="Notedebasdepage"/>
      </w:pPr>
      <w:r>
        <w:rPr>
          <w:rStyle w:val="Appelnotedebasdep"/>
        </w:rPr>
        <w:footnoteRef/>
      </w:r>
      <w:r>
        <w:tab/>
      </w:r>
      <w:r w:rsidRPr="004B021B">
        <w:rPr>
          <w:lang w:val="fr-FR" w:eastAsia="fr-FR" w:bidi="fr-FR"/>
        </w:rPr>
        <w:t xml:space="preserve">Jeremy D. Rosner, </w:t>
      </w:r>
      <w:r w:rsidRPr="004B021B">
        <w:t>« </w:t>
      </w:r>
      <w:r w:rsidRPr="004B021B">
        <w:rPr>
          <w:lang w:val="fr-FR" w:eastAsia="fr-FR" w:bidi="fr-FR"/>
        </w:rPr>
        <w:t>The Know-Nothings Know Something</w:t>
      </w:r>
      <w:r w:rsidRPr="004B021B">
        <w:t> »</w:t>
      </w:r>
      <w:r w:rsidRPr="004B021B">
        <w:rPr>
          <w:lang w:val="fr-FR" w:eastAsia="fr-FR" w:bidi="fr-FR"/>
        </w:rPr>
        <w:t xml:space="preserve">, </w:t>
      </w:r>
      <w:r w:rsidRPr="00880F63">
        <w:rPr>
          <w:i/>
          <w:iCs/>
        </w:rPr>
        <w:t>Foreign P</w:t>
      </w:r>
      <w:r w:rsidRPr="00880F63">
        <w:rPr>
          <w:i/>
          <w:iCs/>
        </w:rPr>
        <w:t>o</w:t>
      </w:r>
      <w:r w:rsidRPr="00880F63">
        <w:rPr>
          <w:i/>
          <w:iCs/>
        </w:rPr>
        <w:t>licy</w:t>
      </w:r>
      <w:r w:rsidRPr="004B021B">
        <w:t>,</w:t>
      </w:r>
      <w:r w:rsidRPr="004B021B">
        <w:rPr>
          <w:lang w:val="fr-FR" w:eastAsia="fr-FR" w:bidi="fr-FR"/>
        </w:rPr>
        <w:t xml:space="preserve"> 101, hiver 1995-1996, p. 116-129.</w:t>
      </w:r>
    </w:p>
  </w:footnote>
  <w:footnote w:id="585">
    <w:p w14:paraId="53040F7B" w14:textId="77777777" w:rsidR="0039793A" w:rsidRDefault="0039793A" w:rsidP="0039793A">
      <w:pPr>
        <w:pStyle w:val="Notedebasdepage"/>
      </w:pPr>
      <w:r>
        <w:rPr>
          <w:rStyle w:val="Appelnotedebasdep"/>
        </w:rPr>
        <w:footnoteRef/>
      </w:r>
      <w:r>
        <w:tab/>
      </w:r>
      <w:r w:rsidRPr="004B021B">
        <w:rPr>
          <w:lang w:val="fr-FR" w:eastAsia="fr-FR" w:bidi="fr-FR"/>
        </w:rPr>
        <w:t>Par exemple en cas d’incident et de victimes dans une opération ext</w:t>
      </w:r>
      <w:r w:rsidRPr="004B021B">
        <w:rPr>
          <w:lang w:val="fr-FR" w:eastAsia="fr-FR" w:bidi="fr-FR"/>
        </w:rPr>
        <w:t>é</w:t>
      </w:r>
      <w:r w:rsidRPr="004B021B">
        <w:rPr>
          <w:lang w:val="fr-FR" w:eastAsia="fr-FR" w:bidi="fr-FR"/>
        </w:rPr>
        <w:t>rieure, ou en cas d’accusation de s’occuper trop de l’étranger et pas suff</w:t>
      </w:r>
      <w:r w:rsidRPr="004B021B">
        <w:rPr>
          <w:lang w:val="fr-FR" w:eastAsia="fr-FR" w:bidi="fr-FR"/>
        </w:rPr>
        <w:t>i</w:t>
      </w:r>
      <w:r w:rsidRPr="004B021B">
        <w:rPr>
          <w:lang w:val="fr-FR" w:eastAsia="fr-FR" w:bidi="fr-FR"/>
        </w:rPr>
        <w:t>samment des problèmes de la ci</w:t>
      </w:r>
      <w:r w:rsidRPr="004B021B">
        <w:rPr>
          <w:lang w:val="fr-FR" w:eastAsia="fr-FR" w:bidi="fr-FR"/>
        </w:rPr>
        <w:t>r</w:t>
      </w:r>
      <w:r w:rsidRPr="004B021B">
        <w:rPr>
          <w:lang w:val="fr-FR" w:eastAsia="fr-FR" w:bidi="fr-FR"/>
        </w:rPr>
        <w:t>conscription.</w:t>
      </w:r>
    </w:p>
  </w:footnote>
  <w:footnote w:id="586">
    <w:p w14:paraId="5DD2C005" w14:textId="77777777" w:rsidR="0039793A" w:rsidRDefault="0039793A" w:rsidP="0039793A">
      <w:pPr>
        <w:pStyle w:val="Notedebasdepage"/>
      </w:pPr>
      <w:r>
        <w:rPr>
          <w:rStyle w:val="Appelnotedebasdep"/>
        </w:rPr>
        <w:footnoteRef/>
      </w:r>
      <w:r>
        <w:tab/>
      </w:r>
      <w:r w:rsidRPr="004B021B">
        <w:rPr>
          <w:lang w:val="fr-FR" w:eastAsia="fr-FR" w:bidi="fr-FR"/>
        </w:rPr>
        <w:t xml:space="preserve">Voir par exemple le sondage </w:t>
      </w:r>
      <w:r w:rsidRPr="004B021B">
        <w:t>« </w:t>
      </w:r>
      <w:r w:rsidRPr="004B021B">
        <w:rPr>
          <w:lang w:val="fr-FR" w:eastAsia="fr-FR" w:bidi="fr-FR"/>
        </w:rPr>
        <w:t>American Reaction to the War with Iraq</w:t>
      </w:r>
      <w:r w:rsidRPr="004B021B">
        <w:t> »</w:t>
      </w:r>
      <w:r w:rsidRPr="004B021B">
        <w:rPr>
          <w:lang w:val="fr-FR" w:eastAsia="fr-FR" w:bidi="fr-FR"/>
        </w:rPr>
        <w:t xml:space="preserve"> réalisé pour le </w:t>
      </w:r>
      <w:r w:rsidRPr="004B021B">
        <w:t xml:space="preserve">New York Times, </w:t>
      </w:r>
      <w:r w:rsidRPr="004B021B">
        <w:rPr>
          <w:rStyle w:val="Notedebasdepage65ptItalique"/>
          <w:sz w:val="24"/>
        </w:rPr>
        <w:t>CBS</w:t>
      </w:r>
      <w:r w:rsidRPr="004B021B">
        <w:t xml:space="preserve"> </w:t>
      </w:r>
      <w:r w:rsidRPr="004B021B">
        <w:rPr>
          <w:lang w:val="fr-FR" w:eastAsia="fr-FR" w:bidi="fr-FR"/>
        </w:rPr>
        <w:t>News du 11 au 13 avril 2003, rendant pa</w:t>
      </w:r>
      <w:r w:rsidRPr="004B021B">
        <w:rPr>
          <w:lang w:val="fr-FR" w:eastAsia="fr-FR" w:bidi="fr-FR"/>
        </w:rPr>
        <w:t>r</w:t>
      </w:r>
      <w:r w:rsidRPr="004B021B">
        <w:rPr>
          <w:lang w:val="fr-FR" w:eastAsia="fr-FR" w:bidi="fr-FR"/>
        </w:rPr>
        <w:t xml:space="preserve">faitement compte de l’évolution de l’opinion publique vis-à-vis de la guerre et de la lutte contre le terrorisme, de mars 2001 à avril 2003. </w:t>
      </w:r>
      <w:r w:rsidRPr="00B33310">
        <w:rPr>
          <w:i/>
          <w:iCs/>
        </w:rPr>
        <w:t>New York Times</w:t>
      </w:r>
      <w:r w:rsidRPr="004B021B">
        <w:t xml:space="preserve">, </w:t>
      </w:r>
      <w:r w:rsidRPr="004B021B">
        <w:rPr>
          <w:lang w:val="fr-FR" w:eastAsia="fr-FR" w:bidi="fr-FR"/>
        </w:rPr>
        <w:t>15 avril 2003, p. B10.</w:t>
      </w:r>
    </w:p>
  </w:footnote>
  <w:footnote w:id="587">
    <w:p w14:paraId="791D590E" w14:textId="77777777" w:rsidR="0039793A" w:rsidRDefault="0039793A" w:rsidP="0039793A">
      <w:pPr>
        <w:pStyle w:val="Notedebasdepage"/>
      </w:pPr>
      <w:r>
        <w:rPr>
          <w:rStyle w:val="Appelnotedebasdep"/>
        </w:rPr>
        <w:footnoteRef/>
      </w:r>
      <w:r>
        <w:tab/>
      </w:r>
      <w:r w:rsidRPr="004B021B">
        <w:rPr>
          <w:lang w:val="fr-FR" w:eastAsia="fr-FR" w:bidi="fr-FR"/>
        </w:rPr>
        <w:t xml:space="preserve">Voir Arthur Schlesinger Jr., </w:t>
      </w:r>
      <w:r w:rsidRPr="004B021B">
        <w:t>« </w:t>
      </w:r>
      <w:r w:rsidRPr="004B021B">
        <w:rPr>
          <w:lang w:val="fr-FR" w:eastAsia="fr-FR" w:bidi="fr-FR"/>
        </w:rPr>
        <w:t>Back to the Womb</w:t>
      </w:r>
      <w:r w:rsidRPr="004B021B">
        <w:t> ?</w:t>
      </w:r>
      <w:r w:rsidRPr="004B021B">
        <w:rPr>
          <w:lang w:val="fr-FR" w:eastAsia="fr-FR" w:bidi="fr-FR"/>
        </w:rPr>
        <w:t xml:space="preserve"> Isolationism’s Ren</w:t>
      </w:r>
      <w:r w:rsidRPr="004B021B">
        <w:rPr>
          <w:lang w:val="fr-FR" w:eastAsia="fr-FR" w:bidi="fr-FR"/>
        </w:rPr>
        <w:t>e</w:t>
      </w:r>
      <w:r w:rsidRPr="004B021B">
        <w:rPr>
          <w:lang w:val="fr-FR" w:eastAsia="fr-FR" w:bidi="fr-FR"/>
        </w:rPr>
        <w:t>wed Threat</w:t>
      </w:r>
      <w:r w:rsidRPr="004B021B">
        <w:t> »</w:t>
      </w:r>
      <w:r w:rsidRPr="004B021B">
        <w:rPr>
          <w:lang w:val="fr-FR" w:eastAsia="fr-FR" w:bidi="fr-FR"/>
        </w:rPr>
        <w:t xml:space="preserve">, </w:t>
      </w:r>
      <w:r w:rsidRPr="00B33310">
        <w:rPr>
          <w:i/>
          <w:iCs/>
        </w:rPr>
        <w:t>F</w:t>
      </w:r>
      <w:r w:rsidRPr="00B33310">
        <w:rPr>
          <w:i/>
          <w:iCs/>
        </w:rPr>
        <w:t>o</w:t>
      </w:r>
      <w:r w:rsidRPr="00B33310">
        <w:rPr>
          <w:i/>
          <w:iCs/>
        </w:rPr>
        <w:t>reign Affairs</w:t>
      </w:r>
      <w:r w:rsidRPr="004B021B">
        <w:t>,</w:t>
      </w:r>
      <w:r w:rsidRPr="004B021B">
        <w:rPr>
          <w:lang w:val="fr-FR" w:eastAsia="fr-FR" w:bidi="fr-FR"/>
        </w:rPr>
        <w:t xml:space="preserve"> 75 (4), juillet-août 1995, p. 2-8.</w:t>
      </w:r>
    </w:p>
  </w:footnote>
  <w:footnote w:id="588">
    <w:p w14:paraId="75EE54BC" w14:textId="77777777" w:rsidR="0039793A" w:rsidRDefault="0039793A" w:rsidP="0039793A">
      <w:pPr>
        <w:pStyle w:val="Notedebasdepage"/>
      </w:pPr>
      <w:r>
        <w:rPr>
          <w:rStyle w:val="Appelnotedebasdep"/>
        </w:rPr>
        <w:footnoteRef/>
      </w:r>
      <w:r>
        <w:tab/>
        <w:t xml:space="preserve">CCFR-GMFUS, 2002, </w:t>
      </w:r>
      <w:r>
        <w:rPr>
          <w:i/>
        </w:rPr>
        <w:t>o</w:t>
      </w:r>
      <w:r w:rsidRPr="000D5497">
        <w:rPr>
          <w:i/>
        </w:rPr>
        <w:t>p. cit</w:t>
      </w:r>
      <w:r w:rsidRPr="000D5497">
        <w:t>.</w:t>
      </w:r>
    </w:p>
  </w:footnote>
  <w:footnote w:id="589">
    <w:p w14:paraId="5335AACE" w14:textId="77777777" w:rsidR="0039793A" w:rsidRDefault="0039793A" w:rsidP="0039793A">
      <w:pPr>
        <w:pStyle w:val="Notedebasdepage"/>
      </w:pPr>
      <w:r>
        <w:rPr>
          <w:rStyle w:val="Appelnotedebasdep"/>
        </w:rPr>
        <w:footnoteRef/>
      </w:r>
      <w:r>
        <w:tab/>
      </w:r>
      <w:r>
        <w:rPr>
          <w:i/>
        </w:rPr>
        <w:t>Ibid.</w:t>
      </w:r>
    </w:p>
  </w:footnote>
  <w:footnote w:id="590">
    <w:p w14:paraId="4CE67A13" w14:textId="77777777" w:rsidR="0039793A" w:rsidRDefault="0039793A" w:rsidP="0039793A">
      <w:pPr>
        <w:pStyle w:val="Notedebasdepage"/>
      </w:pPr>
      <w:r>
        <w:rPr>
          <w:rStyle w:val="Appelnotedebasdep"/>
        </w:rPr>
        <w:footnoteRef/>
      </w:r>
      <w:r>
        <w:tab/>
      </w:r>
      <w:r>
        <w:rPr>
          <w:i/>
        </w:rPr>
        <w:t>Ibid.</w:t>
      </w:r>
    </w:p>
  </w:footnote>
  <w:footnote w:id="591">
    <w:p w14:paraId="40E6118E" w14:textId="77777777" w:rsidR="0039793A" w:rsidRDefault="0039793A" w:rsidP="0039793A">
      <w:pPr>
        <w:pStyle w:val="Notedebasdepage"/>
      </w:pPr>
      <w:r>
        <w:rPr>
          <w:rStyle w:val="Appelnotedebasdep"/>
        </w:rPr>
        <w:footnoteRef/>
      </w:r>
      <w:r>
        <w:tab/>
        <w:t>John E. Rie</w:t>
      </w:r>
      <w:r w:rsidRPr="000D5497">
        <w:t>ll</w:t>
      </w:r>
      <w:r>
        <w:t>y, 1999, et CCFR-GMFUS, 2</w:t>
      </w:r>
      <w:r w:rsidRPr="000D5497">
        <w:t xml:space="preserve">002 , </w:t>
      </w:r>
      <w:r w:rsidRPr="00BC1869">
        <w:rPr>
          <w:i/>
          <w:iCs/>
        </w:rPr>
        <w:t>op. cit</w:t>
      </w:r>
      <w:r w:rsidRPr="000D5497">
        <w:t>.</w:t>
      </w:r>
    </w:p>
  </w:footnote>
  <w:footnote w:id="592">
    <w:p w14:paraId="553C4894" w14:textId="77777777" w:rsidR="0039793A" w:rsidRDefault="0039793A" w:rsidP="0039793A">
      <w:pPr>
        <w:pStyle w:val="Notedebasdepage"/>
      </w:pPr>
      <w:r>
        <w:rPr>
          <w:rStyle w:val="Appelnotedebasdep"/>
        </w:rPr>
        <w:footnoteRef/>
      </w:r>
      <w:r>
        <w:tab/>
      </w:r>
      <w:r w:rsidRPr="004B021B">
        <w:rPr>
          <w:lang w:val="fr-FR" w:eastAsia="fr-FR" w:bidi="fr-FR"/>
        </w:rPr>
        <w:t xml:space="preserve">Steven Kull, I.M. Destler, </w:t>
      </w:r>
      <w:r w:rsidRPr="00BC1869">
        <w:rPr>
          <w:i/>
          <w:iCs/>
        </w:rPr>
        <w:t>op. cit</w:t>
      </w:r>
      <w:r w:rsidRPr="004B021B">
        <w:t>.,</w:t>
      </w:r>
      <w:r w:rsidRPr="004B021B">
        <w:rPr>
          <w:lang w:val="fr-FR" w:eastAsia="fr-FR" w:bidi="fr-FR"/>
        </w:rPr>
        <w:t xml:space="preserve"> p. 9 et suiv.</w:t>
      </w:r>
    </w:p>
  </w:footnote>
  <w:footnote w:id="593">
    <w:p w14:paraId="04B9475C" w14:textId="77777777" w:rsidR="0039793A" w:rsidRDefault="0039793A" w:rsidP="0039793A">
      <w:pPr>
        <w:pStyle w:val="Notedebasdepage"/>
      </w:pPr>
      <w:r>
        <w:rPr>
          <w:rStyle w:val="Appelnotedebasdep"/>
        </w:rPr>
        <w:footnoteRef/>
      </w:r>
      <w:r>
        <w:tab/>
      </w:r>
      <w:r w:rsidRPr="004B021B">
        <w:rPr>
          <w:lang w:val="fr-FR" w:eastAsia="fr-FR" w:bidi="fr-FR"/>
        </w:rPr>
        <w:t xml:space="preserve">John E. Rielly, 1999, </w:t>
      </w:r>
      <w:r w:rsidRPr="00BC1869">
        <w:rPr>
          <w:i/>
          <w:iCs/>
        </w:rPr>
        <w:t>op. cit</w:t>
      </w:r>
      <w:r w:rsidRPr="004B021B">
        <w:t>.</w:t>
      </w:r>
    </w:p>
  </w:footnote>
  <w:footnote w:id="594">
    <w:p w14:paraId="52F355FC" w14:textId="77777777" w:rsidR="0039793A" w:rsidRDefault="0039793A" w:rsidP="0039793A">
      <w:pPr>
        <w:pStyle w:val="Notedebasdepage"/>
      </w:pPr>
      <w:r>
        <w:rPr>
          <w:rStyle w:val="Appelnotedebasdep"/>
        </w:rPr>
        <w:footnoteRef/>
      </w:r>
      <w:r>
        <w:tab/>
      </w:r>
      <w:r w:rsidRPr="00BC1869">
        <w:rPr>
          <w:i/>
          <w:iCs/>
        </w:rPr>
        <w:t>Gallup News Service</w:t>
      </w:r>
      <w:r w:rsidRPr="004B021B">
        <w:t>,</w:t>
      </w:r>
      <w:r w:rsidRPr="004B021B">
        <w:rPr>
          <w:lang w:val="fr-FR" w:eastAsia="fr-FR" w:bidi="fr-FR"/>
        </w:rPr>
        <w:t xml:space="preserve"> 30 janvier 2003.</w:t>
      </w:r>
    </w:p>
  </w:footnote>
  <w:footnote w:id="595">
    <w:p w14:paraId="5C367BE9" w14:textId="77777777" w:rsidR="0039793A" w:rsidRDefault="0039793A" w:rsidP="0039793A">
      <w:pPr>
        <w:pStyle w:val="Notedebasdepage"/>
      </w:pPr>
      <w:r>
        <w:rPr>
          <w:rStyle w:val="Appelnotedebasdep"/>
        </w:rPr>
        <w:footnoteRef/>
      </w:r>
      <w:r>
        <w:tab/>
      </w:r>
      <w:r w:rsidRPr="004B021B">
        <w:rPr>
          <w:lang w:val="fr-FR" w:eastAsia="fr-FR" w:bidi="fr-FR"/>
        </w:rPr>
        <w:t xml:space="preserve">Charles W. Kegley Jr., Eugene R. Wittkopf, </w:t>
      </w:r>
      <w:r w:rsidRPr="00CE580E">
        <w:rPr>
          <w:i/>
          <w:iCs/>
        </w:rPr>
        <w:t>American Foreign Policy, Pa</w:t>
      </w:r>
      <w:r w:rsidRPr="00CE580E">
        <w:rPr>
          <w:i/>
          <w:iCs/>
        </w:rPr>
        <w:t>t</w:t>
      </w:r>
      <w:r w:rsidRPr="00CE580E">
        <w:rPr>
          <w:i/>
          <w:iCs/>
        </w:rPr>
        <w:t>tern and Process</w:t>
      </w:r>
      <w:r w:rsidRPr="004B021B">
        <w:t>,</w:t>
      </w:r>
      <w:r w:rsidRPr="004B021B">
        <w:rPr>
          <w:lang w:val="fr-FR" w:eastAsia="fr-FR" w:bidi="fr-FR"/>
        </w:rPr>
        <w:t xml:space="preserve"> New York, St. Martin’s Press, 1996, 5</w:t>
      </w:r>
      <w:r w:rsidRPr="004B021B">
        <w:rPr>
          <w:vertAlign w:val="superscript"/>
          <w:lang w:val="fr-FR" w:eastAsia="fr-FR" w:bidi="fr-FR"/>
        </w:rPr>
        <w:t>e</w:t>
      </w:r>
      <w:r w:rsidRPr="004B021B">
        <w:rPr>
          <w:lang w:val="fr-FR" w:eastAsia="fr-FR" w:bidi="fr-FR"/>
        </w:rPr>
        <w:t xml:space="preserve"> éd., p. 286.</w:t>
      </w:r>
    </w:p>
  </w:footnote>
  <w:footnote w:id="596">
    <w:p w14:paraId="313C91E8" w14:textId="77777777" w:rsidR="0039793A" w:rsidRDefault="0039793A" w:rsidP="0039793A">
      <w:pPr>
        <w:pStyle w:val="Notedebasdepage"/>
      </w:pPr>
      <w:r>
        <w:rPr>
          <w:rStyle w:val="Appelnotedebasdep"/>
        </w:rPr>
        <w:footnoteRef/>
      </w:r>
      <w:r>
        <w:tab/>
      </w:r>
      <w:r w:rsidRPr="004B021B">
        <w:t>« </w:t>
      </w:r>
      <w:r w:rsidRPr="004B021B">
        <w:rPr>
          <w:lang w:val="fr-FR" w:eastAsia="fr-FR" w:bidi="fr-FR"/>
        </w:rPr>
        <w:t>Blacks, Postgraduates Among Groups Most Likely to Oppose Iraq Inv</w:t>
      </w:r>
      <w:r w:rsidRPr="004B021B">
        <w:rPr>
          <w:lang w:val="fr-FR" w:eastAsia="fr-FR" w:bidi="fr-FR"/>
        </w:rPr>
        <w:t>a</w:t>
      </w:r>
      <w:r w:rsidRPr="004B021B">
        <w:rPr>
          <w:lang w:val="fr-FR" w:eastAsia="fr-FR" w:bidi="fr-FR"/>
        </w:rPr>
        <w:t>sion</w:t>
      </w:r>
      <w:r w:rsidRPr="004B021B">
        <w:t> »</w:t>
      </w:r>
      <w:r w:rsidRPr="004B021B">
        <w:rPr>
          <w:lang w:val="fr-FR" w:eastAsia="fr-FR" w:bidi="fr-FR"/>
        </w:rPr>
        <w:t xml:space="preserve">, </w:t>
      </w:r>
      <w:r w:rsidRPr="00CE580E">
        <w:rPr>
          <w:i/>
          <w:iCs/>
        </w:rPr>
        <w:t>Gallup News Service</w:t>
      </w:r>
      <w:r w:rsidRPr="004B021B">
        <w:rPr>
          <w:lang w:val="fr-FR" w:eastAsia="fr-FR" w:bidi="fr-FR"/>
        </w:rPr>
        <w:t>, 30 janvier 2003, disponible en ligne</w:t>
      </w:r>
      <w:r w:rsidRPr="004B021B">
        <w:t> :</w:t>
      </w:r>
      <w:r w:rsidRPr="004B021B">
        <w:rPr>
          <w:lang w:val="fr-FR" w:eastAsia="fr-FR" w:bidi="fr-FR"/>
        </w:rPr>
        <w:t xml:space="preserve"> http</w:t>
      </w:r>
      <w:r w:rsidRPr="004B021B">
        <w:t>:</w:t>
      </w:r>
      <w:r>
        <w:rPr>
          <w:lang w:val="fr-FR" w:eastAsia="fr-FR" w:bidi="fr-FR"/>
        </w:rPr>
        <w:t>/</w:t>
      </w:r>
      <w:r w:rsidRPr="004B021B">
        <w:rPr>
          <w:lang w:val="fr-FR" w:eastAsia="fr-FR" w:bidi="fr-FR"/>
        </w:rPr>
        <w:t>/</w:t>
      </w:r>
      <w:hyperlink r:id="rId10" w:history="1">
        <w:r w:rsidRPr="004B021B">
          <w:rPr>
            <w:rStyle w:val="Hyperlien"/>
            <w:lang w:val="fr-FR" w:eastAsia="fr-FR" w:bidi="fr-FR"/>
          </w:rPr>
          <w:t>www.gallup.com</w:t>
        </w:r>
      </w:hyperlink>
      <w:r w:rsidRPr="004B021B">
        <w:rPr>
          <w:lang w:val="fr-FR" w:eastAsia="fr-FR" w:bidi="fr-FR"/>
        </w:rPr>
        <w:t>.</w:t>
      </w:r>
    </w:p>
  </w:footnote>
  <w:footnote w:id="597">
    <w:p w14:paraId="7BB63936" w14:textId="77777777" w:rsidR="0039793A" w:rsidRDefault="0039793A" w:rsidP="0039793A">
      <w:pPr>
        <w:pStyle w:val="Notedebasdepage"/>
      </w:pPr>
      <w:r>
        <w:rPr>
          <w:rStyle w:val="Appelnotedebasdep"/>
        </w:rPr>
        <w:footnoteRef/>
      </w:r>
      <w:r>
        <w:tab/>
      </w:r>
      <w:r w:rsidRPr="00CE580E">
        <w:rPr>
          <w:i/>
          <w:iCs/>
          <w:lang w:val="fr-FR" w:eastAsia="fr-FR" w:bidi="fr-FR"/>
        </w:rPr>
        <w:t>Gallup News Service</w:t>
      </w:r>
      <w:r w:rsidRPr="004B021B">
        <w:t xml:space="preserve">, 30 janvier 2003, </w:t>
      </w:r>
      <w:r w:rsidRPr="00CE580E">
        <w:rPr>
          <w:i/>
          <w:iCs/>
          <w:lang w:val="fr-FR" w:eastAsia="fr-FR" w:bidi="fr-FR"/>
        </w:rPr>
        <w:t>op. cit</w:t>
      </w:r>
      <w:r w:rsidRPr="004B021B">
        <w:rPr>
          <w:lang w:val="fr-FR" w:eastAsia="fr-FR" w:bidi="fr-FR"/>
        </w:rPr>
        <w:t>.</w:t>
      </w:r>
    </w:p>
  </w:footnote>
  <w:footnote w:id="598">
    <w:p w14:paraId="18BDB4D8" w14:textId="77777777" w:rsidR="0039793A" w:rsidRDefault="0039793A" w:rsidP="0039793A">
      <w:pPr>
        <w:pStyle w:val="Notedebasdepage"/>
      </w:pPr>
      <w:r>
        <w:rPr>
          <w:rStyle w:val="Appelnotedebasdep"/>
        </w:rPr>
        <w:footnoteRef/>
      </w:r>
      <w:r>
        <w:tab/>
      </w:r>
      <w:r w:rsidRPr="000D5497">
        <w:t xml:space="preserve">CCFR-GMFUS, 2002, </w:t>
      </w:r>
      <w:r w:rsidRPr="004544C4">
        <w:rPr>
          <w:i/>
          <w:iCs/>
        </w:rPr>
        <w:t>op. cit</w:t>
      </w:r>
      <w:r w:rsidRPr="000D5497">
        <w:t>.</w:t>
      </w:r>
    </w:p>
  </w:footnote>
  <w:footnote w:id="599">
    <w:p w14:paraId="40CF8F6C" w14:textId="77777777" w:rsidR="0039793A" w:rsidRDefault="0039793A" w:rsidP="0039793A">
      <w:pPr>
        <w:pStyle w:val="Notedebasdepage"/>
      </w:pPr>
      <w:r>
        <w:rPr>
          <w:rStyle w:val="Appelnotedebasdep"/>
        </w:rPr>
        <w:footnoteRef/>
      </w:r>
      <w:r>
        <w:tab/>
      </w:r>
      <w:r w:rsidRPr="000D5497">
        <w:t xml:space="preserve">Peter Trubowitz, </w:t>
      </w:r>
      <w:r w:rsidRPr="00D90EBC">
        <w:rPr>
          <w:i/>
          <w:iCs/>
        </w:rPr>
        <w:t>Defining the National Interest. Conflict and Change in American Foreign Policy</w:t>
      </w:r>
      <w:r w:rsidRPr="000D5497">
        <w:t>, Chicago, The University of Ch</w:t>
      </w:r>
      <w:r w:rsidRPr="000D5497">
        <w:t>i</w:t>
      </w:r>
      <w:r w:rsidRPr="000D5497">
        <w:t>cago Press, 1998, 353 p.</w:t>
      </w:r>
    </w:p>
  </w:footnote>
  <w:footnote w:id="600">
    <w:p w14:paraId="75BDEA9D" w14:textId="77777777" w:rsidR="0039793A" w:rsidRDefault="0039793A" w:rsidP="0039793A">
      <w:pPr>
        <w:pStyle w:val="Notedebasdepage"/>
      </w:pPr>
      <w:r>
        <w:rPr>
          <w:rStyle w:val="Appelnotedebasdep"/>
        </w:rPr>
        <w:footnoteRef/>
      </w:r>
      <w:r>
        <w:tab/>
      </w:r>
      <w:r w:rsidRPr="004B021B">
        <w:rPr>
          <w:lang w:val="fr-FR" w:eastAsia="fr-FR" w:bidi="fr-FR"/>
        </w:rPr>
        <w:t xml:space="preserve">Michael Lind, </w:t>
      </w:r>
      <w:r w:rsidRPr="004B021B">
        <w:t>« </w:t>
      </w:r>
      <w:r w:rsidRPr="004B021B">
        <w:rPr>
          <w:lang w:val="fr-FR" w:eastAsia="fr-FR" w:bidi="fr-FR"/>
        </w:rPr>
        <w:t>Civil War by Other Means</w:t>
      </w:r>
      <w:r w:rsidRPr="004B021B">
        <w:t> »</w:t>
      </w:r>
      <w:r w:rsidRPr="004B021B">
        <w:rPr>
          <w:lang w:val="fr-FR" w:eastAsia="fr-FR" w:bidi="fr-FR"/>
        </w:rPr>
        <w:t xml:space="preserve">, </w:t>
      </w:r>
      <w:r w:rsidRPr="003762AE">
        <w:rPr>
          <w:i/>
          <w:iCs/>
        </w:rPr>
        <w:t>Foreign Affairs</w:t>
      </w:r>
      <w:r w:rsidRPr="004B021B">
        <w:t>,</w:t>
      </w:r>
      <w:r w:rsidRPr="004B021B">
        <w:rPr>
          <w:lang w:val="fr-FR" w:eastAsia="fr-FR" w:bidi="fr-FR"/>
        </w:rPr>
        <w:t xml:space="preserve"> 78 (5), se</w:t>
      </w:r>
      <w:r w:rsidRPr="004B021B">
        <w:rPr>
          <w:lang w:val="fr-FR" w:eastAsia="fr-FR" w:bidi="fr-FR"/>
        </w:rPr>
        <w:t>p</w:t>
      </w:r>
      <w:r>
        <w:rPr>
          <w:lang w:val="fr-FR" w:eastAsia="fr-FR" w:bidi="fr-FR"/>
        </w:rPr>
        <w:t>tembre-octobre 1999, p.</w:t>
      </w:r>
      <w:r w:rsidRPr="004B021B">
        <w:rPr>
          <w:lang w:val="fr-FR" w:eastAsia="fr-FR" w:bidi="fr-FR"/>
        </w:rPr>
        <w:t xml:space="preserve"> 123-142</w:t>
      </w:r>
      <w:r w:rsidRPr="004B021B">
        <w:t> ;</w:t>
      </w:r>
      <w:r w:rsidRPr="004B021B">
        <w:rPr>
          <w:lang w:val="fr-FR" w:eastAsia="fr-FR" w:bidi="fr-FR"/>
        </w:rPr>
        <w:t xml:space="preserve"> </w:t>
      </w:r>
      <w:r w:rsidRPr="003762AE">
        <w:rPr>
          <w:i/>
          <w:iCs/>
        </w:rPr>
        <w:t>Vietnam : The Necessary War</w:t>
      </w:r>
      <w:r w:rsidRPr="004B021B">
        <w:t>,</w:t>
      </w:r>
      <w:r w:rsidRPr="004B021B">
        <w:rPr>
          <w:lang w:val="fr-FR" w:eastAsia="fr-FR" w:bidi="fr-FR"/>
        </w:rPr>
        <w:t xml:space="preserve"> New York, Free Press, 2000, 314 p.</w:t>
      </w:r>
    </w:p>
  </w:footnote>
  <w:footnote w:id="601">
    <w:p w14:paraId="11DE74B6" w14:textId="77777777" w:rsidR="0039793A" w:rsidRDefault="0039793A" w:rsidP="0039793A">
      <w:pPr>
        <w:pStyle w:val="Notedebasdepage"/>
      </w:pPr>
      <w:r>
        <w:rPr>
          <w:rStyle w:val="Appelnotedebasdep"/>
        </w:rPr>
        <w:footnoteRef/>
      </w:r>
      <w:r>
        <w:tab/>
      </w:r>
      <w:r w:rsidRPr="004B021B">
        <w:rPr>
          <w:lang w:val="fr-FR" w:eastAsia="fr-FR" w:bidi="fr-FR"/>
        </w:rPr>
        <w:t xml:space="preserve">Les </w:t>
      </w:r>
      <w:r w:rsidRPr="003762AE">
        <w:rPr>
          <w:i/>
          <w:iCs/>
        </w:rPr>
        <w:t>Reagan Democrats</w:t>
      </w:r>
      <w:r w:rsidRPr="004B021B">
        <w:rPr>
          <w:lang w:val="fr-FR" w:eastAsia="fr-FR" w:bidi="fr-FR"/>
        </w:rPr>
        <w:t xml:space="preserve"> sont les démocrates qui ont voté pour le candidat républicain Ronald Reagan en 1980 et 1984</w:t>
      </w:r>
      <w:r w:rsidRPr="004B021B">
        <w:t> ;</w:t>
      </w:r>
      <w:r w:rsidRPr="004B021B">
        <w:rPr>
          <w:lang w:val="fr-FR" w:eastAsia="fr-FR" w:bidi="fr-FR"/>
        </w:rPr>
        <w:t xml:space="preserve"> les </w:t>
      </w:r>
      <w:r w:rsidRPr="003762AE">
        <w:rPr>
          <w:i/>
          <w:iCs/>
        </w:rPr>
        <w:t>Jackson Democrats</w:t>
      </w:r>
      <w:r w:rsidRPr="004B021B">
        <w:rPr>
          <w:lang w:val="fr-FR" w:eastAsia="fr-FR" w:bidi="fr-FR"/>
        </w:rPr>
        <w:t xml:space="preserve"> sout</w:t>
      </w:r>
      <w:r w:rsidRPr="004B021B">
        <w:rPr>
          <w:lang w:val="fr-FR" w:eastAsia="fr-FR" w:bidi="fr-FR"/>
        </w:rPr>
        <w:t>e</w:t>
      </w:r>
      <w:r w:rsidRPr="004B021B">
        <w:rPr>
          <w:lang w:val="fr-FR" w:eastAsia="fr-FR" w:bidi="fr-FR"/>
        </w:rPr>
        <w:t xml:space="preserve">naient le sénateur Henry Scoop Jackson dans les années 1970, en faveur d’une défense forte et d’une attitude hostile vis-à-vis de </w:t>
      </w:r>
      <w:r w:rsidRPr="004B021B">
        <w:t xml:space="preserve">l’URSS </w:t>
      </w:r>
      <w:r w:rsidRPr="004B021B">
        <w:rPr>
          <w:lang w:val="fr-FR" w:eastAsia="fr-FR" w:bidi="fr-FR"/>
        </w:rPr>
        <w:t>(on les a</w:t>
      </w:r>
      <w:r w:rsidRPr="004B021B">
        <w:rPr>
          <w:lang w:val="fr-FR" w:eastAsia="fr-FR" w:bidi="fr-FR"/>
        </w:rPr>
        <w:t>p</w:t>
      </w:r>
      <w:r w:rsidRPr="004B021B">
        <w:rPr>
          <w:lang w:val="fr-FR" w:eastAsia="fr-FR" w:bidi="fr-FR"/>
        </w:rPr>
        <w:t xml:space="preserve">pelle aussi </w:t>
      </w:r>
      <w:r w:rsidRPr="004B021B">
        <w:t>« </w:t>
      </w:r>
      <w:r w:rsidRPr="004B021B">
        <w:rPr>
          <w:lang w:val="fr-FR" w:eastAsia="fr-FR" w:bidi="fr-FR"/>
        </w:rPr>
        <w:t>néoconservateurs</w:t>
      </w:r>
      <w:r w:rsidRPr="004B021B">
        <w:t> »</w:t>
      </w:r>
      <w:r w:rsidRPr="004B021B">
        <w:rPr>
          <w:lang w:val="fr-FR" w:eastAsia="fr-FR" w:bidi="fr-FR"/>
        </w:rPr>
        <w:t>).</w:t>
      </w:r>
    </w:p>
  </w:footnote>
  <w:footnote w:id="602">
    <w:p w14:paraId="1E301E58" w14:textId="77777777" w:rsidR="0039793A" w:rsidRDefault="0039793A" w:rsidP="0039793A">
      <w:pPr>
        <w:pStyle w:val="Notedebasdepage"/>
      </w:pPr>
      <w:r>
        <w:rPr>
          <w:rStyle w:val="Appelnotedebasdep"/>
        </w:rPr>
        <w:footnoteRef/>
      </w:r>
      <w:r>
        <w:tab/>
      </w:r>
      <w:r w:rsidRPr="004B021B">
        <w:rPr>
          <w:lang w:val="fr-FR" w:eastAsia="fr-FR" w:bidi="fr-FR"/>
        </w:rPr>
        <w:t>Comme pour établir un lien entre violence extérieure et violence intérieure, c’est dans ces r</w:t>
      </w:r>
      <w:r w:rsidRPr="004B021B">
        <w:rPr>
          <w:lang w:val="fr-FR" w:eastAsia="fr-FR" w:bidi="fr-FR"/>
        </w:rPr>
        <w:t>é</w:t>
      </w:r>
      <w:r w:rsidRPr="004B021B">
        <w:rPr>
          <w:lang w:val="fr-FR" w:eastAsia="fr-FR" w:bidi="fr-FR"/>
        </w:rPr>
        <w:t>gions du Sud, notamment le Sud côtier, que l’on trouve les taux d’homicides les plus élevés, la pr</w:t>
      </w:r>
      <w:r w:rsidRPr="004B021B">
        <w:rPr>
          <w:lang w:val="fr-FR" w:eastAsia="fr-FR" w:bidi="fr-FR"/>
        </w:rPr>
        <w:t>a</w:t>
      </w:r>
      <w:r w:rsidRPr="004B021B">
        <w:rPr>
          <w:lang w:val="fr-FR" w:eastAsia="fr-FR" w:bidi="fr-FR"/>
        </w:rPr>
        <w:t>tique la plus courante de la peine de mort, alors que le Nord se distingue par des tendances inverses, par exemple le nombre de lois qui obligent le citoyen à se sauver lorsqu’il est attaqué ou cambriolé plutôt que d’attaquer à son tour.</w:t>
      </w:r>
    </w:p>
  </w:footnote>
  <w:footnote w:id="603">
    <w:p w14:paraId="3708E099" w14:textId="77777777" w:rsidR="0039793A" w:rsidRDefault="0039793A" w:rsidP="0039793A">
      <w:pPr>
        <w:pStyle w:val="Notedebasdepage"/>
      </w:pPr>
      <w:r>
        <w:rPr>
          <w:rStyle w:val="Appelnotedebasdep"/>
        </w:rPr>
        <w:footnoteRef/>
      </w:r>
      <w:r>
        <w:tab/>
      </w:r>
      <w:r w:rsidRPr="004B021B">
        <w:rPr>
          <w:lang w:val="fr-FR" w:eastAsia="fr-FR" w:bidi="fr-FR"/>
        </w:rPr>
        <w:t xml:space="preserve">Voir sur ce point par exemple Jean-François Bayart, </w:t>
      </w:r>
      <w:r w:rsidRPr="00FA6863">
        <w:rPr>
          <w:i/>
          <w:iCs/>
        </w:rPr>
        <w:t>L’illusion identitaire</w:t>
      </w:r>
      <w:r w:rsidRPr="004B021B">
        <w:rPr>
          <w:lang w:val="fr-FR" w:eastAsia="fr-FR" w:bidi="fr-FR"/>
        </w:rPr>
        <w:t>, P</w:t>
      </w:r>
      <w:r w:rsidRPr="004B021B">
        <w:rPr>
          <w:lang w:val="fr-FR" w:eastAsia="fr-FR" w:bidi="fr-FR"/>
        </w:rPr>
        <w:t>a</w:t>
      </w:r>
      <w:r w:rsidRPr="004B021B">
        <w:rPr>
          <w:lang w:val="fr-FR" w:eastAsia="fr-FR" w:bidi="fr-FR"/>
        </w:rPr>
        <w:t>ris, Fayard, 1996, 306 p.</w:t>
      </w:r>
    </w:p>
  </w:footnote>
  <w:footnote w:id="604">
    <w:p w14:paraId="6A9D241F" w14:textId="77777777" w:rsidR="0039793A" w:rsidRDefault="0039793A" w:rsidP="0039793A">
      <w:pPr>
        <w:pStyle w:val="Notedebasdepage"/>
      </w:pPr>
      <w:r>
        <w:rPr>
          <w:rStyle w:val="Appelnotedebasdep"/>
        </w:rPr>
        <w:footnoteRef/>
      </w:r>
      <w:r>
        <w:tab/>
      </w:r>
      <w:r w:rsidRPr="004B021B">
        <w:rPr>
          <w:lang w:val="fr-FR" w:eastAsia="fr-FR" w:bidi="fr-FR"/>
        </w:rPr>
        <w:t xml:space="preserve">Serge Berstein (dir.). </w:t>
      </w:r>
      <w:r w:rsidRPr="00FA6863">
        <w:rPr>
          <w:i/>
          <w:iCs/>
        </w:rPr>
        <w:t>Les cultures politiques en France</w:t>
      </w:r>
      <w:r w:rsidRPr="004B021B">
        <w:t>,</w:t>
      </w:r>
      <w:r w:rsidRPr="004B021B">
        <w:rPr>
          <w:lang w:val="fr-FR" w:eastAsia="fr-FR" w:bidi="fr-FR"/>
        </w:rPr>
        <w:t xml:space="preserve"> Seuil, 1999, 407 p.</w:t>
      </w:r>
    </w:p>
  </w:footnote>
  <w:footnote w:id="605">
    <w:p w14:paraId="297FB199" w14:textId="77777777" w:rsidR="0039793A" w:rsidRDefault="0039793A" w:rsidP="0039793A">
      <w:pPr>
        <w:pStyle w:val="Notedebasdepage"/>
      </w:pPr>
      <w:r>
        <w:rPr>
          <w:rStyle w:val="Appelnotedebasdep"/>
        </w:rPr>
        <w:footnoteRef/>
      </w:r>
      <w:r>
        <w:tab/>
      </w:r>
      <w:r w:rsidRPr="004B021B">
        <w:rPr>
          <w:lang w:val="fr-FR" w:eastAsia="fr-FR" w:bidi="fr-FR"/>
        </w:rPr>
        <w:t xml:space="preserve">Walter Russell Mead, </w:t>
      </w:r>
      <w:r w:rsidRPr="004B021B">
        <w:t>« </w:t>
      </w:r>
      <w:r w:rsidRPr="004B021B">
        <w:rPr>
          <w:lang w:val="fr-FR" w:eastAsia="fr-FR" w:bidi="fr-FR"/>
        </w:rPr>
        <w:t>The Jacksonian Tradition and American Foreign Policy</w:t>
      </w:r>
      <w:r w:rsidRPr="004B021B">
        <w:t> »</w:t>
      </w:r>
      <w:r w:rsidRPr="004B021B">
        <w:rPr>
          <w:lang w:val="fr-FR" w:eastAsia="fr-FR" w:bidi="fr-FR"/>
        </w:rPr>
        <w:t xml:space="preserve">, </w:t>
      </w:r>
      <w:r w:rsidRPr="000E43D7">
        <w:rPr>
          <w:i/>
          <w:iCs/>
        </w:rPr>
        <w:t>The National Interest</w:t>
      </w:r>
      <w:r w:rsidRPr="004B021B">
        <w:rPr>
          <w:lang w:val="fr-FR" w:eastAsia="fr-FR" w:bidi="fr-FR"/>
        </w:rPr>
        <w:t>, 58, hiver 1999-2000, p. 5-29</w:t>
      </w:r>
      <w:r w:rsidRPr="004B021B">
        <w:t> ;</w:t>
      </w:r>
      <w:r w:rsidRPr="004B021B">
        <w:rPr>
          <w:lang w:val="fr-FR" w:eastAsia="fr-FR" w:bidi="fr-FR"/>
        </w:rPr>
        <w:t xml:space="preserve"> </w:t>
      </w:r>
      <w:r w:rsidRPr="000E43D7">
        <w:rPr>
          <w:i/>
          <w:iCs/>
        </w:rPr>
        <w:t>Sp</w:t>
      </w:r>
      <w:r>
        <w:rPr>
          <w:i/>
          <w:iCs/>
        </w:rPr>
        <w:t>e</w:t>
      </w:r>
      <w:r w:rsidRPr="000E43D7">
        <w:rPr>
          <w:i/>
          <w:iCs/>
        </w:rPr>
        <w:t>cial Pr</w:t>
      </w:r>
      <w:r w:rsidRPr="000E43D7">
        <w:rPr>
          <w:i/>
          <w:iCs/>
        </w:rPr>
        <w:t>o</w:t>
      </w:r>
      <w:r w:rsidRPr="000E43D7">
        <w:rPr>
          <w:i/>
          <w:iCs/>
        </w:rPr>
        <w:t>vide</w:t>
      </w:r>
      <w:r w:rsidRPr="000E43D7">
        <w:rPr>
          <w:i/>
          <w:iCs/>
        </w:rPr>
        <w:t>n</w:t>
      </w:r>
      <w:r w:rsidRPr="000E43D7">
        <w:rPr>
          <w:i/>
          <w:iCs/>
        </w:rPr>
        <w:t>ce : American Foreign Policy and How It Changed the World</w:t>
      </w:r>
      <w:r w:rsidRPr="004B021B">
        <w:rPr>
          <w:lang w:val="fr-FR" w:eastAsia="fr-FR" w:bidi="fr-FR"/>
        </w:rPr>
        <w:t xml:space="preserve">, Knopf, New York, 2001, 374 </w:t>
      </w:r>
      <w:r w:rsidRPr="004B021B">
        <w:t>p.</w:t>
      </w:r>
    </w:p>
  </w:footnote>
  <w:footnote w:id="606">
    <w:p w14:paraId="22CD097C" w14:textId="77777777" w:rsidR="0039793A" w:rsidRDefault="0039793A" w:rsidP="0039793A">
      <w:pPr>
        <w:pStyle w:val="Notedebasdepage"/>
      </w:pPr>
      <w:r>
        <w:rPr>
          <w:rStyle w:val="Appelnotedebasdep"/>
        </w:rPr>
        <w:footnoteRef/>
      </w:r>
      <w:r>
        <w:tab/>
      </w:r>
      <w:r w:rsidRPr="004B021B">
        <w:rPr>
          <w:lang w:val="fr-FR" w:eastAsia="fr-FR" w:bidi="fr-FR"/>
        </w:rPr>
        <w:t xml:space="preserve">Frank L. Klingberg, </w:t>
      </w:r>
      <w:r w:rsidRPr="000E43D7">
        <w:rPr>
          <w:i/>
          <w:iCs/>
        </w:rPr>
        <w:t>Cyclical Trends in Amer</w:t>
      </w:r>
      <w:r w:rsidRPr="000E43D7">
        <w:rPr>
          <w:i/>
          <w:iCs/>
        </w:rPr>
        <w:t>i</w:t>
      </w:r>
      <w:r w:rsidRPr="000E43D7">
        <w:rPr>
          <w:i/>
          <w:iCs/>
        </w:rPr>
        <w:t>can Foreign Policy Moods : The Unfolding of America’s World R</w:t>
      </w:r>
      <w:r>
        <w:rPr>
          <w:i/>
          <w:iCs/>
        </w:rPr>
        <w:t>o</w:t>
      </w:r>
      <w:r w:rsidRPr="000E43D7">
        <w:rPr>
          <w:i/>
          <w:iCs/>
        </w:rPr>
        <w:t>le</w:t>
      </w:r>
      <w:r w:rsidRPr="004B021B">
        <w:t>,</w:t>
      </w:r>
      <w:r w:rsidRPr="004B021B">
        <w:rPr>
          <w:lang w:val="fr-FR" w:eastAsia="fr-FR" w:bidi="fr-FR"/>
        </w:rPr>
        <w:t xml:space="preserve"> Lanham, University Press of Am</w:t>
      </w:r>
      <w:r w:rsidRPr="004B021B">
        <w:rPr>
          <w:lang w:val="fr-FR" w:eastAsia="fr-FR" w:bidi="fr-FR"/>
        </w:rPr>
        <w:t>e</w:t>
      </w:r>
      <w:r w:rsidRPr="004B021B">
        <w:rPr>
          <w:lang w:val="fr-FR" w:eastAsia="fr-FR" w:bidi="fr-FR"/>
        </w:rPr>
        <w:t>rica, 1983, 193 p.</w:t>
      </w:r>
      <w:r w:rsidRPr="004B021B">
        <w:t> ;</w:t>
      </w:r>
      <w:r w:rsidRPr="004B021B">
        <w:rPr>
          <w:lang w:val="fr-FR" w:eastAsia="fr-FR" w:bidi="fr-FR"/>
        </w:rPr>
        <w:t xml:space="preserve"> </w:t>
      </w:r>
      <w:r w:rsidRPr="004B021B">
        <w:t>« </w:t>
      </w:r>
      <w:r w:rsidRPr="004B021B">
        <w:rPr>
          <w:lang w:val="fr-FR" w:eastAsia="fr-FR" w:bidi="fr-FR"/>
        </w:rPr>
        <w:t>Cyclical Trends in Foreign Policy Revisited in 1990</w:t>
      </w:r>
      <w:r w:rsidRPr="004B021B">
        <w:t> »</w:t>
      </w:r>
      <w:r w:rsidRPr="004B021B">
        <w:rPr>
          <w:lang w:val="fr-FR" w:eastAsia="fr-FR" w:bidi="fr-FR"/>
        </w:rPr>
        <w:t xml:space="preserve">, </w:t>
      </w:r>
      <w:r w:rsidRPr="000E43D7">
        <w:rPr>
          <w:i/>
          <w:iCs/>
        </w:rPr>
        <w:t>International St</w:t>
      </w:r>
      <w:r w:rsidRPr="000E43D7">
        <w:rPr>
          <w:i/>
          <w:iCs/>
        </w:rPr>
        <w:t>u</w:t>
      </w:r>
      <w:r w:rsidRPr="000E43D7">
        <w:rPr>
          <w:i/>
          <w:iCs/>
        </w:rPr>
        <w:t>dies Notes</w:t>
      </w:r>
      <w:r w:rsidRPr="004B021B">
        <w:t>,</w:t>
      </w:r>
      <w:r w:rsidRPr="004B021B">
        <w:rPr>
          <w:lang w:val="fr-FR" w:eastAsia="fr-FR" w:bidi="fr-FR"/>
        </w:rPr>
        <w:t xml:space="preserve"> 15, printemps 1990, p. 54-58.</w:t>
      </w:r>
    </w:p>
  </w:footnote>
  <w:footnote w:id="607">
    <w:p w14:paraId="2EF197CA" w14:textId="77777777" w:rsidR="0039793A" w:rsidRDefault="0039793A" w:rsidP="0039793A">
      <w:pPr>
        <w:pStyle w:val="Notedebasdepage"/>
      </w:pPr>
      <w:r>
        <w:rPr>
          <w:rStyle w:val="Appelnotedebasdep"/>
        </w:rPr>
        <w:footnoteRef/>
      </w:r>
      <w:r>
        <w:tab/>
      </w:r>
      <w:r w:rsidRPr="004B021B">
        <w:rPr>
          <w:lang w:val="fr-FR" w:eastAsia="fr-FR" w:bidi="fr-FR"/>
        </w:rPr>
        <w:t>Il conviendrait bien sûr d’intégrer le Congrès dans cette équation, dans la m</w:t>
      </w:r>
      <w:r w:rsidRPr="004B021B">
        <w:rPr>
          <w:lang w:val="fr-FR" w:eastAsia="fr-FR" w:bidi="fr-FR"/>
        </w:rPr>
        <w:t>e</w:t>
      </w:r>
      <w:r w:rsidRPr="004B021B">
        <w:rPr>
          <w:lang w:val="fr-FR" w:eastAsia="fr-FR" w:bidi="fr-FR"/>
        </w:rPr>
        <w:t>sure où il entretient le même rapport d’influence réciproque avec l’opinion publ</w:t>
      </w:r>
      <w:r w:rsidRPr="004B021B">
        <w:rPr>
          <w:lang w:val="fr-FR" w:eastAsia="fr-FR" w:bidi="fr-FR"/>
        </w:rPr>
        <w:t>i</w:t>
      </w:r>
      <w:r w:rsidRPr="004B021B">
        <w:rPr>
          <w:lang w:val="fr-FR" w:eastAsia="fr-FR" w:bidi="fr-FR"/>
        </w:rPr>
        <w:t>que, les médias et la présidence que les trois autres pôles. On s’en tient ici à la présidence, car elle est l’instance de décision la plus impo</w:t>
      </w:r>
      <w:r w:rsidRPr="004B021B">
        <w:rPr>
          <w:lang w:val="fr-FR" w:eastAsia="fr-FR" w:bidi="fr-FR"/>
        </w:rPr>
        <w:t>r</w:t>
      </w:r>
      <w:r w:rsidRPr="004B021B">
        <w:rPr>
          <w:lang w:val="fr-FR" w:eastAsia="fr-FR" w:bidi="fr-FR"/>
        </w:rPr>
        <w:t>tante, surtout en temps de crise (guerres, initiatives diplomatiques, etc.).</w:t>
      </w:r>
    </w:p>
  </w:footnote>
  <w:footnote w:id="608">
    <w:p w14:paraId="0558EDA3" w14:textId="77777777" w:rsidR="0039793A" w:rsidRDefault="0039793A" w:rsidP="0039793A">
      <w:pPr>
        <w:pStyle w:val="Notedebasdepage"/>
      </w:pPr>
      <w:r>
        <w:rPr>
          <w:rStyle w:val="Appelnotedebasdep"/>
        </w:rPr>
        <w:footnoteRef/>
      </w:r>
      <w:r>
        <w:tab/>
      </w:r>
      <w:r w:rsidRPr="004B021B">
        <w:rPr>
          <w:lang w:val="fr-FR" w:eastAsia="fr-FR" w:bidi="fr-FR"/>
        </w:rPr>
        <w:t xml:space="preserve">Cité dans Kegley Jr. et Wittkopf, </w:t>
      </w:r>
      <w:r w:rsidRPr="008D0AD0">
        <w:rPr>
          <w:i/>
          <w:iCs/>
        </w:rPr>
        <w:t>op. cit</w:t>
      </w:r>
      <w:r w:rsidRPr="004B021B">
        <w:t>.,</w:t>
      </w:r>
      <w:r w:rsidRPr="004B021B">
        <w:rPr>
          <w:lang w:val="fr-FR" w:eastAsia="fr-FR" w:bidi="fr-FR"/>
        </w:rPr>
        <w:t xml:space="preserve"> p. 325.</w:t>
      </w:r>
    </w:p>
  </w:footnote>
  <w:footnote w:id="609">
    <w:p w14:paraId="3FA1441B" w14:textId="77777777" w:rsidR="0039793A" w:rsidRDefault="0039793A" w:rsidP="0039793A">
      <w:pPr>
        <w:pStyle w:val="Notedebasdepage"/>
      </w:pPr>
      <w:r>
        <w:rPr>
          <w:rStyle w:val="Appelnotedebasdep"/>
        </w:rPr>
        <w:footnoteRef/>
      </w:r>
      <w:r>
        <w:tab/>
      </w:r>
      <w:r w:rsidRPr="004B021B">
        <w:rPr>
          <w:lang w:val="fr-FR" w:eastAsia="fr-FR" w:bidi="fr-FR"/>
        </w:rPr>
        <w:t>D’après les mesures d’audience effectuées par Nielsen Media Research</w:t>
      </w:r>
      <w:r w:rsidRPr="004B021B">
        <w:t> ;</w:t>
      </w:r>
      <w:r w:rsidRPr="004B021B">
        <w:rPr>
          <w:lang w:val="fr-FR" w:eastAsia="fr-FR" w:bidi="fr-FR"/>
        </w:rPr>
        <w:t xml:space="preserve"> cf. par exemple Brian Lowry, </w:t>
      </w:r>
      <w:r w:rsidRPr="004B021B">
        <w:t>« </w:t>
      </w:r>
      <w:r w:rsidRPr="004B021B">
        <w:rPr>
          <w:rStyle w:val="Notedebasdepage65ptItalique"/>
          <w:sz w:val="24"/>
        </w:rPr>
        <w:t>ABC</w:t>
      </w:r>
      <w:r w:rsidRPr="004B021B">
        <w:t xml:space="preserve"> </w:t>
      </w:r>
      <w:r w:rsidRPr="004B021B">
        <w:rPr>
          <w:lang w:val="fr-FR" w:eastAsia="fr-FR" w:bidi="fr-FR"/>
        </w:rPr>
        <w:t>Wins the Battle</w:t>
      </w:r>
      <w:r w:rsidRPr="004B021B">
        <w:t> ;</w:t>
      </w:r>
      <w:r w:rsidRPr="004B021B">
        <w:rPr>
          <w:lang w:val="fr-FR" w:eastAsia="fr-FR" w:bidi="fr-FR"/>
        </w:rPr>
        <w:t xml:space="preserve"> Cable Wins the War</w:t>
      </w:r>
      <w:r w:rsidRPr="004B021B">
        <w:t> »</w:t>
      </w:r>
      <w:r w:rsidRPr="004B021B">
        <w:rPr>
          <w:lang w:val="fr-FR" w:eastAsia="fr-FR" w:bidi="fr-FR"/>
        </w:rPr>
        <w:t xml:space="preserve">, </w:t>
      </w:r>
      <w:r w:rsidRPr="008621BC">
        <w:rPr>
          <w:i/>
          <w:iCs/>
        </w:rPr>
        <w:t>Los Angeles Times</w:t>
      </w:r>
      <w:r w:rsidRPr="004B021B">
        <w:rPr>
          <w:lang w:val="fr-FR" w:eastAsia="fr-FR" w:bidi="fr-FR"/>
        </w:rPr>
        <w:t>, 28 mars 2003.</w:t>
      </w:r>
    </w:p>
  </w:footnote>
  <w:footnote w:id="610">
    <w:p w14:paraId="28BE9B00" w14:textId="77777777" w:rsidR="0039793A" w:rsidRDefault="0039793A" w:rsidP="0039793A">
      <w:pPr>
        <w:pStyle w:val="Notedebasdepage"/>
      </w:pPr>
      <w:r>
        <w:rPr>
          <w:rStyle w:val="Appelnotedebasdep"/>
        </w:rPr>
        <w:footnoteRef/>
      </w:r>
      <w:r>
        <w:tab/>
      </w:r>
      <w:r w:rsidRPr="004B021B">
        <w:rPr>
          <w:lang w:val="fr-FR" w:eastAsia="fr-FR" w:bidi="fr-FR"/>
        </w:rPr>
        <w:t>À titre d’exemple, immédiatement après le 11 septembre 2001, 78</w:t>
      </w:r>
      <w:r>
        <w:rPr>
          <w:lang w:val="fr-FR" w:eastAsia="fr-FR" w:bidi="fr-FR"/>
        </w:rPr>
        <w:t>%</w:t>
      </w:r>
      <w:r w:rsidRPr="004B021B">
        <w:rPr>
          <w:lang w:val="fr-FR" w:eastAsia="fr-FR" w:bidi="fr-FR"/>
        </w:rPr>
        <w:t xml:space="preserve"> util</w:t>
      </w:r>
      <w:r w:rsidRPr="004B021B">
        <w:rPr>
          <w:lang w:val="fr-FR" w:eastAsia="fr-FR" w:bidi="fr-FR"/>
        </w:rPr>
        <w:t>i</w:t>
      </w:r>
      <w:r w:rsidRPr="004B021B">
        <w:rPr>
          <w:lang w:val="fr-FR" w:eastAsia="fr-FR" w:bidi="fr-FR"/>
        </w:rPr>
        <w:t>saient la télévision comme source d’information principale, contre 15</w:t>
      </w:r>
      <w:r>
        <w:rPr>
          <w:lang w:val="fr-FR" w:eastAsia="fr-FR" w:bidi="fr-FR"/>
        </w:rPr>
        <w:t>%</w:t>
      </w:r>
      <w:r w:rsidRPr="004B021B">
        <w:rPr>
          <w:lang w:val="fr-FR" w:eastAsia="fr-FR" w:bidi="fr-FR"/>
        </w:rPr>
        <w:t xml:space="preserve"> la radio et 3</w:t>
      </w:r>
      <w:r>
        <w:rPr>
          <w:lang w:val="fr-FR" w:eastAsia="fr-FR" w:bidi="fr-FR"/>
        </w:rPr>
        <w:t>%</w:t>
      </w:r>
      <w:r w:rsidRPr="004B021B">
        <w:rPr>
          <w:lang w:val="fr-FR" w:eastAsia="fr-FR" w:bidi="fr-FR"/>
        </w:rPr>
        <w:t xml:space="preserve"> Internet. Voir </w:t>
      </w:r>
      <w:r w:rsidRPr="004B021B">
        <w:t>« </w:t>
      </w:r>
      <w:r w:rsidRPr="004B021B">
        <w:rPr>
          <w:lang w:val="fr-FR" w:eastAsia="fr-FR" w:bidi="fr-FR"/>
        </w:rPr>
        <w:t>Harris Interactive Survey Shows Internet’s Growth as Pr</w:t>
      </w:r>
      <w:r w:rsidRPr="004B021B">
        <w:rPr>
          <w:lang w:val="fr-FR" w:eastAsia="fr-FR" w:bidi="fr-FR"/>
        </w:rPr>
        <w:t>i</w:t>
      </w:r>
      <w:r w:rsidRPr="004B021B">
        <w:rPr>
          <w:lang w:val="fr-FR" w:eastAsia="fr-FR" w:bidi="fr-FR"/>
        </w:rPr>
        <w:t>mary Source of News and Information in Weeks Following September 11 Attacks</w:t>
      </w:r>
      <w:r w:rsidRPr="004B021B">
        <w:t> »</w:t>
      </w:r>
      <w:r w:rsidRPr="004B021B">
        <w:rPr>
          <w:lang w:val="fr-FR" w:eastAsia="fr-FR" w:bidi="fr-FR"/>
        </w:rPr>
        <w:t xml:space="preserve">, </w:t>
      </w:r>
      <w:r w:rsidRPr="008621BC">
        <w:rPr>
          <w:i/>
          <w:iCs/>
        </w:rPr>
        <w:t>Harris Interactive Press R</w:t>
      </w:r>
      <w:r w:rsidRPr="008621BC">
        <w:rPr>
          <w:i/>
          <w:iCs/>
        </w:rPr>
        <w:t>e</w:t>
      </w:r>
      <w:r w:rsidRPr="008621BC">
        <w:rPr>
          <w:i/>
          <w:iCs/>
        </w:rPr>
        <w:t>lease</w:t>
      </w:r>
      <w:r w:rsidRPr="004B021B">
        <w:t>,</w:t>
      </w:r>
      <w:r w:rsidRPr="004B021B">
        <w:rPr>
          <w:lang w:val="fr-FR" w:eastAsia="fr-FR" w:bidi="fr-FR"/>
        </w:rPr>
        <w:t xml:space="preserve"> 5 octobre 2001, disponible en ligne, </w:t>
      </w:r>
      <w:hyperlink r:id="rId11" w:history="1">
        <w:r w:rsidRPr="004B021B">
          <w:rPr>
            <w:rStyle w:val="Hyperlien"/>
            <w:lang w:val="en-US" w:bidi="en-US"/>
          </w:rPr>
          <w:t>http://www.harrisinteractive.com/news/allnewsbydate.aspPNews</w:t>
        </w:r>
      </w:hyperlink>
      <w:r>
        <w:t xml:space="preserve"> </w:t>
      </w:r>
      <w:r>
        <w:rPr>
          <w:lang w:val="fr-FR" w:eastAsia="fr-FR" w:bidi="fr-FR"/>
        </w:rPr>
        <w:t>ID</w:t>
      </w:r>
      <w:r w:rsidRPr="004B021B">
        <w:rPr>
          <w:lang w:val="fr-FR" w:eastAsia="fr-FR" w:bidi="fr-FR"/>
        </w:rPr>
        <w:t>=</w:t>
      </w:r>
      <w:r>
        <w:rPr>
          <w:lang w:val="fr-FR" w:eastAsia="fr-FR" w:bidi="fr-FR"/>
        </w:rPr>
        <w:t>%</w:t>
      </w:r>
      <w:r w:rsidRPr="004B021B">
        <w:rPr>
          <w:lang w:val="fr-FR" w:eastAsia="fr-FR" w:bidi="fr-FR"/>
        </w:rPr>
        <w:t>20371, consulté le 28 avril 2003.</w:t>
      </w:r>
    </w:p>
  </w:footnote>
  <w:footnote w:id="611">
    <w:p w14:paraId="334D04A6" w14:textId="77777777" w:rsidR="0039793A" w:rsidRDefault="0039793A" w:rsidP="0039793A">
      <w:pPr>
        <w:pStyle w:val="Notedebasdepage"/>
      </w:pPr>
      <w:r>
        <w:rPr>
          <w:rStyle w:val="Appelnotedebasdep"/>
        </w:rPr>
        <w:footnoteRef/>
      </w:r>
      <w:r>
        <w:tab/>
      </w:r>
      <w:r w:rsidRPr="004B021B">
        <w:rPr>
          <w:lang w:val="fr-FR" w:eastAsia="fr-FR" w:bidi="fr-FR"/>
        </w:rPr>
        <w:t xml:space="preserve">Tiré de </w:t>
      </w:r>
      <w:r w:rsidRPr="008621BC">
        <w:rPr>
          <w:i/>
          <w:iCs/>
        </w:rPr>
        <w:t>Médias et politique étrangère</w:t>
      </w:r>
      <w:r w:rsidRPr="004B021B">
        <w:t>,</w:t>
      </w:r>
      <w:r w:rsidRPr="004B021B">
        <w:rPr>
          <w:lang w:val="fr-FR" w:eastAsia="fr-FR" w:bidi="fr-FR"/>
        </w:rPr>
        <w:t xml:space="preserve"> conférence de Pierre Melandri non e</w:t>
      </w:r>
      <w:r w:rsidRPr="004B021B">
        <w:rPr>
          <w:lang w:val="fr-FR" w:eastAsia="fr-FR" w:bidi="fr-FR"/>
        </w:rPr>
        <w:t>n</w:t>
      </w:r>
      <w:r w:rsidRPr="004B021B">
        <w:rPr>
          <w:lang w:val="fr-FR" w:eastAsia="fr-FR" w:bidi="fr-FR"/>
        </w:rPr>
        <w:t>core publiée.</w:t>
      </w:r>
    </w:p>
  </w:footnote>
  <w:footnote w:id="612">
    <w:p w14:paraId="2CB8303E" w14:textId="77777777" w:rsidR="0039793A" w:rsidRDefault="0039793A" w:rsidP="0039793A">
      <w:pPr>
        <w:pStyle w:val="Notedebasdepage"/>
      </w:pPr>
      <w:r>
        <w:rPr>
          <w:rStyle w:val="Appelnotedebasdep"/>
        </w:rPr>
        <w:footnoteRef/>
      </w:r>
      <w:r>
        <w:tab/>
      </w:r>
      <w:r w:rsidRPr="00B97C85">
        <w:rPr>
          <w:i/>
          <w:lang w:val="fr-FR" w:eastAsia="fr-FR" w:bidi="fr-FR"/>
        </w:rPr>
        <w:t>Ibid</w:t>
      </w:r>
      <w:r w:rsidRPr="004B021B">
        <w:rPr>
          <w:lang w:val="fr-FR" w:eastAsia="fr-FR" w:bidi="fr-FR"/>
        </w:rPr>
        <w:t>.</w:t>
      </w:r>
    </w:p>
  </w:footnote>
  <w:footnote w:id="613">
    <w:p w14:paraId="311F8F7E" w14:textId="77777777" w:rsidR="0039793A" w:rsidRDefault="0039793A" w:rsidP="0039793A">
      <w:pPr>
        <w:pStyle w:val="Notedebasdepage"/>
      </w:pPr>
      <w:r>
        <w:rPr>
          <w:rStyle w:val="Appelnotedebasdep"/>
        </w:rPr>
        <w:footnoteRef/>
      </w:r>
      <w:r>
        <w:tab/>
      </w:r>
      <w:r w:rsidRPr="004B021B">
        <w:rPr>
          <w:lang w:val="fr-FR" w:eastAsia="fr-FR" w:bidi="fr-FR"/>
        </w:rPr>
        <w:t xml:space="preserve">Cité dans Kegley Jr. et Wittkopf, </w:t>
      </w:r>
      <w:r w:rsidRPr="00BF493C">
        <w:rPr>
          <w:i/>
          <w:iCs/>
        </w:rPr>
        <w:t>op. cit</w:t>
      </w:r>
      <w:r w:rsidRPr="004B021B">
        <w:t>.,</w:t>
      </w:r>
      <w:r w:rsidRPr="004B021B">
        <w:rPr>
          <w:lang w:val="fr-FR" w:eastAsia="fr-FR" w:bidi="fr-FR"/>
        </w:rPr>
        <w:t xml:space="preserve"> p. 265.</w:t>
      </w:r>
    </w:p>
  </w:footnote>
  <w:footnote w:id="614">
    <w:p w14:paraId="22D0ADDE" w14:textId="77777777" w:rsidR="0039793A" w:rsidRDefault="0039793A" w:rsidP="0039793A">
      <w:pPr>
        <w:pStyle w:val="Notedebasdepage"/>
      </w:pPr>
      <w:r>
        <w:rPr>
          <w:rStyle w:val="Appelnotedebasdep"/>
        </w:rPr>
        <w:footnoteRef/>
      </w:r>
      <w:r>
        <w:tab/>
      </w:r>
      <w:r w:rsidRPr="004B021B">
        <w:t xml:space="preserve">Voir Warren Strobel, </w:t>
      </w:r>
      <w:r w:rsidRPr="00D87DC5">
        <w:rPr>
          <w:i/>
          <w:iCs/>
          <w:lang w:val="fr-FR" w:eastAsia="fr-FR" w:bidi="fr-FR"/>
        </w:rPr>
        <w:t>Late Breaking Foreign Policy</w:t>
      </w:r>
      <w:r w:rsidRPr="00D87DC5">
        <w:rPr>
          <w:i/>
          <w:iCs/>
        </w:rPr>
        <w:t> :</w:t>
      </w:r>
      <w:r w:rsidRPr="00D87DC5">
        <w:rPr>
          <w:i/>
          <w:iCs/>
          <w:lang w:val="fr-FR" w:eastAsia="fr-FR" w:bidi="fr-FR"/>
        </w:rPr>
        <w:t xml:space="preserve"> the News Media I</w:t>
      </w:r>
      <w:r w:rsidRPr="00D87DC5">
        <w:rPr>
          <w:i/>
          <w:iCs/>
          <w:lang w:val="fr-FR" w:eastAsia="fr-FR" w:bidi="fr-FR"/>
        </w:rPr>
        <w:t>n</w:t>
      </w:r>
      <w:r w:rsidRPr="00D87DC5">
        <w:rPr>
          <w:i/>
          <w:iCs/>
          <w:lang w:val="fr-FR" w:eastAsia="fr-FR" w:bidi="fr-FR"/>
        </w:rPr>
        <w:t>fluence on Peace Oper</w:t>
      </w:r>
      <w:r w:rsidRPr="00D87DC5">
        <w:rPr>
          <w:i/>
          <w:iCs/>
          <w:lang w:val="fr-FR" w:eastAsia="fr-FR" w:bidi="fr-FR"/>
        </w:rPr>
        <w:t>a</w:t>
      </w:r>
      <w:r w:rsidRPr="00D87DC5">
        <w:rPr>
          <w:i/>
          <w:iCs/>
          <w:lang w:val="fr-FR" w:eastAsia="fr-FR" w:bidi="fr-FR"/>
        </w:rPr>
        <w:t>tions</w:t>
      </w:r>
      <w:r w:rsidRPr="004B021B">
        <w:rPr>
          <w:lang w:val="fr-FR" w:eastAsia="fr-FR" w:bidi="fr-FR"/>
        </w:rPr>
        <w:t>,</w:t>
      </w:r>
      <w:r w:rsidRPr="004B021B">
        <w:t xml:space="preserve"> Washington, US Institute of Peace, 1997, 275 p.</w:t>
      </w:r>
    </w:p>
  </w:footnote>
  <w:footnote w:id="615">
    <w:p w14:paraId="3AAAD000" w14:textId="77777777" w:rsidR="0039793A" w:rsidRDefault="0039793A" w:rsidP="0039793A">
      <w:pPr>
        <w:pStyle w:val="Notedebasdepage"/>
      </w:pPr>
      <w:r>
        <w:rPr>
          <w:rStyle w:val="Appelnotedebasdep"/>
        </w:rPr>
        <w:footnoteRef/>
      </w:r>
      <w:r>
        <w:tab/>
      </w:r>
      <w:r w:rsidRPr="004B021B">
        <w:rPr>
          <w:lang w:val="fr-FR" w:eastAsia="fr-FR" w:bidi="fr-FR"/>
        </w:rPr>
        <w:t xml:space="preserve">Exemples donnés par Kegley Jr. et Wittkopf, </w:t>
      </w:r>
      <w:r w:rsidRPr="00CF531D">
        <w:rPr>
          <w:i/>
          <w:iCs/>
        </w:rPr>
        <w:t>op. cit</w:t>
      </w:r>
      <w:r w:rsidRPr="004B021B">
        <w:t>.,</w:t>
      </w:r>
      <w:r w:rsidRPr="004B021B">
        <w:rPr>
          <w:lang w:val="fr-FR" w:eastAsia="fr-FR" w:bidi="fr-FR"/>
        </w:rPr>
        <w:t xml:space="preserve"> p. 279.</w:t>
      </w:r>
    </w:p>
  </w:footnote>
  <w:footnote w:id="616">
    <w:p w14:paraId="45FA6C3D" w14:textId="77777777" w:rsidR="0039793A" w:rsidRDefault="0039793A" w:rsidP="0039793A">
      <w:pPr>
        <w:pStyle w:val="Notedebasdepage"/>
      </w:pPr>
      <w:r>
        <w:rPr>
          <w:rStyle w:val="Appelnotedebasdep"/>
        </w:rPr>
        <w:footnoteRef/>
      </w:r>
      <w:r>
        <w:tab/>
      </w:r>
      <w:r w:rsidRPr="004B021B">
        <w:rPr>
          <w:lang w:val="fr-FR" w:eastAsia="fr-FR" w:bidi="fr-FR"/>
        </w:rPr>
        <w:t xml:space="preserve">Charles William Maynes, </w:t>
      </w:r>
      <w:r w:rsidRPr="004B021B">
        <w:t>« </w:t>
      </w:r>
      <w:r w:rsidRPr="004B021B">
        <w:rPr>
          <w:lang w:val="fr-FR" w:eastAsia="fr-FR" w:bidi="fr-FR"/>
        </w:rPr>
        <w:t>A Workable Clinton Doctrine</w:t>
      </w:r>
      <w:r w:rsidRPr="004B021B">
        <w:t> »</w:t>
      </w:r>
      <w:r w:rsidRPr="004B021B">
        <w:rPr>
          <w:lang w:val="fr-FR" w:eastAsia="fr-FR" w:bidi="fr-FR"/>
        </w:rPr>
        <w:t xml:space="preserve">, </w:t>
      </w:r>
      <w:r w:rsidRPr="00CF531D">
        <w:rPr>
          <w:i/>
          <w:iCs/>
        </w:rPr>
        <w:t>Foreign Pol</w:t>
      </w:r>
      <w:r w:rsidRPr="00CF531D">
        <w:rPr>
          <w:i/>
          <w:iCs/>
        </w:rPr>
        <w:t>i</w:t>
      </w:r>
      <w:r w:rsidRPr="00CF531D">
        <w:rPr>
          <w:i/>
          <w:iCs/>
        </w:rPr>
        <w:t>cy</w:t>
      </w:r>
      <w:r w:rsidRPr="004B021B">
        <w:t>,</w:t>
      </w:r>
      <w:r w:rsidRPr="004B021B">
        <w:rPr>
          <w:lang w:val="fr-FR" w:eastAsia="fr-FR" w:bidi="fr-FR"/>
        </w:rPr>
        <w:t xml:space="preserve"> 93, hiver 1993-1994, p. 3-20.</w:t>
      </w:r>
    </w:p>
  </w:footnote>
  <w:footnote w:id="617">
    <w:p w14:paraId="33172AA4" w14:textId="77777777" w:rsidR="0039793A" w:rsidRDefault="0039793A" w:rsidP="0039793A">
      <w:pPr>
        <w:pStyle w:val="Notedebasdepage"/>
      </w:pPr>
      <w:r>
        <w:rPr>
          <w:rStyle w:val="Appelnotedebasdep"/>
        </w:rPr>
        <w:footnoteRef/>
      </w:r>
      <w:r>
        <w:tab/>
      </w:r>
      <w:r w:rsidRPr="004B021B">
        <w:rPr>
          <w:lang w:val="fr-FR" w:eastAsia="fr-FR" w:bidi="fr-FR"/>
        </w:rPr>
        <w:t xml:space="preserve">Warren P. Strobel, </w:t>
      </w:r>
      <w:r w:rsidRPr="004B021B">
        <w:t>op. cit</w:t>
      </w:r>
      <w:r w:rsidRPr="004B021B">
        <w:rPr>
          <w:lang w:val="fr-FR" w:eastAsia="fr-FR" w:bidi="fr-FR"/>
        </w:rPr>
        <w:t xml:space="preserve">., et </w:t>
      </w:r>
      <w:r w:rsidRPr="004B021B">
        <w:t>« </w:t>
      </w:r>
      <w:r w:rsidRPr="004B021B">
        <w:rPr>
          <w:lang w:val="fr-FR" w:eastAsia="fr-FR" w:bidi="fr-FR"/>
        </w:rPr>
        <w:t xml:space="preserve">The </w:t>
      </w:r>
      <w:r w:rsidRPr="004B021B">
        <w:t xml:space="preserve">CNN </w:t>
      </w:r>
      <w:r w:rsidRPr="004B021B">
        <w:rPr>
          <w:lang w:val="fr-FR" w:eastAsia="fr-FR" w:bidi="fr-FR"/>
        </w:rPr>
        <w:t>E</w:t>
      </w:r>
      <w:r w:rsidRPr="004B021B">
        <w:rPr>
          <w:lang w:val="fr-FR" w:eastAsia="fr-FR" w:bidi="fr-FR"/>
        </w:rPr>
        <w:t>f</w:t>
      </w:r>
      <w:r w:rsidRPr="004B021B">
        <w:rPr>
          <w:lang w:val="fr-FR" w:eastAsia="fr-FR" w:bidi="fr-FR"/>
        </w:rPr>
        <w:t>fect</w:t>
      </w:r>
      <w:r w:rsidRPr="004B021B">
        <w:t> :</w:t>
      </w:r>
      <w:r w:rsidRPr="004B021B">
        <w:rPr>
          <w:lang w:val="fr-FR" w:eastAsia="fr-FR" w:bidi="fr-FR"/>
        </w:rPr>
        <w:t xml:space="preserve"> Myth or Reality</w:t>
      </w:r>
      <w:r w:rsidRPr="004B021B">
        <w:t> ? »</w:t>
      </w:r>
      <w:r w:rsidRPr="004B021B">
        <w:rPr>
          <w:lang w:val="fr-FR" w:eastAsia="fr-FR" w:bidi="fr-FR"/>
        </w:rPr>
        <w:t>, dans Eugene R. Wit</w:t>
      </w:r>
      <w:r w:rsidRPr="004B021B">
        <w:rPr>
          <w:lang w:val="fr-FR" w:eastAsia="fr-FR" w:bidi="fr-FR"/>
        </w:rPr>
        <w:t>t</w:t>
      </w:r>
      <w:r w:rsidRPr="004B021B">
        <w:rPr>
          <w:lang w:val="fr-FR" w:eastAsia="fr-FR" w:bidi="fr-FR"/>
        </w:rPr>
        <w:t xml:space="preserve">kopf, James McCormick, </w:t>
      </w:r>
      <w:r w:rsidRPr="00CF531D">
        <w:rPr>
          <w:i/>
          <w:iCs/>
        </w:rPr>
        <w:t>op. cit</w:t>
      </w:r>
      <w:r w:rsidRPr="004B021B">
        <w:t>.</w:t>
      </w:r>
    </w:p>
  </w:footnote>
  <w:footnote w:id="618">
    <w:p w14:paraId="1ACB9E30" w14:textId="77777777" w:rsidR="0039793A" w:rsidRDefault="0039793A" w:rsidP="0039793A">
      <w:pPr>
        <w:pStyle w:val="Notedebasdepage"/>
      </w:pPr>
      <w:r>
        <w:rPr>
          <w:rStyle w:val="Appelnotedebasdep"/>
        </w:rPr>
        <w:footnoteRef/>
      </w:r>
      <w:r>
        <w:tab/>
      </w:r>
      <w:r w:rsidRPr="004B021B">
        <w:rPr>
          <w:lang w:val="fr-FR" w:eastAsia="fr-FR" w:bidi="fr-FR"/>
        </w:rPr>
        <w:t xml:space="preserve">James McCormick, </w:t>
      </w:r>
      <w:r w:rsidRPr="004B021B">
        <w:t>« </w:t>
      </w:r>
      <w:r w:rsidRPr="004B021B">
        <w:rPr>
          <w:lang w:val="fr-FR" w:eastAsia="fr-FR" w:bidi="fr-FR"/>
        </w:rPr>
        <w:t>Interest Groups and the Media in Post-Cod War F</w:t>
      </w:r>
      <w:r w:rsidRPr="004B021B">
        <w:rPr>
          <w:lang w:val="fr-FR" w:eastAsia="fr-FR" w:bidi="fr-FR"/>
        </w:rPr>
        <w:t>o</w:t>
      </w:r>
      <w:r w:rsidRPr="004B021B">
        <w:rPr>
          <w:lang w:val="fr-FR" w:eastAsia="fr-FR" w:bidi="fr-FR"/>
        </w:rPr>
        <w:t>reign Policy</w:t>
      </w:r>
      <w:r w:rsidRPr="004B021B">
        <w:t> »</w:t>
      </w:r>
      <w:r w:rsidRPr="004B021B">
        <w:rPr>
          <w:lang w:val="fr-FR" w:eastAsia="fr-FR" w:bidi="fr-FR"/>
        </w:rPr>
        <w:t>, dans J</w:t>
      </w:r>
      <w:r w:rsidRPr="004B021B">
        <w:rPr>
          <w:lang w:val="fr-FR" w:eastAsia="fr-FR" w:bidi="fr-FR"/>
        </w:rPr>
        <w:t>a</w:t>
      </w:r>
      <w:r w:rsidRPr="004B021B">
        <w:rPr>
          <w:lang w:val="fr-FR" w:eastAsia="fr-FR" w:bidi="fr-FR"/>
        </w:rPr>
        <w:t xml:space="preserve">mes Scott (ed.), </w:t>
      </w:r>
      <w:r w:rsidRPr="00CF531D">
        <w:rPr>
          <w:i/>
          <w:iCs/>
        </w:rPr>
        <w:t>op. cit</w:t>
      </w:r>
      <w:r w:rsidRPr="004B021B">
        <w:t>.,</w:t>
      </w:r>
      <w:r w:rsidRPr="004B021B">
        <w:rPr>
          <w:lang w:val="fr-FR" w:eastAsia="fr-FR" w:bidi="fr-FR"/>
        </w:rPr>
        <w:t xml:space="preserve"> p. 170-198.</w:t>
      </w:r>
    </w:p>
  </w:footnote>
  <w:footnote w:id="619">
    <w:p w14:paraId="10804B4B" w14:textId="77777777" w:rsidR="0039793A" w:rsidRDefault="0039793A" w:rsidP="0039793A">
      <w:pPr>
        <w:pStyle w:val="Notedebasdepage"/>
      </w:pPr>
      <w:r>
        <w:rPr>
          <w:rStyle w:val="Appelnotedebasdep"/>
        </w:rPr>
        <w:footnoteRef/>
      </w:r>
      <w:r>
        <w:tab/>
      </w:r>
      <w:r w:rsidRPr="004B021B">
        <w:rPr>
          <w:lang w:val="fr-FR" w:eastAsia="fr-FR" w:bidi="fr-FR"/>
        </w:rPr>
        <w:t xml:space="preserve">Voir David Sanger, </w:t>
      </w:r>
      <w:r w:rsidRPr="004B021B">
        <w:t>« </w:t>
      </w:r>
      <w:r w:rsidRPr="004B021B">
        <w:rPr>
          <w:lang w:val="fr-FR" w:eastAsia="fr-FR" w:bidi="fr-FR"/>
        </w:rPr>
        <w:t>North Korea Says It Has a Program on Nuclear Arms</w:t>
      </w:r>
      <w:r w:rsidRPr="004B021B">
        <w:t> »</w:t>
      </w:r>
      <w:r w:rsidRPr="004B021B">
        <w:rPr>
          <w:lang w:val="fr-FR" w:eastAsia="fr-FR" w:bidi="fr-FR"/>
        </w:rPr>
        <w:t xml:space="preserve">, </w:t>
      </w:r>
      <w:r w:rsidRPr="00C21791">
        <w:rPr>
          <w:i/>
          <w:iCs/>
        </w:rPr>
        <w:t>New York Times</w:t>
      </w:r>
      <w:r w:rsidRPr="004B021B">
        <w:rPr>
          <w:lang w:val="fr-FR" w:eastAsia="fr-FR" w:bidi="fr-FR"/>
        </w:rPr>
        <w:t>, 17 octobre 2002.</w:t>
      </w:r>
    </w:p>
  </w:footnote>
  <w:footnote w:id="620">
    <w:p w14:paraId="24D52409" w14:textId="77777777" w:rsidR="0039793A" w:rsidRDefault="0039793A" w:rsidP="0039793A">
      <w:pPr>
        <w:pStyle w:val="Notedebasdepage"/>
      </w:pPr>
      <w:r>
        <w:rPr>
          <w:rStyle w:val="Appelnotedebasdep"/>
        </w:rPr>
        <w:footnoteRef/>
      </w:r>
      <w:r>
        <w:tab/>
      </w:r>
      <w:r w:rsidRPr="004B021B">
        <w:rPr>
          <w:lang w:val="fr-FR" w:eastAsia="fr-FR" w:bidi="fr-FR"/>
        </w:rPr>
        <w:t xml:space="preserve">Robert Zoellick, </w:t>
      </w:r>
      <w:r w:rsidRPr="004B021B">
        <w:t>« </w:t>
      </w:r>
      <w:r w:rsidRPr="004B021B">
        <w:rPr>
          <w:lang w:val="fr-FR" w:eastAsia="fr-FR" w:bidi="fr-FR"/>
        </w:rPr>
        <w:t xml:space="preserve">Congress </w:t>
      </w:r>
      <w:r w:rsidRPr="004B021B">
        <w:t xml:space="preserve">and </w:t>
      </w:r>
      <w:r w:rsidRPr="004B021B">
        <w:rPr>
          <w:lang w:val="fr-FR" w:eastAsia="fr-FR" w:bidi="fr-FR"/>
        </w:rPr>
        <w:t xml:space="preserve">the Making of </w:t>
      </w:r>
      <w:r w:rsidRPr="004B021B">
        <w:t xml:space="preserve">US </w:t>
      </w:r>
      <w:r w:rsidRPr="004B021B">
        <w:rPr>
          <w:lang w:val="fr-FR" w:eastAsia="fr-FR" w:bidi="fr-FR"/>
        </w:rPr>
        <w:t>Foreign Policy</w:t>
      </w:r>
      <w:r w:rsidRPr="004B021B">
        <w:t> »</w:t>
      </w:r>
      <w:r w:rsidRPr="004B021B">
        <w:rPr>
          <w:lang w:val="fr-FR" w:eastAsia="fr-FR" w:bidi="fr-FR"/>
        </w:rPr>
        <w:t xml:space="preserve">, </w:t>
      </w:r>
      <w:r w:rsidRPr="00654975">
        <w:rPr>
          <w:i/>
          <w:iCs/>
        </w:rPr>
        <w:t>Sur- v</w:t>
      </w:r>
      <w:r w:rsidRPr="00654975">
        <w:rPr>
          <w:i/>
          <w:iCs/>
        </w:rPr>
        <w:t>i</w:t>
      </w:r>
      <w:r w:rsidRPr="00654975">
        <w:rPr>
          <w:i/>
          <w:iCs/>
        </w:rPr>
        <w:t>val</w:t>
      </w:r>
      <w:r w:rsidRPr="004B021B">
        <w:t>,</w:t>
      </w:r>
      <w:r w:rsidRPr="004B021B">
        <w:rPr>
          <w:lang w:val="fr-FR" w:eastAsia="fr-FR" w:bidi="fr-FR"/>
        </w:rPr>
        <w:t xml:space="preserve"> 41 (4), hiver 1999-2000, p. 20-41.</w:t>
      </w:r>
    </w:p>
  </w:footnote>
  <w:footnote w:id="621">
    <w:p w14:paraId="1FD4320E" w14:textId="77777777" w:rsidR="0039793A" w:rsidRDefault="0039793A" w:rsidP="0039793A">
      <w:pPr>
        <w:pStyle w:val="Notedebasdepage"/>
      </w:pPr>
      <w:r>
        <w:rPr>
          <w:rStyle w:val="Appelnotedebasdep"/>
        </w:rPr>
        <w:footnoteRef/>
      </w:r>
      <w:r>
        <w:tab/>
      </w:r>
      <w:r w:rsidRPr="004B021B">
        <w:rPr>
          <w:lang w:val="fr-FR" w:eastAsia="fr-FR" w:bidi="fr-FR"/>
        </w:rPr>
        <w:t xml:space="preserve">Jugés insuffisamment anticommunistes et rendus responsables d’avoir </w:t>
      </w:r>
      <w:r w:rsidRPr="004B021B">
        <w:t>« </w:t>
      </w:r>
      <w:r w:rsidRPr="004B021B">
        <w:rPr>
          <w:lang w:val="fr-FR" w:eastAsia="fr-FR" w:bidi="fr-FR"/>
        </w:rPr>
        <w:t>perdu la Chine</w:t>
      </w:r>
      <w:r w:rsidRPr="004B021B">
        <w:t> »</w:t>
      </w:r>
      <w:r w:rsidRPr="004B021B">
        <w:rPr>
          <w:lang w:val="fr-FR" w:eastAsia="fr-FR" w:bidi="fr-FR"/>
        </w:rPr>
        <w:t xml:space="preserve"> en la laissant tomber aux mains de Mao Zedong en 1949.</w:t>
      </w:r>
    </w:p>
  </w:footnote>
  <w:footnote w:id="622">
    <w:p w14:paraId="2A911330" w14:textId="77777777" w:rsidR="0039793A" w:rsidRDefault="0039793A" w:rsidP="0039793A">
      <w:pPr>
        <w:pStyle w:val="Notedebasdepage"/>
      </w:pPr>
      <w:r>
        <w:rPr>
          <w:rStyle w:val="Appelnotedebasdep"/>
        </w:rPr>
        <w:footnoteRef/>
      </w:r>
      <w:r>
        <w:tab/>
      </w:r>
      <w:r w:rsidRPr="004B021B">
        <w:rPr>
          <w:lang w:val="fr-FR" w:eastAsia="fr-FR" w:bidi="fr-FR"/>
        </w:rPr>
        <w:t xml:space="preserve">Henry Kissinger cité par Robert Zoellick, </w:t>
      </w:r>
      <w:r w:rsidRPr="00654975">
        <w:rPr>
          <w:i/>
          <w:iCs/>
        </w:rPr>
        <w:t>op. cit</w:t>
      </w:r>
      <w:r w:rsidRPr="004B021B">
        <w:t>.,</w:t>
      </w:r>
      <w:r w:rsidRPr="004B021B">
        <w:rPr>
          <w:lang w:val="fr-FR" w:eastAsia="fr-FR" w:bidi="fr-FR"/>
        </w:rPr>
        <w:t xml:space="preserve"> p. 24.</w:t>
      </w:r>
    </w:p>
  </w:footnote>
  <w:footnote w:id="623">
    <w:p w14:paraId="1A99D296" w14:textId="77777777" w:rsidR="0039793A" w:rsidRDefault="0039793A" w:rsidP="0039793A">
      <w:pPr>
        <w:pStyle w:val="Notedebasdepage"/>
      </w:pPr>
      <w:r>
        <w:rPr>
          <w:rStyle w:val="Appelnotedebasdep"/>
        </w:rPr>
        <w:footnoteRef/>
      </w:r>
      <w:r>
        <w:tab/>
      </w:r>
      <w:r w:rsidRPr="004B021B">
        <w:rPr>
          <w:lang w:val="fr-FR" w:eastAsia="fr-FR" w:bidi="fr-FR"/>
        </w:rPr>
        <w:t xml:space="preserve">Voir sur ce point, Richard Herrmann et Shannon Peterson, </w:t>
      </w:r>
      <w:r w:rsidRPr="004B021B">
        <w:t>« </w:t>
      </w:r>
      <w:r w:rsidRPr="004B021B">
        <w:rPr>
          <w:lang w:val="fr-FR" w:eastAsia="fr-FR" w:bidi="fr-FR"/>
        </w:rPr>
        <w:t>American P</w:t>
      </w:r>
      <w:r w:rsidRPr="004B021B">
        <w:rPr>
          <w:lang w:val="fr-FR" w:eastAsia="fr-FR" w:bidi="fr-FR"/>
        </w:rPr>
        <w:t>u</w:t>
      </w:r>
      <w:r w:rsidRPr="004B021B">
        <w:rPr>
          <w:lang w:val="fr-FR" w:eastAsia="fr-FR" w:bidi="fr-FR"/>
        </w:rPr>
        <w:t>blic Opinion and the Use of Force</w:t>
      </w:r>
      <w:r w:rsidRPr="004B021B">
        <w:t> :</w:t>
      </w:r>
      <w:r w:rsidRPr="004B021B">
        <w:rPr>
          <w:lang w:val="fr-FR" w:eastAsia="fr-FR" w:bidi="fr-FR"/>
        </w:rPr>
        <w:t xml:space="preserve"> Change or Continuity in the Post-Cold War World</w:t>
      </w:r>
      <w:r w:rsidRPr="004B021B">
        <w:t> ? »</w:t>
      </w:r>
      <w:r w:rsidRPr="004B021B">
        <w:rPr>
          <w:lang w:val="fr-FR" w:eastAsia="fr-FR" w:bidi="fr-FR"/>
        </w:rPr>
        <w:t xml:space="preserve">, dans James Lindsay et Randall Ripley (ed.), </w:t>
      </w:r>
      <w:r w:rsidRPr="008C547F">
        <w:rPr>
          <w:rStyle w:val="Notedebasdepage65ptItaliqueEspacement0pt"/>
          <w:sz w:val="24"/>
        </w:rPr>
        <w:t xml:space="preserve">US </w:t>
      </w:r>
      <w:r w:rsidRPr="008C547F">
        <w:rPr>
          <w:i/>
          <w:iCs/>
        </w:rPr>
        <w:t>Foreign Policy After the Cold War</w:t>
      </w:r>
      <w:r w:rsidRPr="004B021B">
        <w:t>,</w:t>
      </w:r>
      <w:r w:rsidRPr="004B021B">
        <w:rPr>
          <w:lang w:val="fr-FR" w:eastAsia="fr-FR" w:bidi="fr-FR"/>
        </w:rPr>
        <w:t xml:space="preserve"> Pittsburgh, University of Pittsburgh Press, 1997, p. 283-312.</w:t>
      </w:r>
    </w:p>
  </w:footnote>
  <w:footnote w:id="624">
    <w:p w14:paraId="1A30762C" w14:textId="77777777" w:rsidR="0039793A" w:rsidRDefault="0039793A" w:rsidP="0039793A">
      <w:pPr>
        <w:pStyle w:val="Notedebasdepage"/>
      </w:pPr>
      <w:r>
        <w:rPr>
          <w:rStyle w:val="Appelnotedebasdep"/>
        </w:rPr>
        <w:footnoteRef/>
      </w:r>
      <w:r>
        <w:tab/>
      </w:r>
      <w:r w:rsidRPr="004B021B">
        <w:rPr>
          <w:lang w:val="fr-FR" w:eastAsia="fr-FR" w:bidi="fr-FR"/>
        </w:rPr>
        <w:t xml:space="preserve">Sur ce point, voir Justin Vaïsse, </w:t>
      </w:r>
      <w:r w:rsidRPr="004B021B">
        <w:t>« </w:t>
      </w:r>
      <w:r w:rsidRPr="004B021B">
        <w:rPr>
          <w:lang w:val="fr-FR" w:eastAsia="fr-FR" w:bidi="fr-FR"/>
        </w:rPr>
        <w:t>Je ne savais pas les Américains un pe</w:t>
      </w:r>
      <w:r w:rsidRPr="004B021B">
        <w:rPr>
          <w:lang w:val="fr-FR" w:eastAsia="fr-FR" w:bidi="fr-FR"/>
        </w:rPr>
        <w:t>u</w:t>
      </w:r>
      <w:r w:rsidRPr="004B021B">
        <w:rPr>
          <w:lang w:val="fr-FR" w:eastAsia="fr-FR" w:bidi="fr-FR"/>
        </w:rPr>
        <w:t>ple si guerrier</w:t>
      </w:r>
      <w:r w:rsidRPr="004B021B">
        <w:t> :</w:t>
      </w:r>
      <w:r w:rsidRPr="004B021B">
        <w:rPr>
          <w:lang w:val="fr-FR" w:eastAsia="fr-FR" w:bidi="fr-FR"/>
        </w:rPr>
        <w:t xml:space="preserve"> Les États-Unis entre zéro mort, jacksonisme et maintien de l’ordre</w:t>
      </w:r>
      <w:r w:rsidRPr="004B021B">
        <w:t> »</w:t>
      </w:r>
      <w:r w:rsidRPr="004B021B">
        <w:rPr>
          <w:lang w:val="fr-FR" w:eastAsia="fr-FR" w:bidi="fr-FR"/>
        </w:rPr>
        <w:t xml:space="preserve">, dans Pierre Hassner, Roland Marchai (dir.), </w:t>
      </w:r>
      <w:r w:rsidRPr="008C547F">
        <w:rPr>
          <w:i/>
          <w:iCs/>
        </w:rPr>
        <w:t>La guerre entre le l</w:t>
      </w:r>
      <w:r w:rsidRPr="008C547F">
        <w:rPr>
          <w:i/>
          <w:iCs/>
        </w:rPr>
        <w:t>o</w:t>
      </w:r>
      <w:r w:rsidRPr="008C547F">
        <w:rPr>
          <w:i/>
          <w:iCs/>
        </w:rPr>
        <w:t>cal et le global</w:t>
      </w:r>
      <w:r w:rsidRPr="004B021B">
        <w:t>,</w:t>
      </w:r>
      <w:r w:rsidRPr="004B021B">
        <w:rPr>
          <w:lang w:val="fr-FR" w:eastAsia="fr-FR" w:bidi="fr-FR"/>
        </w:rPr>
        <w:t xml:space="preserve"> Paris, Karthala, 2003.</w:t>
      </w:r>
    </w:p>
  </w:footnote>
  <w:footnote w:id="625">
    <w:p w14:paraId="503239DE" w14:textId="77777777" w:rsidR="0039793A" w:rsidRDefault="0039793A" w:rsidP="0039793A">
      <w:pPr>
        <w:pStyle w:val="Notedebasdepage"/>
      </w:pPr>
      <w:r>
        <w:rPr>
          <w:rStyle w:val="Appelnotedebasdep"/>
        </w:rPr>
        <w:footnoteRef/>
      </w:r>
      <w:r>
        <w:tab/>
      </w:r>
      <w:r w:rsidRPr="00253D98">
        <w:t xml:space="preserve">Alexis de Tocqueville, </w:t>
      </w:r>
      <w:hyperlink r:id="rId12" w:history="1">
        <w:r w:rsidRPr="00AC40BA">
          <w:rPr>
            <w:rStyle w:val="Hyperlien"/>
            <w:i/>
            <w:iCs/>
          </w:rPr>
          <w:t>De la démocratie en Amérique</w:t>
        </w:r>
      </w:hyperlink>
      <w:r w:rsidRPr="00253D98">
        <w:t>, Paris, Gallimard, 1986 (1835).</w:t>
      </w:r>
    </w:p>
  </w:footnote>
  <w:footnote w:id="626">
    <w:p w14:paraId="31E2E938" w14:textId="77777777" w:rsidR="0039793A" w:rsidRDefault="0039793A" w:rsidP="0039793A">
      <w:pPr>
        <w:pStyle w:val="Notedebasdepage"/>
      </w:pPr>
      <w:r>
        <w:rPr>
          <w:rStyle w:val="Appelnotedebasdep"/>
        </w:rPr>
        <w:footnoteRef/>
      </w:r>
      <w:r>
        <w:tab/>
        <w:t xml:space="preserve">Voir Pierre Hassner et Justin Vaïsse, </w:t>
      </w:r>
      <w:r w:rsidRPr="002B41D8">
        <w:rPr>
          <w:i/>
          <w:iCs/>
        </w:rPr>
        <w:t>Washington et le monde. D</w:t>
      </w:r>
      <w:r w:rsidRPr="002B41D8">
        <w:rPr>
          <w:i/>
          <w:iCs/>
        </w:rPr>
        <w:t>i</w:t>
      </w:r>
      <w:r w:rsidRPr="002B41D8">
        <w:rPr>
          <w:i/>
          <w:iCs/>
        </w:rPr>
        <w:t>lemmes d’une superpuissance</w:t>
      </w:r>
      <w:r>
        <w:t xml:space="preserve">, Paris, Autrement, 2003, chap. 1, p. 11 et suiv. Sur les </w:t>
      </w:r>
      <w:r w:rsidRPr="002B41D8">
        <w:rPr>
          <w:i/>
          <w:iCs/>
        </w:rPr>
        <w:t>think tanks</w:t>
      </w:r>
      <w:r>
        <w:t>, voir notamment « The Rôle of Think Tanks In US Foreign Pol</w:t>
      </w:r>
      <w:r>
        <w:t>i</w:t>
      </w:r>
      <w:r>
        <w:t xml:space="preserve">cy », dossier spécial du journal électronique du Département d’État </w:t>
      </w:r>
      <w:r w:rsidRPr="002B41D8">
        <w:rPr>
          <w:i/>
          <w:iCs/>
        </w:rPr>
        <w:t>US</w:t>
      </w:r>
      <w:r w:rsidRPr="002B41D8">
        <w:rPr>
          <w:rStyle w:val="Notedebasdepage7ptItalique"/>
          <w:i w:val="0"/>
          <w:iCs w:val="0"/>
        </w:rPr>
        <w:t xml:space="preserve"> </w:t>
      </w:r>
      <w:r w:rsidRPr="002B41D8">
        <w:rPr>
          <w:i/>
          <w:iCs/>
        </w:rPr>
        <w:t>F</w:t>
      </w:r>
      <w:r w:rsidRPr="002B41D8">
        <w:rPr>
          <w:i/>
          <w:iCs/>
        </w:rPr>
        <w:t>o</w:t>
      </w:r>
      <w:r w:rsidRPr="002B41D8">
        <w:rPr>
          <w:i/>
          <w:iCs/>
        </w:rPr>
        <w:t>reign Policy Agenda</w:t>
      </w:r>
      <w:r>
        <w:t xml:space="preserve">. </w:t>
      </w:r>
      <w:r>
        <w:br/>
      </w:r>
      <w:r w:rsidRPr="00567C90">
        <w:rPr>
          <w:rStyle w:val="Hyperlien"/>
          <w:lang w:val="en-US" w:bidi="en-US"/>
        </w:rPr>
        <w:t>http://usinfo.state.gOv/journals/itps/</w:t>
      </w:r>
      <w:r>
        <w:rPr>
          <w:rStyle w:val="Hyperlien"/>
          <w:lang w:val="en-US" w:bidi="en-US"/>
        </w:rPr>
        <w:t>11</w:t>
      </w:r>
      <w:r w:rsidRPr="00567C90">
        <w:rPr>
          <w:rStyle w:val="Hyperlien"/>
          <w:lang w:val="en-US" w:bidi="en-US"/>
        </w:rPr>
        <w:t>02/ijpe/ijpe</w:t>
      </w:r>
      <w:r>
        <w:rPr>
          <w:rStyle w:val="Hyperlien"/>
          <w:lang w:val="en-US" w:bidi="en-US"/>
        </w:rPr>
        <w:t>11</w:t>
      </w:r>
      <w:r w:rsidRPr="00567C90">
        <w:rPr>
          <w:rStyle w:val="Hyperlien"/>
        </w:rPr>
        <w:t>02.htm</w:t>
      </w:r>
      <w:r>
        <w:rPr>
          <w:lang w:val="en-US" w:bidi="en-US"/>
        </w:rPr>
        <w:t xml:space="preserve">. </w:t>
      </w:r>
      <w:r>
        <w:t xml:space="preserve">Consulté le 25 avril 2003. Voir également James Allen Smith, </w:t>
      </w:r>
      <w:r w:rsidRPr="00567C90">
        <w:rPr>
          <w:i/>
          <w:iCs/>
        </w:rPr>
        <w:t>The Idea Br</w:t>
      </w:r>
      <w:r w:rsidRPr="00567C90">
        <w:rPr>
          <w:i/>
          <w:iCs/>
        </w:rPr>
        <w:t>o</w:t>
      </w:r>
      <w:r w:rsidRPr="00567C90">
        <w:rPr>
          <w:i/>
          <w:iCs/>
        </w:rPr>
        <w:t>kers : Think Tanks and The Rise of the New Policy Elite</w:t>
      </w:r>
      <w:r>
        <w:t xml:space="preserve">, New York, Free Press, 1993, 313 p., et Donald Abelson, </w:t>
      </w:r>
      <w:r w:rsidRPr="00F846D7">
        <w:rPr>
          <w:i/>
          <w:iCs/>
        </w:rPr>
        <w:t>American Think Tanks and Their R</w:t>
      </w:r>
      <w:r>
        <w:rPr>
          <w:i/>
          <w:iCs/>
        </w:rPr>
        <w:t>o</w:t>
      </w:r>
      <w:r w:rsidRPr="00F846D7">
        <w:rPr>
          <w:i/>
          <w:iCs/>
        </w:rPr>
        <w:t>le in</w:t>
      </w:r>
      <w:r>
        <w:rPr>
          <w:i/>
          <w:iCs/>
        </w:rPr>
        <w:t xml:space="preserve"> US </w:t>
      </w:r>
      <w:r w:rsidRPr="00F846D7">
        <w:rPr>
          <w:i/>
          <w:iCs/>
        </w:rPr>
        <w:t>F</w:t>
      </w:r>
      <w:r w:rsidRPr="00F846D7">
        <w:rPr>
          <w:i/>
          <w:iCs/>
        </w:rPr>
        <w:t>o</w:t>
      </w:r>
      <w:r w:rsidRPr="00F846D7">
        <w:rPr>
          <w:i/>
          <w:iCs/>
        </w:rPr>
        <w:t>reign Policy</w:t>
      </w:r>
      <w:r>
        <w:t>, New York, St. Martin’s, 1996, 208 p.</w:t>
      </w:r>
    </w:p>
  </w:footnote>
  <w:footnote w:id="627">
    <w:p w14:paraId="6919CE93" w14:textId="77777777" w:rsidR="0039793A" w:rsidRDefault="0039793A" w:rsidP="0039793A">
      <w:pPr>
        <w:pStyle w:val="Notedebasdepage"/>
      </w:pPr>
      <w:r>
        <w:rPr>
          <w:rStyle w:val="Appelnotedebasdep"/>
        </w:rPr>
        <w:footnoteRef/>
      </w:r>
      <w:r>
        <w:tab/>
        <w:t xml:space="preserve">La </w:t>
      </w:r>
      <w:r w:rsidRPr="00567C90">
        <w:rPr>
          <w:i/>
          <w:iCs/>
        </w:rPr>
        <w:t>Ford Foundation</w:t>
      </w:r>
      <w:r>
        <w:t xml:space="preserve">, comme le </w:t>
      </w:r>
      <w:r w:rsidRPr="00567C90">
        <w:rPr>
          <w:i/>
          <w:iCs/>
        </w:rPr>
        <w:t>Century Fund</w:t>
      </w:r>
      <w:r>
        <w:t xml:space="preserve">, sont classés dans le camp libéral ; la </w:t>
      </w:r>
      <w:r w:rsidRPr="00567C90">
        <w:rPr>
          <w:i/>
          <w:iCs/>
        </w:rPr>
        <w:t>John Olin Foundation</w:t>
      </w:r>
      <w:r>
        <w:t xml:space="preserve"> et la </w:t>
      </w:r>
      <w:r w:rsidRPr="00567C90">
        <w:rPr>
          <w:i/>
          <w:iCs/>
        </w:rPr>
        <w:t>Scaife Foundation</w:t>
      </w:r>
      <w:r>
        <w:t xml:space="preserve"> sont classées dans le camp conservateur.</w:t>
      </w:r>
    </w:p>
  </w:footnote>
  <w:footnote w:id="628">
    <w:p w14:paraId="1E16D750" w14:textId="77777777" w:rsidR="0039793A" w:rsidRDefault="0039793A">
      <w:pPr>
        <w:pStyle w:val="Notedebasdepage"/>
      </w:pPr>
      <w:r>
        <w:rPr>
          <w:rStyle w:val="Appelnotedebasdep"/>
        </w:rPr>
        <w:footnoteRef/>
      </w:r>
      <w:r>
        <w:tab/>
        <w:t xml:space="preserve">Voir Justin Vaïsse, « Petit guide des revues et des </w:t>
      </w:r>
      <w:r w:rsidRPr="00567C90">
        <w:rPr>
          <w:i/>
          <w:iCs/>
        </w:rPr>
        <w:t>think tanks</w:t>
      </w:r>
      <w:r>
        <w:t xml:space="preserve"> américains : les très riches heures des relations internationales aux États-Unis », </w:t>
      </w:r>
      <w:r w:rsidRPr="00567C90">
        <w:rPr>
          <w:i/>
          <w:iCs/>
        </w:rPr>
        <w:t>La R</w:t>
      </w:r>
      <w:r w:rsidRPr="00567C90">
        <w:rPr>
          <w:i/>
          <w:iCs/>
        </w:rPr>
        <w:t>e</w:t>
      </w:r>
      <w:r w:rsidRPr="00567C90">
        <w:rPr>
          <w:i/>
          <w:iCs/>
        </w:rPr>
        <w:t>vue internationale et stratégique</w:t>
      </w:r>
      <w:r>
        <w:t>, 34, été 1999, p. 53-64.</w:t>
      </w:r>
    </w:p>
  </w:footnote>
  <w:footnote w:id="629">
    <w:p w14:paraId="6D4EDFD7" w14:textId="77777777" w:rsidR="0039793A" w:rsidRDefault="0039793A" w:rsidP="0039793A">
      <w:pPr>
        <w:pStyle w:val="Notedebasdepage"/>
      </w:pPr>
      <w:r>
        <w:rPr>
          <w:rStyle w:val="Appelnotedebasdep"/>
        </w:rPr>
        <w:footnoteRef/>
      </w:r>
      <w:r>
        <w:tab/>
      </w:r>
      <w:r w:rsidRPr="003343EF">
        <w:t xml:space="preserve">La RAND est un </w:t>
      </w:r>
      <w:r w:rsidRPr="00931843">
        <w:rPr>
          <w:i/>
          <w:iCs/>
        </w:rPr>
        <w:t>think tank</w:t>
      </w:r>
      <w:r w:rsidRPr="003343EF">
        <w:t xml:space="preserve"> important, basé à Santa Monica (C</w:t>
      </w:r>
      <w:r w:rsidRPr="003343EF">
        <w:t>a</w:t>
      </w:r>
      <w:r w:rsidRPr="003343EF">
        <w:t>lifornie), essentiellement financé par des contrats publics, et qui mène non seulement des programmes de recherche dans les affaires intern</w:t>
      </w:r>
      <w:r w:rsidRPr="003343EF">
        <w:t>a</w:t>
      </w:r>
      <w:r w:rsidRPr="003343EF">
        <w:t>tionales et militaires, mais aussi des jeux de guerre (</w:t>
      </w:r>
      <w:r w:rsidRPr="00931843">
        <w:rPr>
          <w:i/>
          <w:iCs/>
        </w:rPr>
        <w:t>war games</w:t>
      </w:r>
      <w:r w:rsidRPr="003343EF">
        <w:t>), et possède une expertise techn</w:t>
      </w:r>
      <w:r w:rsidRPr="003343EF">
        <w:t>o</w:t>
      </w:r>
      <w:r w:rsidRPr="003343EF">
        <w:t>logique avancée.</w:t>
      </w:r>
    </w:p>
  </w:footnote>
  <w:footnote w:id="630">
    <w:p w14:paraId="05EE3BC3" w14:textId="77777777" w:rsidR="0039793A" w:rsidRDefault="0039793A" w:rsidP="0039793A">
      <w:pPr>
        <w:pStyle w:val="Notedebasdepage"/>
      </w:pPr>
      <w:r>
        <w:rPr>
          <w:rStyle w:val="Appelnotedebasdep"/>
        </w:rPr>
        <w:footnoteRef/>
      </w:r>
      <w:r>
        <w:tab/>
        <w:t xml:space="preserve">La différence est en effet ténue entre les </w:t>
      </w:r>
      <w:r w:rsidRPr="0090140C">
        <w:rPr>
          <w:i/>
          <w:iCs/>
        </w:rPr>
        <w:t>think tanks</w:t>
      </w:r>
      <w:r>
        <w:t xml:space="preserve"> et les lo</w:t>
      </w:r>
      <w:r>
        <w:t>b</w:t>
      </w:r>
      <w:r>
        <w:t xml:space="preserve">bies. Elle tient essentiellement à sa dimension fiscale : le statut de centre de recherche des </w:t>
      </w:r>
      <w:r w:rsidRPr="0090140C">
        <w:rPr>
          <w:i/>
          <w:iCs/>
        </w:rPr>
        <w:t>think tanks</w:t>
      </w:r>
      <w:r>
        <w:t xml:space="preserve"> leur permet de bénéficier d’exonérations fiscales — s’agissant notamment d’impôts sur les s</w:t>
      </w:r>
      <w:r>
        <w:t>o</w:t>
      </w:r>
      <w:r>
        <w:t>ciétés - ce qui n’est pas le cas des sociétés de lobbying.</w:t>
      </w:r>
    </w:p>
  </w:footnote>
  <w:footnote w:id="631">
    <w:p w14:paraId="1F7756AC" w14:textId="77777777" w:rsidR="0039793A" w:rsidRDefault="0039793A">
      <w:pPr>
        <w:pStyle w:val="Notedebasdepage"/>
      </w:pPr>
      <w:r>
        <w:rPr>
          <w:rStyle w:val="Appelnotedebasdep"/>
        </w:rPr>
        <w:footnoteRef/>
      </w:r>
      <w:r>
        <w:tab/>
        <w:t xml:space="preserve">Voir sur ce point, par exemple, William Martin, « The Christian Right and American Foreign Policy », </w:t>
      </w:r>
      <w:r w:rsidRPr="00B212EB">
        <w:rPr>
          <w:i/>
          <w:iCs/>
        </w:rPr>
        <w:t>Foreign Policy</w:t>
      </w:r>
      <w:r>
        <w:t>, 114, printemps 1999, p. 66-80.</w:t>
      </w:r>
    </w:p>
  </w:footnote>
  <w:footnote w:id="632">
    <w:p w14:paraId="4044CC1E" w14:textId="77777777" w:rsidR="0039793A" w:rsidRDefault="0039793A" w:rsidP="0039793A">
      <w:pPr>
        <w:pStyle w:val="Notedebasdepage"/>
      </w:pPr>
      <w:r>
        <w:rPr>
          <w:rStyle w:val="Appelnotedebasdep"/>
        </w:rPr>
        <w:footnoteRef/>
      </w:r>
      <w:r>
        <w:tab/>
        <w:t xml:space="preserve">Voir l’interview avec Moses Naim, « Lori’s War », </w:t>
      </w:r>
      <w:r w:rsidRPr="009223C1">
        <w:rPr>
          <w:i/>
          <w:iCs/>
        </w:rPr>
        <w:t>Foreign Pol</w:t>
      </w:r>
      <w:r w:rsidRPr="009223C1">
        <w:rPr>
          <w:i/>
          <w:iCs/>
        </w:rPr>
        <w:t>i</w:t>
      </w:r>
      <w:r w:rsidRPr="009223C1">
        <w:rPr>
          <w:i/>
          <w:iCs/>
        </w:rPr>
        <w:t>cy</w:t>
      </w:r>
      <w:r>
        <w:t>, 118, printemps 2000, p. 29-56.</w:t>
      </w:r>
    </w:p>
  </w:footnote>
  <w:footnote w:id="633">
    <w:p w14:paraId="2A576741" w14:textId="77777777" w:rsidR="0039793A" w:rsidRDefault="0039793A" w:rsidP="0039793A">
      <w:pPr>
        <w:pStyle w:val="Notedebasdepage"/>
      </w:pPr>
      <w:r>
        <w:rPr>
          <w:rStyle w:val="Appelnotedebasdep"/>
        </w:rPr>
        <w:footnoteRef/>
      </w:r>
      <w:r>
        <w:tab/>
        <w:t xml:space="preserve">Voir Tony Smith, </w:t>
      </w:r>
      <w:r w:rsidRPr="009223C1">
        <w:rPr>
          <w:i/>
          <w:iCs/>
        </w:rPr>
        <w:t>Foreign Attachements. The Power of Ethni</w:t>
      </w:r>
      <w:r>
        <w:rPr>
          <w:i/>
          <w:iCs/>
        </w:rPr>
        <w:t>c</w:t>
      </w:r>
      <w:r w:rsidRPr="009223C1">
        <w:rPr>
          <w:i/>
          <w:iCs/>
        </w:rPr>
        <w:t xml:space="preserve"> Groups in the Making of American Foreign Policy</w:t>
      </w:r>
      <w:r>
        <w:t>, Cambridge, Ha</w:t>
      </w:r>
      <w:r>
        <w:t>r</w:t>
      </w:r>
      <w:r>
        <w:t>vard University Press, 2000, 190 p.</w:t>
      </w:r>
    </w:p>
  </w:footnote>
  <w:footnote w:id="634">
    <w:p w14:paraId="7620DF9C" w14:textId="77777777" w:rsidR="0039793A" w:rsidRDefault="0039793A" w:rsidP="0039793A">
      <w:pPr>
        <w:pStyle w:val="Notedebasdepage"/>
      </w:pPr>
      <w:r>
        <w:rPr>
          <w:rStyle w:val="Appelnotedebasdep"/>
        </w:rPr>
        <w:footnoteRef/>
      </w:r>
      <w:r>
        <w:tab/>
        <w:t xml:space="preserve">Jeffrey Birnbaum, enquêtes annuelles dans le magazine </w:t>
      </w:r>
      <w:r w:rsidRPr="009223C1">
        <w:rPr>
          <w:i/>
          <w:iCs/>
        </w:rPr>
        <w:t>Fort</w:t>
      </w:r>
      <w:r w:rsidRPr="009223C1">
        <w:rPr>
          <w:i/>
          <w:iCs/>
        </w:rPr>
        <w:t>u</w:t>
      </w:r>
      <w:r w:rsidRPr="009223C1">
        <w:rPr>
          <w:i/>
          <w:iCs/>
        </w:rPr>
        <w:t>ne</w:t>
      </w:r>
      <w:r>
        <w:t xml:space="preserve">. Voir, par exemple « The Influence Merchants », </w:t>
      </w:r>
      <w:r w:rsidRPr="009223C1">
        <w:rPr>
          <w:i/>
          <w:iCs/>
        </w:rPr>
        <w:t>Fortune</w:t>
      </w:r>
      <w:r>
        <w:t>, 7 d</w:t>
      </w:r>
      <w:r>
        <w:t>é</w:t>
      </w:r>
      <w:r>
        <w:t>cembre 1998, p. 134.</w:t>
      </w:r>
    </w:p>
  </w:footnote>
  <w:footnote w:id="635">
    <w:p w14:paraId="662F49F2" w14:textId="77777777" w:rsidR="0039793A" w:rsidRDefault="0039793A">
      <w:pPr>
        <w:pStyle w:val="Notedebasdepage"/>
      </w:pPr>
      <w:r>
        <w:rPr>
          <w:rStyle w:val="Appelnotedebasdep"/>
        </w:rPr>
        <w:footnoteRef/>
      </w:r>
      <w:r>
        <w:tab/>
        <w:t xml:space="preserve">« Battle Lines in Washington and Africa », </w:t>
      </w:r>
      <w:r w:rsidRPr="00CC0416">
        <w:rPr>
          <w:i/>
          <w:iCs/>
        </w:rPr>
        <w:t>Africa Confidential</w:t>
      </w:r>
      <w:r>
        <w:t>, 40 (7), avril 1999, p. 1.</w:t>
      </w:r>
    </w:p>
  </w:footnote>
  <w:footnote w:id="636">
    <w:p w14:paraId="3F34C6DE" w14:textId="77777777" w:rsidR="0039793A" w:rsidRDefault="0039793A" w:rsidP="0039793A">
      <w:pPr>
        <w:pStyle w:val="Notedebasdepage"/>
      </w:pPr>
      <w:r>
        <w:rPr>
          <w:rStyle w:val="Appelnotedebasdep"/>
        </w:rPr>
        <w:footnoteRef/>
      </w:r>
      <w:r>
        <w:tab/>
        <w:t xml:space="preserve">Yossi Shain, </w:t>
      </w:r>
      <w:r w:rsidRPr="00073A35">
        <w:rPr>
          <w:i/>
          <w:iCs/>
        </w:rPr>
        <w:t>Marketing the American Creed Abroad. Diasporas in the US and their Homelands</w:t>
      </w:r>
      <w:r>
        <w:t>, Cambridge, Cambridge University Press, 1999, 294 p.</w:t>
      </w:r>
    </w:p>
  </w:footnote>
  <w:footnote w:id="637">
    <w:p w14:paraId="66BE1973" w14:textId="77777777" w:rsidR="0039793A" w:rsidRDefault="0039793A" w:rsidP="0039793A">
      <w:pPr>
        <w:pStyle w:val="Notedebasdepage"/>
      </w:pPr>
      <w:r>
        <w:rPr>
          <w:rStyle w:val="Appelnotedebasdep"/>
        </w:rPr>
        <w:footnoteRef/>
      </w:r>
      <w:r>
        <w:tab/>
        <w:t>Robert Kaiser, Steven Mufson, « US Business Lobby Poised for China Tr</w:t>
      </w:r>
      <w:r>
        <w:t>a</w:t>
      </w:r>
      <w:r>
        <w:t xml:space="preserve">de Deal », </w:t>
      </w:r>
      <w:r w:rsidRPr="00073A35">
        <w:rPr>
          <w:i/>
          <w:iCs/>
        </w:rPr>
        <w:t>The Washington Post</w:t>
      </w:r>
      <w:r>
        <w:t>, 14 novembre 1999.</w:t>
      </w:r>
    </w:p>
  </w:footnote>
  <w:footnote w:id="638">
    <w:p w14:paraId="25E332B6" w14:textId="77777777" w:rsidR="0039793A" w:rsidRDefault="0039793A" w:rsidP="0039793A">
      <w:pPr>
        <w:pStyle w:val="Notedebasdepage"/>
      </w:pPr>
      <w:r>
        <w:rPr>
          <w:rStyle w:val="Appelnotedebasdep"/>
        </w:rPr>
        <w:footnoteRef/>
      </w:r>
      <w:r>
        <w:tab/>
        <w:t xml:space="preserve">Tony Smith, </w:t>
      </w:r>
      <w:r w:rsidRPr="001A69B2">
        <w:rPr>
          <w:i/>
          <w:iCs/>
        </w:rPr>
        <w:t>op. cit</w:t>
      </w:r>
      <w:r>
        <w:t>. ; et Dan Morgan, Kevin Merinda, « South Asia Rivals Had Money on South Dakota Senate Race ; Ethnic D</w:t>
      </w:r>
      <w:r>
        <w:t>o</w:t>
      </w:r>
      <w:r>
        <w:t xml:space="preserve">nors Play Powerful Role in US Politics », </w:t>
      </w:r>
      <w:r w:rsidRPr="001A69B2">
        <w:rPr>
          <w:i/>
          <w:iCs/>
        </w:rPr>
        <w:t>The Washington Post</w:t>
      </w:r>
      <w:r>
        <w:t>, 24 mars 1997.</w:t>
      </w:r>
    </w:p>
  </w:footnote>
  <w:footnote w:id="639">
    <w:p w14:paraId="181D331B" w14:textId="77777777" w:rsidR="0039793A" w:rsidRDefault="0039793A" w:rsidP="0039793A">
      <w:pPr>
        <w:pStyle w:val="Notedebasdepage"/>
      </w:pPr>
      <w:r>
        <w:rPr>
          <w:rStyle w:val="Appelnotedebasdep"/>
        </w:rPr>
        <w:footnoteRef/>
      </w:r>
      <w:r>
        <w:tab/>
        <w:t xml:space="preserve">Tony Smith, </w:t>
      </w:r>
      <w:r w:rsidRPr="001A69B2">
        <w:rPr>
          <w:i/>
          <w:iCs/>
        </w:rPr>
        <w:t>op. cit</w:t>
      </w:r>
      <w:r>
        <w:t>., p. 99.</w:t>
      </w:r>
    </w:p>
  </w:footnote>
  <w:footnote w:id="640">
    <w:p w14:paraId="333E551F" w14:textId="77777777" w:rsidR="0039793A" w:rsidRDefault="0039793A" w:rsidP="0039793A">
      <w:pPr>
        <w:pStyle w:val="Notedebasdepage"/>
      </w:pPr>
      <w:r>
        <w:rPr>
          <w:rStyle w:val="Appelnotedebasdep"/>
        </w:rPr>
        <w:footnoteRef/>
      </w:r>
      <w:r>
        <w:tab/>
        <w:t xml:space="preserve">Yossi Shaibn, </w:t>
      </w:r>
      <w:r>
        <w:rPr>
          <w:i/>
        </w:rPr>
        <w:t>op. cit.,</w:t>
      </w:r>
      <w:r>
        <w:t xml:space="preserve"> p. 75.</w:t>
      </w:r>
    </w:p>
  </w:footnote>
  <w:footnote w:id="641">
    <w:p w14:paraId="79545695" w14:textId="77777777" w:rsidR="0039793A" w:rsidRDefault="0039793A" w:rsidP="0039793A">
      <w:pPr>
        <w:pStyle w:val="Notedebasdepage"/>
      </w:pPr>
      <w:r>
        <w:rPr>
          <w:rStyle w:val="Appelnotedebasdep"/>
        </w:rPr>
        <w:footnoteRef/>
      </w:r>
      <w:r>
        <w:tab/>
        <w:t xml:space="preserve">Tony Smith, </w:t>
      </w:r>
      <w:r w:rsidRPr="00DB4DB9">
        <w:rPr>
          <w:i/>
          <w:iCs/>
        </w:rPr>
        <w:t>op. cit</w:t>
      </w:r>
      <w:r>
        <w:t>., p. 96. On notera qu’en France, contrairement à la situ</w:t>
      </w:r>
      <w:r>
        <w:t>a</w:t>
      </w:r>
      <w:r>
        <w:t>tion qui prévaut aux États-Unis, la collecte de statist</w:t>
      </w:r>
      <w:r>
        <w:t>i</w:t>
      </w:r>
      <w:r>
        <w:t>ques (telles que les sondages) à partir du critère ethnique est interdite.</w:t>
      </w:r>
    </w:p>
  </w:footnote>
  <w:footnote w:id="642">
    <w:p w14:paraId="338A878B" w14:textId="77777777" w:rsidR="0039793A" w:rsidRDefault="0039793A" w:rsidP="0039793A">
      <w:pPr>
        <w:pStyle w:val="Notedebasdepage"/>
      </w:pPr>
      <w:r>
        <w:rPr>
          <w:rStyle w:val="Appelnotedebasdep"/>
        </w:rPr>
        <w:footnoteRef/>
      </w:r>
      <w:r>
        <w:tab/>
        <w:t xml:space="preserve">Eric Schmitt, « Hispanic Voter Is Vivid In Parties’ Crystal Ball », </w:t>
      </w:r>
      <w:r w:rsidRPr="00DB4DB9">
        <w:rPr>
          <w:i/>
          <w:iCs/>
        </w:rPr>
        <w:t>New York Times</w:t>
      </w:r>
      <w:r>
        <w:t>, 9 avril 2001, A 14.</w:t>
      </w:r>
    </w:p>
  </w:footnote>
  <w:footnote w:id="643">
    <w:p w14:paraId="647EAB3F" w14:textId="77777777" w:rsidR="0039793A" w:rsidRDefault="0039793A" w:rsidP="0039793A">
      <w:pPr>
        <w:pStyle w:val="Notedebasdepage"/>
      </w:pPr>
      <w:r>
        <w:rPr>
          <w:rStyle w:val="Appelnotedebasdep"/>
        </w:rPr>
        <w:footnoteRef/>
      </w:r>
      <w:r>
        <w:tab/>
        <w:t xml:space="preserve">L’expression </w:t>
      </w:r>
      <w:r w:rsidRPr="00064510">
        <w:rPr>
          <w:i/>
          <w:iCs/>
        </w:rPr>
        <w:t>soft money</w:t>
      </w:r>
      <w:r>
        <w:t xml:space="preserve"> désigne les sommes recueillies ou d</w:t>
      </w:r>
      <w:r>
        <w:t>é</w:t>
      </w:r>
      <w:r>
        <w:t xml:space="preserve">pensées à des fins politiques hors du cadre fixé par le </w:t>
      </w:r>
      <w:r w:rsidRPr="00064510">
        <w:rPr>
          <w:i/>
          <w:iCs/>
        </w:rPr>
        <w:t>Federal Election Campaign Act</w:t>
      </w:r>
      <w:r>
        <w:t xml:space="preserve"> de 1971 (loi amendée en 1974, 1976, 1979 et 2002) grâce à diverses niches j</w:t>
      </w:r>
      <w:r>
        <w:t>u</w:t>
      </w:r>
      <w:r>
        <w:t>ridiques. Par exemple, l’argent des contrib</w:t>
      </w:r>
      <w:r>
        <w:t>u</w:t>
      </w:r>
      <w:r>
        <w:t xml:space="preserve">tions, géré sur un compte non fédéral (donc régulé par une loi d’État) n’a pas de lien organique avec le candidat à une élection fédérale alors que, en réalité, il profite directement à sa campagne. En théorie, la loi de 2002 a fait disparaître l’essentiel du </w:t>
      </w:r>
      <w:r w:rsidRPr="00064510">
        <w:rPr>
          <w:i/>
          <w:iCs/>
        </w:rPr>
        <w:t>soft money</w:t>
      </w:r>
      <w:r>
        <w:t>, mais cette pratique demeure cependant grâce aux nouvelles chicanes trouvées par les professionnels et une commission électorale (FEC) peu so</w:t>
      </w:r>
      <w:r>
        <w:t>u</w:t>
      </w:r>
      <w:r>
        <w:t>cieuse d’appuyer les intentions des promoteurs de la loi.</w:t>
      </w:r>
    </w:p>
  </w:footnote>
  <w:footnote w:id="644">
    <w:p w14:paraId="6A7C823A" w14:textId="77777777" w:rsidR="0039793A" w:rsidRDefault="0039793A" w:rsidP="0039793A">
      <w:pPr>
        <w:pStyle w:val="Notedebasdepage"/>
      </w:pPr>
      <w:r>
        <w:rPr>
          <w:rStyle w:val="Appelnotedebasdep"/>
        </w:rPr>
        <w:footnoteRef/>
      </w:r>
      <w:r>
        <w:tab/>
        <w:t xml:space="preserve">Voir Anthony Corrado, Thomas Mann, Trevor Potter (eds), </w:t>
      </w:r>
      <w:r w:rsidRPr="00064510">
        <w:rPr>
          <w:i/>
          <w:iCs/>
        </w:rPr>
        <w:t>Inside the Ca</w:t>
      </w:r>
      <w:r w:rsidRPr="00064510">
        <w:rPr>
          <w:i/>
          <w:iCs/>
        </w:rPr>
        <w:t>m</w:t>
      </w:r>
      <w:r w:rsidRPr="00064510">
        <w:rPr>
          <w:i/>
          <w:iCs/>
        </w:rPr>
        <w:t>paign Finance Battle. Court Testimony on the New R</w:t>
      </w:r>
      <w:r w:rsidRPr="00064510">
        <w:rPr>
          <w:i/>
          <w:iCs/>
        </w:rPr>
        <w:t>e</w:t>
      </w:r>
      <w:r w:rsidRPr="00064510">
        <w:rPr>
          <w:i/>
          <w:iCs/>
        </w:rPr>
        <w:t>form</w:t>
      </w:r>
      <w:r>
        <w:t>, Washington DC, Brookings Institution Press, 2003, 333 p.</w:t>
      </w:r>
    </w:p>
  </w:footnote>
  <w:footnote w:id="645">
    <w:p w14:paraId="459CCBF4" w14:textId="77777777" w:rsidR="0039793A" w:rsidRDefault="0039793A" w:rsidP="0039793A">
      <w:pPr>
        <w:pStyle w:val="Notedebasdepage"/>
      </w:pPr>
      <w:r>
        <w:rPr>
          <w:rStyle w:val="Appelnotedebasdep"/>
        </w:rPr>
        <w:footnoteRef/>
      </w:r>
      <w:r>
        <w:tab/>
        <w:t xml:space="preserve">Estimations du Center for Responsive Politics citées par Tony Smith, </w:t>
      </w:r>
      <w:r w:rsidRPr="00F7215A">
        <w:rPr>
          <w:i/>
          <w:iCs/>
        </w:rPr>
        <w:t>op. cit</w:t>
      </w:r>
      <w:r>
        <w:t>., p. 103.</w:t>
      </w:r>
    </w:p>
  </w:footnote>
  <w:footnote w:id="646">
    <w:p w14:paraId="2B492429" w14:textId="77777777" w:rsidR="0039793A" w:rsidRDefault="0039793A" w:rsidP="0039793A">
      <w:pPr>
        <w:pStyle w:val="Notedebasdepage"/>
      </w:pPr>
      <w:r>
        <w:rPr>
          <w:rStyle w:val="Appelnotedebasdep"/>
        </w:rPr>
        <w:footnoteRef/>
      </w:r>
      <w:r>
        <w:tab/>
        <w:t xml:space="preserve">Voir Anne-Marie Malavielle, Xavier Pasco et Isabelle Sourbès-Verger, </w:t>
      </w:r>
      <w:r w:rsidRPr="00F7215A">
        <w:rPr>
          <w:i/>
          <w:iCs/>
        </w:rPr>
        <w:t>E</w:t>
      </w:r>
      <w:r w:rsidRPr="00F7215A">
        <w:rPr>
          <w:i/>
          <w:iCs/>
        </w:rPr>
        <w:t>s</w:t>
      </w:r>
      <w:r w:rsidRPr="00F7215A">
        <w:rPr>
          <w:i/>
          <w:iCs/>
        </w:rPr>
        <w:t>pace et puissance</w:t>
      </w:r>
      <w:r>
        <w:t>, Paris, Ellipses-Fondation pour la R</w:t>
      </w:r>
      <w:r>
        <w:t>e</w:t>
      </w:r>
      <w:r>
        <w:t>cherche stratégique, 1999, 204 p.</w:t>
      </w:r>
    </w:p>
  </w:footnote>
  <w:footnote w:id="647">
    <w:p w14:paraId="2FFD0E8A" w14:textId="77777777" w:rsidR="0039793A" w:rsidRDefault="0039793A" w:rsidP="0039793A">
      <w:pPr>
        <w:pStyle w:val="Notedebasdepage"/>
      </w:pPr>
      <w:r>
        <w:rPr>
          <w:rStyle w:val="Appelnotedebasdep"/>
        </w:rPr>
        <w:footnoteRef/>
      </w:r>
      <w:r>
        <w:tab/>
        <w:t xml:space="preserve">Ces donations représentent en effet près de 2 millions de dollars de 1995 à 1999, d’après les chiffres de </w:t>
      </w:r>
      <w:r w:rsidRPr="00F7215A">
        <w:rPr>
          <w:i/>
          <w:iCs/>
        </w:rPr>
        <w:t>Common Cause</w:t>
      </w:r>
      <w:r>
        <w:t>. Données di</w:t>
      </w:r>
      <w:r>
        <w:t>s</w:t>
      </w:r>
      <w:r>
        <w:t xml:space="preserve">ponibles en ligne, </w:t>
      </w:r>
      <w:hyperlink r:id="rId13" w:history="1">
        <w:r w:rsidRPr="007F5348">
          <w:rPr>
            <w:rStyle w:val="Hyperlien"/>
          </w:rPr>
          <w:t>http://www.commoncause.org/laundromat/</w:t>
        </w:r>
      </w:hyperlink>
      <w:r>
        <w:t xml:space="preserve">. </w:t>
      </w:r>
      <w:r w:rsidRPr="003343EF">
        <w:t>Consu</w:t>
      </w:r>
      <w:r w:rsidRPr="003343EF">
        <w:t>l</w:t>
      </w:r>
      <w:r w:rsidRPr="003343EF">
        <w:t>té</w:t>
      </w:r>
      <w:r>
        <w:t xml:space="preserve"> le 2 mai 2003.</w:t>
      </w:r>
    </w:p>
  </w:footnote>
  <w:footnote w:id="648">
    <w:p w14:paraId="1A238F37" w14:textId="77777777" w:rsidR="0039793A" w:rsidRDefault="0039793A" w:rsidP="0039793A">
      <w:pPr>
        <w:pStyle w:val="Notedebasdepage"/>
      </w:pPr>
      <w:r>
        <w:rPr>
          <w:rStyle w:val="Appelnotedebasdep"/>
        </w:rPr>
        <w:footnoteRef/>
      </w:r>
      <w:r>
        <w:tab/>
        <w:t xml:space="preserve">Xavier Pasco, </w:t>
      </w:r>
      <w:r>
        <w:rPr>
          <w:i/>
        </w:rPr>
        <w:t xml:space="preserve">op. cit., </w:t>
      </w:r>
      <w:r>
        <w:t>p. 27.</w:t>
      </w:r>
    </w:p>
  </w:footnote>
  <w:footnote w:id="649">
    <w:p w14:paraId="6139E49B" w14:textId="77777777" w:rsidR="0039793A" w:rsidRDefault="0039793A" w:rsidP="0039793A">
      <w:pPr>
        <w:pStyle w:val="Notedebasdepage"/>
      </w:pPr>
      <w:r>
        <w:rPr>
          <w:rStyle w:val="Appelnotedebasdep"/>
        </w:rPr>
        <w:footnoteRef/>
      </w:r>
      <w:r>
        <w:tab/>
        <w:t xml:space="preserve">Jeffrey H. Birnbaum, « The Kings of K Street », </w:t>
      </w:r>
      <w:r w:rsidRPr="00FF3FD1">
        <w:rPr>
          <w:i/>
          <w:iCs/>
        </w:rPr>
        <w:t>Fortune</w:t>
      </w:r>
      <w:r>
        <w:t>, 7 d</w:t>
      </w:r>
      <w:r>
        <w:t>é</w:t>
      </w:r>
      <w:r>
        <w:t>cembre 1998, p. 14.</w:t>
      </w:r>
    </w:p>
  </w:footnote>
  <w:footnote w:id="650">
    <w:p w14:paraId="0503EDEC" w14:textId="77777777" w:rsidR="0039793A" w:rsidRDefault="0039793A" w:rsidP="0039793A">
      <w:pPr>
        <w:pStyle w:val="Notedebasdepage"/>
      </w:pPr>
      <w:r>
        <w:rPr>
          <w:rStyle w:val="Appelnotedebasdep"/>
        </w:rPr>
        <w:footnoteRef/>
      </w:r>
      <w:r>
        <w:tab/>
        <w:t xml:space="preserve">À la différence du pantouflage, qui désigne la migration d’un agent public vers le secteur privé (dans des conditions légales ou non), la </w:t>
      </w:r>
      <w:r w:rsidRPr="00FF3FD1">
        <w:rPr>
          <w:i/>
          <w:iCs/>
        </w:rPr>
        <w:t>revolving door</w:t>
      </w:r>
      <w:r>
        <w:t xml:space="preserve"> fonctionne dans les deux sens : alternance régulière de postes privés et p</w:t>
      </w:r>
      <w:r>
        <w:t>u</w:t>
      </w:r>
      <w:r>
        <w:t>blics.</w:t>
      </w:r>
    </w:p>
  </w:footnote>
  <w:footnote w:id="651">
    <w:p w14:paraId="02CB2186" w14:textId="77777777" w:rsidR="0039793A" w:rsidRDefault="0039793A" w:rsidP="0039793A">
      <w:pPr>
        <w:pStyle w:val="Notedebasdepage"/>
      </w:pPr>
      <w:r>
        <w:rPr>
          <w:rStyle w:val="Appelnotedebasdep"/>
        </w:rPr>
        <w:footnoteRef/>
      </w:r>
      <w:r>
        <w:tab/>
        <w:t xml:space="preserve">Cette catégorie est reprise de Tony Smith, </w:t>
      </w:r>
      <w:r w:rsidRPr="00FF3FD1">
        <w:rPr>
          <w:i/>
          <w:iCs/>
        </w:rPr>
        <w:t>op. cit</w:t>
      </w:r>
      <w:r>
        <w:t>., p. 109.</w:t>
      </w:r>
    </w:p>
  </w:footnote>
  <w:footnote w:id="652">
    <w:p w14:paraId="45D1BA4A" w14:textId="77777777" w:rsidR="0039793A" w:rsidRDefault="0039793A" w:rsidP="0039793A">
      <w:pPr>
        <w:pStyle w:val="Notedebasdepage"/>
      </w:pPr>
      <w:r>
        <w:rPr>
          <w:rStyle w:val="Appelnotedebasdep"/>
        </w:rPr>
        <w:footnoteRef/>
      </w:r>
      <w:r>
        <w:tab/>
        <w:t xml:space="preserve">Jeffrey H. Birnbaum, </w:t>
      </w:r>
      <w:r w:rsidRPr="00FF3FD1">
        <w:rPr>
          <w:i/>
          <w:iCs/>
        </w:rPr>
        <w:t>op. cit</w:t>
      </w:r>
      <w:r>
        <w:t>., p. 15.</w:t>
      </w:r>
    </w:p>
  </w:footnote>
  <w:footnote w:id="653">
    <w:p w14:paraId="19E493F6" w14:textId="77777777" w:rsidR="0039793A" w:rsidRDefault="0039793A">
      <w:pPr>
        <w:pStyle w:val="Notedebasdepage"/>
      </w:pPr>
      <w:r>
        <w:rPr>
          <w:rStyle w:val="Appelnotedebasdep"/>
        </w:rPr>
        <w:footnoteRef/>
      </w:r>
      <w:r>
        <w:tab/>
        <w:t xml:space="preserve">Tony Smith, </w:t>
      </w:r>
      <w:r>
        <w:rPr>
          <w:i/>
        </w:rPr>
        <w:t>op. cit.,</w:t>
      </w:r>
      <w:r>
        <w:t xml:space="preserve"> p. 122.</w:t>
      </w:r>
    </w:p>
  </w:footnote>
  <w:footnote w:id="654">
    <w:p w14:paraId="710CFE22" w14:textId="77777777" w:rsidR="0039793A" w:rsidRDefault="0039793A" w:rsidP="0039793A">
      <w:pPr>
        <w:pStyle w:val="Notedebasdepage"/>
      </w:pPr>
      <w:r>
        <w:rPr>
          <w:rStyle w:val="Appelnotedebasdep"/>
        </w:rPr>
        <w:footnoteRef/>
      </w:r>
      <w:r>
        <w:tab/>
        <w:t xml:space="preserve">Shawn Zeller, « Seeking and End to Sanctions », </w:t>
      </w:r>
      <w:r w:rsidRPr="003A27C5">
        <w:rPr>
          <w:i/>
          <w:iCs/>
        </w:rPr>
        <w:t>The National Journal</w:t>
      </w:r>
      <w:r>
        <w:t>, 24 juin 2000.</w:t>
      </w:r>
    </w:p>
  </w:footnote>
  <w:footnote w:id="655">
    <w:p w14:paraId="1A7E6048" w14:textId="77777777" w:rsidR="0039793A" w:rsidRDefault="0039793A" w:rsidP="0039793A">
      <w:pPr>
        <w:pStyle w:val="Notedebasdepage"/>
      </w:pPr>
      <w:r>
        <w:rPr>
          <w:rStyle w:val="Appelnotedebasdep"/>
        </w:rPr>
        <w:footnoteRef/>
      </w:r>
      <w:r>
        <w:tab/>
        <w:t>Shawn Zeller, art. cité.</w:t>
      </w:r>
    </w:p>
  </w:footnote>
  <w:footnote w:id="656">
    <w:p w14:paraId="7D405C6E" w14:textId="77777777" w:rsidR="0039793A" w:rsidRDefault="0039793A" w:rsidP="0039793A">
      <w:pPr>
        <w:pStyle w:val="Notedebasdepage"/>
      </w:pPr>
      <w:r>
        <w:rPr>
          <w:rStyle w:val="Appelnotedebasdep"/>
        </w:rPr>
        <w:footnoteRef/>
      </w:r>
      <w:r>
        <w:tab/>
        <w:t>« Restriction on assistance to Azerbaijan. United States assista</w:t>
      </w:r>
      <w:r>
        <w:t>n</w:t>
      </w:r>
      <w:r>
        <w:t>ce under this or any other Act (other than assistance under title V of this Act) may not be provided to the Government of Azerbaijan until the President determines, and so reports to the Congress, that the G</w:t>
      </w:r>
      <w:r>
        <w:t>o</w:t>
      </w:r>
      <w:r>
        <w:t>vernment of Azerbaijan is taking demonstrable steps to cease all blo</w:t>
      </w:r>
      <w:r>
        <w:t>c</w:t>
      </w:r>
      <w:r>
        <w:t>kades and other offensive uses of force against Armenia and Nagorno-Karabakh. »</w:t>
      </w:r>
    </w:p>
  </w:footnote>
  <w:footnote w:id="657">
    <w:p w14:paraId="2926E398" w14:textId="77777777" w:rsidR="0039793A" w:rsidRDefault="0039793A" w:rsidP="0039793A">
      <w:pPr>
        <w:pStyle w:val="Notedebasdepage"/>
      </w:pPr>
      <w:r>
        <w:rPr>
          <w:rStyle w:val="Appelnotedebasdep"/>
        </w:rPr>
        <w:footnoteRef/>
      </w:r>
      <w:r>
        <w:tab/>
      </w:r>
      <w:r w:rsidRPr="009D72E5">
        <w:rPr>
          <w:i/>
          <w:iCs/>
        </w:rPr>
        <w:t>International Herald Tribune</w:t>
      </w:r>
      <w:r>
        <w:t>, 10 février 1999.</w:t>
      </w:r>
    </w:p>
  </w:footnote>
  <w:footnote w:id="658">
    <w:p w14:paraId="53F60CF8" w14:textId="77777777" w:rsidR="0039793A" w:rsidRDefault="0039793A" w:rsidP="0039793A">
      <w:pPr>
        <w:pStyle w:val="Notedebasdepage"/>
      </w:pPr>
      <w:r>
        <w:rPr>
          <w:rStyle w:val="Appelnotedebasdep"/>
        </w:rPr>
        <w:footnoteRef/>
      </w:r>
      <w:r>
        <w:tab/>
      </w:r>
      <w:r w:rsidRPr="005E6320">
        <w:t xml:space="preserve">James Goldgeier, </w:t>
      </w:r>
      <w:r w:rsidRPr="009D72E5">
        <w:rPr>
          <w:i/>
          <w:iCs/>
        </w:rPr>
        <w:t>Not Whether But When : the US Decision to Enlarge N</w:t>
      </w:r>
      <w:r w:rsidRPr="009D72E5">
        <w:rPr>
          <w:i/>
          <w:iCs/>
        </w:rPr>
        <w:t>A</w:t>
      </w:r>
      <w:r w:rsidRPr="009D72E5">
        <w:rPr>
          <w:i/>
          <w:iCs/>
        </w:rPr>
        <w:t>TO</w:t>
      </w:r>
      <w:r w:rsidRPr="005E6320">
        <w:t>, Brookings Institution Press, 1999, 218 p.</w:t>
      </w:r>
      <w:r>
        <w:t> </w:t>
      </w:r>
      <w:r w:rsidRPr="005E6320">
        <w:t>; voir aussi son article, «</w:t>
      </w:r>
      <w:r>
        <w:t> </w:t>
      </w:r>
      <w:r w:rsidRPr="005E6320">
        <w:t>NATO Expansion</w:t>
      </w:r>
      <w:r>
        <w:t> </w:t>
      </w:r>
      <w:r w:rsidRPr="005E6320">
        <w:t>: the Anatomy of a Decision</w:t>
      </w:r>
      <w:r>
        <w:t> </w:t>
      </w:r>
      <w:r w:rsidRPr="005E6320">
        <w:t xml:space="preserve">», </w:t>
      </w:r>
      <w:r w:rsidRPr="005E6320">
        <w:rPr>
          <w:i/>
        </w:rPr>
        <w:t>The Washington Qua</w:t>
      </w:r>
      <w:r w:rsidRPr="005E6320">
        <w:rPr>
          <w:i/>
        </w:rPr>
        <w:t>r</w:t>
      </w:r>
      <w:r w:rsidRPr="005E6320">
        <w:rPr>
          <w:i/>
        </w:rPr>
        <w:t>terly</w:t>
      </w:r>
      <w:r w:rsidRPr="005E6320">
        <w:t>, 21 (1), hiver 1998, p. 85-103.</w:t>
      </w:r>
    </w:p>
  </w:footnote>
  <w:footnote w:id="659">
    <w:p w14:paraId="215C5C43" w14:textId="77777777" w:rsidR="0039793A" w:rsidRDefault="0039793A" w:rsidP="0039793A">
      <w:pPr>
        <w:pStyle w:val="Notedebasdepage"/>
      </w:pPr>
      <w:r>
        <w:rPr>
          <w:rStyle w:val="Appelnotedebasdep"/>
        </w:rPr>
        <w:footnoteRef/>
      </w:r>
      <w:r>
        <w:tab/>
        <w:t xml:space="preserve">Sur cette alliance triangulaire, voir Hedrick Smith, </w:t>
      </w:r>
      <w:r w:rsidRPr="00532779">
        <w:rPr>
          <w:i/>
          <w:iCs/>
        </w:rPr>
        <w:t>The Power Game, How Washington Works</w:t>
      </w:r>
      <w:r>
        <w:t>, New York, Randhom House, 2</w:t>
      </w:r>
      <w:r w:rsidRPr="00532779">
        <w:rPr>
          <w:vertAlign w:val="superscript"/>
        </w:rPr>
        <w:t>è</w:t>
      </w:r>
      <w:r>
        <w:t xml:space="preserve"> éd., 1996, 793 p.</w:t>
      </w:r>
    </w:p>
  </w:footnote>
  <w:footnote w:id="660">
    <w:p w14:paraId="6F4C4BD5" w14:textId="77777777" w:rsidR="0039793A" w:rsidRDefault="0039793A" w:rsidP="0039793A">
      <w:pPr>
        <w:pStyle w:val="Notedebasdepage"/>
      </w:pPr>
      <w:r>
        <w:rPr>
          <w:rStyle w:val="Appelnotedebasdep"/>
        </w:rPr>
        <w:footnoteRef/>
      </w:r>
      <w:r>
        <w:tab/>
        <w:t>Il faut en effet relativiser l’influence du complexe militaro-industriel. D’abord, c’est un « lobby » divisé. Ensuite, le pouvoir bu</w:t>
      </w:r>
      <w:r>
        <w:t>d</w:t>
      </w:r>
      <w:r>
        <w:t>gétaire demeure aux mains des parlementaires, dont certains sont pa</w:t>
      </w:r>
      <w:r>
        <w:t>r</w:t>
      </w:r>
      <w:r>
        <w:t>fois, pour des raisons idéologiques, moins perméables au lobbying. Enfin, le lobby militaro-industriel ne peut aller durablement à l’encontre de l’opinion publique, m</w:t>
      </w:r>
      <w:r>
        <w:t>ê</w:t>
      </w:r>
      <w:r>
        <w:t xml:space="preserve">me si cette dernière est travaillée par les </w:t>
      </w:r>
      <w:r w:rsidRPr="00532779">
        <w:rPr>
          <w:i/>
          <w:iCs/>
        </w:rPr>
        <w:t>think tanks</w:t>
      </w:r>
      <w:r>
        <w:t xml:space="preserve"> et la presse.</w:t>
      </w:r>
    </w:p>
  </w:footnote>
  <w:footnote w:id="661">
    <w:p w14:paraId="5D060DE2" w14:textId="77777777" w:rsidR="0039793A" w:rsidRDefault="0039793A">
      <w:pPr>
        <w:pStyle w:val="Notedebasdepage"/>
      </w:pPr>
      <w:r>
        <w:rPr>
          <w:rStyle w:val="Appelnotedebasdep"/>
        </w:rPr>
        <w:footnoteRef/>
      </w:r>
      <w:r>
        <w:tab/>
        <w:t xml:space="preserve">Voir sur ce point, Sébastien Barthe, « Missiles et antimissiles : une nouvelle course folle ? », dans Charles-Philippe David, </w:t>
      </w:r>
      <w:r w:rsidRPr="00532779">
        <w:rPr>
          <w:i/>
          <w:iCs/>
        </w:rPr>
        <w:t>Repenser la sécurité. Nouve</w:t>
      </w:r>
      <w:r w:rsidRPr="00532779">
        <w:rPr>
          <w:i/>
          <w:iCs/>
        </w:rPr>
        <w:t>l</w:t>
      </w:r>
      <w:r w:rsidRPr="00532779">
        <w:rPr>
          <w:i/>
          <w:iCs/>
        </w:rPr>
        <w:t>les menaces, nouvelles politiques</w:t>
      </w:r>
      <w:r>
        <w:t>, Montréal, Fidès, 2000, p. 135-152.</w:t>
      </w:r>
    </w:p>
  </w:footnote>
  <w:footnote w:id="662">
    <w:p w14:paraId="4C4F7955" w14:textId="77777777" w:rsidR="0039793A" w:rsidRDefault="0039793A" w:rsidP="0039793A">
      <w:pPr>
        <w:pStyle w:val="Notedebasdepage"/>
      </w:pPr>
      <w:r>
        <w:rPr>
          <w:rStyle w:val="Appelnotedebasdep"/>
        </w:rPr>
        <w:footnoteRef/>
      </w:r>
      <w:r>
        <w:tab/>
        <w:t>Dan Morgan, Kevin Merinda, art. cité.</w:t>
      </w:r>
    </w:p>
  </w:footnote>
  <w:footnote w:id="663">
    <w:p w14:paraId="1FEE90BE" w14:textId="77777777" w:rsidR="0039793A" w:rsidRDefault="0039793A" w:rsidP="0039793A">
      <w:pPr>
        <w:pStyle w:val="Notedebasdepage"/>
      </w:pPr>
      <w:r>
        <w:rPr>
          <w:rStyle w:val="Appelnotedebasdep"/>
        </w:rPr>
        <w:footnoteRef/>
      </w:r>
      <w:r>
        <w:tab/>
        <w:t xml:space="preserve">Samuel P. Huntington, « The Erosion of American National Interests », </w:t>
      </w:r>
      <w:r w:rsidRPr="002B51D8">
        <w:rPr>
          <w:i/>
          <w:iCs/>
        </w:rPr>
        <w:t>F</w:t>
      </w:r>
      <w:r w:rsidRPr="002B51D8">
        <w:rPr>
          <w:i/>
          <w:iCs/>
        </w:rPr>
        <w:t>o</w:t>
      </w:r>
      <w:r w:rsidRPr="002B51D8">
        <w:rPr>
          <w:i/>
          <w:iCs/>
        </w:rPr>
        <w:t>reign Affairs</w:t>
      </w:r>
      <w:r>
        <w:t>, septembre-octobre 1997, p. 28-49, et James Schlesinger, « Fragmentation and Hubris. A Shaky Basis for Amer</w:t>
      </w:r>
      <w:r>
        <w:t>i</w:t>
      </w:r>
      <w:r>
        <w:t xml:space="preserve">can Leadership », </w:t>
      </w:r>
      <w:r w:rsidRPr="002B51D8">
        <w:rPr>
          <w:i/>
          <w:iCs/>
        </w:rPr>
        <w:t>The National Interest</w:t>
      </w:r>
      <w:r>
        <w:t>, 49, automne 1997, p. 3-13.</w:t>
      </w:r>
    </w:p>
  </w:footnote>
  <w:footnote w:id="664">
    <w:p w14:paraId="1E337ADA" w14:textId="77777777" w:rsidR="0039793A" w:rsidRDefault="0039793A" w:rsidP="0039793A">
      <w:pPr>
        <w:pStyle w:val="Notedebasdepage"/>
      </w:pPr>
      <w:r>
        <w:rPr>
          <w:rStyle w:val="Appelnotedebasdep"/>
        </w:rPr>
        <w:footnoteRef/>
      </w:r>
      <w:r>
        <w:tab/>
        <w:t xml:space="preserve">Yossi Shain, </w:t>
      </w:r>
      <w:r w:rsidRPr="0031221C">
        <w:rPr>
          <w:i/>
          <w:iCs/>
        </w:rPr>
        <w:t>op. cit</w:t>
      </w:r>
      <w:r>
        <w:t>., p. 196 et suiv.</w:t>
      </w:r>
    </w:p>
  </w:footnote>
  <w:footnote w:id="665">
    <w:p w14:paraId="37FCCF05" w14:textId="77777777" w:rsidR="0039793A" w:rsidRDefault="0039793A" w:rsidP="0039793A">
      <w:pPr>
        <w:pStyle w:val="Notedebasdepage"/>
      </w:pPr>
      <w:r>
        <w:rPr>
          <w:rStyle w:val="Appelnotedebasdep"/>
        </w:rPr>
        <w:footnoteRef/>
      </w:r>
      <w:r>
        <w:tab/>
        <w:t xml:space="preserve">Yossi Shain, </w:t>
      </w:r>
      <w:r w:rsidRPr="0031221C">
        <w:rPr>
          <w:i/>
          <w:iCs/>
        </w:rPr>
        <w:t>op. cit</w:t>
      </w:r>
      <w:r>
        <w:t>., p. 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6B51" w14:textId="77777777" w:rsidR="0039793A" w:rsidRDefault="0039793A" w:rsidP="0039793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 politique étrangère des Etats-Unis. Fondements, acteurs, formulation</w:t>
    </w:r>
    <w:r w:rsidRPr="00C90835">
      <w:rPr>
        <w:rFonts w:ascii="Times New Roman" w:hAnsi="Times New Roman"/>
      </w:rPr>
      <w:t xml:space="preserve"> </w:t>
    </w:r>
    <w:r>
      <w:rPr>
        <w:rFonts w:ascii="Times New Roman" w:hAnsi="Times New Roman"/>
      </w:rPr>
      <w:t>(2003)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429</w:t>
    </w:r>
    <w:r>
      <w:rPr>
        <w:rStyle w:val="Numrodepage"/>
        <w:rFonts w:ascii="Times New Roman" w:hAnsi="Times New Roman"/>
      </w:rPr>
      <w:fldChar w:fldCharType="end"/>
    </w:r>
  </w:p>
  <w:p w14:paraId="482CCD81" w14:textId="77777777" w:rsidR="0039793A" w:rsidRDefault="0039793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1E0C"/>
    <w:multiLevelType w:val="hybridMultilevel"/>
    <w:tmpl w:val="8B54B8D6"/>
    <w:lvl w:ilvl="0" w:tplc="F936396E">
      <w:start w:val="3"/>
      <w:numFmt w:val="bullet"/>
      <w:lvlText w:val="—"/>
      <w:lvlJc w:val="left"/>
      <w:pPr>
        <w:ind w:left="1100" w:hanging="74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365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9793A"/>
    <w:rsid w:val="0049777F"/>
    <w:rsid w:val="00540BA1"/>
    <w:rsid w:val="008818C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1DA8F8"/>
  <w15:chartTrackingRefBased/>
  <w15:docId w15:val="{99061A96-41DD-7144-8FA1-BCC8943C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97723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642210"/>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07CFF"/>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302787"/>
    <w:pPr>
      <w:ind w:firstLine="0"/>
      <w:jc w:val="left"/>
    </w:pPr>
    <w:rPr>
      <w:b/>
      <w:i/>
      <w:iCs/>
      <w:color w:val="FF0000"/>
      <w:lang w:eastAsia="fr-FR" w:bidi="fr-FR"/>
    </w:rPr>
  </w:style>
  <w:style w:type="paragraph" w:customStyle="1" w:styleId="c">
    <w:name w:val="c"/>
    <w:basedOn w:val="Normal0"/>
    <w:autoRedefine/>
    <w:rsid w:val="00C64F69"/>
    <w:pPr>
      <w:keepLines/>
      <w:ind w:firstLine="0"/>
      <w:jc w:val="center"/>
    </w:pPr>
    <w:rPr>
      <w:color w:val="FF0000"/>
      <w:lang w:eastAsia="fr-FR" w:bidi="fr-FR"/>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1">
    <w:name w:val="Title_st 1"/>
    <w:basedOn w:val="Titlest"/>
    <w:autoRedefine/>
    <w:rsid w:val="00907CFF"/>
    <w:pPr>
      <w:spacing w:before="120"/>
    </w:pPr>
    <w:rPr>
      <w:i/>
      <w:sz w:val="48"/>
    </w:rPr>
  </w:style>
  <w:style w:type="character" w:customStyle="1" w:styleId="Titre1Car">
    <w:name w:val="Titre 1 Car"/>
    <w:link w:val="Titre1"/>
    <w:rsid w:val="00E26E4A"/>
    <w:rPr>
      <w:rFonts w:eastAsia="Times New Roman"/>
      <w:noProof/>
      <w:lang w:val="fr-CA" w:eastAsia="en-US" w:bidi="ar-SA"/>
    </w:rPr>
  </w:style>
  <w:style w:type="character" w:customStyle="1" w:styleId="Titre2Car">
    <w:name w:val="Titre 2 Car"/>
    <w:link w:val="Titre2"/>
    <w:rsid w:val="00E26E4A"/>
    <w:rPr>
      <w:rFonts w:eastAsia="Times New Roman"/>
      <w:noProof/>
      <w:lang w:val="fr-CA" w:eastAsia="en-US" w:bidi="ar-SA"/>
    </w:rPr>
  </w:style>
  <w:style w:type="character" w:customStyle="1" w:styleId="Titre3Car">
    <w:name w:val="Titre 3 Car"/>
    <w:link w:val="Titre3"/>
    <w:rsid w:val="00E26E4A"/>
    <w:rPr>
      <w:rFonts w:eastAsia="Times New Roman"/>
      <w:noProof/>
      <w:lang w:val="fr-CA" w:eastAsia="en-US" w:bidi="ar-SA"/>
    </w:rPr>
  </w:style>
  <w:style w:type="character" w:customStyle="1" w:styleId="Titre4Car">
    <w:name w:val="Titre 4 Car"/>
    <w:link w:val="Titre4"/>
    <w:rsid w:val="00E26E4A"/>
    <w:rPr>
      <w:rFonts w:eastAsia="Times New Roman"/>
      <w:noProof/>
      <w:lang w:val="fr-CA" w:eastAsia="en-US" w:bidi="ar-SA"/>
    </w:rPr>
  </w:style>
  <w:style w:type="character" w:customStyle="1" w:styleId="Titre5Car">
    <w:name w:val="Titre 5 Car"/>
    <w:link w:val="Titre5"/>
    <w:rsid w:val="00E26E4A"/>
    <w:rPr>
      <w:rFonts w:eastAsia="Times New Roman"/>
      <w:noProof/>
      <w:lang w:val="fr-CA" w:eastAsia="en-US" w:bidi="ar-SA"/>
    </w:rPr>
  </w:style>
  <w:style w:type="character" w:customStyle="1" w:styleId="Titre6Car">
    <w:name w:val="Titre 6 Car"/>
    <w:link w:val="Titre6"/>
    <w:rsid w:val="00E26E4A"/>
    <w:rPr>
      <w:rFonts w:eastAsia="Times New Roman"/>
      <w:noProof/>
      <w:lang w:val="fr-CA" w:eastAsia="en-US" w:bidi="ar-SA"/>
    </w:rPr>
  </w:style>
  <w:style w:type="character" w:customStyle="1" w:styleId="Titre7Car">
    <w:name w:val="Titre 7 Car"/>
    <w:link w:val="Titre7"/>
    <w:rsid w:val="00E26E4A"/>
    <w:rPr>
      <w:rFonts w:eastAsia="Times New Roman"/>
      <w:noProof/>
      <w:lang w:val="fr-CA" w:eastAsia="en-US" w:bidi="ar-SA"/>
    </w:rPr>
  </w:style>
  <w:style w:type="character" w:customStyle="1" w:styleId="Titre8Car">
    <w:name w:val="Titre 8 Car"/>
    <w:link w:val="Titre8"/>
    <w:rsid w:val="00E26E4A"/>
    <w:rPr>
      <w:rFonts w:eastAsia="Times New Roman"/>
      <w:noProof/>
      <w:lang w:val="fr-CA" w:eastAsia="en-US" w:bidi="ar-SA"/>
    </w:rPr>
  </w:style>
  <w:style w:type="character" w:customStyle="1" w:styleId="Titre9Car">
    <w:name w:val="Titre 9 Car"/>
    <w:link w:val="Titre9"/>
    <w:rsid w:val="00E26E4A"/>
    <w:rPr>
      <w:rFonts w:eastAsia="Times New Roman"/>
      <w:noProof/>
      <w:lang w:val="fr-CA" w:eastAsia="en-US" w:bidi="ar-SA"/>
    </w:rPr>
  </w:style>
  <w:style w:type="paragraph" w:customStyle="1" w:styleId="aa">
    <w:name w:val="aa"/>
    <w:basedOn w:val="Normal"/>
    <w:autoRedefine/>
    <w:rsid w:val="00E26E4A"/>
    <w:pPr>
      <w:spacing w:before="120" w:after="120"/>
      <w:jc w:val="both"/>
    </w:pPr>
    <w:rPr>
      <w:b/>
      <w:i/>
      <w:color w:val="FF0000"/>
      <w:sz w:val="32"/>
    </w:rPr>
  </w:style>
  <w:style w:type="paragraph" w:customStyle="1" w:styleId="b">
    <w:name w:val="b"/>
    <w:basedOn w:val="Normal"/>
    <w:autoRedefine/>
    <w:rsid w:val="00E26E4A"/>
    <w:pPr>
      <w:spacing w:before="120" w:after="120"/>
      <w:ind w:left="720"/>
    </w:pPr>
    <w:rPr>
      <w:i/>
      <w:color w:val="0000FF"/>
    </w:rPr>
  </w:style>
  <w:style w:type="paragraph" w:customStyle="1" w:styleId="bb">
    <w:name w:val="bb"/>
    <w:basedOn w:val="Normal"/>
    <w:rsid w:val="00E26E4A"/>
    <w:pPr>
      <w:spacing w:before="120" w:after="120"/>
      <w:ind w:left="540"/>
    </w:pPr>
    <w:rPr>
      <w:i/>
      <w:color w:val="0000FF"/>
    </w:rPr>
  </w:style>
  <w:style w:type="paragraph" w:customStyle="1" w:styleId="TableauGrille21">
    <w:name w:val="Tableau Grille 21"/>
    <w:basedOn w:val="Normal"/>
    <w:rsid w:val="00E26E4A"/>
    <w:pPr>
      <w:ind w:left="360" w:hanging="360"/>
    </w:pPr>
    <w:rPr>
      <w:sz w:val="20"/>
    </w:rPr>
  </w:style>
  <w:style w:type="character" w:customStyle="1" w:styleId="Notedebasdepage265ptNonItalique">
    <w:name w:val="Note de bas de page (2) + 6.5 pt;Non Italique"/>
    <w:rsid w:val="00E26E4A"/>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otedebasdepage65ptItalique">
    <w:name w:val="Note de bas de page + 6.5 pt;Italique"/>
    <w:rsid w:val="00E26E4A"/>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otedebasdepage7ptPetitesmajuscules">
    <w:name w:val="Note de bas de page + 7 pt;Petites majuscules"/>
    <w:rsid w:val="00E26E4A"/>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105ptItalique">
    <w:name w:val="Note de bas de page + 10.5 pt;Italique"/>
    <w:rsid w:val="00E26E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Grillecouleur-Accent1Car">
    <w:name w:val="Grille couleur - Accent 1 Car"/>
    <w:link w:val="Grillemoyenne2-Accent2"/>
    <w:rsid w:val="00E26E4A"/>
    <w:rPr>
      <w:rFonts w:ascii="Times New Roman" w:eastAsia="Times New Roman" w:hAnsi="Times New Roman" w:cs="Times New Roman"/>
      <w:color w:val="000080"/>
      <w:sz w:val="28"/>
      <w:lang w:val="fr-CA" w:eastAsia="en-US"/>
    </w:rPr>
  </w:style>
  <w:style w:type="character" w:customStyle="1" w:styleId="Notedebasdepage95ptItalique">
    <w:name w:val="Note de bas de page + 9.5 pt;Italique"/>
    <w:rsid w:val="00E26E4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65ptItaliqueEspacement1pt">
    <w:name w:val="Note de bas de page + 6.5 pt;Italique;Espacement 1 pt"/>
    <w:rsid w:val="00E26E4A"/>
    <w:rPr>
      <w:rFonts w:ascii="Times New Roman" w:eastAsia="Times New Roman" w:hAnsi="Times New Roman" w:cs="Times New Roman"/>
      <w:b w:val="0"/>
      <w:bCs w:val="0"/>
      <w:i/>
      <w:iCs/>
      <w:smallCaps w:val="0"/>
      <w:strike w:val="0"/>
      <w:color w:val="000000"/>
      <w:spacing w:val="20"/>
      <w:w w:val="100"/>
      <w:position w:val="0"/>
      <w:sz w:val="13"/>
      <w:szCs w:val="13"/>
      <w:u w:val="none"/>
      <w:lang w:val="fr-FR" w:eastAsia="fr-FR" w:bidi="fr-FR"/>
    </w:rPr>
  </w:style>
  <w:style w:type="character" w:customStyle="1" w:styleId="CorpsdetexteCar">
    <w:name w:val="Corps de texte Car"/>
    <w:link w:val="Corpsdetexte"/>
    <w:rsid w:val="00E26E4A"/>
    <w:rPr>
      <w:rFonts w:ascii="Times New Roman" w:eastAsia="Times New Roman" w:hAnsi="Times New Roman"/>
      <w:sz w:val="72"/>
      <w:lang w:val="fr-CA" w:eastAsia="en-US"/>
    </w:rPr>
  </w:style>
  <w:style w:type="paragraph" w:styleId="Corpsdetexte2">
    <w:name w:val="Body Text 2"/>
    <w:basedOn w:val="Normal"/>
    <w:link w:val="Corpsdetexte2Car"/>
    <w:rsid w:val="00E26E4A"/>
    <w:pPr>
      <w:jc w:val="both"/>
    </w:pPr>
    <w:rPr>
      <w:rFonts w:ascii="Arial" w:hAnsi="Arial"/>
    </w:rPr>
  </w:style>
  <w:style w:type="character" w:customStyle="1" w:styleId="Corpsdetexte2Car">
    <w:name w:val="Corps de texte 2 Car"/>
    <w:basedOn w:val="Policepardfaut"/>
    <w:link w:val="Corpsdetexte2"/>
    <w:rsid w:val="00E26E4A"/>
    <w:rPr>
      <w:rFonts w:ascii="Arial" w:eastAsia="Times New Roman" w:hAnsi="Arial"/>
      <w:sz w:val="28"/>
      <w:lang w:val="fr-CA" w:eastAsia="en-US"/>
    </w:rPr>
  </w:style>
  <w:style w:type="paragraph" w:styleId="Corpsdetexte3">
    <w:name w:val="Body Text 3"/>
    <w:basedOn w:val="Normal"/>
    <w:link w:val="Corpsdetexte3Car"/>
    <w:rsid w:val="00E26E4A"/>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E26E4A"/>
    <w:rPr>
      <w:rFonts w:ascii="Arial" w:eastAsia="Times New Roman" w:hAnsi="Arial"/>
      <w:lang w:val="fr-CA" w:eastAsia="en-US"/>
    </w:rPr>
  </w:style>
  <w:style w:type="paragraph" w:customStyle="1" w:styleId="dd">
    <w:name w:val="dd"/>
    <w:basedOn w:val="Normal"/>
    <w:autoRedefine/>
    <w:rsid w:val="00E26E4A"/>
    <w:pPr>
      <w:spacing w:before="120" w:after="120"/>
      <w:ind w:left="1080"/>
    </w:pPr>
    <w:rPr>
      <w:i/>
      <w:color w:val="008000"/>
    </w:rPr>
  </w:style>
  <w:style w:type="character" w:customStyle="1" w:styleId="En-tteCar">
    <w:name w:val="En-tête Car"/>
    <w:link w:val="En-tte"/>
    <w:uiPriority w:val="99"/>
    <w:rsid w:val="00E26E4A"/>
    <w:rPr>
      <w:rFonts w:ascii="GillSans" w:eastAsia="Times New Roman" w:hAnsi="GillSans"/>
      <w:lang w:val="fr-CA" w:eastAsia="en-US"/>
    </w:rPr>
  </w:style>
  <w:style w:type="paragraph" w:customStyle="1" w:styleId="figlgende">
    <w:name w:val="fig légende"/>
    <w:basedOn w:val="Normal0"/>
    <w:rsid w:val="00E26E4A"/>
    <w:rPr>
      <w:color w:val="000090"/>
      <w:sz w:val="24"/>
      <w:szCs w:val="16"/>
      <w:lang w:eastAsia="fr-FR"/>
    </w:rPr>
  </w:style>
  <w:style w:type="paragraph" w:customStyle="1" w:styleId="figst">
    <w:name w:val="fig st"/>
    <w:basedOn w:val="Normal"/>
    <w:autoRedefine/>
    <w:rsid w:val="00E26E4A"/>
    <w:pPr>
      <w:spacing w:before="120" w:after="120"/>
      <w:jc w:val="center"/>
    </w:pPr>
    <w:rPr>
      <w:rFonts w:cs="Arial"/>
      <w:color w:val="000090"/>
      <w:szCs w:val="16"/>
    </w:rPr>
  </w:style>
  <w:style w:type="character" w:customStyle="1" w:styleId="En-tte313ptNonItalique">
    <w:name w:val="En-tête #3 + 13 pt;Non Italique"/>
    <w:rsid w:val="00E26E4A"/>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paragraph" w:customStyle="1" w:styleId="figtitre">
    <w:name w:val="fig titre"/>
    <w:basedOn w:val="Normal"/>
    <w:autoRedefine/>
    <w:rsid w:val="00E26E4A"/>
    <w:pPr>
      <w:spacing w:before="120" w:after="120"/>
      <w:jc w:val="center"/>
    </w:pPr>
    <w:rPr>
      <w:rFonts w:cs="Arial"/>
      <w:b/>
      <w:bCs/>
      <w:szCs w:val="12"/>
    </w:rPr>
  </w:style>
  <w:style w:type="character" w:customStyle="1" w:styleId="TM3Car">
    <w:name w:val="TM 3 Car"/>
    <w:link w:val="TM3"/>
    <w:rsid w:val="00E26E4A"/>
    <w:rPr>
      <w:rFonts w:ascii="Times New Roman" w:eastAsia="Times New Roman" w:hAnsi="Times New Roman"/>
      <w:sz w:val="19"/>
      <w:szCs w:val="19"/>
      <w:shd w:val="clear" w:color="auto" w:fill="FFFFFF"/>
    </w:rPr>
  </w:style>
  <w:style w:type="paragraph" w:styleId="TM3">
    <w:name w:val="toc 3"/>
    <w:basedOn w:val="Normal"/>
    <w:link w:val="TM3Car"/>
    <w:autoRedefine/>
    <w:rsid w:val="00E26E4A"/>
    <w:pPr>
      <w:widowControl w:val="0"/>
      <w:shd w:val="clear" w:color="auto" w:fill="FFFFFF"/>
      <w:spacing w:line="0" w:lineRule="atLeast"/>
      <w:ind w:hanging="10"/>
      <w:jc w:val="both"/>
    </w:pPr>
    <w:rPr>
      <w:sz w:val="19"/>
      <w:szCs w:val="19"/>
      <w:lang w:val="x-none" w:eastAsia="x-none"/>
    </w:rPr>
  </w:style>
  <w:style w:type="character" w:customStyle="1" w:styleId="Tabledesmatires105ptItalique">
    <w:name w:val="Table des matières + 10.5 pt;Italique"/>
    <w:rsid w:val="00E26E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105pt">
    <w:name w:val="Table des matières + 10.5 pt"/>
    <w:rsid w:val="00E26E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abledesmatiresPetitesmajuscules">
    <w:name w:val="Table des matières + Petites majuscules"/>
    <w:rsid w:val="00E26E4A"/>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Tabledesmatires85pt">
    <w:name w:val="Table des matières + 8.5 pt"/>
    <w:rsid w:val="00E26E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Italique">
    <w:name w:val="Table des matières + Italique"/>
    <w:rsid w:val="00E26E4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4ptNonItalique">
    <w:name w:val="En-tête ou pied de page + 4 pt;Non Italique"/>
    <w:rsid w:val="00E26E4A"/>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Tabledesmatires4">
    <w:name w:val="Table des matières (4)_"/>
    <w:link w:val="Tabledesmatires40"/>
    <w:rsid w:val="00E26E4A"/>
    <w:rPr>
      <w:rFonts w:ascii="Times New Roman" w:eastAsia="Times New Roman" w:hAnsi="Times New Roman"/>
      <w:i/>
      <w:iCs/>
      <w:sz w:val="19"/>
      <w:szCs w:val="19"/>
      <w:shd w:val="clear" w:color="auto" w:fill="FFFFFF"/>
    </w:rPr>
  </w:style>
  <w:style w:type="paragraph" w:customStyle="1" w:styleId="Tabledesmatires40">
    <w:name w:val="Table des matières (4)"/>
    <w:basedOn w:val="Normal"/>
    <w:link w:val="Tabledesmatires4"/>
    <w:rsid w:val="00E26E4A"/>
    <w:pPr>
      <w:widowControl w:val="0"/>
      <w:shd w:val="clear" w:color="auto" w:fill="FFFFFF"/>
      <w:spacing w:before="420" w:after="180" w:line="0" w:lineRule="atLeast"/>
      <w:jc w:val="center"/>
    </w:pPr>
    <w:rPr>
      <w:i/>
      <w:iCs/>
      <w:sz w:val="19"/>
      <w:szCs w:val="19"/>
      <w:lang w:val="x-none" w:eastAsia="x-none"/>
    </w:rPr>
  </w:style>
  <w:style w:type="character" w:customStyle="1" w:styleId="Corpsdutexte4105ptItalique">
    <w:name w:val="Corps du texte (4) + 10.5 pt;Italique"/>
    <w:rsid w:val="00E26E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NotedebasdepageCar">
    <w:name w:val="Note de bas de page Car"/>
    <w:link w:val="Notedebasdepage"/>
    <w:rsid w:val="00E26E4A"/>
    <w:rPr>
      <w:rFonts w:ascii="Times New Roman" w:eastAsia="Times New Roman" w:hAnsi="Times New Roman"/>
      <w:color w:val="000000"/>
      <w:sz w:val="24"/>
      <w:lang w:val="fr-CA" w:eastAsia="en-US"/>
    </w:rPr>
  </w:style>
  <w:style w:type="character" w:customStyle="1" w:styleId="En-tteoupieddepage410ptItalique">
    <w:name w:val="En-tête ou pied de page (4) + 10 pt;Italique"/>
    <w:rsid w:val="00E26E4A"/>
    <w:rPr>
      <w:rFonts w:ascii="Times New Roman" w:eastAsia="Times New Roman" w:hAnsi="Times New Roman" w:cs="Times New Roman"/>
      <w:b w:val="0"/>
      <w:bCs w:val="0"/>
      <w:i/>
      <w:iCs/>
      <w:smallCaps w:val="0"/>
      <w:strike w:val="0"/>
      <w:sz w:val="20"/>
      <w:szCs w:val="20"/>
      <w:u w:val="none"/>
    </w:rPr>
  </w:style>
  <w:style w:type="character" w:customStyle="1" w:styleId="NotedefinCar">
    <w:name w:val="Note de fin Car"/>
    <w:link w:val="Notedefin"/>
    <w:rsid w:val="00E26E4A"/>
    <w:rPr>
      <w:rFonts w:ascii="Times New Roman" w:eastAsia="Times New Roman" w:hAnsi="Times New Roman"/>
      <w:lang w:eastAsia="en-US"/>
    </w:rPr>
  </w:style>
  <w:style w:type="character" w:customStyle="1" w:styleId="En-tte312ptNonItaliqueExact">
    <w:name w:val="En-tête #3 + 12 pt;Non Italique Exact"/>
    <w:rsid w:val="00E26E4A"/>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En-tteoupieddepage105ptNonItalique">
    <w:name w:val="En-tête ou pied de page + 10.5 pt;Non Italique"/>
    <w:rsid w:val="00E26E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95ptItalique">
    <w:name w:val="Corps du texte (2) + 9.5 pt;Italique"/>
    <w:rsid w:val="00E26E4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PieddepageCar">
    <w:name w:val="Pied de page Car"/>
    <w:link w:val="Pieddepage"/>
    <w:uiPriority w:val="99"/>
    <w:rsid w:val="00E26E4A"/>
    <w:rPr>
      <w:rFonts w:ascii="GillSans" w:eastAsia="Times New Roman" w:hAnsi="GillSans"/>
      <w:lang w:val="fr-CA" w:eastAsia="en-US"/>
    </w:rPr>
  </w:style>
  <w:style w:type="character" w:customStyle="1" w:styleId="RetraitcorpsdetexteCar">
    <w:name w:val="Retrait corps de texte Car"/>
    <w:link w:val="Retraitcorpsdetexte"/>
    <w:rsid w:val="00E26E4A"/>
    <w:rPr>
      <w:rFonts w:ascii="Arial" w:eastAsia="Times New Roman" w:hAnsi="Arial"/>
      <w:sz w:val="28"/>
      <w:lang w:val="fr-CA" w:eastAsia="en-US"/>
    </w:rPr>
  </w:style>
  <w:style w:type="character" w:customStyle="1" w:styleId="En-tteoupieddepage55ptNonItalique">
    <w:name w:val="En-tête ou pied de page + 5.5 pt;Non Italique"/>
    <w:rsid w:val="00E26E4A"/>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Retraitcorpsdetexte2Car">
    <w:name w:val="Retrait corps de texte 2 Car"/>
    <w:link w:val="Retraitcorpsdetexte2"/>
    <w:rsid w:val="00E26E4A"/>
    <w:rPr>
      <w:rFonts w:ascii="Arial" w:eastAsia="Times New Roman" w:hAnsi="Arial"/>
      <w:sz w:val="28"/>
      <w:lang w:val="fr-CA" w:eastAsia="en-US"/>
    </w:rPr>
  </w:style>
  <w:style w:type="character" w:customStyle="1" w:styleId="Retraitcorpsdetexte3Car">
    <w:name w:val="Retrait corps de texte 3 Car"/>
    <w:link w:val="Retraitcorpsdetexte3"/>
    <w:rsid w:val="00E26E4A"/>
    <w:rPr>
      <w:rFonts w:ascii="Arial" w:eastAsia="Times New Roman" w:hAnsi="Arial"/>
      <w:sz w:val="28"/>
      <w:lang w:val="fr-CA" w:eastAsia="en-US"/>
    </w:rPr>
  </w:style>
  <w:style w:type="character" w:customStyle="1" w:styleId="TitreCar">
    <w:name w:val="Titre Car"/>
    <w:link w:val="Titre"/>
    <w:rsid w:val="00E26E4A"/>
    <w:rPr>
      <w:rFonts w:ascii="Times New Roman" w:eastAsia="Times New Roman" w:hAnsi="Times New Roman"/>
      <w:b/>
      <w:sz w:val="48"/>
      <w:lang w:val="fr-CA" w:eastAsia="en-US"/>
    </w:rPr>
  </w:style>
  <w:style w:type="paragraph" w:styleId="TM5">
    <w:name w:val="toc 5"/>
    <w:basedOn w:val="Normal"/>
    <w:autoRedefine/>
    <w:rsid w:val="00E26E4A"/>
    <w:pPr>
      <w:widowControl w:val="0"/>
      <w:shd w:val="clear" w:color="auto" w:fill="FFFFFF"/>
      <w:spacing w:line="0" w:lineRule="atLeast"/>
      <w:ind w:hanging="10"/>
      <w:jc w:val="both"/>
    </w:pPr>
    <w:rPr>
      <w:sz w:val="19"/>
      <w:szCs w:val="19"/>
    </w:rPr>
  </w:style>
  <w:style w:type="paragraph" w:styleId="Tramecouleur-Accent1">
    <w:name w:val="Colorful Shading Accent 1"/>
    <w:hidden/>
    <w:rsid w:val="00E26E4A"/>
    <w:rPr>
      <w:rFonts w:ascii="Times New Roman" w:eastAsia="Times New Roman" w:hAnsi="Times New Roman"/>
      <w:sz w:val="28"/>
      <w:lang w:eastAsia="en-US"/>
    </w:rPr>
  </w:style>
  <w:style w:type="table" w:styleId="Grillemoyenne2-Accent2">
    <w:name w:val="Medium Grid 2 Accent 2"/>
    <w:basedOn w:val="TableauNormal"/>
    <w:link w:val="Grillecouleur-Accent1Car"/>
    <w:rsid w:val="00E26E4A"/>
    <w:rPr>
      <w:rFonts w:ascii="Times New Roman" w:eastAsia="Times New Roman" w:hAnsi="Times New Roman"/>
      <w:color w:val="000080"/>
      <w:sz w:val="28"/>
      <w:lang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0">
    <w:name w:val="Note de bas de page_"/>
    <w:link w:val="Notedebasdepage2"/>
    <w:rsid w:val="005F6F57"/>
    <w:rPr>
      <w:rFonts w:ascii="Times New Roman" w:eastAsia="Times New Roman" w:hAnsi="Times New Roman"/>
      <w:sz w:val="17"/>
      <w:szCs w:val="17"/>
      <w:shd w:val="clear" w:color="auto" w:fill="FFFFFF"/>
    </w:rPr>
  </w:style>
  <w:style w:type="character" w:customStyle="1" w:styleId="NotedebasdepageItalique">
    <w:name w:val="Note de bas de page + Italique"/>
    <w:rsid w:val="005F6F57"/>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6pt">
    <w:name w:val="Note de bas de page + 6 pt"/>
    <w:rsid w:val="005F6F5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Notedebasdepage20">
    <w:name w:val="Note de bas de page (2)_"/>
    <w:link w:val="Notedebasdepage21"/>
    <w:rsid w:val="005F6F57"/>
    <w:rPr>
      <w:rFonts w:ascii="Times New Roman" w:eastAsia="Times New Roman" w:hAnsi="Times New Roman"/>
      <w:i/>
      <w:iCs/>
      <w:sz w:val="17"/>
      <w:szCs w:val="17"/>
      <w:shd w:val="clear" w:color="auto" w:fill="FFFFFF"/>
    </w:rPr>
  </w:style>
  <w:style w:type="character" w:customStyle="1" w:styleId="Notedebasdepage2NonItalique">
    <w:name w:val="Note de bas de page (2) + Non Italique"/>
    <w:rsid w:val="005F6F5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9ptItalique">
    <w:name w:val="Note de bas de page + 9 pt;Italique"/>
    <w:rsid w:val="005F6F5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6pt">
    <w:name w:val="Note de bas de page (2) + 6 pt"/>
    <w:rsid w:val="005F6F57"/>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Notedebasdepage3">
    <w:name w:val="Note de bas de page (3)_"/>
    <w:link w:val="Notedebasdepage30"/>
    <w:rsid w:val="005F6F57"/>
    <w:rPr>
      <w:rFonts w:ascii="Times New Roman" w:eastAsia="Times New Roman" w:hAnsi="Times New Roman"/>
      <w:sz w:val="17"/>
      <w:szCs w:val="17"/>
      <w:shd w:val="clear" w:color="auto" w:fill="FFFFFF"/>
    </w:rPr>
  </w:style>
  <w:style w:type="character" w:customStyle="1" w:styleId="Notedebasdepage3105pt">
    <w:name w:val="Note de bas de page (3) + 10.5 pt"/>
    <w:rsid w:val="005F6F5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3105ptItalique">
    <w:name w:val="Note de bas de page (3) + 10.5 pt;Italique"/>
    <w:rsid w:val="005F6F57"/>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Notedebasdepage6ptPetitesmajuscules">
    <w:name w:val="Note de bas de page + 6 pt;Petites majuscules"/>
    <w:rsid w:val="005F6F57"/>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Notedebasdepage6ptEspacement1pt">
    <w:name w:val="Note de bas de page + 6 pt;Espacement 1 pt"/>
    <w:rsid w:val="005F6F5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Notedebasdepage6ptItaliqueEspacement0pt">
    <w:name w:val="Note de bas de page + 6 pt;Italique;Espacement 0 pt"/>
    <w:rsid w:val="005F6F57"/>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Notedebasdepage1">
    <w:name w:val="Note de bas de page1"/>
    <w:rsid w:val="005F6F5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
    <w:name w:val="Note de bas de page (4)_"/>
    <w:link w:val="Notedebasdepage40"/>
    <w:rsid w:val="005F6F57"/>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rsid w:val="005F6F5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6ptNonItaliqueEspacement1pt">
    <w:name w:val="Note de bas de page (4) + 6 pt;Non Italique;Espacement 1 pt"/>
    <w:rsid w:val="005F6F5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Notedebasdepage95pt">
    <w:name w:val="Note de bas de page + 9.5 pt"/>
    <w:rsid w:val="005F6F5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7105ptItalique">
    <w:name w:val="En-tête #7 + 10.5 pt;Italique"/>
    <w:rsid w:val="005F6F57"/>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8ptNonItalique">
    <w:name w:val="En-tête ou pied de page + 8 pt;Non Italique"/>
    <w:rsid w:val="005F6F5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6ptPetitesmajuscules">
    <w:name w:val="Corps du texte (2) + 6 pt;Petites majuscules"/>
    <w:rsid w:val="005F6F57"/>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26ptItalique">
    <w:name w:val="Corps du texte (2) + 6 pt;Italique"/>
    <w:rsid w:val="005F6F57"/>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69ptItalique">
    <w:name w:val="Corps du texte (6) + 9 pt;Italique"/>
    <w:rsid w:val="005F6F5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0ptNonItalique">
    <w:name w:val="En-tête ou pied de page + 10 pt;Non Italique"/>
    <w:rsid w:val="005F6F5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Arial95pt">
    <w:name w:val="En-tête ou pied de page + Arial;9.5 pt"/>
    <w:rsid w:val="005F6F57"/>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95ptItaliqueEspacement0pt">
    <w:name w:val="Corps du texte (2) + 9.5 pt;Italique;Espacement 0 pt"/>
    <w:rsid w:val="005F6F57"/>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285ptItalique">
    <w:name w:val="Corps du texte (2) + 8.5 pt;Italique"/>
    <w:rsid w:val="005F6F57"/>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18ptNonItalique">
    <w:name w:val="En-tête ou pied de page + 18 pt;Non Italique"/>
    <w:rsid w:val="005F6F57"/>
    <w:rPr>
      <w:rFonts w:ascii="Times New Roman" w:eastAsia="Times New Roman" w:hAnsi="Times New Roman" w:cs="Times New Roman"/>
      <w:b w:val="0"/>
      <w:bCs w:val="0"/>
      <w:i/>
      <w:iCs/>
      <w:smallCaps w:val="0"/>
      <w:strike w:val="0"/>
      <w:color w:val="000000"/>
      <w:spacing w:val="0"/>
      <w:w w:val="100"/>
      <w:position w:val="0"/>
      <w:sz w:val="36"/>
      <w:szCs w:val="36"/>
      <w:u w:val="none"/>
      <w:lang w:val="fr-FR" w:eastAsia="fr-FR" w:bidi="fr-FR"/>
    </w:rPr>
  </w:style>
  <w:style w:type="character" w:customStyle="1" w:styleId="Corpsdutexte285ptPetitesmajuscules">
    <w:name w:val="Corps du texte (2) + 8.5 pt;Petites majuscules"/>
    <w:rsid w:val="005F6F57"/>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106ptNonItaliqueEspacement1pt">
    <w:name w:val="Corps du texte (10) + 6 pt;Non Italique;Espacement 1 pt"/>
    <w:rsid w:val="005F6F57"/>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Corpsdutexte1095ptNonItalique">
    <w:name w:val="Corps du texte (10) + 9.5 pt;Non Italique"/>
    <w:rsid w:val="005F6F5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9ptItalique">
    <w:name w:val="Corps du texte (2) + 9 pt;Italique"/>
    <w:rsid w:val="005F6F5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paragraph" w:customStyle="1" w:styleId="Notedebasdepage2">
    <w:name w:val="Note de bas de page2"/>
    <w:basedOn w:val="Normal"/>
    <w:link w:val="Notedebasdepage0"/>
    <w:rsid w:val="005F6F57"/>
    <w:pPr>
      <w:widowControl w:val="0"/>
      <w:shd w:val="clear" w:color="auto" w:fill="FFFFFF"/>
      <w:spacing w:line="191" w:lineRule="exact"/>
      <w:ind w:hanging="10"/>
    </w:pPr>
    <w:rPr>
      <w:sz w:val="17"/>
      <w:szCs w:val="17"/>
      <w:lang w:val="x-none" w:eastAsia="x-none"/>
    </w:rPr>
  </w:style>
  <w:style w:type="paragraph" w:customStyle="1" w:styleId="Notedebasdepage21">
    <w:name w:val="Note de bas de page (2)"/>
    <w:basedOn w:val="Normal"/>
    <w:link w:val="Notedebasdepage20"/>
    <w:rsid w:val="005F6F57"/>
    <w:pPr>
      <w:widowControl w:val="0"/>
      <w:shd w:val="clear" w:color="auto" w:fill="FFFFFF"/>
      <w:spacing w:line="191" w:lineRule="exact"/>
      <w:ind w:hanging="10"/>
    </w:pPr>
    <w:rPr>
      <w:i/>
      <w:iCs/>
      <w:sz w:val="17"/>
      <w:szCs w:val="17"/>
      <w:lang w:val="x-none" w:eastAsia="x-none"/>
    </w:rPr>
  </w:style>
  <w:style w:type="paragraph" w:customStyle="1" w:styleId="Notedebasdepage30">
    <w:name w:val="Note de bas de page (3)"/>
    <w:basedOn w:val="Normal"/>
    <w:link w:val="Notedebasdepage3"/>
    <w:rsid w:val="005F6F57"/>
    <w:pPr>
      <w:widowControl w:val="0"/>
      <w:shd w:val="clear" w:color="auto" w:fill="FFFFFF"/>
      <w:spacing w:line="191" w:lineRule="exact"/>
      <w:ind w:hanging="4"/>
      <w:jc w:val="both"/>
    </w:pPr>
    <w:rPr>
      <w:sz w:val="17"/>
      <w:szCs w:val="17"/>
      <w:lang w:val="x-none" w:eastAsia="x-none"/>
    </w:rPr>
  </w:style>
  <w:style w:type="paragraph" w:customStyle="1" w:styleId="Notedebasdepage40">
    <w:name w:val="Note de bas de page (4)"/>
    <w:basedOn w:val="Normal"/>
    <w:link w:val="Notedebasdepage4"/>
    <w:rsid w:val="005F6F57"/>
    <w:pPr>
      <w:widowControl w:val="0"/>
      <w:shd w:val="clear" w:color="auto" w:fill="FFFFFF"/>
      <w:spacing w:line="191" w:lineRule="exact"/>
      <w:ind w:firstLine="186"/>
      <w:jc w:val="both"/>
    </w:pPr>
    <w:rPr>
      <w:i/>
      <w:iCs/>
      <w:sz w:val="17"/>
      <w:szCs w:val="17"/>
      <w:lang w:val="x-none" w:eastAsia="x-none"/>
    </w:rPr>
  </w:style>
  <w:style w:type="character" w:styleId="Mentionnonrsolue">
    <w:name w:val="Unresolved Mention"/>
    <w:uiPriority w:val="99"/>
    <w:semiHidden/>
    <w:unhideWhenUsed/>
    <w:rsid w:val="005F6F57"/>
    <w:rPr>
      <w:color w:val="605E5C"/>
      <w:shd w:val="clear" w:color="auto" w:fill="E1DFDD"/>
    </w:rPr>
  </w:style>
  <w:style w:type="character" w:customStyle="1" w:styleId="Notedebasdepage65ptItaliqueEspacement0pt">
    <w:name w:val="Note de bas de page + 6.5 pt;Italique;Espacement 0 pt"/>
    <w:rsid w:val="00354115"/>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Notedebasdepage8ptItalique">
    <w:name w:val="Note de bas de page + 8 pt;Italique"/>
    <w:rsid w:val="0035411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9ptchelle50">
    <w:name w:val="Légende de l'image + 9 pt;Échelle 50%"/>
    <w:rsid w:val="00354115"/>
    <w:rPr>
      <w:rFonts w:ascii="Times New Roman" w:eastAsia="Times New Roman" w:hAnsi="Times New Roman" w:cs="Times New Roman"/>
      <w:b w:val="0"/>
      <w:bCs w:val="0"/>
      <w:i w:val="0"/>
      <w:iCs w:val="0"/>
      <w:smallCaps w:val="0"/>
      <w:strike w:val="0"/>
      <w:color w:val="000000"/>
      <w:spacing w:val="0"/>
      <w:w w:val="50"/>
      <w:position w:val="0"/>
      <w:sz w:val="18"/>
      <w:szCs w:val="18"/>
      <w:u w:val="none"/>
      <w:lang w:val="fr-FR" w:eastAsia="fr-FR" w:bidi="fr-FR"/>
    </w:rPr>
  </w:style>
  <w:style w:type="character" w:customStyle="1" w:styleId="En-tteoupieddepage6ptNonItaliqueEspacement2pt">
    <w:name w:val="En-tête ou pied de page + 6 pt;Non Italique;Espacement 2 pt"/>
    <w:rsid w:val="00354115"/>
    <w:rPr>
      <w:rFonts w:ascii="Times New Roman" w:eastAsia="Times New Roman" w:hAnsi="Times New Roman" w:cs="Times New Roman"/>
      <w:b w:val="0"/>
      <w:bCs w:val="0"/>
      <w:i/>
      <w:iCs/>
      <w:smallCaps w:val="0"/>
      <w:strike w:val="0"/>
      <w:color w:val="000000"/>
      <w:spacing w:val="50"/>
      <w:w w:val="100"/>
      <w:position w:val="0"/>
      <w:sz w:val="12"/>
      <w:szCs w:val="12"/>
      <w:u w:val="none"/>
      <w:lang w:val="fr-FR" w:eastAsia="fr-FR" w:bidi="fr-FR"/>
    </w:rPr>
  </w:style>
  <w:style w:type="character" w:customStyle="1" w:styleId="Corpsdutexte28ptGras">
    <w:name w:val="Corps du texte (2) + 8 pt;Gras"/>
    <w:rsid w:val="00354115"/>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210ptGras">
    <w:name w:val="Corps du texte (2) + 10 pt;Gras"/>
    <w:rsid w:val="0035411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chelle50">
    <w:name w:val="Corps du texte (2) + 9 pt;Échelle 50%"/>
    <w:rsid w:val="00354115"/>
    <w:rPr>
      <w:rFonts w:ascii="Times New Roman" w:eastAsia="Times New Roman" w:hAnsi="Times New Roman" w:cs="Times New Roman"/>
      <w:b w:val="0"/>
      <w:bCs w:val="0"/>
      <w:i w:val="0"/>
      <w:iCs w:val="0"/>
      <w:smallCaps w:val="0"/>
      <w:strike w:val="0"/>
      <w:color w:val="000000"/>
      <w:spacing w:val="0"/>
      <w:w w:val="50"/>
      <w:position w:val="0"/>
      <w:sz w:val="18"/>
      <w:szCs w:val="18"/>
      <w:u w:val="none"/>
      <w:lang w:val="fr-FR" w:eastAsia="fr-FR" w:bidi="fr-FR"/>
    </w:rPr>
  </w:style>
  <w:style w:type="character" w:customStyle="1" w:styleId="Corpsdutexte28ptGrasPetitesmajuscules">
    <w:name w:val="Corps du texte (2) + 8 pt;Gras;Petites majuscules"/>
    <w:rsid w:val="00354115"/>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En-tte1TimesNewRoman13ptNonGras">
    <w:name w:val="En-tête #1 + Times New Roman;13 pt;Non Gras"/>
    <w:rsid w:val="00354115"/>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Corpsdutexte8105ptNonGras">
    <w:name w:val="Corps du texte (8) + 10.5 pt;Non Gras"/>
    <w:rsid w:val="00354115"/>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oupieddepage64ptNonItalique">
    <w:name w:val="En-tête ou pied de page (6) + 4 pt;Non Italique"/>
    <w:rsid w:val="00354115"/>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4212ptEspacement-2pt">
    <w:name w:val="En-tête #4 (2) + 12 pt;Espacement -2 pt"/>
    <w:rsid w:val="00354115"/>
    <w:rPr>
      <w:rFonts w:ascii="Times New Roman" w:eastAsia="Times New Roman" w:hAnsi="Times New Roman" w:cs="Times New Roman"/>
      <w:b w:val="0"/>
      <w:bCs w:val="0"/>
      <w:i/>
      <w:iCs/>
      <w:smallCaps w:val="0"/>
      <w:strike w:val="0"/>
      <w:color w:val="000000"/>
      <w:spacing w:val="-50"/>
      <w:w w:val="100"/>
      <w:position w:val="0"/>
      <w:sz w:val="24"/>
      <w:szCs w:val="24"/>
      <w:u w:val="none"/>
      <w:lang w:val="fr-FR" w:eastAsia="fr-FR" w:bidi="fr-FR"/>
    </w:rPr>
  </w:style>
  <w:style w:type="character" w:customStyle="1" w:styleId="Corpsdutexte9105ptEspacement0pt">
    <w:name w:val="Corps du texte (9) + 10.5 pt;Espacement 0 pt"/>
    <w:rsid w:val="0035411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En-tteoupieddepage610ptNonItalique">
    <w:name w:val="En-tête ou pied de page (6) + 10 pt;Non Italique"/>
    <w:rsid w:val="0035411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CourierNew12ptGrasNonItalique">
    <w:name w:val="En-tête ou pied de page (6) + Courier New;12 pt;Gras;Non Italique"/>
    <w:rsid w:val="00354115"/>
    <w:rPr>
      <w:rFonts w:ascii="Courier New" w:eastAsia="Courier New" w:hAnsi="Courier New" w:cs="Courier New"/>
      <w:b/>
      <w:bCs/>
      <w:i/>
      <w:iCs/>
      <w:smallCaps w:val="0"/>
      <w:strike w:val="0"/>
      <w:color w:val="000000"/>
      <w:spacing w:val="0"/>
      <w:w w:val="100"/>
      <w:position w:val="0"/>
      <w:sz w:val="24"/>
      <w:szCs w:val="24"/>
      <w:u w:val="none"/>
      <w:lang w:val="fr-FR" w:eastAsia="fr-FR" w:bidi="fr-FR"/>
    </w:rPr>
  </w:style>
  <w:style w:type="character" w:customStyle="1" w:styleId="Notedebasdepage65ptPetitesmajuscules">
    <w:name w:val="Note de bas de page + 6.5 pt;Petites majuscules"/>
    <w:rsid w:val="0072139A"/>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7ptItalique">
    <w:name w:val="Note de bas de page + 7 pt;Italique"/>
    <w:rsid w:val="0072139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3AppleGothic65pt">
    <w:name w:val="Note de bas de page (3) + AppleGothic;6.5 pt"/>
    <w:rsid w:val="0072139A"/>
    <w:rPr>
      <w:rFonts w:ascii="AppleGothic" w:eastAsia="AppleGothic" w:hAnsi="AppleGothic" w:cs="AppleGothic"/>
      <w:b w:val="0"/>
      <w:bCs w:val="0"/>
      <w:i w:val="0"/>
      <w:iCs w:val="0"/>
      <w:smallCaps w:val="0"/>
      <w:strike w:val="0"/>
      <w:color w:val="000000"/>
      <w:spacing w:val="0"/>
      <w:w w:val="100"/>
      <w:position w:val="0"/>
      <w:sz w:val="13"/>
      <w:szCs w:val="13"/>
      <w:u w:val="none"/>
      <w:lang w:val="fr-FR" w:eastAsia="fr-FR" w:bidi="fr-FR"/>
    </w:rPr>
  </w:style>
  <w:style w:type="character" w:customStyle="1" w:styleId="Notedebasdepage5AppleGothic5pt">
    <w:name w:val="Note de bas de page (5) + AppleGothic;5 pt"/>
    <w:rsid w:val="0072139A"/>
    <w:rPr>
      <w:rFonts w:ascii="AppleGothic" w:eastAsia="AppleGothic" w:hAnsi="AppleGothic" w:cs="AppleGothic"/>
      <w:b w:val="0"/>
      <w:bCs w:val="0"/>
      <w:i w:val="0"/>
      <w:iCs w:val="0"/>
      <w:smallCaps w:val="0"/>
      <w:strike w:val="0"/>
      <w:color w:val="000000"/>
      <w:spacing w:val="0"/>
      <w:w w:val="100"/>
      <w:position w:val="0"/>
      <w:sz w:val="10"/>
      <w:szCs w:val="10"/>
      <w:u w:val="none"/>
      <w:lang w:val="fr-FR" w:eastAsia="fr-FR" w:bidi="fr-FR"/>
    </w:rPr>
  </w:style>
  <w:style w:type="character" w:customStyle="1" w:styleId="Notedebasdepage785ptItalique">
    <w:name w:val="Note de bas de page (7) + 8.5 pt;Italique"/>
    <w:rsid w:val="0072139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ptItalique">
    <w:name w:val="Corps du texte (2) + 10 pt;Italique"/>
    <w:rsid w:val="0072139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7ptItalique">
    <w:name w:val="Corps du texte (2) + 7 pt;Italique"/>
    <w:rsid w:val="0072139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8ptItaliqueEspacement0pt">
    <w:name w:val="Corps du texte (2) + 8 pt;Italique;Espacement 0 pt"/>
    <w:rsid w:val="0072139A"/>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En-tteoupieddepage65ptNonItalique">
    <w:name w:val="En-tête ou pied de page + 6.5 pt;Non Italique"/>
    <w:rsid w:val="0072139A"/>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oupieddepage7ptGras">
    <w:name w:val="En-tête ou pied de page + 7 pt;Gras"/>
    <w:rsid w:val="0072139A"/>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8ptItaliqueEspacement1pt">
    <w:name w:val="Corps du texte (2) + 8 pt;Italique;Espacement 1 pt"/>
    <w:rsid w:val="0072139A"/>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En-tteoupieddepage94ptNonItalique">
    <w:name w:val="En-tête ou pied de page (9) + 4 pt;Non Italique"/>
    <w:rsid w:val="0072139A"/>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Arial18ptNonItalique">
    <w:name w:val="En-tête ou pied de page + Arial;18 pt;Non Italique"/>
    <w:rsid w:val="00CF52F2"/>
    <w:rPr>
      <w:rFonts w:ascii="Arial" w:eastAsia="Arial" w:hAnsi="Arial" w:cs="Arial"/>
      <w:b w:val="0"/>
      <w:bCs w:val="0"/>
      <w:i/>
      <w:iCs/>
      <w:smallCaps w:val="0"/>
      <w:strike w:val="0"/>
      <w:color w:val="000000"/>
      <w:spacing w:val="0"/>
      <w:w w:val="100"/>
      <w:position w:val="0"/>
      <w:sz w:val="36"/>
      <w:szCs w:val="36"/>
      <w:u w:val="none"/>
      <w:lang w:val="fr-FR" w:eastAsia="fr-FR" w:bidi="fr-FR"/>
    </w:rPr>
  </w:style>
  <w:style w:type="character" w:customStyle="1" w:styleId="Corpsdutexte28ptPetitesmajuscules">
    <w:name w:val="Corps du texte (2) + 8 pt;Petites majuscules"/>
    <w:rsid w:val="00CF52F2"/>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En-tteoupieddepage85ptNonItalique">
    <w:name w:val="En-tête ou pied de page + 8.5 pt;Non Italique"/>
    <w:rsid w:val="00CF52F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85ptItaliqueEspacement0pt">
    <w:name w:val="Corps du texte (2) + 8.5 pt;Italique;Espacement 0 pt"/>
    <w:rsid w:val="00CF52F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Corpsdutexte27ptItaliqueEspacement0pt">
    <w:name w:val="Corps du texte (2) + 7 pt;Italique;Espacement 0 pt"/>
    <w:rsid w:val="00CF52F2"/>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7105ptItalique">
    <w:name w:val="Corps du texte (7) + 10.5 pt;Italique"/>
    <w:rsid w:val="00CF52F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57ptEspacement0pt">
    <w:name w:val="Corps du texte (5) + 7 pt;Espacement 0 pt"/>
    <w:rsid w:val="00CF52F2"/>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58ptNonItalique">
    <w:name w:val="Corps du texte (5) + 8 pt;Non Italique"/>
    <w:rsid w:val="00CF52F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118ptGrasItaliqueExact">
    <w:name w:val="En-tête #1 + 18 pt;Gras;Italique Exact"/>
    <w:rsid w:val="00CF52F2"/>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Tabledesmatires">
    <w:name w:val="Table des matières_"/>
    <w:link w:val="Tabledesmatires0"/>
    <w:rsid w:val="00CF52F2"/>
    <w:rPr>
      <w:rFonts w:ascii="Times New Roman" w:eastAsia="Times New Roman" w:hAnsi="Times New Roman"/>
      <w:sz w:val="16"/>
      <w:szCs w:val="16"/>
      <w:shd w:val="clear" w:color="auto" w:fill="FFFFFF"/>
    </w:rPr>
  </w:style>
  <w:style w:type="character" w:customStyle="1" w:styleId="Corpsdutexte855ptGras">
    <w:name w:val="Corps du texte (8) + 5.5 pt;Gras"/>
    <w:rsid w:val="00CF52F2"/>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965ptGrasEspacement0pt">
    <w:name w:val="Corps du texte (9) + 6.5 pt;Gras;Espacement 0 pt"/>
    <w:rsid w:val="00CF52F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86ptItalique">
    <w:name w:val="Corps du texte (8) + 6 pt;Italique"/>
    <w:rsid w:val="00CF52F2"/>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108ptNonItalique">
    <w:name w:val="Corps du texte (10) + 8 pt;Non Italique"/>
    <w:rsid w:val="00CF52F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87ptItalique">
    <w:name w:val="Corps du texte (8) + 7 pt;Italique"/>
    <w:rsid w:val="00CF52F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065ptNonItalique">
    <w:name w:val="Corps du texte (10) + 6.5 pt;Non Italique"/>
    <w:rsid w:val="00CF52F2"/>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865ptPetitesmajuscules">
    <w:name w:val="Corps du texte (8) + 6.5 pt;Petites majuscules"/>
    <w:rsid w:val="00CF52F2"/>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165ptGras">
    <w:name w:val="Corps du texte (11) + 6.5 pt;Gras"/>
    <w:rsid w:val="00CF52F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87ptItaliquePetitesmajuscules">
    <w:name w:val="Corps du texte (8) + 7 pt;Italique;Petites majuscules"/>
    <w:rsid w:val="00CF52F2"/>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136ptNonItalique">
    <w:name w:val="Corps du texte (13) + 6 pt;Non Italique"/>
    <w:rsid w:val="00CF52F2"/>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8GrasItaliqueEspacement0pt">
    <w:name w:val="Corps du texte (8) + Gras;Italique;Espacement 0 pt"/>
    <w:rsid w:val="00CF52F2"/>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paragraph" w:customStyle="1" w:styleId="Tabledesmatires0">
    <w:name w:val="Table des matières"/>
    <w:basedOn w:val="Normal"/>
    <w:link w:val="Tabledesmatires"/>
    <w:rsid w:val="00CF52F2"/>
    <w:pPr>
      <w:widowControl w:val="0"/>
      <w:shd w:val="clear" w:color="auto" w:fill="FFFFFF"/>
      <w:spacing w:line="169" w:lineRule="exact"/>
      <w:ind w:hanging="189"/>
      <w:jc w:val="both"/>
    </w:pPr>
    <w:rPr>
      <w:sz w:val="16"/>
      <w:szCs w:val="16"/>
      <w:lang w:val="x-none" w:eastAsia="x-none"/>
    </w:rPr>
  </w:style>
  <w:style w:type="paragraph" w:customStyle="1" w:styleId="figtitrest">
    <w:name w:val="fig titre st"/>
    <w:basedOn w:val="figtitre"/>
    <w:autoRedefine/>
    <w:rsid w:val="00DA0504"/>
    <w:rPr>
      <w:b w:val="0"/>
      <w:color w:val="000090"/>
    </w:rPr>
  </w:style>
  <w:style w:type="paragraph" w:customStyle="1" w:styleId="i2">
    <w:name w:val="i2"/>
    <w:basedOn w:val="Normal"/>
    <w:autoRedefine/>
    <w:rsid w:val="003C303C"/>
    <w:pPr>
      <w:ind w:left="900" w:hanging="3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irambona_elvis-noel.html" TargetMode="External"/><Relationship Id="rId18" Type="http://schemas.openxmlformats.org/officeDocument/2006/relationships/hyperlink" Target="http://www.sciences-po.fr/edition/" TargetMode="External"/><Relationship Id="rId3" Type="http://schemas.openxmlformats.org/officeDocument/2006/relationships/settings" Target="settings.xml"/><Relationship Id="rId21" Type="http://schemas.openxmlformats.org/officeDocument/2006/relationships/hyperlink" Target="http://www.whitehouse.gov/nsc/history.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irambona_elvis-noel.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dandurand.uqam.ca/Observatoire/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ouis.balthazar@videotron.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toa.dem1" TargetMode="External"/><Relationship Id="rId13" Type="http://schemas.openxmlformats.org/officeDocument/2006/relationships/hyperlink" Target="http://www.commoncause.org/laundromat/" TargetMode="External"/><Relationship Id="rId3" Type="http://schemas.openxmlformats.org/officeDocument/2006/relationships/hyperlink" Target="http://www.buchanan.org/OOO-c-foreignpolicy.html" TargetMode="External"/><Relationship Id="rId7" Type="http://schemas.openxmlformats.org/officeDocument/2006/relationships/hyperlink" Target="http://nsarchive.chadwyck.com" TargetMode="External"/><Relationship Id="rId12" Type="http://schemas.openxmlformats.org/officeDocument/2006/relationships/hyperlink" Target="http://dx.doi.org/doi:10.1522/cla.toa.dem1" TargetMode="External"/><Relationship Id="rId2" Type="http://schemas.openxmlformats.org/officeDocument/2006/relationships/hyperlink" Target="http://dx.doi.org/doi:10.1522/cla.toa.dem1" TargetMode="External"/><Relationship Id="rId1" Type="http://schemas.openxmlformats.org/officeDocument/2006/relationships/hyperlink" Target="http://dx.doi.org/doi:10.1522/cla.toa.dem1" TargetMode="External"/><Relationship Id="rId6" Type="http://schemas.openxmlformats.org/officeDocument/2006/relationships/hyperlink" Target="http://www.tysknews.com/Depts/" TargetMode="External"/><Relationship Id="rId11" Type="http://schemas.openxmlformats.org/officeDocument/2006/relationships/hyperlink" Target="http://www.harrisinteractive.com/news/allnewsbydate.aspPNews" TargetMode="External"/><Relationship Id="rId5" Type="http://schemas.openxmlformats.org/officeDocument/2006/relationships/hyperlink" Target="http://www.dandurand.uqam.ca/Observatoire/Download/Regards_Amerique/Regards_%20Amerique_v2n2.pdf" TargetMode="External"/><Relationship Id="rId10" Type="http://schemas.openxmlformats.org/officeDocument/2006/relationships/hyperlink" Target="http://www.gallup.com" TargetMode="External"/><Relationship Id="rId4" Type="http://schemas.openxmlformats.org/officeDocument/2006/relationships/hyperlink" Target="http://www.conservativeforum.org/authquot" TargetMode="External"/><Relationship Id="rId9" Type="http://schemas.openxmlformats.org/officeDocument/2006/relationships/hyperlink" Target="http://www.ccfr.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116813</Words>
  <Characters>642472</Characters>
  <Application>Microsoft Office Word</Application>
  <DocSecurity>0</DocSecurity>
  <Lines>5353</Lines>
  <Paragraphs>1515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politique étrangère des Etats-Unis. Fondements, acteurs, formulation </vt:lpstr>
      <vt:lpstr>La politique étrangère des Etats-Unis. Fondements, acteurs, formulation </vt:lpstr>
    </vt:vector>
  </TitlesOfParts>
  <Manager>par Elvis Noël Irambona, bénévole, Burundi, 2022</Manager>
  <Company>Les Classiques des sciences sociales</Company>
  <LinksUpToDate>false</LinksUpToDate>
  <CharactersWithSpaces>757770</CharactersWithSpaces>
  <SharedDoc>false</SharedDoc>
  <HyperlinkBase/>
  <HLinks>
    <vt:vector size="672" baseType="variant">
      <vt:variant>
        <vt:i4>6553716</vt:i4>
      </vt:variant>
      <vt:variant>
        <vt:i4>294</vt:i4>
      </vt:variant>
      <vt:variant>
        <vt:i4>0</vt:i4>
      </vt:variant>
      <vt:variant>
        <vt:i4>5</vt:i4>
      </vt:variant>
      <vt:variant>
        <vt:lpwstr/>
      </vt:variant>
      <vt:variant>
        <vt:lpwstr>tdm</vt:lpwstr>
      </vt:variant>
      <vt:variant>
        <vt:i4>6553716</vt:i4>
      </vt:variant>
      <vt:variant>
        <vt:i4>291</vt:i4>
      </vt:variant>
      <vt:variant>
        <vt:i4>0</vt:i4>
      </vt:variant>
      <vt:variant>
        <vt:i4>5</vt:i4>
      </vt:variant>
      <vt:variant>
        <vt:lpwstr/>
      </vt:variant>
      <vt:variant>
        <vt:lpwstr>tdm</vt:lpwstr>
      </vt:variant>
      <vt:variant>
        <vt:i4>2555936</vt:i4>
      </vt:variant>
      <vt:variant>
        <vt:i4>288</vt:i4>
      </vt:variant>
      <vt:variant>
        <vt:i4>0</vt:i4>
      </vt:variant>
      <vt:variant>
        <vt:i4>5</vt:i4>
      </vt:variant>
      <vt:variant>
        <vt:lpwstr>http://www.whitehouse.gov/nsc/history.html</vt:lpwstr>
      </vt:variant>
      <vt:variant>
        <vt:lpwstr/>
      </vt:variant>
      <vt:variant>
        <vt:i4>3997728</vt:i4>
      </vt:variant>
      <vt:variant>
        <vt:i4>285</vt:i4>
      </vt:variant>
      <vt:variant>
        <vt:i4>0</vt:i4>
      </vt:variant>
      <vt:variant>
        <vt:i4>5</vt:i4>
      </vt:variant>
      <vt:variant>
        <vt:lpwstr>http://www.dandurand.uqam.ca/Observatoire/Download/</vt:lpwstr>
      </vt:variant>
      <vt:variant>
        <vt:lpwstr/>
      </vt:variant>
      <vt:variant>
        <vt:i4>6553716</vt:i4>
      </vt:variant>
      <vt:variant>
        <vt:i4>282</vt:i4>
      </vt:variant>
      <vt:variant>
        <vt:i4>0</vt:i4>
      </vt:variant>
      <vt:variant>
        <vt:i4>5</vt:i4>
      </vt:variant>
      <vt:variant>
        <vt:lpwstr/>
      </vt:variant>
      <vt:variant>
        <vt:lpwstr>tdm</vt:lpwstr>
      </vt:variant>
      <vt:variant>
        <vt:i4>6553716</vt:i4>
      </vt:variant>
      <vt:variant>
        <vt:i4>279</vt:i4>
      </vt:variant>
      <vt:variant>
        <vt:i4>0</vt:i4>
      </vt:variant>
      <vt:variant>
        <vt:i4>5</vt:i4>
      </vt:variant>
      <vt:variant>
        <vt:lpwstr/>
      </vt:variant>
      <vt:variant>
        <vt:lpwstr>tdm</vt:lpwstr>
      </vt:variant>
      <vt:variant>
        <vt:i4>6553716</vt:i4>
      </vt:variant>
      <vt:variant>
        <vt:i4>276</vt:i4>
      </vt:variant>
      <vt:variant>
        <vt:i4>0</vt:i4>
      </vt:variant>
      <vt:variant>
        <vt:i4>5</vt:i4>
      </vt:variant>
      <vt:variant>
        <vt:lpwstr/>
      </vt:variant>
      <vt:variant>
        <vt:lpwstr>tdm</vt:lpwstr>
      </vt:variant>
      <vt:variant>
        <vt:i4>6553716</vt:i4>
      </vt:variant>
      <vt:variant>
        <vt:i4>273</vt:i4>
      </vt:variant>
      <vt:variant>
        <vt:i4>0</vt:i4>
      </vt:variant>
      <vt:variant>
        <vt:i4>5</vt:i4>
      </vt:variant>
      <vt:variant>
        <vt:lpwstr/>
      </vt:variant>
      <vt:variant>
        <vt:lpwstr>tdm</vt:lpwstr>
      </vt:variant>
      <vt:variant>
        <vt:i4>6553716</vt:i4>
      </vt:variant>
      <vt:variant>
        <vt:i4>270</vt:i4>
      </vt:variant>
      <vt:variant>
        <vt:i4>0</vt:i4>
      </vt:variant>
      <vt:variant>
        <vt:i4>5</vt:i4>
      </vt:variant>
      <vt:variant>
        <vt:lpwstr/>
      </vt:variant>
      <vt:variant>
        <vt:lpwstr>tdm</vt:lpwstr>
      </vt:variant>
      <vt:variant>
        <vt:i4>6553716</vt:i4>
      </vt:variant>
      <vt:variant>
        <vt:i4>267</vt:i4>
      </vt:variant>
      <vt:variant>
        <vt:i4>0</vt:i4>
      </vt:variant>
      <vt:variant>
        <vt:i4>5</vt:i4>
      </vt:variant>
      <vt:variant>
        <vt:lpwstr/>
      </vt:variant>
      <vt:variant>
        <vt:lpwstr>tdm</vt:lpwstr>
      </vt:variant>
      <vt:variant>
        <vt:i4>6553716</vt:i4>
      </vt:variant>
      <vt:variant>
        <vt:i4>264</vt:i4>
      </vt:variant>
      <vt:variant>
        <vt:i4>0</vt:i4>
      </vt:variant>
      <vt:variant>
        <vt:i4>5</vt:i4>
      </vt:variant>
      <vt:variant>
        <vt:lpwstr/>
      </vt:variant>
      <vt:variant>
        <vt:lpwstr>tdm</vt:lpwstr>
      </vt:variant>
      <vt:variant>
        <vt:i4>6553716</vt:i4>
      </vt:variant>
      <vt:variant>
        <vt:i4>261</vt:i4>
      </vt:variant>
      <vt:variant>
        <vt:i4>0</vt:i4>
      </vt:variant>
      <vt:variant>
        <vt:i4>5</vt:i4>
      </vt:variant>
      <vt:variant>
        <vt:lpwstr/>
      </vt:variant>
      <vt:variant>
        <vt:lpwstr>tdm</vt:lpwstr>
      </vt:variant>
      <vt:variant>
        <vt:i4>6553716</vt:i4>
      </vt:variant>
      <vt:variant>
        <vt:i4>258</vt:i4>
      </vt:variant>
      <vt:variant>
        <vt:i4>0</vt:i4>
      </vt:variant>
      <vt:variant>
        <vt:i4>5</vt:i4>
      </vt:variant>
      <vt:variant>
        <vt:lpwstr/>
      </vt:variant>
      <vt:variant>
        <vt:lpwstr>tdm</vt:lpwstr>
      </vt:variant>
      <vt:variant>
        <vt:i4>6553716</vt:i4>
      </vt:variant>
      <vt:variant>
        <vt:i4>255</vt:i4>
      </vt:variant>
      <vt:variant>
        <vt:i4>0</vt:i4>
      </vt:variant>
      <vt:variant>
        <vt:i4>5</vt:i4>
      </vt:variant>
      <vt:variant>
        <vt:lpwstr/>
      </vt:variant>
      <vt:variant>
        <vt:lpwstr>tdm</vt:lpwstr>
      </vt:variant>
      <vt:variant>
        <vt:i4>6553716</vt:i4>
      </vt:variant>
      <vt:variant>
        <vt:i4>252</vt:i4>
      </vt:variant>
      <vt:variant>
        <vt:i4>0</vt:i4>
      </vt:variant>
      <vt:variant>
        <vt:i4>5</vt:i4>
      </vt:variant>
      <vt:variant>
        <vt:lpwstr/>
      </vt:variant>
      <vt:variant>
        <vt:lpwstr>tdm</vt:lpwstr>
      </vt:variant>
      <vt:variant>
        <vt:i4>6553716</vt:i4>
      </vt:variant>
      <vt:variant>
        <vt:i4>249</vt:i4>
      </vt:variant>
      <vt:variant>
        <vt:i4>0</vt:i4>
      </vt:variant>
      <vt:variant>
        <vt:i4>5</vt:i4>
      </vt:variant>
      <vt:variant>
        <vt:lpwstr/>
      </vt:variant>
      <vt:variant>
        <vt:lpwstr>tdm</vt:lpwstr>
      </vt:variant>
      <vt:variant>
        <vt:i4>6553716</vt:i4>
      </vt:variant>
      <vt:variant>
        <vt:i4>246</vt:i4>
      </vt:variant>
      <vt:variant>
        <vt:i4>0</vt:i4>
      </vt:variant>
      <vt:variant>
        <vt:i4>5</vt:i4>
      </vt:variant>
      <vt:variant>
        <vt:lpwstr/>
      </vt:variant>
      <vt:variant>
        <vt:lpwstr>tdm</vt:lpwstr>
      </vt:variant>
      <vt:variant>
        <vt:i4>6553716</vt:i4>
      </vt:variant>
      <vt:variant>
        <vt:i4>243</vt:i4>
      </vt:variant>
      <vt:variant>
        <vt:i4>0</vt:i4>
      </vt:variant>
      <vt:variant>
        <vt:i4>5</vt:i4>
      </vt:variant>
      <vt:variant>
        <vt:lpwstr/>
      </vt:variant>
      <vt:variant>
        <vt:lpwstr>tdm</vt:lpwstr>
      </vt:variant>
      <vt:variant>
        <vt:i4>6553716</vt:i4>
      </vt:variant>
      <vt:variant>
        <vt:i4>240</vt:i4>
      </vt:variant>
      <vt:variant>
        <vt:i4>0</vt:i4>
      </vt:variant>
      <vt:variant>
        <vt:i4>5</vt:i4>
      </vt:variant>
      <vt:variant>
        <vt:lpwstr/>
      </vt:variant>
      <vt:variant>
        <vt:lpwstr>tdm</vt:lpwstr>
      </vt:variant>
      <vt:variant>
        <vt:i4>6553716</vt:i4>
      </vt:variant>
      <vt:variant>
        <vt:i4>237</vt:i4>
      </vt:variant>
      <vt:variant>
        <vt:i4>0</vt:i4>
      </vt:variant>
      <vt:variant>
        <vt:i4>5</vt:i4>
      </vt:variant>
      <vt:variant>
        <vt:lpwstr/>
      </vt:variant>
      <vt:variant>
        <vt:lpwstr>tdm</vt:lpwstr>
      </vt:variant>
      <vt:variant>
        <vt:i4>6553716</vt:i4>
      </vt:variant>
      <vt:variant>
        <vt:i4>234</vt:i4>
      </vt:variant>
      <vt:variant>
        <vt:i4>0</vt:i4>
      </vt:variant>
      <vt:variant>
        <vt:i4>5</vt:i4>
      </vt:variant>
      <vt:variant>
        <vt:lpwstr/>
      </vt:variant>
      <vt:variant>
        <vt:lpwstr>tdm</vt:lpwstr>
      </vt:variant>
      <vt:variant>
        <vt:i4>6553716</vt:i4>
      </vt:variant>
      <vt:variant>
        <vt:i4>231</vt:i4>
      </vt:variant>
      <vt:variant>
        <vt:i4>0</vt:i4>
      </vt:variant>
      <vt:variant>
        <vt:i4>5</vt:i4>
      </vt:variant>
      <vt:variant>
        <vt:lpwstr/>
      </vt:variant>
      <vt:variant>
        <vt:lpwstr>tdm</vt:lpwstr>
      </vt:variant>
      <vt:variant>
        <vt:i4>6553716</vt:i4>
      </vt:variant>
      <vt:variant>
        <vt:i4>228</vt:i4>
      </vt:variant>
      <vt:variant>
        <vt:i4>0</vt:i4>
      </vt:variant>
      <vt:variant>
        <vt:i4>5</vt:i4>
      </vt:variant>
      <vt:variant>
        <vt:lpwstr/>
      </vt:variant>
      <vt:variant>
        <vt:lpwstr>tdm</vt:lpwstr>
      </vt:variant>
      <vt:variant>
        <vt:i4>6553716</vt:i4>
      </vt:variant>
      <vt:variant>
        <vt:i4>225</vt:i4>
      </vt:variant>
      <vt:variant>
        <vt:i4>0</vt:i4>
      </vt:variant>
      <vt:variant>
        <vt:i4>5</vt:i4>
      </vt:variant>
      <vt:variant>
        <vt:lpwstr/>
      </vt:variant>
      <vt:variant>
        <vt:lpwstr>tdm</vt:lpwstr>
      </vt:variant>
      <vt:variant>
        <vt:i4>6553716</vt:i4>
      </vt:variant>
      <vt:variant>
        <vt:i4>222</vt:i4>
      </vt:variant>
      <vt:variant>
        <vt:i4>0</vt:i4>
      </vt:variant>
      <vt:variant>
        <vt:i4>5</vt:i4>
      </vt:variant>
      <vt:variant>
        <vt:lpwstr/>
      </vt:variant>
      <vt:variant>
        <vt:lpwstr>tdm</vt:lpwstr>
      </vt:variant>
      <vt:variant>
        <vt:i4>6553716</vt:i4>
      </vt:variant>
      <vt:variant>
        <vt:i4>219</vt:i4>
      </vt:variant>
      <vt:variant>
        <vt:i4>0</vt:i4>
      </vt:variant>
      <vt:variant>
        <vt:i4>5</vt:i4>
      </vt:variant>
      <vt:variant>
        <vt:lpwstr/>
      </vt:variant>
      <vt:variant>
        <vt:lpwstr>tdm</vt:lpwstr>
      </vt:variant>
      <vt:variant>
        <vt:i4>6553716</vt:i4>
      </vt:variant>
      <vt:variant>
        <vt:i4>216</vt:i4>
      </vt:variant>
      <vt:variant>
        <vt:i4>0</vt:i4>
      </vt:variant>
      <vt:variant>
        <vt:i4>5</vt:i4>
      </vt:variant>
      <vt:variant>
        <vt:lpwstr/>
      </vt:variant>
      <vt:variant>
        <vt:lpwstr>tdm</vt:lpwstr>
      </vt:variant>
      <vt:variant>
        <vt:i4>6553716</vt:i4>
      </vt:variant>
      <vt:variant>
        <vt:i4>213</vt:i4>
      </vt:variant>
      <vt:variant>
        <vt:i4>0</vt:i4>
      </vt:variant>
      <vt:variant>
        <vt:i4>5</vt:i4>
      </vt:variant>
      <vt:variant>
        <vt:lpwstr/>
      </vt:variant>
      <vt:variant>
        <vt:lpwstr>tdm</vt:lpwstr>
      </vt: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6553716</vt:i4>
      </vt:variant>
      <vt:variant>
        <vt:i4>189</vt:i4>
      </vt:variant>
      <vt:variant>
        <vt:i4>0</vt:i4>
      </vt:variant>
      <vt:variant>
        <vt:i4>5</vt:i4>
      </vt:variant>
      <vt:variant>
        <vt:lpwstr/>
      </vt:variant>
      <vt:variant>
        <vt:lpwstr>tdm</vt:lpwstr>
      </vt:variant>
      <vt:variant>
        <vt:i4>6553716</vt:i4>
      </vt:variant>
      <vt:variant>
        <vt:i4>186</vt:i4>
      </vt:variant>
      <vt:variant>
        <vt:i4>0</vt:i4>
      </vt:variant>
      <vt:variant>
        <vt:i4>5</vt:i4>
      </vt:variant>
      <vt:variant>
        <vt:lpwstr/>
      </vt:variant>
      <vt:variant>
        <vt:lpwstr>tdm</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6553716</vt:i4>
      </vt:variant>
      <vt:variant>
        <vt:i4>177</vt:i4>
      </vt:variant>
      <vt:variant>
        <vt:i4>0</vt:i4>
      </vt:variant>
      <vt:variant>
        <vt:i4>5</vt:i4>
      </vt:variant>
      <vt:variant>
        <vt:lpwstr/>
      </vt:variant>
      <vt:variant>
        <vt:lpwstr>tdm</vt:lpwstr>
      </vt:variant>
      <vt:variant>
        <vt:i4>6553716</vt:i4>
      </vt:variant>
      <vt:variant>
        <vt:i4>174</vt:i4>
      </vt:variant>
      <vt:variant>
        <vt:i4>0</vt:i4>
      </vt:variant>
      <vt:variant>
        <vt:i4>5</vt:i4>
      </vt:variant>
      <vt:variant>
        <vt:lpwstr/>
      </vt:variant>
      <vt:variant>
        <vt:lpwstr>tdm</vt:lpwstr>
      </vt:variant>
      <vt:variant>
        <vt:i4>6553716</vt:i4>
      </vt:variant>
      <vt:variant>
        <vt:i4>171</vt:i4>
      </vt:variant>
      <vt:variant>
        <vt:i4>0</vt:i4>
      </vt:variant>
      <vt:variant>
        <vt:i4>5</vt:i4>
      </vt:variant>
      <vt:variant>
        <vt:lpwstr/>
      </vt:variant>
      <vt:variant>
        <vt:lpwstr>tdm</vt:lpwstr>
      </vt:variant>
      <vt:variant>
        <vt:i4>6553716</vt:i4>
      </vt:variant>
      <vt:variant>
        <vt:i4>168</vt:i4>
      </vt:variant>
      <vt:variant>
        <vt:i4>0</vt:i4>
      </vt:variant>
      <vt:variant>
        <vt:i4>5</vt:i4>
      </vt:variant>
      <vt:variant>
        <vt:lpwstr/>
      </vt:variant>
      <vt:variant>
        <vt:lpwstr>tdm</vt:lpwstr>
      </vt:variant>
      <vt:variant>
        <vt:i4>6553716</vt:i4>
      </vt:variant>
      <vt:variant>
        <vt:i4>165</vt:i4>
      </vt:variant>
      <vt:variant>
        <vt:i4>0</vt:i4>
      </vt:variant>
      <vt:variant>
        <vt:i4>5</vt:i4>
      </vt:variant>
      <vt:variant>
        <vt:lpwstr/>
      </vt:variant>
      <vt:variant>
        <vt:lpwstr>tdm</vt:lpwstr>
      </vt:variant>
      <vt:variant>
        <vt:i4>6553716</vt:i4>
      </vt:variant>
      <vt:variant>
        <vt:i4>162</vt:i4>
      </vt:variant>
      <vt:variant>
        <vt:i4>0</vt:i4>
      </vt:variant>
      <vt:variant>
        <vt:i4>5</vt:i4>
      </vt:variant>
      <vt:variant>
        <vt:lpwstr/>
      </vt:variant>
      <vt:variant>
        <vt:lpwstr>tdm</vt:lpwstr>
      </vt:variant>
      <vt:variant>
        <vt:i4>6553716</vt:i4>
      </vt:variant>
      <vt:variant>
        <vt:i4>159</vt:i4>
      </vt:variant>
      <vt:variant>
        <vt:i4>0</vt:i4>
      </vt:variant>
      <vt:variant>
        <vt:i4>5</vt:i4>
      </vt:variant>
      <vt:variant>
        <vt:lpwstr/>
      </vt:variant>
      <vt:variant>
        <vt:lpwstr>tdm</vt:lpwstr>
      </vt:variant>
      <vt:variant>
        <vt:i4>6029426</vt:i4>
      </vt:variant>
      <vt:variant>
        <vt:i4>156</vt:i4>
      </vt:variant>
      <vt:variant>
        <vt:i4>0</vt:i4>
      </vt:variant>
      <vt:variant>
        <vt:i4>5</vt:i4>
      </vt:variant>
      <vt:variant>
        <vt:lpwstr/>
      </vt:variant>
      <vt:variant>
        <vt:lpwstr>Pol_EU_index_thematique</vt:lpwstr>
      </vt:variant>
      <vt:variant>
        <vt:i4>3342365</vt:i4>
      </vt:variant>
      <vt:variant>
        <vt:i4>153</vt:i4>
      </vt:variant>
      <vt:variant>
        <vt:i4>0</vt:i4>
      </vt:variant>
      <vt:variant>
        <vt:i4>5</vt:i4>
      </vt:variant>
      <vt:variant>
        <vt:lpwstr/>
      </vt:variant>
      <vt:variant>
        <vt:lpwstr>Pol_EU_index_noms</vt:lpwstr>
      </vt:variant>
      <vt:variant>
        <vt:i4>2883619</vt:i4>
      </vt:variant>
      <vt:variant>
        <vt:i4>150</vt:i4>
      </vt:variant>
      <vt:variant>
        <vt:i4>0</vt:i4>
      </vt:variant>
      <vt:variant>
        <vt:i4>5</vt:i4>
      </vt:variant>
      <vt:variant>
        <vt:lpwstr/>
      </vt:variant>
      <vt:variant>
        <vt:lpwstr>Pol_EU_biblio</vt:lpwstr>
      </vt:variant>
      <vt:variant>
        <vt:i4>3670070</vt:i4>
      </vt:variant>
      <vt:variant>
        <vt:i4>147</vt:i4>
      </vt:variant>
      <vt:variant>
        <vt:i4>0</vt:i4>
      </vt:variant>
      <vt:variant>
        <vt:i4>5</vt:i4>
      </vt:variant>
      <vt:variant>
        <vt:lpwstr/>
      </vt:variant>
      <vt:variant>
        <vt:lpwstr>Pol_EU_conclusion</vt:lpwstr>
      </vt:variant>
      <vt:variant>
        <vt:i4>4390924</vt:i4>
      </vt:variant>
      <vt:variant>
        <vt:i4>144</vt:i4>
      </vt:variant>
      <vt:variant>
        <vt:i4>0</vt:i4>
      </vt:variant>
      <vt:variant>
        <vt:i4>5</vt:i4>
      </vt:variant>
      <vt:variant>
        <vt:lpwstr/>
      </vt:variant>
      <vt:variant>
        <vt:lpwstr>Pol_EU_pt_3_chap_10_2</vt:lpwstr>
      </vt:variant>
      <vt:variant>
        <vt:i4>4390924</vt:i4>
      </vt:variant>
      <vt:variant>
        <vt:i4>141</vt:i4>
      </vt:variant>
      <vt:variant>
        <vt:i4>0</vt:i4>
      </vt:variant>
      <vt:variant>
        <vt:i4>5</vt:i4>
      </vt:variant>
      <vt:variant>
        <vt:lpwstr/>
      </vt:variant>
      <vt:variant>
        <vt:lpwstr>Pol_EU_pt_3_chap_10_1</vt:lpwstr>
      </vt:variant>
      <vt:variant>
        <vt:i4>1835068</vt:i4>
      </vt:variant>
      <vt:variant>
        <vt:i4>138</vt:i4>
      </vt:variant>
      <vt:variant>
        <vt:i4>0</vt:i4>
      </vt:variant>
      <vt:variant>
        <vt:i4>5</vt:i4>
      </vt:variant>
      <vt:variant>
        <vt:lpwstr/>
      </vt:variant>
      <vt:variant>
        <vt:lpwstr>Pol_EU_pt_3_chap_10</vt:lpwstr>
      </vt:variant>
      <vt:variant>
        <vt:i4>4325381</vt:i4>
      </vt:variant>
      <vt:variant>
        <vt:i4>135</vt:i4>
      </vt:variant>
      <vt:variant>
        <vt:i4>0</vt:i4>
      </vt:variant>
      <vt:variant>
        <vt:i4>5</vt:i4>
      </vt:variant>
      <vt:variant>
        <vt:lpwstr/>
      </vt:variant>
      <vt:variant>
        <vt:lpwstr>Pol_EU_pt_3_chap_09_2</vt:lpwstr>
      </vt:variant>
      <vt:variant>
        <vt:i4>4325381</vt:i4>
      </vt:variant>
      <vt:variant>
        <vt:i4>132</vt:i4>
      </vt:variant>
      <vt:variant>
        <vt:i4>0</vt:i4>
      </vt:variant>
      <vt:variant>
        <vt:i4>5</vt:i4>
      </vt:variant>
      <vt:variant>
        <vt:lpwstr/>
      </vt:variant>
      <vt:variant>
        <vt:lpwstr>Pol_EU_pt_3_chap_09_1</vt:lpwstr>
      </vt:variant>
      <vt:variant>
        <vt:i4>1900604</vt:i4>
      </vt:variant>
      <vt:variant>
        <vt:i4>129</vt:i4>
      </vt:variant>
      <vt:variant>
        <vt:i4>0</vt:i4>
      </vt:variant>
      <vt:variant>
        <vt:i4>5</vt:i4>
      </vt:variant>
      <vt:variant>
        <vt:lpwstr/>
      </vt:variant>
      <vt:variant>
        <vt:lpwstr>Pol_EU_pt_3_chap_09</vt:lpwstr>
      </vt:variant>
      <vt:variant>
        <vt:i4>4325380</vt:i4>
      </vt:variant>
      <vt:variant>
        <vt:i4>126</vt:i4>
      </vt:variant>
      <vt:variant>
        <vt:i4>0</vt:i4>
      </vt:variant>
      <vt:variant>
        <vt:i4>5</vt:i4>
      </vt:variant>
      <vt:variant>
        <vt:lpwstr/>
      </vt:variant>
      <vt:variant>
        <vt:lpwstr>Pol_EU_pt_3_chap_08_2</vt:lpwstr>
      </vt:variant>
      <vt:variant>
        <vt:i4>4325380</vt:i4>
      </vt:variant>
      <vt:variant>
        <vt:i4>123</vt:i4>
      </vt:variant>
      <vt:variant>
        <vt:i4>0</vt:i4>
      </vt:variant>
      <vt:variant>
        <vt:i4>5</vt:i4>
      </vt:variant>
      <vt:variant>
        <vt:lpwstr/>
      </vt:variant>
      <vt:variant>
        <vt:lpwstr>Pol_EU_pt_3_chap_08_1</vt:lpwstr>
      </vt:variant>
      <vt:variant>
        <vt:i4>1900604</vt:i4>
      </vt:variant>
      <vt:variant>
        <vt:i4>120</vt:i4>
      </vt:variant>
      <vt:variant>
        <vt:i4>0</vt:i4>
      </vt:variant>
      <vt:variant>
        <vt:i4>5</vt:i4>
      </vt:variant>
      <vt:variant>
        <vt:lpwstr/>
      </vt:variant>
      <vt:variant>
        <vt:lpwstr>Pol_EU_pt_3_chap_08</vt:lpwstr>
      </vt:variant>
      <vt:variant>
        <vt:i4>6946898</vt:i4>
      </vt:variant>
      <vt:variant>
        <vt:i4>117</vt:i4>
      </vt:variant>
      <vt:variant>
        <vt:i4>0</vt:i4>
      </vt:variant>
      <vt:variant>
        <vt:i4>5</vt:i4>
      </vt:variant>
      <vt:variant>
        <vt:lpwstr/>
      </vt:variant>
      <vt:variant>
        <vt:lpwstr>Pol_EU_pt_3</vt:lpwstr>
      </vt:variant>
      <vt:variant>
        <vt:i4>4325386</vt:i4>
      </vt:variant>
      <vt:variant>
        <vt:i4>114</vt:i4>
      </vt:variant>
      <vt:variant>
        <vt:i4>0</vt:i4>
      </vt:variant>
      <vt:variant>
        <vt:i4>5</vt:i4>
      </vt:variant>
      <vt:variant>
        <vt:lpwstr/>
      </vt:variant>
      <vt:variant>
        <vt:lpwstr>Pol_EU_pt_2_chap_07_3</vt:lpwstr>
      </vt:variant>
      <vt:variant>
        <vt:i4>4325386</vt:i4>
      </vt:variant>
      <vt:variant>
        <vt:i4>111</vt:i4>
      </vt:variant>
      <vt:variant>
        <vt:i4>0</vt:i4>
      </vt:variant>
      <vt:variant>
        <vt:i4>5</vt:i4>
      </vt:variant>
      <vt:variant>
        <vt:lpwstr/>
      </vt:variant>
      <vt:variant>
        <vt:lpwstr>Pol_EU_pt_2_chap_07_2</vt:lpwstr>
      </vt:variant>
      <vt:variant>
        <vt:i4>4325386</vt:i4>
      </vt:variant>
      <vt:variant>
        <vt:i4>108</vt:i4>
      </vt:variant>
      <vt:variant>
        <vt:i4>0</vt:i4>
      </vt:variant>
      <vt:variant>
        <vt:i4>5</vt:i4>
      </vt:variant>
      <vt:variant>
        <vt:lpwstr/>
      </vt:variant>
      <vt:variant>
        <vt:lpwstr>Pol_EU_pt_2_chap_07_1</vt:lpwstr>
      </vt:variant>
      <vt:variant>
        <vt:i4>1900605</vt:i4>
      </vt:variant>
      <vt:variant>
        <vt:i4>105</vt:i4>
      </vt:variant>
      <vt:variant>
        <vt:i4>0</vt:i4>
      </vt:variant>
      <vt:variant>
        <vt:i4>5</vt:i4>
      </vt:variant>
      <vt:variant>
        <vt:lpwstr/>
      </vt:variant>
      <vt:variant>
        <vt:lpwstr>Pol_EU_pt_2_chap_07</vt:lpwstr>
      </vt:variant>
      <vt:variant>
        <vt:i4>4325387</vt:i4>
      </vt:variant>
      <vt:variant>
        <vt:i4>102</vt:i4>
      </vt:variant>
      <vt:variant>
        <vt:i4>0</vt:i4>
      </vt:variant>
      <vt:variant>
        <vt:i4>5</vt:i4>
      </vt:variant>
      <vt:variant>
        <vt:lpwstr/>
      </vt:variant>
      <vt:variant>
        <vt:lpwstr>Pol_EU_pt_2_chap_06_4</vt:lpwstr>
      </vt:variant>
      <vt:variant>
        <vt:i4>4325387</vt:i4>
      </vt:variant>
      <vt:variant>
        <vt:i4>99</vt:i4>
      </vt:variant>
      <vt:variant>
        <vt:i4>0</vt:i4>
      </vt:variant>
      <vt:variant>
        <vt:i4>5</vt:i4>
      </vt:variant>
      <vt:variant>
        <vt:lpwstr/>
      </vt:variant>
      <vt:variant>
        <vt:lpwstr>Pol_EU_pt_2_chap_06_3</vt:lpwstr>
      </vt:variant>
      <vt:variant>
        <vt:i4>4325387</vt:i4>
      </vt:variant>
      <vt:variant>
        <vt:i4>96</vt:i4>
      </vt:variant>
      <vt:variant>
        <vt:i4>0</vt:i4>
      </vt:variant>
      <vt:variant>
        <vt:i4>5</vt:i4>
      </vt:variant>
      <vt:variant>
        <vt:lpwstr/>
      </vt:variant>
      <vt:variant>
        <vt:lpwstr>Pol_EU_pt_2_chap_06_2</vt:lpwstr>
      </vt:variant>
      <vt:variant>
        <vt:i4>4325387</vt:i4>
      </vt:variant>
      <vt:variant>
        <vt:i4>93</vt:i4>
      </vt:variant>
      <vt:variant>
        <vt:i4>0</vt:i4>
      </vt:variant>
      <vt:variant>
        <vt:i4>5</vt:i4>
      </vt:variant>
      <vt:variant>
        <vt:lpwstr/>
      </vt:variant>
      <vt:variant>
        <vt:lpwstr>Pol_EU_pt_2_chap_06_1</vt:lpwstr>
      </vt:variant>
      <vt:variant>
        <vt:i4>1900605</vt:i4>
      </vt:variant>
      <vt:variant>
        <vt:i4>90</vt:i4>
      </vt:variant>
      <vt:variant>
        <vt:i4>0</vt:i4>
      </vt:variant>
      <vt:variant>
        <vt:i4>5</vt:i4>
      </vt:variant>
      <vt:variant>
        <vt:lpwstr/>
      </vt:variant>
      <vt:variant>
        <vt:lpwstr>Pol_EU_pt_2_chap_06</vt:lpwstr>
      </vt:variant>
      <vt:variant>
        <vt:i4>4325384</vt:i4>
      </vt:variant>
      <vt:variant>
        <vt:i4>87</vt:i4>
      </vt:variant>
      <vt:variant>
        <vt:i4>0</vt:i4>
      </vt:variant>
      <vt:variant>
        <vt:i4>5</vt:i4>
      </vt:variant>
      <vt:variant>
        <vt:lpwstr/>
      </vt:variant>
      <vt:variant>
        <vt:lpwstr>Pol_EU_pt_2_chap_05_2</vt:lpwstr>
      </vt:variant>
      <vt:variant>
        <vt:i4>4325384</vt:i4>
      </vt:variant>
      <vt:variant>
        <vt:i4>84</vt:i4>
      </vt:variant>
      <vt:variant>
        <vt:i4>0</vt:i4>
      </vt:variant>
      <vt:variant>
        <vt:i4>5</vt:i4>
      </vt:variant>
      <vt:variant>
        <vt:lpwstr/>
      </vt:variant>
      <vt:variant>
        <vt:lpwstr>Pol_EU_pt_2_chap_05_1</vt:lpwstr>
      </vt:variant>
      <vt:variant>
        <vt:i4>1900605</vt:i4>
      </vt:variant>
      <vt:variant>
        <vt:i4>81</vt:i4>
      </vt:variant>
      <vt:variant>
        <vt:i4>0</vt:i4>
      </vt:variant>
      <vt:variant>
        <vt:i4>5</vt:i4>
      </vt:variant>
      <vt:variant>
        <vt:lpwstr/>
      </vt:variant>
      <vt:variant>
        <vt:lpwstr>Pol_EU_pt_2_chap_05</vt:lpwstr>
      </vt:variant>
      <vt:variant>
        <vt:i4>6946898</vt:i4>
      </vt:variant>
      <vt:variant>
        <vt:i4>78</vt:i4>
      </vt:variant>
      <vt:variant>
        <vt:i4>0</vt:i4>
      </vt:variant>
      <vt:variant>
        <vt:i4>5</vt:i4>
      </vt:variant>
      <vt:variant>
        <vt:lpwstr/>
      </vt:variant>
      <vt:variant>
        <vt:lpwstr>Pol_EU_pt_2</vt:lpwstr>
      </vt:variant>
      <vt:variant>
        <vt:i4>4325386</vt:i4>
      </vt:variant>
      <vt:variant>
        <vt:i4>75</vt:i4>
      </vt:variant>
      <vt:variant>
        <vt:i4>0</vt:i4>
      </vt:variant>
      <vt:variant>
        <vt:i4>5</vt:i4>
      </vt:variant>
      <vt:variant>
        <vt:lpwstr/>
      </vt:variant>
      <vt:variant>
        <vt:lpwstr>Pol_EU_pt_1_chap_04_3</vt:lpwstr>
      </vt:variant>
      <vt:variant>
        <vt:i4>4325386</vt:i4>
      </vt:variant>
      <vt:variant>
        <vt:i4>72</vt:i4>
      </vt:variant>
      <vt:variant>
        <vt:i4>0</vt:i4>
      </vt:variant>
      <vt:variant>
        <vt:i4>5</vt:i4>
      </vt:variant>
      <vt:variant>
        <vt:lpwstr/>
      </vt:variant>
      <vt:variant>
        <vt:lpwstr>Pol_EU_pt_1_chap_04_2</vt:lpwstr>
      </vt:variant>
      <vt:variant>
        <vt:i4>4325386</vt:i4>
      </vt:variant>
      <vt:variant>
        <vt:i4>69</vt:i4>
      </vt:variant>
      <vt:variant>
        <vt:i4>0</vt:i4>
      </vt:variant>
      <vt:variant>
        <vt:i4>5</vt:i4>
      </vt:variant>
      <vt:variant>
        <vt:lpwstr/>
      </vt:variant>
      <vt:variant>
        <vt:lpwstr>Pol_EU_pt_1_chap_04_1</vt:lpwstr>
      </vt:variant>
      <vt:variant>
        <vt:i4>1900606</vt:i4>
      </vt:variant>
      <vt:variant>
        <vt:i4>66</vt:i4>
      </vt:variant>
      <vt:variant>
        <vt:i4>0</vt:i4>
      </vt:variant>
      <vt:variant>
        <vt:i4>5</vt:i4>
      </vt:variant>
      <vt:variant>
        <vt:lpwstr/>
      </vt:variant>
      <vt:variant>
        <vt:lpwstr>Pol_EU_pt_1_chap_04</vt:lpwstr>
      </vt:variant>
      <vt:variant>
        <vt:i4>4325389</vt:i4>
      </vt:variant>
      <vt:variant>
        <vt:i4>63</vt:i4>
      </vt:variant>
      <vt:variant>
        <vt:i4>0</vt:i4>
      </vt:variant>
      <vt:variant>
        <vt:i4>5</vt:i4>
      </vt:variant>
      <vt:variant>
        <vt:lpwstr/>
      </vt:variant>
      <vt:variant>
        <vt:lpwstr>Pol_EU_pt_1_chap_03_2</vt:lpwstr>
      </vt:variant>
      <vt:variant>
        <vt:i4>4325389</vt:i4>
      </vt:variant>
      <vt:variant>
        <vt:i4>60</vt:i4>
      </vt:variant>
      <vt:variant>
        <vt:i4>0</vt:i4>
      </vt:variant>
      <vt:variant>
        <vt:i4>5</vt:i4>
      </vt:variant>
      <vt:variant>
        <vt:lpwstr/>
      </vt:variant>
      <vt:variant>
        <vt:lpwstr>Pol_EU_pt_1_chap_03_1</vt:lpwstr>
      </vt:variant>
      <vt:variant>
        <vt:i4>1900606</vt:i4>
      </vt:variant>
      <vt:variant>
        <vt:i4>57</vt:i4>
      </vt:variant>
      <vt:variant>
        <vt:i4>0</vt:i4>
      </vt:variant>
      <vt:variant>
        <vt:i4>5</vt:i4>
      </vt:variant>
      <vt:variant>
        <vt:lpwstr/>
      </vt:variant>
      <vt:variant>
        <vt:lpwstr>Pol_EU_pt_1_chap_03</vt:lpwstr>
      </vt:variant>
      <vt:variant>
        <vt:i4>4325388</vt:i4>
      </vt:variant>
      <vt:variant>
        <vt:i4>54</vt:i4>
      </vt:variant>
      <vt:variant>
        <vt:i4>0</vt:i4>
      </vt:variant>
      <vt:variant>
        <vt:i4>5</vt:i4>
      </vt:variant>
      <vt:variant>
        <vt:lpwstr/>
      </vt:variant>
      <vt:variant>
        <vt:lpwstr>Pol_EU_pt_1_chap_02_3</vt:lpwstr>
      </vt:variant>
      <vt:variant>
        <vt:i4>4325388</vt:i4>
      </vt:variant>
      <vt:variant>
        <vt:i4>51</vt:i4>
      </vt:variant>
      <vt:variant>
        <vt:i4>0</vt:i4>
      </vt:variant>
      <vt:variant>
        <vt:i4>5</vt:i4>
      </vt:variant>
      <vt:variant>
        <vt:lpwstr/>
      </vt:variant>
      <vt:variant>
        <vt:lpwstr>Pol_EU_pt_1_chap_02_2</vt:lpwstr>
      </vt:variant>
      <vt:variant>
        <vt:i4>4325388</vt:i4>
      </vt:variant>
      <vt:variant>
        <vt:i4>48</vt:i4>
      </vt:variant>
      <vt:variant>
        <vt:i4>0</vt:i4>
      </vt:variant>
      <vt:variant>
        <vt:i4>5</vt:i4>
      </vt:variant>
      <vt:variant>
        <vt:lpwstr/>
      </vt:variant>
      <vt:variant>
        <vt:lpwstr>Pol_EU_pt_1_chap_02_1</vt:lpwstr>
      </vt:variant>
      <vt:variant>
        <vt:i4>1900606</vt:i4>
      </vt:variant>
      <vt:variant>
        <vt:i4>45</vt:i4>
      </vt:variant>
      <vt:variant>
        <vt:i4>0</vt:i4>
      </vt:variant>
      <vt:variant>
        <vt:i4>5</vt:i4>
      </vt:variant>
      <vt:variant>
        <vt:lpwstr/>
      </vt:variant>
      <vt:variant>
        <vt:lpwstr>Pol_EU_pt_1_chap_02</vt:lpwstr>
      </vt:variant>
      <vt:variant>
        <vt:i4>4325391</vt:i4>
      </vt:variant>
      <vt:variant>
        <vt:i4>42</vt:i4>
      </vt:variant>
      <vt:variant>
        <vt:i4>0</vt:i4>
      </vt:variant>
      <vt:variant>
        <vt:i4>5</vt:i4>
      </vt:variant>
      <vt:variant>
        <vt:lpwstr/>
      </vt:variant>
      <vt:variant>
        <vt:lpwstr>Pol_EU_pt_1_chap_01_3</vt:lpwstr>
      </vt:variant>
      <vt:variant>
        <vt:i4>4325391</vt:i4>
      </vt:variant>
      <vt:variant>
        <vt:i4>39</vt:i4>
      </vt:variant>
      <vt:variant>
        <vt:i4>0</vt:i4>
      </vt:variant>
      <vt:variant>
        <vt:i4>5</vt:i4>
      </vt:variant>
      <vt:variant>
        <vt:lpwstr/>
      </vt:variant>
      <vt:variant>
        <vt:lpwstr>Pol_EU_pt_1_chap_01_2</vt:lpwstr>
      </vt:variant>
      <vt:variant>
        <vt:i4>4325391</vt:i4>
      </vt:variant>
      <vt:variant>
        <vt:i4>36</vt:i4>
      </vt:variant>
      <vt:variant>
        <vt:i4>0</vt:i4>
      </vt:variant>
      <vt:variant>
        <vt:i4>5</vt:i4>
      </vt:variant>
      <vt:variant>
        <vt:lpwstr/>
      </vt:variant>
      <vt:variant>
        <vt:lpwstr>Pol_EU_pt_1_chap_01_1</vt:lpwstr>
      </vt:variant>
      <vt:variant>
        <vt:i4>1900606</vt:i4>
      </vt:variant>
      <vt:variant>
        <vt:i4>33</vt:i4>
      </vt:variant>
      <vt:variant>
        <vt:i4>0</vt:i4>
      </vt:variant>
      <vt:variant>
        <vt:i4>5</vt:i4>
      </vt:variant>
      <vt:variant>
        <vt:lpwstr/>
      </vt:variant>
      <vt:variant>
        <vt:lpwstr>Pol_EU_pt_1_chap_01</vt:lpwstr>
      </vt:variant>
      <vt:variant>
        <vt:i4>6946898</vt:i4>
      </vt:variant>
      <vt:variant>
        <vt:i4>30</vt:i4>
      </vt:variant>
      <vt:variant>
        <vt:i4>0</vt:i4>
      </vt:variant>
      <vt:variant>
        <vt:i4>5</vt:i4>
      </vt:variant>
      <vt:variant>
        <vt:lpwstr/>
      </vt:variant>
      <vt:variant>
        <vt:lpwstr>Pol_EU_pt_1</vt:lpwstr>
      </vt:variant>
      <vt:variant>
        <vt:i4>3604538</vt:i4>
      </vt:variant>
      <vt:variant>
        <vt:i4>27</vt:i4>
      </vt:variant>
      <vt:variant>
        <vt:i4>0</vt:i4>
      </vt:variant>
      <vt:variant>
        <vt:i4>5</vt:i4>
      </vt:variant>
      <vt:variant>
        <vt:lpwstr/>
      </vt:variant>
      <vt:variant>
        <vt:lpwstr>Pol_EU_intro</vt:lpwstr>
      </vt:variant>
      <vt:variant>
        <vt:i4>4063334</vt:i4>
      </vt:variant>
      <vt:variant>
        <vt:i4>24</vt:i4>
      </vt:variant>
      <vt:variant>
        <vt:i4>0</vt:i4>
      </vt:variant>
      <vt:variant>
        <vt:i4>5</vt:i4>
      </vt:variant>
      <vt:variant>
        <vt:lpwstr/>
      </vt:variant>
      <vt:variant>
        <vt:lpwstr>Pol_EU_4e_de_couverture</vt:lpwstr>
      </vt:variant>
      <vt:variant>
        <vt:i4>6357089</vt:i4>
      </vt:variant>
      <vt:variant>
        <vt:i4>21</vt:i4>
      </vt:variant>
      <vt:variant>
        <vt:i4>0</vt:i4>
      </vt:variant>
      <vt:variant>
        <vt:i4>5</vt:i4>
      </vt:variant>
      <vt:variant>
        <vt:lpwstr>http://www.sciences-po.fr/edition/</vt:lpwstr>
      </vt:variant>
      <vt:variant>
        <vt:lpwstr/>
      </vt:variant>
      <vt:variant>
        <vt:i4>6553716</vt:i4>
      </vt:variant>
      <vt:variant>
        <vt:i4>18</vt:i4>
      </vt:variant>
      <vt:variant>
        <vt:i4>0</vt:i4>
      </vt:variant>
      <vt:variant>
        <vt:i4>5</vt:i4>
      </vt:variant>
      <vt:variant>
        <vt:lpwstr/>
      </vt:variant>
      <vt:variant>
        <vt:lpwstr>tdm</vt:lpwstr>
      </vt:variant>
      <vt:variant>
        <vt:i4>6553614</vt:i4>
      </vt:variant>
      <vt:variant>
        <vt:i4>15</vt:i4>
      </vt:variant>
      <vt:variant>
        <vt:i4>0</vt:i4>
      </vt:variant>
      <vt:variant>
        <vt:i4>5</vt:i4>
      </vt:variant>
      <vt:variant>
        <vt:lpwstr>mailto:louis.balthazar@videotron.ca</vt:lpwstr>
      </vt:variant>
      <vt:variant>
        <vt:lpwstr/>
      </vt:variant>
      <vt:variant>
        <vt:i4>3997701</vt:i4>
      </vt:variant>
      <vt:variant>
        <vt:i4>12</vt:i4>
      </vt:variant>
      <vt:variant>
        <vt:i4>0</vt:i4>
      </vt:variant>
      <vt:variant>
        <vt:i4>5</vt:i4>
      </vt:variant>
      <vt:variant>
        <vt:lpwstr>http://classiques.uqac.ca/inter/benevoles_equipe/liste_irambona_elvis-noel.html</vt:lpwstr>
      </vt:variant>
      <vt:variant>
        <vt:lpwstr/>
      </vt:variant>
      <vt:variant>
        <vt:i4>3997701</vt:i4>
      </vt:variant>
      <vt:variant>
        <vt:i4>9</vt:i4>
      </vt:variant>
      <vt:variant>
        <vt:i4>0</vt:i4>
      </vt:variant>
      <vt:variant>
        <vt:i4>5</vt:i4>
      </vt:variant>
      <vt:variant>
        <vt:lpwstr>http://classiques.uqac.ca/inter/benevoles_equipe/liste_irambona_elvis-noel.html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7143481</vt:i4>
      </vt:variant>
      <vt:variant>
        <vt:i4>36</vt:i4>
      </vt:variant>
      <vt:variant>
        <vt:i4>0</vt:i4>
      </vt:variant>
      <vt:variant>
        <vt:i4>5</vt:i4>
      </vt:variant>
      <vt:variant>
        <vt:lpwstr>http://www.commoncause.org/laundromat/</vt:lpwstr>
      </vt:variant>
      <vt:variant>
        <vt:lpwstr/>
      </vt:variant>
      <vt:variant>
        <vt:i4>6488191</vt:i4>
      </vt:variant>
      <vt:variant>
        <vt:i4>33</vt:i4>
      </vt:variant>
      <vt:variant>
        <vt:i4>0</vt:i4>
      </vt:variant>
      <vt:variant>
        <vt:i4>5</vt:i4>
      </vt:variant>
      <vt:variant>
        <vt:lpwstr>http://dx.doi.org/doi:10.1522/cla.toa.dem1</vt:lpwstr>
      </vt:variant>
      <vt:variant>
        <vt:lpwstr/>
      </vt:variant>
      <vt:variant>
        <vt:i4>6029390</vt:i4>
      </vt:variant>
      <vt:variant>
        <vt:i4>30</vt:i4>
      </vt:variant>
      <vt:variant>
        <vt:i4>0</vt:i4>
      </vt:variant>
      <vt:variant>
        <vt:i4>5</vt:i4>
      </vt:variant>
      <vt:variant>
        <vt:lpwstr>http://www.harrisinteractive.com/news/allnewsbydate.aspPNews</vt:lpwstr>
      </vt:variant>
      <vt:variant>
        <vt:lpwstr/>
      </vt:variant>
      <vt:variant>
        <vt:i4>3866659</vt:i4>
      </vt:variant>
      <vt:variant>
        <vt:i4>27</vt:i4>
      </vt:variant>
      <vt:variant>
        <vt:i4>0</vt:i4>
      </vt:variant>
      <vt:variant>
        <vt:i4>5</vt:i4>
      </vt:variant>
      <vt:variant>
        <vt:lpwstr>http://www.gallup.com/</vt:lpwstr>
      </vt:variant>
      <vt:variant>
        <vt:lpwstr/>
      </vt:variant>
      <vt:variant>
        <vt:i4>6094921</vt:i4>
      </vt:variant>
      <vt:variant>
        <vt:i4>24</vt:i4>
      </vt:variant>
      <vt:variant>
        <vt:i4>0</vt:i4>
      </vt:variant>
      <vt:variant>
        <vt:i4>5</vt:i4>
      </vt:variant>
      <vt:variant>
        <vt:lpwstr>http://www.ccfr.org/</vt:lpwstr>
      </vt:variant>
      <vt:variant>
        <vt:lpwstr/>
      </vt:variant>
      <vt:variant>
        <vt:i4>6488191</vt:i4>
      </vt:variant>
      <vt:variant>
        <vt:i4>21</vt:i4>
      </vt:variant>
      <vt:variant>
        <vt:i4>0</vt:i4>
      </vt:variant>
      <vt:variant>
        <vt:i4>5</vt:i4>
      </vt:variant>
      <vt:variant>
        <vt:lpwstr>http://dx.doi.org/doi:10.1522/cla.toa.dem1</vt:lpwstr>
      </vt:variant>
      <vt:variant>
        <vt:lpwstr/>
      </vt:variant>
      <vt:variant>
        <vt:i4>3342376</vt:i4>
      </vt:variant>
      <vt:variant>
        <vt:i4>18</vt:i4>
      </vt:variant>
      <vt:variant>
        <vt:i4>0</vt:i4>
      </vt:variant>
      <vt:variant>
        <vt:i4>5</vt:i4>
      </vt:variant>
      <vt:variant>
        <vt:lpwstr>http://nsarchive.chadwyck.com/</vt:lpwstr>
      </vt:variant>
      <vt:variant>
        <vt:lpwstr/>
      </vt:variant>
      <vt:variant>
        <vt:i4>6619197</vt:i4>
      </vt:variant>
      <vt:variant>
        <vt:i4>15</vt:i4>
      </vt:variant>
      <vt:variant>
        <vt:i4>0</vt:i4>
      </vt:variant>
      <vt:variant>
        <vt:i4>5</vt:i4>
      </vt:variant>
      <vt:variant>
        <vt:lpwstr>http://www.tysknews.com/Depts/</vt:lpwstr>
      </vt:variant>
      <vt:variant>
        <vt:lpwstr/>
      </vt:variant>
      <vt:variant>
        <vt:i4>4325475</vt:i4>
      </vt:variant>
      <vt:variant>
        <vt:i4>12</vt:i4>
      </vt:variant>
      <vt:variant>
        <vt:i4>0</vt:i4>
      </vt:variant>
      <vt:variant>
        <vt:i4>5</vt:i4>
      </vt:variant>
      <vt:variant>
        <vt:lpwstr>http://www.dandurand.uqam.ca/Observatoire/Download/Regards_Amerique/Regards_%20Amerique_v2n2.pdf</vt:lpwstr>
      </vt:variant>
      <vt:variant>
        <vt:lpwstr/>
      </vt:variant>
      <vt:variant>
        <vt:i4>5046354</vt:i4>
      </vt:variant>
      <vt:variant>
        <vt:i4>9</vt:i4>
      </vt:variant>
      <vt:variant>
        <vt:i4>0</vt:i4>
      </vt:variant>
      <vt:variant>
        <vt:i4>5</vt:i4>
      </vt:variant>
      <vt:variant>
        <vt:lpwstr>http://www.conservativeforum.org/authquot</vt:lpwstr>
      </vt:variant>
      <vt:variant>
        <vt:lpwstr/>
      </vt:variant>
      <vt:variant>
        <vt:i4>1179727</vt:i4>
      </vt:variant>
      <vt:variant>
        <vt:i4>6</vt:i4>
      </vt:variant>
      <vt:variant>
        <vt:i4>0</vt:i4>
      </vt:variant>
      <vt:variant>
        <vt:i4>5</vt:i4>
      </vt:variant>
      <vt:variant>
        <vt:lpwstr>http://www.buchanan.org/OOO-c-foreignpolicy.html</vt:lpwstr>
      </vt:variant>
      <vt:variant>
        <vt:lpwstr/>
      </vt:variant>
      <vt:variant>
        <vt:i4>6488191</vt:i4>
      </vt:variant>
      <vt:variant>
        <vt:i4>3</vt:i4>
      </vt:variant>
      <vt:variant>
        <vt:i4>0</vt:i4>
      </vt:variant>
      <vt:variant>
        <vt:i4>5</vt:i4>
      </vt:variant>
      <vt:variant>
        <vt:lpwstr>http://dx.doi.org/doi:10.1522/cla.toa.dem1</vt:lpwstr>
      </vt:variant>
      <vt:variant>
        <vt:lpwstr/>
      </vt:variant>
      <vt:variant>
        <vt:i4>6488191</vt:i4>
      </vt:variant>
      <vt:variant>
        <vt:i4>0</vt:i4>
      </vt:variant>
      <vt:variant>
        <vt:i4>0</vt:i4>
      </vt:variant>
      <vt:variant>
        <vt:i4>5</vt:i4>
      </vt:variant>
      <vt:variant>
        <vt:lpwstr>http://dx.doi.org/doi:10.1522/cla.toa.dem1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politique étrangère des Etats-Unis. Fondements, acteurs, formulation </dc:title>
  <dc:subject/>
  <dc:creator>Charles-Philippe David, Louis Balthazar, Justin Vaisse, 2003.</dc:creator>
  <cp:keywords>classiques.sc.soc@gmail.com</cp:keywords>
  <dc:description>http://classiques.uqac.ca/</dc:description>
  <cp:lastModifiedBy>jean-marie tremblay</cp:lastModifiedBy>
  <cp:revision>2</cp:revision>
  <cp:lastPrinted>2001-08-26T19:33:00Z</cp:lastPrinted>
  <dcterms:created xsi:type="dcterms:W3CDTF">2022-12-06T13:50:00Z</dcterms:created>
  <dcterms:modified xsi:type="dcterms:W3CDTF">2022-12-06T13:50:00Z</dcterms:modified>
  <cp:category>jean-marie tremblay, sociologue, fondateur, 1993.</cp:category>
</cp:coreProperties>
</file>