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9729B" w:rsidRPr="00E07116">
        <w:tblPrEx>
          <w:tblCellMar>
            <w:top w:w="0" w:type="dxa"/>
            <w:bottom w:w="0" w:type="dxa"/>
          </w:tblCellMar>
        </w:tblPrEx>
        <w:tc>
          <w:tcPr>
            <w:tcW w:w="9160" w:type="dxa"/>
            <w:shd w:val="clear" w:color="auto" w:fill="E1E0D4"/>
          </w:tcPr>
          <w:p w:rsidR="00A9729B" w:rsidRPr="00E07116" w:rsidRDefault="00A9729B" w:rsidP="00A9729B">
            <w:pPr>
              <w:pStyle w:val="En-tte"/>
              <w:tabs>
                <w:tab w:val="clear" w:pos="4320"/>
                <w:tab w:val="clear" w:pos="8640"/>
              </w:tabs>
              <w:rPr>
                <w:rFonts w:ascii="Times New Roman" w:hAnsi="Times New Roman"/>
                <w:sz w:val="28"/>
                <w:lang w:val="en-CA" w:bidi="ar-SA"/>
              </w:rPr>
            </w:pPr>
            <w:bookmarkStart w:id="0" w:name="_GoBack"/>
            <w:bookmarkEnd w:id="0"/>
          </w:p>
          <w:p w:rsidR="00A9729B" w:rsidRPr="00E07116" w:rsidRDefault="00A9729B">
            <w:pPr>
              <w:ind w:firstLine="0"/>
              <w:jc w:val="center"/>
              <w:rPr>
                <w:b/>
                <w:lang w:bidi="ar-SA"/>
              </w:rPr>
            </w:pPr>
          </w:p>
          <w:p w:rsidR="00A9729B" w:rsidRPr="00E07116" w:rsidRDefault="00A9729B">
            <w:pPr>
              <w:ind w:firstLine="0"/>
              <w:jc w:val="center"/>
              <w:rPr>
                <w:b/>
                <w:lang w:bidi="ar-SA"/>
              </w:rPr>
            </w:pPr>
          </w:p>
          <w:p w:rsidR="00A9729B" w:rsidRDefault="00A9729B" w:rsidP="00A9729B">
            <w:pPr>
              <w:ind w:firstLine="0"/>
              <w:jc w:val="center"/>
              <w:rPr>
                <w:b/>
                <w:sz w:val="20"/>
                <w:lang w:bidi="ar-SA"/>
              </w:rPr>
            </w:pPr>
          </w:p>
          <w:p w:rsidR="00A9729B" w:rsidRDefault="00A9729B" w:rsidP="00A9729B">
            <w:pPr>
              <w:ind w:firstLine="0"/>
              <w:jc w:val="center"/>
              <w:rPr>
                <w:b/>
                <w:sz w:val="20"/>
                <w:lang w:bidi="ar-SA"/>
              </w:rPr>
            </w:pPr>
          </w:p>
          <w:p w:rsidR="00A9729B" w:rsidRDefault="00A9729B" w:rsidP="00A9729B">
            <w:pPr>
              <w:ind w:firstLine="0"/>
              <w:jc w:val="center"/>
              <w:rPr>
                <w:b/>
                <w:sz w:val="36"/>
              </w:rPr>
            </w:pPr>
            <w:r>
              <w:rPr>
                <w:sz w:val="36"/>
                <w:lang w:bidi="ar-SA"/>
              </w:rPr>
              <w:t>Jean-Paul BRODEUR</w:t>
            </w:r>
          </w:p>
          <w:p w:rsidR="00A9729B" w:rsidRPr="00F3780C" w:rsidRDefault="00A9729B" w:rsidP="00A9729B">
            <w:pPr>
              <w:ind w:firstLine="0"/>
              <w:jc w:val="center"/>
              <w:rPr>
                <w:sz w:val="20"/>
                <w:lang w:bidi="ar-SA"/>
              </w:rPr>
            </w:pPr>
          </w:p>
          <w:p w:rsidR="00A9729B" w:rsidRPr="00AA0F60" w:rsidRDefault="00A9729B" w:rsidP="00A9729B">
            <w:pPr>
              <w:pStyle w:val="Corpsdetexte"/>
              <w:widowControl w:val="0"/>
              <w:spacing w:before="0" w:after="0"/>
              <w:rPr>
                <w:sz w:val="44"/>
                <w:lang w:bidi="ar-SA"/>
              </w:rPr>
            </w:pPr>
            <w:r w:rsidRPr="00AA0F60">
              <w:rPr>
                <w:sz w:val="44"/>
                <w:lang w:bidi="ar-SA"/>
              </w:rPr>
              <w:t>(</w:t>
            </w:r>
            <w:r>
              <w:rPr>
                <w:sz w:val="44"/>
                <w:lang w:bidi="ar-SA"/>
              </w:rPr>
              <w:t>1973</w:t>
            </w:r>
            <w:r w:rsidRPr="00AA0F60">
              <w:rPr>
                <w:sz w:val="44"/>
                <w:lang w:bidi="ar-SA"/>
              </w:rPr>
              <w:t>)</w:t>
            </w:r>
          </w:p>
          <w:p w:rsidR="00A9729B" w:rsidRDefault="00A9729B" w:rsidP="00A9729B">
            <w:pPr>
              <w:pStyle w:val="Corpsdetexte"/>
              <w:widowControl w:val="0"/>
              <w:spacing w:before="0" w:after="0"/>
              <w:rPr>
                <w:color w:val="FF0000"/>
                <w:sz w:val="24"/>
                <w:lang w:bidi="ar-SA"/>
              </w:rPr>
            </w:pPr>
          </w:p>
          <w:p w:rsidR="00A9729B" w:rsidRDefault="00A9729B" w:rsidP="00A9729B">
            <w:pPr>
              <w:pStyle w:val="Corpsdetexte"/>
              <w:widowControl w:val="0"/>
              <w:spacing w:before="0" w:after="0"/>
              <w:rPr>
                <w:color w:val="FF0000"/>
                <w:sz w:val="24"/>
                <w:lang w:bidi="ar-SA"/>
              </w:rPr>
            </w:pPr>
          </w:p>
          <w:p w:rsidR="00A9729B" w:rsidRDefault="00A9729B" w:rsidP="00A9729B">
            <w:pPr>
              <w:pStyle w:val="Corpsdetexte"/>
              <w:widowControl w:val="0"/>
              <w:spacing w:before="0" w:after="0"/>
              <w:rPr>
                <w:color w:val="FF0000"/>
                <w:sz w:val="24"/>
                <w:lang w:bidi="ar-SA"/>
              </w:rPr>
            </w:pPr>
          </w:p>
          <w:p w:rsidR="00A9729B" w:rsidRPr="00C74C7C" w:rsidRDefault="00A9729B" w:rsidP="00A9729B">
            <w:pPr>
              <w:pStyle w:val="Titlest"/>
            </w:pPr>
            <w:r w:rsidRPr="00C74C7C">
              <w:t>“Culture</w:t>
            </w:r>
            <w:r w:rsidRPr="00C74C7C">
              <w:br/>
              <w:t>et Satur</w:t>
            </w:r>
            <w:r w:rsidRPr="00C74C7C">
              <w:t>a</w:t>
            </w:r>
            <w:r w:rsidRPr="00C74C7C">
              <w:t>tion.”</w:t>
            </w:r>
          </w:p>
          <w:p w:rsidR="00A9729B" w:rsidRDefault="00A9729B" w:rsidP="00A9729B">
            <w:pPr>
              <w:widowControl w:val="0"/>
              <w:ind w:firstLine="0"/>
              <w:jc w:val="center"/>
              <w:rPr>
                <w:lang w:bidi="ar-SA"/>
              </w:rPr>
            </w:pPr>
          </w:p>
          <w:p w:rsidR="00A9729B" w:rsidRDefault="00A9729B" w:rsidP="00A9729B">
            <w:pPr>
              <w:widowControl w:val="0"/>
              <w:ind w:firstLine="0"/>
              <w:jc w:val="center"/>
              <w:rPr>
                <w:lang w:bidi="ar-SA"/>
              </w:rPr>
            </w:pPr>
          </w:p>
          <w:p w:rsidR="00A9729B" w:rsidRDefault="00A9729B" w:rsidP="00A9729B">
            <w:pPr>
              <w:widowControl w:val="0"/>
              <w:ind w:firstLine="0"/>
              <w:jc w:val="center"/>
              <w:rPr>
                <w:lang w:bidi="ar-SA"/>
              </w:rPr>
            </w:pPr>
          </w:p>
          <w:p w:rsidR="00A9729B" w:rsidRDefault="00A9729B" w:rsidP="00A9729B">
            <w:pPr>
              <w:widowControl w:val="0"/>
              <w:ind w:firstLine="0"/>
              <w:jc w:val="center"/>
              <w:rPr>
                <w:lang w:bidi="ar-SA"/>
              </w:rPr>
            </w:pPr>
          </w:p>
          <w:p w:rsidR="00A9729B" w:rsidRDefault="00A9729B" w:rsidP="00A9729B">
            <w:pPr>
              <w:widowControl w:val="0"/>
              <w:ind w:firstLine="0"/>
              <w:jc w:val="center"/>
              <w:rPr>
                <w:sz w:val="20"/>
                <w:lang w:bidi="ar-SA"/>
              </w:rPr>
            </w:pPr>
          </w:p>
          <w:p w:rsidR="00A9729B" w:rsidRPr="00384B20" w:rsidRDefault="00A9729B">
            <w:pPr>
              <w:widowControl w:val="0"/>
              <w:ind w:firstLine="0"/>
              <w:jc w:val="center"/>
              <w:rPr>
                <w:sz w:val="20"/>
                <w:lang w:bidi="ar-SA"/>
              </w:rPr>
            </w:pPr>
          </w:p>
          <w:p w:rsidR="00A9729B" w:rsidRPr="00384B20" w:rsidRDefault="00A9729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9729B" w:rsidRPr="00E07116" w:rsidRDefault="00A9729B">
            <w:pPr>
              <w:widowControl w:val="0"/>
              <w:ind w:firstLine="0"/>
              <w:jc w:val="both"/>
              <w:rPr>
                <w:lang w:bidi="ar-SA"/>
              </w:rPr>
            </w:pPr>
          </w:p>
          <w:p w:rsidR="00A9729B" w:rsidRPr="00E07116" w:rsidRDefault="00A9729B">
            <w:pPr>
              <w:widowControl w:val="0"/>
              <w:ind w:firstLine="0"/>
              <w:jc w:val="both"/>
              <w:rPr>
                <w:lang w:bidi="ar-SA"/>
              </w:rPr>
            </w:pPr>
          </w:p>
          <w:p w:rsidR="00A9729B" w:rsidRDefault="00A9729B">
            <w:pPr>
              <w:widowControl w:val="0"/>
              <w:ind w:firstLine="0"/>
              <w:jc w:val="both"/>
              <w:rPr>
                <w:lang w:bidi="ar-SA"/>
              </w:rPr>
            </w:pPr>
          </w:p>
          <w:p w:rsidR="00A9729B" w:rsidRDefault="00A9729B">
            <w:pPr>
              <w:widowControl w:val="0"/>
              <w:ind w:firstLine="0"/>
              <w:jc w:val="both"/>
              <w:rPr>
                <w:lang w:bidi="ar-SA"/>
              </w:rPr>
            </w:pPr>
          </w:p>
          <w:p w:rsidR="00A9729B" w:rsidRDefault="00A9729B">
            <w:pPr>
              <w:widowControl w:val="0"/>
              <w:ind w:firstLine="0"/>
              <w:jc w:val="both"/>
              <w:rPr>
                <w:lang w:bidi="ar-SA"/>
              </w:rPr>
            </w:pPr>
          </w:p>
          <w:p w:rsidR="00A9729B" w:rsidRPr="00E07116" w:rsidRDefault="00A9729B">
            <w:pPr>
              <w:widowControl w:val="0"/>
              <w:ind w:firstLine="0"/>
              <w:jc w:val="both"/>
              <w:rPr>
                <w:lang w:bidi="ar-SA"/>
              </w:rPr>
            </w:pPr>
          </w:p>
          <w:p w:rsidR="00A9729B" w:rsidRDefault="00A9729B">
            <w:pPr>
              <w:widowControl w:val="0"/>
              <w:ind w:firstLine="0"/>
              <w:jc w:val="both"/>
              <w:rPr>
                <w:lang w:bidi="ar-SA"/>
              </w:rPr>
            </w:pPr>
          </w:p>
          <w:p w:rsidR="00A9729B" w:rsidRPr="00E07116" w:rsidRDefault="00A9729B">
            <w:pPr>
              <w:widowControl w:val="0"/>
              <w:ind w:firstLine="0"/>
              <w:jc w:val="both"/>
              <w:rPr>
                <w:lang w:bidi="ar-SA"/>
              </w:rPr>
            </w:pPr>
          </w:p>
          <w:p w:rsidR="00A9729B" w:rsidRPr="00E07116" w:rsidRDefault="00A9729B">
            <w:pPr>
              <w:ind w:firstLine="0"/>
              <w:jc w:val="both"/>
              <w:rPr>
                <w:lang w:bidi="ar-SA"/>
              </w:rPr>
            </w:pPr>
          </w:p>
        </w:tc>
      </w:tr>
    </w:tbl>
    <w:p w:rsidR="00A9729B" w:rsidRDefault="00A9729B" w:rsidP="00A9729B">
      <w:pPr>
        <w:ind w:firstLine="0"/>
        <w:jc w:val="both"/>
      </w:pPr>
      <w:r w:rsidRPr="00E07116">
        <w:br w:type="page"/>
      </w:r>
    </w:p>
    <w:p w:rsidR="00A9729B" w:rsidRDefault="00A9729B" w:rsidP="00A9729B">
      <w:pPr>
        <w:ind w:firstLine="0"/>
        <w:jc w:val="both"/>
      </w:pPr>
    </w:p>
    <w:p w:rsidR="00A9729B" w:rsidRDefault="00A9729B" w:rsidP="00A9729B">
      <w:pPr>
        <w:ind w:firstLine="0"/>
        <w:jc w:val="both"/>
      </w:pPr>
    </w:p>
    <w:p w:rsidR="00A9729B" w:rsidRDefault="00A9729B" w:rsidP="00A9729B">
      <w:pPr>
        <w:ind w:firstLine="0"/>
        <w:jc w:val="both"/>
      </w:pPr>
    </w:p>
    <w:p w:rsidR="00A9729B" w:rsidRDefault="00AA2662" w:rsidP="00A9729B">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A9729B" w:rsidRDefault="00A9729B" w:rsidP="00A9729B">
      <w:pPr>
        <w:ind w:firstLine="0"/>
        <w:jc w:val="right"/>
      </w:pPr>
      <w:hyperlink r:id="rId9" w:history="1">
        <w:r w:rsidRPr="00302466">
          <w:rPr>
            <w:rStyle w:val="Lienhypertexte"/>
          </w:rPr>
          <w:t>http://classiques.uqac.ca/</w:t>
        </w:r>
      </w:hyperlink>
      <w:r>
        <w:t xml:space="preserve"> </w:t>
      </w:r>
    </w:p>
    <w:p w:rsidR="00A9729B" w:rsidRDefault="00A9729B" w:rsidP="00A9729B">
      <w:pPr>
        <w:ind w:firstLine="0"/>
        <w:jc w:val="both"/>
      </w:pPr>
    </w:p>
    <w:p w:rsidR="00A9729B" w:rsidRDefault="00A9729B" w:rsidP="00A9729B">
      <w:pPr>
        <w:ind w:firstLine="0"/>
        <w:jc w:val="both"/>
      </w:pPr>
      <w:r w:rsidRPr="00D2666B">
        <w:rPr>
          <w:i/>
        </w:rPr>
        <w:t>Les Classiques des sciences sociales</w:t>
      </w:r>
      <w:r>
        <w:t xml:space="preserve"> est une bibliothèque num</w:t>
      </w:r>
      <w:r>
        <w:t>é</w:t>
      </w:r>
      <w:r>
        <w:t>rique en libre accès, fondée au Cégep de Chicoutimi en 1993 et développée en partenariat avec l’Université du Québec à Chicoutimi (UQÀC) d</w:t>
      </w:r>
      <w:r>
        <w:t>e</w:t>
      </w:r>
      <w:r>
        <w:t>puis 2000.</w:t>
      </w:r>
    </w:p>
    <w:p w:rsidR="00A9729B" w:rsidRDefault="00A9729B" w:rsidP="00A9729B">
      <w:pPr>
        <w:ind w:firstLine="0"/>
        <w:jc w:val="both"/>
      </w:pPr>
    </w:p>
    <w:p w:rsidR="00A9729B" w:rsidRDefault="00A9729B" w:rsidP="00A9729B">
      <w:pPr>
        <w:ind w:firstLine="0"/>
        <w:jc w:val="both"/>
      </w:pPr>
    </w:p>
    <w:p w:rsidR="00A9729B" w:rsidRDefault="00AA2662" w:rsidP="00A9729B">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A9729B" w:rsidRDefault="00A9729B" w:rsidP="00A9729B">
      <w:pPr>
        <w:ind w:firstLine="0"/>
        <w:jc w:val="both"/>
      </w:pPr>
      <w:hyperlink r:id="rId11" w:history="1">
        <w:r w:rsidRPr="00302466">
          <w:rPr>
            <w:rStyle w:val="Lienhypertexte"/>
          </w:rPr>
          <w:t>http://bibliotheque.uqac.ca/</w:t>
        </w:r>
      </w:hyperlink>
      <w:r>
        <w:t xml:space="preserve"> </w:t>
      </w:r>
    </w:p>
    <w:p w:rsidR="00A9729B" w:rsidRDefault="00A9729B" w:rsidP="00A9729B">
      <w:pPr>
        <w:ind w:firstLine="0"/>
        <w:jc w:val="both"/>
      </w:pPr>
    </w:p>
    <w:p w:rsidR="00A9729B" w:rsidRDefault="00A9729B" w:rsidP="00A9729B">
      <w:pPr>
        <w:ind w:firstLine="0"/>
        <w:jc w:val="both"/>
      </w:pPr>
    </w:p>
    <w:p w:rsidR="00A9729B" w:rsidRDefault="00A9729B" w:rsidP="00A9729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A9729B" w:rsidRPr="00E07116" w:rsidRDefault="00A9729B" w:rsidP="00A9729B">
      <w:pPr>
        <w:widowControl w:val="0"/>
        <w:autoSpaceDE w:val="0"/>
        <w:autoSpaceDN w:val="0"/>
        <w:adjustRightInd w:val="0"/>
        <w:rPr>
          <w:szCs w:val="32"/>
        </w:rPr>
      </w:pPr>
      <w:r w:rsidRPr="00E07116">
        <w:br w:type="page"/>
      </w:r>
    </w:p>
    <w:p w:rsidR="00A9729B" w:rsidRPr="005B6592" w:rsidRDefault="00A9729B">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A9729B" w:rsidRPr="00E07116" w:rsidRDefault="00A9729B">
      <w:pPr>
        <w:widowControl w:val="0"/>
        <w:autoSpaceDE w:val="0"/>
        <w:autoSpaceDN w:val="0"/>
        <w:adjustRightInd w:val="0"/>
        <w:rPr>
          <w:szCs w:val="32"/>
        </w:rPr>
      </w:pPr>
    </w:p>
    <w:p w:rsidR="00A9729B" w:rsidRPr="00E07116" w:rsidRDefault="00A9729B">
      <w:pPr>
        <w:widowControl w:val="0"/>
        <w:autoSpaceDE w:val="0"/>
        <w:autoSpaceDN w:val="0"/>
        <w:adjustRightInd w:val="0"/>
        <w:jc w:val="both"/>
        <w:rPr>
          <w:color w:val="1C1C1C"/>
          <w:szCs w:val="26"/>
        </w:rPr>
      </w:pPr>
    </w:p>
    <w:p w:rsidR="00A9729B" w:rsidRPr="00E07116" w:rsidRDefault="00A9729B">
      <w:pPr>
        <w:widowControl w:val="0"/>
        <w:autoSpaceDE w:val="0"/>
        <w:autoSpaceDN w:val="0"/>
        <w:adjustRightInd w:val="0"/>
        <w:jc w:val="both"/>
        <w:rPr>
          <w:color w:val="1C1C1C"/>
          <w:szCs w:val="26"/>
        </w:rPr>
      </w:pPr>
    </w:p>
    <w:p w:rsidR="00A9729B" w:rsidRPr="00E07116" w:rsidRDefault="00A9729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w:t>
      </w:r>
      <w:r w:rsidRPr="00E07116">
        <w:rPr>
          <w:color w:val="1C1C1C"/>
          <w:szCs w:val="26"/>
        </w:rPr>
        <w:t>o</w:t>
      </w:r>
      <w:r w:rsidRPr="00E07116">
        <w:rPr>
          <w:color w:val="1C1C1C"/>
          <w:szCs w:val="26"/>
        </w:rPr>
        <w:t>gue.</w:t>
      </w:r>
    </w:p>
    <w:p w:rsidR="00A9729B" w:rsidRPr="00E07116" w:rsidRDefault="00A9729B">
      <w:pPr>
        <w:widowControl w:val="0"/>
        <w:autoSpaceDE w:val="0"/>
        <w:autoSpaceDN w:val="0"/>
        <w:adjustRightInd w:val="0"/>
        <w:jc w:val="both"/>
        <w:rPr>
          <w:color w:val="1C1C1C"/>
          <w:szCs w:val="26"/>
        </w:rPr>
      </w:pPr>
    </w:p>
    <w:p w:rsidR="00A9729B" w:rsidRPr="00E07116" w:rsidRDefault="00A9729B" w:rsidP="00A9729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A9729B" w:rsidRPr="00E07116" w:rsidRDefault="00A9729B" w:rsidP="00A9729B">
      <w:pPr>
        <w:widowControl w:val="0"/>
        <w:autoSpaceDE w:val="0"/>
        <w:autoSpaceDN w:val="0"/>
        <w:adjustRightInd w:val="0"/>
        <w:jc w:val="both"/>
        <w:rPr>
          <w:color w:val="1C1C1C"/>
          <w:szCs w:val="26"/>
        </w:rPr>
      </w:pPr>
    </w:p>
    <w:p w:rsidR="00A9729B" w:rsidRPr="00E07116" w:rsidRDefault="00A9729B" w:rsidP="00A9729B">
      <w:pPr>
        <w:widowControl w:val="0"/>
        <w:autoSpaceDE w:val="0"/>
        <w:autoSpaceDN w:val="0"/>
        <w:adjustRightInd w:val="0"/>
        <w:jc w:val="both"/>
        <w:rPr>
          <w:color w:val="1C1C1C"/>
          <w:szCs w:val="26"/>
        </w:rPr>
      </w:pPr>
      <w:r w:rsidRPr="00E07116">
        <w:rPr>
          <w:color w:val="1C1C1C"/>
          <w:szCs w:val="26"/>
        </w:rPr>
        <w:t>- être hébergés (en fichier ou page web, en totalité ou en pa</w:t>
      </w:r>
      <w:r w:rsidRPr="00E07116">
        <w:rPr>
          <w:color w:val="1C1C1C"/>
          <w:szCs w:val="26"/>
        </w:rPr>
        <w:t>r</w:t>
      </w:r>
      <w:r w:rsidRPr="00E07116">
        <w:rPr>
          <w:color w:val="1C1C1C"/>
          <w:szCs w:val="26"/>
        </w:rPr>
        <w:t>tie) sur un serveur autre que celui des Classiques.</w:t>
      </w:r>
    </w:p>
    <w:p w:rsidR="00A9729B" w:rsidRPr="00E07116" w:rsidRDefault="00A9729B" w:rsidP="00A9729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w:t>
      </w:r>
      <w:r w:rsidRPr="00E07116">
        <w:rPr>
          <w:color w:val="1C1C1C"/>
          <w:szCs w:val="26"/>
        </w:rPr>
        <w:t>p</w:t>
      </w:r>
      <w:r w:rsidRPr="00E07116">
        <w:rPr>
          <w:color w:val="1C1C1C"/>
          <w:szCs w:val="26"/>
        </w:rPr>
        <w:t>port, etc...),</w:t>
      </w:r>
    </w:p>
    <w:p w:rsidR="00A9729B" w:rsidRPr="00E07116" w:rsidRDefault="00A9729B" w:rsidP="00A9729B">
      <w:pPr>
        <w:widowControl w:val="0"/>
        <w:autoSpaceDE w:val="0"/>
        <w:autoSpaceDN w:val="0"/>
        <w:adjustRightInd w:val="0"/>
        <w:jc w:val="both"/>
        <w:rPr>
          <w:color w:val="1C1C1C"/>
          <w:szCs w:val="26"/>
        </w:rPr>
      </w:pPr>
    </w:p>
    <w:p w:rsidR="00A9729B" w:rsidRPr="00E07116" w:rsidRDefault="00A9729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w:t>
      </w:r>
      <w:r w:rsidRPr="00E07116">
        <w:rPr>
          <w:color w:val="1C1C1C"/>
          <w:szCs w:val="26"/>
        </w:rPr>
        <w:t>é</w:t>
      </w:r>
      <w:r w:rsidRPr="00E07116">
        <w:rPr>
          <w:color w:val="1C1C1C"/>
          <w:szCs w:val="26"/>
        </w:rPr>
        <w:t>voles.</w:t>
      </w:r>
    </w:p>
    <w:p w:rsidR="00A9729B" w:rsidRPr="00E07116" w:rsidRDefault="00A9729B">
      <w:pPr>
        <w:widowControl w:val="0"/>
        <w:autoSpaceDE w:val="0"/>
        <w:autoSpaceDN w:val="0"/>
        <w:adjustRightInd w:val="0"/>
        <w:jc w:val="both"/>
        <w:rPr>
          <w:color w:val="1C1C1C"/>
          <w:szCs w:val="26"/>
        </w:rPr>
      </w:pPr>
    </w:p>
    <w:p w:rsidR="00A9729B" w:rsidRPr="00E07116" w:rsidRDefault="00A9729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interd</w:t>
      </w:r>
      <w:r w:rsidRPr="00E07116">
        <w:rPr>
          <w:color w:val="1C1C1C"/>
          <w:szCs w:val="26"/>
        </w:rPr>
        <w:t>i</w:t>
      </w:r>
      <w:r w:rsidRPr="00E07116">
        <w:rPr>
          <w:color w:val="1C1C1C"/>
          <w:szCs w:val="26"/>
        </w:rPr>
        <w:t>te et toute rediffusion est égal</w:t>
      </w:r>
      <w:r w:rsidRPr="00E07116">
        <w:rPr>
          <w:color w:val="1C1C1C"/>
          <w:szCs w:val="26"/>
        </w:rPr>
        <w:t>e</w:t>
      </w:r>
      <w:r w:rsidRPr="00E07116">
        <w:rPr>
          <w:color w:val="1C1C1C"/>
          <w:szCs w:val="26"/>
        </w:rPr>
        <w:t>ment strictement interdite.</w:t>
      </w:r>
    </w:p>
    <w:p w:rsidR="00A9729B" w:rsidRPr="00E07116" w:rsidRDefault="00A9729B">
      <w:pPr>
        <w:rPr>
          <w:b/>
          <w:color w:val="1C1C1C"/>
          <w:szCs w:val="26"/>
        </w:rPr>
      </w:pPr>
    </w:p>
    <w:p w:rsidR="00A9729B" w:rsidRPr="00E07116" w:rsidRDefault="00A9729B">
      <w:pPr>
        <w:rPr>
          <w:b/>
          <w:color w:val="1C1C1C"/>
          <w:szCs w:val="26"/>
        </w:rPr>
      </w:pPr>
      <w:r w:rsidRPr="00E07116">
        <w:rPr>
          <w:b/>
          <w:color w:val="1C1C1C"/>
          <w:szCs w:val="26"/>
        </w:rPr>
        <w:t>L'accès à notre travail est libre et gratuit à tous les util</w:t>
      </w:r>
      <w:r w:rsidRPr="00E07116">
        <w:rPr>
          <w:b/>
          <w:color w:val="1C1C1C"/>
          <w:szCs w:val="26"/>
        </w:rPr>
        <w:t>i</w:t>
      </w:r>
      <w:r w:rsidRPr="00E07116">
        <w:rPr>
          <w:b/>
          <w:color w:val="1C1C1C"/>
          <w:szCs w:val="26"/>
        </w:rPr>
        <w:t>sateurs. C'est notre mission.</w:t>
      </w:r>
    </w:p>
    <w:p w:rsidR="00A9729B" w:rsidRPr="00E07116" w:rsidRDefault="00A9729B">
      <w:pPr>
        <w:rPr>
          <w:b/>
          <w:color w:val="1C1C1C"/>
          <w:szCs w:val="26"/>
        </w:rPr>
      </w:pPr>
    </w:p>
    <w:p w:rsidR="00A9729B" w:rsidRPr="00E07116" w:rsidRDefault="00A9729B">
      <w:pPr>
        <w:rPr>
          <w:color w:val="1C1C1C"/>
          <w:szCs w:val="26"/>
        </w:rPr>
      </w:pPr>
      <w:r w:rsidRPr="00E07116">
        <w:rPr>
          <w:color w:val="1C1C1C"/>
          <w:szCs w:val="26"/>
        </w:rPr>
        <w:t>Jean-Marie Tremblay, soci</w:t>
      </w:r>
      <w:r w:rsidRPr="00E07116">
        <w:rPr>
          <w:color w:val="1C1C1C"/>
          <w:szCs w:val="26"/>
        </w:rPr>
        <w:t>o</w:t>
      </w:r>
      <w:r w:rsidRPr="00E07116">
        <w:rPr>
          <w:color w:val="1C1C1C"/>
          <w:szCs w:val="26"/>
        </w:rPr>
        <w:t>logue</w:t>
      </w:r>
    </w:p>
    <w:p w:rsidR="00A9729B" w:rsidRPr="00E07116" w:rsidRDefault="00A9729B">
      <w:pPr>
        <w:rPr>
          <w:color w:val="1C1C1C"/>
          <w:szCs w:val="26"/>
        </w:rPr>
      </w:pPr>
      <w:r w:rsidRPr="00E07116">
        <w:rPr>
          <w:color w:val="1C1C1C"/>
          <w:szCs w:val="26"/>
        </w:rPr>
        <w:t>Fondateur et Président-directeur général,</w:t>
      </w:r>
    </w:p>
    <w:p w:rsidR="00A9729B" w:rsidRPr="00E07116" w:rsidRDefault="00A9729B">
      <w:pPr>
        <w:rPr>
          <w:color w:val="000080"/>
        </w:rPr>
      </w:pPr>
      <w:r w:rsidRPr="00E07116">
        <w:rPr>
          <w:color w:val="000080"/>
          <w:szCs w:val="26"/>
        </w:rPr>
        <w:t>LES CLASSIQUES DES SCIENCES SOCIALES.</w:t>
      </w:r>
    </w:p>
    <w:p w:rsidR="00A9729B" w:rsidRPr="00CF4C8E" w:rsidRDefault="00A9729B" w:rsidP="00A9729B">
      <w:pPr>
        <w:ind w:firstLine="0"/>
        <w:jc w:val="both"/>
        <w:rPr>
          <w:sz w:val="24"/>
          <w:lang w:bidi="ar-SA"/>
        </w:rPr>
      </w:pPr>
      <w:r>
        <w:br w:type="page"/>
      </w:r>
      <w:r w:rsidRPr="00CF4C8E">
        <w:rPr>
          <w:sz w:val="24"/>
          <w:lang w:bidi="ar-SA"/>
        </w:rPr>
        <w:lastRenderedPageBreak/>
        <w:t>Un document produit en version numérique par Jean-Marie Tremblay, bén</w:t>
      </w:r>
      <w:r w:rsidRPr="00CF4C8E">
        <w:rPr>
          <w:sz w:val="24"/>
          <w:lang w:bidi="ar-SA"/>
        </w:rPr>
        <w:t>é</w:t>
      </w:r>
      <w:r w:rsidRPr="00CF4C8E">
        <w:rPr>
          <w:sz w:val="24"/>
          <w:lang w:bidi="ar-SA"/>
        </w:rPr>
        <w:t>vole, professeur associé, Université du Québec à Chicoutimi</w:t>
      </w:r>
    </w:p>
    <w:p w:rsidR="00A9729B" w:rsidRPr="00CF4C8E" w:rsidRDefault="00A9729B" w:rsidP="00A9729B">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A9729B" w:rsidRPr="00CF4C8E" w:rsidRDefault="00A9729B" w:rsidP="00A9729B">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A9729B" w:rsidRPr="00CF4C8E" w:rsidRDefault="00A9729B" w:rsidP="00A9729B">
      <w:pPr>
        <w:ind w:left="20" w:hanging="20"/>
        <w:jc w:val="both"/>
        <w:rPr>
          <w:sz w:val="24"/>
        </w:rPr>
      </w:pPr>
      <w:r w:rsidRPr="00CF4C8E">
        <w:rPr>
          <w:sz w:val="24"/>
        </w:rPr>
        <w:t>à partir du texte de :</w:t>
      </w:r>
    </w:p>
    <w:p w:rsidR="00A9729B" w:rsidRPr="00AD41F6" w:rsidRDefault="00A9729B" w:rsidP="00A9729B">
      <w:pPr>
        <w:ind w:firstLine="0"/>
        <w:jc w:val="both"/>
      </w:pPr>
    </w:p>
    <w:p w:rsidR="00A9729B" w:rsidRPr="00AD41F6" w:rsidRDefault="00A9729B" w:rsidP="00A9729B">
      <w:pPr>
        <w:ind w:firstLine="0"/>
        <w:jc w:val="both"/>
      </w:pPr>
      <w:r w:rsidRPr="00AD41F6">
        <w:t>Jean-Paul BRODEUR</w:t>
      </w:r>
    </w:p>
    <w:p w:rsidR="00A9729B" w:rsidRPr="00AD41F6" w:rsidRDefault="00A9729B" w:rsidP="00A9729B">
      <w:pPr>
        <w:ind w:firstLine="0"/>
        <w:jc w:val="both"/>
      </w:pPr>
    </w:p>
    <w:p w:rsidR="00A9729B" w:rsidRPr="00AD41F6" w:rsidRDefault="00A9729B" w:rsidP="00A9729B">
      <w:pPr>
        <w:ind w:firstLine="0"/>
        <w:jc w:val="both"/>
      </w:pPr>
      <w:r w:rsidRPr="00AD41F6">
        <w:t>“</w:t>
      </w:r>
      <w:r w:rsidRPr="00AD41F6">
        <w:rPr>
          <w:b/>
          <w:i/>
        </w:rPr>
        <w:t>Culture et saturation</w:t>
      </w:r>
      <w:r w:rsidRPr="00AD41F6">
        <w:t>.”</w:t>
      </w:r>
    </w:p>
    <w:p w:rsidR="00A9729B" w:rsidRPr="00AD41F6" w:rsidRDefault="00A9729B" w:rsidP="00A9729B">
      <w:pPr>
        <w:ind w:firstLine="0"/>
        <w:jc w:val="both"/>
      </w:pPr>
    </w:p>
    <w:p w:rsidR="00A9729B" w:rsidRPr="00AD41F6" w:rsidRDefault="00A9729B" w:rsidP="00A9729B">
      <w:pPr>
        <w:ind w:left="20" w:firstLine="0"/>
        <w:jc w:val="both"/>
      </w:pPr>
      <w:r>
        <w:t xml:space="preserve">in ouvrage sous la direction de Georges Leroux, </w:t>
      </w:r>
      <w:r>
        <w:rPr>
          <w:b/>
          <w:color w:val="000080"/>
        </w:rPr>
        <w:t>CULTURE ET LANGAGE</w:t>
      </w:r>
      <w:r>
        <w:t xml:space="preserve">, pp. 79-138. </w:t>
      </w:r>
      <w:r w:rsidRPr="00AD41F6">
        <w:t>Montréal : Les Éditions Hurtubise HMH, Ltée, Cahiers du Québec,</w:t>
      </w:r>
      <w:r>
        <w:t xml:space="preserve"> no 11,</w:t>
      </w:r>
      <w:r w:rsidRPr="00AD41F6">
        <w:t xml:space="preserve"> 1973, 286 pp. Collection : “Philos</w:t>
      </w:r>
      <w:r w:rsidRPr="00AD41F6">
        <w:t>o</w:t>
      </w:r>
      <w:r w:rsidRPr="00AD41F6">
        <w:t>phie”.</w:t>
      </w:r>
    </w:p>
    <w:p w:rsidR="00A9729B" w:rsidRPr="00384B20" w:rsidRDefault="00A9729B" w:rsidP="00A9729B">
      <w:pPr>
        <w:ind w:firstLine="0"/>
        <w:jc w:val="both"/>
        <w:rPr>
          <w:sz w:val="24"/>
        </w:rPr>
      </w:pPr>
    </w:p>
    <w:p w:rsidR="00A9729B" w:rsidRPr="00384B20" w:rsidRDefault="00A9729B" w:rsidP="00A9729B">
      <w:pPr>
        <w:jc w:val="both"/>
        <w:rPr>
          <w:sz w:val="24"/>
        </w:rPr>
      </w:pPr>
      <w:r w:rsidRPr="00C74C7C">
        <w:rPr>
          <w:sz w:val="24"/>
        </w:rPr>
        <w:t>Autorisation accordée par Jean-Paul Brodeur le 21 septembre 2009 de diffuser toutes ses publications en libre accès dans Les Classiques des sciences sociales</w:t>
      </w:r>
    </w:p>
    <w:p w:rsidR="00A9729B" w:rsidRPr="00384B20" w:rsidRDefault="00A9729B" w:rsidP="00A9729B">
      <w:pPr>
        <w:ind w:left="20"/>
        <w:jc w:val="both"/>
        <w:rPr>
          <w:sz w:val="24"/>
        </w:rPr>
      </w:pPr>
      <w:r>
        <w:rPr>
          <w:sz w:val="24"/>
        </w:rPr>
        <w:t>Georges Leroux nous a accordé</w:t>
      </w:r>
      <w:r w:rsidRPr="00384B20">
        <w:rPr>
          <w:sz w:val="24"/>
        </w:rPr>
        <w:t xml:space="preserve">, le </w:t>
      </w:r>
      <w:r>
        <w:rPr>
          <w:sz w:val="24"/>
        </w:rPr>
        <w:t>12 avril 2021,</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rsidR="00A9729B" w:rsidRPr="00384B20" w:rsidRDefault="00A9729B" w:rsidP="00A9729B">
      <w:pPr>
        <w:jc w:val="both"/>
        <w:rPr>
          <w:sz w:val="24"/>
        </w:rPr>
      </w:pPr>
    </w:p>
    <w:p w:rsidR="00A9729B" w:rsidRPr="00A47081" w:rsidRDefault="00AA2662" w:rsidP="00A9729B">
      <w:pPr>
        <w:ind w:firstLine="0"/>
        <w:rPr>
          <w:sz w:val="24"/>
        </w:rPr>
      </w:pPr>
      <w:r w:rsidRPr="00384B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A9729B">
        <w:rPr>
          <w:sz w:val="24"/>
        </w:rPr>
        <w:t xml:space="preserve"> Courriel</w:t>
      </w:r>
      <w:r w:rsidR="00A9729B" w:rsidRPr="00384B20">
        <w:rPr>
          <w:sz w:val="24"/>
        </w:rPr>
        <w:t> :</w:t>
      </w:r>
      <w:r w:rsidR="00A9729B">
        <w:rPr>
          <w:sz w:val="24"/>
        </w:rPr>
        <w:t xml:space="preserve"> Georges Leroux :</w:t>
      </w:r>
      <w:r w:rsidR="00A9729B" w:rsidRPr="00384B20">
        <w:rPr>
          <w:sz w:val="24"/>
        </w:rPr>
        <w:t xml:space="preserve"> </w:t>
      </w:r>
      <w:hyperlink r:id="rId15" w:history="1">
        <w:r w:rsidR="00A9729B" w:rsidRPr="00A47081">
          <w:rPr>
            <w:rStyle w:val="Lienhypertexte"/>
            <w:sz w:val="24"/>
          </w:rPr>
          <w:t>leroux.georges@uqam.ca</w:t>
        </w:r>
      </w:hyperlink>
    </w:p>
    <w:p w:rsidR="00A9729B" w:rsidRPr="0058603D" w:rsidRDefault="00A9729B" w:rsidP="00A9729B">
      <w:pPr>
        <w:ind w:right="1800"/>
        <w:jc w:val="both"/>
        <w:rPr>
          <w:sz w:val="24"/>
        </w:rPr>
      </w:pPr>
    </w:p>
    <w:p w:rsidR="00A9729B" w:rsidRPr="00384B20" w:rsidRDefault="00A9729B" w:rsidP="00A9729B">
      <w:pPr>
        <w:ind w:left="20"/>
        <w:jc w:val="both"/>
        <w:rPr>
          <w:sz w:val="24"/>
        </w:rPr>
      </w:pPr>
    </w:p>
    <w:p w:rsidR="00A9729B" w:rsidRPr="00384B20" w:rsidRDefault="00A9729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A9729B" w:rsidRPr="00384B20" w:rsidRDefault="00A9729B">
      <w:pPr>
        <w:ind w:right="1800" w:firstLine="0"/>
        <w:jc w:val="both"/>
        <w:rPr>
          <w:sz w:val="24"/>
        </w:rPr>
      </w:pPr>
    </w:p>
    <w:p w:rsidR="00A9729B" w:rsidRPr="00384B20" w:rsidRDefault="00A9729B" w:rsidP="00A9729B">
      <w:pPr>
        <w:ind w:left="360" w:right="360" w:firstLine="0"/>
        <w:jc w:val="both"/>
        <w:rPr>
          <w:sz w:val="24"/>
        </w:rPr>
      </w:pPr>
      <w:r w:rsidRPr="00384B20">
        <w:rPr>
          <w:sz w:val="24"/>
        </w:rPr>
        <w:t>Pour le texte: Times New R</w:t>
      </w:r>
      <w:r w:rsidRPr="00384B20">
        <w:rPr>
          <w:sz w:val="24"/>
        </w:rPr>
        <w:t>o</w:t>
      </w:r>
      <w:r w:rsidRPr="00384B20">
        <w:rPr>
          <w:sz w:val="24"/>
        </w:rPr>
        <w:t>man, 14 points.</w:t>
      </w:r>
    </w:p>
    <w:p w:rsidR="00A9729B" w:rsidRPr="00384B20" w:rsidRDefault="00A9729B" w:rsidP="00A9729B">
      <w:pPr>
        <w:ind w:left="360" w:right="360" w:firstLine="0"/>
        <w:jc w:val="both"/>
        <w:rPr>
          <w:sz w:val="24"/>
        </w:rPr>
      </w:pPr>
      <w:r w:rsidRPr="00384B20">
        <w:rPr>
          <w:sz w:val="24"/>
        </w:rPr>
        <w:t>Pour les notes de bas de page : Times New Roman, 12 points.</w:t>
      </w:r>
    </w:p>
    <w:p w:rsidR="00A9729B" w:rsidRPr="00384B20" w:rsidRDefault="00A9729B">
      <w:pPr>
        <w:ind w:left="360" w:right="1800" w:firstLine="0"/>
        <w:jc w:val="both"/>
        <w:rPr>
          <w:sz w:val="24"/>
        </w:rPr>
      </w:pPr>
    </w:p>
    <w:p w:rsidR="00A9729B" w:rsidRPr="00384B20" w:rsidRDefault="00A9729B">
      <w:pPr>
        <w:ind w:right="360" w:firstLine="0"/>
        <w:jc w:val="both"/>
        <w:rPr>
          <w:sz w:val="24"/>
        </w:rPr>
      </w:pPr>
      <w:r w:rsidRPr="00384B20">
        <w:rPr>
          <w:sz w:val="24"/>
        </w:rPr>
        <w:t>Édition électronique réalisée avec le traitement de textes Microsoft Word 2008 pour Macintosh.</w:t>
      </w:r>
    </w:p>
    <w:p w:rsidR="00A9729B" w:rsidRPr="00384B20" w:rsidRDefault="00A9729B">
      <w:pPr>
        <w:ind w:right="1800" w:firstLine="0"/>
        <w:jc w:val="both"/>
        <w:rPr>
          <w:sz w:val="24"/>
        </w:rPr>
      </w:pPr>
    </w:p>
    <w:p w:rsidR="00A9729B" w:rsidRPr="00384B20" w:rsidRDefault="00A9729B" w:rsidP="00A9729B">
      <w:pPr>
        <w:ind w:right="540" w:firstLine="0"/>
        <w:jc w:val="both"/>
        <w:rPr>
          <w:sz w:val="24"/>
        </w:rPr>
      </w:pPr>
      <w:r w:rsidRPr="00384B20">
        <w:rPr>
          <w:sz w:val="24"/>
        </w:rPr>
        <w:t>Mise en page sur papier format : LETTRE US, 8.5’’ x 11’’.</w:t>
      </w:r>
    </w:p>
    <w:p w:rsidR="00A9729B" w:rsidRPr="00384B20" w:rsidRDefault="00A9729B">
      <w:pPr>
        <w:ind w:right="1800" w:firstLine="0"/>
        <w:jc w:val="both"/>
        <w:rPr>
          <w:sz w:val="24"/>
        </w:rPr>
      </w:pPr>
    </w:p>
    <w:p w:rsidR="00A9729B" w:rsidRPr="00384B20" w:rsidRDefault="00A9729B" w:rsidP="00A9729B">
      <w:pPr>
        <w:ind w:firstLine="0"/>
        <w:jc w:val="both"/>
        <w:rPr>
          <w:sz w:val="24"/>
        </w:rPr>
      </w:pPr>
      <w:r w:rsidRPr="00384B20">
        <w:rPr>
          <w:sz w:val="24"/>
        </w:rPr>
        <w:t xml:space="preserve">Édition numérique réalisée le </w:t>
      </w:r>
      <w:r>
        <w:rPr>
          <w:sz w:val="24"/>
        </w:rPr>
        <w:t>15 avril 2021 à Chicoutimi</w:t>
      </w:r>
      <w:r w:rsidRPr="00384B20">
        <w:rPr>
          <w:sz w:val="24"/>
        </w:rPr>
        <w:t>, Qu</w:t>
      </w:r>
      <w:r w:rsidRPr="00384B20">
        <w:rPr>
          <w:sz w:val="24"/>
        </w:rPr>
        <w:t>é</w:t>
      </w:r>
      <w:r w:rsidRPr="00384B20">
        <w:rPr>
          <w:sz w:val="24"/>
        </w:rPr>
        <w:t>bec.</w:t>
      </w:r>
    </w:p>
    <w:p w:rsidR="00A9729B" w:rsidRPr="00384B20" w:rsidRDefault="00A9729B">
      <w:pPr>
        <w:ind w:right="1800" w:firstLine="0"/>
        <w:jc w:val="both"/>
        <w:rPr>
          <w:sz w:val="24"/>
        </w:rPr>
      </w:pPr>
    </w:p>
    <w:p w:rsidR="00A9729B" w:rsidRPr="00E07116" w:rsidRDefault="00AA2662">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A9729B" w:rsidRPr="00E07116" w:rsidRDefault="00A9729B" w:rsidP="00A9729B">
      <w:pPr>
        <w:spacing w:before="120" w:after="120"/>
        <w:jc w:val="both"/>
      </w:pPr>
      <w:r w:rsidRPr="00E07116">
        <w:br w:type="page"/>
      </w:r>
    </w:p>
    <w:p w:rsidR="00A9729B" w:rsidRDefault="00A9729B" w:rsidP="00A9729B">
      <w:pPr>
        <w:ind w:firstLine="0"/>
        <w:jc w:val="center"/>
        <w:rPr>
          <w:b/>
          <w:sz w:val="36"/>
        </w:rPr>
      </w:pPr>
      <w:r>
        <w:rPr>
          <w:sz w:val="36"/>
          <w:lang w:bidi="ar-SA"/>
        </w:rPr>
        <w:t>Jean-Paul BRODEUR</w:t>
      </w:r>
    </w:p>
    <w:p w:rsidR="00A9729B" w:rsidRPr="00E07116" w:rsidRDefault="00A9729B" w:rsidP="00A9729B">
      <w:pPr>
        <w:ind w:firstLine="0"/>
        <w:jc w:val="center"/>
      </w:pPr>
    </w:p>
    <w:p w:rsidR="00A9729B" w:rsidRPr="00F3780C" w:rsidRDefault="00A9729B" w:rsidP="00A9729B">
      <w:pPr>
        <w:ind w:firstLine="0"/>
        <w:jc w:val="center"/>
        <w:rPr>
          <w:color w:val="000080"/>
          <w:sz w:val="36"/>
        </w:rPr>
      </w:pPr>
      <w:r>
        <w:rPr>
          <w:color w:val="000080"/>
          <w:sz w:val="36"/>
        </w:rPr>
        <w:t>“Culture et Saturation.”</w:t>
      </w:r>
    </w:p>
    <w:p w:rsidR="00A9729B" w:rsidRPr="00E07116" w:rsidRDefault="00A9729B" w:rsidP="00A9729B">
      <w:pPr>
        <w:ind w:firstLine="0"/>
        <w:jc w:val="center"/>
      </w:pPr>
    </w:p>
    <w:p w:rsidR="00A9729B" w:rsidRPr="00E07116" w:rsidRDefault="00AA2662" w:rsidP="00A9729B">
      <w:pPr>
        <w:ind w:firstLine="0"/>
        <w:jc w:val="center"/>
      </w:pPr>
      <w:r>
        <w:rPr>
          <w:noProof/>
        </w:rPr>
        <w:drawing>
          <wp:inline distT="0" distB="0" distL="0" distR="0">
            <wp:extent cx="3263900" cy="4731385"/>
            <wp:effectExtent l="25400" t="25400" r="12700" b="18415"/>
            <wp:docPr id="5" name="Image 5" descr="Culture_et_langag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lture_et_langage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3900" cy="4731385"/>
                    </a:xfrm>
                    <a:prstGeom prst="rect">
                      <a:avLst/>
                    </a:prstGeom>
                    <a:noFill/>
                    <a:ln w="19050" cmpd="sng">
                      <a:solidFill>
                        <a:srgbClr val="000000"/>
                      </a:solidFill>
                      <a:miter lim="800000"/>
                      <a:headEnd/>
                      <a:tailEnd/>
                    </a:ln>
                    <a:effectLst/>
                  </pic:spPr>
                </pic:pic>
              </a:graphicData>
            </a:graphic>
          </wp:inline>
        </w:drawing>
      </w:r>
    </w:p>
    <w:p w:rsidR="00A9729B" w:rsidRPr="00E07116" w:rsidRDefault="00A9729B" w:rsidP="00A9729B">
      <w:pPr>
        <w:jc w:val="both"/>
      </w:pPr>
    </w:p>
    <w:p w:rsidR="00A9729B" w:rsidRPr="00384B20" w:rsidRDefault="00A9729B" w:rsidP="00A9729B">
      <w:pPr>
        <w:jc w:val="both"/>
        <w:rPr>
          <w:sz w:val="24"/>
        </w:rPr>
      </w:pPr>
      <w:r>
        <w:t xml:space="preserve">in ouvrage sous la direction de Georges Leroux, </w:t>
      </w:r>
      <w:r>
        <w:rPr>
          <w:b/>
          <w:color w:val="000080"/>
        </w:rPr>
        <w:t>CULTURE ET LANGAGE</w:t>
      </w:r>
      <w:r>
        <w:t xml:space="preserve">, pp. 79-138. </w:t>
      </w:r>
      <w:r w:rsidRPr="00AD41F6">
        <w:t>Montréal : Les Éditions Hurtubise HMH, Ltée, Cahiers du Québec,</w:t>
      </w:r>
      <w:r>
        <w:t xml:space="preserve"> no 11,</w:t>
      </w:r>
      <w:r w:rsidRPr="00AD41F6">
        <w:t xml:space="preserve"> 1973, 286 pp. Collection : “Philos</w:t>
      </w:r>
      <w:r w:rsidRPr="00AD41F6">
        <w:t>o</w:t>
      </w:r>
      <w:r w:rsidRPr="00AD41F6">
        <w:t>phie”.</w:t>
      </w:r>
    </w:p>
    <w:p w:rsidR="00A9729B" w:rsidRPr="00E07116" w:rsidRDefault="00A9729B" w:rsidP="00A9729B">
      <w:pPr>
        <w:ind w:firstLine="0"/>
        <w:jc w:val="both"/>
      </w:pPr>
      <w:r>
        <w:br w:type="page"/>
      </w:r>
    </w:p>
    <w:p w:rsidR="00A9729B" w:rsidRPr="00E07116" w:rsidRDefault="00A9729B" w:rsidP="00A9729B">
      <w:pPr>
        <w:jc w:val="both"/>
      </w:pPr>
    </w:p>
    <w:p w:rsidR="00A9729B" w:rsidRPr="00E07116" w:rsidRDefault="00A9729B" w:rsidP="00A9729B">
      <w:pPr>
        <w:jc w:val="both"/>
      </w:pPr>
    </w:p>
    <w:p w:rsidR="00A9729B" w:rsidRPr="00E07116" w:rsidRDefault="00A9729B" w:rsidP="00A9729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w:t>
      </w:r>
      <w:r w:rsidRPr="00E07116">
        <w:rPr>
          <w:rFonts w:ascii="Times New Roman" w:hAnsi="Times New Roman"/>
          <w:sz w:val="28"/>
        </w:rPr>
        <w:t>o</w:t>
      </w:r>
      <w:r w:rsidRPr="00E07116">
        <w:rPr>
          <w:rFonts w:ascii="Times New Roman" w:hAnsi="Times New Roman"/>
          <w:sz w:val="28"/>
        </w:rPr>
        <w:t>chets [] correspond à la pagination, en début de page, de l'éd</w:t>
      </w:r>
      <w:r w:rsidRPr="00E07116">
        <w:rPr>
          <w:rFonts w:ascii="Times New Roman" w:hAnsi="Times New Roman"/>
          <w:sz w:val="28"/>
        </w:rPr>
        <w:t>i</w:t>
      </w:r>
      <w:r w:rsidRPr="00E07116">
        <w:rPr>
          <w:rFonts w:ascii="Times New Roman" w:hAnsi="Times New Roman"/>
          <w:sz w:val="28"/>
        </w:rPr>
        <w:t>tion d'origine numérisée. JMT.</w:t>
      </w:r>
    </w:p>
    <w:p w:rsidR="00A9729B" w:rsidRPr="00E07116" w:rsidRDefault="00A9729B" w:rsidP="00A9729B">
      <w:pPr>
        <w:pStyle w:val="NormalWeb"/>
        <w:spacing w:before="2" w:after="2"/>
        <w:jc w:val="both"/>
        <w:rPr>
          <w:rFonts w:ascii="Times New Roman" w:hAnsi="Times New Roman"/>
          <w:sz w:val="28"/>
        </w:rPr>
      </w:pPr>
    </w:p>
    <w:p w:rsidR="00A9729B" w:rsidRPr="00E07116" w:rsidRDefault="00A9729B" w:rsidP="00A9729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A9729B" w:rsidRPr="00E07116" w:rsidRDefault="00A9729B" w:rsidP="00A9729B">
      <w:pPr>
        <w:jc w:val="both"/>
        <w:rPr>
          <w:szCs w:val="19"/>
        </w:rPr>
      </w:pPr>
    </w:p>
    <w:p w:rsidR="00A9729B" w:rsidRPr="00E07116" w:rsidRDefault="00A9729B" w:rsidP="00A9729B">
      <w:pPr>
        <w:jc w:val="both"/>
        <w:rPr>
          <w:szCs w:val="19"/>
        </w:rPr>
      </w:pPr>
    </w:p>
    <w:p w:rsidR="00A9729B" w:rsidRPr="00AB71A5" w:rsidRDefault="00A9729B" w:rsidP="00A9729B">
      <w:pPr>
        <w:spacing w:before="120" w:after="120"/>
        <w:ind w:firstLine="0"/>
        <w:jc w:val="both"/>
        <w:rPr>
          <w:lang w:eastAsia="fr-FR" w:bidi="fr-FR"/>
        </w:rPr>
      </w:pPr>
      <w:r w:rsidRPr="00E07116">
        <w:br w:type="page"/>
      </w:r>
      <w:r w:rsidRPr="00AB71A5">
        <w:rPr>
          <w:lang w:eastAsia="fr-FR" w:bidi="fr-FR"/>
        </w:rPr>
        <w:lastRenderedPageBreak/>
        <w:t>[79]</w:t>
      </w:r>
    </w:p>
    <w:p w:rsidR="00A9729B" w:rsidRPr="00E07116" w:rsidRDefault="00A9729B" w:rsidP="00A9729B">
      <w:pPr>
        <w:jc w:val="both"/>
      </w:pPr>
    </w:p>
    <w:p w:rsidR="00A9729B" w:rsidRDefault="00A9729B" w:rsidP="00A9729B">
      <w:pPr>
        <w:jc w:val="both"/>
      </w:pPr>
    </w:p>
    <w:p w:rsidR="00A9729B" w:rsidRPr="00E07116" w:rsidRDefault="00A9729B" w:rsidP="00A9729B">
      <w:pPr>
        <w:jc w:val="both"/>
      </w:pPr>
    </w:p>
    <w:p w:rsidR="00A9729B" w:rsidRPr="008E6078" w:rsidRDefault="00A9729B" w:rsidP="00A9729B">
      <w:pPr>
        <w:ind w:firstLine="0"/>
        <w:jc w:val="center"/>
        <w:rPr>
          <w:caps/>
          <w:color w:val="000080"/>
          <w:sz w:val="24"/>
        </w:rPr>
      </w:pPr>
      <w:bookmarkStart w:id="1" w:name="Culture_et_langage_pt_1_texte_05"/>
      <w:r w:rsidRPr="008E6078">
        <w:rPr>
          <w:caps/>
          <w:color w:val="000080"/>
          <w:sz w:val="24"/>
        </w:rPr>
        <w:t>Première partie.</w:t>
      </w:r>
    </w:p>
    <w:p w:rsidR="00A9729B" w:rsidRPr="008E6078" w:rsidRDefault="00A9729B" w:rsidP="00A9729B">
      <w:pPr>
        <w:ind w:firstLine="0"/>
        <w:jc w:val="center"/>
        <w:rPr>
          <w:b/>
          <w:sz w:val="24"/>
          <w:szCs w:val="36"/>
        </w:rPr>
      </w:pPr>
      <w:r w:rsidRPr="008E6078">
        <w:rPr>
          <w:b/>
          <w:sz w:val="24"/>
          <w:szCs w:val="36"/>
        </w:rPr>
        <w:t>Culture et critique</w:t>
      </w:r>
    </w:p>
    <w:p w:rsidR="00A9729B" w:rsidRPr="00E07116" w:rsidRDefault="00A9729B" w:rsidP="00A9729B">
      <w:pPr>
        <w:jc w:val="both"/>
        <w:rPr>
          <w:szCs w:val="36"/>
        </w:rPr>
      </w:pPr>
    </w:p>
    <w:p w:rsidR="00A9729B" w:rsidRPr="00BD6D79" w:rsidRDefault="00A9729B" w:rsidP="00A9729B">
      <w:pPr>
        <w:ind w:firstLine="0"/>
        <w:jc w:val="center"/>
        <w:rPr>
          <w:sz w:val="60"/>
        </w:rPr>
      </w:pPr>
      <w:r w:rsidRPr="00BD6D79">
        <w:rPr>
          <w:sz w:val="60"/>
        </w:rPr>
        <w:t>“</w:t>
      </w:r>
      <w:r>
        <w:rPr>
          <w:sz w:val="60"/>
        </w:rPr>
        <w:t>Culture et s</w:t>
      </w:r>
      <w:r>
        <w:rPr>
          <w:sz w:val="60"/>
        </w:rPr>
        <w:t>a</w:t>
      </w:r>
      <w:r>
        <w:rPr>
          <w:sz w:val="60"/>
        </w:rPr>
        <w:t>turation</w:t>
      </w:r>
      <w:r w:rsidRPr="00BD6D79">
        <w:rPr>
          <w:sz w:val="60"/>
        </w:rPr>
        <w:t>.”</w:t>
      </w:r>
    </w:p>
    <w:bookmarkEnd w:id="1"/>
    <w:p w:rsidR="00A9729B" w:rsidRDefault="00A9729B" w:rsidP="00A9729B">
      <w:pPr>
        <w:jc w:val="both"/>
      </w:pPr>
    </w:p>
    <w:p w:rsidR="00A9729B" w:rsidRPr="00E07116" w:rsidRDefault="00A9729B" w:rsidP="00A9729B">
      <w:pPr>
        <w:pStyle w:val="suite"/>
      </w:pPr>
      <w:r>
        <w:t>Jean-Paul BRODEUR</w:t>
      </w:r>
    </w:p>
    <w:p w:rsidR="00A9729B" w:rsidRPr="00E07116" w:rsidRDefault="00A9729B" w:rsidP="00A9729B">
      <w:pPr>
        <w:jc w:val="both"/>
      </w:pPr>
    </w:p>
    <w:p w:rsidR="00A9729B" w:rsidRDefault="00A9729B" w:rsidP="00A9729B">
      <w:pPr>
        <w:jc w:val="both"/>
      </w:pPr>
    </w:p>
    <w:p w:rsidR="00A9729B" w:rsidRDefault="00A9729B" w:rsidP="00A9729B">
      <w:pPr>
        <w:jc w:val="both"/>
      </w:pPr>
    </w:p>
    <w:p w:rsidR="00A9729B" w:rsidRDefault="00A9729B" w:rsidP="00A9729B">
      <w:pPr>
        <w:jc w:val="both"/>
      </w:pPr>
    </w:p>
    <w:p w:rsidR="00A9729B" w:rsidRDefault="00A9729B" w:rsidP="00A9729B">
      <w:pPr>
        <w:spacing w:before="120" w:after="120"/>
        <w:jc w:val="both"/>
        <w:rPr>
          <w:lang w:eastAsia="fr-FR" w:bidi="fr-FR"/>
        </w:rPr>
      </w:pPr>
      <w:r w:rsidRPr="00AB71A5">
        <w:rPr>
          <w:color w:val="000000"/>
          <w:lang w:eastAsia="fr-FR" w:bidi="fr-FR"/>
        </w:rPr>
        <w:t>1. Peut-être serait-il opportun, avant de commencer d’aligner mes phrases, de fixer quelle est la limite de mon ambition, en les produ</w:t>
      </w:r>
      <w:r w:rsidRPr="00AB71A5">
        <w:rPr>
          <w:color w:val="000000"/>
          <w:lang w:eastAsia="fr-FR" w:bidi="fr-FR"/>
        </w:rPr>
        <w:t>i</w:t>
      </w:r>
      <w:r w:rsidRPr="00AB71A5">
        <w:rPr>
          <w:color w:val="000000"/>
          <w:lang w:eastAsia="fr-FR" w:bidi="fr-FR"/>
        </w:rPr>
        <w:t>sant. (1) Je ne réclame pas, pour qualifier mon discours, des prédicats tels que ceux de scientificité ou de démonstrativité. Fa</w:t>
      </w:r>
      <w:r w:rsidRPr="00AB71A5">
        <w:rPr>
          <w:color w:val="000000"/>
          <w:lang w:eastAsia="fr-FR" w:bidi="fr-FR"/>
        </w:rPr>
        <w:t>i</w:t>
      </w:r>
      <w:r w:rsidRPr="00AB71A5">
        <w:rPr>
          <w:color w:val="000000"/>
          <w:lang w:eastAsia="fr-FR" w:bidi="fr-FR"/>
        </w:rPr>
        <w:t>sant alterner des analyses très circonstanciées, avec des hyp</w:t>
      </w:r>
      <w:r w:rsidRPr="00AB71A5">
        <w:rPr>
          <w:color w:val="000000"/>
          <w:lang w:eastAsia="fr-FR" w:bidi="fr-FR"/>
        </w:rPr>
        <w:t>o</w:t>
      </w:r>
      <w:r w:rsidRPr="00AB71A5">
        <w:rPr>
          <w:color w:val="000000"/>
          <w:lang w:eastAsia="fr-FR" w:bidi="fr-FR"/>
        </w:rPr>
        <w:t>thèses très générales, mes propositions se mai</w:t>
      </w:r>
      <w:r w:rsidRPr="00AB71A5">
        <w:rPr>
          <w:color w:val="000000"/>
          <w:lang w:eastAsia="fr-FR" w:bidi="fr-FR"/>
        </w:rPr>
        <w:t>n</w:t>
      </w:r>
      <w:r w:rsidRPr="00AB71A5">
        <w:rPr>
          <w:color w:val="000000"/>
          <w:lang w:eastAsia="fr-FR" w:bidi="fr-FR"/>
        </w:rPr>
        <w:t>tiendront, tantôt en-deça, tantôt au-delà du niveau de généralité que l’on doit requérir pour reconnaître qu’une proposition est scientifique ou démonstrative (en un sens suffisa</w:t>
      </w:r>
      <w:r w:rsidRPr="00AB71A5">
        <w:rPr>
          <w:color w:val="000000"/>
          <w:lang w:eastAsia="fr-FR" w:bidi="fr-FR"/>
        </w:rPr>
        <w:t>m</w:t>
      </w:r>
      <w:r w:rsidRPr="00AB71A5">
        <w:rPr>
          <w:color w:val="000000"/>
          <w:lang w:eastAsia="fr-FR" w:bidi="fr-FR"/>
        </w:rPr>
        <w:t>ment précis de ces derniers te</w:t>
      </w:r>
      <w:r w:rsidRPr="00AB71A5">
        <w:rPr>
          <w:color w:val="000000"/>
          <w:lang w:eastAsia="fr-FR" w:bidi="fr-FR"/>
        </w:rPr>
        <w:t>r</w:t>
      </w:r>
      <w:r w:rsidRPr="00AB71A5">
        <w:rPr>
          <w:color w:val="000000"/>
          <w:lang w:eastAsia="fr-FR" w:bidi="fr-FR"/>
        </w:rPr>
        <w:t>mes, pour qu’il soit encore expédient de les conserver dans le vocabulaire thé</w:t>
      </w:r>
      <w:r w:rsidRPr="00AB71A5">
        <w:rPr>
          <w:color w:val="000000"/>
          <w:lang w:eastAsia="fr-FR" w:bidi="fr-FR"/>
        </w:rPr>
        <w:t>o</w:t>
      </w:r>
      <w:r w:rsidRPr="00AB71A5">
        <w:rPr>
          <w:color w:val="000000"/>
          <w:lang w:eastAsia="fr-FR" w:bidi="fr-FR"/>
        </w:rPr>
        <w:t>rique). Je crois par ailleurs qu’un volont</w:t>
      </w:r>
      <w:r w:rsidRPr="00AB71A5">
        <w:rPr>
          <w:color w:val="000000"/>
          <w:lang w:eastAsia="fr-FR" w:bidi="fr-FR"/>
        </w:rPr>
        <w:t>a</w:t>
      </w:r>
      <w:r w:rsidRPr="00AB71A5">
        <w:rPr>
          <w:color w:val="000000"/>
          <w:lang w:eastAsia="fr-FR" w:bidi="fr-FR"/>
        </w:rPr>
        <w:t>risme de la scientificité — qui ne doit d’aucune façon être confondu avec le vœu général d’une rigueur — constitue actue</w:t>
      </w:r>
      <w:r w:rsidRPr="00AB71A5">
        <w:rPr>
          <w:color w:val="000000"/>
          <w:lang w:eastAsia="fr-FR" w:bidi="fr-FR"/>
        </w:rPr>
        <w:t>l</w:t>
      </w:r>
      <w:r w:rsidRPr="00AB71A5">
        <w:rPr>
          <w:color w:val="000000"/>
          <w:lang w:eastAsia="fr-FR" w:bidi="fr-FR"/>
        </w:rPr>
        <w:t>lement l’une des illusions les plus bouffonnes de la phil</w:t>
      </w:r>
      <w:r w:rsidRPr="00AB71A5">
        <w:rPr>
          <w:color w:val="000000"/>
          <w:lang w:eastAsia="fr-FR" w:bidi="fr-FR"/>
        </w:rPr>
        <w:t>o</w:t>
      </w:r>
      <w:r w:rsidRPr="00AB71A5">
        <w:rPr>
          <w:color w:val="000000"/>
          <w:lang w:eastAsia="fr-FR" w:bidi="fr-FR"/>
        </w:rPr>
        <w:t>sophie et de quelques sciences humaines. (2) Les réflexions que je vais prése</w:t>
      </w:r>
      <w:r w:rsidRPr="00AB71A5">
        <w:rPr>
          <w:color w:val="000000"/>
          <w:lang w:eastAsia="fr-FR" w:bidi="fr-FR"/>
        </w:rPr>
        <w:t>n</w:t>
      </w:r>
      <w:r w:rsidRPr="00AB71A5">
        <w:rPr>
          <w:color w:val="000000"/>
          <w:lang w:eastAsia="fr-FR" w:bidi="fr-FR"/>
        </w:rPr>
        <w:t>ter sont, d’une seconde façon, bien dans l’air du temps. Je n’en revend</w:t>
      </w:r>
      <w:r w:rsidRPr="00AB71A5">
        <w:rPr>
          <w:color w:val="000000"/>
          <w:lang w:eastAsia="fr-FR" w:bidi="fr-FR"/>
        </w:rPr>
        <w:t>i</w:t>
      </w:r>
      <w:r w:rsidRPr="00AB71A5">
        <w:rPr>
          <w:color w:val="000000"/>
          <w:lang w:eastAsia="fr-FR" w:bidi="fr-FR"/>
        </w:rPr>
        <w:t>que donc pas la nouvea</w:t>
      </w:r>
      <w:r w:rsidRPr="00AB71A5">
        <w:rPr>
          <w:color w:val="000000"/>
          <w:lang w:eastAsia="fr-FR" w:bidi="fr-FR"/>
        </w:rPr>
        <w:t>u</w:t>
      </w:r>
      <w:r w:rsidRPr="00AB71A5">
        <w:rPr>
          <w:color w:val="000000"/>
          <w:lang w:eastAsia="fr-FR" w:bidi="fr-FR"/>
        </w:rPr>
        <w:t>té. Elles poursuivent un effort pour dresser ce que j’ai appelé ailleurs un répertoire du male</w:t>
      </w:r>
      <w:r w:rsidRPr="00AB71A5">
        <w:rPr>
          <w:color w:val="000000"/>
          <w:lang w:eastAsia="fr-FR" w:bidi="fr-FR"/>
        </w:rPr>
        <w:t>n</w:t>
      </w:r>
      <w:r w:rsidRPr="00AB71A5">
        <w:rPr>
          <w:color w:val="000000"/>
          <w:lang w:eastAsia="fr-FR" w:bidi="fr-FR"/>
        </w:rPr>
        <w:t>tendu,</w:t>
      </w:r>
      <w:r>
        <w:rPr>
          <w:color w:val="000000"/>
          <w:lang w:eastAsia="fr-FR" w:bidi="fr-FR"/>
        </w:rPr>
        <w:t> </w:t>
      </w:r>
      <w:r>
        <w:rPr>
          <w:rStyle w:val="Appelnotedebasdep"/>
          <w:lang w:eastAsia="fr-FR" w:bidi="fr-FR"/>
        </w:rPr>
        <w:footnoteReference w:customMarkFollows="1" w:id="1"/>
        <w:t>A</w:t>
      </w:r>
      <w:r w:rsidRPr="00AB71A5">
        <w:rPr>
          <w:color w:val="000000"/>
          <w:lang w:eastAsia="fr-FR" w:bidi="fr-FR"/>
        </w:rPr>
        <w:t xml:space="preserve"> dont l’ampleur se révèle telle qu’elle paraît entraîner, selon des résu</w:t>
      </w:r>
      <w:r w:rsidRPr="00AB71A5">
        <w:rPr>
          <w:color w:val="000000"/>
          <w:lang w:eastAsia="fr-FR" w:bidi="fr-FR"/>
        </w:rPr>
        <w:t>l</w:t>
      </w:r>
      <w:r w:rsidRPr="00AB71A5">
        <w:rPr>
          <w:color w:val="000000"/>
          <w:lang w:eastAsia="fr-FR" w:bidi="fr-FR"/>
        </w:rPr>
        <w:t xml:space="preserve">tats obtenus dans des travaux beaucoup plus élaborés que les miens, une </w:t>
      </w:r>
      <w:r w:rsidRPr="00AB71A5">
        <w:rPr>
          <w:color w:val="000000"/>
          <w:lang w:eastAsia="fr-FR" w:bidi="fr-FR"/>
        </w:rPr>
        <w:lastRenderedPageBreak/>
        <w:t>d</w:t>
      </w:r>
      <w:r w:rsidRPr="00AB71A5">
        <w:rPr>
          <w:color w:val="000000"/>
          <w:lang w:eastAsia="fr-FR" w:bidi="fr-FR"/>
        </w:rPr>
        <w:t>i</w:t>
      </w:r>
      <w:r w:rsidRPr="00AB71A5">
        <w:rPr>
          <w:color w:val="000000"/>
          <w:lang w:eastAsia="fr-FR" w:bidi="fr-FR"/>
        </w:rPr>
        <w:t>slocation de la cult</w:t>
      </w:r>
      <w:r w:rsidRPr="00AB71A5">
        <w:rPr>
          <w:color w:val="000000"/>
          <w:lang w:eastAsia="fr-FR" w:bidi="fr-FR"/>
        </w:rPr>
        <w:t>u</w:t>
      </w:r>
      <w:r w:rsidRPr="00AB71A5">
        <w:rPr>
          <w:color w:val="000000"/>
          <w:lang w:eastAsia="fr-FR" w:bidi="fr-FR"/>
        </w:rPr>
        <w:t>re.</w:t>
      </w:r>
      <w:r>
        <w:rPr>
          <w:color w:val="000000"/>
          <w:lang w:eastAsia="fr-FR" w:bidi="fr-FR"/>
        </w:rPr>
        <w:t> </w:t>
      </w:r>
      <w:r>
        <w:rPr>
          <w:rStyle w:val="Appelnotedebasdep"/>
          <w:lang w:eastAsia="fr-FR" w:bidi="fr-FR"/>
        </w:rPr>
        <w:footnoteReference w:customMarkFollows="1" w:id="2"/>
        <w:t>B</w:t>
      </w:r>
      <w:r w:rsidRPr="00AB71A5">
        <w:rPr>
          <w:color w:val="000000"/>
          <w:lang w:eastAsia="fr-FR" w:bidi="fr-FR"/>
        </w:rPr>
        <w:t xml:space="preserve"> (3) J’ignore encore la portée réelle des remarques que je vais faire. Encore ici, le défaut viendra</w:t>
      </w:r>
      <w:r>
        <w:rPr>
          <w:color w:val="000000"/>
          <w:lang w:eastAsia="fr-FR" w:bidi="fr-FR"/>
        </w:rPr>
        <w:t xml:space="preserve"> </w:t>
      </w:r>
      <w:r w:rsidRPr="00AB71A5">
        <w:t>[80]</w:t>
      </w:r>
      <w:r>
        <w:t xml:space="preserve"> </w:t>
      </w:r>
      <w:r w:rsidRPr="00AB71A5">
        <w:rPr>
          <w:lang w:eastAsia="fr-FR" w:bidi="fr-FR"/>
        </w:rPr>
        <w:t>de ce qu’il y a peu ou trop. Peu : il ne manquera pas de sembler que l’objet-texte que je d</w:t>
      </w:r>
      <w:r w:rsidRPr="00AB71A5">
        <w:rPr>
          <w:lang w:eastAsia="fr-FR" w:bidi="fr-FR"/>
        </w:rPr>
        <w:t>é</w:t>
      </w:r>
      <w:r w:rsidRPr="00AB71A5">
        <w:rPr>
          <w:lang w:eastAsia="fr-FR" w:bidi="fr-FR"/>
        </w:rPr>
        <w:t>cris a été par moi élu, à cause de ma certit</w:t>
      </w:r>
      <w:r w:rsidRPr="00AB71A5">
        <w:rPr>
          <w:lang w:eastAsia="fr-FR" w:bidi="fr-FR"/>
        </w:rPr>
        <w:t>u</w:t>
      </w:r>
      <w:r w:rsidRPr="00AB71A5">
        <w:rPr>
          <w:lang w:eastAsia="fr-FR" w:bidi="fr-FR"/>
        </w:rPr>
        <w:t>de qu’il était exactement adonné à vérifier des hypo</w:t>
      </w:r>
      <w:r>
        <w:rPr>
          <w:lang w:eastAsia="fr-FR" w:bidi="fr-FR"/>
        </w:rPr>
        <w:t>thèses qui antécé</w:t>
      </w:r>
      <w:r w:rsidRPr="00AB71A5">
        <w:rPr>
          <w:lang w:eastAsia="fr-FR" w:bidi="fr-FR"/>
        </w:rPr>
        <w:t>daient tellement la descri</w:t>
      </w:r>
      <w:r w:rsidRPr="00AB71A5">
        <w:rPr>
          <w:lang w:eastAsia="fr-FR" w:bidi="fr-FR"/>
        </w:rPr>
        <w:t>p</w:t>
      </w:r>
      <w:r w:rsidRPr="00AB71A5">
        <w:rPr>
          <w:lang w:eastAsia="fr-FR" w:bidi="fr-FR"/>
        </w:rPr>
        <w:t>tion, qu’elles di</w:t>
      </w:r>
      <w:r w:rsidRPr="00AB71A5">
        <w:rPr>
          <w:lang w:eastAsia="fr-FR" w:bidi="fr-FR"/>
        </w:rPr>
        <w:t>c</w:t>
      </w:r>
      <w:r w:rsidRPr="00AB71A5">
        <w:rPr>
          <w:lang w:eastAsia="fr-FR" w:bidi="fr-FR"/>
        </w:rPr>
        <w:t>taient le choix de son objet. Aussi singulier dès lors, que l’hypothèse qu’il est censé appuyer, l’objet-texte décrit en marg</w:t>
      </w:r>
      <w:r w:rsidRPr="00AB71A5">
        <w:rPr>
          <w:lang w:eastAsia="fr-FR" w:bidi="fr-FR"/>
        </w:rPr>
        <w:t>i</w:t>
      </w:r>
      <w:r w:rsidRPr="00AB71A5">
        <w:rPr>
          <w:lang w:eastAsia="fr-FR" w:bidi="fr-FR"/>
        </w:rPr>
        <w:t>naliserait la validité. Trop : il se peut aussi qu’à l’inverse, on croit que les quelques caract</w:t>
      </w:r>
      <w:r w:rsidRPr="00AB71A5">
        <w:rPr>
          <w:lang w:eastAsia="fr-FR" w:bidi="fr-FR"/>
        </w:rPr>
        <w:t>è</w:t>
      </w:r>
      <w:r w:rsidRPr="00AB71A5">
        <w:rPr>
          <w:lang w:eastAsia="fr-FR" w:bidi="fr-FR"/>
        </w:rPr>
        <w:t>res que j’attribuerai à l’objet-texte analysé sont constitutifs de la nature même du produit d’écriture et qu’ils appa</w:t>
      </w:r>
      <w:r w:rsidRPr="00AB71A5">
        <w:rPr>
          <w:lang w:eastAsia="fr-FR" w:bidi="fr-FR"/>
        </w:rPr>
        <w:t>r</w:t>
      </w:r>
      <w:r w:rsidRPr="00AB71A5">
        <w:rPr>
          <w:lang w:eastAsia="fr-FR" w:bidi="fr-FR"/>
        </w:rPr>
        <w:t>tiennent donc à tous les textes. Mais il sera évidemment à craindre que l’universalité des caractères pr</w:t>
      </w:r>
      <w:r w:rsidRPr="00AB71A5">
        <w:rPr>
          <w:lang w:eastAsia="fr-FR" w:bidi="fr-FR"/>
        </w:rPr>
        <w:t>o</w:t>
      </w:r>
      <w:r w:rsidRPr="00AB71A5">
        <w:rPr>
          <w:lang w:eastAsia="fr-FR" w:bidi="fr-FR"/>
        </w:rPr>
        <w:t>posés n’aura été acquise que par leur banalité. Eu égard à ce tro</w:t>
      </w:r>
      <w:r w:rsidRPr="00AB71A5">
        <w:rPr>
          <w:lang w:eastAsia="fr-FR" w:bidi="fr-FR"/>
        </w:rPr>
        <w:t>i</w:t>
      </w:r>
      <w:r w:rsidRPr="00AB71A5">
        <w:rPr>
          <w:lang w:eastAsia="fr-FR" w:bidi="fr-FR"/>
        </w:rPr>
        <w:t>sième type de critique, j’aimerais dire ce qui suit. Pour le cas où l’on trouverait trop singulier l’objet-texte pr</w:t>
      </w:r>
      <w:r w:rsidRPr="00AB71A5">
        <w:rPr>
          <w:lang w:eastAsia="fr-FR" w:bidi="fr-FR"/>
        </w:rPr>
        <w:t>é</w:t>
      </w:r>
      <w:r w:rsidRPr="00AB71A5">
        <w:rPr>
          <w:lang w:eastAsia="fr-FR" w:bidi="fr-FR"/>
        </w:rPr>
        <w:t>senté, je m’estimerais comblé que l’on ne se contentât point de form</w:t>
      </w:r>
      <w:r w:rsidRPr="00AB71A5">
        <w:rPr>
          <w:lang w:eastAsia="fr-FR" w:bidi="fr-FR"/>
        </w:rPr>
        <w:t>u</w:t>
      </w:r>
      <w:r w:rsidRPr="00AB71A5">
        <w:rPr>
          <w:lang w:eastAsia="fr-FR" w:bidi="fr-FR"/>
        </w:rPr>
        <w:t>ler un constat de déviance et qu’on voulût l’appuyer par des reche</w:t>
      </w:r>
      <w:r w:rsidRPr="00AB71A5">
        <w:rPr>
          <w:lang w:eastAsia="fr-FR" w:bidi="fr-FR"/>
        </w:rPr>
        <w:t>r</w:t>
      </w:r>
      <w:r w:rsidRPr="00AB71A5">
        <w:rPr>
          <w:lang w:eastAsia="fr-FR" w:bidi="fr-FR"/>
        </w:rPr>
        <w:t>ches empiriques qui nous montrent que le produit culturel contemp</w:t>
      </w:r>
      <w:r w:rsidRPr="00AB71A5">
        <w:rPr>
          <w:lang w:eastAsia="fr-FR" w:bidi="fr-FR"/>
        </w:rPr>
        <w:t>o</w:t>
      </w:r>
      <w:r w:rsidRPr="00AB71A5">
        <w:rPr>
          <w:lang w:eastAsia="fr-FR" w:bidi="fr-FR"/>
        </w:rPr>
        <w:t>rain ne possède pas les caractères présents dans celui que je décris. Quant à ceux qui trouveraient que mes r</w:t>
      </w:r>
      <w:r w:rsidRPr="00AB71A5">
        <w:rPr>
          <w:lang w:eastAsia="fr-FR" w:bidi="fr-FR"/>
        </w:rPr>
        <w:t>e</w:t>
      </w:r>
      <w:r w:rsidRPr="00AB71A5">
        <w:rPr>
          <w:lang w:eastAsia="fr-FR" w:bidi="fr-FR"/>
        </w:rPr>
        <w:t>marques tendent vers le truisme, — et parmi lesquels on pourrait peut-être me trouver — je ne les prierai que de penser avec suite les cons</w:t>
      </w:r>
      <w:r w:rsidRPr="00AB71A5">
        <w:rPr>
          <w:lang w:eastAsia="fr-FR" w:bidi="fr-FR"/>
        </w:rPr>
        <w:t>é</w:t>
      </w:r>
      <w:r w:rsidRPr="00AB71A5">
        <w:rPr>
          <w:lang w:eastAsia="fr-FR" w:bidi="fr-FR"/>
        </w:rPr>
        <w:t>quences de ce truisme. (4) Dernier avertiss</w:t>
      </w:r>
      <w:r w:rsidRPr="00AB71A5">
        <w:rPr>
          <w:lang w:eastAsia="fr-FR" w:bidi="fr-FR"/>
        </w:rPr>
        <w:t>e</w:t>
      </w:r>
      <w:r w:rsidRPr="00AB71A5">
        <w:rPr>
          <w:lang w:eastAsia="fr-FR" w:bidi="fr-FR"/>
        </w:rPr>
        <w:t>ment, enfin : ce texte ne s’adressant pas à des spécialistes des problématiques du langage, ceux-ci trouveront que beaucoup d’espace est accordé à la discussion de notions, à ce</w:t>
      </w:r>
      <w:r w:rsidRPr="00AB71A5">
        <w:rPr>
          <w:lang w:eastAsia="fr-FR" w:bidi="fr-FR"/>
        </w:rPr>
        <w:t>r</w:t>
      </w:r>
      <w:r>
        <w:rPr>
          <w:lang w:eastAsia="fr-FR" w:bidi="fr-FR"/>
        </w:rPr>
        <w:t>tains égards élémentaires.</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Pr>
          <w:lang w:eastAsia="fr-FR" w:bidi="fr-FR"/>
        </w:rPr>
        <w:t xml:space="preserve">2. </w:t>
      </w:r>
      <w:r w:rsidRPr="00AB71A5">
        <w:rPr>
          <w:color w:val="000000"/>
          <w:lang w:val="fr-FR" w:eastAsia="fr-FR" w:bidi="fr-FR"/>
        </w:rPr>
        <w:t>Ces réflexions sont le fruit de diverses expériences, parmi le</w:t>
      </w:r>
      <w:r w:rsidRPr="00AB71A5">
        <w:rPr>
          <w:color w:val="000000"/>
          <w:lang w:val="fr-FR" w:eastAsia="fr-FR" w:bidi="fr-FR"/>
        </w:rPr>
        <w:t>s</w:t>
      </w:r>
      <w:r w:rsidRPr="00AB71A5">
        <w:rPr>
          <w:color w:val="000000"/>
          <w:lang w:val="fr-FR" w:eastAsia="fr-FR" w:bidi="fr-FR"/>
        </w:rPr>
        <w:t>quelles on peut privilégier des expérie</w:t>
      </w:r>
      <w:r w:rsidRPr="00AB71A5">
        <w:rPr>
          <w:color w:val="000000"/>
          <w:lang w:val="fr-FR" w:eastAsia="fr-FR" w:bidi="fr-FR"/>
        </w:rPr>
        <w:t>n</w:t>
      </w:r>
      <w:r w:rsidRPr="00AB71A5">
        <w:rPr>
          <w:color w:val="000000"/>
          <w:lang w:val="fr-FR" w:eastAsia="fr-FR" w:bidi="fr-FR"/>
        </w:rPr>
        <w:t>ces d’enseignement. Pour celui qui s’intéresse aux processus de communication, l’enseignement pou</w:t>
      </w:r>
      <w:r w:rsidRPr="00AB71A5">
        <w:rPr>
          <w:color w:val="000000"/>
          <w:lang w:val="fr-FR" w:eastAsia="fr-FR" w:bidi="fr-FR"/>
        </w:rPr>
        <w:t>r</w:t>
      </w:r>
      <w:r w:rsidRPr="00AB71A5">
        <w:rPr>
          <w:color w:val="000000"/>
          <w:lang w:val="fr-FR" w:eastAsia="fr-FR" w:bidi="fr-FR"/>
        </w:rPr>
        <w:t>rait être homologué au « terrain », si cher à certaines écoles de soci</w:t>
      </w:r>
      <w:r w:rsidRPr="00AB71A5">
        <w:rPr>
          <w:color w:val="000000"/>
          <w:lang w:val="fr-FR" w:eastAsia="fr-FR" w:bidi="fr-FR"/>
        </w:rPr>
        <w:t>o</w:t>
      </w:r>
      <w:r w:rsidRPr="00AB71A5">
        <w:rPr>
          <w:color w:val="000000"/>
          <w:lang w:val="fr-FR" w:eastAsia="fr-FR" w:bidi="fr-FR"/>
        </w:rPr>
        <w:t>logie et d’anthropologie. Or il est un premier fait duquel ne peut ma</w:t>
      </w:r>
      <w:r w:rsidRPr="00AB71A5">
        <w:rPr>
          <w:color w:val="000000"/>
          <w:lang w:val="fr-FR" w:eastAsia="fr-FR" w:bidi="fr-FR"/>
        </w:rPr>
        <w:t>n</w:t>
      </w:r>
      <w:r w:rsidRPr="00AB71A5">
        <w:rPr>
          <w:color w:val="000000"/>
          <w:lang w:val="fr-FR" w:eastAsia="fr-FR" w:bidi="fr-FR"/>
        </w:rPr>
        <w:t>quer de s’étonner l’enseignant et c’est l’écart grandissant qui sép</w:t>
      </w:r>
      <w:r w:rsidRPr="00AB71A5">
        <w:rPr>
          <w:color w:val="000000"/>
          <w:lang w:val="fr-FR" w:eastAsia="fr-FR" w:bidi="fr-FR"/>
        </w:rPr>
        <w:t>a</w:t>
      </w:r>
      <w:r w:rsidRPr="00AB71A5">
        <w:rPr>
          <w:color w:val="000000"/>
          <w:lang w:val="fr-FR" w:eastAsia="fr-FR" w:bidi="fr-FR"/>
        </w:rPr>
        <w:t>re l’information transmise de l’information effectivement r</w:t>
      </w:r>
      <w:r w:rsidRPr="00AB71A5">
        <w:rPr>
          <w:color w:val="000000"/>
          <w:lang w:val="fr-FR" w:eastAsia="fr-FR" w:bidi="fr-FR"/>
        </w:rPr>
        <w:t>e</w:t>
      </w:r>
      <w:r w:rsidRPr="00AB71A5">
        <w:rPr>
          <w:color w:val="000000"/>
          <w:lang w:val="fr-FR" w:eastAsia="fr-FR" w:bidi="fr-FR"/>
        </w:rPr>
        <w:t>çue. Cette déconvenue est cepe</w:t>
      </w:r>
      <w:r w:rsidRPr="00AB71A5">
        <w:rPr>
          <w:color w:val="000000"/>
          <w:lang w:val="fr-FR" w:eastAsia="fr-FR" w:bidi="fr-FR"/>
        </w:rPr>
        <w:t>n</w:t>
      </w:r>
      <w:r w:rsidRPr="00AB71A5">
        <w:rPr>
          <w:color w:val="000000"/>
          <w:lang w:val="fr-FR" w:eastAsia="fr-FR" w:bidi="fr-FR"/>
        </w:rPr>
        <w:t xml:space="preserve">dant si coutumière à l’enseignement qu’elle ne </w:t>
      </w:r>
      <w:r w:rsidRPr="00AB71A5">
        <w:rPr>
          <w:color w:val="000000"/>
          <w:lang w:val="fr-FR" w:eastAsia="fr-FR" w:bidi="fr-FR"/>
        </w:rPr>
        <w:lastRenderedPageBreak/>
        <w:t>saurait maintenant engendrer un vérit</w:t>
      </w:r>
      <w:r w:rsidRPr="00AB71A5">
        <w:rPr>
          <w:color w:val="000000"/>
          <w:lang w:val="fr-FR" w:eastAsia="fr-FR" w:bidi="fr-FR"/>
        </w:rPr>
        <w:t>a</w:t>
      </w:r>
      <w:r w:rsidRPr="00AB71A5">
        <w:rPr>
          <w:color w:val="000000"/>
          <w:lang w:val="fr-FR" w:eastAsia="fr-FR" w:bidi="fr-FR"/>
        </w:rPr>
        <w:t>ble ébranlement. Le désarroi viendra pl</w:t>
      </w:r>
      <w:r w:rsidRPr="00AB71A5">
        <w:rPr>
          <w:color w:val="000000"/>
          <w:lang w:val="fr-FR" w:eastAsia="fr-FR" w:bidi="fr-FR"/>
        </w:rPr>
        <w:t>u</w:t>
      </w:r>
      <w:r w:rsidRPr="00AB71A5">
        <w:rPr>
          <w:color w:val="000000"/>
          <w:lang w:val="fr-FR" w:eastAsia="fr-FR" w:bidi="fr-FR"/>
        </w:rPr>
        <w:t>tôt de ce que l’enseignant, constatant à quel point les contenus transmis a</w:t>
      </w:r>
      <w:r w:rsidRPr="00AB71A5">
        <w:rPr>
          <w:color w:val="000000"/>
          <w:lang w:val="fr-FR" w:eastAsia="fr-FR" w:bidi="fr-FR"/>
        </w:rPr>
        <w:t>c</w:t>
      </w:r>
      <w:r w:rsidRPr="00AB71A5">
        <w:rPr>
          <w:color w:val="000000"/>
          <w:lang w:val="fr-FR" w:eastAsia="fr-FR" w:bidi="fr-FR"/>
        </w:rPr>
        <w:t>centuent la désintégration de tout ce qui pourrait ressembler à une organisation conceptuelle chez l’enseigné, en vie</w:t>
      </w:r>
      <w:r w:rsidRPr="00AB71A5">
        <w:rPr>
          <w:color w:val="000000"/>
          <w:lang w:val="fr-FR" w:eastAsia="fr-FR" w:bidi="fr-FR"/>
        </w:rPr>
        <w:t>n</w:t>
      </w:r>
      <w:r w:rsidRPr="00AB71A5">
        <w:rPr>
          <w:color w:val="000000"/>
          <w:lang w:val="fr-FR" w:eastAsia="fr-FR" w:bidi="fr-FR"/>
        </w:rPr>
        <w:t>dra à trouver heureuse sa première déception et à souhaiter que le ra</w:t>
      </w:r>
      <w:r w:rsidRPr="00AB71A5">
        <w:rPr>
          <w:color w:val="000000"/>
          <w:lang w:val="fr-FR" w:eastAsia="fr-FR" w:bidi="fr-FR"/>
        </w:rPr>
        <w:t>p</w:t>
      </w:r>
      <w:r w:rsidRPr="00AB71A5">
        <w:rPr>
          <w:color w:val="000000"/>
          <w:lang w:val="fr-FR" w:eastAsia="fr-FR" w:bidi="fr-FR"/>
        </w:rPr>
        <w:t>port de l’information reçue sur l’information transmise ne s’accroisse pas. C’est de cette résignation et de la s</w:t>
      </w:r>
      <w:r w:rsidRPr="00AB71A5">
        <w:rPr>
          <w:color w:val="000000"/>
          <w:lang w:val="fr-FR" w:eastAsia="fr-FR" w:bidi="fr-FR"/>
        </w:rPr>
        <w:t>i</w:t>
      </w:r>
      <w:r w:rsidRPr="00AB71A5">
        <w:rPr>
          <w:color w:val="000000"/>
          <w:lang w:val="fr-FR" w:eastAsia="fr-FR" w:bidi="fr-FR"/>
        </w:rPr>
        <w:t>tuation qui l’engendre qu’il faut tenter de rendre compte.</w:t>
      </w:r>
    </w:p>
    <w:p w:rsidR="00A9729B" w:rsidRPr="00AB71A5" w:rsidRDefault="00A9729B" w:rsidP="00A9729B">
      <w:pPr>
        <w:spacing w:before="120" w:after="120"/>
        <w:jc w:val="both"/>
      </w:pPr>
      <w:r>
        <w:rPr>
          <w:lang w:eastAsia="fr-FR" w:bidi="fr-FR"/>
        </w:rPr>
        <w:t>[81]</w:t>
      </w:r>
    </w:p>
    <w:p w:rsidR="00A9729B" w:rsidRPr="00AB71A5" w:rsidRDefault="00A9729B" w:rsidP="00A9729B">
      <w:pPr>
        <w:spacing w:before="120" w:after="120"/>
        <w:jc w:val="both"/>
      </w:pPr>
      <w:r w:rsidRPr="00AB71A5">
        <w:rPr>
          <w:lang w:eastAsia="fr-FR" w:bidi="fr-FR"/>
        </w:rPr>
        <w:t>J’écarte tout de suite une hypothèse, d’une oppressante si</w:t>
      </w:r>
      <w:r w:rsidRPr="00AB71A5">
        <w:rPr>
          <w:lang w:eastAsia="fr-FR" w:bidi="fr-FR"/>
        </w:rPr>
        <w:t>m</w:t>
      </w:r>
      <w:r w:rsidRPr="00AB71A5">
        <w:rPr>
          <w:lang w:eastAsia="fr-FR" w:bidi="fr-FR"/>
        </w:rPr>
        <w:t>plicité : une soudaine dépression, soit dans la qualité des destinata</w:t>
      </w:r>
      <w:r w:rsidRPr="00AB71A5">
        <w:rPr>
          <w:lang w:eastAsia="fr-FR" w:bidi="fr-FR"/>
        </w:rPr>
        <w:t>i</w:t>
      </w:r>
      <w:r w:rsidRPr="00AB71A5">
        <w:rPr>
          <w:lang w:eastAsia="fr-FR" w:bidi="fr-FR"/>
        </w:rPr>
        <w:t>res de l’enseignement, soit dans la qualité des enseignants. De façon plus génér</w:t>
      </w:r>
      <w:r w:rsidRPr="00AB71A5">
        <w:rPr>
          <w:lang w:eastAsia="fr-FR" w:bidi="fr-FR"/>
        </w:rPr>
        <w:t>a</w:t>
      </w:r>
      <w:r w:rsidRPr="00AB71A5">
        <w:rPr>
          <w:lang w:eastAsia="fr-FR" w:bidi="fr-FR"/>
        </w:rPr>
        <w:t>le, nous dirons que toute hypothèse qui s’emploie à réduire le chaos culturel contemporain à l’insuffisance abstraite d’un groupe ou d’une popul</w:t>
      </w:r>
      <w:r w:rsidRPr="00AB71A5">
        <w:rPr>
          <w:lang w:eastAsia="fr-FR" w:bidi="fr-FR"/>
        </w:rPr>
        <w:t>a</w:t>
      </w:r>
      <w:r w:rsidRPr="00AB71A5">
        <w:rPr>
          <w:lang w:eastAsia="fr-FR" w:bidi="fr-FR"/>
        </w:rPr>
        <w:t>tion — quels qu’ils soient — ne fait que redoubler le chaos par ce qui en est le corrélât subjectif : la pan</w:t>
      </w:r>
      <w:r w:rsidRPr="00AB71A5">
        <w:rPr>
          <w:lang w:eastAsia="fr-FR" w:bidi="fr-FR"/>
        </w:rPr>
        <w:t>i</w:t>
      </w:r>
      <w:r w:rsidRPr="00AB71A5">
        <w:rPr>
          <w:lang w:eastAsia="fr-FR" w:bidi="fr-FR"/>
        </w:rPr>
        <w:t>que. En second lieu, nous allons suggérer que le privilège accordé aux différentes c</w:t>
      </w:r>
      <w:r w:rsidRPr="00AB71A5">
        <w:rPr>
          <w:lang w:eastAsia="fr-FR" w:bidi="fr-FR"/>
        </w:rPr>
        <w:t>a</w:t>
      </w:r>
      <w:r w:rsidRPr="00AB71A5">
        <w:rPr>
          <w:lang w:eastAsia="fr-FR" w:bidi="fr-FR"/>
        </w:rPr>
        <w:t>tégories de la qualité — qualité morale : la valeur ; quiddité conce</w:t>
      </w:r>
      <w:r w:rsidRPr="00AB71A5">
        <w:rPr>
          <w:lang w:eastAsia="fr-FR" w:bidi="fr-FR"/>
        </w:rPr>
        <w:t>p</w:t>
      </w:r>
      <w:r w:rsidRPr="00AB71A5">
        <w:rPr>
          <w:lang w:eastAsia="fr-FR" w:bidi="fr-FR"/>
        </w:rPr>
        <w:t>tuelle : les contenus de culture ; fonctionnalité sociale, éc</w:t>
      </w:r>
      <w:r w:rsidRPr="00AB71A5">
        <w:rPr>
          <w:lang w:eastAsia="fr-FR" w:bidi="fr-FR"/>
        </w:rPr>
        <w:t>o</w:t>
      </w:r>
      <w:r w:rsidRPr="00AB71A5">
        <w:rPr>
          <w:lang w:eastAsia="fr-FR" w:bidi="fr-FR"/>
        </w:rPr>
        <w:t>nomique ou politique : la polarité alién</w:t>
      </w:r>
      <w:r w:rsidRPr="00AB71A5">
        <w:rPr>
          <w:lang w:eastAsia="fr-FR" w:bidi="fr-FR"/>
        </w:rPr>
        <w:t>a</w:t>
      </w:r>
      <w:r w:rsidRPr="00AB71A5">
        <w:rPr>
          <w:lang w:eastAsia="fr-FR" w:bidi="fr-FR"/>
        </w:rPr>
        <w:t>tion/libération ; — dans notre approche de la culture est partie prenante dans notre impuissance à en penser ce</w:t>
      </w:r>
      <w:r w:rsidRPr="00AB71A5">
        <w:rPr>
          <w:lang w:eastAsia="fr-FR" w:bidi="fr-FR"/>
        </w:rPr>
        <w:t>r</w:t>
      </w:r>
      <w:r w:rsidRPr="00AB71A5">
        <w:rPr>
          <w:lang w:eastAsia="fr-FR" w:bidi="fr-FR"/>
        </w:rPr>
        <w:t>tains des aspects les plus opérants. Une pr</w:t>
      </w:r>
      <w:r w:rsidRPr="00AB71A5">
        <w:rPr>
          <w:lang w:eastAsia="fr-FR" w:bidi="fr-FR"/>
        </w:rPr>
        <w:t>e</w:t>
      </w:r>
      <w:r w:rsidRPr="00AB71A5">
        <w:rPr>
          <w:lang w:eastAsia="fr-FR" w:bidi="fr-FR"/>
        </w:rPr>
        <w:t>mière rectification de notre appareil conceptuel s’imposera donc, s</w:t>
      </w:r>
      <w:r w:rsidRPr="00AB71A5">
        <w:rPr>
          <w:lang w:eastAsia="fr-FR" w:bidi="fr-FR"/>
        </w:rPr>
        <w:t>e</w:t>
      </w:r>
      <w:r w:rsidRPr="00AB71A5">
        <w:rPr>
          <w:lang w:eastAsia="fr-FR" w:bidi="fr-FR"/>
        </w:rPr>
        <w:t xml:space="preserve">lon laquelle nous dirigerons notre attention </w:t>
      </w:r>
      <w:r w:rsidRPr="00AB71A5">
        <w:t>aussi</w:t>
      </w:r>
      <w:r w:rsidRPr="00AB71A5">
        <w:rPr>
          <w:lang w:eastAsia="fr-FR" w:bidi="fr-FR"/>
        </w:rPr>
        <w:t xml:space="preserve"> vers les catégories de la quantité et sur laquelle nous reviendrons dans les pages qui suivent. On y dira que cette rect</w:t>
      </w:r>
      <w:r w:rsidRPr="00AB71A5">
        <w:rPr>
          <w:lang w:eastAsia="fr-FR" w:bidi="fr-FR"/>
        </w:rPr>
        <w:t>i</w:t>
      </w:r>
      <w:r w:rsidRPr="00AB71A5">
        <w:rPr>
          <w:lang w:eastAsia="fr-FR" w:bidi="fr-FR"/>
        </w:rPr>
        <w:t>fication est insuffisante si elle ne s’accompagne d’une modific</w:t>
      </w:r>
      <w:r w:rsidRPr="00AB71A5">
        <w:rPr>
          <w:lang w:eastAsia="fr-FR" w:bidi="fr-FR"/>
        </w:rPr>
        <w:t>a</w:t>
      </w:r>
      <w:r w:rsidRPr="00AB71A5">
        <w:rPr>
          <w:lang w:eastAsia="fr-FR" w:bidi="fr-FR"/>
        </w:rPr>
        <w:t>tion importante de notre conce</w:t>
      </w:r>
      <w:r w:rsidRPr="00AB71A5">
        <w:rPr>
          <w:lang w:eastAsia="fr-FR" w:bidi="fr-FR"/>
        </w:rPr>
        <w:t>p</w:t>
      </w:r>
      <w:r w:rsidRPr="00AB71A5">
        <w:rPr>
          <w:lang w:eastAsia="fr-FR" w:bidi="fr-FR"/>
        </w:rPr>
        <w:t>tion de l’unité linguistique de base, dans le procès de comm</w:t>
      </w:r>
      <w:r w:rsidRPr="00AB71A5">
        <w:rPr>
          <w:lang w:eastAsia="fr-FR" w:bidi="fr-FR"/>
        </w:rPr>
        <w:t>u</w:t>
      </w:r>
      <w:r w:rsidRPr="00AB71A5">
        <w:rPr>
          <w:lang w:eastAsia="fr-FR" w:bidi="fr-FR"/>
        </w:rPr>
        <w:t>nication, à savoir, la phrase.</w:t>
      </w:r>
      <w:r>
        <w:rPr>
          <w:lang w:eastAsia="fr-FR" w:bidi="fr-FR"/>
        </w:rPr>
        <w:t> </w:t>
      </w:r>
      <w:r>
        <w:rPr>
          <w:rStyle w:val="Appelnotedebasdep"/>
          <w:lang w:eastAsia="fr-FR" w:bidi="fr-FR"/>
        </w:rPr>
        <w:footnoteReference w:id="3"/>
      </w:r>
    </w:p>
    <w:p w:rsidR="00A9729B" w:rsidRPr="00AB71A5" w:rsidRDefault="00A9729B" w:rsidP="00A9729B">
      <w:pPr>
        <w:spacing w:before="120" w:after="120"/>
        <w:jc w:val="both"/>
      </w:pPr>
      <w:r w:rsidRPr="00AB71A5">
        <w:rPr>
          <w:lang w:eastAsia="fr-FR" w:bidi="fr-FR"/>
        </w:rPr>
        <w:t>Je vais d’abord y aller de cette première rectification dans notre f</w:t>
      </w:r>
      <w:r w:rsidRPr="00AB71A5">
        <w:rPr>
          <w:lang w:eastAsia="fr-FR" w:bidi="fr-FR"/>
        </w:rPr>
        <w:t>a</w:t>
      </w:r>
      <w:r w:rsidRPr="00AB71A5">
        <w:rPr>
          <w:lang w:eastAsia="fr-FR" w:bidi="fr-FR"/>
        </w:rPr>
        <w:t>çon d’aborder la culture. Je ferai cependant précéder cette re</w:t>
      </w:r>
      <w:r w:rsidRPr="00AB71A5">
        <w:rPr>
          <w:lang w:eastAsia="fr-FR" w:bidi="fr-FR"/>
        </w:rPr>
        <w:t>c</w:t>
      </w:r>
      <w:r w:rsidRPr="00AB71A5">
        <w:rPr>
          <w:lang w:eastAsia="fr-FR" w:bidi="fr-FR"/>
        </w:rPr>
        <w:t>tification d’une brève introdu</w:t>
      </w:r>
      <w:r w:rsidRPr="00AB71A5">
        <w:rPr>
          <w:lang w:eastAsia="fr-FR" w:bidi="fr-FR"/>
        </w:rPr>
        <w:t>c</w:t>
      </w:r>
      <w:r w:rsidRPr="00AB71A5">
        <w:rPr>
          <w:lang w:eastAsia="fr-FR" w:bidi="fr-FR"/>
        </w:rPr>
        <w:t>tion sur le sens de ce terme de « culture ». La place me manquant, je devrai être très schém</w:t>
      </w:r>
      <w:r w:rsidRPr="00AB71A5">
        <w:rPr>
          <w:lang w:eastAsia="fr-FR" w:bidi="fr-FR"/>
        </w:rPr>
        <w:t>a</w:t>
      </w:r>
      <w:r w:rsidRPr="00AB71A5">
        <w:rPr>
          <w:lang w:eastAsia="fr-FR" w:bidi="fr-FR"/>
        </w:rPr>
        <w:t xml:space="preserve">tique. Soit, ce terme de </w:t>
      </w:r>
      <w:r w:rsidRPr="00AB71A5">
        <w:rPr>
          <w:lang w:eastAsia="fr-FR" w:bidi="fr-FR"/>
        </w:rPr>
        <w:lastRenderedPageBreak/>
        <w:t>culture. Il me semble que nous avons tout intérêt, conformément à ce que nous enseigne la logique, à di</w:t>
      </w:r>
      <w:r w:rsidRPr="00AB71A5">
        <w:rPr>
          <w:lang w:eastAsia="fr-FR" w:bidi="fr-FR"/>
        </w:rPr>
        <w:t>s</w:t>
      </w:r>
      <w:r w:rsidRPr="00AB71A5">
        <w:rPr>
          <w:lang w:eastAsia="fr-FR" w:bidi="fr-FR"/>
        </w:rPr>
        <w:t>tinguer le sens de ce terme, de sa référence.</w:t>
      </w:r>
      <w:r>
        <w:rPr>
          <w:lang w:eastAsia="fr-FR" w:bidi="fr-FR"/>
        </w:rPr>
        <w:t> </w:t>
      </w:r>
      <w:r>
        <w:rPr>
          <w:rStyle w:val="Appelnotedebasdep"/>
          <w:lang w:eastAsia="fr-FR" w:bidi="fr-FR"/>
        </w:rPr>
        <w:footnoteReference w:id="4"/>
      </w:r>
      <w:r w:rsidRPr="00AB71A5">
        <w:rPr>
          <w:lang w:eastAsia="fr-FR" w:bidi="fr-FR"/>
        </w:rPr>
        <w:t xml:space="preserve"> C’est une chose de désigner dans « le monde » les objets qui constituent la réalité effective de la culture et son su</w:t>
      </w:r>
      <w:r w:rsidRPr="00AB71A5">
        <w:rPr>
          <w:lang w:eastAsia="fr-FR" w:bidi="fr-FR"/>
        </w:rPr>
        <w:t>p</w:t>
      </w:r>
      <w:r w:rsidRPr="00AB71A5">
        <w:rPr>
          <w:lang w:eastAsia="fr-FR" w:bidi="fr-FR"/>
        </w:rPr>
        <w:t xml:space="preserve">port matériel et c’en est un autre d’énoncer le critère qui nous fera reconnaître ces mêmes objets comme « culturels ». </w:t>
      </w:r>
      <w:r>
        <w:rPr>
          <w:lang w:eastAsia="fr-FR" w:bidi="fr-FR"/>
        </w:rPr>
        <w:t>Or ces deux aspects de l’expres</w:t>
      </w:r>
      <w:r w:rsidRPr="00AB71A5">
        <w:rPr>
          <w:lang w:eastAsia="fr-FR" w:bidi="fr-FR"/>
        </w:rPr>
        <w:t>sion</w:t>
      </w:r>
      <w:r>
        <w:rPr>
          <w:lang w:eastAsia="fr-FR" w:bidi="fr-FR"/>
        </w:rPr>
        <w:t xml:space="preserve"> [82]</w:t>
      </w:r>
      <w:r w:rsidRPr="00AB71A5">
        <w:rPr>
          <w:lang w:eastAsia="fr-FR" w:bidi="fr-FR"/>
        </w:rPr>
        <w:t xml:space="preserve"> « culture » sont presque toujours confondus, d’où l’incertitude d’une méthodologie des sciences de la culture.</w:t>
      </w:r>
    </w:p>
    <w:p w:rsidR="00A9729B" w:rsidRDefault="00A9729B" w:rsidP="00A9729B">
      <w:pPr>
        <w:spacing w:before="120" w:after="120"/>
        <w:jc w:val="both"/>
        <w:rPr>
          <w:lang w:eastAsia="fr-FR" w:bidi="fr-FR"/>
        </w:rPr>
      </w:pPr>
      <w:r w:rsidRPr="00AB71A5">
        <w:rPr>
          <w:lang w:eastAsia="fr-FR" w:bidi="fr-FR"/>
        </w:rPr>
        <w:t xml:space="preserve">Pour ce qui est du </w:t>
      </w:r>
      <w:r w:rsidRPr="00AB71A5">
        <w:t>sens</w:t>
      </w:r>
      <w:r w:rsidRPr="00AB71A5">
        <w:rPr>
          <w:lang w:eastAsia="fr-FR" w:bidi="fr-FR"/>
        </w:rPr>
        <w:t xml:space="preserve"> — de l’usage — du terme « culture » il doit, pour l’essentiel, être déte</w:t>
      </w:r>
      <w:r w:rsidRPr="00AB71A5">
        <w:rPr>
          <w:lang w:eastAsia="fr-FR" w:bidi="fr-FR"/>
        </w:rPr>
        <w:t>r</w:t>
      </w:r>
      <w:r w:rsidRPr="00AB71A5">
        <w:rPr>
          <w:lang w:eastAsia="fr-FR" w:bidi="fr-FR"/>
        </w:rPr>
        <w:t>miné par son couplage avec le signifié du terme « nature », qui lui est complémentaire et avec lequel il entre dans une oppos</w:t>
      </w:r>
      <w:r w:rsidRPr="00AB71A5">
        <w:rPr>
          <w:lang w:eastAsia="fr-FR" w:bidi="fr-FR"/>
        </w:rPr>
        <w:t>i</w:t>
      </w:r>
      <w:r w:rsidRPr="00AB71A5">
        <w:rPr>
          <w:lang w:eastAsia="fr-FR" w:bidi="fr-FR"/>
        </w:rPr>
        <w:t xml:space="preserve">tion significative. Il nous faut cependant être ici d’une extrême prudence et rappeler (1) que nous sommes à la recherche d’un </w:t>
      </w:r>
      <w:r w:rsidRPr="00AB71A5">
        <w:t>critère,</w:t>
      </w:r>
      <w:r w:rsidRPr="00AB71A5">
        <w:rPr>
          <w:lang w:eastAsia="fr-FR" w:bidi="fr-FR"/>
        </w:rPr>
        <w:t xml:space="preserve"> pour désigner comme cult</w:t>
      </w:r>
      <w:r w:rsidRPr="00AB71A5">
        <w:rPr>
          <w:lang w:eastAsia="fr-FR" w:bidi="fr-FR"/>
        </w:rPr>
        <w:t>u</w:t>
      </w:r>
      <w:r w:rsidRPr="00AB71A5">
        <w:rPr>
          <w:lang w:eastAsia="fr-FR" w:bidi="fr-FR"/>
        </w:rPr>
        <w:t>rels des objets mondains et</w:t>
      </w:r>
      <w:r>
        <w:rPr>
          <w:lang w:eastAsia="fr-FR" w:bidi="fr-FR"/>
        </w:rPr>
        <w:t xml:space="preserve"> (2) </w:t>
      </w:r>
      <w:r w:rsidRPr="00AB71A5">
        <w:rPr>
          <w:lang w:eastAsia="fr-FR" w:bidi="fr-FR"/>
        </w:rPr>
        <w:t>que notre analyse se maintient actuellement au n</w:t>
      </w:r>
      <w:r w:rsidRPr="00AB71A5">
        <w:rPr>
          <w:lang w:eastAsia="fr-FR" w:bidi="fr-FR"/>
        </w:rPr>
        <w:t>i</w:t>
      </w:r>
      <w:r w:rsidRPr="00AB71A5">
        <w:rPr>
          <w:lang w:eastAsia="fr-FR" w:bidi="fr-FR"/>
        </w:rPr>
        <w:t xml:space="preserve">veau du </w:t>
      </w:r>
      <w:r w:rsidRPr="00AB71A5">
        <w:t>sens</w:t>
      </w:r>
      <w:r w:rsidRPr="00AB71A5">
        <w:rPr>
          <w:lang w:eastAsia="fr-FR" w:bidi="fr-FR"/>
        </w:rPr>
        <w:t xml:space="preserve"> — de l’usage — du terme « culture ». En d’autres termes : la réalité effect</w:t>
      </w:r>
      <w:r w:rsidRPr="00AB71A5">
        <w:rPr>
          <w:lang w:eastAsia="fr-FR" w:bidi="fr-FR"/>
        </w:rPr>
        <w:t>i</w:t>
      </w:r>
      <w:r w:rsidRPr="00AB71A5">
        <w:rPr>
          <w:lang w:eastAsia="fr-FR" w:bidi="fr-FR"/>
        </w:rPr>
        <w:t>ve des référents empiriques de ces deux termes « culture » et « nature » est provisoirement suspendue, et leur di</w:t>
      </w:r>
      <w:r w:rsidRPr="00AB71A5">
        <w:rPr>
          <w:lang w:eastAsia="fr-FR" w:bidi="fr-FR"/>
        </w:rPr>
        <w:t>s</w:t>
      </w:r>
      <w:r w:rsidRPr="00AB71A5">
        <w:rPr>
          <w:lang w:eastAsia="fr-FR" w:bidi="fr-FR"/>
        </w:rPr>
        <w:t>tinction n’implique que la di</w:t>
      </w:r>
      <w:r w:rsidRPr="00AB71A5">
        <w:rPr>
          <w:lang w:eastAsia="fr-FR" w:bidi="fr-FR"/>
        </w:rPr>
        <w:t>f</w:t>
      </w:r>
      <w:r w:rsidRPr="00AB71A5">
        <w:rPr>
          <w:lang w:eastAsia="fr-FR" w:bidi="fr-FR"/>
        </w:rPr>
        <w:t>férence des signifiés — pour une pratique du langage —, et non une façon de dualisme au plan des objets. Or il est facile de mo</w:t>
      </w:r>
      <w:r w:rsidRPr="00AB71A5">
        <w:rPr>
          <w:lang w:eastAsia="fr-FR" w:bidi="fr-FR"/>
        </w:rPr>
        <w:t>n</w:t>
      </w:r>
      <w:r w:rsidRPr="00AB71A5">
        <w:rPr>
          <w:lang w:eastAsia="fr-FR" w:bidi="fr-FR"/>
        </w:rPr>
        <w:t>trer, qu’au niveau sémantique où nous nous situons, le terme de cult</w:t>
      </w:r>
      <w:r w:rsidRPr="00AB71A5">
        <w:rPr>
          <w:lang w:eastAsia="fr-FR" w:bidi="fr-FR"/>
        </w:rPr>
        <w:t>u</w:t>
      </w:r>
      <w:r w:rsidRPr="00AB71A5">
        <w:rPr>
          <w:lang w:eastAsia="fr-FR" w:bidi="fr-FR"/>
        </w:rPr>
        <w:t>re n’opèrerait même pas s’il n’était pris dans son o</w:t>
      </w:r>
      <w:r w:rsidRPr="00AB71A5">
        <w:rPr>
          <w:lang w:eastAsia="fr-FR" w:bidi="fr-FR"/>
        </w:rPr>
        <w:t>p</w:t>
      </w:r>
      <w:r w:rsidRPr="00AB71A5">
        <w:rPr>
          <w:lang w:eastAsia="fr-FR" w:bidi="fr-FR"/>
        </w:rPr>
        <w:t>position avec celui de nature. Soit, par exemple, le cas extrême de quelqu’un qui, croyant s’opposer à nous, dirait « tout est culture ». A — Ou bien ce loc</w:t>
      </w:r>
      <w:r w:rsidRPr="00AB71A5">
        <w:rPr>
          <w:lang w:eastAsia="fr-FR" w:bidi="fr-FR"/>
        </w:rPr>
        <w:t>u</w:t>
      </w:r>
      <w:r w:rsidRPr="00AB71A5">
        <w:rPr>
          <w:lang w:eastAsia="fr-FR" w:bidi="fr-FR"/>
        </w:rPr>
        <w:t>teur affirme quelque chose qui pourrait être traduit ainsi : (1) « Contrairement à ce que vous pensez, on ne peut dichotomiser l’être en deux régions correspo</w:t>
      </w:r>
      <w:r w:rsidRPr="00AB71A5">
        <w:rPr>
          <w:lang w:eastAsia="fr-FR" w:bidi="fr-FR"/>
        </w:rPr>
        <w:t>n</w:t>
      </w:r>
      <w:r w:rsidRPr="00AB71A5">
        <w:rPr>
          <w:lang w:eastAsia="fr-FR" w:bidi="fr-FR"/>
        </w:rPr>
        <w:t>dant d’une part à la nature, d’autre part à la culture », ou e</w:t>
      </w:r>
      <w:r w:rsidRPr="00AB71A5">
        <w:rPr>
          <w:lang w:eastAsia="fr-FR" w:bidi="fr-FR"/>
        </w:rPr>
        <w:t>n</w:t>
      </w:r>
      <w:r w:rsidRPr="00AB71A5">
        <w:rPr>
          <w:lang w:eastAsia="fr-FR" w:bidi="fr-FR"/>
        </w:rPr>
        <w:t>core, de façon plus concise (2) « rien ne correspond à la distinction nat</w:t>
      </w:r>
      <w:r w:rsidRPr="00AB71A5">
        <w:rPr>
          <w:lang w:eastAsia="fr-FR" w:bidi="fr-FR"/>
        </w:rPr>
        <w:t>u</w:t>
      </w:r>
      <w:r w:rsidRPr="00AB71A5">
        <w:rPr>
          <w:lang w:eastAsia="fr-FR" w:bidi="fr-FR"/>
        </w:rPr>
        <w:t>re/culture ». Dans les deux variantes de ce premier message, ce locuteur nous tran</w:t>
      </w:r>
      <w:r w:rsidRPr="00AB71A5">
        <w:rPr>
          <w:lang w:eastAsia="fr-FR" w:bidi="fr-FR"/>
        </w:rPr>
        <w:t>s</w:t>
      </w:r>
      <w:r w:rsidRPr="00AB71A5">
        <w:rPr>
          <w:lang w:eastAsia="fr-FR" w:bidi="fr-FR"/>
        </w:rPr>
        <w:t xml:space="preserve">met une information déterminée. B — Ou bien, on s’interdit de traduire le message transmis en utilisant, ne serait-ce qu’au plan du discours, la polarité nature-culture, auquel cas, le message est incompréhensible, « tout est culture » étant du type </w:t>
      </w:r>
      <w:r w:rsidRPr="00AB71A5">
        <w:rPr>
          <w:lang w:eastAsia="fr-FR" w:bidi="fr-FR"/>
        </w:rPr>
        <w:lastRenderedPageBreak/>
        <w:t>même logique que « tout est aumale » et autres expressions qui contiendraient un terme nouvellement créé et dont on ignorerait le r</w:t>
      </w:r>
      <w:r w:rsidRPr="00AB71A5">
        <w:rPr>
          <w:lang w:eastAsia="fr-FR" w:bidi="fr-FR"/>
        </w:rPr>
        <w:t>é</w:t>
      </w:r>
      <w:r w:rsidRPr="00AB71A5">
        <w:rPr>
          <w:lang w:eastAsia="fr-FR" w:bidi="fr-FR"/>
        </w:rPr>
        <w:t>seau de relation, ou rigoureusement tautologique « tout est cult</w:t>
      </w:r>
      <w:r w:rsidRPr="00AB71A5">
        <w:rPr>
          <w:lang w:eastAsia="fr-FR" w:bidi="fr-FR"/>
        </w:rPr>
        <w:t>u</w:t>
      </w:r>
      <w:r w:rsidRPr="00AB71A5">
        <w:rPr>
          <w:lang w:eastAsia="fr-FR" w:bidi="fr-FR"/>
        </w:rPr>
        <w:t>re » = « la culture est la culture » (type logique : « tout est être »). Les tr</w:t>
      </w:r>
      <w:r w:rsidRPr="00AB71A5">
        <w:rPr>
          <w:lang w:eastAsia="fr-FR" w:bidi="fr-FR"/>
        </w:rPr>
        <w:t>a</w:t>
      </w:r>
      <w:r w:rsidRPr="00AB71A5">
        <w:rPr>
          <w:lang w:eastAsia="fr-FR" w:bidi="fr-FR"/>
        </w:rPr>
        <w:t>ductions données en B do</w:t>
      </w:r>
      <w:r w:rsidRPr="00AB71A5">
        <w:rPr>
          <w:lang w:eastAsia="fr-FR" w:bidi="fr-FR"/>
        </w:rPr>
        <w:t>i</w:t>
      </w:r>
      <w:r w:rsidRPr="00AB71A5">
        <w:rPr>
          <w:lang w:eastAsia="fr-FR" w:bidi="fr-FR"/>
        </w:rPr>
        <w:t>vent être écartées car il est manifestement faux que le message transmis par l’expression « tout est culture » soit incompréhensible ou tout simplement tautologique. Quant aux tradu</w:t>
      </w:r>
      <w:r w:rsidRPr="00AB71A5">
        <w:rPr>
          <w:lang w:eastAsia="fr-FR" w:bidi="fr-FR"/>
        </w:rPr>
        <w:t>c</w:t>
      </w:r>
      <w:r w:rsidRPr="00AB71A5">
        <w:rPr>
          <w:lang w:eastAsia="fr-FR" w:bidi="fr-FR"/>
        </w:rPr>
        <w:t>tions données en A, qui se</w:t>
      </w:r>
      <w:r w:rsidRPr="00AB71A5">
        <w:rPr>
          <w:lang w:eastAsia="fr-FR" w:bidi="fr-FR"/>
        </w:rPr>
        <w:t>m</w:t>
      </w:r>
      <w:r w:rsidRPr="00AB71A5">
        <w:rPr>
          <w:lang w:eastAsia="fr-FR" w:bidi="fr-FR"/>
        </w:rPr>
        <w:t>blent rendre compte de la valeur d’information du message, elles présupposent toutes deux l’opposition sémantique nature/culture. Or, que le terme de culture présuppose ce</w:t>
      </w:r>
      <w:r w:rsidRPr="00AB71A5">
        <w:rPr>
          <w:lang w:eastAsia="fr-FR" w:bidi="fr-FR"/>
        </w:rPr>
        <w:t>t</w:t>
      </w:r>
      <w:r w:rsidRPr="00AB71A5">
        <w:rPr>
          <w:lang w:eastAsia="fr-FR" w:bidi="fr-FR"/>
        </w:rPr>
        <w:t>te opposition nature/culture était précisément ce que nous devions mo</w:t>
      </w:r>
      <w:r w:rsidRPr="00AB71A5">
        <w:rPr>
          <w:lang w:eastAsia="fr-FR" w:bidi="fr-FR"/>
        </w:rPr>
        <w:t>n</w:t>
      </w:r>
      <w:r w:rsidRPr="00AB71A5">
        <w:rPr>
          <w:lang w:eastAsia="fr-FR" w:bidi="fr-FR"/>
        </w:rPr>
        <w:t>trer.</w:t>
      </w:r>
    </w:p>
    <w:p w:rsidR="00A9729B" w:rsidRPr="00AB71A5" w:rsidRDefault="00A9729B" w:rsidP="00A9729B">
      <w:pPr>
        <w:spacing w:before="120" w:after="120"/>
        <w:jc w:val="both"/>
      </w:pPr>
      <w:r>
        <w:rPr>
          <w:lang w:eastAsia="fr-FR" w:bidi="fr-FR"/>
        </w:rPr>
        <w:t>[83]</w:t>
      </w:r>
    </w:p>
    <w:p w:rsidR="00A9729B" w:rsidRPr="00AB71A5" w:rsidRDefault="00A9729B" w:rsidP="00A9729B">
      <w:pPr>
        <w:spacing w:before="120" w:after="120"/>
        <w:jc w:val="both"/>
      </w:pPr>
      <w:r w:rsidRPr="00AB71A5">
        <w:rPr>
          <w:lang w:eastAsia="fr-FR" w:bidi="fr-FR"/>
        </w:rPr>
        <w:t>L’opposition dans laquelle nous avons replacé le terme de culture, n’est encore que verbale. Quels sont les critères qui régi</w:t>
      </w:r>
      <w:r w:rsidRPr="00AB71A5">
        <w:rPr>
          <w:lang w:eastAsia="fr-FR" w:bidi="fr-FR"/>
        </w:rPr>
        <w:t>s</w:t>
      </w:r>
      <w:r w:rsidRPr="00AB71A5">
        <w:rPr>
          <w:lang w:eastAsia="fr-FR" w:bidi="fr-FR"/>
        </w:rPr>
        <w:t>sent l’application de ces termes de nature et de culture ? Notre recherche, nous l’avons dit, n’est pas d’essence mais d’usage. L’un des usages les plus répandus du mot « culture » est celui par l</w:t>
      </w:r>
      <w:r w:rsidRPr="00AB71A5">
        <w:rPr>
          <w:lang w:eastAsia="fr-FR" w:bidi="fr-FR"/>
        </w:rPr>
        <w:t>e</w:t>
      </w:r>
      <w:r w:rsidRPr="00AB71A5">
        <w:rPr>
          <w:lang w:eastAsia="fr-FR" w:bidi="fr-FR"/>
        </w:rPr>
        <w:t>quel il réfère à ce qu’on désigne aussi sous le vocable d’humanités classiques. De celui qui a des « lettres », on dira qu’il est « cultivé ». Cet usage a</w:t>
      </w:r>
      <w:r w:rsidRPr="00AB71A5">
        <w:rPr>
          <w:lang w:eastAsia="fr-FR" w:bidi="fr-FR"/>
        </w:rPr>
        <w:t>p</w:t>
      </w:r>
      <w:r w:rsidRPr="00AB71A5">
        <w:rPr>
          <w:lang w:eastAsia="fr-FR" w:bidi="fr-FR"/>
        </w:rPr>
        <w:t>paraît aujourd’hui bien restrictif mais il nous renvoie à une origine qui se laisse repérer à l’époque de la Renaissance, et qui peut encore nous instruire.</w:t>
      </w:r>
    </w:p>
    <w:p w:rsidR="00A9729B" w:rsidRPr="00AB71A5" w:rsidRDefault="00A9729B" w:rsidP="00A9729B">
      <w:pPr>
        <w:spacing w:before="120" w:after="120"/>
        <w:jc w:val="both"/>
      </w:pPr>
      <w:r w:rsidRPr="00AB71A5">
        <w:rPr>
          <w:lang w:eastAsia="fr-FR" w:bidi="fr-FR"/>
        </w:rPr>
        <w:t>D’abord, l’étymologie : le terme de culture app</w:t>
      </w:r>
      <w:r w:rsidRPr="00AB71A5">
        <w:rPr>
          <w:lang w:eastAsia="fr-FR" w:bidi="fr-FR"/>
        </w:rPr>
        <w:t>a</w:t>
      </w:r>
      <w:r w:rsidRPr="00AB71A5">
        <w:rPr>
          <w:lang w:eastAsia="fr-FR" w:bidi="fr-FR"/>
        </w:rPr>
        <w:t xml:space="preserve">raît vers 1420, dans le vocabulaire de la Renaissance, sous les traits d’une métaphore. Il est en effet emprunté au latin </w:t>
      </w:r>
      <w:r w:rsidRPr="00AB71A5">
        <w:rPr>
          <w:i/>
        </w:rPr>
        <w:t>cultura</w:t>
      </w:r>
      <w:r w:rsidRPr="00AB71A5">
        <w:t>,</w:t>
      </w:r>
      <w:r w:rsidRPr="00AB71A5">
        <w:rPr>
          <w:lang w:eastAsia="fr-FR" w:bidi="fr-FR"/>
        </w:rPr>
        <w:t xml:space="preserve"> qui provien</w:t>
      </w:r>
      <w:r>
        <w:rPr>
          <w:lang w:eastAsia="fr-FR" w:bidi="fr-FR"/>
        </w:rPr>
        <w:t>t lui-</w:t>
      </w:r>
      <w:r w:rsidRPr="00AB71A5">
        <w:rPr>
          <w:lang w:eastAsia="fr-FR" w:bidi="fr-FR"/>
        </w:rPr>
        <w:t>même du ve</w:t>
      </w:r>
      <w:r w:rsidRPr="00AB71A5">
        <w:rPr>
          <w:lang w:eastAsia="fr-FR" w:bidi="fr-FR"/>
        </w:rPr>
        <w:t>r</w:t>
      </w:r>
      <w:r w:rsidRPr="00AB71A5">
        <w:rPr>
          <w:lang w:eastAsia="fr-FR" w:bidi="fr-FR"/>
        </w:rPr>
        <w:t xml:space="preserve">be </w:t>
      </w:r>
      <w:r w:rsidRPr="00AB71A5">
        <w:rPr>
          <w:i/>
        </w:rPr>
        <w:t>colere</w:t>
      </w:r>
      <w:r w:rsidRPr="00AB71A5">
        <w:t>.</w:t>
      </w:r>
      <w:r w:rsidRPr="00AB71A5">
        <w:rPr>
          <w:lang w:eastAsia="fr-FR" w:bidi="fr-FR"/>
        </w:rPr>
        <w:t xml:space="preserve"> Ce verbe a deux sens : (1) sens propre : pratiquer, s’occuper de. C’est un verbe transitif qui est employé avec des termes comme « champ », « jardin », en position d’objet direct. Notre mot d’agriculture a été formé sur ce premier modèle, (agri-culture : s’occuper des champs) ; (2) sens figuré : les mêmes sens, mais le ve</w:t>
      </w:r>
      <w:r w:rsidRPr="00AB71A5">
        <w:rPr>
          <w:lang w:eastAsia="fr-FR" w:bidi="fr-FR"/>
        </w:rPr>
        <w:t>r</w:t>
      </w:r>
      <w:r w:rsidRPr="00AB71A5">
        <w:rPr>
          <w:lang w:eastAsia="fr-FR" w:bidi="fr-FR"/>
        </w:rPr>
        <w:t>be est employé métaphor</w:t>
      </w:r>
      <w:r w:rsidRPr="00AB71A5">
        <w:rPr>
          <w:lang w:eastAsia="fr-FR" w:bidi="fr-FR"/>
        </w:rPr>
        <w:t>i</w:t>
      </w:r>
      <w:r w:rsidRPr="00AB71A5">
        <w:rPr>
          <w:lang w:eastAsia="fr-FR" w:bidi="fr-FR"/>
        </w:rPr>
        <w:t>quement avec des mots comme « vertu », « arts », « principes », en position d’objet direct. Une première rema</w:t>
      </w:r>
      <w:r w:rsidRPr="00AB71A5">
        <w:rPr>
          <w:lang w:eastAsia="fr-FR" w:bidi="fr-FR"/>
        </w:rPr>
        <w:t>r</w:t>
      </w:r>
      <w:r w:rsidRPr="00AB71A5">
        <w:rPr>
          <w:lang w:eastAsia="fr-FR" w:bidi="fr-FR"/>
        </w:rPr>
        <w:t>que : l’évolution des emplois du terme « culture » consistera à subst</w:t>
      </w:r>
      <w:r w:rsidRPr="00AB71A5">
        <w:rPr>
          <w:lang w:eastAsia="fr-FR" w:bidi="fr-FR"/>
        </w:rPr>
        <w:t>i</w:t>
      </w:r>
      <w:r w:rsidRPr="00AB71A5">
        <w:rPr>
          <w:lang w:eastAsia="fr-FR" w:bidi="fr-FR"/>
        </w:rPr>
        <w:t>tuer à sa désignation originelle d’une opér</w:t>
      </w:r>
      <w:r w:rsidRPr="00AB71A5">
        <w:rPr>
          <w:lang w:eastAsia="fr-FR" w:bidi="fr-FR"/>
        </w:rPr>
        <w:t>a</w:t>
      </w:r>
      <w:r w:rsidRPr="00AB71A5">
        <w:rPr>
          <w:lang w:eastAsia="fr-FR" w:bidi="fr-FR"/>
        </w:rPr>
        <w:t xml:space="preserve">tion sur la nature, celle des résultats de cette opération qui, sous la </w:t>
      </w:r>
      <w:r w:rsidRPr="00AB71A5">
        <w:rPr>
          <w:i/>
          <w:lang w:eastAsia="fr-FR" w:bidi="fr-FR"/>
        </w:rPr>
        <w:t>forme</w:t>
      </w:r>
      <w:r w:rsidRPr="00AB71A5">
        <w:rPr>
          <w:lang w:eastAsia="fr-FR" w:bidi="fr-FR"/>
        </w:rPr>
        <w:t xml:space="preserve"> de </w:t>
      </w:r>
      <w:r w:rsidRPr="00AB71A5">
        <w:t>pr</w:t>
      </w:r>
      <w:r w:rsidRPr="00AB71A5">
        <w:t>o</w:t>
      </w:r>
      <w:r w:rsidRPr="00AB71A5">
        <w:t>duits</w:t>
      </w:r>
      <w:r w:rsidRPr="00AB71A5">
        <w:rPr>
          <w:lang w:eastAsia="fr-FR" w:bidi="fr-FR"/>
        </w:rPr>
        <w:t xml:space="preserve"> de culture ont peu à peu constitué une matérialité seconde, concurrençant la n</w:t>
      </w:r>
      <w:r w:rsidRPr="00AB71A5">
        <w:rPr>
          <w:lang w:eastAsia="fr-FR" w:bidi="fr-FR"/>
        </w:rPr>
        <w:t>a</w:t>
      </w:r>
      <w:r w:rsidRPr="00AB71A5">
        <w:rPr>
          <w:lang w:eastAsia="fr-FR" w:bidi="fr-FR"/>
        </w:rPr>
        <w:t>ture elle-même.</w:t>
      </w:r>
    </w:p>
    <w:p w:rsidR="00A9729B" w:rsidRPr="00AB71A5" w:rsidRDefault="00A9729B" w:rsidP="00A9729B">
      <w:pPr>
        <w:spacing w:before="120" w:after="120"/>
        <w:jc w:val="both"/>
      </w:pPr>
      <w:r w:rsidRPr="00AB71A5">
        <w:rPr>
          <w:lang w:eastAsia="fr-FR" w:bidi="fr-FR"/>
        </w:rPr>
        <w:lastRenderedPageBreak/>
        <w:t>Le terme de culture s’introduit donc à la Renai</w:t>
      </w:r>
      <w:r w:rsidRPr="00AB71A5">
        <w:rPr>
          <w:lang w:eastAsia="fr-FR" w:bidi="fr-FR"/>
        </w:rPr>
        <w:t>s</w:t>
      </w:r>
      <w:r w:rsidRPr="00AB71A5">
        <w:rPr>
          <w:lang w:eastAsia="fr-FR" w:bidi="fr-FR"/>
        </w:rPr>
        <w:t>sance, et d’abord en son sens figuré : il désignera une pratique des arts, et de façon plus précise celle des arts du discours, la grammaire, la rhétorique et la di</w:t>
      </w:r>
      <w:r w:rsidRPr="00AB71A5">
        <w:rPr>
          <w:lang w:eastAsia="fr-FR" w:bidi="fr-FR"/>
        </w:rPr>
        <w:t>a</w:t>
      </w:r>
      <w:r w:rsidRPr="00AB71A5">
        <w:rPr>
          <w:lang w:eastAsia="fr-FR" w:bidi="fr-FR"/>
        </w:rPr>
        <w:t>lectique. Le terme « humanités », par lequel on réfère encore a</w:t>
      </w:r>
      <w:r w:rsidRPr="00AB71A5">
        <w:rPr>
          <w:lang w:eastAsia="fr-FR" w:bidi="fr-FR"/>
        </w:rPr>
        <w:t>u</w:t>
      </w:r>
      <w:r w:rsidRPr="00AB71A5">
        <w:rPr>
          <w:lang w:eastAsia="fr-FR" w:bidi="fr-FR"/>
        </w:rPr>
        <w:t>jourd’hui aux différentes disciplines littéra</w:t>
      </w:r>
      <w:r w:rsidRPr="00AB71A5">
        <w:rPr>
          <w:lang w:eastAsia="fr-FR" w:bidi="fr-FR"/>
        </w:rPr>
        <w:t>i</w:t>
      </w:r>
      <w:r w:rsidRPr="00AB71A5">
        <w:rPr>
          <w:lang w:eastAsia="fr-FR" w:bidi="fr-FR"/>
        </w:rPr>
        <w:t>res, tire son origine d’un terme argotique étudiant par lequel on désignait, à la Renaissance it</w:t>
      </w:r>
      <w:r w:rsidRPr="00AB71A5">
        <w:rPr>
          <w:lang w:eastAsia="fr-FR" w:bidi="fr-FR"/>
        </w:rPr>
        <w:t>a</w:t>
      </w:r>
      <w:r w:rsidRPr="00AB71A5">
        <w:rPr>
          <w:lang w:eastAsia="fr-FR" w:bidi="fr-FR"/>
        </w:rPr>
        <w:t>lienne, un certain groupe de professeurs dits, « humanista » ou humani</w:t>
      </w:r>
      <w:r w:rsidRPr="00AB71A5">
        <w:rPr>
          <w:lang w:eastAsia="fr-FR" w:bidi="fr-FR"/>
        </w:rPr>
        <w:t>s</w:t>
      </w:r>
      <w:r w:rsidRPr="00AB71A5">
        <w:rPr>
          <w:lang w:eastAsia="fr-FR" w:bidi="fr-FR"/>
        </w:rPr>
        <w:t>tes. Ce mot « humanista » était obtenu en ajoutant le suffixe « ista », au qualificatif commun des disciplines que ces profe</w:t>
      </w:r>
      <w:r w:rsidRPr="00AB71A5">
        <w:rPr>
          <w:lang w:eastAsia="fr-FR" w:bidi="fr-FR"/>
        </w:rPr>
        <w:t>s</w:t>
      </w:r>
      <w:r w:rsidRPr="00AB71A5">
        <w:rPr>
          <w:lang w:eastAsia="fr-FR" w:bidi="fr-FR"/>
        </w:rPr>
        <w:t xml:space="preserve">seurs enseignaient : grammaire, rhétorique, poétique, histoire et morale. Et c’est ce qualificatif commun — humanus — qui doit nous intéresser. Très souvent, on l’énonçait au </w:t>
      </w:r>
      <w:r w:rsidRPr="00AB71A5">
        <w:rPr>
          <w:i/>
        </w:rPr>
        <w:t>comparatif</w:t>
      </w:r>
      <w:r w:rsidRPr="00AB71A5">
        <w:t>.</w:t>
      </w:r>
      <w:r w:rsidRPr="00AB71A5">
        <w:rPr>
          <w:lang w:eastAsia="fr-FR" w:bidi="fr-FR"/>
        </w:rPr>
        <w:t xml:space="preserve"> Les renaissants avaient en effet accoutumé de distinguer ces disc</w:t>
      </w:r>
      <w:r w:rsidRPr="00AB71A5">
        <w:rPr>
          <w:lang w:eastAsia="fr-FR" w:bidi="fr-FR"/>
        </w:rPr>
        <w:t>i</w:t>
      </w:r>
      <w:r w:rsidRPr="00AB71A5">
        <w:rPr>
          <w:lang w:eastAsia="fr-FR" w:bidi="fr-FR"/>
        </w:rPr>
        <w:t>plines dont la pratique amenait l’homme à réaliser sa nature — elles le</w:t>
      </w:r>
      <w:r>
        <w:rPr>
          <w:lang w:eastAsia="fr-FR" w:bidi="fr-FR"/>
        </w:rPr>
        <w:t xml:space="preserve"> [84] </w:t>
      </w:r>
      <w:r w:rsidRPr="00AB71A5">
        <w:rPr>
          <w:lang w:eastAsia="fr-FR" w:bidi="fr-FR"/>
        </w:rPr>
        <w:t>faisaient homme (homo) — et ces autres disciplines dont la prat</w:t>
      </w:r>
      <w:r w:rsidRPr="00AB71A5">
        <w:rPr>
          <w:lang w:eastAsia="fr-FR" w:bidi="fr-FR"/>
        </w:rPr>
        <w:t>i</w:t>
      </w:r>
      <w:r w:rsidRPr="00AB71A5">
        <w:rPr>
          <w:lang w:eastAsia="fr-FR" w:bidi="fr-FR"/>
        </w:rPr>
        <w:t xml:space="preserve">que lui accordait un </w:t>
      </w:r>
      <w:r w:rsidRPr="00AB71A5">
        <w:rPr>
          <w:i/>
        </w:rPr>
        <w:t>surcroît</w:t>
      </w:r>
      <w:r w:rsidRPr="00AB71A5">
        <w:rPr>
          <w:lang w:eastAsia="fr-FR" w:bidi="fr-FR"/>
        </w:rPr>
        <w:t xml:space="preserve"> d’humanité. Et ce sont ces disc</w:t>
      </w:r>
      <w:r w:rsidRPr="00AB71A5">
        <w:rPr>
          <w:lang w:eastAsia="fr-FR" w:bidi="fr-FR"/>
        </w:rPr>
        <w:t>i</w:t>
      </w:r>
      <w:r w:rsidRPr="00AB71A5">
        <w:rPr>
          <w:lang w:eastAsia="fr-FR" w:bidi="fr-FR"/>
        </w:rPr>
        <w:t>plines, par lesquelles l’homme ajoutait à son humanité que l’on se mit, tran</w:t>
      </w:r>
      <w:r w:rsidRPr="00AB71A5">
        <w:rPr>
          <w:lang w:eastAsia="fr-FR" w:bidi="fr-FR"/>
        </w:rPr>
        <w:t>s</w:t>
      </w:r>
      <w:r w:rsidRPr="00AB71A5">
        <w:rPr>
          <w:lang w:eastAsia="fr-FR" w:bidi="fr-FR"/>
        </w:rPr>
        <w:t xml:space="preserve">férant à la cause un prédicat de l’effet, à qualifier d’humaines ou encore de « plus humaines » </w:t>
      </w:r>
      <w:r w:rsidRPr="00AB71A5">
        <w:t>(</w:t>
      </w:r>
      <w:r w:rsidRPr="00AB71A5">
        <w:rPr>
          <w:i/>
        </w:rPr>
        <w:t>hum</w:t>
      </w:r>
      <w:r w:rsidRPr="00AB71A5">
        <w:rPr>
          <w:i/>
        </w:rPr>
        <w:t>a</w:t>
      </w:r>
      <w:r w:rsidRPr="00AB71A5">
        <w:rPr>
          <w:i/>
        </w:rPr>
        <w:t>niora</w:t>
      </w:r>
      <w:r w:rsidRPr="00AB71A5">
        <w:t>)</w:t>
      </w:r>
      <w:r w:rsidRPr="00AB71A5">
        <w:rPr>
          <w:lang w:eastAsia="fr-FR" w:bidi="fr-FR"/>
        </w:rPr>
        <w:t xml:space="preserve"> et qu’enseignaient les hum</w:t>
      </w:r>
      <w:r w:rsidRPr="00AB71A5">
        <w:rPr>
          <w:lang w:eastAsia="fr-FR" w:bidi="fr-FR"/>
        </w:rPr>
        <w:t>a</w:t>
      </w:r>
      <w:r w:rsidRPr="00AB71A5">
        <w:rPr>
          <w:lang w:eastAsia="fr-FR" w:bidi="fr-FR"/>
        </w:rPr>
        <w:t>nistes.</w:t>
      </w:r>
      <w:r>
        <w:rPr>
          <w:lang w:eastAsia="fr-FR" w:bidi="fr-FR"/>
        </w:rPr>
        <w:t> </w:t>
      </w:r>
      <w:r>
        <w:rPr>
          <w:rStyle w:val="Appelnotedebasdep"/>
          <w:lang w:eastAsia="fr-FR" w:bidi="fr-FR"/>
        </w:rPr>
        <w:footnoteReference w:customMarkFollows="1" w:id="5"/>
        <w:t>C</w:t>
      </w:r>
    </w:p>
    <w:p w:rsidR="00A9729B" w:rsidRPr="00AB71A5" w:rsidRDefault="00A9729B" w:rsidP="00A9729B">
      <w:pPr>
        <w:spacing w:before="120" w:after="120"/>
        <w:jc w:val="both"/>
      </w:pPr>
      <w:r w:rsidRPr="00AB71A5">
        <w:rPr>
          <w:lang w:eastAsia="fr-FR" w:bidi="fr-FR"/>
        </w:rPr>
        <w:t>Je ne suis pas loin de penser que les deux polarités que nous a r</w:t>
      </w:r>
      <w:r w:rsidRPr="00AB71A5">
        <w:rPr>
          <w:lang w:eastAsia="fr-FR" w:bidi="fr-FR"/>
        </w:rPr>
        <w:t>é</w:t>
      </w:r>
      <w:r w:rsidRPr="00AB71A5">
        <w:rPr>
          <w:lang w:eastAsia="fr-FR" w:bidi="fr-FR"/>
        </w:rPr>
        <w:t xml:space="preserve">vélées cette très brève analyse — polarité du </w:t>
      </w:r>
      <w:r w:rsidRPr="00AB71A5">
        <w:t>donné</w:t>
      </w:r>
      <w:r w:rsidRPr="00AB71A5">
        <w:rPr>
          <w:lang w:eastAsia="fr-FR" w:bidi="fr-FR"/>
        </w:rPr>
        <w:t xml:space="preserve"> et de sa </w:t>
      </w:r>
      <w:r w:rsidRPr="00AB71A5">
        <w:t>pr</w:t>
      </w:r>
      <w:r w:rsidRPr="00AB71A5">
        <w:t>a</w:t>
      </w:r>
      <w:r w:rsidRPr="00AB71A5">
        <w:t>tique,</w:t>
      </w:r>
      <w:r w:rsidRPr="00AB71A5">
        <w:rPr>
          <w:lang w:eastAsia="fr-FR" w:bidi="fr-FR"/>
        </w:rPr>
        <w:t xml:space="preserve"> du côté de l’opération et polarité de </w:t>
      </w:r>
      <w:r w:rsidRPr="00AB71A5">
        <w:rPr>
          <w:i/>
        </w:rPr>
        <w:t>l’égal</w:t>
      </w:r>
      <w:r w:rsidRPr="00AB71A5">
        <w:rPr>
          <w:lang w:eastAsia="fr-FR" w:bidi="fr-FR"/>
        </w:rPr>
        <w:t xml:space="preserve"> et </w:t>
      </w:r>
      <w:r w:rsidRPr="00AB71A5">
        <w:rPr>
          <w:i/>
        </w:rPr>
        <w:t>du surcroît</w:t>
      </w:r>
      <w:r w:rsidRPr="00AB71A5">
        <w:t xml:space="preserve"> </w:t>
      </w:r>
      <w:r w:rsidRPr="00AB71A5">
        <w:rPr>
          <w:lang w:eastAsia="fr-FR" w:bidi="fr-FR"/>
        </w:rPr>
        <w:t>(de l’ajout) du côté des résultats de l’opération — suffiraient à engendrer la pl</w:t>
      </w:r>
      <w:r w:rsidRPr="00AB71A5">
        <w:rPr>
          <w:lang w:eastAsia="fr-FR" w:bidi="fr-FR"/>
        </w:rPr>
        <w:t>u</w:t>
      </w:r>
      <w:r w:rsidRPr="00AB71A5">
        <w:rPr>
          <w:lang w:eastAsia="fr-FR" w:bidi="fr-FR"/>
        </w:rPr>
        <w:t>part des couples par lesquels on peut donner sens à l’opposition nat</w:t>
      </w:r>
      <w:r w:rsidRPr="00AB71A5">
        <w:rPr>
          <w:lang w:eastAsia="fr-FR" w:bidi="fr-FR"/>
        </w:rPr>
        <w:t>u</w:t>
      </w:r>
      <w:r w:rsidRPr="00AB71A5">
        <w:rPr>
          <w:lang w:eastAsia="fr-FR" w:bidi="fr-FR"/>
        </w:rPr>
        <w:t>re/culture. Il suffirait pour cela de faire varier les différents axes s</w:t>
      </w:r>
      <w:r w:rsidRPr="00AB71A5">
        <w:rPr>
          <w:lang w:eastAsia="fr-FR" w:bidi="fr-FR"/>
        </w:rPr>
        <w:t>é</w:t>
      </w:r>
      <w:r w:rsidRPr="00AB71A5">
        <w:rPr>
          <w:lang w:eastAsia="fr-FR" w:bidi="fr-FR"/>
        </w:rPr>
        <w:t>mantiques sur lesquels sont étendues nos polarités, ou de faire varier la force de nos oppositions. La p</w:t>
      </w:r>
      <w:r w:rsidRPr="00AB71A5">
        <w:rPr>
          <w:lang w:eastAsia="fr-FR" w:bidi="fr-FR"/>
        </w:rPr>
        <w:t>o</w:t>
      </w:r>
      <w:r w:rsidRPr="00AB71A5">
        <w:rPr>
          <w:lang w:eastAsia="fr-FR" w:bidi="fr-FR"/>
        </w:rPr>
        <w:t>larité du donné et de sa pratique pourrait ainsi varier, par exe</w:t>
      </w:r>
      <w:r w:rsidRPr="00AB71A5">
        <w:rPr>
          <w:lang w:eastAsia="fr-FR" w:bidi="fr-FR"/>
        </w:rPr>
        <w:t>m</w:t>
      </w:r>
      <w:r w:rsidRPr="00AB71A5">
        <w:rPr>
          <w:lang w:eastAsia="fr-FR" w:bidi="fr-FR"/>
        </w:rPr>
        <w:t xml:space="preserve">ple, entre un degré minimum : le donné et sa </w:t>
      </w:r>
      <w:r w:rsidRPr="00AB71A5">
        <w:t>reproduction,</w:t>
      </w:r>
      <w:r w:rsidRPr="00AB71A5">
        <w:rPr>
          <w:lang w:eastAsia="fr-FR" w:bidi="fr-FR"/>
        </w:rPr>
        <w:t xml:space="preserve"> un d</w:t>
      </w:r>
      <w:r w:rsidRPr="00AB71A5">
        <w:rPr>
          <w:lang w:eastAsia="fr-FR" w:bidi="fr-FR"/>
        </w:rPr>
        <w:t>e</w:t>
      </w:r>
      <w:r w:rsidRPr="00AB71A5">
        <w:rPr>
          <w:lang w:eastAsia="fr-FR" w:bidi="fr-FR"/>
        </w:rPr>
        <w:t xml:space="preserve">gré maximum : le donné et sa </w:t>
      </w:r>
      <w:r w:rsidRPr="00AB71A5">
        <w:t>destruction,</w:t>
      </w:r>
      <w:r w:rsidRPr="00AB71A5">
        <w:rPr>
          <w:lang w:eastAsia="fr-FR" w:bidi="fr-FR"/>
        </w:rPr>
        <w:t xml:space="preserve"> en passant par un degré moyen : le donné et sa </w:t>
      </w:r>
      <w:r w:rsidRPr="00AB71A5">
        <w:t>transform</w:t>
      </w:r>
      <w:r w:rsidRPr="00AB71A5">
        <w:t>a</w:t>
      </w:r>
      <w:r w:rsidRPr="00AB71A5">
        <w:t>tion.</w:t>
      </w:r>
      <w:r w:rsidRPr="00AB71A5">
        <w:rPr>
          <w:lang w:eastAsia="fr-FR" w:bidi="fr-FR"/>
        </w:rPr>
        <w:t xml:space="preserve"> Celle de l’égal et du surcroît est susceptible de la gradation suivante :</w:t>
      </w:r>
    </w:p>
    <w:p w:rsidR="00A9729B" w:rsidRPr="00AB71A5" w:rsidRDefault="00A9729B" w:rsidP="00A9729B">
      <w:pPr>
        <w:ind w:left="1260" w:hanging="540"/>
        <w:jc w:val="both"/>
      </w:pPr>
      <w:r>
        <w:rPr>
          <w:lang w:eastAsia="fr-FR" w:bidi="fr-FR"/>
        </w:rPr>
        <w:t>(1)</w:t>
      </w:r>
      <w:r>
        <w:rPr>
          <w:lang w:eastAsia="fr-FR" w:bidi="fr-FR"/>
        </w:rPr>
        <w:tab/>
      </w:r>
      <w:r w:rsidRPr="00AB71A5">
        <w:rPr>
          <w:lang w:eastAsia="fr-FR" w:bidi="fr-FR"/>
        </w:rPr>
        <w:t>opposition : ch</w:t>
      </w:r>
      <w:r w:rsidRPr="00AB71A5">
        <w:rPr>
          <w:lang w:eastAsia="fr-FR" w:bidi="fr-FR"/>
        </w:rPr>
        <w:t>o</w:t>
      </w:r>
      <w:r w:rsidRPr="00AB71A5">
        <w:rPr>
          <w:lang w:eastAsia="fr-FR" w:bidi="fr-FR"/>
        </w:rPr>
        <w:t>se/terme</w:t>
      </w:r>
    </w:p>
    <w:p w:rsidR="00A9729B" w:rsidRPr="00AB71A5" w:rsidRDefault="00A9729B" w:rsidP="00A9729B">
      <w:pPr>
        <w:ind w:left="1260" w:hanging="540"/>
        <w:jc w:val="both"/>
      </w:pPr>
      <w:r>
        <w:rPr>
          <w:lang w:eastAsia="fr-FR" w:bidi="fr-FR"/>
        </w:rPr>
        <w:t>(1)</w:t>
      </w:r>
      <w:r>
        <w:rPr>
          <w:lang w:eastAsia="fr-FR" w:bidi="fr-FR"/>
        </w:rPr>
        <w:tab/>
      </w:r>
      <w:r w:rsidRPr="00AB71A5">
        <w:rPr>
          <w:lang w:eastAsia="fr-FR" w:bidi="fr-FR"/>
        </w:rPr>
        <w:t>opposition : ch</w:t>
      </w:r>
      <w:r w:rsidRPr="00AB71A5">
        <w:rPr>
          <w:lang w:eastAsia="fr-FR" w:bidi="fr-FR"/>
        </w:rPr>
        <w:t>o</w:t>
      </w:r>
      <w:r w:rsidRPr="00AB71A5">
        <w:rPr>
          <w:lang w:eastAsia="fr-FR" w:bidi="fr-FR"/>
        </w:rPr>
        <w:t>se/produit</w:t>
      </w:r>
    </w:p>
    <w:p w:rsidR="00A9729B" w:rsidRPr="00AB71A5" w:rsidRDefault="00A9729B" w:rsidP="00A9729B">
      <w:pPr>
        <w:ind w:left="1260" w:hanging="540"/>
        <w:jc w:val="both"/>
      </w:pPr>
      <w:r>
        <w:rPr>
          <w:lang w:eastAsia="fr-FR" w:bidi="fr-FR"/>
        </w:rPr>
        <w:t>(1)</w:t>
      </w:r>
      <w:r>
        <w:rPr>
          <w:lang w:eastAsia="fr-FR" w:bidi="fr-FR"/>
        </w:rPr>
        <w:tab/>
      </w:r>
      <w:r w:rsidRPr="00AB71A5">
        <w:rPr>
          <w:lang w:eastAsia="fr-FR" w:bidi="fr-FR"/>
        </w:rPr>
        <w:t>opposition : ch</w:t>
      </w:r>
      <w:r w:rsidRPr="00AB71A5">
        <w:rPr>
          <w:lang w:eastAsia="fr-FR" w:bidi="fr-FR"/>
        </w:rPr>
        <w:t>o</w:t>
      </w:r>
      <w:r w:rsidRPr="00AB71A5">
        <w:rPr>
          <w:lang w:eastAsia="fr-FR" w:bidi="fr-FR"/>
        </w:rPr>
        <w:t>se/substitut (ersatz, artefact)</w:t>
      </w:r>
    </w:p>
    <w:p w:rsidR="00A9729B" w:rsidRPr="00AB71A5" w:rsidRDefault="00A9729B" w:rsidP="00A9729B">
      <w:pPr>
        <w:ind w:left="1260" w:hanging="540"/>
        <w:jc w:val="both"/>
      </w:pPr>
      <w:r>
        <w:rPr>
          <w:lang w:eastAsia="fr-FR" w:bidi="fr-FR"/>
        </w:rPr>
        <w:t>(1)</w:t>
      </w:r>
      <w:r>
        <w:rPr>
          <w:lang w:eastAsia="fr-FR" w:bidi="fr-FR"/>
        </w:rPr>
        <w:tab/>
      </w:r>
      <w:r w:rsidRPr="00AB71A5">
        <w:rPr>
          <w:lang w:eastAsia="fr-FR" w:bidi="fr-FR"/>
        </w:rPr>
        <w:t>opposition : ch</w:t>
      </w:r>
      <w:r w:rsidRPr="00AB71A5">
        <w:rPr>
          <w:lang w:eastAsia="fr-FR" w:bidi="fr-FR"/>
        </w:rPr>
        <w:t>o</w:t>
      </w:r>
      <w:r w:rsidRPr="00AB71A5">
        <w:rPr>
          <w:lang w:eastAsia="fr-FR" w:bidi="fr-FR"/>
        </w:rPr>
        <w:t>se/déchet.</w:t>
      </w:r>
    </w:p>
    <w:p w:rsidR="00A9729B" w:rsidRDefault="00A9729B" w:rsidP="00A9729B">
      <w:pPr>
        <w:ind w:left="1260" w:hanging="540"/>
        <w:jc w:val="both"/>
        <w:rPr>
          <w:lang w:eastAsia="fr-FR" w:bidi="fr-FR"/>
        </w:rPr>
      </w:pPr>
    </w:p>
    <w:p w:rsidR="00A9729B" w:rsidRPr="00AB71A5" w:rsidRDefault="00A9729B" w:rsidP="00A9729B">
      <w:pPr>
        <w:spacing w:before="120" w:after="120"/>
        <w:jc w:val="both"/>
      </w:pPr>
      <w:r w:rsidRPr="00AB71A5">
        <w:rPr>
          <w:lang w:eastAsia="fr-FR" w:bidi="fr-FR"/>
        </w:rPr>
        <w:lastRenderedPageBreak/>
        <w:t>Contrasté avec ceux qui le suivent, l’écart entre la chose et le terme est minimal : on pourrait n’y voir qu’un ajout épistémol</w:t>
      </w:r>
      <w:r w:rsidRPr="00AB71A5">
        <w:rPr>
          <w:lang w:eastAsia="fr-FR" w:bidi="fr-FR"/>
        </w:rPr>
        <w:t>o</w:t>
      </w:r>
      <w:r w:rsidRPr="00AB71A5">
        <w:rPr>
          <w:lang w:eastAsia="fr-FR" w:bidi="fr-FR"/>
        </w:rPr>
        <w:t>gique. C’est d’une même ch</w:t>
      </w:r>
      <w:r w:rsidRPr="00AB71A5">
        <w:rPr>
          <w:lang w:eastAsia="fr-FR" w:bidi="fr-FR"/>
        </w:rPr>
        <w:t>o</w:t>
      </w:r>
      <w:r w:rsidRPr="00AB71A5">
        <w:rPr>
          <w:lang w:eastAsia="fr-FR" w:bidi="fr-FR"/>
        </w:rPr>
        <w:t>se que l’on peut dire (1) qu’elle est étendue et (2) qu’elle est plus haute qu’une autre. Ces deux énoncés diffèrent cepe</w:t>
      </w:r>
      <w:r w:rsidRPr="00AB71A5">
        <w:rPr>
          <w:lang w:eastAsia="fr-FR" w:bidi="fr-FR"/>
        </w:rPr>
        <w:t>n</w:t>
      </w:r>
      <w:r w:rsidRPr="00AB71A5">
        <w:rPr>
          <w:lang w:eastAsia="fr-FR" w:bidi="fr-FR"/>
        </w:rPr>
        <w:t>dant se</w:t>
      </w:r>
      <w:r w:rsidRPr="00AB71A5">
        <w:rPr>
          <w:lang w:eastAsia="fr-FR" w:bidi="fr-FR"/>
        </w:rPr>
        <w:t>n</w:t>
      </w:r>
      <w:r w:rsidRPr="00AB71A5">
        <w:rPr>
          <w:lang w:eastAsia="fr-FR" w:bidi="fr-FR"/>
        </w:rPr>
        <w:t>siblement : le premier attribue à la chose une propriété dont il n’est pas contradicto</w:t>
      </w:r>
      <w:r w:rsidRPr="00AB71A5">
        <w:rPr>
          <w:lang w:eastAsia="fr-FR" w:bidi="fr-FR"/>
        </w:rPr>
        <w:t>i</w:t>
      </w:r>
      <w:r w:rsidRPr="00AB71A5">
        <w:rPr>
          <w:lang w:eastAsia="fr-FR" w:bidi="fr-FR"/>
        </w:rPr>
        <w:t>re d’affir</w:t>
      </w:r>
      <w:r>
        <w:rPr>
          <w:lang w:eastAsia="fr-FR" w:bidi="fr-FR"/>
        </w:rPr>
        <w:t>mer qu’elle la possède en elle-</w:t>
      </w:r>
      <w:r w:rsidRPr="00AB71A5">
        <w:rPr>
          <w:lang w:eastAsia="fr-FR" w:bidi="fr-FR"/>
        </w:rPr>
        <w:t>même (indépendamment du sujet qui l’affirme), alors que le s</w:t>
      </w:r>
      <w:r w:rsidRPr="00AB71A5">
        <w:rPr>
          <w:lang w:eastAsia="fr-FR" w:bidi="fr-FR"/>
        </w:rPr>
        <w:t>e</w:t>
      </w:r>
      <w:r w:rsidRPr="00AB71A5">
        <w:rPr>
          <w:lang w:eastAsia="fr-FR" w:bidi="fr-FR"/>
        </w:rPr>
        <w:t>cond la pose comme le terme d’une (relation de) comparaison. Or il n’y a de co</w:t>
      </w:r>
      <w:r w:rsidRPr="00AB71A5">
        <w:rPr>
          <w:lang w:eastAsia="fr-FR" w:bidi="fr-FR"/>
        </w:rPr>
        <w:t>m</w:t>
      </w:r>
      <w:r w:rsidRPr="00AB71A5">
        <w:rPr>
          <w:lang w:eastAsia="fr-FR" w:bidi="fr-FR"/>
        </w:rPr>
        <w:t>paraison, qu’effectuée par l’acte d’un sujet qui rapporte une chose à une a</w:t>
      </w:r>
      <w:r w:rsidRPr="00AB71A5">
        <w:rPr>
          <w:lang w:eastAsia="fr-FR" w:bidi="fr-FR"/>
        </w:rPr>
        <w:t>u</w:t>
      </w:r>
      <w:r w:rsidRPr="00AB71A5">
        <w:rPr>
          <w:lang w:eastAsia="fr-FR" w:bidi="fr-FR"/>
        </w:rPr>
        <w:t>tre et, ce faisant, les pose toutes deux comme termes. Il serait contradictoire de concevoir l’existence de ce rapport ind</w:t>
      </w:r>
      <w:r w:rsidRPr="00AB71A5">
        <w:rPr>
          <w:lang w:eastAsia="fr-FR" w:bidi="fr-FR"/>
        </w:rPr>
        <w:t>é</w:t>
      </w:r>
      <w:r w:rsidRPr="00AB71A5">
        <w:rPr>
          <w:lang w:eastAsia="fr-FR" w:bidi="fr-FR"/>
        </w:rPr>
        <w:t>pendamment de l’acte du sujet qui le noue. Provisoirement, nous dirons qu’il en est ainsi de tous les rapports (celui de domination, par exemple), qui re</w:t>
      </w:r>
      <w:r w:rsidRPr="00AB71A5">
        <w:rPr>
          <w:lang w:eastAsia="fr-FR" w:bidi="fr-FR"/>
        </w:rPr>
        <w:t>s</w:t>
      </w:r>
      <w:r w:rsidRPr="00AB71A5">
        <w:rPr>
          <w:lang w:eastAsia="fr-FR" w:bidi="fr-FR"/>
        </w:rPr>
        <w:t>sortissent donc tous à la polarité de la chose et</w:t>
      </w:r>
      <w:r>
        <w:rPr>
          <w:lang w:eastAsia="fr-FR" w:bidi="fr-FR"/>
        </w:rPr>
        <w:t xml:space="preserve"> [85] </w:t>
      </w:r>
      <w:r w:rsidRPr="00AB71A5">
        <w:rPr>
          <w:lang w:eastAsia="fr-FR" w:bidi="fr-FR"/>
        </w:rPr>
        <w:t>du terme. La que</w:t>
      </w:r>
      <w:r w:rsidRPr="00AB71A5">
        <w:rPr>
          <w:lang w:eastAsia="fr-FR" w:bidi="fr-FR"/>
        </w:rPr>
        <w:t>s</w:t>
      </w:r>
      <w:r w:rsidRPr="00AB71A5">
        <w:rPr>
          <w:lang w:eastAsia="fr-FR" w:bidi="fr-FR"/>
        </w:rPr>
        <w:t>tion devra être reprise ailleurs. L’introduction de cette première opp</w:t>
      </w:r>
      <w:r w:rsidRPr="00AB71A5">
        <w:rPr>
          <w:lang w:eastAsia="fr-FR" w:bidi="fr-FR"/>
        </w:rPr>
        <w:t>o</w:t>
      </w:r>
      <w:r w:rsidRPr="00AB71A5">
        <w:rPr>
          <w:lang w:eastAsia="fr-FR" w:bidi="fr-FR"/>
        </w:rPr>
        <w:t>sition de la chose et du terme, n’est cependant pas le fruit d’une v</w:t>
      </w:r>
      <w:r w:rsidRPr="00AB71A5">
        <w:rPr>
          <w:lang w:eastAsia="fr-FR" w:bidi="fr-FR"/>
        </w:rPr>
        <w:t>o</w:t>
      </w:r>
      <w:r w:rsidRPr="00AB71A5">
        <w:rPr>
          <w:lang w:eastAsia="fr-FR" w:bidi="fr-FR"/>
        </w:rPr>
        <w:t>lonté de compliquer les choses : il est fondamental d’équilibrer une définition par trop physicaliste de la culture — cult</w:t>
      </w:r>
      <w:r w:rsidRPr="00AB71A5">
        <w:rPr>
          <w:lang w:eastAsia="fr-FR" w:bidi="fr-FR"/>
        </w:rPr>
        <w:t>u</w:t>
      </w:r>
      <w:r w:rsidRPr="00AB71A5">
        <w:rPr>
          <w:lang w:eastAsia="fr-FR" w:bidi="fr-FR"/>
        </w:rPr>
        <w:t>re = un ensemble d’effets matériels — en y incluant la c</w:t>
      </w:r>
      <w:r w:rsidRPr="00AB71A5">
        <w:rPr>
          <w:lang w:eastAsia="fr-FR" w:bidi="fr-FR"/>
        </w:rPr>
        <w:t>a</w:t>
      </w:r>
      <w:r w:rsidRPr="00AB71A5">
        <w:rPr>
          <w:lang w:eastAsia="fr-FR" w:bidi="fr-FR"/>
        </w:rPr>
        <w:t xml:space="preserve">tégorie de la relation. En clair : la culture est au moins autant un ensemble de </w:t>
      </w:r>
      <w:r w:rsidRPr="004408C3">
        <w:rPr>
          <w:i/>
        </w:rPr>
        <w:t>rapports</w:t>
      </w:r>
      <w:r w:rsidRPr="00AB71A5">
        <w:rPr>
          <w:lang w:eastAsia="fr-FR" w:bidi="fr-FR"/>
        </w:rPr>
        <w:t xml:space="preserve"> (sociaux et a</w:t>
      </w:r>
      <w:r w:rsidRPr="00AB71A5">
        <w:rPr>
          <w:lang w:eastAsia="fr-FR" w:bidi="fr-FR"/>
        </w:rPr>
        <w:t>u</w:t>
      </w:r>
      <w:r w:rsidRPr="00AB71A5">
        <w:rPr>
          <w:lang w:eastAsia="fr-FR" w:bidi="fr-FR"/>
        </w:rPr>
        <w:t>tres) qu’un ensemble de produits. De</w:t>
      </w:r>
      <w:r w:rsidRPr="00AB71A5">
        <w:rPr>
          <w:lang w:eastAsia="fr-FR" w:bidi="fr-FR"/>
        </w:rPr>
        <w:t>r</w:t>
      </w:r>
      <w:r w:rsidRPr="00AB71A5">
        <w:rPr>
          <w:lang w:eastAsia="fr-FR" w:bidi="fr-FR"/>
        </w:rPr>
        <w:t>nière note, enfin : par « produit » nous entendrons to</w:t>
      </w:r>
      <w:r w:rsidRPr="00AB71A5">
        <w:rPr>
          <w:lang w:eastAsia="fr-FR" w:bidi="fr-FR"/>
        </w:rPr>
        <w:t>u</w:t>
      </w:r>
      <w:r w:rsidRPr="00AB71A5">
        <w:rPr>
          <w:lang w:eastAsia="fr-FR" w:bidi="fr-FR"/>
        </w:rPr>
        <w:t xml:space="preserve">jours, </w:t>
      </w:r>
      <w:r w:rsidRPr="004408C3">
        <w:rPr>
          <w:i/>
        </w:rPr>
        <w:t>produit humain</w:t>
      </w:r>
      <w:r w:rsidRPr="00AB71A5">
        <w:rPr>
          <w:lang w:eastAsia="fr-FR" w:bidi="fr-FR"/>
        </w:rPr>
        <w:t xml:space="preserve"> (fait par l’homme). Si nous ne le faisions et s’il existait quelque chose qui re</w:t>
      </w:r>
      <w:r w:rsidRPr="00AB71A5">
        <w:rPr>
          <w:lang w:eastAsia="fr-FR" w:bidi="fr-FR"/>
        </w:rPr>
        <w:t>s</w:t>
      </w:r>
      <w:r w:rsidRPr="00AB71A5">
        <w:rPr>
          <w:lang w:eastAsia="fr-FR" w:bidi="fr-FR"/>
        </w:rPr>
        <w:t>semblât à un démiurge — un Dieu — on devrait déf</w:t>
      </w:r>
      <w:r w:rsidRPr="00AB71A5">
        <w:rPr>
          <w:lang w:eastAsia="fr-FR" w:bidi="fr-FR"/>
        </w:rPr>
        <w:t>i</w:t>
      </w:r>
      <w:r w:rsidRPr="00AB71A5">
        <w:rPr>
          <w:lang w:eastAsia="fr-FR" w:bidi="fr-FR"/>
        </w:rPr>
        <w:t>nir le monde comme sa culture.</w:t>
      </w:r>
    </w:p>
    <w:p w:rsidR="00A9729B" w:rsidRPr="00AB71A5" w:rsidRDefault="00A9729B" w:rsidP="00A9729B">
      <w:pPr>
        <w:spacing w:before="120" w:after="120"/>
        <w:jc w:val="both"/>
      </w:pPr>
      <w:r>
        <w:rPr>
          <w:lang w:eastAsia="fr-FR" w:bidi="fr-FR"/>
        </w:rPr>
        <w:t>É</w:t>
      </w:r>
      <w:r w:rsidRPr="00AB71A5">
        <w:rPr>
          <w:lang w:eastAsia="fr-FR" w:bidi="fr-FR"/>
        </w:rPr>
        <w:t>tendus maintenant sur les axes de la temporalité et de la modalité, nos polarités pourraient se traduire par celle du perm</w:t>
      </w:r>
      <w:r w:rsidRPr="00AB71A5">
        <w:rPr>
          <w:lang w:eastAsia="fr-FR" w:bidi="fr-FR"/>
        </w:rPr>
        <w:t>a</w:t>
      </w:r>
      <w:r w:rsidRPr="00AB71A5">
        <w:rPr>
          <w:lang w:eastAsia="fr-FR" w:bidi="fr-FR"/>
        </w:rPr>
        <w:t>nent (de l’origine) et du transito</w:t>
      </w:r>
      <w:r w:rsidRPr="00AB71A5">
        <w:rPr>
          <w:lang w:eastAsia="fr-FR" w:bidi="fr-FR"/>
        </w:rPr>
        <w:t>i</w:t>
      </w:r>
      <w:r w:rsidRPr="00AB71A5">
        <w:rPr>
          <w:lang w:eastAsia="fr-FR" w:bidi="fr-FR"/>
        </w:rPr>
        <w:t>re ou celle du nécessaire et du contingent. Je ne me leurre év</w:t>
      </w:r>
      <w:r w:rsidRPr="00AB71A5">
        <w:rPr>
          <w:lang w:eastAsia="fr-FR" w:bidi="fr-FR"/>
        </w:rPr>
        <w:t>i</w:t>
      </w:r>
      <w:r w:rsidRPr="00AB71A5">
        <w:rPr>
          <w:lang w:eastAsia="fr-FR" w:bidi="fr-FR"/>
        </w:rPr>
        <w:t>demment pas sur le caractère très sommaire de cette rapide décl</w:t>
      </w:r>
      <w:r w:rsidRPr="00AB71A5">
        <w:rPr>
          <w:lang w:eastAsia="fr-FR" w:bidi="fr-FR"/>
        </w:rPr>
        <w:t>i</w:t>
      </w:r>
      <w:r w:rsidRPr="00AB71A5">
        <w:rPr>
          <w:lang w:eastAsia="fr-FR" w:bidi="fr-FR"/>
        </w:rPr>
        <w:t>naison de</w:t>
      </w:r>
      <w:r>
        <w:rPr>
          <w:lang w:eastAsia="fr-FR" w:bidi="fr-FR"/>
        </w:rPr>
        <w:t>s divers cas de l’opposition na</w:t>
      </w:r>
      <w:r w:rsidRPr="00AB71A5">
        <w:rPr>
          <w:lang w:eastAsia="fr-FR" w:bidi="fr-FR"/>
        </w:rPr>
        <w:t>ture/culture et je suis prêt à accorder qu’elle g</w:t>
      </w:r>
      <w:r w:rsidRPr="00AB71A5">
        <w:rPr>
          <w:lang w:eastAsia="fr-FR" w:bidi="fr-FR"/>
        </w:rPr>
        <w:t>a</w:t>
      </w:r>
      <w:r w:rsidRPr="00AB71A5">
        <w:rPr>
          <w:lang w:eastAsia="fr-FR" w:bidi="fr-FR"/>
        </w:rPr>
        <w:t>gnerait beaucoup à être rigorisée. Je ne pense cependant pas que cet affinement y apporterait aucune modif</w:t>
      </w:r>
      <w:r w:rsidRPr="00AB71A5">
        <w:rPr>
          <w:lang w:eastAsia="fr-FR" w:bidi="fr-FR"/>
        </w:rPr>
        <w:t>i</w:t>
      </w:r>
      <w:r w:rsidRPr="00AB71A5">
        <w:rPr>
          <w:lang w:eastAsia="fr-FR" w:bidi="fr-FR"/>
        </w:rPr>
        <w:t>cation de fond.</w:t>
      </w:r>
    </w:p>
    <w:p w:rsidR="00A9729B" w:rsidRDefault="00A9729B" w:rsidP="00A9729B">
      <w:pPr>
        <w:spacing w:before="120" w:after="120"/>
        <w:jc w:val="both"/>
        <w:rPr>
          <w:lang w:eastAsia="fr-FR" w:bidi="fr-FR"/>
        </w:rPr>
      </w:pPr>
      <w:r w:rsidRPr="00AB71A5">
        <w:rPr>
          <w:lang w:eastAsia="fr-FR" w:bidi="fr-FR"/>
        </w:rPr>
        <w:t>On pourrait voir un indice de la justesse de notre analyse dans le fait suivant. L’énoncé du pr</w:t>
      </w:r>
      <w:r w:rsidRPr="00AB71A5">
        <w:rPr>
          <w:lang w:eastAsia="fr-FR" w:bidi="fr-FR"/>
        </w:rPr>
        <w:t>o</w:t>
      </w:r>
      <w:r w:rsidRPr="00AB71A5">
        <w:rPr>
          <w:lang w:eastAsia="fr-FR" w:bidi="fr-FR"/>
        </w:rPr>
        <w:t xml:space="preserve">jet d’une critique de la culture ne nous frappe pas, </w:t>
      </w:r>
      <w:r w:rsidRPr="004408C3">
        <w:rPr>
          <w:i/>
          <w:lang w:eastAsia="fr-FR" w:bidi="fr-FR"/>
        </w:rPr>
        <w:t>prima facie</w:t>
      </w:r>
      <w:r w:rsidRPr="00AB71A5">
        <w:rPr>
          <w:lang w:eastAsia="fr-FR" w:bidi="fr-FR"/>
        </w:rPr>
        <w:t>, par son absurdité. Or qu’il en soit ainsi, pr</w:t>
      </w:r>
      <w:r w:rsidRPr="00AB71A5">
        <w:rPr>
          <w:lang w:eastAsia="fr-FR" w:bidi="fr-FR"/>
        </w:rPr>
        <w:t>é</w:t>
      </w:r>
      <w:r w:rsidRPr="00AB71A5">
        <w:rPr>
          <w:lang w:eastAsia="fr-FR" w:bidi="fr-FR"/>
        </w:rPr>
        <w:t>suppose une caractéris</w:t>
      </w:r>
      <w:r w:rsidRPr="00AB71A5">
        <w:rPr>
          <w:lang w:eastAsia="fr-FR" w:bidi="fr-FR"/>
        </w:rPr>
        <w:t>a</w:t>
      </w:r>
      <w:r w:rsidRPr="00AB71A5">
        <w:rPr>
          <w:lang w:eastAsia="fr-FR" w:bidi="fr-FR"/>
        </w:rPr>
        <w:t>tion de la culture qui, pour l’essentiel, ne s’écarte pas de ce</w:t>
      </w:r>
      <w:r w:rsidRPr="00AB71A5">
        <w:rPr>
          <w:lang w:eastAsia="fr-FR" w:bidi="fr-FR"/>
        </w:rPr>
        <w:t>l</w:t>
      </w:r>
      <w:r w:rsidRPr="00AB71A5">
        <w:rPr>
          <w:lang w:eastAsia="fr-FR" w:bidi="fr-FR"/>
        </w:rPr>
        <w:t xml:space="preserve">le que nous avons proposée. En bref, il n’y aurait </w:t>
      </w:r>
      <w:r w:rsidRPr="00AB71A5">
        <w:rPr>
          <w:lang w:eastAsia="fr-FR" w:bidi="fr-FR"/>
        </w:rPr>
        <w:lastRenderedPageBreak/>
        <w:t>pas sens à critiquer la culture, si on devait r</w:t>
      </w:r>
      <w:r w:rsidRPr="00AB71A5">
        <w:rPr>
          <w:lang w:eastAsia="fr-FR" w:bidi="fr-FR"/>
        </w:rPr>
        <w:t>e</w:t>
      </w:r>
      <w:r w:rsidRPr="00AB71A5">
        <w:rPr>
          <w:lang w:eastAsia="fr-FR" w:bidi="fr-FR"/>
        </w:rPr>
        <w:t>noncer à l’espoir de la changer. Or on devrait manifestement r</w:t>
      </w:r>
      <w:r w:rsidRPr="00AB71A5">
        <w:rPr>
          <w:lang w:eastAsia="fr-FR" w:bidi="fr-FR"/>
        </w:rPr>
        <w:t>e</w:t>
      </w:r>
      <w:r w:rsidRPr="00AB71A5">
        <w:rPr>
          <w:lang w:eastAsia="fr-FR" w:bidi="fr-FR"/>
        </w:rPr>
        <w:t>noncer à cet espoir, si la culture constituait un « ordre des choses » fixe, semblable par exe</w:t>
      </w:r>
      <w:r w:rsidRPr="00AB71A5">
        <w:rPr>
          <w:lang w:eastAsia="fr-FR" w:bidi="fr-FR"/>
        </w:rPr>
        <w:t>m</w:t>
      </w:r>
      <w:r w:rsidRPr="00AB71A5">
        <w:rPr>
          <w:lang w:eastAsia="fr-FR" w:bidi="fr-FR"/>
        </w:rPr>
        <w:t>ple, au système solaire</w:t>
      </w:r>
      <w:r>
        <w:rPr>
          <w:lang w:eastAsia="fr-FR" w:bidi="fr-FR"/>
        </w:rPr>
        <w:t> </w:t>
      </w:r>
      <w:r>
        <w:rPr>
          <w:rStyle w:val="Appelnotedebasdep"/>
          <w:lang w:eastAsia="fr-FR" w:bidi="fr-FR"/>
        </w:rPr>
        <w:footnoteReference w:id="6"/>
      </w:r>
      <w:r w:rsidRPr="00AB71A5">
        <w:rPr>
          <w:lang w:eastAsia="fr-FR" w:bidi="fr-FR"/>
        </w:rPr>
        <w:t xml:space="preserve"> au lieu d’un ensemble de produits et de ra</w:t>
      </w:r>
      <w:r w:rsidRPr="00AB71A5">
        <w:rPr>
          <w:lang w:eastAsia="fr-FR" w:bidi="fr-FR"/>
        </w:rPr>
        <w:t>p</w:t>
      </w:r>
      <w:r w:rsidRPr="00AB71A5">
        <w:rPr>
          <w:lang w:eastAsia="fr-FR" w:bidi="fr-FR"/>
        </w:rPr>
        <w:t>ports modifiables.</w:t>
      </w:r>
    </w:p>
    <w:p w:rsidR="00A9729B" w:rsidRPr="00AB71A5" w:rsidRDefault="00A9729B" w:rsidP="00A9729B">
      <w:pPr>
        <w:spacing w:before="120" w:after="120"/>
        <w:jc w:val="both"/>
      </w:pPr>
      <w:r>
        <w:rPr>
          <w:lang w:eastAsia="fr-FR" w:bidi="fr-FR"/>
        </w:rPr>
        <w:t>[86]</w:t>
      </w:r>
    </w:p>
    <w:p w:rsidR="00A9729B" w:rsidRPr="00AB71A5" w:rsidRDefault="00A9729B" w:rsidP="00A9729B">
      <w:pPr>
        <w:spacing w:before="120" w:after="120"/>
        <w:jc w:val="both"/>
      </w:pPr>
      <w:r w:rsidRPr="00AB71A5">
        <w:rPr>
          <w:lang w:eastAsia="fr-FR" w:bidi="fr-FR"/>
        </w:rPr>
        <w:t>Maintenant que nous sommes en possession de quelques sch</w:t>
      </w:r>
      <w:r w:rsidRPr="00AB71A5">
        <w:rPr>
          <w:lang w:eastAsia="fr-FR" w:bidi="fr-FR"/>
        </w:rPr>
        <w:t>é</w:t>
      </w:r>
      <w:r w:rsidRPr="00AB71A5">
        <w:rPr>
          <w:lang w:eastAsia="fr-FR" w:bidi="fr-FR"/>
        </w:rPr>
        <w:t>mas de critères, nous pouvons passer à la désignation de ce qui dans l’univers des faits empir</w:t>
      </w:r>
      <w:r w:rsidRPr="00AB71A5">
        <w:rPr>
          <w:lang w:eastAsia="fr-FR" w:bidi="fr-FR"/>
        </w:rPr>
        <w:t>i</w:t>
      </w:r>
      <w:r w:rsidRPr="00AB71A5">
        <w:rPr>
          <w:lang w:eastAsia="fr-FR" w:bidi="fr-FR"/>
        </w:rPr>
        <w:t>ques constituerait des faits ou des objets culturels. Et, à cet égard, il nous faudrait distinguer entre, au moins, deux sortes de faits ou d’objets culturels : les faits cult</w:t>
      </w:r>
      <w:r w:rsidRPr="00AB71A5">
        <w:rPr>
          <w:lang w:eastAsia="fr-FR" w:bidi="fr-FR"/>
        </w:rPr>
        <w:t>u</w:t>
      </w:r>
      <w:r w:rsidRPr="00AB71A5">
        <w:rPr>
          <w:lang w:eastAsia="fr-FR" w:bidi="fr-FR"/>
        </w:rPr>
        <w:t>rels que j’appellerai O-objectifs et ceux que je nommerai S-objectifs. Cette terminologie inhab</w:t>
      </w:r>
      <w:r w:rsidRPr="00AB71A5">
        <w:rPr>
          <w:lang w:eastAsia="fr-FR" w:bidi="fr-FR"/>
        </w:rPr>
        <w:t>i</w:t>
      </w:r>
      <w:r w:rsidRPr="00AB71A5">
        <w:rPr>
          <w:lang w:eastAsia="fr-FR" w:bidi="fr-FR"/>
        </w:rPr>
        <w:t>tuelle n’a pour but que de nous empêcher de faire une confusion, que l’on verra mieux quand nous aurons donné des exemples de faits ou d’objets a</w:t>
      </w:r>
      <w:r w:rsidRPr="00AB71A5">
        <w:rPr>
          <w:lang w:eastAsia="fr-FR" w:bidi="fr-FR"/>
        </w:rPr>
        <w:t>p</w:t>
      </w:r>
      <w:r w:rsidRPr="00AB71A5">
        <w:rPr>
          <w:lang w:eastAsia="fr-FR" w:bidi="fr-FR"/>
        </w:rPr>
        <w:t>partenant à nos deux classes.</w:t>
      </w:r>
    </w:p>
    <w:p w:rsidR="00A9729B" w:rsidRPr="00AB71A5" w:rsidRDefault="00A9729B" w:rsidP="00A9729B">
      <w:pPr>
        <w:spacing w:before="120" w:after="120"/>
        <w:jc w:val="both"/>
      </w:pPr>
      <w:r w:rsidRPr="00AB71A5">
        <w:rPr>
          <w:lang w:eastAsia="fr-FR" w:bidi="fr-FR"/>
        </w:rPr>
        <w:t>Appartiennent à la classe des faits objets culturels O-objectifs, tous ces faits ou objets qui satisfassent aux critères précéde</w:t>
      </w:r>
      <w:r w:rsidRPr="00AB71A5">
        <w:rPr>
          <w:lang w:eastAsia="fr-FR" w:bidi="fr-FR"/>
        </w:rPr>
        <w:t>m</w:t>
      </w:r>
      <w:r w:rsidRPr="00AB71A5">
        <w:rPr>
          <w:lang w:eastAsia="fr-FR" w:bidi="fr-FR"/>
        </w:rPr>
        <w:t>ment établis — en gros : ils e</w:t>
      </w:r>
      <w:r w:rsidRPr="00AB71A5">
        <w:rPr>
          <w:lang w:eastAsia="fr-FR" w:bidi="fr-FR"/>
        </w:rPr>
        <w:t>x</w:t>
      </w:r>
      <w:r w:rsidRPr="00AB71A5">
        <w:rPr>
          <w:lang w:eastAsia="fr-FR" w:bidi="fr-FR"/>
        </w:rPr>
        <w:t>croissent le donné (ajout) et ils sont engendrés par la pratique d’un sujet humain — et qui ont en plus le prédicat de la mat</w:t>
      </w:r>
      <w:r w:rsidRPr="00AB71A5">
        <w:rPr>
          <w:lang w:eastAsia="fr-FR" w:bidi="fr-FR"/>
        </w:rPr>
        <w:t>é</w:t>
      </w:r>
      <w:r w:rsidRPr="00AB71A5">
        <w:rPr>
          <w:lang w:eastAsia="fr-FR" w:bidi="fr-FR"/>
        </w:rPr>
        <w:t>rialité extérieure. On peut les regrouper en deux grands ense</w:t>
      </w:r>
      <w:r w:rsidRPr="00AB71A5">
        <w:rPr>
          <w:lang w:eastAsia="fr-FR" w:bidi="fr-FR"/>
        </w:rPr>
        <w:t>m</w:t>
      </w:r>
      <w:r w:rsidRPr="00AB71A5">
        <w:rPr>
          <w:lang w:eastAsia="fr-FR" w:bidi="fr-FR"/>
        </w:rPr>
        <w:t>bles. (1) De façon g</w:t>
      </w:r>
      <w:r w:rsidRPr="00AB71A5">
        <w:rPr>
          <w:lang w:eastAsia="fr-FR" w:bidi="fr-FR"/>
        </w:rPr>
        <w:t>é</w:t>
      </w:r>
      <w:r w:rsidRPr="00AB71A5">
        <w:rPr>
          <w:lang w:eastAsia="fr-FR" w:bidi="fr-FR"/>
        </w:rPr>
        <w:t xml:space="preserve">nérale, on dira qu’appartient à cette classe la totalité des </w:t>
      </w:r>
      <w:r w:rsidRPr="004408C3">
        <w:rPr>
          <w:i/>
        </w:rPr>
        <w:t>produits</w:t>
      </w:r>
      <w:r w:rsidRPr="00AB71A5">
        <w:t>,</w:t>
      </w:r>
      <w:r w:rsidRPr="00AB71A5">
        <w:rPr>
          <w:lang w:eastAsia="fr-FR" w:bidi="fr-FR"/>
        </w:rPr>
        <w:t xml:space="preserve"> qui, à une époque donnée, et pour une communauté déterm</w:t>
      </w:r>
      <w:r w:rsidRPr="00AB71A5">
        <w:rPr>
          <w:lang w:eastAsia="fr-FR" w:bidi="fr-FR"/>
        </w:rPr>
        <w:t>i</w:t>
      </w:r>
      <w:r w:rsidRPr="00AB71A5">
        <w:rPr>
          <w:lang w:eastAsia="fr-FR" w:bidi="fr-FR"/>
        </w:rPr>
        <w:t>née sont issus d’une pratique de transfo</w:t>
      </w:r>
      <w:r w:rsidRPr="00AB71A5">
        <w:rPr>
          <w:lang w:eastAsia="fr-FR" w:bidi="fr-FR"/>
        </w:rPr>
        <w:t>r</w:t>
      </w:r>
      <w:r w:rsidRPr="00AB71A5">
        <w:rPr>
          <w:lang w:eastAsia="fr-FR" w:bidi="fr-FR"/>
        </w:rPr>
        <w:t>mation.</w:t>
      </w:r>
      <w:r>
        <w:rPr>
          <w:lang w:eastAsia="fr-FR" w:bidi="fr-FR"/>
        </w:rPr>
        <w:t> </w:t>
      </w:r>
      <w:r>
        <w:rPr>
          <w:rStyle w:val="Appelnotedebasdep"/>
          <w:lang w:eastAsia="fr-FR" w:bidi="fr-FR"/>
        </w:rPr>
        <w:footnoteReference w:id="7"/>
      </w:r>
      <w:r w:rsidRPr="00AB71A5">
        <w:rPr>
          <w:lang w:eastAsia="fr-FR" w:bidi="fr-FR"/>
        </w:rPr>
        <w:t xml:space="preserve"> (2) De façon plus quintessenciée : la totalité des ma</w:t>
      </w:r>
      <w:r w:rsidRPr="00AB71A5">
        <w:rPr>
          <w:lang w:eastAsia="fr-FR" w:bidi="fr-FR"/>
        </w:rPr>
        <w:t>r</w:t>
      </w:r>
      <w:r w:rsidRPr="00AB71A5">
        <w:rPr>
          <w:lang w:eastAsia="fr-FR" w:bidi="fr-FR"/>
        </w:rPr>
        <w:t>ques signifiantes, ou encore de la substance d’expression, que l’on peut repérer à une époque do</w:t>
      </w:r>
      <w:r w:rsidRPr="00AB71A5">
        <w:rPr>
          <w:lang w:eastAsia="fr-FR" w:bidi="fr-FR"/>
        </w:rPr>
        <w:t>n</w:t>
      </w:r>
      <w:r w:rsidRPr="00AB71A5">
        <w:rPr>
          <w:lang w:eastAsia="fr-FR" w:bidi="fr-FR"/>
        </w:rPr>
        <w:t xml:space="preserve">née. </w:t>
      </w:r>
      <w:r w:rsidRPr="00AB71A5">
        <w:rPr>
          <w:lang w:eastAsia="fr-FR" w:bidi="fr-FR"/>
        </w:rPr>
        <w:lastRenderedPageBreak/>
        <w:t>Un exemple : dans la mesure où le signe écrit constitue encore la ma</w:t>
      </w:r>
      <w:r w:rsidRPr="00AB71A5">
        <w:rPr>
          <w:lang w:eastAsia="fr-FR" w:bidi="fr-FR"/>
        </w:rPr>
        <w:t>r</w:t>
      </w:r>
      <w:r w:rsidRPr="00AB71A5">
        <w:rPr>
          <w:lang w:eastAsia="fr-FR" w:bidi="fr-FR"/>
        </w:rPr>
        <w:t>que la plus usitée pour consigner le sens, on dira que la totalité des textes existant à une époque donnée et pour une communauté déte</w:t>
      </w:r>
      <w:r w:rsidRPr="00AB71A5">
        <w:rPr>
          <w:lang w:eastAsia="fr-FR" w:bidi="fr-FR"/>
        </w:rPr>
        <w:t>r</w:t>
      </w:r>
      <w:r w:rsidRPr="00AB71A5">
        <w:rPr>
          <w:lang w:eastAsia="fr-FR" w:bidi="fr-FR"/>
        </w:rPr>
        <w:t>minée const</w:t>
      </w:r>
      <w:r w:rsidRPr="00AB71A5">
        <w:rPr>
          <w:lang w:eastAsia="fr-FR" w:bidi="fr-FR"/>
        </w:rPr>
        <w:t>i</w:t>
      </w:r>
      <w:r w:rsidRPr="00AB71A5">
        <w:rPr>
          <w:lang w:eastAsia="fr-FR" w:bidi="fr-FR"/>
        </w:rPr>
        <w:t>tue un référent O-objectif du terme « culture » pour cette époque et cette comm</w:t>
      </w:r>
      <w:r w:rsidRPr="00AB71A5">
        <w:rPr>
          <w:lang w:eastAsia="fr-FR" w:bidi="fr-FR"/>
        </w:rPr>
        <w:t>u</w:t>
      </w:r>
      <w:r w:rsidRPr="00AB71A5">
        <w:rPr>
          <w:lang w:eastAsia="fr-FR" w:bidi="fr-FR"/>
        </w:rPr>
        <w:t>nauté. Cet ensemble est plus quintessencié que le pr</w:t>
      </w:r>
      <w:r w:rsidRPr="00AB71A5">
        <w:rPr>
          <w:lang w:eastAsia="fr-FR" w:bidi="fr-FR"/>
        </w:rPr>
        <w:t>é</w:t>
      </w:r>
      <w:r w:rsidRPr="00AB71A5">
        <w:rPr>
          <w:lang w:eastAsia="fr-FR" w:bidi="fr-FR"/>
        </w:rPr>
        <w:t>cédent dans la mesure où, couplé à l’intervention d’un sujet, il peut générer le préc</w:t>
      </w:r>
      <w:r w:rsidRPr="00AB71A5">
        <w:rPr>
          <w:lang w:eastAsia="fr-FR" w:bidi="fr-FR"/>
        </w:rPr>
        <w:t>é</w:t>
      </w:r>
      <w:r w:rsidRPr="00AB71A5">
        <w:rPr>
          <w:lang w:eastAsia="fr-FR" w:bidi="fr-FR"/>
        </w:rPr>
        <w:t>dent. Les textes</w:t>
      </w:r>
      <w:r>
        <w:rPr>
          <w:lang w:eastAsia="fr-FR" w:bidi="fr-FR"/>
        </w:rPr>
        <w:t> </w:t>
      </w:r>
      <w:r>
        <w:rPr>
          <w:rStyle w:val="Appelnotedebasdep"/>
          <w:lang w:eastAsia="fr-FR" w:bidi="fr-FR"/>
        </w:rPr>
        <w:footnoteReference w:id="8"/>
      </w:r>
      <w:r w:rsidRPr="00AB71A5">
        <w:rPr>
          <w:lang w:eastAsia="fr-FR" w:bidi="fr-FR"/>
        </w:rPr>
        <w:t xml:space="preserve"> constituent en effet trois sous-ensembles : (A) ceux qui ne font que représenter un état de choses exi</w:t>
      </w:r>
      <w:r w:rsidRPr="00AB71A5">
        <w:rPr>
          <w:lang w:eastAsia="fr-FR" w:bidi="fr-FR"/>
        </w:rPr>
        <w:t>s</w:t>
      </w:r>
      <w:r w:rsidRPr="00AB71A5">
        <w:rPr>
          <w:lang w:eastAsia="fr-FR" w:bidi="fr-FR"/>
        </w:rPr>
        <w:t xml:space="preserve">tant : je les appellerai indifféremment des </w:t>
      </w:r>
      <w:r w:rsidRPr="004408C3">
        <w:rPr>
          <w:i/>
        </w:rPr>
        <w:t>cartes</w:t>
      </w:r>
      <w:r w:rsidRPr="00AB71A5">
        <w:rPr>
          <w:lang w:eastAsia="fr-FR" w:bidi="fr-FR"/>
        </w:rPr>
        <w:t xml:space="preserve"> ou des </w:t>
      </w:r>
      <w:r w:rsidRPr="004408C3">
        <w:rPr>
          <w:i/>
        </w:rPr>
        <w:t>tableaux</w:t>
      </w:r>
      <w:r w:rsidRPr="00AB71A5">
        <w:t>.</w:t>
      </w:r>
      <w:r w:rsidRPr="00AB71A5">
        <w:rPr>
          <w:lang w:eastAsia="fr-FR" w:bidi="fr-FR"/>
        </w:rPr>
        <w:t xml:space="preserve"> (B) Ceux qui nous donnent les moyens conceptuels ou rhétoriques, pour le cas où il s’agirait de modifier l’agir humain, de réaliser un état de chose qui n’existe pas encore : je les nomme : plans, progra</w:t>
      </w:r>
      <w:r w:rsidRPr="00AB71A5">
        <w:rPr>
          <w:lang w:eastAsia="fr-FR" w:bidi="fr-FR"/>
        </w:rPr>
        <w:t>m</w:t>
      </w:r>
      <w:r w:rsidRPr="00AB71A5">
        <w:rPr>
          <w:lang w:eastAsia="fr-FR" w:bidi="fr-FR"/>
        </w:rPr>
        <w:t xml:space="preserve">mes, ou encore </w:t>
      </w:r>
      <w:r w:rsidRPr="004408C3">
        <w:rPr>
          <w:i/>
        </w:rPr>
        <w:t>formules</w:t>
      </w:r>
      <w:r w:rsidRPr="00AB71A5">
        <w:t>.</w:t>
      </w:r>
      <w:r w:rsidRPr="00AB71A5">
        <w:rPr>
          <w:lang w:eastAsia="fr-FR" w:bidi="fr-FR"/>
        </w:rPr>
        <w:t xml:space="preserve"> (C) Ceux qui const</w:t>
      </w:r>
      <w:r w:rsidRPr="00AB71A5">
        <w:rPr>
          <w:lang w:eastAsia="fr-FR" w:bidi="fr-FR"/>
        </w:rPr>
        <w:t>i</w:t>
      </w:r>
      <w:r w:rsidRPr="00AB71A5">
        <w:rPr>
          <w:lang w:eastAsia="fr-FR" w:bidi="fr-FR"/>
        </w:rPr>
        <w:t>tuent en eux-mêmes un état de chose :</w:t>
      </w:r>
      <w:r>
        <w:rPr>
          <w:lang w:eastAsia="fr-FR" w:bidi="fr-FR"/>
        </w:rPr>
        <w:t xml:space="preserve"> [87] </w:t>
      </w:r>
      <w:r w:rsidRPr="00AB71A5">
        <w:rPr>
          <w:lang w:eastAsia="fr-FR" w:bidi="fr-FR"/>
        </w:rPr>
        <w:t xml:space="preserve">ce sont les </w:t>
      </w:r>
      <w:r w:rsidRPr="00AB71A5">
        <w:t>inscriptions.</w:t>
      </w:r>
      <w:r w:rsidRPr="00AB71A5">
        <w:rPr>
          <w:lang w:eastAsia="fr-FR" w:bidi="fr-FR"/>
        </w:rPr>
        <w:t xml:space="preserve"> Les lois, règles et en général les instit</w:t>
      </w:r>
      <w:r w:rsidRPr="00AB71A5">
        <w:rPr>
          <w:lang w:eastAsia="fr-FR" w:bidi="fr-FR"/>
        </w:rPr>
        <w:t>u</w:t>
      </w:r>
      <w:r w:rsidRPr="00AB71A5">
        <w:rPr>
          <w:lang w:eastAsia="fr-FR" w:bidi="fr-FR"/>
        </w:rPr>
        <w:t>tions n’ont de réalité sociale que dans la mesure où elles sont inscrites. On voit comment, selon cette répartition, l’ensemble général des pr</w:t>
      </w:r>
      <w:r w:rsidRPr="00AB71A5">
        <w:rPr>
          <w:lang w:eastAsia="fr-FR" w:bidi="fr-FR"/>
        </w:rPr>
        <w:t>o</w:t>
      </w:r>
      <w:r w:rsidRPr="00AB71A5">
        <w:rPr>
          <w:lang w:eastAsia="fr-FR" w:bidi="fr-FR"/>
        </w:rPr>
        <w:t>duits matériels est par définition dérivable des sous-ensembles (B) et (C) — plans, programmes et in</w:t>
      </w:r>
      <w:r w:rsidRPr="00AB71A5">
        <w:rPr>
          <w:lang w:eastAsia="fr-FR" w:bidi="fr-FR"/>
        </w:rPr>
        <w:t>s</w:t>
      </w:r>
      <w:r w:rsidRPr="00AB71A5">
        <w:rPr>
          <w:lang w:eastAsia="fr-FR" w:bidi="fr-FR"/>
        </w:rPr>
        <w:t>criptions — auxquels s’ajoute une pratique socialisée. (Ceci s’avère à mes</w:t>
      </w:r>
      <w:r w:rsidRPr="00AB71A5">
        <w:rPr>
          <w:lang w:eastAsia="fr-FR" w:bidi="fr-FR"/>
        </w:rPr>
        <w:t>u</w:t>
      </w:r>
      <w:r w:rsidRPr="00AB71A5">
        <w:rPr>
          <w:lang w:eastAsia="fr-FR" w:bidi="fr-FR"/>
        </w:rPr>
        <w:t>re que l’on s’approche des sociétés industrialisées, et donc, de la plupart des sociétés occ</w:t>
      </w:r>
      <w:r w:rsidRPr="00AB71A5">
        <w:rPr>
          <w:lang w:eastAsia="fr-FR" w:bidi="fr-FR"/>
        </w:rPr>
        <w:t>i</w:t>
      </w:r>
      <w:r w:rsidRPr="00AB71A5">
        <w:rPr>
          <w:lang w:eastAsia="fr-FR" w:bidi="fr-FR"/>
        </w:rPr>
        <w:t>dent</w:t>
      </w:r>
      <w:r w:rsidRPr="00AB71A5">
        <w:rPr>
          <w:lang w:eastAsia="fr-FR" w:bidi="fr-FR"/>
        </w:rPr>
        <w:t>a</w:t>
      </w:r>
      <w:r w:rsidRPr="00AB71A5">
        <w:rPr>
          <w:lang w:eastAsia="fr-FR" w:bidi="fr-FR"/>
        </w:rPr>
        <w:t>les.)</w:t>
      </w:r>
    </w:p>
    <w:p w:rsidR="00A9729B" w:rsidRPr="00AB71A5" w:rsidRDefault="00A9729B" w:rsidP="00A9729B">
      <w:pPr>
        <w:spacing w:before="120" w:after="120"/>
        <w:jc w:val="both"/>
      </w:pPr>
      <w:r w:rsidRPr="00AB71A5">
        <w:rPr>
          <w:lang w:eastAsia="fr-FR" w:bidi="fr-FR"/>
        </w:rPr>
        <w:t>Les faits et objets que je range dans la classe des faits et objets culturels S-objectifs sont constitués par ce qui apparaît comme le co</w:t>
      </w:r>
      <w:r w:rsidRPr="00AB71A5">
        <w:rPr>
          <w:lang w:eastAsia="fr-FR" w:bidi="fr-FR"/>
        </w:rPr>
        <w:t>r</w:t>
      </w:r>
      <w:r w:rsidRPr="00AB71A5">
        <w:rPr>
          <w:lang w:eastAsia="fr-FR" w:bidi="fr-FR"/>
        </w:rPr>
        <w:t>rélât subjectif des faits et o</w:t>
      </w:r>
      <w:r w:rsidRPr="00AB71A5">
        <w:rPr>
          <w:lang w:eastAsia="fr-FR" w:bidi="fr-FR"/>
        </w:rPr>
        <w:t>b</w:t>
      </w:r>
      <w:r w:rsidRPr="00AB71A5">
        <w:rPr>
          <w:lang w:eastAsia="fr-FR" w:bidi="fr-FR"/>
        </w:rPr>
        <w:t>jets de la classe précédente. Ils résideront indifféremment en un certain nombre d’habitudes, de co</w:t>
      </w:r>
      <w:r w:rsidRPr="00AB71A5">
        <w:rPr>
          <w:lang w:eastAsia="fr-FR" w:bidi="fr-FR"/>
        </w:rPr>
        <w:t>m</w:t>
      </w:r>
      <w:r w:rsidRPr="00AB71A5">
        <w:rPr>
          <w:lang w:eastAsia="fr-FR" w:bidi="fr-FR"/>
        </w:rPr>
        <w:t>portements, de façon d’encoder l’expérience (sch</w:t>
      </w:r>
      <w:r w:rsidRPr="00AB71A5">
        <w:rPr>
          <w:lang w:eastAsia="fr-FR" w:bidi="fr-FR"/>
        </w:rPr>
        <w:t>é</w:t>
      </w:r>
      <w:r w:rsidRPr="00AB71A5">
        <w:rPr>
          <w:lang w:eastAsia="fr-FR" w:bidi="fr-FR"/>
        </w:rPr>
        <w:t>mas de pensée et d’interprétation) et de représent</w:t>
      </w:r>
      <w:r w:rsidRPr="00AB71A5">
        <w:rPr>
          <w:lang w:eastAsia="fr-FR" w:bidi="fr-FR"/>
        </w:rPr>
        <w:t>a</w:t>
      </w:r>
      <w:r w:rsidRPr="00AB71A5">
        <w:rPr>
          <w:lang w:eastAsia="fr-FR" w:bidi="fr-FR"/>
        </w:rPr>
        <w:t>tions, (valeurs, idées, etc.). On voit pourquoi j’utilise l’expression « S-objectifs » pour qualifier ces faits : par désir d’éviter tous les malentendus qui seraient enge</w:t>
      </w:r>
      <w:r w:rsidRPr="00AB71A5">
        <w:rPr>
          <w:lang w:eastAsia="fr-FR" w:bidi="fr-FR"/>
        </w:rPr>
        <w:t>n</w:t>
      </w:r>
      <w:r w:rsidRPr="00AB71A5">
        <w:rPr>
          <w:lang w:eastAsia="fr-FR" w:bidi="fr-FR"/>
        </w:rPr>
        <w:t>drés par le qualificatif de subje</w:t>
      </w:r>
      <w:r w:rsidRPr="00AB71A5">
        <w:rPr>
          <w:lang w:eastAsia="fr-FR" w:bidi="fr-FR"/>
        </w:rPr>
        <w:t>c</w:t>
      </w:r>
      <w:r w:rsidRPr="00AB71A5">
        <w:rPr>
          <w:lang w:eastAsia="fr-FR" w:bidi="fr-FR"/>
        </w:rPr>
        <w:t>tif que l’on pourrait leur attribuer et qui, trop souvent est perçu comme l’indice d’un défaut de réalité. Ce qui éma</w:t>
      </w:r>
      <w:r w:rsidRPr="00AB71A5">
        <w:rPr>
          <w:lang w:eastAsia="fr-FR" w:bidi="fr-FR"/>
        </w:rPr>
        <w:t>r</w:t>
      </w:r>
      <w:r w:rsidRPr="00AB71A5">
        <w:rPr>
          <w:lang w:eastAsia="fr-FR" w:bidi="fr-FR"/>
        </w:rPr>
        <w:t>ge au sujet</w:t>
      </w:r>
      <w:r>
        <w:rPr>
          <w:lang w:eastAsia="fr-FR" w:bidi="fr-FR"/>
        </w:rPr>
        <w:t> </w:t>
      </w:r>
      <w:r>
        <w:rPr>
          <w:rStyle w:val="Appelnotedebasdep"/>
          <w:lang w:eastAsia="fr-FR" w:bidi="fr-FR"/>
        </w:rPr>
        <w:footnoteReference w:id="9"/>
      </w:r>
      <w:r w:rsidRPr="00AB71A5">
        <w:rPr>
          <w:lang w:eastAsia="fr-FR" w:bidi="fr-FR"/>
        </w:rPr>
        <w:t xml:space="preserve"> n’est pas moins réel et objet de discours que le reste.</w:t>
      </w:r>
    </w:p>
    <w:p w:rsidR="00A9729B" w:rsidRPr="00AB71A5" w:rsidRDefault="00A9729B" w:rsidP="00A9729B">
      <w:pPr>
        <w:spacing w:before="120" w:after="120"/>
        <w:jc w:val="both"/>
      </w:pPr>
      <w:r w:rsidRPr="00AB71A5">
        <w:rPr>
          <w:lang w:eastAsia="fr-FR" w:bidi="fr-FR"/>
        </w:rPr>
        <w:t xml:space="preserve">La classe des faits S-objectifs se distingue de la précédente par un autre caractère. Alors que la classe des faits O-objectifs est une classe totalisante — elle subsume </w:t>
      </w:r>
      <w:r w:rsidRPr="00AB71A5">
        <w:t>tous</w:t>
      </w:r>
      <w:r w:rsidRPr="00AB71A5">
        <w:rPr>
          <w:lang w:eastAsia="fr-FR" w:bidi="fr-FR"/>
        </w:rPr>
        <w:t xml:space="preserve"> les faits qui sont susceptibles d’y e</w:t>
      </w:r>
      <w:r w:rsidRPr="00AB71A5">
        <w:rPr>
          <w:lang w:eastAsia="fr-FR" w:bidi="fr-FR"/>
        </w:rPr>
        <w:t>n</w:t>
      </w:r>
      <w:r w:rsidRPr="00AB71A5">
        <w:rPr>
          <w:lang w:eastAsia="fr-FR" w:bidi="fr-FR"/>
        </w:rPr>
        <w:t xml:space="preserve">trer — la classe des faits S-objectifs est obtenue à partir d’une </w:t>
      </w:r>
      <w:r w:rsidRPr="00AB71A5">
        <w:t>séle</w:t>
      </w:r>
      <w:r w:rsidRPr="00AB71A5">
        <w:t>c</w:t>
      </w:r>
      <w:r w:rsidRPr="00AB71A5">
        <w:t>tion</w:t>
      </w:r>
      <w:r w:rsidRPr="00AB71A5">
        <w:rPr>
          <w:lang w:eastAsia="fr-FR" w:bidi="fr-FR"/>
        </w:rPr>
        <w:t xml:space="preserve"> parmi la totalité des faits O-objectifs qui définissent objectiv</w:t>
      </w:r>
      <w:r w:rsidRPr="00AB71A5">
        <w:rPr>
          <w:lang w:eastAsia="fr-FR" w:bidi="fr-FR"/>
        </w:rPr>
        <w:t>e</w:t>
      </w:r>
      <w:r w:rsidRPr="00AB71A5">
        <w:rPr>
          <w:lang w:eastAsia="fr-FR" w:bidi="fr-FR"/>
        </w:rPr>
        <w:t>ment la culture et dont seule une partie infime, est diffusée suffisa</w:t>
      </w:r>
      <w:r w:rsidRPr="00AB71A5">
        <w:rPr>
          <w:lang w:eastAsia="fr-FR" w:bidi="fr-FR"/>
        </w:rPr>
        <w:t>m</w:t>
      </w:r>
      <w:r w:rsidRPr="00AB71A5">
        <w:rPr>
          <w:lang w:eastAsia="fr-FR" w:bidi="fr-FR"/>
        </w:rPr>
        <w:t>ment pour régler des comportements ou constituer un code co</w:t>
      </w:r>
      <w:r w:rsidRPr="00AB71A5">
        <w:rPr>
          <w:lang w:eastAsia="fr-FR" w:bidi="fr-FR"/>
        </w:rPr>
        <w:t>m</w:t>
      </w:r>
      <w:r w:rsidRPr="00AB71A5">
        <w:rPr>
          <w:lang w:eastAsia="fr-FR" w:bidi="fr-FR"/>
        </w:rPr>
        <w:t>mun.</w:t>
      </w:r>
    </w:p>
    <w:p w:rsidR="00A9729B" w:rsidRPr="00AB71A5" w:rsidRDefault="00A9729B" w:rsidP="00A9729B">
      <w:pPr>
        <w:spacing w:before="120" w:after="120"/>
        <w:jc w:val="both"/>
      </w:pPr>
      <w:r w:rsidRPr="00AB71A5">
        <w:rPr>
          <w:lang w:eastAsia="fr-FR" w:bidi="fr-FR"/>
        </w:rPr>
        <w:t>Il existe une troisième classe de faits culturels, que l’on peut répa</w:t>
      </w:r>
      <w:r w:rsidRPr="00AB71A5">
        <w:rPr>
          <w:lang w:eastAsia="fr-FR" w:bidi="fr-FR"/>
        </w:rPr>
        <w:t>r</w:t>
      </w:r>
      <w:r w:rsidRPr="00AB71A5">
        <w:rPr>
          <w:lang w:eastAsia="fr-FR" w:bidi="fr-FR"/>
        </w:rPr>
        <w:t>tir pour ce qui est de son existence effective — perceptible — à dive</w:t>
      </w:r>
      <w:r w:rsidRPr="00AB71A5">
        <w:rPr>
          <w:lang w:eastAsia="fr-FR" w:bidi="fr-FR"/>
        </w:rPr>
        <w:t>r</w:t>
      </w:r>
      <w:r w:rsidRPr="00AB71A5">
        <w:rPr>
          <w:lang w:eastAsia="fr-FR" w:bidi="fr-FR"/>
        </w:rPr>
        <w:t>ses instances des deux précédentes et qui cependant mérite une me</w:t>
      </w:r>
      <w:r w:rsidRPr="00AB71A5">
        <w:rPr>
          <w:lang w:eastAsia="fr-FR" w:bidi="fr-FR"/>
        </w:rPr>
        <w:t>n</w:t>
      </w:r>
      <w:r w:rsidRPr="00AB71A5">
        <w:rPr>
          <w:lang w:eastAsia="fr-FR" w:bidi="fr-FR"/>
        </w:rPr>
        <w:t>tion à part. Il s’agit des divers rapports ou relations qui organisent un univers cult</w:t>
      </w:r>
      <w:r w:rsidRPr="00AB71A5">
        <w:rPr>
          <w:lang w:eastAsia="fr-FR" w:bidi="fr-FR"/>
        </w:rPr>
        <w:t>u</w:t>
      </w:r>
      <w:r w:rsidRPr="00AB71A5">
        <w:rPr>
          <w:lang w:eastAsia="fr-FR" w:bidi="fr-FR"/>
        </w:rPr>
        <w:t>rel. Le problème des relations est notoirement difficile et nous ne pouvons lui réserver le traitement qu’il mérite. Pour l’essentiel, le problème consiste en ceci. Soit un rapport de</w:t>
      </w:r>
      <w:r>
        <w:rPr>
          <w:lang w:eastAsia="fr-FR" w:bidi="fr-FR"/>
        </w:rPr>
        <w:t xml:space="preserve"> [88] </w:t>
      </w:r>
      <w:r w:rsidRPr="00AB71A5">
        <w:rPr>
          <w:lang w:eastAsia="fr-FR" w:bidi="fr-FR"/>
        </w:rPr>
        <w:t>dom</w:t>
      </w:r>
      <w:r w:rsidRPr="00AB71A5">
        <w:rPr>
          <w:lang w:eastAsia="fr-FR" w:bidi="fr-FR"/>
        </w:rPr>
        <w:t>i</w:t>
      </w:r>
      <w:r w:rsidRPr="00AB71A5">
        <w:rPr>
          <w:lang w:eastAsia="fr-FR" w:bidi="fr-FR"/>
        </w:rPr>
        <w:t>nation entre A et B. On pourrait dire qu’il se manifeste par certains comportements de A envers B et vice-versa, qu’il e</w:t>
      </w:r>
      <w:r w:rsidRPr="00AB71A5">
        <w:rPr>
          <w:lang w:eastAsia="fr-FR" w:bidi="fr-FR"/>
        </w:rPr>
        <w:t>n</w:t>
      </w:r>
      <w:r w:rsidRPr="00AB71A5">
        <w:rPr>
          <w:lang w:eastAsia="fr-FR" w:bidi="fr-FR"/>
        </w:rPr>
        <w:t>gendre chez l’un et l’autre certaines représentations etc. Mais peut-on le r</w:t>
      </w:r>
      <w:r w:rsidRPr="00AB71A5">
        <w:rPr>
          <w:lang w:eastAsia="fr-FR" w:bidi="fr-FR"/>
        </w:rPr>
        <w:t>é</w:t>
      </w:r>
      <w:r w:rsidRPr="00AB71A5">
        <w:rPr>
          <w:lang w:eastAsia="fr-FR" w:bidi="fr-FR"/>
        </w:rPr>
        <w:t>duire à ces manife</w:t>
      </w:r>
      <w:r w:rsidRPr="00AB71A5">
        <w:rPr>
          <w:lang w:eastAsia="fr-FR" w:bidi="fr-FR"/>
        </w:rPr>
        <w:t>s</w:t>
      </w:r>
      <w:r w:rsidRPr="00AB71A5">
        <w:rPr>
          <w:lang w:eastAsia="fr-FR" w:bidi="fr-FR"/>
        </w:rPr>
        <w:t>tations empiriques ou psychiques et sinon, quelle existence lui a</w:t>
      </w:r>
      <w:r w:rsidRPr="00AB71A5">
        <w:rPr>
          <w:lang w:eastAsia="fr-FR" w:bidi="fr-FR"/>
        </w:rPr>
        <w:t>c</w:t>
      </w:r>
      <w:r w:rsidRPr="00AB71A5">
        <w:rPr>
          <w:lang w:eastAsia="fr-FR" w:bidi="fr-FR"/>
        </w:rPr>
        <w:t>corder ? Provisoirement, et pour pouvoir continuer d’opérer dans ce texte, nous allons effectuer la réduction du rapport à ses manifest</w:t>
      </w:r>
      <w:r w:rsidRPr="00AB71A5">
        <w:rPr>
          <w:lang w:eastAsia="fr-FR" w:bidi="fr-FR"/>
        </w:rPr>
        <w:t>a</w:t>
      </w:r>
      <w:r w:rsidRPr="00AB71A5">
        <w:rPr>
          <w:lang w:eastAsia="fr-FR" w:bidi="fr-FR"/>
        </w:rPr>
        <w:t>tions, tout en sachant à quel point elle est précaire.</w:t>
      </w:r>
    </w:p>
    <w:p w:rsidR="00A9729B" w:rsidRPr="00AB71A5" w:rsidRDefault="00A9729B" w:rsidP="00A9729B">
      <w:pPr>
        <w:spacing w:before="120" w:after="120"/>
        <w:jc w:val="both"/>
      </w:pPr>
      <w:r w:rsidRPr="00AB71A5">
        <w:rPr>
          <w:lang w:eastAsia="fr-FR" w:bidi="fr-FR"/>
        </w:rPr>
        <w:t>Cette conceptualité minimale ayant été mise en place, nous proc</w:t>
      </w:r>
      <w:r w:rsidRPr="00AB71A5">
        <w:rPr>
          <w:lang w:eastAsia="fr-FR" w:bidi="fr-FR"/>
        </w:rPr>
        <w:t>é</w:t>
      </w:r>
      <w:r w:rsidRPr="00AB71A5">
        <w:rPr>
          <w:lang w:eastAsia="fr-FR" w:bidi="fr-FR"/>
        </w:rPr>
        <w:t>derons à cette première rectification que nous annoncions précéde</w:t>
      </w:r>
      <w:r w:rsidRPr="00AB71A5">
        <w:rPr>
          <w:lang w:eastAsia="fr-FR" w:bidi="fr-FR"/>
        </w:rPr>
        <w:t>m</w:t>
      </w:r>
      <w:r w:rsidRPr="00AB71A5">
        <w:rPr>
          <w:lang w:eastAsia="fr-FR" w:bidi="fr-FR"/>
        </w:rPr>
        <w:t>ment. Il ne serait pas tout à fait faux de dire qu’en ph</w:t>
      </w:r>
      <w:r w:rsidRPr="00AB71A5">
        <w:rPr>
          <w:lang w:eastAsia="fr-FR" w:bidi="fr-FR"/>
        </w:rPr>
        <w:t>i</w:t>
      </w:r>
      <w:r w:rsidRPr="00AB71A5">
        <w:rPr>
          <w:lang w:eastAsia="fr-FR" w:bidi="fr-FR"/>
        </w:rPr>
        <w:t>losophie et dans beaucoup de disciplines et sciences humaines (par ex. en psychanal</w:t>
      </w:r>
      <w:r w:rsidRPr="00AB71A5">
        <w:rPr>
          <w:lang w:eastAsia="fr-FR" w:bidi="fr-FR"/>
        </w:rPr>
        <w:t>y</w:t>
      </w:r>
      <w:r w:rsidRPr="00AB71A5">
        <w:rPr>
          <w:lang w:eastAsia="fr-FR" w:bidi="fr-FR"/>
        </w:rPr>
        <w:t>se), la culture a surtout été pensée dans son essence abstraite — on a te</w:t>
      </w:r>
      <w:r w:rsidRPr="00AB71A5">
        <w:rPr>
          <w:lang w:eastAsia="fr-FR" w:bidi="fr-FR"/>
        </w:rPr>
        <w:t>n</w:t>
      </w:r>
      <w:r w:rsidRPr="00AB71A5">
        <w:rPr>
          <w:lang w:eastAsia="fr-FR" w:bidi="fr-FR"/>
        </w:rPr>
        <w:t xml:space="preserve">té d’en déterminer la quiddité — et, comme on confondait souvent l’analyse du concept de culture avec la désignation des référents du terme « culture », dans ses référents </w:t>
      </w:r>
      <w:r w:rsidRPr="004408C3">
        <w:rPr>
          <w:i/>
        </w:rPr>
        <w:t>S-objectifs</w:t>
      </w:r>
      <w:r w:rsidRPr="00AB71A5">
        <w:t xml:space="preserve"> </w:t>
      </w:r>
      <w:r w:rsidRPr="00AB71A5">
        <w:rPr>
          <w:lang w:eastAsia="fr-FR" w:bidi="fr-FR"/>
        </w:rPr>
        <w:t>dont on s’employait ensuite à décrire le contenu (description de représentations ou de co</w:t>
      </w:r>
      <w:r w:rsidRPr="00AB71A5">
        <w:rPr>
          <w:lang w:eastAsia="fr-FR" w:bidi="fr-FR"/>
        </w:rPr>
        <w:t>m</w:t>
      </w:r>
      <w:r w:rsidRPr="00AB71A5">
        <w:rPr>
          <w:lang w:eastAsia="fr-FR" w:bidi="fr-FR"/>
        </w:rPr>
        <w:t>portements). Dans les deux cas, traversant la culture au profit de son sens ou de ses contenus subjectifs, on manque ce qui est présu</w:t>
      </w:r>
      <w:r w:rsidRPr="00AB71A5">
        <w:rPr>
          <w:lang w:eastAsia="fr-FR" w:bidi="fr-FR"/>
        </w:rPr>
        <w:t>p</w:t>
      </w:r>
      <w:r w:rsidRPr="00AB71A5">
        <w:rPr>
          <w:lang w:eastAsia="fr-FR" w:bidi="fr-FR"/>
        </w:rPr>
        <w:t>posé à toutes ces analyses, à savoir, le fait brut de la culture, dont la massivité sa</w:t>
      </w:r>
      <w:r w:rsidRPr="00AB71A5">
        <w:rPr>
          <w:lang w:eastAsia="fr-FR" w:bidi="fr-FR"/>
        </w:rPr>
        <w:t>i</w:t>
      </w:r>
      <w:r w:rsidRPr="00AB71A5">
        <w:rPr>
          <w:lang w:eastAsia="fr-FR" w:bidi="fr-FR"/>
        </w:rPr>
        <w:t>sit quiconque porte son enquête vers l’ensemble des faits que nous avons qualifiés d’O-objectifs (les pr</w:t>
      </w:r>
      <w:r w:rsidRPr="00AB71A5">
        <w:rPr>
          <w:lang w:eastAsia="fr-FR" w:bidi="fr-FR"/>
        </w:rPr>
        <w:t>o</w:t>
      </w:r>
      <w:r w:rsidRPr="00AB71A5">
        <w:rPr>
          <w:lang w:eastAsia="fr-FR" w:bidi="fr-FR"/>
        </w:rPr>
        <w:t>duits et les signes). Or penser la factualité de la culture, c’est avant tout, co</w:t>
      </w:r>
      <w:r w:rsidRPr="00AB71A5">
        <w:rPr>
          <w:lang w:eastAsia="fr-FR" w:bidi="fr-FR"/>
        </w:rPr>
        <w:t>m</w:t>
      </w:r>
      <w:r w:rsidRPr="00AB71A5">
        <w:rPr>
          <w:lang w:eastAsia="fr-FR" w:bidi="fr-FR"/>
        </w:rPr>
        <w:t>me nous venons de le suggérer, penser la culture dans les catégories de ses manifest</w:t>
      </w:r>
      <w:r w:rsidRPr="00AB71A5">
        <w:rPr>
          <w:lang w:eastAsia="fr-FR" w:bidi="fr-FR"/>
        </w:rPr>
        <w:t>a</w:t>
      </w:r>
      <w:r w:rsidRPr="00AB71A5">
        <w:rPr>
          <w:lang w:eastAsia="fr-FR" w:bidi="fr-FR"/>
        </w:rPr>
        <w:t>tions empiriques — événements et lieux —, dans son existence mat</w:t>
      </w:r>
      <w:r w:rsidRPr="00AB71A5">
        <w:rPr>
          <w:lang w:eastAsia="fr-FR" w:bidi="fr-FR"/>
        </w:rPr>
        <w:t>é</w:t>
      </w:r>
      <w:r w:rsidRPr="00AB71A5">
        <w:rPr>
          <w:lang w:eastAsia="fr-FR" w:bidi="fr-FR"/>
        </w:rPr>
        <w:t xml:space="preserve">rielle et dans sa </w:t>
      </w:r>
      <w:r w:rsidRPr="004408C3">
        <w:rPr>
          <w:i/>
        </w:rPr>
        <w:t>masse </w:t>
      </w:r>
      <w:r w:rsidRPr="00AB71A5">
        <w:t>:</w:t>
      </w:r>
      <w:r w:rsidRPr="00AB71A5">
        <w:rPr>
          <w:lang w:eastAsia="fr-FR" w:bidi="fr-FR"/>
        </w:rPr>
        <w:t xml:space="preserve"> c’est donc la poser comme un processus qua</w:t>
      </w:r>
      <w:r w:rsidRPr="00AB71A5">
        <w:rPr>
          <w:lang w:eastAsia="fr-FR" w:bidi="fr-FR"/>
        </w:rPr>
        <w:t>n</w:t>
      </w:r>
      <w:r w:rsidRPr="00AB71A5">
        <w:rPr>
          <w:lang w:eastAsia="fr-FR" w:bidi="fr-FR"/>
        </w:rPr>
        <w:t>titatif, dont il faut tenter de mes</w:t>
      </w:r>
      <w:r w:rsidRPr="00AB71A5">
        <w:rPr>
          <w:lang w:eastAsia="fr-FR" w:bidi="fr-FR"/>
        </w:rPr>
        <w:t>u</w:t>
      </w:r>
      <w:r w:rsidRPr="00AB71A5">
        <w:rPr>
          <w:lang w:eastAsia="fr-FR" w:bidi="fr-FR"/>
        </w:rPr>
        <w:t>rer l’ampleur.</w:t>
      </w:r>
    </w:p>
    <w:p w:rsidR="00A9729B" w:rsidRPr="00AB71A5" w:rsidRDefault="00A9729B" w:rsidP="00A9729B">
      <w:pPr>
        <w:spacing w:before="120" w:after="120"/>
        <w:jc w:val="both"/>
      </w:pPr>
      <w:r w:rsidRPr="00AB71A5">
        <w:rPr>
          <w:lang w:eastAsia="fr-FR" w:bidi="fr-FR"/>
        </w:rPr>
        <w:t>Il est par ailleurs important de voir que la masse ou quantité cult</w:t>
      </w:r>
      <w:r w:rsidRPr="00AB71A5">
        <w:rPr>
          <w:lang w:eastAsia="fr-FR" w:bidi="fr-FR"/>
        </w:rPr>
        <w:t>u</w:t>
      </w:r>
      <w:r w:rsidRPr="00AB71A5">
        <w:rPr>
          <w:lang w:eastAsia="fr-FR" w:bidi="fr-FR"/>
        </w:rPr>
        <w:t>relle, conformément à une distinction préalablement établie est do</w:t>
      </w:r>
      <w:r w:rsidRPr="00AB71A5">
        <w:rPr>
          <w:lang w:eastAsia="fr-FR" w:bidi="fr-FR"/>
        </w:rPr>
        <w:t>u</w:t>
      </w:r>
      <w:r w:rsidRPr="00AB71A5">
        <w:rPr>
          <w:lang w:eastAsia="fr-FR" w:bidi="fr-FR"/>
        </w:rPr>
        <w:t>ble. On trouve d’une part, et de façon peut-être plus imm</w:t>
      </w:r>
      <w:r w:rsidRPr="00AB71A5">
        <w:rPr>
          <w:lang w:eastAsia="fr-FR" w:bidi="fr-FR"/>
        </w:rPr>
        <w:t>é</w:t>
      </w:r>
      <w:r w:rsidRPr="00AB71A5">
        <w:rPr>
          <w:lang w:eastAsia="fr-FR" w:bidi="fr-FR"/>
        </w:rPr>
        <w:t>diate, la masse des faits qualifiés plus haut d’O-objectifs. Par exemple, la ma</w:t>
      </w:r>
      <w:r w:rsidRPr="00AB71A5">
        <w:rPr>
          <w:lang w:eastAsia="fr-FR" w:bidi="fr-FR"/>
        </w:rPr>
        <w:t>s</w:t>
      </w:r>
      <w:r w:rsidRPr="00AB71A5">
        <w:rPr>
          <w:lang w:eastAsia="fr-FR" w:bidi="fr-FR"/>
        </w:rPr>
        <w:t>se des livres, journaux, revues et autres colle</w:t>
      </w:r>
      <w:r w:rsidRPr="00AB71A5">
        <w:rPr>
          <w:lang w:eastAsia="fr-FR" w:bidi="fr-FR"/>
        </w:rPr>
        <w:t>c</w:t>
      </w:r>
      <w:r w:rsidRPr="00AB71A5">
        <w:rPr>
          <w:lang w:eastAsia="fr-FR" w:bidi="fr-FR"/>
        </w:rPr>
        <w:t>tions de marques. Mais on ne saurait négl</w:t>
      </w:r>
      <w:r w:rsidRPr="00AB71A5">
        <w:rPr>
          <w:lang w:eastAsia="fr-FR" w:bidi="fr-FR"/>
        </w:rPr>
        <w:t>i</w:t>
      </w:r>
      <w:r w:rsidRPr="00AB71A5">
        <w:rPr>
          <w:lang w:eastAsia="fr-FR" w:bidi="fr-FR"/>
        </w:rPr>
        <w:t xml:space="preserve">ger d’apprécier avec autant de soin la quantité des faits culturels S-objectifs, qui est une fonction directe de la masse des marques (O-objectives). </w:t>
      </w:r>
      <w:r>
        <w:rPr>
          <w:lang w:eastAsia="fr-FR" w:bidi="fr-FR"/>
        </w:rPr>
        <w:t>À</w:t>
      </w:r>
      <w:r w:rsidRPr="00AB71A5">
        <w:rPr>
          <w:lang w:eastAsia="fr-FR" w:bidi="fr-FR"/>
        </w:rPr>
        <w:t xml:space="preserve"> la multiplication des marques r</w:t>
      </w:r>
      <w:r w:rsidRPr="00AB71A5">
        <w:rPr>
          <w:lang w:eastAsia="fr-FR" w:bidi="fr-FR"/>
        </w:rPr>
        <w:t>é</w:t>
      </w:r>
      <w:r w:rsidRPr="00AB71A5">
        <w:rPr>
          <w:lang w:eastAsia="fr-FR" w:bidi="fr-FR"/>
        </w:rPr>
        <w:t>pondent celles des contenus de sens qu’elles portent. C’est surtout cette derni</w:t>
      </w:r>
      <w:r w:rsidRPr="00AB71A5">
        <w:rPr>
          <w:lang w:eastAsia="fr-FR" w:bidi="fr-FR"/>
        </w:rPr>
        <w:t>è</w:t>
      </w:r>
      <w:r w:rsidRPr="00AB71A5">
        <w:rPr>
          <w:lang w:eastAsia="fr-FR" w:bidi="fr-FR"/>
        </w:rPr>
        <w:t>re qui va maintenant nous requérir. Le vœu général d’une appréhe</w:t>
      </w:r>
      <w:r w:rsidRPr="00AB71A5">
        <w:rPr>
          <w:lang w:eastAsia="fr-FR" w:bidi="fr-FR"/>
        </w:rPr>
        <w:t>n</w:t>
      </w:r>
      <w:r w:rsidRPr="00AB71A5">
        <w:rPr>
          <w:lang w:eastAsia="fr-FR" w:bidi="fr-FR"/>
        </w:rPr>
        <w:t>sion de la culture comme un processus quantitatif,</w:t>
      </w:r>
      <w:r>
        <w:rPr>
          <w:lang w:eastAsia="fr-FR" w:bidi="fr-FR"/>
        </w:rPr>
        <w:t xml:space="preserve"> [89] </w:t>
      </w:r>
      <w:r w:rsidRPr="00AB71A5">
        <w:rPr>
          <w:lang w:eastAsia="fr-FR" w:bidi="fr-FR"/>
        </w:rPr>
        <w:t>n’est pas en soi innovateur. Il constitue le fond de l’approche des théoriciens de l’information. Par ailleurs, l’affirmation du c</w:t>
      </w:r>
      <w:r w:rsidRPr="00AB71A5">
        <w:rPr>
          <w:lang w:eastAsia="fr-FR" w:bidi="fr-FR"/>
        </w:rPr>
        <w:t>a</w:t>
      </w:r>
      <w:r w:rsidRPr="00AB71A5">
        <w:rPr>
          <w:lang w:eastAsia="fr-FR" w:bidi="fr-FR"/>
        </w:rPr>
        <w:t>ractère extérieurement composite — multiple — de notre culture constitue mai</w:t>
      </w:r>
      <w:r w:rsidRPr="00AB71A5">
        <w:rPr>
          <w:lang w:eastAsia="fr-FR" w:bidi="fr-FR"/>
        </w:rPr>
        <w:t>n</w:t>
      </w:r>
      <w:r w:rsidRPr="00AB71A5">
        <w:rPr>
          <w:lang w:eastAsia="fr-FR" w:bidi="fr-FR"/>
        </w:rPr>
        <w:t>tenant un lieu commun de la réflexion. Mais à part les travaux entrepris par ceux qui se réclament de la théorie de l’information et outre la remarque très g</w:t>
      </w:r>
      <w:r w:rsidRPr="00AB71A5">
        <w:rPr>
          <w:lang w:eastAsia="fr-FR" w:bidi="fr-FR"/>
        </w:rPr>
        <w:t>é</w:t>
      </w:r>
      <w:r w:rsidRPr="00AB71A5">
        <w:rPr>
          <w:lang w:eastAsia="fr-FR" w:bidi="fr-FR"/>
        </w:rPr>
        <w:t>nérale qu’énonce la phrase précédente, l’approche quantitative a donné lieu à assez peu de recherches explicites — qui quittent le n</w:t>
      </w:r>
      <w:r w:rsidRPr="00AB71A5">
        <w:rPr>
          <w:lang w:eastAsia="fr-FR" w:bidi="fr-FR"/>
        </w:rPr>
        <w:t>i</w:t>
      </w:r>
      <w:r w:rsidRPr="00AB71A5">
        <w:rPr>
          <w:lang w:eastAsia="fr-FR" w:bidi="fr-FR"/>
        </w:rPr>
        <w:t>veau de l’énoncé général pour tenter de voir comment ce de</w:t>
      </w:r>
      <w:r w:rsidRPr="00AB71A5">
        <w:rPr>
          <w:lang w:eastAsia="fr-FR" w:bidi="fr-FR"/>
        </w:rPr>
        <w:t>r</w:t>
      </w:r>
      <w:r w:rsidRPr="00AB71A5">
        <w:rPr>
          <w:lang w:eastAsia="fr-FR" w:bidi="fr-FR"/>
        </w:rPr>
        <w:t>nier est réalisé dans des objets particuliers — .</w:t>
      </w:r>
    </w:p>
    <w:p w:rsidR="00A9729B" w:rsidRPr="00AB71A5" w:rsidRDefault="00A9729B" w:rsidP="00A9729B">
      <w:pPr>
        <w:spacing w:before="120" w:after="120"/>
        <w:jc w:val="both"/>
      </w:pPr>
      <w:r w:rsidRPr="00AB71A5">
        <w:rPr>
          <w:lang w:eastAsia="fr-FR" w:bidi="fr-FR"/>
        </w:rPr>
        <w:t>Pour produire autre chose que des constats gén</w:t>
      </w:r>
      <w:r w:rsidRPr="00AB71A5">
        <w:rPr>
          <w:lang w:eastAsia="fr-FR" w:bidi="fr-FR"/>
        </w:rPr>
        <w:t>é</w:t>
      </w:r>
      <w:r w:rsidRPr="00AB71A5">
        <w:rPr>
          <w:lang w:eastAsia="fr-FR" w:bidi="fr-FR"/>
        </w:rPr>
        <w:t>raux, l’approche quantitative doit, à l’instar de la théorie de l’information, se compl</w:t>
      </w:r>
      <w:r w:rsidRPr="00AB71A5">
        <w:rPr>
          <w:lang w:eastAsia="fr-FR" w:bidi="fr-FR"/>
        </w:rPr>
        <w:t>i</w:t>
      </w:r>
      <w:r w:rsidRPr="00AB71A5">
        <w:rPr>
          <w:lang w:eastAsia="fr-FR" w:bidi="fr-FR"/>
        </w:rPr>
        <w:t>quer de quelques hypothèses et autres énoncés théoriques qui lui pe</w:t>
      </w:r>
      <w:r w:rsidRPr="00AB71A5">
        <w:rPr>
          <w:lang w:eastAsia="fr-FR" w:bidi="fr-FR"/>
        </w:rPr>
        <w:t>r</w:t>
      </w:r>
      <w:r w:rsidRPr="00AB71A5">
        <w:rPr>
          <w:lang w:eastAsia="fr-FR" w:bidi="fr-FR"/>
        </w:rPr>
        <w:t>mettent de spécifier ses énoncés. L’opération la plus immédiate à l</w:t>
      </w:r>
      <w:r w:rsidRPr="00AB71A5">
        <w:rPr>
          <w:lang w:eastAsia="fr-FR" w:bidi="fr-FR"/>
        </w:rPr>
        <w:t>a</w:t>
      </w:r>
      <w:r w:rsidRPr="00AB71A5">
        <w:rPr>
          <w:lang w:eastAsia="fr-FR" w:bidi="fr-FR"/>
        </w:rPr>
        <w:t>quelle puisse donner lieu une approche par la quantité est un déno</w:t>
      </w:r>
      <w:r w:rsidRPr="00AB71A5">
        <w:rPr>
          <w:lang w:eastAsia="fr-FR" w:bidi="fr-FR"/>
        </w:rPr>
        <w:t>m</w:t>
      </w:r>
      <w:r w:rsidRPr="00AB71A5">
        <w:rPr>
          <w:lang w:eastAsia="fr-FR" w:bidi="fr-FR"/>
        </w:rPr>
        <w:t>brement.</w:t>
      </w:r>
      <w:r>
        <w:rPr>
          <w:lang w:eastAsia="fr-FR" w:bidi="fr-FR"/>
        </w:rPr>
        <w:t> </w:t>
      </w:r>
      <w:r>
        <w:rPr>
          <w:rStyle w:val="Appelnotedebasdep"/>
          <w:lang w:eastAsia="fr-FR" w:bidi="fr-FR"/>
        </w:rPr>
        <w:footnoteReference w:id="10"/>
      </w:r>
      <w:r w:rsidRPr="00AB71A5">
        <w:rPr>
          <w:lang w:eastAsia="fr-FR" w:bidi="fr-FR"/>
        </w:rPr>
        <w:t xml:space="preserve"> Celui-ci produit un certain nombre de types discrets (cult</w:t>
      </w:r>
      <w:r w:rsidRPr="00AB71A5">
        <w:rPr>
          <w:lang w:eastAsia="fr-FR" w:bidi="fr-FR"/>
        </w:rPr>
        <w:t>u</w:t>
      </w:r>
      <w:r w:rsidRPr="00AB71A5">
        <w:rPr>
          <w:lang w:eastAsia="fr-FR" w:bidi="fr-FR"/>
        </w:rPr>
        <w:t>rèmes), qui constituent autant de patrons d’occurrence. On peut dre</w:t>
      </w:r>
      <w:r w:rsidRPr="00AB71A5">
        <w:rPr>
          <w:lang w:eastAsia="fr-FR" w:bidi="fr-FR"/>
        </w:rPr>
        <w:t>s</w:t>
      </w:r>
      <w:r w:rsidRPr="00AB71A5">
        <w:rPr>
          <w:lang w:eastAsia="fr-FR" w:bidi="fr-FR"/>
        </w:rPr>
        <w:t>ser la liste de ces culturèmes, ou encore les aligner en une série di</w:t>
      </w:r>
      <w:r w:rsidRPr="00AB71A5">
        <w:rPr>
          <w:lang w:eastAsia="fr-FR" w:bidi="fr-FR"/>
        </w:rPr>
        <w:t>s</w:t>
      </w:r>
      <w:r w:rsidRPr="00AB71A5">
        <w:rPr>
          <w:lang w:eastAsia="fr-FR" w:bidi="fr-FR"/>
        </w:rPr>
        <w:t>jonct</w:t>
      </w:r>
      <w:r w:rsidRPr="00AB71A5">
        <w:rPr>
          <w:lang w:eastAsia="fr-FR" w:bidi="fr-FR"/>
        </w:rPr>
        <w:t>i</w:t>
      </w:r>
      <w:r w:rsidRPr="00AB71A5">
        <w:rPr>
          <w:lang w:eastAsia="fr-FR" w:bidi="fr-FR"/>
        </w:rPr>
        <w:t>ve comme celle qui suit :</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Pr>
          <w:lang w:eastAsia="fr-FR" w:bidi="fr-FR"/>
        </w:rPr>
        <w:t>[</w:t>
      </w:r>
      <w:r w:rsidRPr="00AB71A5">
        <w:rPr>
          <w:lang w:eastAsia="fr-FR" w:bidi="fr-FR"/>
        </w:rPr>
        <w:t xml:space="preserve"> (Ex) C</w:t>
      </w:r>
      <w:r>
        <w:rPr>
          <w:vertAlign w:val="subscript"/>
          <w:lang w:eastAsia="fr-FR" w:bidi="fr-FR"/>
        </w:rPr>
        <w:t>1</w:t>
      </w:r>
      <w:r w:rsidRPr="00AB71A5">
        <w:rPr>
          <w:lang w:eastAsia="fr-FR" w:bidi="fr-FR"/>
        </w:rPr>
        <w:t xml:space="preserve"> (x) . (Ex) C</w:t>
      </w:r>
      <w:r w:rsidRPr="00AB71A5">
        <w:rPr>
          <w:vertAlign w:val="subscript"/>
          <w:lang w:eastAsia="fr-FR" w:bidi="fr-FR"/>
        </w:rPr>
        <w:t>2</w:t>
      </w:r>
      <w:r w:rsidRPr="00AB71A5">
        <w:rPr>
          <w:lang w:eastAsia="fr-FR" w:bidi="fr-FR"/>
        </w:rPr>
        <w:t xml:space="preserve"> (x). (Ex) C</w:t>
      </w:r>
      <w:r w:rsidRPr="00AB71A5">
        <w:rPr>
          <w:vertAlign w:val="subscript"/>
          <w:lang w:eastAsia="fr-FR" w:bidi="fr-FR"/>
        </w:rPr>
        <w:t>3</w:t>
      </w:r>
      <w:r>
        <w:rPr>
          <w:lang w:eastAsia="fr-FR" w:bidi="fr-FR"/>
        </w:rPr>
        <w:t xml:space="preserve"> (x) …… (Ex) C (x) ]</w:t>
      </w:r>
      <w:r w:rsidRPr="00AB71A5">
        <w:rPr>
          <w:lang w:eastAsia="fr-FR" w:bidi="fr-FR"/>
        </w:rPr>
        <w:t>.</w:t>
      </w:r>
    </w:p>
    <w:p w:rsidR="00A9729B" w:rsidRPr="00AB71A5" w:rsidRDefault="00A9729B" w:rsidP="00A9729B">
      <w:pPr>
        <w:spacing w:before="120" w:after="120"/>
        <w:jc w:val="both"/>
      </w:pPr>
      <w:r>
        <w:rPr>
          <w:lang w:eastAsia="fr-FR" w:bidi="fr-FR"/>
        </w:rPr>
        <w:t xml:space="preserve">[ </w:t>
      </w:r>
      <w:r w:rsidRPr="00AB71A5">
        <w:rPr>
          <w:lang w:eastAsia="fr-FR" w:bidi="fr-FR"/>
        </w:rPr>
        <w:t>(x) :</w:t>
      </w:r>
      <w:r>
        <w:rPr>
          <w:lang w:eastAsia="fr-FR" w:bidi="fr-FR"/>
        </w:rPr>
        <w:t xml:space="preserve"> x E P]</w:t>
      </w:r>
      <w:r w:rsidRPr="00AB71A5">
        <w:rPr>
          <w:lang w:eastAsia="fr-FR" w:bidi="fr-FR"/>
        </w:rPr>
        <w:t xml:space="preserve"> . </w:t>
      </w:r>
      <w:r>
        <w:rPr>
          <w:lang w:eastAsia="fr-FR" w:bidi="fr-FR"/>
        </w:rPr>
        <w:t>[</w:t>
      </w:r>
      <w:r w:rsidRPr="00AB71A5">
        <w:rPr>
          <w:lang w:eastAsia="fr-FR" w:bidi="fr-FR"/>
        </w:rPr>
        <w:t xml:space="preserve"> (x</w:t>
      </w:r>
      <w:r w:rsidRPr="004408C3">
        <w:rPr>
          <w:vertAlign w:val="subscript"/>
          <w:lang w:eastAsia="fr-FR" w:bidi="fr-FR"/>
        </w:rPr>
        <w:t>p</w:t>
      </w:r>
      <w:r w:rsidRPr="00AB71A5">
        <w:rPr>
          <w:lang w:eastAsia="fr-FR" w:bidi="fr-FR"/>
        </w:rPr>
        <w:t xml:space="preserve"> ) : C</w:t>
      </w:r>
      <w:r w:rsidRPr="004408C3">
        <w:rPr>
          <w:vertAlign w:val="subscript"/>
          <w:lang w:eastAsia="fr-FR" w:bidi="fr-FR"/>
        </w:rPr>
        <w:t>1</w:t>
      </w:r>
      <w:r w:rsidRPr="00AB71A5">
        <w:rPr>
          <w:lang w:eastAsia="fr-FR" w:bidi="fr-FR"/>
        </w:rPr>
        <w:t xml:space="preserve"> (x) V C</w:t>
      </w:r>
      <w:r w:rsidRPr="00AB71A5">
        <w:rPr>
          <w:vertAlign w:val="subscript"/>
          <w:lang w:eastAsia="fr-FR" w:bidi="fr-FR"/>
        </w:rPr>
        <w:t>2</w:t>
      </w:r>
      <w:r w:rsidRPr="00AB71A5">
        <w:rPr>
          <w:lang w:eastAsia="fr-FR" w:bidi="fr-FR"/>
        </w:rPr>
        <w:t xml:space="preserve"> (x) V C</w:t>
      </w:r>
      <w:r w:rsidRPr="00AB71A5">
        <w:rPr>
          <w:vertAlign w:val="subscript"/>
          <w:lang w:eastAsia="fr-FR" w:bidi="fr-FR"/>
        </w:rPr>
        <w:t>3</w:t>
      </w:r>
      <w:r w:rsidRPr="00AB71A5">
        <w:rPr>
          <w:lang w:eastAsia="fr-FR" w:bidi="fr-FR"/>
        </w:rPr>
        <w:t xml:space="preserve"> (x)</w:t>
      </w:r>
      <w:r>
        <w:rPr>
          <w:lang w:eastAsia="fr-FR" w:bidi="fr-FR"/>
        </w:rPr>
        <w:t xml:space="preserve"> …… </w:t>
      </w:r>
      <w:r w:rsidRPr="00AB71A5">
        <w:rPr>
          <w:lang w:eastAsia="fr-FR" w:bidi="fr-FR"/>
        </w:rPr>
        <w:t>V</w:t>
      </w:r>
      <w:r w:rsidRPr="004408C3">
        <w:rPr>
          <w:vertAlign w:val="superscript"/>
          <w:lang w:eastAsia="fr-FR" w:bidi="fr-FR"/>
        </w:rPr>
        <w:t>h</w:t>
      </w:r>
      <w:r w:rsidRPr="00AB71A5">
        <w:rPr>
          <w:lang w:eastAsia="fr-FR" w:bidi="fr-FR"/>
        </w:rPr>
        <w:t xml:space="preserve"> C</w:t>
      </w:r>
      <w:r w:rsidRPr="004408C3">
        <w:rPr>
          <w:vertAlign w:val="subscript"/>
          <w:lang w:eastAsia="fr-FR" w:bidi="fr-FR"/>
        </w:rPr>
        <w:t>b</w:t>
      </w:r>
      <w:r w:rsidRPr="00AB71A5">
        <w:rPr>
          <w:lang w:eastAsia="fr-FR" w:bidi="fr-FR"/>
        </w:rPr>
        <w:t xml:space="preserve"> (x) </w:t>
      </w:r>
      <w:r>
        <w:rPr>
          <w:lang w:eastAsia="fr-FR" w:bidi="fr-FR"/>
        </w:rPr>
        <w:t>]</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L’interprétation, assez simple, de cette formule est la suivante : il existe un culturème de type C</w:t>
      </w:r>
      <w:r w:rsidRPr="00AB71A5">
        <w:rPr>
          <w:vertAlign w:val="subscript"/>
          <w:lang w:eastAsia="fr-FR" w:bidi="fr-FR"/>
        </w:rPr>
        <w:t>l</w:t>
      </w:r>
      <w:r>
        <w:rPr>
          <w:lang w:eastAsia="fr-FR" w:bidi="fr-FR"/>
        </w:rPr>
        <w:t xml:space="preserve">, </w:t>
      </w:r>
      <w:r w:rsidRPr="00AB71A5">
        <w:rPr>
          <w:lang w:eastAsia="fr-FR" w:bidi="fr-FR"/>
        </w:rPr>
        <w:t>un culturème de type C</w:t>
      </w:r>
      <w:r w:rsidRPr="00AB71A5">
        <w:rPr>
          <w:vertAlign w:val="subscript"/>
          <w:lang w:eastAsia="fr-FR" w:bidi="fr-FR"/>
        </w:rPr>
        <w:t>2</w:t>
      </w:r>
      <w:r w:rsidRPr="00AB71A5">
        <w:rPr>
          <w:lang w:eastAsia="fr-FR" w:bidi="fr-FR"/>
        </w:rPr>
        <w:t>, un culturème</w:t>
      </w:r>
      <w:r>
        <w:rPr>
          <w:lang w:eastAsia="fr-FR" w:bidi="fr-FR"/>
        </w:rPr>
        <w:t xml:space="preserve"> </w:t>
      </w:r>
      <w:r w:rsidRPr="00AB71A5">
        <w:rPr>
          <w:lang w:eastAsia="fr-FR" w:bidi="fr-FR"/>
        </w:rPr>
        <w:t>de type C</w:t>
      </w:r>
      <w:r w:rsidRPr="00AB71A5">
        <w:rPr>
          <w:vertAlign w:val="subscript"/>
          <w:lang w:eastAsia="fr-FR" w:bidi="fr-FR"/>
        </w:rPr>
        <w:t>3</w:t>
      </w:r>
      <w:r w:rsidRPr="00AB71A5">
        <w:rPr>
          <w:lang w:eastAsia="fr-FR" w:bidi="fr-FR"/>
        </w:rPr>
        <w:tab/>
        <w:t>etc., tous ces culturèmes font pa</w:t>
      </w:r>
      <w:r w:rsidRPr="00AB71A5">
        <w:rPr>
          <w:lang w:eastAsia="fr-FR" w:bidi="fr-FR"/>
        </w:rPr>
        <w:t>r</w:t>
      </w:r>
      <w:r w:rsidRPr="00AB71A5">
        <w:rPr>
          <w:lang w:eastAsia="fr-FR" w:bidi="fr-FR"/>
        </w:rPr>
        <w:t>tie de l’ensemble P</w:t>
      </w:r>
      <w:r>
        <w:rPr>
          <w:lang w:eastAsia="fr-FR" w:bidi="fr-FR"/>
        </w:rPr>
        <w:t xml:space="preserve"> </w:t>
      </w:r>
      <w:r w:rsidRPr="00AB71A5">
        <w:rPr>
          <w:lang w:eastAsia="fr-FR" w:bidi="fr-FR"/>
        </w:rPr>
        <w:t>et tous les cultur</w:t>
      </w:r>
      <w:r w:rsidRPr="00AB71A5">
        <w:rPr>
          <w:lang w:eastAsia="fr-FR" w:bidi="fr-FR"/>
        </w:rPr>
        <w:t>è</w:t>
      </w:r>
      <w:r w:rsidRPr="00AB71A5">
        <w:rPr>
          <w:lang w:eastAsia="fr-FR" w:bidi="fr-FR"/>
        </w:rPr>
        <w:t>mes faisant partie de l’ensemble P sont ou bien</w:t>
      </w:r>
      <w:r>
        <w:rPr>
          <w:lang w:eastAsia="fr-FR" w:bidi="fr-FR"/>
        </w:rPr>
        <w:t xml:space="preserve"> </w:t>
      </w:r>
      <w:r w:rsidRPr="00AB71A5">
        <w:rPr>
          <w:lang w:eastAsia="fr-FR" w:bidi="fr-FR"/>
        </w:rPr>
        <w:t>du type C</w:t>
      </w:r>
      <w:r>
        <w:rPr>
          <w:vertAlign w:val="subscript"/>
          <w:lang w:eastAsia="fr-FR" w:bidi="fr-FR"/>
        </w:rPr>
        <w:t>1</w:t>
      </w:r>
      <w:r>
        <w:rPr>
          <w:lang w:eastAsia="fr-FR" w:bidi="fr-FR"/>
        </w:rPr>
        <w:t xml:space="preserve">, </w:t>
      </w:r>
      <w:r w:rsidRPr="00AB71A5">
        <w:rPr>
          <w:lang w:eastAsia="fr-FR" w:bidi="fr-FR"/>
        </w:rPr>
        <w:t>ou bien du type C</w:t>
      </w:r>
      <w:r w:rsidRPr="00AB71A5">
        <w:rPr>
          <w:vertAlign w:val="subscript"/>
          <w:lang w:eastAsia="fr-FR" w:bidi="fr-FR"/>
        </w:rPr>
        <w:t>2</w:t>
      </w:r>
      <w:r w:rsidRPr="00AB71A5">
        <w:rPr>
          <w:lang w:eastAsia="fr-FR" w:bidi="fr-FR"/>
        </w:rPr>
        <w:t>, ou bien du type C</w:t>
      </w:r>
      <w:r w:rsidRPr="00AB71A5">
        <w:rPr>
          <w:vertAlign w:val="subscript"/>
          <w:lang w:eastAsia="fr-FR" w:bidi="fr-FR"/>
        </w:rPr>
        <w:t>3</w:t>
      </w:r>
      <w:r>
        <w:rPr>
          <w:lang w:eastAsia="fr-FR" w:bidi="fr-FR"/>
        </w:rPr>
        <w:t xml:space="preserve"> …….. </w:t>
      </w:r>
      <w:r w:rsidRPr="00AB71A5">
        <w:rPr>
          <w:lang w:eastAsia="fr-FR" w:bidi="fr-FR"/>
        </w:rPr>
        <w:t>ou bien</w:t>
      </w:r>
      <w:r>
        <w:rPr>
          <w:lang w:eastAsia="fr-FR" w:bidi="fr-FR"/>
        </w:rPr>
        <w:t xml:space="preserve"> </w:t>
      </w:r>
      <w:r w:rsidRPr="00AB71A5">
        <w:rPr>
          <w:lang w:eastAsia="fr-FR" w:bidi="fr-FR"/>
        </w:rPr>
        <w:t>du type C</w:t>
      </w:r>
      <w:r w:rsidRPr="004408C3">
        <w:rPr>
          <w:vertAlign w:val="subscript"/>
          <w:lang w:eastAsia="fr-FR" w:bidi="fr-FR"/>
        </w:rPr>
        <w:t>n</w:t>
      </w:r>
      <w:r w:rsidRPr="00AB71A5">
        <w:rPr>
          <w:lang w:eastAsia="fr-FR" w:bidi="fr-FR"/>
        </w:rPr>
        <w:t>. En abrégé : l’ensemble c</w:t>
      </w:r>
      <w:r>
        <w:rPr>
          <w:lang w:eastAsia="fr-FR" w:bidi="fr-FR"/>
        </w:rPr>
        <w:t>ulturel (la culture) P est cons</w:t>
      </w:r>
      <w:r w:rsidRPr="00AB71A5">
        <w:rPr>
          <w:lang w:eastAsia="fr-FR" w:bidi="fr-FR"/>
        </w:rPr>
        <w:t>titué par les culturèmes C</w:t>
      </w:r>
      <w:r w:rsidRPr="00AB71A5">
        <w:rPr>
          <w:vertAlign w:val="subscript"/>
          <w:lang w:eastAsia="fr-FR" w:bidi="fr-FR"/>
        </w:rPr>
        <w:t>1 ?</w:t>
      </w:r>
      <w:r w:rsidRPr="00AB71A5">
        <w:rPr>
          <w:lang w:eastAsia="fr-FR" w:bidi="fr-FR"/>
        </w:rPr>
        <w:t xml:space="preserve"> C</w:t>
      </w:r>
      <w:r w:rsidRPr="00AB71A5">
        <w:rPr>
          <w:vertAlign w:val="subscript"/>
          <w:lang w:eastAsia="fr-FR" w:bidi="fr-FR"/>
        </w:rPr>
        <w:t>2</w:t>
      </w:r>
      <w:r w:rsidRPr="00AB71A5">
        <w:rPr>
          <w:lang w:eastAsia="fr-FR" w:bidi="fr-FR"/>
        </w:rPr>
        <w:t>, C</w:t>
      </w:r>
      <w:r w:rsidRPr="00AB71A5">
        <w:rPr>
          <w:vertAlign w:val="subscript"/>
          <w:lang w:eastAsia="fr-FR" w:bidi="fr-FR"/>
        </w:rPr>
        <w:t>3</w:t>
      </w:r>
      <w:r>
        <w:rPr>
          <w:lang w:eastAsia="fr-FR" w:bidi="fr-FR"/>
        </w:rPr>
        <w:t xml:space="preserve"> …….. </w:t>
      </w:r>
      <w:r w:rsidRPr="00AB71A5">
        <w:rPr>
          <w:lang w:eastAsia="fr-FR" w:bidi="fr-FR"/>
        </w:rPr>
        <w:t>C</w:t>
      </w:r>
      <w:r w:rsidRPr="009079EE">
        <w:rPr>
          <w:vertAlign w:val="subscript"/>
          <w:lang w:eastAsia="fr-FR" w:bidi="fr-FR"/>
        </w:rPr>
        <w:t>n</w:t>
      </w:r>
      <w:r w:rsidRPr="00AB71A5">
        <w:rPr>
          <w:lang w:eastAsia="fr-FR" w:bidi="fr-FR"/>
        </w:rPr>
        <w:t xml:space="preserve"> et rien que ceux-là. Une</w:t>
      </w:r>
      <w:r>
        <w:rPr>
          <w:lang w:eastAsia="fr-FR" w:bidi="fr-FR"/>
        </w:rPr>
        <w:t xml:space="preserve"> </w:t>
      </w:r>
      <w:r w:rsidRPr="00AB71A5">
        <w:rPr>
          <w:lang w:eastAsia="fr-FR" w:bidi="fr-FR"/>
        </w:rPr>
        <w:t>telle s</w:t>
      </w:r>
      <w:r w:rsidRPr="00AB71A5">
        <w:rPr>
          <w:lang w:eastAsia="fr-FR" w:bidi="fr-FR"/>
        </w:rPr>
        <w:t>é</w:t>
      </w:r>
      <w:r w:rsidRPr="00AB71A5">
        <w:rPr>
          <w:lang w:eastAsia="fr-FR" w:bidi="fr-FR"/>
        </w:rPr>
        <w:t>rie produit la description séma</w:t>
      </w:r>
      <w:r w:rsidRPr="00AB71A5">
        <w:rPr>
          <w:lang w:eastAsia="fr-FR" w:bidi="fr-FR"/>
        </w:rPr>
        <w:t>n</w:t>
      </w:r>
      <w:r w:rsidRPr="00AB71A5">
        <w:rPr>
          <w:lang w:eastAsia="fr-FR" w:bidi="fr-FR"/>
        </w:rPr>
        <w:t>tique d’une culture, que l’on doit à tout prix distinguer de sa description effective (vraie ou fau</w:t>
      </w:r>
      <w:r w:rsidRPr="00AB71A5">
        <w:rPr>
          <w:lang w:eastAsia="fr-FR" w:bidi="fr-FR"/>
        </w:rPr>
        <w:t>s</w:t>
      </w:r>
      <w:r w:rsidRPr="00AB71A5">
        <w:rPr>
          <w:lang w:eastAsia="fr-FR" w:bidi="fr-FR"/>
        </w:rPr>
        <w:t>se). Ceci est facile à apercevoir : soit, pour prendre un exemple fictif, pa</w:t>
      </w:r>
      <w:r w:rsidRPr="00AB71A5">
        <w:rPr>
          <w:lang w:eastAsia="fr-FR" w:bidi="fr-FR"/>
        </w:rPr>
        <w:t>r</w:t>
      </w:r>
      <w:r w:rsidRPr="00AB71A5">
        <w:rPr>
          <w:lang w:eastAsia="fr-FR" w:bidi="fr-FR"/>
        </w:rPr>
        <w:t>ce que trop simple, une culture qui posséderait les cult</w:t>
      </w:r>
      <w:r w:rsidRPr="00AB71A5">
        <w:rPr>
          <w:lang w:eastAsia="fr-FR" w:bidi="fr-FR"/>
        </w:rPr>
        <w:t>u</w:t>
      </w:r>
      <w:r w:rsidRPr="00AB71A5">
        <w:rPr>
          <w:lang w:eastAsia="fr-FR" w:bidi="fr-FR"/>
        </w:rPr>
        <w:t>rèmes</w:t>
      </w:r>
      <w:r>
        <w:rPr>
          <w:lang w:eastAsia="fr-FR" w:bidi="fr-FR"/>
        </w:rPr>
        <w:t xml:space="preserve"> [90] </w:t>
      </w:r>
      <w:r w:rsidRPr="00AB71A5">
        <w:rPr>
          <w:lang w:eastAsia="fr-FR" w:bidi="fr-FR"/>
        </w:rPr>
        <w:t>« Dieu » « Vie » et « Mort ». Une chose est de noter la présence de ces cult</w:t>
      </w:r>
      <w:r w:rsidRPr="00AB71A5">
        <w:rPr>
          <w:lang w:eastAsia="fr-FR" w:bidi="fr-FR"/>
        </w:rPr>
        <w:t>u</w:t>
      </w:r>
      <w:r w:rsidRPr="00AB71A5">
        <w:rPr>
          <w:lang w:eastAsia="fr-FR" w:bidi="fr-FR"/>
        </w:rPr>
        <w:t xml:space="preserve">rèmes </w:t>
      </w:r>
      <w:r>
        <w:rPr>
          <w:lang w:eastAsia="fr-FR" w:bidi="fr-FR"/>
        </w:rPr>
        <w:t>[</w:t>
      </w:r>
      <w:r w:rsidRPr="00AB71A5">
        <w:rPr>
          <w:lang w:eastAsia="fr-FR" w:bidi="fr-FR"/>
        </w:rPr>
        <w:t>(Ex) « Dieu »</w:t>
      </w:r>
      <w:r>
        <w:rPr>
          <w:lang w:eastAsia="fr-FR" w:bidi="fr-FR"/>
        </w:rPr>
        <w:t xml:space="preserve"> (x)</w:t>
      </w:r>
      <w:r w:rsidRPr="00AB71A5">
        <w:rPr>
          <w:lang w:eastAsia="fr-FR" w:bidi="fr-FR"/>
        </w:rPr>
        <w:t>. (Ex) « Vie » (x) etc ...</w:t>
      </w:r>
      <w:r>
        <w:rPr>
          <w:lang w:eastAsia="fr-FR" w:bidi="fr-FR"/>
        </w:rPr>
        <w:t>]</w:t>
      </w:r>
      <w:r w:rsidRPr="00AB71A5">
        <w:rPr>
          <w:lang w:eastAsia="fr-FR" w:bidi="fr-FR"/>
        </w:rPr>
        <w:t xml:space="preserve"> Autre ch</w:t>
      </w:r>
      <w:r w:rsidRPr="00AB71A5">
        <w:rPr>
          <w:lang w:eastAsia="fr-FR" w:bidi="fr-FR"/>
        </w:rPr>
        <w:t>o</w:t>
      </w:r>
      <w:r w:rsidRPr="00AB71A5">
        <w:rPr>
          <w:lang w:eastAsia="fr-FR" w:bidi="fr-FR"/>
        </w:rPr>
        <w:t>se est de découvrir lesquels de ces culturèmes sont effectivement liés par cette cult</w:t>
      </w:r>
      <w:r w:rsidRPr="00AB71A5">
        <w:rPr>
          <w:lang w:eastAsia="fr-FR" w:bidi="fr-FR"/>
        </w:rPr>
        <w:t>u</w:t>
      </w:r>
      <w:r w:rsidRPr="00AB71A5">
        <w:rPr>
          <w:lang w:eastAsia="fr-FR" w:bidi="fr-FR"/>
        </w:rPr>
        <w:t>re dans des énoncés normatifs (par ex, « Dieu est la Vie » / « Dieu est la mort »). Clairement : deux cultures peuvent être ident</w:t>
      </w:r>
      <w:r w:rsidRPr="00AB71A5">
        <w:rPr>
          <w:lang w:eastAsia="fr-FR" w:bidi="fr-FR"/>
        </w:rPr>
        <w:t>i</w:t>
      </w:r>
      <w:r w:rsidRPr="00AB71A5">
        <w:rPr>
          <w:lang w:eastAsia="fr-FR" w:bidi="fr-FR"/>
        </w:rPr>
        <w:t>ques dans les culturèmes qu’elles possèdent et différentes par la co</w:t>
      </w:r>
      <w:r w:rsidRPr="00AB71A5">
        <w:rPr>
          <w:lang w:eastAsia="fr-FR" w:bidi="fr-FR"/>
        </w:rPr>
        <w:t>m</w:t>
      </w:r>
      <w:r w:rsidRPr="00AB71A5">
        <w:rPr>
          <w:lang w:eastAsia="fr-FR" w:bidi="fr-FR"/>
        </w:rPr>
        <w:t>binaison qu’elles en font.</w:t>
      </w:r>
    </w:p>
    <w:p w:rsidR="00A9729B" w:rsidRPr="00AB71A5" w:rsidRDefault="00A9729B" w:rsidP="00A9729B">
      <w:pPr>
        <w:spacing w:before="120" w:after="120"/>
        <w:jc w:val="both"/>
      </w:pPr>
      <w:r w:rsidRPr="00AB71A5">
        <w:rPr>
          <w:lang w:eastAsia="fr-FR" w:bidi="fr-FR"/>
        </w:rPr>
        <w:t>Cette première opération de dénombrement effectuée, plusieurs a</w:t>
      </w:r>
      <w:r w:rsidRPr="00AB71A5">
        <w:rPr>
          <w:lang w:eastAsia="fr-FR" w:bidi="fr-FR"/>
        </w:rPr>
        <w:t>u</w:t>
      </w:r>
      <w:r w:rsidRPr="00AB71A5">
        <w:rPr>
          <w:lang w:eastAsia="fr-FR" w:bidi="fr-FR"/>
        </w:rPr>
        <w:t>tres sont possibles. On peut :</w:t>
      </w:r>
    </w:p>
    <w:p w:rsidR="00A9729B" w:rsidRDefault="00A9729B" w:rsidP="00A9729B">
      <w:pPr>
        <w:spacing w:before="120" w:after="120"/>
        <w:jc w:val="both"/>
        <w:rPr>
          <w:lang w:eastAsia="fr-FR" w:bidi="fr-FR"/>
        </w:rPr>
      </w:pPr>
    </w:p>
    <w:p w:rsidR="00A9729B" w:rsidRPr="00AB71A5" w:rsidRDefault="00A9729B" w:rsidP="00A9729B">
      <w:pPr>
        <w:spacing w:before="120" w:after="120"/>
        <w:ind w:left="900" w:hanging="540"/>
        <w:jc w:val="both"/>
      </w:pPr>
      <w:r>
        <w:rPr>
          <w:lang w:eastAsia="fr-FR" w:bidi="fr-FR"/>
        </w:rPr>
        <w:t>(1)</w:t>
      </w:r>
      <w:r>
        <w:rPr>
          <w:lang w:eastAsia="fr-FR" w:bidi="fr-FR"/>
        </w:rPr>
        <w:tab/>
        <w:t>É</w:t>
      </w:r>
      <w:r w:rsidRPr="00AB71A5">
        <w:rPr>
          <w:lang w:eastAsia="fr-FR" w:bidi="fr-FR"/>
        </w:rPr>
        <w:t>noncer les propriétés formelles de ce dénombrement. La s</w:t>
      </w:r>
      <w:r w:rsidRPr="00AB71A5">
        <w:rPr>
          <w:lang w:eastAsia="fr-FR" w:bidi="fr-FR"/>
        </w:rPr>
        <w:t>é</w:t>
      </w:r>
      <w:r w:rsidRPr="00AB71A5">
        <w:rPr>
          <w:lang w:eastAsia="fr-FR" w:bidi="fr-FR"/>
        </w:rPr>
        <w:t>rie constituant la description sémantique d’un ensemble cult</w:t>
      </w:r>
      <w:r w:rsidRPr="00AB71A5">
        <w:rPr>
          <w:lang w:eastAsia="fr-FR" w:bidi="fr-FR"/>
        </w:rPr>
        <w:t>u</w:t>
      </w:r>
      <w:r w:rsidRPr="00AB71A5">
        <w:rPr>
          <w:lang w:eastAsia="fr-FR" w:bidi="fr-FR"/>
        </w:rPr>
        <w:t>rel conte</w:t>
      </w:r>
      <w:r w:rsidRPr="00AB71A5">
        <w:rPr>
          <w:lang w:eastAsia="fr-FR" w:bidi="fr-FR"/>
        </w:rPr>
        <w:t>m</w:t>
      </w:r>
      <w:r w:rsidRPr="00AB71A5">
        <w:rPr>
          <w:lang w:eastAsia="fr-FR" w:bidi="fr-FR"/>
        </w:rPr>
        <w:t>porain se distinguerait à cet égard par son extrême éte</w:t>
      </w:r>
      <w:r w:rsidRPr="00AB71A5">
        <w:rPr>
          <w:lang w:eastAsia="fr-FR" w:bidi="fr-FR"/>
        </w:rPr>
        <w:t>n</w:t>
      </w:r>
      <w:r w:rsidRPr="00AB71A5">
        <w:rPr>
          <w:lang w:eastAsia="fr-FR" w:bidi="fr-FR"/>
        </w:rPr>
        <w:t>due.</w:t>
      </w:r>
    </w:p>
    <w:p w:rsidR="00A9729B" w:rsidRPr="00AB71A5" w:rsidRDefault="00A9729B" w:rsidP="00A9729B">
      <w:pPr>
        <w:spacing w:before="120" w:after="120"/>
        <w:ind w:left="900" w:hanging="540"/>
        <w:jc w:val="both"/>
      </w:pPr>
      <w:r>
        <w:rPr>
          <w:lang w:eastAsia="fr-FR" w:bidi="fr-FR"/>
        </w:rPr>
        <w:t>(2)</w:t>
      </w:r>
      <w:r>
        <w:rPr>
          <w:lang w:eastAsia="fr-FR" w:bidi="fr-FR"/>
        </w:rPr>
        <w:tab/>
        <w:t>É</w:t>
      </w:r>
      <w:r w:rsidRPr="00AB71A5">
        <w:rPr>
          <w:lang w:eastAsia="fr-FR" w:bidi="fr-FR"/>
        </w:rPr>
        <w:t>tablir une statistique des occurrences de marques expr</w:t>
      </w:r>
      <w:r w:rsidRPr="00AB71A5">
        <w:rPr>
          <w:lang w:eastAsia="fr-FR" w:bidi="fr-FR"/>
        </w:rPr>
        <w:t>i</w:t>
      </w:r>
      <w:r w:rsidRPr="00AB71A5">
        <w:rPr>
          <w:lang w:eastAsia="fr-FR" w:bidi="fr-FR"/>
        </w:rPr>
        <w:t>mant un culturème déterminé.</w:t>
      </w:r>
    </w:p>
    <w:p w:rsidR="00A9729B" w:rsidRPr="00AB71A5" w:rsidRDefault="00A9729B" w:rsidP="00A9729B">
      <w:pPr>
        <w:spacing w:before="120" w:after="120"/>
        <w:ind w:left="900" w:hanging="540"/>
        <w:jc w:val="both"/>
      </w:pPr>
      <w:r>
        <w:rPr>
          <w:lang w:eastAsia="fr-FR" w:bidi="fr-FR"/>
        </w:rPr>
        <w:t>(3)</w:t>
      </w:r>
      <w:r>
        <w:rPr>
          <w:lang w:eastAsia="fr-FR" w:bidi="fr-FR"/>
        </w:rPr>
        <w:tab/>
      </w:r>
      <w:r w:rsidRPr="00AB71A5">
        <w:rPr>
          <w:lang w:eastAsia="fr-FR" w:bidi="fr-FR"/>
        </w:rPr>
        <w:t>Passer de la description sémantique à la description effe</w:t>
      </w:r>
      <w:r w:rsidRPr="00AB71A5">
        <w:rPr>
          <w:lang w:eastAsia="fr-FR" w:bidi="fr-FR"/>
        </w:rPr>
        <w:t>c</w:t>
      </w:r>
      <w:r w:rsidRPr="00AB71A5">
        <w:rPr>
          <w:lang w:eastAsia="fr-FR" w:bidi="fr-FR"/>
        </w:rPr>
        <w:t>tive. C’est à ce point que nous aimerions faire une seconde rectif</w:t>
      </w:r>
      <w:r w:rsidRPr="00AB71A5">
        <w:rPr>
          <w:lang w:eastAsia="fr-FR" w:bidi="fr-FR"/>
        </w:rPr>
        <w:t>i</w:t>
      </w:r>
      <w:r w:rsidRPr="00AB71A5">
        <w:rPr>
          <w:lang w:eastAsia="fr-FR" w:bidi="fr-FR"/>
        </w:rPr>
        <w:t>cation, que l’on devra coupler à la première. Par définition, la description sémantique d’une culture nous présente son lex</w:t>
      </w:r>
      <w:r w:rsidRPr="00AB71A5">
        <w:rPr>
          <w:lang w:eastAsia="fr-FR" w:bidi="fr-FR"/>
        </w:rPr>
        <w:t>i</w:t>
      </w:r>
      <w:r w:rsidRPr="00AB71A5">
        <w:rPr>
          <w:lang w:eastAsia="fr-FR" w:bidi="fr-FR"/>
        </w:rPr>
        <w:t>que. Quant à la descri</w:t>
      </w:r>
      <w:r w:rsidRPr="00AB71A5">
        <w:rPr>
          <w:lang w:eastAsia="fr-FR" w:bidi="fr-FR"/>
        </w:rPr>
        <w:t>p</w:t>
      </w:r>
      <w:r w:rsidRPr="00AB71A5">
        <w:rPr>
          <w:lang w:eastAsia="fr-FR" w:bidi="fr-FR"/>
        </w:rPr>
        <w:t>tion effective, nous avons déjà suggéré qu’elle avait pour objet les énoncés — les phrases — que pr</w:t>
      </w:r>
      <w:r w:rsidRPr="00AB71A5">
        <w:rPr>
          <w:lang w:eastAsia="fr-FR" w:bidi="fr-FR"/>
        </w:rPr>
        <w:t>o</w:t>
      </w:r>
      <w:r w:rsidRPr="00AB71A5">
        <w:rPr>
          <w:lang w:eastAsia="fr-FR" w:bidi="fr-FR"/>
        </w:rPr>
        <w:t>duit une culture donnée. Or il est une conce</w:t>
      </w:r>
      <w:r w:rsidRPr="00AB71A5">
        <w:rPr>
          <w:lang w:eastAsia="fr-FR" w:bidi="fr-FR"/>
        </w:rPr>
        <w:t>p</w:t>
      </w:r>
      <w:r w:rsidRPr="00AB71A5">
        <w:rPr>
          <w:lang w:eastAsia="fr-FR" w:bidi="fr-FR"/>
        </w:rPr>
        <w:t>tion de l’énoncé qu’il nous faut absolument révoquer. Que ce soit en philos</w:t>
      </w:r>
      <w:r w:rsidRPr="00AB71A5">
        <w:rPr>
          <w:lang w:eastAsia="fr-FR" w:bidi="fr-FR"/>
        </w:rPr>
        <w:t>o</w:t>
      </w:r>
      <w:r w:rsidRPr="00AB71A5">
        <w:rPr>
          <w:lang w:eastAsia="fr-FR" w:bidi="fr-FR"/>
        </w:rPr>
        <w:t>phie, pour laquelle, à peu d’exceptions près, la phrase const</w:t>
      </w:r>
      <w:r w:rsidRPr="00AB71A5">
        <w:rPr>
          <w:lang w:eastAsia="fr-FR" w:bidi="fr-FR"/>
        </w:rPr>
        <w:t>i</w:t>
      </w:r>
      <w:r w:rsidRPr="00AB71A5">
        <w:rPr>
          <w:lang w:eastAsia="fr-FR" w:bidi="fr-FR"/>
        </w:rPr>
        <w:t>tue la représentation-tableau d’un état de fait, ou pour la li</w:t>
      </w:r>
      <w:r w:rsidRPr="00AB71A5">
        <w:rPr>
          <w:lang w:eastAsia="fr-FR" w:bidi="fr-FR"/>
        </w:rPr>
        <w:t>n</w:t>
      </w:r>
      <w:r w:rsidRPr="00AB71A5">
        <w:rPr>
          <w:lang w:eastAsia="fr-FR" w:bidi="fr-FR"/>
        </w:rPr>
        <w:t>guistique saussurienne, pour laquelle la phrase doit être conçue comme un procès sy</w:t>
      </w:r>
      <w:r w:rsidRPr="00AB71A5">
        <w:rPr>
          <w:lang w:eastAsia="fr-FR" w:bidi="fr-FR"/>
        </w:rPr>
        <w:t>n</w:t>
      </w:r>
      <w:r w:rsidRPr="00AB71A5">
        <w:rPr>
          <w:lang w:eastAsia="fr-FR" w:bidi="fr-FR"/>
        </w:rPr>
        <w:t>tagmatique, c’est-à-dire comme un assemblage de termes contigus, la phrase est toujours pr</w:t>
      </w:r>
      <w:r w:rsidRPr="00AB71A5">
        <w:rPr>
          <w:lang w:eastAsia="fr-FR" w:bidi="fr-FR"/>
        </w:rPr>
        <w:t>o</w:t>
      </w:r>
      <w:r w:rsidRPr="00AB71A5">
        <w:rPr>
          <w:lang w:eastAsia="fr-FR" w:bidi="fr-FR"/>
        </w:rPr>
        <w:t>filée dans un espace à deux — le tableau — ou à une seule dimension — le syntagme, qui trace une ligne.</w:t>
      </w:r>
      <w:r>
        <w:rPr>
          <w:lang w:eastAsia="fr-FR" w:bidi="fr-FR"/>
        </w:rPr>
        <w:t> </w:t>
      </w:r>
      <w:r>
        <w:rPr>
          <w:rStyle w:val="Appelnotedebasdep"/>
          <w:lang w:eastAsia="fr-FR" w:bidi="fr-FR"/>
        </w:rPr>
        <w:footnoteReference w:customMarkFollows="1" w:id="11"/>
        <w:t>E</w:t>
      </w:r>
      <w:r w:rsidRPr="00AB71A5">
        <w:rPr>
          <w:lang w:eastAsia="fr-FR" w:bidi="fr-FR"/>
        </w:rPr>
        <w:t xml:space="preserve"> Nous aim</w:t>
      </w:r>
      <w:r w:rsidRPr="00AB71A5">
        <w:rPr>
          <w:lang w:eastAsia="fr-FR" w:bidi="fr-FR"/>
        </w:rPr>
        <w:t>e</w:t>
      </w:r>
      <w:r w:rsidRPr="00AB71A5">
        <w:rPr>
          <w:lang w:eastAsia="fr-FR" w:bidi="fr-FR"/>
        </w:rPr>
        <w:t>rions montrer, à l’aide d’un exemple, qu’il est imp</w:t>
      </w:r>
      <w:r w:rsidRPr="00AB71A5">
        <w:rPr>
          <w:lang w:eastAsia="fr-FR" w:bidi="fr-FR"/>
        </w:rPr>
        <w:t>é</w:t>
      </w:r>
      <w:r w:rsidRPr="00AB71A5">
        <w:rPr>
          <w:lang w:eastAsia="fr-FR" w:bidi="fr-FR"/>
        </w:rPr>
        <w:t>rieux pour une théorie de la culture de renoncer à penser l’énoncé sur le seul modèle de la séquence, pour le concevoir essentiell</w:t>
      </w:r>
      <w:r w:rsidRPr="00AB71A5">
        <w:rPr>
          <w:lang w:eastAsia="fr-FR" w:bidi="fr-FR"/>
        </w:rPr>
        <w:t>e</w:t>
      </w:r>
      <w:r w:rsidRPr="00AB71A5">
        <w:rPr>
          <w:lang w:eastAsia="fr-FR" w:bidi="fr-FR"/>
        </w:rPr>
        <w:t xml:space="preserve">ment comme une </w:t>
      </w:r>
      <w:r w:rsidRPr="00AB71A5">
        <w:t>hiéra</w:t>
      </w:r>
      <w:r w:rsidRPr="00AB71A5">
        <w:t>r</w:t>
      </w:r>
      <w:r w:rsidRPr="00AB71A5">
        <w:t>chie</w:t>
      </w:r>
      <w:r w:rsidRPr="00AB71A5">
        <w:rPr>
          <w:lang w:eastAsia="fr-FR" w:bidi="fr-FR"/>
        </w:rPr>
        <w:t xml:space="preserve"> de niveaux et comme une profondeur. Plutôt que d’expliciter cette dernière prop</w:t>
      </w:r>
      <w:r w:rsidRPr="00AB71A5">
        <w:rPr>
          <w:lang w:eastAsia="fr-FR" w:bidi="fr-FR"/>
        </w:rPr>
        <w:t>o</w:t>
      </w:r>
      <w:r w:rsidRPr="00AB71A5">
        <w:rPr>
          <w:lang w:eastAsia="fr-FR" w:bidi="fr-FR"/>
        </w:rPr>
        <w:t>sition — elle ne doit pas s’entendre, par exemple, comme si l’énoncé avait une structure de su</w:t>
      </w:r>
      <w:r w:rsidRPr="00AB71A5">
        <w:rPr>
          <w:lang w:eastAsia="fr-FR" w:bidi="fr-FR"/>
        </w:rPr>
        <w:t>r</w:t>
      </w:r>
      <w:r w:rsidRPr="00AB71A5">
        <w:rPr>
          <w:lang w:eastAsia="fr-FR" w:bidi="fr-FR"/>
        </w:rPr>
        <w:t>face et une structure profonde —, nous allons l’illustrer par la descri</w:t>
      </w:r>
      <w:r w:rsidRPr="00AB71A5">
        <w:rPr>
          <w:lang w:eastAsia="fr-FR" w:bidi="fr-FR"/>
        </w:rPr>
        <w:t>p</w:t>
      </w:r>
      <w:r w:rsidRPr="00AB71A5">
        <w:rPr>
          <w:lang w:eastAsia="fr-FR" w:bidi="fr-FR"/>
        </w:rPr>
        <w:t>tion d’un objet-texte.</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4. L’objet-texte que nous avons choisi d’analyser a pour titre « L’Engendrement de la Formule » et fait partie d’un r</w:t>
      </w:r>
      <w:r w:rsidRPr="00AB71A5">
        <w:rPr>
          <w:lang w:eastAsia="fr-FR" w:bidi="fr-FR"/>
        </w:rPr>
        <w:t>e</w:t>
      </w:r>
      <w:r w:rsidRPr="00AB71A5">
        <w:rPr>
          <w:lang w:eastAsia="fr-FR" w:bidi="fr-FR"/>
        </w:rPr>
        <w:t>cueil de textes assez récents.</w:t>
      </w:r>
      <w:r>
        <w:rPr>
          <w:lang w:eastAsia="fr-FR" w:bidi="fr-FR"/>
        </w:rPr>
        <w:t> </w:t>
      </w:r>
      <w:r>
        <w:rPr>
          <w:rStyle w:val="Appelnotedebasdep"/>
          <w:lang w:eastAsia="fr-FR" w:bidi="fr-FR"/>
        </w:rPr>
        <w:footnoteReference w:customMarkFollows="1" w:id="12"/>
        <w:t>F</w:t>
      </w:r>
      <w:r w:rsidRPr="00AB71A5">
        <w:rPr>
          <w:lang w:eastAsia="fr-FR" w:bidi="fr-FR"/>
        </w:rPr>
        <w:t xml:space="preserve"> Le thème explicite semble en être (1) une réflexion</w:t>
      </w:r>
      <w:r>
        <w:rPr>
          <w:lang w:eastAsia="fr-FR" w:bidi="fr-FR"/>
        </w:rPr>
        <w:t xml:space="preserve"> [91] </w:t>
      </w:r>
      <w:r w:rsidRPr="00AB71A5">
        <w:rPr>
          <w:lang w:eastAsia="fr-FR" w:bidi="fr-FR"/>
        </w:rPr>
        <w:t>quasi-épistémologique sur le programme et sur certains des concepts fondateurs d’une disc</w:t>
      </w:r>
      <w:r w:rsidRPr="00AB71A5">
        <w:rPr>
          <w:lang w:eastAsia="fr-FR" w:bidi="fr-FR"/>
        </w:rPr>
        <w:t>i</w:t>
      </w:r>
      <w:r w:rsidRPr="00AB71A5">
        <w:rPr>
          <w:lang w:eastAsia="fr-FR" w:bidi="fr-FR"/>
        </w:rPr>
        <w:t xml:space="preserve">pline inaugurée : la sémanalyse et (2) une pratique de sa méthode sur un texte de P. Sollers </w:t>
      </w:r>
      <w:r w:rsidRPr="00AB71A5">
        <w:t>(</w:t>
      </w:r>
      <w:r w:rsidRPr="009079EE">
        <w:rPr>
          <w:i/>
        </w:rPr>
        <w:t>No</w:t>
      </w:r>
      <w:r w:rsidRPr="009079EE">
        <w:rPr>
          <w:i/>
        </w:rPr>
        <w:t>m</w:t>
      </w:r>
      <w:r w:rsidRPr="009079EE">
        <w:rPr>
          <w:i/>
        </w:rPr>
        <w:t>bres</w:t>
      </w:r>
      <w:r w:rsidRPr="00AB71A5">
        <w:t>).</w:t>
      </w:r>
      <w:r w:rsidRPr="00AB71A5">
        <w:rPr>
          <w:lang w:eastAsia="fr-FR" w:bidi="fr-FR"/>
        </w:rPr>
        <w:t xml:space="preserve"> Avant de nous livrer aux deux opérations — dénombr</w:t>
      </w:r>
      <w:r w:rsidRPr="00AB71A5">
        <w:rPr>
          <w:lang w:eastAsia="fr-FR" w:bidi="fr-FR"/>
        </w:rPr>
        <w:t>e</w:t>
      </w:r>
      <w:r w:rsidRPr="00AB71A5">
        <w:rPr>
          <w:lang w:eastAsia="fr-FR" w:bidi="fr-FR"/>
        </w:rPr>
        <w:t>ment/hiérarchisation — que nous avons précéde</w:t>
      </w:r>
      <w:r w:rsidRPr="00AB71A5">
        <w:rPr>
          <w:lang w:eastAsia="fr-FR" w:bidi="fr-FR"/>
        </w:rPr>
        <w:t>m</w:t>
      </w:r>
      <w:r w:rsidRPr="00AB71A5">
        <w:rPr>
          <w:lang w:eastAsia="fr-FR" w:bidi="fr-FR"/>
        </w:rPr>
        <w:t>ment annoncées, nous aimerions faire une rema</w:t>
      </w:r>
      <w:r w:rsidRPr="00AB71A5">
        <w:rPr>
          <w:lang w:eastAsia="fr-FR" w:bidi="fr-FR"/>
        </w:rPr>
        <w:t>r</w:t>
      </w:r>
      <w:r w:rsidRPr="00AB71A5">
        <w:rPr>
          <w:lang w:eastAsia="fr-FR" w:bidi="fr-FR"/>
        </w:rPr>
        <w:t>que d’ordre méthodologique. Le terme d’objet-texte est par nous introduit pour attirer l’attention sur une do</w:t>
      </w:r>
      <w:r w:rsidRPr="00AB71A5">
        <w:rPr>
          <w:lang w:eastAsia="fr-FR" w:bidi="fr-FR"/>
        </w:rPr>
        <w:t>u</w:t>
      </w:r>
      <w:r w:rsidRPr="00AB71A5">
        <w:rPr>
          <w:lang w:eastAsia="fr-FR" w:bidi="fr-FR"/>
        </w:rPr>
        <w:t>ble exclusion. Nous voulons d’abord nous abstenir de soulever aucune question portant sur la valeur de v</w:t>
      </w:r>
      <w:r w:rsidRPr="00AB71A5">
        <w:rPr>
          <w:lang w:eastAsia="fr-FR" w:bidi="fr-FR"/>
        </w:rPr>
        <w:t>é</w:t>
      </w:r>
      <w:r w:rsidRPr="00AB71A5">
        <w:rPr>
          <w:lang w:eastAsia="fr-FR" w:bidi="fr-FR"/>
        </w:rPr>
        <w:t>rité — sur la validité — des thèses avancées dans le texte analysé.</w:t>
      </w:r>
      <w:r>
        <w:rPr>
          <w:lang w:eastAsia="fr-FR" w:bidi="fr-FR"/>
        </w:rPr>
        <w:t> </w:t>
      </w:r>
      <w:r>
        <w:rPr>
          <w:rStyle w:val="Appelnotedebasdep"/>
          <w:lang w:eastAsia="fr-FR" w:bidi="fr-FR"/>
        </w:rPr>
        <w:footnoteReference w:id="13"/>
      </w:r>
      <w:r w:rsidRPr="00AB71A5">
        <w:rPr>
          <w:lang w:eastAsia="fr-FR" w:bidi="fr-FR"/>
        </w:rPr>
        <w:t xml:space="preserve"> Si, en s</w:t>
      </w:r>
      <w:r w:rsidRPr="00AB71A5">
        <w:rPr>
          <w:lang w:eastAsia="fr-FR" w:bidi="fr-FR"/>
        </w:rPr>
        <w:t>e</w:t>
      </w:r>
      <w:r w:rsidRPr="00AB71A5">
        <w:rPr>
          <w:lang w:eastAsia="fr-FR" w:bidi="fr-FR"/>
        </w:rPr>
        <w:t>cond lieu, on entend par la saisie du sens d’un texte, sa mise en correspondance avec ce qui ressemblerait à l’intention de son auteur, la réserve que nous form</w:t>
      </w:r>
      <w:r w:rsidRPr="00AB71A5">
        <w:rPr>
          <w:lang w:eastAsia="fr-FR" w:bidi="fr-FR"/>
        </w:rPr>
        <w:t>u</w:t>
      </w:r>
      <w:r w:rsidRPr="00AB71A5">
        <w:rPr>
          <w:lang w:eastAsia="fr-FR" w:bidi="fr-FR"/>
        </w:rPr>
        <w:t>lions sur les questions po</w:t>
      </w:r>
      <w:r w:rsidRPr="00AB71A5">
        <w:rPr>
          <w:lang w:eastAsia="fr-FR" w:bidi="fr-FR"/>
        </w:rPr>
        <w:t>r</w:t>
      </w:r>
      <w:r w:rsidRPr="00AB71A5">
        <w:rPr>
          <w:lang w:eastAsia="fr-FR" w:bidi="fr-FR"/>
        </w:rPr>
        <w:t>tant sur la valeur de vérité du texte s’étend aussi aux problèmes que soulèveraient son sens. C’est cette r</w:t>
      </w:r>
      <w:r w:rsidRPr="00AB71A5">
        <w:rPr>
          <w:lang w:eastAsia="fr-FR" w:bidi="fr-FR"/>
        </w:rPr>
        <w:t>é</w:t>
      </w:r>
      <w:r w:rsidRPr="00AB71A5">
        <w:rPr>
          <w:lang w:eastAsia="fr-FR" w:bidi="fr-FR"/>
        </w:rPr>
        <w:t>duction du texte à un ense</w:t>
      </w:r>
      <w:r w:rsidRPr="00AB71A5">
        <w:rPr>
          <w:lang w:eastAsia="fr-FR" w:bidi="fr-FR"/>
        </w:rPr>
        <w:t>m</w:t>
      </w:r>
      <w:r w:rsidRPr="00AB71A5">
        <w:rPr>
          <w:lang w:eastAsia="fr-FR" w:bidi="fr-FR"/>
        </w:rPr>
        <w:t>ble public et autarcique de signes graphiques qui le pose comme objet-texte.</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4.1 La première opération — le dénombrement — est tout à fait élémentaire : elle consiste d’abord à fa</w:t>
      </w:r>
      <w:r w:rsidRPr="00AB71A5">
        <w:rPr>
          <w:lang w:eastAsia="fr-FR" w:bidi="fr-FR"/>
        </w:rPr>
        <w:t>i</w:t>
      </w:r>
      <w:r w:rsidRPr="00AB71A5">
        <w:rPr>
          <w:lang w:eastAsia="fr-FR" w:bidi="fr-FR"/>
        </w:rPr>
        <w:t>re le relevé de l’occurrence d’un certain nombre de marques (de signes) et ensuite à dresser un inventaire des classes différentes dans lesquelles on peut les r</w:t>
      </w:r>
      <w:r w:rsidRPr="00AB71A5">
        <w:rPr>
          <w:lang w:eastAsia="fr-FR" w:bidi="fr-FR"/>
        </w:rPr>
        <w:t>é</w:t>
      </w:r>
      <w:r w:rsidRPr="00AB71A5">
        <w:rPr>
          <w:lang w:eastAsia="fr-FR" w:bidi="fr-FR"/>
        </w:rPr>
        <w:t>partir. Les marques dont les occurrences ont été relevées sont, de façon gén</w:t>
      </w:r>
      <w:r w:rsidRPr="00AB71A5">
        <w:rPr>
          <w:lang w:eastAsia="fr-FR" w:bidi="fr-FR"/>
        </w:rPr>
        <w:t>é</w:t>
      </w:r>
      <w:r w:rsidRPr="00AB71A5">
        <w:rPr>
          <w:lang w:eastAsia="fr-FR" w:bidi="fr-FR"/>
        </w:rPr>
        <w:t>rale, celles dont le signifié réfère, imm</w:t>
      </w:r>
      <w:r w:rsidRPr="00AB71A5">
        <w:rPr>
          <w:lang w:eastAsia="fr-FR" w:bidi="fr-FR"/>
        </w:rPr>
        <w:t>é</w:t>
      </w:r>
      <w:r w:rsidRPr="00AB71A5">
        <w:rPr>
          <w:lang w:eastAsia="fr-FR" w:bidi="fr-FR"/>
        </w:rPr>
        <w:t>diatement ou médiatement, à un objet qui peut être qualifié de culturel, d’après les critères préc</w:t>
      </w:r>
      <w:r w:rsidRPr="00AB71A5">
        <w:rPr>
          <w:lang w:eastAsia="fr-FR" w:bidi="fr-FR"/>
        </w:rPr>
        <w:t>é</w:t>
      </w:r>
      <w:r>
        <w:rPr>
          <w:lang w:eastAsia="fr-FR" w:bidi="fr-FR"/>
        </w:rPr>
        <w:t>demment établis</w:t>
      </w:r>
      <w:r w:rsidRPr="00AB71A5">
        <w:rPr>
          <w:lang w:eastAsia="fr-FR" w:bidi="fr-FR"/>
        </w:rPr>
        <w:t>. L’inventaire obtenu est le suivant : il est con</w:t>
      </w:r>
      <w:r w:rsidRPr="00AB71A5">
        <w:rPr>
          <w:lang w:eastAsia="fr-FR" w:bidi="fr-FR"/>
        </w:rPr>
        <w:t>s</w:t>
      </w:r>
      <w:r w:rsidRPr="00AB71A5">
        <w:rPr>
          <w:lang w:eastAsia="fr-FR" w:bidi="fr-FR"/>
        </w:rPr>
        <w:t>titué de classes assez peu hom</w:t>
      </w:r>
      <w:r w:rsidRPr="00AB71A5">
        <w:rPr>
          <w:lang w:eastAsia="fr-FR" w:bidi="fr-FR"/>
        </w:rPr>
        <w:t>o</w:t>
      </w:r>
      <w:r w:rsidRPr="00AB71A5">
        <w:rPr>
          <w:lang w:eastAsia="fr-FR" w:bidi="fr-FR"/>
        </w:rPr>
        <w:t>gènes.</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Pr>
          <w:lang w:eastAsia="fr-FR" w:bidi="fr-FR"/>
        </w:rPr>
        <w:t xml:space="preserve">4.11. </w:t>
      </w:r>
      <w:r w:rsidRPr="00AB71A5">
        <w:rPr>
          <w:lang w:eastAsia="fr-FR" w:bidi="fr-FR"/>
        </w:rPr>
        <w:t>Ensembles culturels.</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On peut, d’une première façon, la plus générale, regrouper un ce</w:t>
      </w:r>
      <w:r w:rsidRPr="00AB71A5">
        <w:rPr>
          <w:lang w:eastAsia="fr-FR" w:bidi="fr-FR"/>
        </w:rPr>
        <w:t>r</w:t>
      </w:r>
      <w:r w:rsidRPr="00AB71A5">
        <w:rPr>
          <w:lang w:eastAsia="fr-FR" w:bidi="fr-FR"/>
        </w:rPr>
        <w:t>tain nombre des marques contenues dans l’objet-texte selon les e</w:t>
      </w:r>
      <w:r w:rsidRPr="00AB71A5">
        <w:rPr>
          <w:lang w:eastAsia="fr-FR" w:bidi="fr-FR"/>
        </w:rPr>
        <w:t>n</w:t>
      </w:r>
      <w:r w:rsidRPr="00AB71A5">
        <w:rPr>
          <w:lang w:eastAsia="fr-FR" w:bidi="fr-FR"/>
        </w:rPr>
        <w:t>sembles culturels (les cultures) dans lesquelles s’insèrent ces marques elles-mêmes, (les idéogrammes ch</w:t>
      </w:r>
      <w:r w:rsidRPr="00AB71A5">
        <w:rPr>
          <w:lang w:eastAsia="fr-FR" w:bidi="fr-FR"/>
        </w:rPr>
        <w:t>i</w:t>
      </w:r>
      <w:r w:rsidRPr="00AB71A5">
        <w:rPr>
          <w:lang w:eastAsia="fr-FR" w:bidi="fr-FR"/>
        </w:rPr>
        <w:t>nois par ex.) ou leur signifié. Soit :</w:t>
      </w:r>
    </w:p>
    <w:p w:rsidR="00A9729B" w:rsidRDefault="00A9729B" w:rsidP="00A9729B">
      <w:pPr>
        <w:spacing w:before="120" w:after="120"/>
        <w:jc w:val="both"/>
      </w:pPr>
    </w:p>
    <w:p w:rsidR="00A9729B" w:rsidRPr="00AB71A5" w:rsidRDefault="00A9729B" w:rsidP="00A9729B">
      <w:pPr>
        <w:pStyle w:val="p"/>
      </w:pPr>
      <w:r>
        <w:rPr>
          <w:lang w:eastAsia="fr-FR" w:bidi="fr-FR"/>
        </w:rPr>
        <w:t>[92]</w:t>
      </w:r>
    </w:p>
    <w:p w:rsidR="00A9729B" w:rsidRDefault="00A9729B" w:rsidP="00A9729B">
      <w:pPr>
        <w:spacing w:before="120" w:after="120"/>
        <w:ind w:left="900" w:hanging="540"/>
        <w:jc w:val="both"/>
        <w:rPr>
          <w:lang w:eastAsia="fr-FR" w:bidi="fr-FR"/>
        </w:rPr>
      </w:pPr>
    </w:p>
    <w:p w:rsidR="00A9729B" w:rsidRPr="00AB71A5" w:rsidRDefault="00A9729B" w:rsidP="00A9729B">
      <w:pPr>
        <w:spacing w:before="120" w:after="120"/>
        <w:ind w:left="900" w:hanging="540"/>
        <w:jc w:val="both"/>
      </w:pPr>
      <w:r>
        <w:rPr>
          <w:lang w:eastAsia="fr-FR" w:bidi="fr-FR"/>
        </w:rPr>
        <w:t>1.</w:t>
      </w:r>
      <w:r>
        <w:rPr>
          <w:lang w:eastAsia="fr-FR" w:bidi="fr-FR"/>
        </w:rPr>
        <w:tab/>
      </w:r>
      <w:r w:rsidRPr="00AB71A5">
        <w:rPr>
          <w:lang w:eastAsia="fr-FR" w:bidi="fr-FR"/>
        </w:rPr>
        <w:t>La culture arabe : renvoi à la grammaire de la langue arabe.</w:t>
      </w:r>
    </w:p>
    <w:p w:rsidR="00A9729B" w:rsidRPr="00AB71A5" w:rsidRDefault="00A9729B" w:rsidP="00A9729B">
      <w:pPr>
        <w:spacing w:before="120" w:after="120"/>
        <w:ind w:left="900" w:hanging="540"/>
        <w:jc w:val="both"/>
      </w:pPr>
      <w:r>
        <w:rPr>
          <w:lang w:eastAsia="fr-FR" w:bidi="fr-FR"/>
        </w:rPr>
        <w:t>2.</w:t>
      </w:r>
      <w:r>
        <w:rPr>
          <w:lang w:eastAsia="fr-FR" w:bidi="fr-FR"/>
        </w:rPr>
        <w:tab/>
      </w:r>
      <w:r w:rsidRPr="00AB71A5">
        <w:rPr>
          <w:lang w:eastAsia="fr-FR" w:bidi="fr-FR"/>
        </w:rPr>
        <w:t>La culture chinoise : pr</w:t>
      </w:r>
      <w:r w:rsidRPr="00AB71A5">
        <w:rPr>
          <w:lang w:eastAsia="fr-FR" w:bidi="fr-FR"/>
        </w:rPr>
        <w:t>é</w:t>
      </w:r>
      <w:r w:rsidRPr="00AB71A5">
        <w:rPr>
          <w:lang w:eastAsia="fr-FR" w:bidi="fr-FR"/>
        </w:rPr>
        <w:t>sence d’idéogrammes chinois dans le texte, citations du Tao-To King.</w:t>
      </w:r>
    </w:p>
    <w:p w:rsidR="00A9729B" w:rsidRPr="00AB71A5" w:rsidRDefault="00A9729B" w:rsidP="00A9729B">
      <w:pPr>
        <w:spacing w:before="120" w:after="120"/>
        <w:ind w:left="900" w:hanging="540"/>
        <w:jc w:val="both"/>
      </w:pPr>
      <w:r>
        <w:rPr>
          <w:lang w:eastAsia="fr-FR" w:bidi="fr-FR"/>
        </w:rPr>
        <w:t>3.</w:t>
      </w:r>
      <w:r>
        <w:rPr>
          <w:lang w:eastAsia="fr-FR" w:bidi="fr-FR"/>
        </w:rPr>
        <w:tab/>
      </w:r>
      <w:r w:rsidRPr="00AB71A5">
        <w:rPr>
          <w:lang w:eastAsia="fr-FR" w:bidi="fr-FR"/>
        </w:rPr>
        <w:t>La culture égyptienne : référence à l’écriture hiéroglyph</w:t>
      </w:r>
      <w:r w:rsidRPr="00AB71A5">
        <w:rPr>
          <w:lang w:eastAsia="fr-FR" w:bidi="fr-FR"/>
        </w:rPr>
        <w:t>i</w:t>
      </w:r>
      <w:r w:rsidRPr="00AB71A5">
        <w:rPr>
          <w:lang w:eastAsia="fr-FR" w:bidi="fr-FR"/>
        </w:rPr>
        <w:t>que.</w:t>
      </w:r>
    </w:p>
    <w:p w:rsidR="00A9729B" w:rsidRPr="00AB71A5" w:rsidRDefault="00A9729B" w:rsidP="00A9729B">
      <w:pPr>
        <w:spacing w:before="120" w:after="120"/>
        <w:ind w:left="900" w:hanging="540"/>
        <w:jc w:val="both"/>
      </w:pPr>
      <w:r>
        <w:rPr>
          <w:lang w:eastAsia="fr-FR" w:bidi="fr-FR"/>
        </w:rPr>
        <w:t>4.</w:t>
      </w:r>
      <w:r>
        <w:rPr>
          <w:lang w:eastAsia="fr-FR" w:bidi="fr-FR"/>
        </w:rPr>
        <w:tab/>
      </w:r>
      <w:r w:rsidRPr="00AB71A5">
        <w:rPr>
          <w:lang w:eastAsia="fr-FR" w:bidi="fr-FR"/>
        </w:rPr>
        <w:t>La culture grecqu</w:t>
      </w:r>
      <w:r>
        <w:rPr>
          <w:lang w:eastAsia="fr-FR" w:bidi="fr-FR"/>
        </w:rPr>
        <w:t>e :</w:t>
      </w:r>
    </w:p>
    <w:p w:rsidR="00A9729B" w:rsidRDefault="00A9729B" w:rsidP="00A9729B">
      <w:pPr>
        <w:spacing w:before="120" w:after="120"/>
        <w:ind w:left="1800" w:hanging="360"/>
        <w:jc w:val="both"/>
        <w:rPr>
          <w:lang w:eastAsia="fr-FR" w:bidi="fr-FR"/>
        </w:rPr>
      </w:pPr>
      <w:r>
        <w:rPr>
          <w:lang w:eastAsia="fr-FR" w:bidi="fr-FR"/>
        </w:rPr>
        <w:t>-</w:t>
      </w:r>
      <w:r>
        <w:rPr>
          <w:lang w:eastAsia="fr-FR" w:bidi="fr-FR"/>
        </w:rPr>
        <w:tab/>
      </w:r>
      <w:r w:rsidRPr="00AB71A5">
        <w:rPr>
          <w:lang w:eastAsia="fr-FR" w:bidi="fr-FR"/>
        </w:rPr>
        <w:t>présence de mots grecs dans le texte.</w:t>
      </w:r>
    </w:p>
    <w:p w:rsidR="00A9729B" w:rsidRPr="00AB71A5" w:rsidRDefault="00A9729B" w:rsidP="00A9729B">
      <w:pPr>
        <w:spacing w:before="120" w:after="120"/>
        <w:ind w:left="1800" w:hanging="360"/>
        <w:jc w:val="both"/>
      </w:pPr>
      <w:r>
        <w:rPr>
          <w:lang w:eastAsia="fr-FR" w:bidi="fr-FR"/>
        </w:rPr>
        <w:t>-</w:t>
      </w:r>
      <w:r>
        <w:rPr>
          <w:lang w:eastAsia="fr-FR" w:bidi="fr-FR"/>
        </w:rPr>
        <w:tab/>
      </w:r>
      <w:r w:rsidRPr="00AB71A5">
        <w:rPr>
          <w:lang w:eastAsia="fr-FR" w:bidi="fr-FR"/>
        </w:rPr>
        <w:t>citations de Platon</w:t>
      </w:r>
    </w:p>
    <w:p w:rsidR="00A9729B" w:rsidRPr="00AB71A5" w:rsidRDefault="00A9729B" w:rsidP="00A9729B">
      <w:pPr>
        <w:spacing w:before="120" w:after="120"/>
        <w:ind w:left="1800" w:hanging="360"/>
        <w:jc w:val="both"/>
      </w:pPr>
      <w:r>
        <w:rPr>
          <w:lang w:eastAsia="fr-FR" w:bidi="fr-FR"/>
        </w:rPr>
        <w:t>-</w:t>
      </w:r>
      <w:r>
        <w:rPr>
          <w:lang w:eastAsia="fr-FR" w:bidi="fr-FR"/>
        </w:rPr>
        <w:tab/>
      </w:r>
      <w:r w:rsidRPr="00AB71A5">
        <w:rPr>
          <w:lang w:eastAsia="fr-FR" w:bidi="fr-FR"/>
        </w:rPr>
        <w:t>renvoi au Néo-Platonisme.</w:t>
      </w:r>
    </w:p>
    <w:p w:rsidR="00A9729B" w:rsidRPr="00AB71A5" w:rsidRDefault="00A9729B" w:rsidP="00A9729B">
      <w:pPr>
        <w:spacing w:before="120" w:after="120"/>
        <w:ind w:left="900" w:hanging="540"/>
        <w:jc w:val="both"/>
      </w:pPr>
      <w:r>
        <w:rPr>
          <w:lang w:eastAsia="fr-FR" w:bidi="fr-FR"/>
        </w:rPr>
        <w:t>5.</w:t>
      </w:r>
      <w:r>
        <w:rPr>
          <w:lang w:eastAsia="fr-FR" w:bidi="fr-FR"/>
        </w:rPr>
        <w:tab/>
        <w:t>La culture indienne :</w:t>
      </w:r>
    </w:p>
    <w:p w:rsidR="00A9729B" w:rsidRDefault="00A9729B" w:rsidP="00A9729B">
      <w:pPr>
        <w:spacing w:before="120" w:after="120"/>
        <w:ind w:left="1800" w:hanging="360"/>
        <w:jc w:val="both"/>
        <w:rPr>
          <w:lang w:eastAsia="fr-FR" w:bidi="fr-FR"/>
        </w:rPr>
      </w:pPr>
      <w:r>
        <w:rPr>
          <w:lang w:eastAsia="fr-FR" w:bidi="fr-FR"/>
        </w:rPr>
        <w:t>-</w:t>
      </w:r>
      <w:r>
        <w:rPr>
          <w:lang w:eastAsia="fr-FR" w:bidi="fr-FR"/>
        </w:rPr>
        <w:tab/>
      </w:r>
      <w:r w:rsidRPr="00AB71A5">
        <w:rPr>
          <w:lang w:eastAsia="fr-FR" w:bidi="fr-FR"/>
        </w:rPr>
        <w:t>c</w:t>
      </w:r>
      <w:r w:rsidRPr="00AB71A5">
        <w:rPr>
          <w:lang w:eastAsia="fr-FR" w:bidi="fr-FR"/>
        </w:rPr>
        <w:t>i</w:t>
      </w:r>
      <w:r w:rsidRPr="00AB71A5">
        <w:rPr>
          <w:lang w:eastAsia="fr-FR" w:bidi="fr-FR"/>
        </w:rPr>
        <w:t>tations des Védas, de Bhartrhari, du</w:t>
      </w:r>
      <w:r>
        <w:rPr>
          <w:lang w:eastAsia="fr-FR" w:bidi="fr-FR"/>
        </w:rPr>
        <w:t xml:space="preserve"> </w:t>
      </w:r>
      <w:r w:rsidRPr="00AB71A5">
        <w:rPr>
          <w:lang w:eastAsia="fr-FR" w:bidi="fr-FR"/>
        </w:rPr>
        <w:t>Vakyapadiya</w:t>
      </w:r>
    </w:p>
    <w:p w:rsidR="00A9729B" w:rsidRPr="00AB71A5" w:rsidRDefault="00A9729B" w:rsidP="00A9729B">
      <w:pPr>
        <w:spacing w:before="120" w:after="120"/>
        <w:ind w:left="1800" w:hanging="360"/>
        <w:jc w:val="both"/>
      </w:pPr>
      <w:r>
        <w:rPr>
          <w:lang w:eastAsia="fr-FR" w:bidi="fr-FR"/>
        </w:rPr>
        <w:t>-</w:t>
      </w:r>
      <w:r>
        <w:rPr>
          <w:lang w:eastAsia="fr-FR" w:bidi="fr-FR"/>
        </w:rPr>
        <w:tab/>
      </w:r>
      <w:r w:rsidRPr="00AB71A5">
        <w:rPr>
          <w:lang w:eastAsia="fr-FR" w:bidi="fr-FR"/>
        </w:rPr>
        <w:t>analyse de la langue san</w:t>
      </w:r>
      <w:r w:rsidRPr="00AB71A5">
        <w:rPr>
          <w:lang w:eastAsia="fr-FR" w:bidi="fr-FR"/>
        </w:rPr>
        <w:t>s</w:t>
      </w:r>
      <w:r w:rsidRPr="00AB71A5">
        <w:rPr>
          <w:lang w:eastAsia="fr-FR" w:bidi="fr-FR"/>
        </w:rPr>
        <w:t>krite.</w:t>
      </w:r>
    </w:p>
    <w:p w:rsidR="00A9729B" w:rsidRPr="00AB71A5" w:rsidRDefault="00A9729B" w:rsidP="00A9729B">
      <w:pPr>
        <w:spacing w:before="120" w:after="120"/>
        <w:ind w:left="900" w:hanging="540"/>
        <w:jc w:val="both"/>
      </w:pPr>
      <w:r>
        <w:rPr>
          <w:lang w:eastAsia="fr-FR" w:bidi="fr-FR"/>
        </w:rPr>
        <w:t>6.</w:t>
      </w:r>
      <w:r>
        <w:rPr>
          <w:lang w:eastAsia="fr-FR" w:bidi="fr-FR"/>
        </w:rPr>
        <w:tab/>
        <w:t>La culture iranienne :</w:t>
      </w:r>
    </w:p>
    <w:p w:rsidR="00A9729B" w:rsidRDefault="00A9729B" w:rsidP="00A9729B">
      <w:pPr>
        <w:spacing w:before="120" w:after="120"/>
        <w:ind w:left="1800" w:hanging="360"/>
        <w:jc w:val="both"/>
        <w:rPr>
          <w:lang w:eastAsia="fr-FR" w:bidi="fr-FR"/>
        </w:rPr>
      </w:pPr>
      <w:r>
        <w:rPr>
          <w:lang w:eastAsia="fr-FR" w:bidi="fr-FR"/>
        </w:rPr>
        <w:t>-</w:t>
      </w:r>
      <w:r>
        <w:rPr>
          <w:lang w:eastAsia="fr-FR" w:bidi="fr-FR"/>
        </w:rPr>
        <w:tab/>
      </w:r>
      <w:r w:rsidRPr="00AB71A5">
        <w:rPr>
          <w:lang w:eastAsia="fr-FR" w:bidi="fr-FR"/>
        </w:rPr>
        <w:t>mention d’un auteur iranien</w:t>
      </w:r>
    </w:p>
    <w:p w:rsidR="00A9729B" w:rsidRPr="00AB71A5" w:rsidRDefault="00A9729B" w:rsidP="00A9729B">
      <w:pPr>
        <w:spacing w:before="120" w:after="120"/>
        <w:ind w:left="1800" w:hanging="360"/>
        <w:jc w:val="both"/>
      </w:pPr>
      <w:r>
        <w:rPr>
          <w:lang w:eastAsia="fr-FR" w:bidi="fr-FR"/>
        </w:rPr>
        <w:t>-</w:t>
      </w:r>
      <w:r>
        <w:rPr>
          <w:lang w:eastAsia="fr-FR" w:bidi="fr-FR"/>
        </w:rPr>
        <w:tab/>
      </w:r>
      <w:r w:rsidRPr="00AB71A5">
        <w:rPr>
          <w:lang w:eastAsia="fr-FR" w:bidi="fr-FR"/>
        </w:rPr>
        <w:t>renvoi à la mythologie ir</w:t>
      </w:r>
      <w:r w:rsidRPr="00AB71A5">
        <w:rPr>
          <w:lang w:eastAsia="fr-FR" w:bidi="fr-FR"/>
        </w:rPr>
        <w:t>a</w:t>
      </w:r>
      <w:r w:rsidRPr="00AB71A5">
        <w:rPr>
          <w:lang w:eastAsia="fr-FR" w:bidi="fr-FR"/>
        </w:rPr>
        <w:t>nienne.</w:t>
      </w:r>
    </w:p>
    <w:p w:rsidR="00A9729B" w:rsidRPr="00AB71A5" w:rsidRDefault="00A9729B" w:rsidP="00A9729B">
      <w:pPr>
        <w:spacing w:before="120" w:after="120"/>
        <w:ind w:left="900" w:hanging="540"/>
        <w:jc w:val="both"/>
      </w:pPr>
      <w:r>
        <w:rPr>
          <w:lang w:eastAsia="fr-FR" w:bidi="fr-FR"/>
        </w:rPr>
        <w:t>7.</w:t>
      </w:r>
      <w:r>
        <w:rPr>
          <w:lang w:eastAsia="fr-FR" w:bidi="fr-FR"/>
        </w:rPr>
        <w:tab/>
        <w:t>La culture judaïque :</w:t>
      </w:r>
    </w:p>
    <w:p w:rsidR="00A9729B" w:rsidRDefault="00A9729B" w:rsidP="00A9729B">
      <w:pPr>
        <w:spacing w:before="120" w:after="120"/>
        <w:ind w:left="1800" w:hanging="360"/>
        <w:jc w:val="both"/>
        <w:rPr>
          <w:lang w:eastAsia="fr-FR" w:bidi="fr-FR"/>
        </w:rPr>
      </w:pPr>
      <w:r>
        <w:rPr>
          <w:lang w:eastAsia="fr-FR" w:bidi="fr-FR"/>
        </w:rPr>
        <w:t>-</w:t>
      </w:r>
      <w:r>
        <w:rPr>
          <w:lang w:eastAsia="fr-FR" w:bidi="fr-FR"/>
        </w:rPr>
        <w:tab/>
      </w:r>
      <w:r w:rsidRPr="00AB71A5">
        <w:rPr>
          <w:lang w:eastAsia="fr-FR" w:bidi="fr-FR"/>
        </w:rPr>
        <w:t>plusieurs renvois à la Cabbale</w:t>
      </w:r>
    </w:p>
    <w:p w:rsidR="00A9729B" w:rsidRPr="00AB71A5" w:rsidRDefault="00A9729B" w:rsidP="00A9729B">
      <w:pPr>
        <w:spacing w:before="120" w:after="120"/>
        <w:ind w:left="1800" w:hanging="360"/>
        <w:jc w:val="both"/>
      </w:pPr>
      <w:r>
        <w:rPr>
          <w:lang w:eastAsia="fr-FR" w:bidi="fr-FR"/>
        </w:rPr>
        <w:t>-</w:t>
      </w:r>
      <w:r>
        <w:rPr>
          <w:lang w:eastAsia="fr-FR" w:bidi="fr-FR"/>
        </w:rPr>
        <w:tab/>
      </w:r>
      <w:r w:rsidRPr="00AB71A5">
        <w:rPr>
          <w:lang w:eastAsia="fr-FR" w:bidi="fr-FR"/>
        </w:rPr>
        <w:t>mentions de la langue h</w:t>
      </w:r>
      <w:r w:rsidRPr="00AB71A5">
        <w:rPr>
          <w:lang w:eastAsia="fr-FR" w:bidi="fr-FR"/>
        </w:rPr>
        <w:t>é</w:t>
      </w:r>
      <w:r w:rsidRPr="00AB71A5">
        <w:rPr>
          <w:lang w:eastAsia="fr-FR" w:bidi="fr-FR"/>
        </w:rPr>
        <w:t>braïque.</w:t>
      </w:r>
    </w:p>
    <w:p w:rsidR="00A9729B" w:rsidRPr="00AB71A5" w:rsidRDefault="00A9729B" w:rsidP="00A9729B">
      <w:pPr>
        <w:spacing w:before="120" w:after="120"/>
        <w:ind w:left="900" w:hanging="540"/>
        <w:jc w:val="both"/>
      </w:pPr>
      <w:r>
        <w:rPr>
          <w:lang w:eastAsia="fr-FR" w:bidi="fr-FR"/>
        </w:rPr>
        <w:t>8.</w:t>
      </w:r>
      <w:r>
        <w:rPr>
          <w:lang w:eastAsia="fr-FR" w:bidi="fr-FR"/>
        </w:rPr>
        <w:tab/>
        <w:t>La culture latine :</w:t>
      </w:r>
    </w:p>
    <w:p w:rsidR="00A9729B" w:rsidRDefault="00A9729B" w:rsidP="00A9729B">
      <w:pPr>
        <w:spacing w:before="120" w:after="120"/>
        <w:ind w:left="1800" w:hanging="360"/>
        <w:jc w:val="both"/>
        <w:rPr>
          <w:lang w:eastAsia="fr-FR" w:bidi="fr-FR"/>
        </w:rPr>
      </w:pPr>
      <w:r>
        <w:rPr>
          <w:lang w:eastAsia="fr-FR" w:bidi="fr-FR"/>
        </w:rPr>
        <w:t>-</w:t>
      </w:r>
      <w:r>
        <w:rPr>
          <w:lang w:eastAsia="fr-FR" w:bidi="fr-FR"/>
        </w:rPr>
        <w:tab/>
      </w:r>
      <w:r w:rsidRPr="00AB71A5">
        <w:rPr>
          <w:lang w:eastAsia="fr-FR" w:bidi="fr-FR"/>
        </w:rPr>
        <w:t>cit</w:t>
      </w:r>
      <w:r w:rsidRPr="00AB71A5">
        <w:rPr>
          <w:lang w:eastAsia="fr-FR" w:bidi="fr-FR"/>
        </w:rPr>
        <w:t>a</w:t>
      </w:r>
      <w:r w:rsidRPr="00AB71A5">
        <w:rPr>
          <w:lang w:eastAsia="fr-FR" w:bidi="fr-FR"/>
        </w:rPr>
        <w:t>tions latines</w:t>
      </w:r>
    </w:p>
    <w:p w:rsidR="00A9729B" w:rsidRPr="00AB71A5" w:rsidRDefault="00A9729B" w:rsidP="00A9729B">
      <w:pPr>
        <w:spacing w:before="120" w:after="120"/>
        <w:ind w:left="1800" w:hanging="360"/>
        <w:jc w:val="both"/>
      </w:pPr>
      <w:r>
        <w:rPr>
          <w:lang w:eastAsia="fr-FR" w:bidi="fr-FR"/>
        </w:rPr>
        <w:t>-</w:t>
      </w:r>
      <w:r>
        <w:rPr>
          <w:lang w:eastAsia="fr-FR" w:bidi="fr-FR"/>
        </w:rPr>
        <w:tab/>
      </w:r>
      <w:r w:rsidRPr="00AB71A5">
        <w:rPr>
          <w:lang w:eastAsia="fr-FR" w:bidi="fr-FR"/>
        </w:rPr>
        <w:t>étymologies.</w:t>
      </w:r>
    </w:p>
    <w:p w:rsidR="00A9729B" w:rsidRDefault="00A9729B" w:rsidP="00A9729B">
      <w:pPr>
        <w:spacing w:before="120" w:after="120"/>
        <w:ind w:left="900" w:hanging="540"/>
        <w:jc w:val="both"/>
        <w:rPr>
          <w:lang w:eastAsia="fr-FR" w:bidi="fr-FR"/>
        </w:rPr>
      </w:pPr>
      <w:r>
        <w:rPr>
          <w:lang w:eastAsia="fr-FR" w:bidi="fr-FR"/>
        </w:rPr>
        <w:t>9.</w:t>
      </w:r>
      <w:r>
        <w:rPr>
          <w:lang w:eastAsia="fr-FR" w:bidi="fr-FR"/>
        </w:rPr>
        <w:tab/>
        <w:t>La culture pré-colombienne :</w:t>
      </w:r>
    </w:p>
    <w:p w:rsidR="00A9729B" w:rsidRPr="00AB71A5" w:rsidRDefault="00A9729B" w:rsidP="00A9729B">
      <w:pPr>
        <w:spacing w:before="120" w:after="120"/>
        <w:ind w:left="1800" w:hanging="360"/>
        <w:jc w:val="both"/>
      </w:pPr>
      <w:r>
        <w:rPr>
          <w:lang w:eastAsia="fr-FR" w:bidi="fr-FR"/>
        </w:rPr>
        <w:t>-</w:t>
      </w:r>
      <w:r>
        <w:rPr>
          <w:lang w:eastAsia="fr-FR" w:bidi="fr-FR"/>
        </w:rPr>
        <w:tab/>
      </w:r>
      <w:r w:rsidRPr="00AB71A5">
        <w:rPr>
          <w:lang w:eastAsia="fr-FR" w:bidi="fr-FR"/>
        </w:rPr>
        <w:t>paragraphe sur l’arithmétique</w:t>
      </w:r>
      <w:r>
        <w:rPr>
          <w:lang w:eastAsia="fr-FR" w:bidi="fr-FR"/>
        </w:rPr>
        <w:t xml:space="preserve"> </w:t>
      </w:r>
      <w:r w:rsidRPr="00AB71A5">
        <w:rPr>
          <w:lang w:eastAsia="fr-FR" w:bidi="fr-FR"/>
        </w:rPr>
        <w:t>des Mayas.</w:t>
      </w:r>
    </w:p>
    <w:p w:rsidR="00A9729B" w:rsidRDefault="00A9729B" w:rsidP="00A9729B">
      <w:pPr>
        <w:spacing w:before="120" w:after="120"/>
        <w:ind w:left="900" w:hanging="540"/>
        <w:jc w:val="both"/>
        <w:rPr>
          <w:lang w:eastAsia="fr-FR" w:bidi="fr-FR"/>
        </w:rPr>
      </w:pPr>
      <w:r>
        <w:rPr>
          <w:lang w:eastAsia="fr-FR" w:bidi="fr-FR"/>
        </w:rPr>
        <w:t>10.</w:t>
      </w:r>
      <w:r>
        <w:rPr>
          <w:lang w:eastAsia="fr-FR" w:bidi="fr-FR"/>
        </w:rPr>
        <w:tab/>
      </w:r>
      <w:r w:rsidRPr="00AB71A5">
        <w:rPr>
          <w:lang w:eastAsia="fr-FR" w:bidi="fr-FR"/>
        </w:rPr>
        <w:t>La culture des I</w:t>
      </w:r>
      <w:r w:rsidRPr="00AB71A5">
        <w:rPr>
          <w:lang w:eastAsia="fr-FR" w:bidi="fr-FR"/>
        </w:rPr>
        <w:t>n</w:t>
      </w:r>
      <w:r w:rsidRPr="00AB71A5">
        <w:rPr>
          <w:lang w:eastAsia="fr-FR" w:bidi="fr-FR"/>
        </w:rPr>
        <w:t>diens d’Amérique du Nord :</w:t>
      </w:r>
    </w:p>
    <w:p w:rsidR="00A9729B" w:rsidRPr="00AB71A5" w:rsidRDefault="00A9729B" w:rsidP="00A9729B">
      <w:pPr>
        <w:spacing w:before="120" w:after="120"/>
        <w:ind w:left="1800" w:hanging="360"/>
        <w:jc w:val="both"/>
      </w:pPr>
      <w:r>
        <w:rPr>
          <w:lang w:eastAsia="fr-FR" w:bidi="fr-FR"/>
        </w:rPr>
        <w:t>-</w:t>
      </w:r>
      <w:r>
        <w:rPr>
          <w:lang w:eastAsia="fr-FR" w:bidi="fr-FR"/>
        </w:rPr>
        <w:tab/>
      </w:r>
      <w:r w:rsidRPr="00AB71A5">
        <w:rPr>
          <w:lang w:eastAsia="fr-FR" w:bidi="fr-FR"/>
        </w:rPr>
        <w:t>mention d’une</w:t>
      </w:r>
      <w:r>
        <w:rPr>
          <w:lang w:eastAsia="fr-FR" w:bidi="fr-FR"/>
        </w:rPr>
        <w:t xml:space="preserve"> </w:t>
      </w:r>
      <w:r w:rsidRPr="00AB71A5">
        <w:t>façon</w:t>
      </w:r>
      <w:r w:rsidRPr="00AB71A5">
        <w:rPr>
          <w:lang w:eastAsia="fr-FR" w:bidi="fr-FR"/>
        </w:rPr>
        <w:t xml:space="preserve"> </w:t>
      </w:r>
      <w:r w:rsidRPr="00AB71A5">
        <w:t xml:space="preserve">de </w:t>
      </w:r>
      <w:r w:rsidRPr="00AB71A5">
        <w:rPr>
          <w:lang w:eastAsia="fr-FR" w:bidi="fr-FR"/>
        </w:rPr>
        <w:t>compter particulière aux T</w:t>
      </w:r>
      <w:r w:rsidRPr="00AB71A5">
        <w:rPr>
          <w:lang w:eastAsia="fr-FR" w:bidi="fr-FR"/>
        </w:rPr>
        <w:t>a</w:t>
      </w:r>
      <w:r w:rsidRPr="00AB71A5">
        <w:rPr>
          <w:lang w:eastAsia="fr-FR" w:bidi="fr-FR"/>
        </w:rPr>
        <w:t xml:space="preserve">rahumaras </w:t>
      </w:r>
      <w:r w:rsidRPr="00AB71A5">
        <w:t>(Tribu</w:t>
      </w:r>
      <w:r w:rsidRPr="00AB71A5">
        <w:rPr>
          <w:lang w:eastAsia="fr-FR" w:bidi="fr-FR"/>
        </w:rPr>
        <w:t xml:space="preserve"> du Sud-Ouest des États-Unis).</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On mentionne par ailleurs les Assyriens et les Chaldéens. Nous n’avons pas cru bon d’ouvrir une classe pour y ranger les renvois à des ensembles culturels pouvant être rangés en gros sous l’étiquette « culture occidentale postérieure à l’Antiquité gréco-latine », la fr</w:t>
      </w:r>
      <w:r w:rsidRPr="00AB71A5">
        <w:rPr>
          <w:lang w:eastAsia="fr-FR" w:bidi="fr-FR"/>
        </w:rPr>
        <w:t>é</w:t>
      </w:r>
      <w:r w:rsidRPr="00AB71A5">
        <w:rPr>
          <w:lang w:eastAsia="fr-FR" w:bidi="fr-FR"/>
        </w:rPr>
        <w:t>quence des occu</w:t>
      </w:r>
      <w:r w:rsidRPr="00AB71A5">
        <w:rPr>
          <w:lang w:eastAsia="fr-FR" w:bidi="fr-FR"/>
        </w:rPr>
        <w:t>r</w:t>
      </w:r>
      <w:r w:rsidRPr="00AB71A5">
        <w:rPr>
          <w:lang w:eastAsia="fr-FR" w:bidi="fr-FR"/>
        </w:rPr>
        <w:t>rences de marques pouvant être rangées dans cette classe étant trop él</w:t>
      </w:r>
      <w:r w:rsidRPr="00AB71A5">
        <w:rPr>
          <w:lang w:eastAsia="fr-FR" w:bidi="fr-FR"/>
        </w:rPr>
        <w:t>e</w:t>
      </w:r>
      <w:r w:rsidRPr="00AB71A5">
        <w:rPr>
          <w:lang w:eastAsia="fr-FR" w:bidi="fr-FR"/>
        </w:rPr>
        <w:t>vée.</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Pr>
          <w:lang w:eastAsia="fr-FR" w:bidi="fr-FR"/>
        </w:rPr>
        <w:t xml:space="preserve">4.12. </w:t>
      </w:r>
      <w:r w:rsidRPr="00AB71A5">
        <w:rPr>
          <w:lang w:eastAsia="fr-FR" w:bidi="fr-FR"/>
        </w:rPr>
        <w:t>Nous avons redistribué les marques précédentes dans des cla</w:t>
      </w:r>
      <w:r w:rsidRPr="00AB71A5">
        <w:rPr>
          <w:lang w:eastAsia="fr-FR" w:bidi="fr-FR"/>
        </w:rPr>
        <w:t>s</w:t>
      </w:r>
      <w:r w:rsidRPr="00AB71A5">
        <w:rPr>
          <w:lang w:eastAsia="fr-FR" w:bidi="fr-FR"/>
        </w:rPr>
        <w:t>ses un peu moins générales : les langues explicitement citées et les classes d’origine sous le</w:t>
      </w:r>
      <w:r w:rsidRPr="00AB71A5">
        <w:rPr>
          <w:lang w:eastAsia="fr-FR" w:bidi="fr-FR"/>
        </w:rPr>
        <w:t>s</w:t>
      </w:r>
      <w:r w:rsidRPr="00AB71A5">
        <w:rPr>
          <w:lang w:eastAsia="fr-FR" w:bidi="fr-FR"/>
        </w:rPr>
        <w:t>quelles peuvent être regroupées les citations.</w:t>
      </w:r>
    </w:p>
    <w:p w:rsidR="00A9729B" w:rsidRDefault="00A9729B" w:rsidP="00A9729B">
      <w:pPr>
        <w:spacing w:before="120" w:after="120"/>
        <w:jc w:val="both"/>
        <w:rPr>
          <w:lang w:eastAsia="fr-FR" w:bidi="fr-FR"/>
        </w:rPr>
      </w:pPr>
      <w:r>
        <w:rPr>
          <w:lang w:eastAsia="fr-FR" w:bidi="fr-FR"/>
        </w:rPr>
        <w:t>[93]</w:t>
      </w:r>
    </w:p>
    <w:p w:rsidR="00A9729B" w:rsidRPr="00AB71A5" w:rsidRDefault="00A9729B" w:rsidP="00A9729B">
      <w:pPr>
        <w:spacing w:before="120" w:after="120"/>
        <w:jc w:val="both"/>
      </w:pPr>
    </w:p>
    <w:p w:rsidR="00A9729B" w:rsidRPr="00AB71A5" w:rsidRDefault="00A9729B" w:rsidP="00A9729B">
      <w:pPr>
        <w:spacing w:before="120" w:after="120"/>
        <w:jc w:val="both"/>
      </w:pPr>
      <w:r>
        <w:rPr>
          <w:lang w:eastAsia="fr-FR" w:bidi="fr-FR"/>
        </w:rPr>
        <w:t xml:space="preserve">4.121. </w:t>
      </w:r>
      <w:r w:rsidRPr="00AB71A5">
        <w:rPr>
          <w:lang w:eastAsia="fr-FR" w:bidi="fr-FR"/>
        </w:rPr>
        <w:t>Langues citées</w:t>
      </w:r>
    </w:p>
    <w:p w:rsidR="00A9729B" w:rsidRPr="00AB71A5" w:rsidRDefault="00A9729B" w:rsidP="00A9729B">
      <w:pPr>
        <w:spacing w:before="120" w:after="120"/>
        <w:jc w:val="both"/>
      </w:pPr>
      <w:r w:rsidRPr="00AB71A5">
        <w:rPr>
          <w:lang w:eastAsia="fr-FR" w:bidi="fr-FR"/>
        </w:rPr>
        <w:t>On peut noter la présence (1) du sanskrit (sphota, dhvani, arka, ataptatanuh, sita, usas, sukrasadman, citra, sarvadhatuka, ardh</w:t>
      </w:r>
      <w:r w:rsidRPr="00AB71A5">
        <w:rPr>
          <w:lang w:eastAsia="fr-FR" w:bidi="fr-FR"/>
        </w:rPr>
        <w:t>o</w:t>
      </w:r>
      <w:r w:rsidRPr="00AB71A5">
        <w:rPr>
          <w:lang w:eastAsia="fr-FR" w:bidi="fr-FR"/>
        </w:rPr>
        <w:t>datuka, sutra) (2) du grec (semeiotikè, analusis, aperion, al</w:t>
      </w:r>
      <w:r w:rsidRPr="00AB71A5">
        <w:rPr>
          <w:lang w:eastAsia="fr-FR" w:bidi="fr-FR"/>
        </w:rPr>
        <w:t>e</w:t>
      </w:r>
      <w:r w:rsidRPr="00AB71A5">
        <w:rPr>
          <w:lang w:eastAsia="fr-FR" w:bidi="fr-FR"/>
        </w:rPr>
        <w:t>teia, keios, idein, nous, ousia) (3) du latin (citations latines, étymol</w:t>
      </w:r>
      <w:r w:rsidRPr="00AB71A5">
        <w:rPr>
          <w:lang w:eastAsia="fr-FR" w:bidi="fr-FR"/>
        </w:rPr>
        <w:t>o</w:t>
      </w:r>
      <w:r w:rsidRPr="00AB71A5">
        <w:rPr>
          <w:lang w:eastAsia="fr-FR" w:bidi="fr-FR"/>
        </w:rPr>
        <w:t>gie) (4) de l’anglais (on cite Wittgenstein en anglais.</w:t>
      </w:r>
      <w:r>
        <w:rPr>
          <w:lang w:eastAsia="fr-FR" w:bidi="fr-FR"/>
        </w:rPr>
        <w:t> </w:t>
      </w:r>
      <w:r>
        <w:rPr>
          <w:rStyle w:val="Appelnotedebasdep"/>
          <w:lang w:eastAsia="fr-FR" w:bidi="fr-FR"/>
        </w:rPr>
        <w:footnoteReference w:id="14"/>
      </w:r>
      <w:r w:rsidRPr="00AB71A5">
        <w:rPr>
          <w:lang w:eastAsia="fr-FR" w:bidi="fr-FR"/>
        </w:rPr>
        <w:t xml:space="preserve"> Aussi, un titre en anglais de Pei</w:t>
      </w:r>
      <w:r w:rsidRPr="00AB71A5">
        <w:rPr>
          <w:lang w:eastAsia="fr-FR" w:bidi="fr-FR"/>
        </w:rPr>
        <w:t>r</w:t>
      </w:r>
      <w:r w:rsidRPr="00AB71A5">
        <w:rPr>
          <w:lang w:eastAsia="fr-FR" w:bidi="fr-FR"/>
        </w:rPr>
        <w:t>ce), (5) de l’allemand (citation de Freud, titre d’une œuvre de Freud (Traumdeutung) ) (6) du russe (titres d’articles ru</w:t>
      </w:r>
      <w:r w:rsidRPr="00AB71A5">
        <w:rPr>
          <w:lang w:eastAsia="fr-FR" w:bidi="fr-FR"/>
        </w:rPr>
        <w:t>s</w:t>
      </w:r>
      <w:r w:rsidRPr="00AB71A5">
        <w:rPr>
          <w:lang w:eastAsia="fr-FR" w:bidi="fr-FR"/>
        </w:rPr>
        <w:t>ses) (7) du chinois (idéogrammes). (8) On utilise par ailleurs le symbolisme logico-mathématique. (9) Sans citer dans ces langues, on me</w:t>
      </w:r>
      <w:r w:rsidRPr="00AB71A5">
        <w:rPr>
          <w:lang w:eastAsia="fr-FR" w:bidi="fr-FR"/>
        </w:rPr>
        <w:t>n</w:t>
      </w:r>
      <w:r w:rsidRPr="00AB71A5">
        <w:rPr>
          <w:lang w:eastAsia="fr-FR" w:bidi="fr-FR"/>
        </w:rPr>
        <w:t>tionne l’hébreu, l’arabe et les hiéroglyphes égyptiens. (10) Le texte est écrit en fra</w:t>
      </w:r>
      <w:r w:rsidRPr="00AB71A5">
        <w:rPr>
          <w:lang w:eastAsia="fr-FR" w:bidi="fr-FR"/>
        </w:rPr>
        <w:t>n</w:t>
      </w:r>
      <w:r w:rsidRPr="00AB71A5">
        <w:rPr>
          <w:lang w:eastAsia="fr-FR" w:bidi="fr-FR"/>
        </w:rPr>
        <w:t>çais.</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Pr>
          <w:lang w:eastAsia="fr-FR" w:bidi="fr-FR"/>
        </w:rPr>
        <w:t xml:space="preserve">4.122. </w:t>
      </w:r>
      <w:r w:rsidRPr="00AB71A5">
        <w:rPr>
          <w:lang w:eastAsia="fr-FR" w:bidi="fr-FR"/>
        </w:rPr>
        <w:t>Origine des citations</w:t>
      </w:r>
    </w:p>
    <w:p w:rsidR="00A9729B" w:rsidRPr="00AB71A5" w:rsidRDefault="00A9729B" w:rsidP="00A9729B">
      <w:pPr>
        <w:spacing w:before="120" w:after="120"/>
        <w:jc w:val="both"/>
      </w:pPr>
      <w:r w:rsidRPr="00AB71A5">
        <w:rPr>
          <w:lang w:eastAsia="fr-FR" w:bidi="fr-FR"/>
        </w:rPr>
        <w:t>Les citations proviennent (1) de l’Inde, (Les Vedas, Bhartrhari, P</w:t>
      </w:r>
      <w:r w:rsidRPr="00AB71A5">
        <w:rPr>
          <w:lang w:eastAsia="fr-FR" w:bidi="fr-FR"/>
        </w:rPr>
        <w:t>a</w:t>
      </w:r>
      <w:r w:rsidRPr="00AB71A5">
        <w:rPr>
          <w:lang w:eastAsia="fr-FR" w:bidi="fr-FR"/>
        </w:rPr>
        <w:t>nini, Vakyapadiya), (2) de Chine (le Tao-To King), (3) de Grèce (Pl</w:t>
      </w:r>
      <w:r w:rsidRPr="00AB71A5">
        <w:rPr>
          <w:lang w:eastAsia="fr-FR" w:bidi="fr-FR"/>
        </w:rPr>
        <w:t>a</w:t>
      </w:r>
      <w:r w:rsidRPr="00AB71A5">
        <w:rPr>
          <w:lang w:eastAsia="fr-FR" w:bidi="fr-FR"/>
        </w:rPr>
        <w:t>ton et Aristote), (4) du Judaïsme (Spinoza), (5) d’Allemagne et d’Autriche (Leibniz, Freud, Wittgenstein), (6) de France (Mallarmé, Artaud, Lacan), (7) des États-Unis (Chomsky).</w:t>
      </w:r>
    </w:p>
    <w:p w:rsidR="00A9729B" w:rsidRDefault="00A9729B" w:rsidP="00A9729B">
      <w:pPr>
        <w:spacing w:before="120" w:after="120"/>
        <w:jc w:val="both"/>
        <w:rPr>
          <w:lang w:eastAsia="fr-FR" w:bidi="fr-FR"/>
        </w:rPr>
      </w:pPr>
      <w:r>
        <w:rPr>
          <w:lang w:eastAsia="fr-FR" w:bidi="fr-FR"/>
        </w:rPr>
        <w:br w:type="page"/>
      </w:r>
    </w:p>
    <w:p w:rsidR="00A9729B" w:rsidRPr="00AB71A5" w:rsidRDefault="00A9729B" w:rsidP="00A9729B">
      <w:pPr>
        <w:spacing w:before="120" w:after="120"/>
        <w:jc w:val="both"/>
      </w:pPr>
      <w:r>
        <w:rPr>
          <w:lang w:eastAsia="fr-FR" w:bidi="fr-FR"/>
        </w:rPr>
        <w:t xml:space="preserve">4.13. </w:t>
      </w:r>
      <w:r w:rsidRPr="00AB71A5">
        <w:rPr>
          <w:lang w:eastAsia="fr-FR" w:bidi="fr-FR"/>
        </w:rPr>
        <w:t>Régions épistémolog</w:t>
      </w:r>
      <w:r w:rsidRPr="00AB71A5">
        <w:rPr>
          <w:lang w:eastAsia="fr-FR" w:bidi="fr-FR"/>
        </w:rPr>
        <w:t>i</w:t>
      </w:r>
      <w:r w:rsidRPr="00AB71A5">
        <w:rPr>
          <w:lang w:eastAsia="fr-FR" w:bidi="fr-FR"/>
        </w:rPr>
        <w:t>ques</w:t>
      </w:r>
    </w:p>
    <w:p w:rsidR="00A9729B" w:rsidRPr="00AB71A5" w:rsidRDefault="00A9729B" w:rsidP="00A9729B">
      <w:pPr>
        <w:spacing w:before="120" w:after="120"/>
        <w:jc w:val="both"/>
      </w:pPr>
      <w:r w:rsidRPr="00AB71A5">
        <w:rPr>
          <w:lang w:eastAsia="fr-FR" w:bidi="fr-FR"/>
        </w:rPr>
        <w:t>Thématiquement, la région épistémologique qui constitue le lieu explicite du texte est celle de la sémiologie (dans sa variante propr</w:t>
      </w:r>
      <w:r w:rsidRPr="00AB71A5">
        <w:rPr>
          <w:lang w:eastAsia="fr-FR" w:bidi="fr-FR"/>
        </w:rPr>
        <w:t>e</w:t>
      </w:r>
      <w:r w:rsidRPr="00AB71A5">
        <w:rPr>
          <w:lang w:eastAsia="fr-FR" w:bidi="fr-FR"/>
        </w:rPr>
        <w:t>ment kristevienne : la sémanalyse). La discussion va cependant se d</w:t>
      </w:r>
      <w:r w:rsidRPr="00AB71A5">
        <w:rPr>
          <w:lang w:eastAsia="fr-FR" w:bidi="fr-FR"/>
        </w:rPr>
        <w:t>é</w:t>
      </w:r>
      <w:r w:rsidRPr="00AB71A5">
        <w:rPr>
          <w:lang w:eastAsia="fr-FR" w:bidi="fr-FR"/>
        </w:rPr>
        <w:t>rouler dans un espace beaucoup plus ample que celui de la seule s</w:t>
      </w:r>
      <w:r w:rsidRPr="00AB71A5">
        <w:rPr>
          <w:lang w:eastAsia="fr-FR" w:bidi="fr-FR"/>
        </w:rPr>
        <w:t>é</w:t>
      </w:r>
      <w:r w:rsidRPr="00AB71A5">
        <w:rPr>
          <w:lang w:eastAsia="fr-FR" w:bidi="fr-FR"/>
        </w:rPr>
        <w:t>miologie. En fait, on foulera les régions épi</w:t>
      </w:r>
      <w:r w:rsidRPr="00AB71A5">
        <w:rPr>
          <w:lang w:eastAsia="fr-FR" w:bidi="fr-FR"/>
        </w:rPr>
        <w:t>s</w:t>
      </w:r>
      <w:r w:rsidRPr="00AB71A5">
        <w:rPr>
          <w:lang w:eastAsia="fr-FR" w:bidi="fr-FR"/>
        </w:rPr>
        <w:t>témologiques suivantes : (1) les sciences positives (astronomie et physique. Elles sont seul</w:t>
      </w:r>
      <w:r w:rsidRPr="00AB71A5">
        <w:rPr>
          <w:lang w:eastAsia="fr-FR" w:bidi="fr-FR"/>
        </w:rPr>
        <w:t>e</w:t>
      </w:r>
      <w:r w:rsidRPr="00AB71A5">
        <w:rPr>
          <w:lang w:eastAsia="fr-FR" w:bidi="fr-FR"/>
        </w:rPr>
        <w:t>ment invoquées), (2) les mathématiques (théorie des nombres, thé</w:t>
      </w:r>
      <w:r w:rsidRPr="00AB71A5">
        <w:rPr>
          <w:lang w:eastAsia="fr-FR" w:bidi="fr-FR"/>
        </w:rPr>
        <w:t>o</w:t>
      </w:r>
      <w:r w:rsidRPr="00AB71A5">
        <w:rPr>
          <w:lang w:eastAsia="fr-FR" w:bidi="fr-FR"/>
        </w:rPr>
        <w:t>rie des ensembles, géométrie), (3) la logique (logique mathém</w:t>
      </w:r>
      <w:r w:rsidRPr="00AB71A5">
        <w:rPr>
          <w:lang w:eastAsia="fr-FR" w:bidi="fr-FR"/>
        </w:rPr>
        <w:t>a</w:t>
      </w:r>
      <w:r w:rsidRPr="00AB71A5">
        <w:rPr>
          <w:lang w:eastAsia="fr-FR" w:bidi="fr-FR"/>
        </w:rPr>
        <w:t>tique), (4) la philosophie (le m</w:t>
      </w:r>
      <w:r w:rsidRPr="00AB71A5">
        <w:rPr>
          <w:lang w:eastAsia="fr-FR" w:bidi="fr-FR"/>
        </w:rPr>
        <w:t>a</w:t>
      </w:r>
      <w:r w:rsidRPr="00AB71A5">
        <w:rPr>
          <w:lang w:eastAsia="fr-FR" w:bidi="fr-FR"/>
        </w:rPr>
        <w:t>térialisme dialectique, etc.), (5) la psychanalyse, (6) la linguistique (phonologie du cercle de Prague, linguistique sau</w:t>
      </w:r>
      <w:r w:rsidRPr="00AB71A5">
        <w:rPr>
          <w:lang w:eastAsia="fr-FR" w:bidi="fr-FR"/>
        </w:rPr>
        <w:t>s</w:t>
      </w:r>
      <w:r w:rsidRPr="00AB71A5">
        <w:rPr>
          <w:lang w:eastAsia="fr-FR" w:bidi="fr-FR"/>
        </w:rPr>
        <w:t>surienne, linguistique transform</w:t>
      </w:r>
      <w:r w:rsidRPr="00AB71A5">
        <w:rPr>
          <w:lang w:eastAsia="fr-FR" w:bidi="fr-FR"/>
        </w:rPr>
        <w:t>a</w:t>
      </w:r>
      <w:r w:rsidRPr="00AB71A5">
        <w:rPr>
          <w:lang w:eastAsia="fr-FR" w:bidi="fr-FR"/>
        </w:rPr>
        <w:t>tionnelle), (7) poétique, (8) théorie polit</w:t>
      </w:r>
      <w:r w:rsidRPr="00AB71A5">
        <w:rPr>
          <w:lang w:eastAsia="fr-FR" w:bidi="fr-FR"/>
        </w:rPr>
        <w:t>i</w:t>
      </w:r>
      <w:r w:rsidRPr="00AB71A5">
        <w:rPr>
          <w:lang w:eastAsia="fr-FR" w:bidi="fr-FR"/>
        </w:rPr>
        <w:t>que.</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Pr>
          <w:lang w:eastAsia="fr-FR" w:bidi="fr-FR"/>
        </w:rPr>
        <w:t xml:space="preserve">4.132. </w:t>
      </w:r>
      <w:r w:rsidRPr="00AB71A5">
        <w:rPr>
          <w:lang w:eastAsia="fr-FR" w:bidi="fr-FR"/>
        </w:rPr>
        <w:t>Concepts marqués</w:t>
      </w:r>
    </w:p>
    <w:p w:rsidR="00A9729B" w:rsidRPr="00AB71A5" w:rsidRDefault="00A9729B" w:rsidP="00A9729B">
      <w:pPr>
        <w:spacing w:before="120" w:after="120"/>
        <w:jc w:val="both"/>
      </w:pPr>
      <w:r w:rsidRPr="00AB71A5">
        <w:rPr>
          <w:lang w:eastAsia="fr-FR" w:bidi="fr-FR"/>
        </w:rPr>
        <w:t>Corrélativement à ces incursions dans diverses régions épistém</w:t>
      </w:r>
      <w:r w:rsidRPr="00AB71A5">
        <w:rPr>
          <w:lang w:eastAsia="fr-FR" w:bidi="fr-FR"/>
        </w:rPr>
        <w:t>o</w:t>
      </w:r>
      <w:r w:rsidRPr="00AB71A5">
        <w:rPr>
          <w:lang w:eastAsia="fr-FR" w:bidi="fr-FR"/>
        </w:rPr>
        <w:t>logiques, on trouve un certain nombre de concepts ma</w:t>
      </w:r>
      <w:r w:rsidRPr="00AB71A5">
        <w:rPr>
          <w:lang w:eastAsia="fr-FR" w:bidi="fr-FR"/>
        </w:rPr>
        <w:t>r</w:t>
      </w:r>
      <w:r>
        <w:rPr>
          <w:lang w:eastAsia="fr-FR" w:bidi="fr-FR"/>
        </w:rPr>
        <w:t>qués. Un con</w:t>
      </w:r>
      <w:r w:rsidRPr="00AB71A5">
        <w:rPr>
          <w:lang w:eastAsia="fr-FR" w:bidi="fr-FR"/>
        </w:rPr>
        <w:t>cept</w:t>
      </w:r>
      <w:r>
        <w:rPr>
          <w:lang w:eastAsia="fr-FR" w:bidi="fr-FR"/>
        </w:rPr>
        <w:t xml:space="preserve"> [94]</w:t>
      </w:r>
      <w:r w:rsidRPr="00AB71A5">
        <w:rPr>
          <w:lang w:eastAsia="fr-FR" w:bidi="fr-FR"/>
        </w:rPr>
        <w:t xml:space="preserve"> marqué comporte un renvoi explicite — parfois impl</w:t>
      </w:r>
      <w:r w:rsidRPr="00AB71A5">
        <w:rPr>
          <w:lang w:eastAsia="fr-FR" w:bidi="fr-FR"/>
        </w:rPr>
        <w:t>i</w:t>
      </w:r>
      <w:r w:rsidRPr="00AB71A5">
        <w:rPr>
          <w:lang w:eastAsia="fr-FR" w:bidi="fr-FR"/>
        </w:rPr>
        <w:t>cite — à son contexte d'origine et peut difficilement être appréhe</w:t>
      </w:r>
      <w:r w:rsidRPr="00AB71A5">
        <w:rPr>
          <w:lang w:eastAsia="fr-FR" w:bidi="fr-FR"/>
        </w:rPr>
        <w:t>n</w:t>
      </w:r>
      <w:r w:rsidRPr="00AB71A5">
        <w:rPr>
          <w:lang w:eastAsia="fr-FR" w:bidi="fr-FR"/>
        </w:rPr>
        <w:t>dé sans la connaissance de ce contexte d’origine. Dans bea</w:t>
      </w:r>
      <w:r w:rsidRPr="00AB71A5">
        <w:rPr>
          <w:lang w:eastAsia="fr-FR" w:bidi="fr-FR"/>
        </w:rPr>
        <w:t>u</w:t>
      </w:r>
      <w:r w:rsidRPr="00AB71A5">
        <w:rPr>
          <w:lang w:eastAsia="fr-FR" w:bidi="fr-FR"/>
        </w:rPr>
        <w:t>coup de cas, ce concept n’est pas encore devenu un concept tec</w:t>
      </w:r>
      <w:r w:rsidRPr="00AB71A5">
        <w:rPr>
          <w:lang w:eastAsia="fr-FR" w:bidi="fr-FR"/>
        </w:rPr>
        <w:t>h</w:t>
      </w:r>
      <w:r w:rsidRPr="00AB71A5">
        <w:rPr>
          <w:lang w:eastAsia="fr-FR" w:bidi="fr-FR"/>
        </w:rPr>
        <w:t>nique reçu par une communauté scientifique. Dans d’autres cas, concepts techniques et concepts marqués coïncident. Je me suis borné à relever, de façon non-exhaustive, un certain nombre de concepts marqués. Soit, donc, la liste suivante :</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Concepts marqués</w:t>
      </w:r>
    </w:p>
    <w:p w:rsidR="00A9729B" w:rsidRDefault="00A9729B" w:rsidP="00A9729B">
      <w:pPr>
        <w:spacing w:before="120" w:after="120"/>
        <w:jc w:val="both"/>
        <w:rPr>
          <w:lang w:eastAsia="fr-FR" w:bidi="fr-FR"/>
        </w:rPr>
      </w:pPr>
    </w:p>
    <w:p w:rsidR="00A9729B" w:rsidRDefault="00A9729B" w:rsidP="00A9729B">
      <w:pPr>
        <w:ind w:left="1440" w:firstLine="0"/>
        <w:jc w:val="both"/>
        <w:rPr>
          <w:lang w:eastAsia="fr-FR" w:bidi="fr-FR"/>
        </w:rPr>
      </w:pPr>
      <w:r w:rsidRPr="00AB71A5">
        <w:rPr>
          <w:lang w:eastAsia="fr-FR" w:bidi="fr-FR"/>
        </w:rPr>
        <w:t>langue, sens saussurien du terme</w:t>
      </w:r>
    </w:p>
    <w:p w:rsidR="00A9729B" w:rsidRDefault="00A9729B" w:rsidP="00A9729B">
      <w:pPr>
        <w:ind w:left="1440" w:firstLine="0"/>
        <w:jc w:val="both"/>
        <w:rPr>
          <w:lang w:eastAsia="fr-FR" w:bidi="fr-FR"/>
        </w:rPr>
      </w:pPr>
      <w:r w:rsidRPr="00AB71A5">
        <w:rPr>
          <w:lang w:eastAsia="fr-FR" w:bidi="fr-FR"/>
        </w:rPr>
        <w:t>signe saussurien</w:t>
      </w:r>
    </w:p>
    <w:p w:rsidR="00A9729B" w:rsidRPr="00AB71A5" w:rsidRDefault="00A9729B" w:rsidP="00A9729B">
      <w:pPr>
        <w:ind w:left="1440" w:firstLine="0"/>
        <w:jc w:val="both"/>
      </w:pPr>
    </w:p>
    <w:p w:rsidR="00A9729B" w:rsidRDefault="00A9729B" w:rsidP="00A9729B">
      <w:pPr>
        <w:ind w:left="1440" w:firstLine="0"/>
        <w:jc w:val="both"/>
        <w:rPr>
          <w:lang w:eastAsia="fr-FR" w:bidi="fr-FR"/>
        </w:rPr>
      </w:pPr>
      <w:r>
        <w:rPr>
          <w:lang w:eastAsia="fr-FR" w:bidi="fr-FR"/>
        </w:rPr>
        <w:t>écriture (Derrida)</w:t>
      </w:r>
    </w:p>
    <w:p w:rsidR="00A9729B" w:rsidRDefault="00A9729B" w:rsidP="00A9729B">
      <w:pPr>
        <w:ind w:left="1440" w:firstLine="0"/>
        <w:jc w:val="both"/>
        <w:rPr>
          <w:lang w:eastAsia="fr-FR" w:bidi="fr-FR"/>
        </w:rPr>
      </w:pPr>
      <w:r>
        <w:rPr>
          <w:lang w:eastAsia="fr-FR" w:bidi="fr-FR"/>
        </w:rPr>
        <w:t>dissémination (Derrida)</w:t>
      </w:r>
    </w:p>
    <w:p w:rsidR="00A9729B" w:rsidRDefault="00A9729B" w:rsidP="00A9729B">
      <w:pPr>
        <w:ind w:left="1440" w:firstLine="0"/>
        <w:jc w:val="both"/>
        <w:rPr>
          <w:lang w:eastAsia="fr-FR" w:bidi="fr-FR"/>
        </w:rPr>
      </w:pPr>
      <w:r w:rsidRPr="00AB71A5">
        <w:rPr>
          <w:lang w:eastAsia="fr-FR" w:bidi="fr-FR"/>
        </w:rPr>
        <w:t>log</w:t>
      </w:r>
      <w:r w:rsidRPr="00AB71A5">
        <w:rPr>
          <w:lang w:eastAsia="fr-FR" w:bidi="fr-FR"/>
        </w:rPr>
        <w:t>o</w:t>
      </w:r>
      <w:r w:rsidRPr="00AB71A5">
        <w:rPr>
          <w:lang w:eastAsia="fr-FR" w:bidi="fr-FR"/>
        </w:rPr>
        <w:t>centrisme</w:t>
      </w:r>
    </w:p>
    <w:p w:rsidR="00A9729B" w:rsidRPr="00AB71A5" w:rsidRDefault="00A9729B" w:rsidP="00A9729B">
      <w:pPr>
        <w:ind w:left="1440" w:firstLine="0"/>
        <w:jc w:val="both"/>
      </w:pPr>
    </w:p>
    <w:p w:rsidR="00A9729B" w:rsidRPr="00AB71A5" w:rsidRDefault="00A9729B" w:rsidP="00A9729B">
      <w:pPr>
        <w:ind w:left="1440" w:firstLine="0"/>
        <w:jc w:val="both"/>
      </w:pPr>
      <w:r w:rsidRPr="00AB71A5">
        <w:rPr>
          <w:lang w:eastAsia="fr-FR" w:bidi="fr-FR"/>
        </w:rPr>
        <w:t>nombres imaginaires</w:t>
      </w:r>
    </w:p>
    <w:p w:rsidR="00A9729B" w:rsidRPr="00AB71A5" w:rsidRDefault="00A9729B" w:rsidP="00A9729B">
      <w:pPr>
        <w:ind w:left="1440" w:firstLine="0"/>
        <w:jc w:val="both"/>
      </w:pPr>
      <w:r w:rsidRPr="00AB71A5">
        <w:rPr>
          <w:lang w:eastAsia="fr-FR" w:bidi="fr-FR"/>
        </w:rPr>
        <w:t>nombres irréels</w:t>
      </w:r>
    </w:p>
    <w:p w:rsidR="00A9729B" w:rsidRPr="00AB71A5" w:rsidRDefault="00A9729B" w:rsidP="00A9729B">
      <w:pPr>
        <w:ind w:left="1440" w:firstLine="0"/>
        <w:jc w:val="both"/>
      </w:pPr>
      <w:r w:rsidRPr="00AB71A5">
        <w:rPr>
          <w:lang w:eastAsia="fr-FR" w:bidi="fr-FR"/>
        </w:rPr>
        <w:t>groupes de Galois</w:t>
      </w:r>
    </w:p>
    <w:p w:rsidR="00A9729B" w:rsidRPr="00AB71A5" w:rsidRDefault="00A9729B" w:rsidP="00A9729B">
      <w:pPr>
        <w:ind w:left="1440" w:firstLine="0"/>
        <w:jc w:val="both"/>
      </w:pPr>
      <w:r w:rsidRPr="00AB71A5">
        <w:rPr>
          <w:lang w:eastAsia="fr-FR" w:bidi="fr-FR"/>
        </w:rPr>
        <w:t>idéaux de Kummer</w:t>
      </w:r>
    </w:p>
    <w:p w:rsidR="00A9729B" w:rsidRPr="00AB71A5" w:rsidRDefault="00A9729B" w:rsidP="00A9729B">
      <w:pPr>
        <w:ind w:left="1440" w:firstLine="0"/>
        <w:jc w:val="both"/>
      </w:pPr>
      <w:r w:rsidRPr="00AB71A5">
        <w:rPr>
          <w:lang w:eastAsia="fr-FR" w:bidi="fr-FR"/>
        </w:rPr>
        <w:t>idéaux de Dedekind</w:t>
      </w:r>
    </w:p>
    <w:p w:rsidR="00A9729B" w:rsidRPr="00AB71A5" w:rsidRDefault="00A9729B" w:rsidP="00A9729B">
      <w:pPr>
        <w:ind w:left="1440" w:firstLine="0"/>
        <w:jc w:val="both"/>
      </w:pPr>
      <w:r w:rsidRPr="00AB71A5">
        <w:rPr>
          <w:lang w:eastAsia="fr-FR" w:bidi="fr-FR"/>
        </w:rPr>
        <w:t>infinitif homérique</w:t>
      </w:r>
    </w:p>
    <w:p w:rsidR="00A9729B" w:rsidRDefault="00A9729B" w:rsidP="00A9729B">
      <w:pPr>
        <w:ind w:left="1440" w:firstLine="0"/>
        <w:jc w:val="both"/>
        <w:rPr>
          <w:lang w:eastAsia="fr-FR" w:bidi="fr-FR"/>
        </w:rPr>
      </w:pPr>
      <w:r w:rsidRPr="00AB71A5">
        <w:rPr>
          <w:lang w:eastAsia="fr-FR" w:bidi="fr-FR"/>
        </w:rPr>
        <w:t>infinitif védique, indo-iranien</w:t>
      </w:r>
    </w:p>
    <w:p w:rsidR="00A9729B" w:rsidRPr="00AB71A5" w:rsidRDefault="00A9729B" w:rsidP="00A9729B">
      <w:pPr>
        <w:ind w:left="1440" w:firstLine="0"/>
        <w:jc w:val="both"/>
      </w:pPr>
    </w:p>
    <w:p w:rsidR="00A9729B" w:rsidRDefault="00A9729B" w:rsidP="00A9729B">
      <w:pPr>
        <w:ind w:left="1440" w:firstLine="0"/>
        <w:jc w:val="both"/>
        <w:rPr>
          <w:lang w:eastAsia="fr-FR" w:bidi="fr-FR"/>
        </w:rPr>
      </w:pPr>
      <w:r>
        <w:rPr>
          <w:lang w:eastAsia="fr-FR" w:bidi="fr-FR"/>
        </w:rPr>
        <w:t>spirale hégélienne</w:t>
      </w:r>
    </w:p>
    <w:p w:rsidR="00A9729B" w:rsidRDefault="00A9729B" w:rsidP="00A9729B">
      <w:pPr>
        <w:ind w:left="1440" w:firstLine="0"/>
        <w:jc w:val="both"/>
        <w:rPr>
          <w:lang w:eastAsia="fr-FR" w:bidi="fr-FR"/>
        </w:rPr>
      </w:pPr>
      <w:r w:rsidRPr="00AB71A5">
        <w:rPr>
          <w:lang w:eastAsia="fr-FR" w:bidi="fr-FR"/>
        </w:rPr>
        <w:t>triade hégélienne</w:t>
      </w:r>
    </w:p>
    <w:p w:rsidR="00A9729B" w:rsidRDefault="00A9729B" w:rsidP="00A9729B">
      <w:pPr>
        <w:ind w:left="1440" w:firstLine="0"/>
        <w:jc w:val="both"/>
        <w:rPr>
          <w:lang w:eastAsia="fr-FR" w:bidi="fr-FR"/>
        </w:rPr>
      </w:pPr>
      <w:r w:rsidRPr="00AB71A5">
        <w:rPr>
          <w:lang w:eastAsia="fr-FR" w:bidi="fr-FR"/>
        </w:rPr>
        <w:t>pyramide h</w:t>
      </w:r>
      <w:r w:rsidRPr="00AB71A5">
        <w:rPr>
          <w:lang w:eastAsia="fr-FR" w:bidi="fr-FR"/>
        </w:rPr>
        <w:t>é</w:t>
      </w:r>
      <w:r w:rsidRPr="00AB71A5">
        <w:rPr>
          <w:lang w:eastAsia="fr-FR" w:bidi="fr-FR"/>
        </w:rPr>
        <w:t>gélienne</w:t>
      </w:r>
    </w:p>
    <w:p w:rsidR="00A9729B" w:rsidRPr="00AB71A5" w:rsidRDefault="00A9729B" w:rsidP="00A9729B">
      <w:pPr>
        <w:ind w:left="1440" w:firstLine="0"/>
        <w:jc w:val="both"/>
      </w:pPr>
    </w:p>
    <w:p w:rsidR="00A9729B" w:rsidRDefault="00A9729B" w:rsidP="00A9729B">
      <w:pPr>
        <w:ind w:left="1440" w:firstLine="0"/>
        <w:jc w:val="both"/>
        <w:rPr>
          <w:lang w:eastAsia="fr-FR" w:bidi="fr-FR"/>
        </w:rPr>
      </w:pPr>
      <w:r w:rsidRPr="00AB71A5">
        <w:rPr>
          <w:lang w:eastAsia="fr-FR" w:bidi="fr-FR"/>
        </w:rPr>
        <w:t>typus heideggerien</w:t>
      </w:r>
    </w:p>
    <w:p w:rsidR="00A9729B" w:rsidRDefault="00A9729B" w:rsidP="00A9729B">
      <w:pPr>
        <w:ind w:left="1440" w:firstLine="0"/>
        <w:jc w:val="both"/>
        <w:rPr>
          <w:lang w:eastAsia="fr-FR" w:bidi="fr-FR"/>
        </w:rPr>
      </w:pPr>
      <w:r w:rsidRPr="00AB71A5">
        <w:rPr>
          <w:lang w:eastAsia="fr-FR" w:bidi="fr-FR"/>
        </w:rPr>
        <w:t xml:space="preserve">biffure </w:t>
      </w:r>
      <w:r>
        <w:rPr>
          <w:lang w:eastAsia="fr-FR" w:bidi="fr-FR"/>
        </w:rPr>
        <w:t>heideggérienne</w:t>
      </w:r>
    </w:p>
    <w:p w:rsidR="00A9729B" w:rsidRDefault="00A9729B" w:rsidP="00A9729B">
      <w:pPr>
        <w:ind w:left="1440" w:firstLine="0"/>
        <w:jc w:val="both"/>
        <w:rPr>
          <w:lang w:eastAsia="fr-FR" w:bidi="fr-FR"/>
        </w:rPr>
      </w:pPr>
      <w:r w:rsidRPr="00AB71A5">
        <w:rPr>
          <w:lang w:eastAsia="fr-FR" w:bidi="fr-FR"/>
        </w:rPr>
        <w:t>cadran heideggerien</w:t>
      </w:r>
    </w:p>
    <w:p w:rsidR="00A9729B" w:rsidRPr="00AB71A5" w:rsidRDefault="00A9729B" w:rsidP="00A9729B">
      <w:pPr>
        <w:ind w:left="1440" w:firstLine="0"/>
        <w:jc w:val="both"/>
      </w:pPr>
    </w:p>
    <w:p w:rsidR="00A9729B" w:rsidRDefault="00A9729B" w:rsidP="00A9729B">
      <w:pPr>
        <w:ind w:left="1440" w:firstLine="0"/>
        <w:jc w:val="both"/>
        <w:rPr>
          <w:lang w:eastAsia="fr-FR" w:bidi="fr-FR"/>
        </w:rPr>
      </w:pPr>
      <w:r>
        <w:rPr>
          <w:lang w:eastAsia="fr-FR" w:bidi="fr-FR"/>
        </w:rPr>
        <w:t>réduction phénoménologique</w:t>
      </w:r>
    </w:p>
    <w:p w:rsidR="00A9729B" w:rsidRPr="00AB71A5" w:rsidRDefault="00A9729B" w:rsidP="00A9729B">
      <w:pPr>
        <w:ind w:left="1440" w:firstLine="0"/>
        <w:jc w:val="both"/>
      </w:pPr>
      <w:r w:rsidRPr="00AB71A5">
        <w:rPr>
          <w:lang w:eastAsia="fr-FR" w:bidi="fr-FR"/>
        </w:rPr>
        <w:t>castration</w:t>
      </w:r>
    </w:p>
    <w:p w:rsidR="00A9729B" w:rsidRDefault="00A9729B" w:rsidP="00A9729B">
      <w:pPr>
        <w:spacing w:before="120" w:after="120"/>
        <w:jc w:val="both"/>
        <w:rPr>
          <w:lang w:eastAsia="fr-FR" w:bidi="fr-FR"/>
        </w:rPr>
      </w:pPr>
    </w:p>
    <w:p w:rsidR="00A9729B" w:rsidRDefault="00A9729B" w:rsidP="00A9729B">
      <w:pPr>
        <w:spacing w:before="120" w:after="120"/>
        <w:jc w:val="both"/>
        <w:rPr>
          <w:lang w:eastAsia="fr-FR" w:bidi="fr-FR"/>
        </w:rPr>
      </w:pPr>
      <w:r>
        <w:rPr>
          <w:lang w:eastAsia="fr-FR" w:bidi="fr-FR"/>
        </w:rPr>
        <w:t xml:space="preserve">4.14. </w:t>
      </w:r>
      <w:r w:rsidRPr="00AB71A5">
        <w:rPr>
          <w:lang w:eastAsia="fr-FR" w:bidi="fr-FR"/>
        </w:rPr>
        <w:t>Finalement, nous avons relevé à l’intérieur de l’objet-texte dont nous nous sommes occupés, les occurrences des noms propres suivants. S’il app</w:t>
      </w:r>
      <w:r w:rsidRPr="00AB71A5">
        <w:rPr>
          <w:lang w:eastAsia="fr-FR" w:bidi="fr-FR"/>
        </w:rPr>
        <w:t>a</w:t>
      </w:r>
      <w:r w:rsidRPr="00AB71A5">
        <w:rPr>
          <w:lang w:eastAsia="fr-FR" w:bidi="fr-FR"/>
        </w:rPr>
        <w:t>raît plus d’une fois, un nom sera suivi d’un chiffre,</w:t>
      </w:r>
      <w:r>
        <w:rPr>
          <w:lang w:eastAsia="fr-FR" w:bidi="fr-FR"/>
        </w:rPr>
        <w:t xml:space="preserve"> </w:t>
      </w:r>
      <w:r>
        <w:t xml:space="preserve">[95] </w:t>
      </w:r>
      <w:r w:rsidRPr="00AB71A5">
        <w:rPr>
          <w:lang w:eastAsia="fr-FR" w:bidi="fr-FR"/>
        </w:rPr>
        <w:t>mis entre parenthèses, qui indique le nombre minimal de ses o</w:t>
      </w:r>
      <w:r w:rsidRPr="00AB71A5">
        <w:rPr>
          <w:lang w:eastAsia="fr-FR" w:bidi="fr-FR"/>
        </w:rPr>
        <w:t>c</w:t>
      </w:r>
      <w:r w:rsidRPr="00AB71A5">
        <w:rPr>
          <w:lang w:eastAsia="fr-FR" w:bidi="fr-FR"/>
        </w:rPr>
        <w:t>currences (il se peut que ce nombre soit en réalité plus élevé). Rema</w:t>
      </w:r>
      <w:r w:rsidRPr="00AB71A5">
        <w:rPr>
          <w:lang w:eastAsia="fr-FR" w:bidi="fr-FR"/>
        </w:rPr>
        <w:t>r</w:t>
      </w:r>
      <w:r w:rsidRPr="00AB71A5">
        <w:rPr>
          <w:lang w:eastAsia="fr-FR" w:bidi="fr-FR"/>
        </w:rPr>
        <w:t>quons que notre procédure, si l’on excepte la comp</w:t>
      </w:r>
      <w:r w:rsidRPr="00AB71A5">
        <w:rPr>
          <w:lang w:eastAsia="fr-FR" w:bidi="fr-FR"/>
        </w:rPr>
        <w:t>i</w:t>
      </w:r>
      <w:r w:rsidRPr="00AB71A5">
        <w:rPr>
          <w:lang w:eastAsia="fr-FR" w:bidi="fr-FR"/>
        </w:rPr>
        <w:t>lation du nombre des occurrences ne diffère en rien de l’établissement d’un simple i</w:t>
      </w:r>
      <w:r w:rsidRPr="00AB71A5">
        <w:rPr>
          <w:lang w:eastAsia="fr-FR" w:bidi="fr-FR"/>
        </w:rPr>
        <w:t>n</w:t>
      </w:r>
      <w:r w:rsidRPr="00AB71A5">
        <w:rPr>
          <w:lang w:eastAsia="fr-FR" w:bidi="fr-FR"/>
        </w:rPr>
        <w:t>dex.</w:t>
      </w:r>
    </w:p>
    <w:p w:rsidR="00A9729B" w:rsidRPr="00AB71A5" w:rsidRDefault="00A9729B" w:rsidP="00A9729B">
      <w:pPr>
        <w:spacing w:before="120" w:after="120"/>
        <w:jc w:val="both"/>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643"/>
        <w:gridCol w:w="2643"/>
        <w:gridCol w:w="2644"/>
      </w:tblGrid>
      <w:tr w:rsidR="00A9729B" w:rsidRPr="00AB71A5">
        <w:tblPrEx>
          <w:tblCellMar>
            <w:top w:w="0" w:type="dxa"/>
            <w:bottom w:w="0" w:type="dxa"/>
          </w:tblCellMar>
        </w:tblPrEx>
        <w:tc>
          <w:tcPr>
            <w:tcW w:w="2643" w:type="dxa"/>
            <w:tcBorders>
              <w:top w:val="single" w:sz="12" w:space="0" w:color="auto"/>
              <w:bottom w:val="single" w:sz="12" w:space="0" w:color="auto"/>
            </w:tcBorders>
            <w:shd w:val="clear" w:color="auto" w:fill="EEECE1"/>
          </w:tcPr>
          <w:p w:rsidR="00A9729B" w:rsidRPr="009079EE" w:rsidRDefault="00A9729B" w:rsidP="00A9729B">
            <w:pPr>
              <w:spacing w:before="60" w:after="60"/>
              <w:ind w:left="86" w:right="101" w:firstLine="0"/>
              <w:jc w:val="both"/>
              <w:rPr>
                <w:sz w:val="24"/>
              </w:rPr>
            </w:pPr>
            <w:r w:rsidRPr="009079EE">
              <w:rPr>
                <w:sz w:val="24"/>
              </w:rPr>
              <w:t>NOMS PR</w:t>
            </w:r>
            <w:r w:rsidRPr="009079EE">
              <w:rPr>
                <w:sz w:val="24"/>
              </w:rPr>
              <w:t>O</w:t>
            </w:r>
            <w:r w:rsidRPr="009079EE">
              <w:rPr>
                <w:sz w:val="24"/>
              </w:rPr>
              <w:t>PRES</w:t>
            </w:r>
          </w:p>
        </w:tc>
        <w:tc>
          <w:tcPr>
            <w:tcW w:w="2643" w:type="dxa"/>
            <w:tcBorders>
              <w:top w:val="single" w:sz="12" w:space="0" w:color="auto"/>
              <w:bottom w:val="single" w:sz="12" w:space="0" w:color="auto"/>
            </w:tcBorders>
            <w:shd w:val="clear" w:color="auto" w:fill="EEECE1"/>
          </w:tcPr>
          <w:p w:rsidR="00A9729B" w:rsidRPr="009079EE" w:rsidRDefault="00A9729B" w:rsidP="00A9729B">
            <w:pPr>
              <w:spacing w:before="60" w:after="60"/>
              <w:ind w:left="86" w:right="101" w:firstLine="0"/>
              <w:jc w:val="both"/>
              <w:rPr>
                <w:sz w:val="24"/>
                <w:szCs w:val="10"/>
              </w:rPr>
            </w:pPr>
          </w:p>
        </w:tc>
        <w:tc>
          <w:tcPr>
            <w:tcW w:w="2644" w:type="dxa"/>
            <w:tcBorders>
              <w:top w:val="single" w:sz="12" w:space="0" w:color="auto"/>
              <w:bottom w:val="single" w:sz="12" w:space="0" w:color="auto"/>
            </w:tcBorders>
            <w:shd w:val="clear" w:color="auto" w:fill="EEECE1"/>
          </w:tcPr>
          <w:p w:rsidR="00A9729B" w:rsidRPr="009079EE" w:rsidRDefault="00A9729B" w:rsidP="00A9729B">
            <w:pPr>
              <w:spacing w:before="60" w:after="60"/>
              <w:ind w:left="86" w:right="101" w:firstLine="0"/>
              <w:jc w:val="both"/>
              <w:rPr>
                <w:sz w:val="24"/>
                <w:szCs w:val="10"/>
              </w:rPr>
            </w:pPr>
          </w:p>
        </w:tc>
      </w:tr>
      <w:tr w:rsidR="00A9729B" w:rsidRPr="00AB71A5">
        <w:tblPrEx>
          <w:tblCellMar>
            <w:top w:w="0" w:type="dxa"/>
            <w:bottom w:w="0" w:type="dxa"/>
          </w:tblCellMar>
        </w:tblPrEx>
        <w:tc>
          <w:tcPr>
            <w:tcW w:w="2643" w:type="dxa"/>
            <w:tcBorders>
              <w:top w:val="single" w:sz="12" w:space="0" w:color="auto"/>
            </w:tcBorders>
            <w:shd w:val="clear" w:color="auto" w:fill="FFFFFF"/>
            <w:vAlign w:val="bottom"/>
          </w:tcPr>
          <w:p w:rsidR="00A9729B" w:rsidRPr="009079EE" w:rsidRDefault="00A9729B" w:rsidP="00A9729B">
            <w:pPr>
              <w:ind w:left="90" w:right="103" w:firstLine="0"/>
              <w:jc w:val="both"/>
              <w:rPr>
                <w:sz w:val="24"/>
              </w:rPr>
            </w:pPr>
            <w:r w:rsidRPr="009079EE">
              <w:rPr>
                <w:sz w:val="24"/>
              </w:rPr>
              <w:t>Abel</w:t>
            </w:r>
          </w:p>
        </w:tc>
        <w:tc>
          <w:tcPr>
            <w:tcW w:w="2643" w:type="dxa"/>
            <w:tcBorders>
              <w:top w:val="single" w:sz="12" w:space="0" w:color="auto"/>
            </w:tcBorders>
            <w:shd w:val="clear" w:color="auto" w:fill="FFFFFF"/>
            <w:vAlign w:val="bottom"/>
          </w:tcPr>
          <w:p w:rsidR="00A9729B" w:rsidRPr="009079EE" w:rsidRDefault="00A9729B" w:rsidP="00A9729B">
            <w:pPr>
              <w:ind w:left="90" w:right="103" w:firstLine="0"/>
              <w:jc w:val="both"/>
              <w:rPr>
                <w:sz w:val="24"/>
              </w:rPr>
            </w:pPr>
            <w:r w:rsidRPr="009079EE">
              <w:rPr>
                <w:sz w:val="24"/>
              </w:rPr>
              <w:t>Dante (2)</w:t>
            </w:r>
          </w:p>
        </w:tc>
        <w:tc>
          <w:tcPr>
            <w:tcW w:w="2644" w:type="dxa"/>
            <w:tcBorders>
              <w:top w:val="single" w:sz="12" w:space="0" w:color="auto"/>
            </w:tcBorders>
            <w:shd w:val="clear" w:color="auto" w:fill="FFFFFF"/>
            <w:vAlign w:val="bottom"/>
          </w:tcPr>
          <w:p w:rsidR="00A9729B" w:rsidRPr="009079EE" w:rsidRDefault="00A9729B" w:rsidP="00A9729B">
            <w:pPr>
              <w:ind w:left="90" w:right="103" w:firstLine="0"/>
              <w:jc w:val="both"/>
              <w:rPr>
                <w:sz w:val="24"/>
              </w:rPr>
            </w:pPr>
            <w:r w:rsidRPr="009079EE">
              <w:rPr>
                <w:sz w:val="24"/>
              </w:rPr>
              <w:t>Lucrèce (2)</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rPr>
            </w:pPr>
            <w:r w:rsidRPr="009079EE">
              <w:rPr>
                <w:sz w:val="24"/>
              </w:rPr>
              <w:t>Amud Al Sobh</w:t>
            </w:r>
          </w:p>
        </w:tc>
        <w:tc>
          <w:tcPr>
            <w:tcW w:w="2643" w:type="dxa"/>
            <w:shd w:val="clear" w:color="auto" w:fill="FFFFFF"/>
          </w:tcPr>
          <w:p w:rsidR="00A9729B" w:rsidRPr="009079EE" w:rsidRDefault="00A9729B" w:rsidP="00A9729B">
            <w:pPr>
              <w:ind w:left="90" w:right="103" w:firstLine="0"/>
              <w:jc w:val="both"/>
              <w:rPr>
                <w:sz w:val="24"/>
              </w:rPr>
            </w:pPr>
            <w:r w:rsidRPr="009079EE">
              <w:rPr>
                <w:sz w:val="24"/>
              </w:rPr>
              <w:t>Dedekino</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Mallarmé (10)</w:t>
            </w:r>
          </w:p>
        </w:tc>
      </w:tr>
      <w:tr w:rsidR="00A9729B" w:rsidRPr="00AB71A5">
        <w:tblPrEx>
          <w:tblCellMar>
            <w:top w:w="0" w:type="dxa"/>
            <w:bottom w:w="0" w:type="dxa"/>
          </w:tblCellMar>
        </w:tblPrEx>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Apres j an</w:t>
            </w:r>
          </w:p>
        </w:tc>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Derrida (3)</w:t>
            </w:r>
          </w:p>
        </w:tc>
        <w:tc>
          <w:tcPr>
            <w:tcW w:w="2644" w:type="dxa"/>
            <w:shd w:val="clear" w:color="auto" w:fill="FFFFFF"/>
            <w:vAlign w:val="bottom"/>
          </w:tcPr>
          <w:p w:rsidR="00A9729B" w:rsidRPr="009079EE" w:rsidRDefault="00A9729B" w:rsidP="00A9729B">
            <w:pPr>
              <w:ind w:left="90" w:right="103" w:firstLine="0"/>
              <w:jc w:val="both"/>
              <w:rPr>
                <w:sz w:val="24"/>
              </w:rPr>
            </w:pPr>
            <w:r w:rsidRPr="009079EE">
              <w:rPr>
                <w:sz w:val="24"/>
              </w:rPr>
              <w:t>Mao Tsé Toung</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rPr>
            </w:pPr>
            <w:r w:rsidRPr="009079EE">
              <w:rPr>
                <w:sz w:val="24"/>
              </w:rPr>
              <w:t>Aristote (3)</w:t>
            </w:r>
          </w:p>
        </w:tc>
        <w:tc>
          <w:tcPr>
            <w:tcW w:w="2643" w:type="dxa"/>
            <w:shd w:val="clear" w:color="auto" w:fill="FFFFFF"/>
          </w:tcPr>
          <w:p w:rsidR="00A9729B" w:rsidRPr="009079EE" w:rsidRDefault="00A9729B" w:rsidP="00A9729B">
            <w:pPr>
              <w:ind w:left="90" w:right="103" w:firstLine="0"/>
              <w:jc w:val="both"/>
              <w:rPr>
                <w:sz w:val="24"/>
              </w:rPr>
            </w:pPr>
            <w:r w:rsidRPr="009079EE">
              <w:rPr>
                <w:sz w:val="24"/>
              </w:rPr>
              <w:t>Descartes (3)</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Marx</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rPr>
            </w:pPr>
            <w:r w:rsidRPr="009079EE">
              <w:rPr>
                <w:sz w:val="24"/>
              </w:rPr>
              <w:t>Artaud (9)</w:t>
            </w:r>
          </w:p>
        </w:tc>
        <w:tc>
          <w:tcPr>
            <w:tcW w:w="2643" w:type="dxa"/>
            <w:shd w:val="clear" w:color="auto" w:fill="FFFFFF"/>
          </w:tcPr>
          <w:p w:rsidR="00A9729B" w:rsidRPr="009079EE" w:rsidRDefault="00A9729B" w:rsidP="00A9729B">
            <w:pPr>
              <w:ind w:left="90" w:right="103" w:firstLine="0"/>
              <w:jc w:val="both"/>
              <w:rPr>
                <w:sz w:val="24"/>
              </w:rPr>
            </w:pPr>
            <w:r w:rsidRPr="009079EE">
              <w:rPr>
                <w:sz w:val="24"/>
              </w:rPr>
              <w:t>Eliade</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Miller</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rPr>
            </w:pPr>
            <w:r w:rsidRPr="009079EE">
              <w:rPr>
                <w:sz w:val="24"/>
              </w:rPr>
              <w:t>Bachelard</w:t>
            </w:r>
          </w:p>
        </w:tc>
        <w:tc>
          <w:tcPr>
            <w:tcW w:w="2643" w:type="dxa"/>
            <w:shd w:val="clear" w:color="auto" w:fill="FFFFFF"/>
          </w:tcPr>
          <w:p w:rsidR="00A9729B" w:rsidRPr="009079EE" w:rsidRDefault="00A9729B" w:rsidP="00A9729B">
            <w:pPr>
              <w:ind w:left="90" w:right="103" w:firstLine="0"/>
              <w:jc w:val="both"/>
              <w:rPr>
                <w:sz w:val="24"/>
              </w:rPr>
            </w:pPr>
            <w:r w:rsidRPr="009079EE">
              <w:rPr>
                <w:sz w:val="24"/>
              </w:rPr>
              <w:t>Euclide</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Nerval</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rPr>
            </w:pPr>
            <w:r w:rsidRPr="009079EE">
              <w:rPr>
                <w:sz w:val="24"/>
              </w:rPr>
              <w:t>Badiou (3)</w:t>
            </w:r>
          </w:p>
        </w:tc>
        <w:tc>
          <w:tcPr>
            <w:tcW w:w="2643" w:type="dxa"/>
            <w:shd w:val="clear" w:color="auto" w:fill="FFFFFF"/>
          </w:tcPr>
          <w:p w:rsidR="00A9729B" w:rsidRPr="009079EE" w:rsidRDefault="00A9729B" w:rsidP="00A9729B">
            <w:pPr>
              <w:ind w:left="90" w:right="103" w:firstLine="0"/>
              <w:jc w:val="both"/>
              <w:rPr>
                <w:sz w:val="24"/>
              </w:rPr>
            </w:pPr>
            <w:r w:rsidRPr="009079EE">
              <w:rPr>
                <w:sz w:val="24"/>
              </w:rPr>
              <w:t>Freud</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Nietzsche</w:t>
            </w:r>
          </w:p>
        </w:tc>
      </w:tr>
      <w:tr w:rsidR="00A9729B" w:rsidRPr="00AB71A5">
        <w:tblPrEx>
          <w:tblCellMar>
            <w:top w:w="0" w:type="dxa"/>
            <w:bottom w:w="0" w:type="dxa"/>
          </w:tblCellMar>
        </w:tblPrEx>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Bataille (2)</w:t>
            </w:r>
          </w:p>
        </w:tc>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Galois</w:t>
            </w:r>
          </w:p>
        </w:tc>
        <w:tc>
          <w:tcPr>
            <w:tcW w:w="2644" w:type="dxa"/>
            <w:shd w:val="clear" w:color="auto" w:fill="FFFFFF"/>
            <w:vAlign w:val="bottom"/>
          </w:tcPr>
          <w:p w:rsidR="00A9729B" w:rsidRPr="009079EE" w:rsidRDefault="00A9729B" w:rsidP="00A9729B">
            <w:pPr>
              <w:ind w:left="90" w:right="103" w:firstLine="0"/>
              <w:jc w:val="both"/>
              <w:rPr>
                <w:sz w:val="24"/>
              </w:rPr>
            </w:pPr>
            <w:r w:rsidRPr="009079EE">
              <w:rPr>
                <w:sz w:val="24"/>
              </w:rPr>
              <w:t>Panini</w:t>
            </w:r>
          </w:p>
        </w:tc>
      </w:tr>
      <w:tr w:rsidR="00A9729B" w:rsidRPr="00AB71A5">
        <w:tblPrEx>
          <w:tblCellMar>
            <w:top w:w="0" w:type="dxa"/>
            <w:bottom w:w="0" w:type="dxa"/>
          </w:tblCellMar>
        </w:tblPrEx>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Benveniste (2)</w:t>
            </w:r>
          </w:p>
        </w:tc>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Goethe</w:t>
            </w:r>
          </w:p>
        </w:tc>
        <w:tc>
          <w:tcPr>
            <w:tcW w:w="2644" w:type="dxa"/>
            <w:shd w:val="clear" w:color="auto" w:fill="FFFFFF"/>
            <w:vAlign w:val="bottom"/>
          </w:tcPr>
          <w:p w:rsidR="00A9729B" w:rsidRPr="009079EE" w:rsidRDefault="00A9729B" w:rsidP="00A9729B">
            <w:pPr>
              <w:ind w:left="90" w:right="103" w:firstLine="0"/>
              <w:jc w:val="both"/>
              <w:rPr>
                <w:sz w:val="24"/>
              </w:rPr>
            </w:pPr>
            <w:r w:rsidRPr="009079EE">
              <w:rPr>
                <w:sz w:val="24"/>
              </w:rPr>
              <w:t>Peirce</w:t>
            </w:r>
          </w:p>
        </w:tc>
      </w:tr>
      <w:tr w:rsidR="00A9729B" w:rsidRPr="00AB71A5">
        <w:tblPrEx>
          <w:tblCellMar>
            <w:top w:w="0" w:type="dxa"/>
            <w:bottom w:w="0" w:type="dxa"/>
          </w:tblCellMar>
        </w:tblPrEx>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Bhartrhari (3)</w:t>
            </w:r>
          </w:p>
        </w:tc>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Granet</w:t>
            </w:r>
          </w:p>
        </w:tc>
        <w:tc>
          <w:tcPr>
            <w:tcW w:w="2644" w:type="dxa"/>
            <w:shd w:val="clear" w:color="auto" w:fill="FFFFFF"/>
            <w:vAlign w:val="bottom"/>
          </w:tcPr>
          <w:p w:rsidR="00A9729B" w:rsidRPr="009079EE" w:rsidRDefault="00A9729B" w:rsidP="00A9729B">
            <w:pPr>
              <w:ind w:left="90" w:right="103" w:firstLine="0"/>
              <w:jc w:val="both"/>
              <w:rPr>
                <w:sz w:val="24"/>
              </w:rPr>
            </w:pPr>
            <w:r w:rsidRPr="009079EE">
              <w:rPr>
                <w:sz w:val="24"/>
              </w:rPr>
              <w:t>Platon</w:t>
            </w:r>
          </w:p>
        </w:tc>
      </w:tr>
      <w:tr w:rsidR="00A9729B" w:rsidRPr="00AB71A5">
        <w:tblPrEx>
          <w:tblCellMar>
            <w:top w:w="0" w:type="dxa"/>
            <w:bottom w:w="0" w:type="dxa"/>
          </w:tblCellMar>
        </w:tblPrEx>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Biardeau</w:t>
            </w:r>
          </w:p>
        </w:tc>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Greimas</w:t>
            </w:r>
          </w:p>
        </w:tc>
        <w:tc>
          <w:tcPr>
            <w:tcW w:w="2644" w:type="dxa"/>
            <w:shd w:val="clear" w:color="auto" w:fill="FFFFFF"/>
            <w:vAlign w:val="bottom"/>
          </w:tcPr>
          <w:p w:rsidR="00A9729B" w:rsidRPr="009079EE" w:rsidRDefault="00A9729B" w:rsidP="00A9729B">
            <w:pPr>
              <w:ind w:left="90" w:right="103" w:firstLine="0"/>
              <w:jc w:val="both"/>
              <w:rPr>
                <w:sz w:val="24"/>
              </w:rPr>
            </w:pPr>
            <w:r w:rsidRPr="009079EE">
              <w:rPr>
                <w:sz w:val="24"/>
              </w:rPr>
              <w:t>Pottier</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rPr>
            </w:pPr>
            <w:r w:rsidRPr="009079EE">
              <w:rPr>
                <w:sz w:val="24"/>
              </w:rPr>
              <w:t>Bloomfield</w:t>
            </w:r>
          </w:p>
        </w:tc>
        <w:tc>
          <w:tcPr>
            <w:tcW w:w="2643" w:type="dxa"/>
            <w:shd w:val="clear" w:color="auto" w:fill="FFFFFF"/>
          </w:tcPr>
          <w:p w:rsidR="00A9729B" w:rsidRPr="009079EE" w:rsidRDefault="00A9729B" w:rsidP="00A9729B">
            <w:pPr>
              <w:ind w:left="90" w:right="103" w:firstLine="0"/>
              <w:jc w:val="both"/>
              <w:rPr>
                <w:sz w:val="24"/>
              </w:rPr>
            </w:pPr>
            <w:r w:rsidRPr="009079EE">
              <w:rPr>
                <w:sz w:val="24"/>
              </w:rPr>
              <w:t>Grevisse</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Pythagore</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rPr>
            </w:pPr>
            <w:r w:rsidRPr="009079EE">
              <w:rPr>
                <w:sz w:val="24"/>
              </w:rPr>
              <w:t>Cauchy</w:t>
            </w:r>
          </w:p>
        </w:tc>
        <w:tc>
          <w:tcPr>
            <w:tcW w:w="2643" w:type="dxa"/>
            <w:shd w:val="clear" w:color="auto" w:fill="FFFFFF"/>
          </w:tcPr>
          <w:p w:rsidR="00A9729B" w:rsidRPr="009079EE" w:rsidRDefault="00A9729B" w:rsidP="00A9729B">
            <w:pPr>
              <w:ind w:left="90" w:right="103" w:firstLine="0"/>
              <w:jc w:val="both"/>
              <w:rPr>
                <w:sz w:val="24"/>
              </w:rPr>
            </w:pPr>
            <w:r w:rsidRPr="009079EE">
              <w:rPr>
                <w:sz w:val="24"/>
              </w:rPr>
              <w:t>Harris</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Renou</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rPr>
            </w:pPr>
            <w:r w:rsidRPr="009079EE">
              <w:rPr>
                <w:sz w:val="24"/>
              </w:rPr>
              <w:t>Cherbury</w:t>
            </w:r>
          </w:p>
        </w:tc>
        <w:tc>
          <w:tcPr>
            <w:tcW w:w="2643" w:type="dxa"/>
            <w:shd w:val="clear" w:color="auto" w:fill="FFFFFF"/>
          </w:tcPr>
          <w:p w:rsidR="00A9729B" w:rsidRPr="009079EE" w:rsidRDefault="00A9729B" w:rsidP="00A9729B">
            <w:pPr>
              <w:ind w:left="90" w:right="103" w:firstLine="0"/>
              <w:jc w:val="both"/>
              <w:rPr>
                <w:sz w:val="24"/>
              </w:rPr>
            </w:pPr>
            <w:r w:rsidRPr="009079EE">
              <w:rPr>
                <w:sz w:val="24"/>
              </w:rPr>
              <w:t>Heraclite (2)</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Roussel</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rPr>
            </w:pPr>
            <w:r w:rsidRPr="009079EE">
              <w:rPr>
                <w:sz w:val="24"/>
              </w:rPr>
              <w:t>Chomsky</w:t>
            </w:r>
          </w:p>
        </w:tc>
        <w:tc>
          <w:tcPr>
            <w:tcW w:w="2643" w:type="dxa"/>
            <w:shd w:val="clear" w:color="auto" w:fill="FFFFFF"/>
          </w:tcPr>
          <w:p w:rsidR="00A9729B" w:rsidRPr="009079EE" w:rsidRDefault="00A9729B" w:rsidP="00A9729B">
            <w:pPr>
              <w:ind w:left="90" w:right="103" w:firstLine="0"/>
              <w:jc w:val="both"/>
              <w:rPr>
                <w:sz w:val="24"/>
              </w:rPr>
            </w:pPr>
            <w:r w:rsidRPr="009079EE">
              <w:rPr>
                <w:sz w:val="24"/>
              </w:rPr>
              <w:t>Jakobson</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Rimbaud</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rPr>
            </w:pPr>
            <w:r w:rsidRPr="009079EE">
              <w:rPr>
                <w:sz w:val="24"/>
              </w:rPr>
              <w:t>Corbin</w:t>
            </w:r>
          </w:p>
        </w:tc>
        <w:tc>
          <w:tcPr>
            <w:tcW w:w="2643" w:type="dxa"/>
            <w:shd w:val="clear" w:color="auto" w:fill="FFFFFF"/>
          </w:tcPr>
          <w:p w:rsidR="00A9729B" w:rsidRPr="009079EE" w:rsidRDefault="00A9729B" w:rsidP="00A9729B">
            <w:pPr>
              <w:ind w:left="90" w:right="103" w:firstLine="0"/>
              <w:jc w:val="both"/>
              <w:rPr>
                <w:sz w:val="24"/>
              </w:rPr>
            </w:pPr>
            <w:r w:rsidRPr="009079EE">
              <w:rPr>
                <w:sz w:val="24"/>
              </w:rPr>
              <w:t>Kappers</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Sacery</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szCs w:val="10"/>
              </w:rPr>
            </w:pPr>
          </w:p>
        </w:tc>
        <w:tc>
          <w:tcPr>
            <w:tcW w:w="2643" w:type="dxa"/>
            <w:shd w:val="clear" w:color="auto" w:fill="FFFFFF"/>
          </w:tcPr>
          <w:p w:rsidR="00A9729B" w:rsidRPr="009079EE" w:rsidRDefault="00A9729B" w:rsidP="00A9729B">
            <w:pPr>
              <w:ind w:left="90" w:right="103" w:firstLine="0"/>
              <w:jc w:val="both"/>
              <w:rPr>
                <w:sz w:val="24"/>
              </w:rPr>
            </w:pPr>
            <w:r w:rsidRPr="009079EE">
              <w:rPr>
                <w:sz w:val="24"/>
              </w:rPr>
              <w:t>Kummer</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Saumjan</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szCs w:val="10"/>
              </w:rPr>
            </w:pPr>
          </w:p>
        </w:tc>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Kurylowicz</w:t>
            </w:r>
          </w:p>
        </w:tc>
        <w:tc>
          <w:tcPr>
            <w:tcW w:w="2644" w:type="dxa"/>
            <w:shd w:val="clear" w:color="auto" w:fill="FFFFFF"/>
            <w:vAlign w:val="bottom"/>
          </w:tcPr>
          <w:p w:rsidR="00A9729B" w:rsidRPr="009079EE" w:rsidRDefault="00A9729B" w:rsidP="00A9729B">
            <w:pPr>
              <w:ind w:left="90" w:right="103" w:firstLine="0"/>
              <w:jc w:val="both"/>
              <w:rPr>
                <w:sz w:val="24"/>
              </w:rPr>
            </w:pPr>
            <w:r w:rsidRPr="009079EE">
              <w:rPr>
                <w:sz w:val="24"/>
              </w:rPr>
              <w:t>Saussure (3)</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szCs w:val="10"/>
              </w:rPr>
            </w:pPr>
          </w:p>
        </w:tc>
        <w:tc>
          <w:tcPr>
            <w:tcW w:w="2643" w:type="dxa"/>
            <w:shd w:val="clear" w:color="auto" w:fill="FFFFFF"/>
          </w:tcPr>
          <w:p w:rsidR="00A9729B" w:rsidRPr="009079EE" w:rsidRDefault="00A9729B" w:rsidP="00A9729B">
            <w:pPr>
              <w:ind w:left="90" w:right="103" w:firstLine="0"/>
              <w:jc w:val="both"/>
              <w:rPr>
                <w:sz w:val="24"/>
              </w:rPr>
            </w:pPr>
            <w:r w:rsidRPr="009079EE">
              <w:rPr>
                <w:sz w:val="24"/>
              </w:rPr>
              <w:t>Lacan</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Serres (3)</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szCs w:val="10"/>
              </w:rPr>
            </w:pPr>
          </w:p>
        </w:tc>
        <w:tc>
          <w:tcPr>
            <w:tcW w:w="2643" w:type="dxa"/>
            <w:shd w:val="clear" w:color="auto" w:fill="FFFFFF"/>
            <w:vAlign w:val="bottom"/>
          </w:tcPr>
          <w:p w:rsidR="00A9729B" w:rsidRPr="009079EE" w:rsidRDefault="00A9729B" w:rsidP="00A9729B">
            <w:pPr>
              <w:ind w:left="90" w:right="103" w:firstLine="0"/>
              <w:jc w:val="both"/>
              <w:rPr>
                <w:sz w:val="24"/>
              </w:rPr>
            </w:pPr>
            <w:r w:rsidRPr="009079EE">
              <w:rPr>
                <w:sz w:val="24"/>
              </w:rPr>
              <w:t>Lautréamont (5)</w:t>
            </w:r>
          </w:p>
        </w:tc>
        <w:tc>
          <w:tcPr>
            <w:tcW w:w="2644" w:type="dxa"/>
            <w:shd w:val="clear" w:color="auto" w:fill="FFFFFF"/>
            <w:vAlign w:val="bottom"/>
          </w:tcPr>
          <w:p w:rsidR="00A9729B" w:rsidRPr="009079EE" w:rsidRDefault="00A9729B" w:rsidP="00A9729B">
            <w:pPr>
              <w:ind w:left="90" w:right="103" w:firstLine="0"/>
              <w:jc w:val="both"/>
              <w:rPr>
                <w:sz w:val="24"/>
              </w:rPr>
            </w:pPr>
            <w:r w:rsidRPr="009079EE">
              <w:rPr>
                <w:sz w:val="24"/>
              </w:rPr>
              <w:t>Soboleva</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szCs w:val="10"/>
              </w:rPr>
            </w:pPr>
          </w:p>
        </w:tc>
        <w:tc>
          <w:tcPr>
            <w:tcW w:w="2643" w:type="dxa"/>
            <w:shd w:val="clear" w:color="auto" w:fill="FFFFFF"/>
          </w:tcPr>
          <w:p w:rsidR="00A9729B" w:rsidRPr="009079EE" w:rsidRDefault="00A9729B" w:rsidP="00A9729B">
            <w:pPr>
              <w:ind w:left="90" w:right="103" w:firstLine="0"/>
              <w:jc w:val="both"/>
              <w:rPr>
                <w:sz w:val="24"/>
              </w:rPr>
            </w:pPr>
            <w:r w:rsidRPr="009079EE">
              <w:rPr>
                <w:sz w:val="24"/>
              </w:rPr>
              <w:t>Lees</w:t>
            </w:r>
          </w:p>
        </w:tc>
        <w:tc>
          <w:tcPr>
            <w:tcW w:w="2644" w:type="dxa"/>
            <w:shd w:val="clear" w:color="auto" w:fill="FFFFFF"/>
          </w:tcPr>
          <w:p w:rsidR="00A9729B" w:rsidRPr="009079EE" w:rsidRDefault="00A9729B" w:rsidP="00A9729B">
            <w:pPr>
              <w:ind w:left="90" w:right="103" w:firstLine="0"/>
              <w:jc w:val="both"/>
              <w:rPr>
                <w:sz w:val="24"/>
              </w:rPr>
            </w:pPr>
            <w:r w:rsidRPr="009079EE">
              <w:rPr>
                <w:sz w:val="24"/>
              </w:rPr>
              <w:t>Sollers</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szCs w:val="10"/>
              </w:rPr>
            </w:pPr>
          </w:p>
        </w:tc>
        <w:tc>
          <w:tcPr>
            <w:tcW w:w="2643" w:type="dxa"/>
            <w:shd w:val="clear" w:color="auto" w:fill="FFFFFF"/>
          </w:tcPr>
          <w:p w:rsidR="00A9729B" w:rsidRPr="009079EE" w:rsidRDefault="00A9729B" w:rsidP="00A9729B">
            <w:pPr>
              <w:ind w:left="90" w:right="103" w:firstLine="0"/>
              <w:jc w:val="both"/>
              <w:rPr>
                <w:sz w:val="24"/>
              </w:rPr>
            </w:pPr>
            <w:r w:rsidRPr="009079EE">
              <w:rPr>
                <w:sz w:val="24"/>
              </w:rPr>
              <w:t>Leibniz (8)</w:t>
            </w:r>
          </w:p>
        </w:tc>
        <w:tc>
          <w:tcPr>
            <w:tcW w:w="2644" w:type="dxa"/>
            <w:shd w:val="clear" w:color="auto" w:fill="FFFFFF"/>
            <w:vAlign w:val="bottom"/>
          </w:tcPr>
          <w:p w:rsidR="00A9729B" w:rsidRPr="009079EE" w:rsidRDefault="00A9729B" w:rsidP="00A9729B">
            <w:pPr>
              <w:ind w:left="90" w:right="103" w:firstLine="0"/>
              <w:jc w:val="both"/>
              <w:rPr>
                <w:sz w:val="24"/>
              </w:rPr>
            </w:pPr>
            <w:r w:rsidRPr="009079EE">
              <w:rPr>
                <w:sz w:val="24"/>
              </w:rPr>
              <w:t>Stein</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szCs w:val="10"/>
              </w:rPr>
            </w:pPr>
          </w:p>
        </w:tc>
        <w:tc>
          <w:tcPr>
            <w:tcW w:w="2643" w:type="dxa"/>
            <w:shd w:val="clear" w:color="auto" w:fill="FFFFFF"/>
          </w:tcPr>
          <w:p w:rsidR="00A9729B" w:rsidRPr="009079EE" w:rsidRDefault="00A9729B" w:rsidP="00A9729B">
            <w:pPr>
              <w:ind w:left="90" w:right="103" w:firstLine="0"/>
              <w:jc w:val="both"/>
              <w:rPr>
                <w:sz w:val="24"/>
              </w:rPr>
            </w:pPr>
          </w:p>
        </w:tc>
        <w:tc>
          <w:tcPr>
            <w:tcW w:w="2644" w:type="dxa"/>
            <w:shd w:val="clear" w:color="auto" w:fill="FFFFFF"/>
            <w:vAlign w:val="bottom"/>
          </w:tcPr>
          <w:p w:rsidR="00A9729B" w:rsidRPr="009079EE" w:rsidRDefault="00A9729B" w:rsidP="00A9729B">
            <w:pPr>
              <w:ind w:left="90" w:right="103" w:firstLine="0"/>
              <w:jc w:val="both"/>
              <w:rPr>
                <w:sz w:val="24"/>
              </w:rPr>
            </w:pPr>
            <w:r w:rsidRPr="009079EE">
              <w:rPr>
                <w:sz w:val="24"/>
              </w:rPr>
              <w:t xml:space="preserve">Vuillemin </w:t>
            </w:r>
          </w:p>
        </w:tc>
      </w:tr>
      <w:tr w:rsidR="00A9729B" w:rsidRPr="00AB71A5">
        <w:tblPrEx>
          <w:tblCellMar>
            <w:top w:w="0" w:type="dxa"/>
            <w:bottom w:w="0" w:type="dxa"/>
          </w:tblCellMar>
        </w:tblPrEx>
        <w:tc>
          <w:tcPr>
            <w:tcW w:w="2643" w:type="dxa"/>
            <w:shd w:val="clear" w:color="auto" w:fill="FFFFFF"/>
          </w:tcPr>
          <w:p w:rsidR="00A9729B" w:rsidRPr="009079EE" w:rsidRDefault="00A9729B" w:rsidP="00A9729B">
            <w:pPr>
              <w:ind w:left="90" w:right="103" w:firstLine="0"/>
              <w:jc w:val="both"/>
              <w:rPr>
                <w:sz w:val="24"/>
                <w:szCs w:val="10"/>
              </w:rPr>
            </w:pPr>
          </w:p>
        </w:tc>
        <w:tc>
          <w:tcPr>
            <w:tcW w:w="2643" w:type="dxa"/>
            <w:shd w:val="clear" w:color="auto" w:fill="FFFFFF"/>
          </w:tcPr>
          <w:p w:rsidR="00A9729B" w:rsidRPr="009079EE" w:rsidRDefault="00A9729B" w:rsidP="00A9729B">
            <w:pPr>
              <w:ind w:left="90" w:right="103" w:firstLine="0"/>
              <w:jc w:val="both"/>
              <w:rPr>
                <w:sz w:val="24"/>
              </w:rPr>
            </w:pPr>
          </w:p>
        </w:tc>
        <w:tc>
          <w:tcPr>
            <w:tcW w:w="2644" w:type="dxa"/>
            <w:shd w:val="clear" w:color="auto" w:fill="FFFFFF"/>
            <w:vAlign w:val="bottom"/>
          </w:tcPr>
          <w:p w:rsidR="00A9729B" w:rsidRPr="009079EE" w:rsidRDefault="00A9729B" w:rsidP="00A9729B">
            <w:pPr>
              <w:ind w:left="90" w:right="103" w:firstLine="0"/>
              <w:jc w:val="both"/>
              <w:rPr>
                <w:sz w:val="24"/>
              </w:rPr>
            </w:pPr>
            <w:r w:rsidRPr="009079EE">
              <w:rPr>
                <w:sz w:val="24"/>
              </w:rPr>
              <w:t>Wit</w:t>
            </w:r>
            <w:r w:rsidRPr="009079EE">
              <w:rPr>
                <w:sz w:val="24"/>
              </w:rPr>
              <w:t>t</w:t>
            </w:r>
            <w:r w:rsidRPr="009079EE">
              <w:rPr>
                <w:sz w:val="24"/>
              </w:rPr>
              <w:t>genstein (2)</w:t>
            </w:r>
          </w:p>
        </w:tc>
      </w:tr>
    </w:tbl>
    <w:p w:rsidR="00A9729B" w:rsidRPr="00AB71A5" w:rsidRDefault="00A9729B" w:rsidP="00A9729B">
      <w:pPr>
        <w:spacing w:before="120" w:after="120"/>
        <w:jc w:val="both"/>
        <w:rPr>
          <w:szCs w:val="2"/>
        </w:rPr>
      </w:pPr>
    </w:p>
    <w:p w:rsidR="00A9729B" w:rsidRPr="00AB71A5" w:rsidRDefault="00A9729B" w:rsidP="00A9729B">
      <w:pPr>
        <w:spacing w:before="120" w:after="120"/>
        <w:jc w:val="both"/>
      </w:pPr>
      <w:r>
        <w:rPr>
          <w:lang w:eastAsia="fr-FR" w:bidi="fr-FR"/>
        </w:rPr>
        <w:t>[96]</w:t>
      </w:r>
    </w:p>
    <w:p w:rsidR="00A9729B" w:rsidRPr="00AB71A5" w:rsidRDefault="00A9729B" w:rsidP="00A9729B">
      <w:pPr>
        <w:spacing w:before="120" w:after="120"/>
        <w:jc w:val="both"/>
      </w:pPr>
      <w:r w:rsidRPr="00AB71A5">
        <w:rPr>
          <w:lang w:eastAsia="fr-FR" w:bidi="fr-FR"/>
        </w:rPr>
        <w:t>Le total est d’au moins soixante-deux noms propres di</w:t>
      </w:r>
      <w:r w:rsidRPr="00AB71A5">
        <w:rPr>
          <w:lang w:eastAsia="fr-FR" w:bidi="fr-FR"/>
        </w:rPr>
        <w:t>f</w:t>
      </w:r>
      <w:r w:rsidRPr="00AB71A5">
        <w:rPr>
          <w:lang w:eastAsia="fr-FR" w:bidi="fr-FR"/>
        </w:rPr>
        <w:t>férents et d’au moins 135 occu</w:t>
      </w:r>
      <w:r w:rsidRPr="00AB71A5">
        <w:rPr>
          <w:lang w:eastAsia="fr-FR" w:bidi="fr-FR"/>
        </w:rPr>
        <w:t>r</w:t>
      </w:r>
      <w:r w:rsidRPr="00AB71A5">
        <w:rPr>
          <w:lang w:eastAsia="fr-FR" w:bidi="fr-FR"/>
        </w:rPr>
        <w:t>rences, si l’on tient compte des répétitions.</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4.2. Nous avons introduit le terme d’index, à dessein, en te</w:t>
      </w:r>
      <w:r w:rsidRPr="00AB71A5">
        <w:rPr>
          <w:lang w:eastAsia="fr-FR" w:bidi="fr-FR"/>
        </w:rPr>
        <w:t>r</w:t>
      </w:r>
      <w:r w:rsidRPr="00AB71A5">
        <w:rPr>
          <w:lang w:eastAsia="fr-FR" w:bidi="fr-FR"/>
        </w:rPr>
        <w:t>minant le paragraphe précédent, afin de pouvoir ouvrir le bref commentaire que nous ferons à cette opération de dénombr</w:t>
      </w:r>
      <w:r w:rsidRPr="00AB71A5">
        <w:rPr>
          <w:lang w:eastAsia="fr-FR" w:bidi="fr-FR"/>
        </w:rPr>
        <w:t>e</w:t>
      </w:r>
      <w:r w:rsidRPr="00AB71A5">
        <w:rPr>
          <w:lang w:eastAsia="fr-FR" w:bidi="fr-FR"/>
        </w:rPr>
        <w:t>ment, en discutant une objection qui pourrait nous être faite. Au vrai, il s’agit moins d’une objection que d’une minimalisation de ce qui est effectué par cette opération de dénombrement : le si</w:t>
      </w:r>
      <w:r w:rsidRPr="00AB71A5">
        <w:rPr>
          <w:lang w:eastAsia="fr-FR" w:bidi="fr-FR"/>
        </w:rPr>
        <w:t>m</w:t>
      </w:r>
      <w:r w:rsidRPr="00AB71A5">
        <w:rPr>
          <w:lang w:eastAsia="fr-FR" w:bidi="fr-FR"/>
        </w:rPr>
        <w:t>ple établissement d’un index. Nous sommes en réalité tout prêt à admettre que ce que nous avons appelé l’opération de dénombrement n’aboutit, à toute fin prat</w:t>
      </w:r>
      <w:r w:rsidRPr="00AB71A5">
        <w:rPr>
          <w:lang w:eastAsia="fr-FR" w:bidi="fr-FR"/>
        </w:rPr>
        <w:t>i</w:t>
      </w:r>
      <w:r w:rsidRPr="00AB71A5">
        <w:rPr>
          <w:lang w:eastAsia="fr-FR" w:bidi="fr-FR"/>
        </w:rPr>
        <w:t>que, qu’à dresser un index, mais nous contestons que cet aveu e</w:t>
      </w:r>
      <w:r w:rsidRPr="00AB71A5">
        <w:rPr>
          <w:lang w:eastAsia="fr-FR" w:bidi="fr-FR"/>
        </w:rPr>
        <w:t>n</w:t>
      </w:r>
      <w:r w:rsidRPr="00AB71A5">
        <w:rPr>
          <w:lang w:eastAsia="fr-FR" w:bidi="fr-FR"/>
        </w:rPr>
        <w:t>tame l’intérêt qu’il peut y avoir à se livrer à de tels dénombr</w:t>
      </w:r>
      <w:r w:rsidRPr="00AB71A5">
        <w:rPr>
          <w:lang w:eastAsia="fr-FR" w:bidi="fr-FR"/>
        </w:rPr>
        <w:t>e</w:t>
      </w:r>
      <w:r w:rsidRPr="00AB71A5">
        <w:rPr>
          <w:lang w:eastAsia="fr-FR" w:bidi="fr-FR"/>
        </w:rPr>
        <w:t>ments. Et nous avons plusieurs raisons de penser que des recherches, que l’on pou</w:t>
      </w:r>
      <w:r w:rsidRPr="00AB71A5">
        <w:rPr>
          <w:lang w:eastAsia="fr-FR" w:bidi="fr-FR"/>
        </w:rPr>
        <w:t>r</w:t>
      </w:r>
      <w:r w:rsidRPr="00AB71A5">
        <w:rPr>
          <w:lang w:eastAsia="fr-FR" w:bidi="fr-FR"/>
        </w:rPr>
        <w:t>rait qualifier d’indexicologiques, présentent un intérêt certain.</w:t>
      </w:r>
    </w:p>
    <w:p w:rsidR="00A9729B" w:rsidRPr="00AB71A5" w:rsidRDefault="00A9729B" w:rsidP="00A9729B">
      <w:pPr>
        <w:spacing w:before="120" w:after="120"/>
        <w:jc w:val="both"/>
      </w:pPr>
      <w:r w:rsidRPr="00AB71A5">
        <w:rPr>
          <w:lang w:eastAsia="fr-FR" w:bidi="fr-FR"/>
        </w:rPr>
        <w:t>A — Une raison de principe d’abord : personne ne conteste l’intérêt croissant que peut rec</w:t>
      </w:r>
      <w:r w:rsidRPr="00AB71A5">
        <w:rPr>
          <w:lang w:eastAsia="fr-FR" w:bidi="fr-FR"/>
        </w:rPr>
        <w:t>é</w:t>
      </w:r>
      <w:r w:rsidRPr="00AB71A5">
        <w:rPr>
          <w:lang w:eastAsia="fr-FR" w:bidi="fr-FR"/>
        </w:rPr>
        <w:t>ler l’application de l’informatique (des ordinateurs) au traitement des textes. L’emploi des ordinateurs se</w:t>
      </w:r>
      <w:r w:rsidRPr="00AB71A5">
        <w:rPr>
          <w:lang w:eastAsia="fr-FR" w:bidi="fr-FR"/>
        </w:rPr>
        <w:t>m</w:t>
      </w:r>
      <w:r w:rsidRPr="00AB71A5">
        <w:rPr>
          <w:lang w:eastAsia="fr-FR" w:bidi="fr-FR"/>
        </w:rPr>
        <w:t>ble, pour l’instant, particulièrement ajusté à l’établissement d’index et de lexiques. Mais on a vite fait de remarquer qu’un index, dès que l’on peut être assuré de sa systématicité et de son exhaust</w:t>
      </w:r>
      <w:r w:rsidRPr="00AB71A5">
        <w:rPr>
          <w:lang w:eastAsia="fr-FR" w:bidi="fr-FR"/>
        </w:rPr>
        <w:t>i</w:t>
      </w:r>
      <w:r w:rsidRPr="00AB71A5">
        <w:rPr>
          <w:lang w:eastAsia="fr-FR" w:bidi="fr-FR"/>
        </w:rPr>
        <w:t>vité, peut révéler de façon spectaculaire les diverses matrices (concepts, idéol</w:t>
      </w:r>
      <w:r w:rsidRPr="00AB71A5">
        <w:rPr>
          <w:lang w:eastAsia="fr-FR" w:bidi="fr-FR"/>
        </w:rPr>
        <w:t>o</w:t>
      </w:r>
      <w:r w:rsidRPr="00AB71A5">
        <w:rPr>
          <w:lang w:eastAsia="fr-FR" w:bidi="fr-FR"/>
        </w:rPr>
        <w:t>gies, et autres) d’où sont issus, pour une disc</w:t>
      </w:r>
      <w:r w:rsidRPr="00AB71A5">
        <w:rPr>
          <w:lang w:eastAsia="fr-FR" w:bidi="fr-FR"/>
        </w:rPr>
        <w:t>i</w:t>
      </w:r>
      <w:r w:rsidRPr="00AB71A5">
        <w:rPr>
          <w:lang w:eastAsia="fr-FR" w:bidi="fr-FR"/>
        </w:rPr>
        <w:t>pline, l’ensemble des textes, qu’elle a produits à une époque donnée. De ceci nous donn</w:t>
      </w:r>
      <w:r w:rsidRPr="00AB71A5">
        <w:rPr>
          <w:lang w:eastAsia="fr-FR" w:bidi="fr-FR"/>
        </w:rPr>
        <w:t>e</w:t>
      </w:r>
      <w:r w:rsidRPr="00AB71A5">
        <w:rPr>
          <w:lang w:eastAsia="fr-FR" w:bidi="fr-FR"/>
        </w:rPr>
        <w:t>rons un exemple plus loin. Qu’il suff</w:t>
      </w:r>
      <w:r w:rsidRPr="00AB71A5">
        <w:rPr>
          <w:lang w:eastAsia="fr-FR" w:bidi="fr-FR"/>
        </w:rPr>
        <w:t>i</w:t>
      </w:r>
      <w:r w:rsidRPr="00AB71A5">
        <w:rPr>
          <w:lang w:eastAsia="fr-FR" w:bidi="fr-FR"/>
        </w:rPr>
        <w:t>se de dire, au niveau du principe, qu’on ne voit pas pourquoi des études indexicologiques seraient rév</w:t>
      </w:r>
      <w:r w:rsidRPr="00AB71A5">
        <w:rPr>
          <w:lang w:eastAsia="fr-FR" w:bidi="fr-FR"/>
        </w:rPr>
        <w:t>é</w:t>
      </w:r>
      <w:r w:rsidRPr="00AB71A5">
        <w:rPr>
          <w:lang w:eastAsia="fr-FR" w:bidi="fr-FR"/>
        </w:rPr>
        <w:t>latrices quand elles auraient pour objet les « grands textes » qui jalo</w:t>
      </w:r>
      <w:r w:rsidRPr="00AB71A5">
        <w:rPr>
          <w:lang w:eastAsia="fr-FR" w:bidi="fr-FR"/>
        </w:rPr>
        <w:t>n</w:t>
      </w:r>
      <w:r w:rsidRPr="00AB71A5">
        <w:rPr>
          <w:lang w:eastAsia="fr-FR" w:bidi="fr-FR"/>
        </w:rPr>
        <w:t>nent l’histoire de dive</w:t>
      </w:r>
      <w:r w:rsidRPr="00AB71A5">
        <w:rPr>
          <w:lang w:eastAsia="fr-FR" w:bidi="fr-FR"/>
        </w:rPr>
        <w:t>r</w:t>
      </w:r>
      <w:r w:rsidRPr="00AB71A5">
        <w:rPr>
          <w:lang w:eastAsia="fr-FR" w:bidi="fr-FR"/>
        </w:rPr>
        <w:t>ses disciplines et qu’elles seraient d’intérêt moindre, dirigées sur des textes contemp</w:t>
      </w:r>
      <w:r w:rsidRPr="00AB71A5">
        <w:rPr>
          <w:lang w:eastAsia="fr-FR" w:bidi="fr-FR"/>
        </w:rPr>
        <w:t>o</w:t>
      </w:r>
      <w:r w:rsidRPr="00AB71A5">
        <w:rPr>
          <w:lang w:eastAsia="fr-FR" w:bidi="fr-FR"/>
        </w:rPr>
        <w:t>rains.</w:t>
      </w:r>
    </w:p>
    <w:p w:rsidR="00A9729B" w:rsidRPr="00AB71A5" w:rsidRDefault="00A9729B" w:rsidP="00A9729B">
      <w:pPr>
        <w:spacing w:before="120" w:after="120"/>
        <w:jc w:val="both"/>
      </w:pPr>
      <w:r w:rsidRPr="00AB71A5">
        <w:rPr>
          <w:lang w:eastAsia="fr-FR" w:bidi="fr-FR"/>
        </w:rPr>
        <w:t>Des dénombrements explicites, s’ils étaient effectués et r</w:t>
      </w:r>
      <w:r w:rsidRPr="00AB71A5">
        <w:rPr>
          <w:lang w:eastAsia="fr-FR" w:bidi="fr-FR"/>
        </w:rPr>
        <w:t>é</w:t>
      </w:r>
      <w:r w:rsidRPr="00AB71A5">
        <w:rPr>
          <w:lang w:eastAsia="fr-FR" w:bidi="fr-FR"/>
        </w:rPr>
        <w:t>fléchis, auraient l’avantage i</w:t>
      </w:r>
      <w:r w:rsidRPr="00AB71A5">
        <w:rPr>
          <w:lang w:eastAsia="fr-FR" w:bidi="fr-FR"/>
        </w:rPr>
        <w:t>m</w:t>
      </w:r>
      <w:r w:rsidRPr="00AB71A5">
        <w:rPr>
          <w:lang w:eastAsia="fr-FR" w:bidi="fr-FR"/>
        </w:rPr>
        <w:t>médiat de spécifier la trop grande généralité, des propositions sur l’intertextualité, en nous perme</w:t>
      </w:r>
      <w:r w:rsidRPr="00AB71A5">
        <w:rPr>
          <w:lang w:eastAsia="fr-FR" w:bidi="fr-FR"/>
        </w:rPr>
        <w:t>t</w:t>
      </w:r>
      <w:r w:rsidRPr="00AB71A5">
        <w:rPr>
          <w:lang w:eastAsia="fr-FR" w:bidi="fr-FR"/>
        </w:rPr>
        <w:t>tant d’initier le geste par lequel s’accomplit toute science : la not</w:t>
      </w:r>
      <w:r w:rsidRPr="00AB71A5">
        <w:rPr>
          <w:lang w:eastAsia="fr-FR" w:bidi="fr-FR"/>
        </w:rPr>
        <w:t>a</w:t>
      </w:r>
      <w:r w:rsidRPr="00AB71A5">
        <w:rPr>
          <w:lang w:eastAsia="fr-FR" w:bidi="fr-FR"/>
        </w:rPr>
        <w:t>tion des différences. En effet, les textes diffèrent très sensibl</w:t>
      </w:r>
      <w:r w:rsidRPr="00AB71A5">
        <w:rPr>
          <w:lang w:eastAsia="fr-FR" w:bidi="fr-FR"/>
        </w:rPr>
        <w:t>e</w:t>
      </w:r>
      <w:r w:rsidRPr="00AB71A5">
        <w:rPr>
          <w:lang w:eastAsia="fr-FR" w:bidi="fr-FR"/>
        </w:rPr>
        <w:t>ment les uns des autres, eu égard à l’utilisation explicite qu’ils ont de la masse des textes écrits. Voyons cela.</w:t>
      </w:r>
    </w:p>
    <w:p w:rsidR="00A9729B" w:rsidRDefault="00A9729B" w:rsidP="00A9729B">
      <w:pPr>
        <w:spacing w:before="120" w:after="120"/>
        <w:jc w:val="both"/>
        <w:rPr>
          <w:lang w:eastAsia="fr-FR" w:bidi="fr-FR"/>
        </w:rPr>
      </w:pPr>
      <w:r w:rsidRPr="00AB71A5">
        <w:rPr>
          <w:lang w:eastAsia="fr-FR" w:bidi="fr-FR"/>
        </w:rPr>
        <w:t>On peut contraster à l’index des noms propres qui apparai</w:t>
      </w:r>
      <w:r w:rsidRPr="00AB71A5">
        <w:rPr>
          <w:lang w:eastAsia="fr-FR" w:bidi="fr-FR"/>
        </w:rPr>
        <w:t>s</w:t>
      </w:r>
      <w:r w:rsidRPr="00AB71A5">
        <w:rPr>
          <w:lang w:eastAsia="fr-FR" w:bidi="fr-FR"/>
        </w:rPr>
        <w:t>sent dans le texte de Kristeva, ceux de trois œuvres que nous avons</w:t>
      </w:r>
      <w:r>
        <w:rPr>
          <w:lang w:eastAsia="fr-FR" w:bidi="fr-FR"/>
        </w:rPr>
        <w:t xml:space="preserve"> </w:t>
      </w:r>
      <w:r>
        <w:t>[</w:t>
      </w:r>
      <w:r w:rsidRPr="00AB71A5">
        <w:rPr>
          <w:lang w:eastAsia="fr-FR" w:bidi="fr-FR"/>
        </w:rPr>
        <w:t>97</w:t>
      </w:r>
      <w:r>
        <w:rPr>
          <w:lang w:eastAsia="fr-FR" w:bidi="fr-FR"/>
        </w:rPr>
        <w:t xml:space="preserve">] </w:t>
      </w:r>
      <w:r w:rsidRPr="00AB71A5">
        <w:rPr>
          <w:lang w:eastAsia="fr-FR" w:bidi="fr-FR"/>
        </w:rPr>
        <w:t xml:space="preserve">choisies au quasi-hasard, le </w:t>
      </w:r>
      <w:r w:rsidRPr="00EA25A1">
        <w:rPr>
          <w:i/>
        </w:rPr>
        <w:t>Tractatus Logico-Philosopbisus</w:t>
      </w:r>
      <w:r>
        <w:rPr>
          <w:lang w:eastAsia="fr-FR" w:bidi="fr-FR"/>
        </w:rPr>
        <w:t xml:space="preserve"> de Wit</w:t>
      </w:r>
      <w:r>
        <w:rPr>
          <w:lang w:eastAsia="fr-FR" w:bidi="fr-FR"/>
        </w:rPr>
        <w:t>t</w:t>
      </w:r>
      <w:r w:rsidRPr="00AB71A5">
        <w:rPr>
          <w:lang w:eastAsia="fr-FR" w:bidi="fr-FR"/>
        </w:rPr>
        <w:t xml:space="preserve">genstein, </w:t>
      </w:r>
      <w:r w:rsidRPr="00AB71A5">
        <w:t xml:space="preserve">le </w:t>
      </w:r>
      <w:r w:rsidRPr="00EA25A1">
        <w:rPr>
          <w:i/>
        </w:rPr>
        <w:t>Cours de Lingui</w:t>
      </w:r>
      <w:r w:rsidRPr="00EA25A1">
        <w:rPr>
          <w:i/>
        </w:rPr>
        <w:t>s</w:t>
      </w:r>
      <w:r w:rsidRPr="00EA25A1">
        <w:rPr>
          <w:i/>
        </w:rPr>
        <w:t>tique générale</w:t>
      </w:r>
      <w:r w:rsidRPr="00AB71A5">
        <w:rPr>
          <w:lang w:eastAsia="fr-FR" w:bidi="fr-FR"/>
        </w:rPr>
        <w:t xml:space="preserve"> de Ferdinand de Saussure et </w:t>
      </w:r>
      <w:r w:rsidRPr="00EA25A1">
        <w:rPr>
          <w:i/>
        </w:rPr>
        <w:t>Syntatic Struct</w:t>
      </w:r>
      <w:r w:rsidRPr="00EA25A1">
        <w:rPr>
          <w:i/>
        </w:rPr>
        <w:t>u</w:t>
      </w:r>
      <w:r w:rsidRPr="00EA25A1">
        <w:rPr>
          <w:i/>
        </w:rPr>
        <w:t>res</w:t>
      </w:r>
      <w:r w:rsidRPr="00AB71A5">
        <w:rPr>
          <w:lang w:eastAsia="fr-FR" w:bidi="fr-FR"/>
        </w:rPr>
        <w:t xml:space="preserve"> de Noam Chomsky.</w:t>
      </w:r>
    </w:p>
    <w:p w:rsidR="00A9729B" w:rsidRPr="00AB71A5" w:rsidRDefault="00A9729B" w:rsidP="00A9729B">
      <w:pPr>
        <w:spacing w:before="120" w:after="120"/>
        <w:jc w:val="both"/>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1982"/>
        <w:gridCol w:w="1983"/>
        <w:gridCol w:w="1982"/>
        <w:gridCol w:w="1983"/>
      </w:tblGrid>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120" w:after="120"/>
              <w:ind w:left="86" w:right="72" w:firstLine="0"/>
              <w:jc w:val="both"/>
              <w:rPr>
                <w:sz w:val="24"/>
              </w:rPr>
            </w:pPr>
            <w:r w:rsidRPr="00EA25A1">
              <w:rPr>
                <w:sz w:val="24"/>
              </w:rPr>
              <w:t xml:space="preserve">1 — </w:t>
            </w:r>
            <w:r w:rsidRPr="00EA25A1">
              <w:rPr>
                <w:i/>
                <w:sz w:val="24"/>
              </w:rPr>
              <w:t>Tra</w:t>
            </w:r>
            <w:r w:rsidRPr="00EA25A1">
              <w:rPr>
                <w:i/>
                <w:sz w:val="24"/>
              </w:rPr>
              <w:t>c</w:t>
            </w:r>
            <w:r w:rsidRPr="00EA25A1">
              <w:rPr>
                <w:i/>
                <w:sz w:val="24"/>
              </w:rPr>
              <w:t>tatus :</w:t>
            </w:r>
          </w:p>
        </w:tc>
        <w:tc>
          <w:tcPr>
            <w:tcW w:w="1983" w:type="dxa"/>
            <w:shd w:val="clear" w:color="auto" w:fill="FFFFFF"/>
          </w:tcPr>
          <w:p w:rsidR="00A9729B" w:rsidRPr="00EA25A1" w:rsidRDefault="00A9729B" w:rsidP="00A9729B">
            <w:pPr>
              <w:spacing w:before="120" w:after="120"/>
              <w:ind w:left="86" w:right="72" w:firstLine="0"/>
              <w:jc w:val="both"/>
              <w:rPr>
                <w:sz w:val="24"/>
              </w:rPr>
            </w:pPr>
            <w:r w:rsidRPr="00EA25A1">
              <w:rPr>
                <w:sz w:val="24"/>
              </w:rPr>
              <w:t>Darwin</w:t>
            </w:r>
          </w:p>
        </w:tc>
        <w:tc>
          <w:tcPr>
            <w:tcW w:w="1982" w:type="dxa"/>
            <w:shd w:val="clear" w:color="auto" w:fill="FFFFFF"/>
          </w:tcPr>
          <w:p w:rsidR="00A9729B" w:rsidRPr="00EA25A1" w:rsidRDefault="00A9729B" w:rsidP="00A9729B">
            <w:pPr>
              <w:spacing w:before="120" w:after="120"/>
              <w:ind w:left="86" w:right="72" w:firstLine="0"/>
              <w:jc w:val="both"/>
              <w:rPr>
                <w:sz w:val="24"/>
              </w:rPr>
            </w:pPr>
            <w:r w:rsidRPr="00EA25A1">
              <w:rPr>
                <w:sz w:val="24"/>
              </w:rPr>
              <w:t>Maut</w:t>
            </w:r>
            <w:r w:rsidRPr="00EA25A1">
              <w:rPr>
                <w:sz w:val="24"/>
              </w:rPr>
              <w:t>h</w:t>
            </w:r>
            <w:r w:rsidRPr="00EA25A1">
              <w:rPr>
                <w:sz w:val="24"/>
              </w:rPr>
              <w:t>ner</w:t>
            </w:r>
          </w:p>
        </w:tc>
        <w:tc>
          <w:tcPr>
            <w:tcW w:w="1983" w:type="dxa"/>
            <w:shd w:val="clear" w:color="auto" w:fill="FFFFFF"/>
          </w:tcPr>
          <w:p w:rsidR="00A9729B" w:rsidRPr="00EA25A1" w:rsidRDefault="00A9729B" w:rsidP="00A9729B">
            <w:pPr>
              <w:spacing w:before="120" w:after="120"/>
              <w:ind w:left="86" w:right="72" w:firstLine="0"/>
              <w:jc w:val="both"/>
              <w:rPr>
                <w:sz w:val="24"/>
                <w:szCs w:val="10"/>
              </w:rPr>
            </w:pP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szCs w:val="10"/>
              </w:rPr>
            </w:pPr>
          </w:p>
        </w:tc>
        <w:tc>
          <w:tcPr>
            <w:tcW w:w="1983"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Frege (18)</w:t>
            </w:r>
          </w:p>
        </w:tc>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Newton</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szCs w:val="10"/>
              </w:rPr>
            </w:pPr>
          </w:p>
        </w:tc>
        <w:tc>
          <w:tcPr>
            <w:tcW w:w="1983"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Hertz (3)</w:t>
            </w:r>
          </w:p>
        </w:tc>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Occam (2)</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szCs w:val="10"/>
              </w:rPr>
            </w:pPr>
          </w:p>
        </w:tc>
        <w:tc>
          <w:tcPr>
            <w:tcW w:w="1983" w:type="dxa"/>
            <w:shd w:val="clear" w:color="auto" w:fill="FFFFFF"/>
          </w:tcPr>
          <w:p w:rsidR="00A9729B" w:rsidRPr="00EA25A1" w:rsidRDefault="00A9729B" w:rsidP="00A9729B">
            <w:pPr>
              <w:spacing w:before="40" w:after="40"/>
              <w:ind w:left="90" w:right="72" w:firstLine="0"/>
              <w:jc w:val="both"/>
              <w:rPr>
                <w:sz w:val="24"/>
              </w:rPr>
            </w:pPr>
            <w:r w:rsidRPr="00EA25A1">
              <w:rPr>
                <w:sz w:val="24"/>
              </w:rPr>
              <w:t>Jules César</w:t>
            </w:r>
          </w:p>
        </w:tc>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Russell (29)</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szCs w:val="10"/>
              </w:rPr>
            </w:pPr>
          </w:p>
        </w:tc>
        <w:tc>
          <w:tcPr>
            <w:tcW w:w="1983" w:type="dxa"/>
            <w:shd w:val="clear" w:color="auto" w:fill="FFFFFF"/>
          </w:tcPr>
          <w:p w:rsidR="00A9729B" w:rsidRPr="00EA25A1" w:rsidRDefault="00A9729B" w:rsidP="00A9729B">
            <w:pPr>
              <w:spacing w:before="40" w:after="40"/>
              <w:ind w:left="90" w:right="72" w:firstLine="0"/>
              <w:jc w:val="both"/>
              <w:rPr>
                <w:sz w:val="24"/>
              </w:rPr>
            </w:pPr>
            <w:r w:rsidRPr="00EA25A1">
              <w:rPr>
                <w:sz w:val="24"/>
              </w:rPr>
              <w:t>Kant</w:t>
            </w:r>
          </w:p>
        </w:tc>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Whit</w:t>
            </w:r>
            <w:r w:rsidRPr="00EA25A1">
              <w:rPr>
                <w:sz w:val="24"/>
              </w:rPr>
              <w:t>e</w:t>
            </w:r>
            <w:r w:rsidRPr="00EA25A1">
              <w:rPr>
                <w:sz w:val="24"/>
              </w:rPr>
              <w:t>head (2)</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7930" w:type="dxa"/>
            <w:gridSpan w:val="4"/>
            <w:shd w:val="clear" w:color="auto" w:fill="FFFFFF"/>
            <w:vAlign w:val="center"/>
          </w:tcPr>
          <w:p w:rsidR="00A9729B" w:rsidRPr="00EA25A1" w:rsidRDefault="00A9729B" w:rsidP="00A9729B">
            <w:pPr>
              <w:spacing w:before="120" w:after="120"/>
              <w:ind w:left="86" w:right="72" w:firstLine="0"/>
              <w:jc w:val="both"/>
              <w:rPr>
                <w:i/>
                <w:sz w:val="24"/>
                <w:szCs w:val="10"/>
              </w:rPr>
            </w:pPr>
            <w:r w:rsidRPr="00EA25A1">
              <w:rPr>
                <w:sz w:val="24"/>
              </w:rPr>
              <w:t>2 —</w:t>
            </w:r>
            <w:r w:rsidRPr="00EA25A1">
              <w:rPr>
                <w:i/>
                <w:sz w:val="24"/>
              </w:rPr>
              <w:t xml:space="preserve"> Cours de</w:t>
            </w:r>
            <w:r>
              <w:rPr>
                <w:i/>
                <w:sz w:val="24"/>
              </w:rPr>
              <w:t xml:space="preserve"> </w:t>
            </w:r>
            <w:r w:rsidRPr="00EA25A1">
              <w:rPr>
                <w:i/>
                <w:sz w:val="24"/>
              </w:rPr>
              <w:t>linguistique génér</w:t>
            </w:r>
            <w:r w:rsidRPr="00EA25A1">
              <w:rPr>
                <w:i/>
                <w:sz w:val="24"/>
              </w:rPr>
              <w:t>a</w:t>
            </w:r>
            <w:r w:rsidRPr="00EA25A1">
              <w:rPr>
                <w:i/>
                <w:sz w:val="24"/>
              </w:rPr>
              <w:t>le</w:t>
            </w:r>
          </w:p>
        </w:tc>
      </w:tr>
      <w:tr w:rsidR="00A9729B" w:rsidRPr="00AB71A5">
        <w:tblPrEx>
          <w:tblCellMar>
            <w:top w:w="0" w:type="dxa"/>
            <w:bottom w:w="0" w:type="dxa"/>
          </w:tblCellMar>
        </w:tblPrEx>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Bopp</w:t>
            </w:r>
          </w:p>
        </w:tc>
        <w:tc>
          <w:tcPr>
            <w:tcW w:w="1983"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Grimm</w:t>
            </w:r>
          </w:p>
        </w:tc>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Osthoff</w:t>
            </w:r>
          </w:p>
        </w:tc>
        <w:tc>
          <w:tcPr>
            <w:tcW w:w="1983"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Schmidt</w:t>
            </w: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Broca</w:t>
            </w:r>
          </w:p>
        </w:tc>
        <w:tc>
          <w:tcPr>
            <w:tcW w:w="1983" w:type="dxa"/>
            <w:shd w:val="clear" w:color="auto" w:fill="FFFFFF"/>
          </w:tcPr>
          <w:p w:rsidR="00A9729B" w:rsidRPr="00EA25A1" w:rsidRDefault="00A9729B" w:rsidP="00A9729B">
            <w:pPr>
              <w:spacing w:before="40" w:after="40"/>
              <w:ind w:left="90" w:right="72" w:firstLine="0"/>
              <w:jc w:val="both"/>
              <w:rPr>
                <w:sz w:val="24"/>
              </w:rPr>
            </w:pPr>
            <w:r w:rsidRPr="00EA25A1">
              <w:rPr>
                <w:sz w:val="24"/>
              </w:rPr>
              <w:t>Hirt</w:t>
            </w:r>
          </w:p>
        </w:tc>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Paul</w:t>
            </w:r>
          </w:p>
        </w:tc>
        <w:tc>
          <w:tcPr>
            <w:tcW w:w="1983" w:type="dxa"/>
            <w:shd w:val="clear" w:color="auto" w:fill="FFFFFF"/>
          </w:tcPr>
          <w:p w:rsidR="00A9729B" w:rsidRPr="00EA25A1" w:rsidRDefault="00A9729B" w:rsidP="00A9729B">
            <w:pPr>
              <w:spacing w:before="40" w:after="40"/>
              <w:ind w:left="90" w:right="72" w:firstLine="0"/>
              <w:jc w:val="both"/>
              <w:rPr>
                <w:sz w:val="24"/>
              </w:rPr>
            </w:pPr>
            <w:r w:rsidRPr="00EA25A1">
              <w:rPr>
                <w:sz w:val="24"/>
              </w:rPr>
              <w:t>Si</w:t>
            </w:r>
            <w:r w:rsidRPr="00EA25A1">
              <w:rPr>
                <w:sz w:val="24"/>
              </w:rPr>
              <w:t>e</w:t>
            </w:r>
            <w:r w:rsidRPr="00EA25A1">
              <w:rPr>
                <w:sz w:val="24"/>
              </w:rPr>
              <w:t>vers</w:t>
            </w: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Cu</w:t>
            </w:r>
            <w:r w:rsidRPr="00EA25A1">
              <w:rPr>
                <w:sz w:val="24"/>
              </w:rPr>
              <w:t>r</w:t>
            </w:r>
            <w:r w:rsidRPr="00EA25A1">
              <w:rPr>
                <w:sz w:val="24"/>
              </w:rPr>
              <w:t>tius</w:t>
            </w:r>
          </w:p>
        </w:tc>
        <w:tc>
          <w:tcPr>
            <w:tcW w:w="1983" w:type="dxa"/>
            <w:shd w:val="clear" w:color="auto" w:fill="FFFFFF"/>
          </w:tcPr>
          <w:p w:rsidR="00A9729B" w:rsidRPr="00EA25A1" w:rsidRDefault="00A9729B" w:rsidP="00A9729B">
            <w:pPr>
              <w:spacing w:before="40" w:after="40"/>
              <w:ind w:left="90" w:right="72" w:firstLine="0"/>
              <w:jc w:val="both"/>
              <w:rPr>
                <w:sz w:val="24"/>
              </w:rPr>
            </w:pPr>
            <w:r w:rsidRPr="00EA25A1">
              <w:rPr>
                <w:sz w:val="24"/>
              </w:rPr>
              <w:t>Kuhn</w:t>
            </w:r>
          </w:p>
        </w:tc>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Pictet</w:t>
            </w:r>
          </w:p>
        </w:tc>
        <w:tc>
          <w:tcPr>
            <w:tcW w:w="1983" w:type="dxa"/>
            <w:shd w:val="clear" w:color="auto" w:fill="FFFFFF"/>
          </w:tcPr>
          <w:p w:rsidR="00A9729B" w:rsidRPr="00EA25A1" w:rsidRDefault="00A9729B" w:rsidP="00A9729B">
            <w:pPr>
              <w:spacing w:before="40" w:after="40"/>
              <w:ind w:left="90" w:right="72" w:firstLine="0"/>
              <w:jc w:val="both"/>
              <w:rPr>
                <w:sz w:val="24"/>
              </w:rPr>
            </w:pPr>
            <w:r w:rsidRPr="00EA25A1">
              <w:rPr>
                <w:sz w:val="24"/>
              </w:rPr>
              <w:t>Tro</w:t>
            </w:r>
            <w:r w:rsidRPr="00EA25A1">
              <w:rPr>
                <w:sz w:val="24"/>
              </w:rPr>
              <w:t>m</w:t>
            </w:r>
            <w:r w:rsidRPr="00EA25A1">
              <w:rPr>
                <w:sz w:val="24"/>
              </w:rPr>
              <w:t>betti</w:t>
            </w: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Diez</w:t>
            </w:r>
          </w:p>
        </w:tc>
        <w:tc>
          <w:tcPr>
            <w:tcW w:w="1983" w:type="dxa"/>
            <w:shd w:val="clear" w:color="auto" w:fill="FFFFFF"/>
          </w:tcPr>
          <w:p w:rsidR="00A9729B" w:rsidRPr="00EA25A1" w:rsidRDefault="00A9729B" w:rsidP="00A9729B">
            <w:pPr>
              <w:spacing w:before="40" w:after="40"/>
              <w:ind w:left="90" w:right="72" w:firstLine="0"/>
              <w:jc w:val="both"/>
              <w:rPr>
                <w:sz w:val="24"/>
              </w:rPr>
            </w:pPr>
            <w:r w:rsidRPr="00EA25A1">
              <w:rPr>
                <w:sz w:val="24"/>
              </w:rPr>
              <w:t>Lerner</w:t>
            </w:r>
          </w:p>
        </w:tc>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Pott</w:t>
            </w:r>
          </w:p>
        </w:tc>
        <w:tc>
          <w:tcPr>
            <w:tcW w:w="1983" w:type="dxa"/>
            <w:shd w:val="clear" w:color="auto" w:fill="FFFFFF"/>
          </w:tcPr>
          <w:p w:rsidR="00A9729B" w:rsidRPr="00EA25A1" w:rsidRDefault="00A9729B" w:rsidP="00A9729B">
            <w:pPr>
              <w:spacing w:before="40" w:after="40"/>
              <w:ind w:left="90" w:right="72" w:firstLine="0"/>
              <w:jc w:val="both"/>
              <w:rPr>
                <w:sz w:val="24"/>
              </w:rPr>
            </w:pPr>
            <w:r w:rsidRPr="00EA25A1">
              <w:rPr>
                <w:sz w:val="24"/>
              </w:rPr>
              <w:t>Whi</w:t>
            </w:r>
            <w:r w:rsidRPr="00EA25A1">
              <w:rPr>
                <w:sz w:val="24"/>
              </w:rPr>
              <w:t>t</w:t>
            </w:r>
            <w:r w:rsidRPr="00EA25A1">
              <w:rPr>
                <w:sz w:val="24"/>
              </w:rPr>
              <w:t>ney</w:t>
            </w: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Galli</w:t>
            </w:r>
            <w:r w:rsidRPr="00EA25A1">
              <w:rPr>
                <w:sz w:val="24"/>
              </w:rPr>
              <w:t>e</w:t>
            </w:r>
            <w:r w:rsidRPr="00EA25A1">
              <w:rPr>
                <w:sz w:val="24"/>
              </w:rPr>
              <w:t>ron</w:t>
            </w:r>
          </w:p>
        </w:tc>
        <w:tc>
          <w:tcPr>
            <w:tcW w:w="1983" w:type="dxa"/>
            <w:shd w:val="clear" w:color="auto" w:fill="FFFFFF"/>
          </w:tcPr>
          <w:p w:rsidR="00A9729B" w:rsidRPr="00EA25A1" w:rsidRDefault="00A9729B" w:rsidP="00A9729B">
            <w:pPr>
              <w:spacing w:before="40" w:after="40"/>
              <w:ind w:left="90" w:right="72" w:firstLine="0"/>
              <w:jc w:val="both"/>
              <w:rPr>
                <w:sz w:val="24"/>
              </w:rPr>
            </w:pPr>
            <w:r w:rsidRPr="00EA25A1">
              <w:rPr>
                <w:sz w:val="24"/>
              </w:rPr>
              <w:t>Muller</w:t>
            </w:r>
          </w:p>
        </w:tc>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Schle</w:t>
            </w:r>
            <w:r w:rsidRPr="00EA25A1">
              <w:rPr>
                <w:sz w:val="24"/>
              </w:rPr>
              <w:t>i</w:t>
            </w:r>
            <w:r w:rsidRPr="00EA25A1">
              <w:rPr>
                <w:sz w:val="24"/>
              </w:rPr>
              <w:t>cher</w:t>
            </w:r>
          </w:p>
        </w:tc>
        <w:tc>
          <w:tcPr>
            <w:tcW w:w="1983" w:type="dxa"/>
            <w:shd w:val="clear" w:color="auto" w:fill="FFFFFF"/>
          </w:tcPr>
          <w:p w:rsidR="00A9729B" w:rsidRPr="00EA25A1" w:rsidRDefault="00A9729B" w:rsidP="00A9729B">
            <w:pPr>
              <w:spacing w:before="40" w:after="40"/>
              <w:ind w:left="90" w:right="72" w:firstLine="0"/>
              <w:jc w:val="both"/>
              <w:rPr>
                <w:sz w:val="24"/>
              </w:rPr>
            </w:pPr>
            <w:r w:rsidRPr="00EA25A1">
              <w:rPr>
                <w:sz w:val="24"/>
              </w:rPr>
              <w:t>Wolf</w:t>
            </w:r>
          </w:p>
        </w:tc>
      </w:tr>
      <w:tr w:rsidR="00A9729B" w:rsidRPr="00AB71A5">
        <w:tblPrEx>
          <w:tblCellMar>
            <w:top w:w="0" w:type="dxa"/>
            <w:bottom w:w="0" w:type="dxa"/>
          </w:tblCellMar>
        </w:tblPrEx>
        <w:tc>
          <w:tcPr>
            <w:tcW w:w="7930" w:type="dxa"/>
            <w:gridSpan w:val="4"/>
            <w:shd w:val="clear" w:color="auto" w:fill="FFFFFF"/>
            <w:vAlign w:val="center"/>
          </w:tcPr>
          <w:p w:rsidR="00A9729B" w:rsidRPr="00EA25A1" w:rsidRDefault="00A9729B" w:rsidP="00A9729B">
            <w:pPr>
              <w:spacing w:before="120" w:after="120"/>
              <w:ind w:left="86" w:right="72" w:firstLine="0"/>
              <w:jc w:val="both"/>
              <w:rPr>
                <w:sz w:val="24"/>
                <w:szCs w:val="10"/>
              </w:rPr>
            </w:pPr>
            <w:r w:rsidRPr="00EA25A1">
              <w:rPr>
                <w:sz w:val="24"/>
              </w:rPr>
              <w:t xml:space="preserve">3 — </w:t>
            </w:r>
            <w:r w:rsidRPr="00EA25A1">
              <w:rPr>
                <w:i/>
                <w:sz w:val="24"/>
              </w:rPr>
              <w:t>Syntactic Struct</w:t>
            </w:r>
            <w:r w:rsidRPr="00EA25A1">
              <w:rPr>
                <w:i/>
                <w:sz w:val="24"/>
              </w:rPr>
              <w:t>u</w:t>
            </w:r>
            <w:r w:rsidRPr="00EA25A1">
              <w:rPr>
                <w:i/>
                <w:sz w:val="24"/>
              </w:rPr>
              <w:t>res</w:t>
            </w:r>
          </w:p>
        </w:tc>
      </w:tr>
      <w:tr w:rsidR="00A9729B" w:rsidRPr="00AB71A5">
        <w:tblPrEx>
          <w:tblCellMar>
            <w:top w:w="0" w:type="dxa"/>
            <w:bottom w:w="0" w:type="dxa"/>
          </w:tblCellMar>
        </w:tblPrEx>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Bar-Hillel</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(Markov)</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Bloo</w:t>
            </w:r>
            <w:r w:rsidRPr="00EA25A1">
              <w:rPr>
                <w:sz w:val="24"/>
              </w:rPr>
              <w:t>m</w:t>
            </w:r>
            <w:r w:rsidRPr="00EA25A1">
              <w:rPr>
                <w:sz w:val="24"/>
              </w:rPr>
              <w:t>field</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Jespersen</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Fowler</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Lounsb</w:t>
            </w:r>
            <w:r w:rsidRPr="00EA25A1">
              <w:rPr>
                <w:sz w:val="24"/>
              </w:rPr>
              <w:t>u</w:t>
            </w:r>
            <w:r w:rsidRPr="00EA25A1">
              <w:rPr>
                <w:sz w:val="24"/>
              </w:rPr>
              <w:t>ry</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Goodman</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Lukoff</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Hall</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Mande</w:t>
            </w:r>
            <w:r w:rsidRPr="00EA25A1">
              <w:rPr>
                <w:sz w:val="24"/>
              </w:rPr>
              <w:t>l</w:t>
            </w:r>
            <w:r w:rsidRPr="00EA25A1">
              <w:rPr>
                <w:sz w:val="24"/>
              </w:rPr>
              <w:t>brot</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Harris</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Pike</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Ha</w:t>
            </w:r>
            <w:r w:rsidRPr="00EA25A1">
              <w:rPr>
                <w:sz w:val="24"/>
              </w:rPr>
              <w:t>r</w:t>
            </w:r>
            <w:r w:rsidRPr="00EA25A1">
              <w:rPr>
                <w:sz w:val="24"/>
              </w:rPr>
              <w:t>wood</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Quine</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Hjelmslev</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Shannon</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Ho</w:t>
            </w:r>
            <w:r w:rsidRPr="00EA25A1">
              <w:rPr>
                <w:sz w:val="24"/>
              </w:rPr>
              <w:t>c</w:t>
            </w:r>
            <w:r w:rsidRPr="00EA25A1">
              <w:rPr>
                <w:sz w:val="24"/>
              </w:rPr>
              <w:t>kett (4)</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Simon</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r w:rsidR="00A9729B" w:rsidRPr="00AB71A5">
        <w:tblPrEx>
          <w:tblCellMar>
            <w:top w:w="0" w:type="dxa"/>
            <w:bottom w:w="0" w:type="dxa"/>
          </w:tblCellMar>
        </w:tblPrEx>
        <w:tc>
          <w:tcPr>
            <w:tcW w:w="1982" w:type="dxa"/>
            <w:shd w:val="clear" w:color="auto" w:fill="FFFFFF"/>
          </w:tcPr>
          <w:p w:rsidR="00A9729B" w:rsidRPr="00EA25A1" w:rsidRDefault="00A9729B" w:rsidP="00A9729B">
            <w:pPr>
              <w:spacing w:before="40" w:after="40"/>
              <w:ind w:left="90" w:right="72" w:firstLine="0"/>
              <w:jc w:val="both"/>
              <w:rPr>
                <w:sz w:val="24"/>
              </w:rPr>
            </w:pPr>
            <w:r w:rsidRPr="00EA25A1">
              <w:rPr>
                <w:sz w:val="24"/>
              </w:rPr>
              <w:t>Jako</w:t>
            </w:r>
            <w:r w:rsidRPr="00EA25A1">
              <w:rPr>
                <w:sz w:val="24"/>
              </w:rPr>
              <w:t>b</w:t>
            </w:r>
            <w:r w:rsidRPr="00EA25A1">
              <w:rPr>
                <w:sz w:val="24"/>
              </w:rPr>
              <w:t>son</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c>
          <w:tcPr>
            <w:tcW w:w="1982" w:type="dxa"/>
            <w:shd w:val="clear" w:color="auto" w:fill="FFFFFF"/>
            <w:vAlign w:val="bottom"/>
          </w:tcPr>
          <w:p w:rsidR="00A9729B" w:rsidRPr="00EA25A1" w:rsidRDefault="00A9729B" w:rsidP="00A9729B">
            <w:pPr>
              <w:spacing w:before="40" w:after="40"/>
              <w:ind w:left="90" w:right="72" w:firstLine="0"/>
              <w:jc w:val="both"/>
              <w:rPr>
                <w:sz w:val="24"/>
              </w:rPr>
            </w:pPr>
            <w:r w:rsidRPr="00EA25A1">
              <w:rPr>
                <w:sz w:val="24"/>
              </w:rPr>
              <w:t>Weaver</w:t>
            </w:r>
          </w:p>
          <w:p w:rsidR="00A9729B" w:rsidRPr="00EA25A1" w:rsidRDefault="00A9729B" w:rsidP="00A9729B">
            <w:pPr>
              <w:spacing w:before="40" w:after="40"/>
              <w:ind w:left="90" w:right="72" w:firstLine="0"/>
              <w:jc w:val="both"/>
              <w:rPr>
                <w:sz w:val="24"/>
              </w:rPr>
            </w:pPr>
            <w:r w:rsidRPr="00EA25A1">
              <w:rPr>
                <w:sz w:val="24"/>
              </w:rPr>
              <w:t>Wells</w:t>
            </w:r>
          </w:p>
        </w:tc>
        <w:tc>
          <w:tcPr>
            <w:tcW w:w="1983" w:type="dxa"/>
            <w:shd w:val="clear" w:color="auto" w:fill="FFFFFF"/>
          </w:tcPr>
          <w:p w:rsidR="00A9729B" w:rsidRPr="00EA25A1" w:rsidRDefault="00A9729B" w:rsidP="00A9729B">
            <w:pPr>
              <w:spacing w:before="40" w:after="40"/>
              <w:ind w:left="90" w:right="72" w:firstLine="0"/>
              <w:jc w:val="both"/>
              <w:rPr>
                <w:sz w:val="24"/>
                <w:szCs w:val="10"/>
              </w:rPr>
            </w:pPr>
          </w:p>
        </w:tc>
      </w:tr>
    </w:tbl>
    <w:p w:rsidR="00A9729B" w:rsidRDefault="00A9729B" w:rsidP="00A9729B">
      <w:pPr>
        <w:spacing w:before="120" w:after="120"/>
        <w:jc w:val="both"/>
        <w:rPr>
          <w:szCs w:val="2"/>
        </w:rPr>
      </w:pPr>
    </w:p>
    <w:p w:rsidR="00A9729B" w:rsidRPr="00AB71A5" w:rsidRDefault="00A9729B" w:rsidP="00A9729B">
      <w:pPr>
        <w:spacing w:before="120" w:after="120"/>
        <w:jc w:val="both"/>
      </w:pPr>
      <w:r>
        <w:rPr>
          <w:lang w:eastAsia="fr-FR" w:bidi="fr-FR"/>
        </w:rPr>
        <w:t>[98]</w:t>
      </w:r>
    </w:p>
    <w:p w:rsidR="00A9729B" w:rsidRPr="00AB71A5" w:rsidRDefault="00A9729B" w:rsidP="00A9729B">
      <w:pPr>
        <w:spacing w:before="120" w:after="120"/>
        <w:jc w:val="both"/>
      </w:pPr>
      <w:r w:rsidRPr="00AB71A5">
        <w:rPr>
          <w:lang w:eastAsia="fr-FR" w:bidi="fr-FR"/>
        </w:rPr>
        <w:t>On pourrait faire un grand nombre de remarques sur les di</w:t>
      </w:r>
      <w:r w:rsidRPr="00AB71A5">
        <w:rPr>
          <w:lang w:eastAsia="fr-FR" w:bidi="fr-FR"/>
        </w:rPr>
        <w:t>f</w:t>
      </w:r>
      <w:r w:rsidRPr="00AB71A5">
        <w:rPr>
          <w:lang w:eastAsia="fr-FR" w:bidi="fr-FR"/>
        </w:rPr>
        <w:t>férences qui existent entre ces divers index. Contentons-nous d’en faire que</w:t>
      </w:r>
      <w:r w:rsidRPr="00AB71A5">
        <w:rPr>
          <w:lang w:eastAsia="fr-FR" w:bidi="fr-FR"/>
        </w:rPr>
        <w:t>l</w:t>
      </w:r>
      <w:r w:rsidRPr="00AB71A5">
        <w:rPr>
          <w:lang w:eastAsia="fr-FR" w:bidi="fr-FR"/>
        </w:rPr>
        <w:t>ques-unes.</w:t>
      </w:r>
    </w:p>
    <w:p w:rsidR="00A9729B" w:rsidRPr="00AB71A5" w:rsidRDefault="00A9729B" w:rsidP="00A9729B">
      <w:pPr>
        <w:spacing w:before="120" w:after="120"/>
        <w:jc w:val="both"/>
      </w:pPr>
      <w:r>
        <w:rPr>
          <w:lang w:eastAsia="fr-FR" w:bidi="fr-FR"/>
        </w:rPr>
        <w:t xml:space="preserve">(1) </w:t>
      </w:r>
      <w:r w:rsidRPr="00AB71A5">
        <w:rPr>
          <w:lang w:eastAsia="fr-FR" w:bidi="fr-FR"/>
        </w:rPr>
        <w:t>L’ampleur du domaine couvert par l’index du te</w:t>
      </w:r>
      <w:r w:rsidRPr="00AB71A5">
        <w:rPr>
          <w:lang w:eastAsia="fr-FR" w:bidi="fr-FR"/>
        </w:rPr>
        <w:t>x</w:t>
      </w:r>
      <w:r w:rsidRPr="00AB71A5">
        <w:rPr>
          <w:lang w:eastAsia="fr-FR" w:bidi="fr-FR"/>
        </w:rPr>
        <w:t>te de Kristeva est beaucoup plus considérable — plus du double, dans les cas de Saussure et Chomsky et cinq foi</w:t>
      </w:r>
      <w:r>
        <w:rPr>
          <w:lang w:eastAsia="fr-FR" w:bidi="fr-FR"/>
        </w:rPr>
        <w:t>s plus éte</w:t>
      </w:r>
      <w:r>
        <w:rPr>
          <w:lang w:eastAsia="fr-FR" w:bidi="fr-FR"/>
        </w:rPr>
        <w:t>n</w:t>
      </w:r>
      <w:r>
        <w:rPr>
          <w:lang w:eastAsia="fr-FR" w:bidi="fr-FR"/>
        </w:rPr>
        <w:t>du, eu égard à Witt</w:t>
      </w:r>
      <w:r w:rsidRPr="00AB71A5">
        <w:rPr>
          <w:lang w:eastAsia="fr-FR" w:bidi="fr-FR"/>
        </w:rPr>
        <w:t>genstein — que celle des trois autres textes qui ont pourtant constitué, ch</w:t>
      </w:r>
      <w:r w:rsidRPr="00AB71A5">
        <w:rPr>
          <w:lang w:eastAsia="fr-FR" w:bidi="fr-FR"/>
        </w:rPr>
        <w:t>a</w:t>
      </w:r>
      <w:r w:rsidRPr="00AB71A5">
        <w:rPr>
          <w:lang w:eastAsia="fr-FR" w:bidi="fr-FR"/>
        </w:rPr>
        <w:t>cun dans leur domaine, un point tournant pour la théorie. Le texte de Wit</w:t>
      </w:r>
      <w:r w:rsidRPr="00AB71A5">
        <w:rPr>
          <w:lang w:eastAsia="fr-FR" w:bidi="fr-FR"/>
        </w:rPr>
        <w:t>t</w:t>
      </w:r>
      <w:r w:rsidRPr="00AB71A5">
        <w:rPr>
          <w:lang w:eastAsia="fr-FR" w:bidi="fr-FR"/>
        </w:rPr>
        <w:t>genstein est à cet égard le prototype d’un texte à champ de sédiment</w:t>
      </w:r>
      <w:r w:rsidRPr="00AB71A5">
        <w:rPr>
          <w:lang w:eastAsia="fr-FR" w:bidi="fr-FR"/>
        </w:rPr>
        <w:t>a</w:t>
      </w:r>
      <w:r w:rsidRPr="00AB71A5">
        <w:rPr>
          <w:lang w:eastAsia="fr-FR" w:bidi="fr-FR"/>
        </w:rPr>
        <w:t>tion étroit (texte, dont on pourrait dire qu’il effectue une coupure). Par contraste, le texte de Kristeva se rapprocherait d’un collage de textes déjà pr</w:t>
      </w:r>
      <w:r w:rsidRPr="00AB71A5">
        <w:rPr>
          <w:lang w:eastAsia="fr-FR" w:bidi="fr-FR"/>
        </w:rPr>
        <w:t>o</w:t>
      </w:r>
      <w:r w:rsidRPr="00AB71A5">
        <w:rPr>
          <w:lang w:eastAsia="fr-FR" w:bidi="fr-FR"/>
        </w:rPr>
        <w:t>duits.</w:t>
      </w:r>
    </w:p>
    <w:p w:rsidR="00A9729B" w:rsidRPr="00AB71A5" w:rsidRDefault="00A9729B" w:rsidP="00A9729B">
      <w:pPr>
        <w:spacing w:before="120" w:after="120"/>
        <w:jc w:val="both"/>
      </w:pPr>
      <w:r>
        <w:rPr>
          <w:lang w:eastAsia="fr-FR" w:bidi="fr-FR"/>
        </w:rPr>
        <w:t xml:space="preserve">(2) </w:t>
      </w:r>
      <w:r w:rsidRPr="00AB71A5">
        <w:rPr>
          <w:lang w:eastAsia="fr-FR" w:bidi="fr-FR"/>
        </w:rPr>
        <w:t>Par rapport à Kristeva, et peut-être aussi à Wit</w:t>
      </w:r>
      <w:r w:rsidRPr="00AB71A5">
        <w:rPr>
          <w:lang w:eastAsia="fr-FR" w:bidi="fr-FR"/>
        </w:rPr>
        <w:t>t</w:t>
      </w:r>
      <w:r w:rsidRPr="00AB71A5">
        <w:rPr>
          <w:lang w:eastAsia="fr-FR" w:bidi="fr-FR"/>
        </w:rPr>
        <w:t>genstein si l’on s’en tient à l’énoncé des noms, les index de Saussure et surtout celui de Chomsky présentent une homogénéité assez r</w:t>
      </w:r>
      <w:r w:rsidRPr="00AB71A5">
        <w:rPr>
          <w:lang w:eastAsia="fr-FR" w:bidi="fr-FR"/>
        </w:rPr>
        <w:t>e</w:t>
      </w:r>
      <w:r w:rsidRPr="00AB71A5">
        <w:rPr>
          <w:lang w:eastAsia="fr-FR" w:bidi="fr-FR"/>
        </w:rPr>
        <w:t>marquable. Dans l’un et l’autre cas, il s’agit de linguistes qui discutent — pre</w:t>
      </w:r>
      <w:r w:rsidRPr="00AB71A5">
        <w:rPr>
          <w:lang w:eastAsia="fr-FR" w:bidi="fr-FR"/>
        </w:rPr>
        <w:t>s</w:t>
      </w:r>
      <w:r w:rsidRPr="00AB71A5">
        <w:rPr>
          <w:lang w:eastAsia="fr-FR" w:bidi="fr-FR"/>
        </w:rPr>
        <w:t>qu’e</w:t>
      </w:r>
      <w:r>
        <w:rPr>
          <w:lang w:eastAsia="fr-FR" w:bidi="fr-FR"/>
        </w:rPr>
        <w:t>xclu</w:t>
      </w:r>
      <w:r w:rsidRPr="00AB71A5">
        <w:rPr>
          <w:lang w:eastAsia="fr-FR" w:bidi="fr-FR"/>
        </w:rPr>
        <w:t>sivement dans le cas de Chomsky — avec d’autres linguistes. Les renvois de Kristeva au contraire, font intervenir des champs épi</w:t>
      </w:r>
      <w:r w:rsidRPr="00AB71A5">
        <w:rPr>
          <w:lang w:eastAsia="fr-FR" w:bidi="fr-FR"/>
        </w:rPr>
        <w:t>s</w:t>
      </w:r>
      <w:r w:rsidRPr="00AB71A5">
        <w:rPr>
          <w:lang w:eastAsia="fr-FR" w:bidi="fr-FR"/>
        </w:rPr>
        <w:t>témologiques très diversifiés, comme nous l’avions déjà r</w:t>
      </w:r>
      <w:r w:rsidRPr="00AB71A5">
        <w:rPr>
          <w:lang w:eastAsia="fr-FR" w:bidi="fr-FR"/>
        </w:rPr>
        <w:t>e</w:t>
      </w:r>
      <w:r w:rsidRPr="00AB71A5">
        <w:rPr>
          <w:lang w:eastAsia="fr-FR" w:bidi="fr-FR"/>
        </w:rPr>
        <w:t>marqué.</w:t>
      </w:r>
    </w:p>
    <w:p w:rsidR="00A9729B" w:rsidRPr="00AB71A5" w:rsidRDefault="00A9729B" w:rsidP="00A9729B">
      <w:pPr>
        <w:spacing w:before="120" w:after="120"/>
        <w:jc w:val="both"/>
      </w:pPr>
      <w:r>
        <w:rPr>
          <w:lang w:eastAsia="fr-FR" w:bidi="fr-FR"/>
        </w:rPr>
        <w:t xml:space="preserve">(3) </w:t>
      </w:r>
      <w:r w:rsidRPr="00AB71A5">
        <w:rPr>
          <w:lang w:eastAsia="fr-FR" w:bidi="fr-FR"/>
        </w:rPr>
        <w:t xml:space="preserve">L’index du </w:t>
      </w:r>
      <w:r w:rsidRPr="00EA25A1">
        <w:rPr>
          <w:i/>
        </w:rPr>
        <w:t>Tractatus</w:t>
      </w:r>
      <w:r w:rsidRPr="00AB71A5">
        <w:rPr>
          <w:lang w:eastAsia="fr-FR" w:bidi="fr-FR"/>
        </w:rPr>
        <w:t xml:space="preserve"> contraste avec celui des trois a</w:t>
      </w:r>
      <w:r w:rsidRPr="00AB71A5">
        <w:rPr>
          <w:lang w:eastAsia="fr-FR" w:bidi="fr-FR"/>
        </w:rPr>
        <w:t>u</w:t>
      </w:r>
      <w:r w:rsidRPr="00AB71A5">
        <w:rPr>
          <w:lang w:eastAsia="fr-FR" w:bidi="fr-FR"/>
        </w:rPr>
        <w:t>tres textes en ce qu’il présente des écarts de fréquence tels (18 Frege et 29 Ru</w:t>
      </w:r>
      <w:r w:rsidRPr="00AB71A5">
        <w:rPr>
          <w:lang w:eastAsia="fr-FR" w:bidi="fr-FR"/>
        </w:rPr>
        <w:t>s</w:t>
      </w:r>
      <w:r w:rsidRPr="00AB71A5">
        <w:rPr>
          <w:lang w:eastAsia="fr-FR" w:bidi="fr-FR"/>
        </w:rPr>
        <w:t>sell contre 12 me</w:t>
      </w:r>
      <w:r w:rsidRPr="00AB71A5">
        <w:rPr>
          <w:lang w:eastAsia="fr-FR" w:bidi="fr-FR"/>
        </w:rPr>
        <w:t>n</w:t>
      </w:r>
      <w:r w:rsidRPr="00AB71A5">
        <w:rPr>
          <w:lang w:eastAsia="fr-FR" w:bidi="fr-FR"/>
        </w:rPr>
        <w:t>tions pour le total des autres noms de l’index) que l’on peut en induire avec une probabilité assez gra</w:t>
      </w:r>
      <w:r w:rsidRPr="00AB71A5">
        <w:rPr>
          <w:lang w:eastAsia="fr-FR" w:bidi="fr-FR"/>
        </w:rPr>
        <w:t>n</w:t>
      </w:r>
      <w:r w:rsidRPr="00AB71A5">
        <w:rPr>
          <w:lang w:eastAsia="fr-FR" w:bidi="fr-FR"/>
        </w:rPr>
        <w:t xml:space="preserve">de, un rapport d’influence. La fréquence d’occurrence, assez égale, des noms cités dans l’index de </w:t>
      </w:r>
      <w:r w:rsidRPr="00EA25A1">
        <w:rPr>
          <w:i/>
        </w:rPr>
        <w:t>Syntactic Structures</w:t>
      </w:r>
      <w:r w:rsidRPr="00AB71A5">
        <w:rPr>
          <w:lang w:eastAsia="fr-FR" w:bidi="fr-FR"/>
        </w:rPr>
        <w:t xml:space="preserve"> </w:t>
      </w:r>
      <w:r>
        <w:rPr>
          <w:lang w:eastAsia="fr-FR" w:bidi="fr-FR"/>
        </w:rPr>
        <w:t>[</w:t>
      </w:r>
      <w:r w:rsidRPr="00AB71A5">
        <w:rPr>
          <w:lang w:eastAsia="fr-FR" w:bidi="fr-FR"/>
        </w:rPr>
        <w:t>1 ou 2 me</w:t>
      </w:r>
      <w:r w:rsidRPr="00AB71A5">
        <w:rPr>
          <w:lang w:eastAsia="fr-FR" w:bidi="fr-FR"/>
        </w:rPr>
        <w:t>n</w:t>
      </w:r>
      <w:r w:rsidRPr="00AB71A5">
        <w:rPr>
          <w:lang w:eastAsia="fr-FR" w:bidi="fr-FR"/>
        </w:rPr>
        <w:t xml:space="preserve">tions par nom </w:t>
      </w:r>
      <w:r>
        <w:rPr>
          <w:lang w:eastAsia="fr-FR" w:bidi="fr-FR"/>
        </w:rPr>
        <w:t>avec l’exception de Hockett (4)]</w:t>
      </w:r>
      <w:r w:rsidRPr="00AB71A5">
        <w:rPr>
          <w:lang w:eastAsia="fr-FR" w:bidi="fr-FR"/>
        </w:rPr>
        <w:t xml:space="preserve"> indique plutôt une connaissance générale de l’état des recherches dans le d</w:t>
      </w:r>
      <w:r w:rsidRPr="00AB71A5">
        <w:rPr>
          <w:lang w:eastAsia="fr-FR" w:bidi="fr-FR"/>
        </w:rPr>
        <w:t>o</w:t>
      </w:r>
      <w:r w:rsidRPr="00AB71A5">
        <w:rPr>
          <w:lang w:eastAsia="fr-FR" w:bidi="fr-FR"/>
        </w:rPr>
        <w:t>maine où travaille Chomsky qu’un net rapport d’influence. On pourrait dire la même chose pour Sauss</w:t>
      </w:r>
      <w:r w:rsidRPr="00AB71A5">
        <w:rPr>
          <w:lang w:eastAsia="fr-FR" w:bidi="fr-FR"/>
        </w:rPr>
        <w:t>u</w:t>
      </w:r>
      <w:r w:rsidRPr="00AB71A5">
        <w:rPr>
          <w:lang w:eastAsia="fr-FR" w:bidi="fr-FR"/>
        </w:rPr>
        <w:t>re.</w:t>
      </w:r>
    </w:p>
    <w:p w:rsidR="00A9729B" w:rsidRPr="00AB71A5" w:rsidRDefault="00A9729B" w:rsidP="00A9729B">
      <w:pPr>
        <w:spacing w:before="120" w:after="120"/>
        <w:jc w:val="both"/>
      </w:pPr>
      <w:r>
        <w:rPr>
          <w:lang w:eastAsia="fr-FR" w:bidi="fr-FR"/>
        </w:rPr>
        <w:t xml:space="preserve">(4) </w:t>
      </w:r>
      <w:r w:rsidRPr="00AB71A5">
        <w:rPr>
          <w:lang w:eastAsia="fr-FR" w:bidi="fr-FR"/>
        </w:rPr>
        <w:t xml:space="preserve">Des renvois aux pages où apparaissent les noms cités dans l’index de </w:t>
      </w:r>
      <w:r w:rsidRPr="00EA25A1">
        <w:rPr>
          <w:i/>
        </w:rPr>
        <w:t>Syntactic Structures</w:t>
      </w:r>
      <w:r w:rsidRPr="00AB71A5">
        <w:rPr>
          <w:lang w:eastAsia="fr-FR" w:bidi="fr-FR"/>
        </w:rPr>
        <w:t xml:space="preserve"> révéleraient que la pratique d’écriture de Chomsky est très diff</w:t>
      </w:r>
      <w:r w:rsidRPr="00AB71A5">
        <w:rPr>
          <w:lang w:eastAsia="fr-FR" w:bidi="fr-FR"/>
        </w:rPr>
        <w:t>é</w:t>
      </w:r>
      <w:r w:rsidRPr="00AB71A5">
        <w:rPr>
          <w:lang w:eastAsia="fr-FR" w:bidi="fr-FR"/>
        </w:rPr>
        <w:t>rente de celle des trois autres auteurs : à une exception près</w:t>
      </w:r>
      <w:r>
        <w:rPr>
          <w:lang w:eastAsia="fr-FR" w:bidi="fr-FR"/>
        </w:rPr>
        <w:t> </w:t>
      </w:r>
      <w:r>
        <w:rPr>
          <w:rStyle w:val="Appelnotedebasdep"/>
          <w:lang w:eastAsia="fr-FR" w:bidi="fr-FR"/>
        </w:rPr>
        <w:footnoteReference w:id="15"/>
      </w:r>
      <w:r w:rsidRPr="00AB71A5">
        <w:rPr>
          <w:lang w:eastAsia="fr-FR" w:bidi="fr-FR"/>
        </w:rPr>
        <w:t>, je crois, les noms propres interviennent hors du te</w:t>
      </w:r>
      <w:r w:rsidRPr="00AB71A5">
        <w:rPr>
          <w:lang w:eastAsia="fr-FR" w:bidi="fr-FR"/>
        </w:rPr>
        <w:t>x</w:t>
      </w:r>
      <w:r w:rsidRPr="00AB71A5">
        <w:rPr>
          <w:lang w:eastAsia="fr-FR" w:bidi="fr-FR"/>
        </w:rPr>
        <w:t>te, dans des notes au bas des pages. Le texte lui-même, à n’en</w:t>
      </w:r>
      <w:r>
        <w:rPr>
          <w:lang w:eastAsia="fr-FR" w:bidi="fr-FR"/>
        </w:rPr>
        <w:t xml:space="preserve"> [99] </w:t>
      </w:r>
      <w:r w:rsidRPr="00AB71A5">
        <w:rPr>
          <w:lang w:eastAsia="fr-FR" w:bidi="fr-FR"/>
        </w:rPr>
        <w:t>considérer que les marques expresses, serait écrit tout entier au « premier degré »</w:t>
      </w:r>
      <w:r>
        <w:rPr>
          <w:lang w:eastAsia="fr-FR" w:bidi="fr-FR"/>
        </w:rPr>
        <w:t> </w:t>
      </w:r>
      <w:r>
        <w:rPr>
          <w:rStyle w:val="Appelnotedebasdep"/>
          <w:lang w:eastAsia="fr-FR" w:bidi="fr-FR"/>
        </w:rPr>
        <w:footnoteReference w:id="16"/>
      </w:r>
      <w:r w:rsidRPr="00AB71A5">
        <w:rPr>
          <w:lang w:eastAsia="fr-FR" w:bidi="fr-FR"/>
        </w:rPr>
        <w:t>.</w:t>
      </w:r>
    </w:p>
    <w:p w:rsidR="00A9729B" w:rsidRPr="00AB71A5" w:rsidRDefault="00A9729B" w:rsidP="00A9729B">
      <w:pPr>
        <w:spacing w:before="120" w:after="120"/>
        <w:jc w:val="both"/>
      </w:pPr>
      <w:r w:rsidRPr="00AB71A5">
        <w:rPr>
          <w:lang w:eastAsia="fr-FR" w:bidi="fr-FR"/>
        </w:rPr>
        <w:t>J’arrête ici l’énoncé de mes remarques : elles su</w:t>
      </w:r>
      <w:r w:rsidRPr="00AB71A5">
        <w:rPr>
          <w:lang w:eastAsia="fr-FR" w:bidi="fr-FR"/>
        </w:rPr>
        <w:t>f</w:t>
      </w:r>
      <w:r w:rsidRPr="00AB71A5">
        <w:rPr>
          <w:lang w:eastAsia="fr-FR" w:bidi="fr-FR"/>
        </w:rPr>
        <w:t>fisent à montrer que l’indexicologie — un index n’étant rien d’autre que la marque la plus explicite de l’intertextualité, — pourrait con</w:t>
      </w:r>
      <w:r w:rsidRPr="00AB71A5">
        <w:rPr>
          <w:lang w:eastAsia="fr-FR" w:bidi="fr-FR"/>
        </w:rPr>
        <w:t>s</w:t>
      </w:r>
      <w:r w:rsidRPr="00AB71A5">
        <w:rPr>
          <w:lang w:eastAsia="fr-FR" w:bidi="fr-FR"/>
        </w:rPr>
        <w:t>tituer un champ de recherche, riche en surprises et en différences pour peu que l’on vo</w:t>
      </w:r>
      <w:r w:rsidRPr="00AB71A5">
        <w:rPr>
          <w:lang w:eastAsia="fr-FR" w:bidi="fr-FR"/>
        </w:rPr>
        <w:t>u</w:t>
      </w:r>
      <w:r w:rsidRPr="00AB71A5">
        <w:rPr>
          <w:lang w:eastAsia="fr-FR" w:bidi="fr-FR"/>
        </w:rPr>
        <w:t>drait l’aborder de façon empirique, c’est-à-dire, en abandonnant la rédaction de pr</w:t>
      </w:r>
      <w:r w:rsidRPr="00AB71A5">
        <w:rPr>
          <w:lang w:eastAsia="fr-FR" w:bidi="fr-FR"/>
        </w:rPr>
        <w:t>o</w:t>
      </w:r>
      <w:r w:rsidRPr="00AB71A5">
        <w:rPr>
          <w:lang w:eastAsia="fr-FR" w:bidi="fr-FR"/>
        </w:rPr>
        <w:t>grammes pour l’examen effectif des textes.</w:t>
      </w:r>
    </w:p>
    <w:p w:rsidR="00A9729B" w:rsidRPr="00AB71A5" w:rsidRDefault="00A9729B" w:rsidP="00A9729B">
      <w:pPr>
        <w:spacing w:before="120" w:after="120"/>
        <w:jc w:val="both"/>
      </w:pPr>
      <w:r w:rsidRPr="00AB71A5">
        <w:rPr>
          <w:lang w:eastAsia="fr-FR" w:bidi="fr-FR"/>
        </w:rPr>
        <w:t>Si les différences sont grandes entre les index de textes qui sont produits dans une période qui est relativement la même — un ci</w:t>
      </w:r>
      <w:r w:rsidRPr="00AB71A5">
        <w:rPr>
          <w:lang w:eastAsia="fr-FR" w:bidi="fr-FR"/>
        </w:rPr>
        <w:t>n</w:t>
      </w:r>
      <w:r w:rsidRPr="00AB71A5">
        <w:rPr>
          <w:lang w:eastAsia="fr-FR" w:bidi="fr-FR"/>
        </w:rPr>
        <w:t>quantenaire — que dirons-nous de celles, spectaculaires, qui surgi</w:t>
      </w:r>
      <w:r w:rsidRPr="00AB71A5">
        <w:rPr>
          <w:lang w:eastAsia="fr-FR" w:bidi="fr-FR"/>
        </w:rPr>
        <w:t>s</w:t>
      </w:r>
      <w:r w:rsidRPr="00AB71A5">
        <w:rPr>
          <w:lang w:eastAsia="fr-FR" w:bidi="fr-FR"/>
        </w:rPr>
        <w:t>sent à la comparaison de te</w:t>
      </w:r>
      <w:r w:rsidRPr="00AB71A5">
        <w:rPr>
          <w:lang w:eastAsia="fr-FR" w:bidi="fr-FR"/>
        </w:rPr>
        <w:t>x</w:t>
      </w:r>
      <w:r w:rsidRPr="00AB71A5">
        <w:rPr>
          <w:lang w:eastAsia="fr-FR" w:bidi="fr-FR"/>
        </w:rPr>
        <w:t>tes produits à des époques très différentes. C’est à ce sujet que nous allons livrer les exemples promis plus haut des travaux a</w:t>
      </w:r>
      <w:r w:rsidRPr="00AB71A5">
        <w:rPr>
          <w:lang w:eastAsia="fr-FR" w:bidi="fr-FR"/>
        </w:rPr>
        <w:t>c</w:t>
      </w:r>
      <w:r w:rsidRPr="00AB71A5">
        <w:rPr>
          <w:lang w:eastAsia="fr-FR" w:bidi="fr-FR"/>
        </w:rPr>
        <w:t>complis avec l’aide d’ordinateurs car ils révéleront par contraste, la singularité de notre culture. Dans sa « Courte Introdu</w:t>
      </w:r>
      <w:r w:rsidRPr="00AB71A5">
        <w:rPr>
          <w:lang w:eastAsia="fr-FR" w:bidi="fr-FR"/>
        </w:rPr>
        <w:t>c</w:t>
      </w:r>
      <w:r w:rsidRPr="00AB71A5">
        <w:rPr>
          <w:lang w:eastAsia="fr-FR" w:bidi="fr-FR"/>
        </w:rPr>
        <w:t>tion aux relations de la philosophie avec l’informatique »</w:t>
      </w:r>
      <w:r>
        <w:rPr>
          <w:lang w:eastAsia="fr-FR" w:bidi="fr-FR"/>
        </w:rPr>
        <w:t> </w:t>
      </w:r>
      <w:r>
        <w:rPr>
          <w:rStyle w:val="Appelnotedebasdep"/>
          <w:lang w:eastAsia="fr-FR" w:bidi="fr-FR"/>
        </w:rPr>
        <w:footnoteReference w:customMarkFollows="1" w:id="17"/>
        <w:t>G</w:t>
      </w:r>
      <w:r w:rsidRPr="00AB71A5">
        <w:rPr>
          <w:lang w:eastAsia="fr-FR" w:bidi="fr-FR"/>
        </w:rPr>
        <w:t>, André R</w:t>
      </w:r>
      <w:r w:rsidRPr="00AB71A5">
        <w:rPr>
          <w:lang w:eastAsia="fr-FR" w:bidi="fr-FR"/>
        </w:rPr>
        <w:t>o</w:t>
      </w:r>
      <w:r w:rsidRPr="00AB71A5">
        <w:rPr>
          <w:lang w:eastAsia="fr-FR" w:bidi="fr-FR"/>
        </w:rPr>
        <w:t>binet cite deux travaux en cours, qui intéressent directement notre propos, ne serait-ce que par la formulation qu’il emploie pour les d</w:t>
      </w:r>
      <w:r w:rsidRPr="00AB71A5">
        <w:rPr>
          <w:lang w:eastAsia="fr-FR" w:bidi="fr-FR"/>
        </w:rPr>
        <w:t>é</w:t>
      </w:r>
      <w:r w:rsidRPr="00AB71A5">
        <w:rPr>
          <w:lang w:eastAsia="fr-FR" w:bidi="fr-FR"/>
        </w:rPr>
        <w:t>crire.</w:t>
      </w:r>
      <w:r w:rsidRPr="00AB71A5">
        <w:rPr>
          <w:lang w:eastAsia="fr-FR" w:bidi="fr-FR"/>
        </w:rPr>
        <w:tab/>
        <w:t>Le premier travail, réalisé au Ce</w:t>
      </w:r>
      <w:r w:rsidRPr="00AB71A5">
        <w:rPr>
          <w:lang w:eastAsia="fr-FR" w:bidi="fr-FR"/>
        </w:rPr>
        <w:t>n</w:t>
      </w:r>
      <w:r w:rsidRPr="00AB71A5">
        <w:rPr>
          <w:lang w:eastAsia="fr-FR" w:bidi="fr-FR"/>
        </w:rPr>
        <w:t>tre</w:t>
      </w:r>
    </w:p>
    <w:p w:rsidR="00A9729B" w:rsidRPr="00AB71A5" w:rsidRDefault="00A9729B" w:rsidP="00A9729B">
      <w:pPr>
        <w:spacing w:before="120" w:after="120"/>
        <w:jc w:val="both"/>
      </w:pPr>
      <w:r w:rsidRPr="00AB71A5">
        <w:rPr>
          <w:lang w:eastAsia="fr-FR" w:bidi="fr-FR"/>
        </w:rPr>
        <w:t>d’études médiévales de Louvain par Jacqueline Hamesse po</w:t>
      </w:r>
      <w:r w:rsidRPr="00AB71A5">
        <w:rPr>
          <w:lang w:eastAsia="fr-FR" w:bidi="fr-FR"/>
        </w:rPr>
        <w:t>r</w:t>
      </w:r>
      <w:r w:rsidRPr="00AB71A5">
        <w:rPr>
          <w:lang w:eastAsia="fr-FR" w:bidi="fr-FR"/>
        </w:rPr>
        <w:t>te sur les citations d’Aristote que l’on peut dénombrer dans les textes phil</w:t>
      </w:r>
      <w:r w:rsidRPr="00AB71A5">
        <w:rPr>
          <w:lang w:eastAsia="fr-FR" w:bidi="fr-FR"/>
        </w:rPr>
        <w:t>o</w:t>
      </w:r>
      <w:r w:rsidRPr="00AB71A5">
        <w:rPr>
          <w:lang w:eastAsia="fr-FR" w:bidi="fr-FR"/>
        </w:rPr>
        <w:t>sophiques produits au Moyen-Age. « Les 4,000 cit</w:t>
      </w:r>
      <w:r w:rsidRPr="00AB71A5">
        <w:rPr>
          <w:lang w:eastAsia="fr-FR" w:bidi="fr-FR"/>
        </w:rPr>
        <w:t>a</w:t>
      </w:r>
      <w:r w:rsidRPr="00AB71A5">
        <w:rPr>
          <w:lang w:eastAsia="fr-FR" w:bidi="fr-FR"/>
        </w:rPr>
        <w:t>tions d’Aristote, nous dit Robinet, sur lesquelles repose toute la phil</w:t>
      </w:r>
      <w:r w:rsidRPr="00AB71A5">
        <w:rPr>
          <w:lang w:eastAsia="fr-FR" w:bidi="fr-FR"/>
        </w:rPr>
        <w:t>o</w:t>
      </w:r>
      <w:r w:rsidRPr="00AB71A5">
        <w:rPr>
          <w:lang w:eastAsia="fr-FR" w:bidi="fr-FR"/>
        </w:rPr>
        <w:t>sophie médiévale seront ainsi cataloguées, référées avec précision au texte original et abordables en tous sens pour les consultations à venir » (P. 245). Le s</w:t>
      </w:r>
      <w:r w:rsidRPr="00AB71A5">
        <w:rPr>
          <w:lang w:eastAsia="fr-FR" w:bidi="fr-FR"/>
        </w:rPr>
        <w:t>e</w:t>
      </w:r>
      <w:r w:rsidRPr="00AB71A5">
        <w:rPr>
          <w:lang w:eastAsia="fr-FR" w:bidi="fr-FR"/>
        </w:rPr>
        <w:t xml:space="preserve">cond travail, entrepris à Grenoble, s’est donné la même tâche avec cette fois, les 55,000 citations du </w:t>
      </w:r>
      <w:r w:rsidRPr="00EA25A1">
        <w:rPr>
          <w:i/>
        </w:rPr>
        <w:t>Dictionnaire Hist</w:t>
      </w:r>
      <w:r w:rsidRPr="00EA25A1">
        <w:rPr>
          <w:i/>
        </w:rPr>
        <w:t>o</w:t>
      </w:r>
      <w:r w:rsidRPr="00EA25A1">
        <w:rPr>
          <w:i/>
        </w:rPr>
        <w:t>rique et Critique</w:t>
      </w:r>
      <w:r w:rsidRPr="00AB71A5">
        <w:rPr>
          <w:lang w:eastAsia="fr-FR" w:bidi="fr-FR"/>
        </w:rPr>
        <w:t xml:space="preserve"> de Bayle (1697).</w:t>
      </w:r>
    </w:p>
    <w:p w:rsidR="00A9729B" w:rsidRPr="00AB71A5" w:rsidRDefault="00A9729B" w:rsidP="00A9729B">
      <w:pPr>
        <w:spacing w:before="120" w:after="120"/>
        <w:jc w:val="both"/>
      </w:pPr>
      <w:r w:rsidRPr="00AB71A5">
        <w:rPr>
          <w:lang w:eastAsia="fr-FR" w:bidi="fr-FR"/>
        </w:rPr>
        <w:t>Deux choses sont dignes de mention dans ces pr</w:t>
      </w:r>
      <w:r w:rsidRPr="00AB71A5">
        <w:rPr>
          <w:lang w:eastAsia="fr-FR" w:bidi="fr-FR"/>
        </w:rPr>
        <w:t>o</w:t>
      </w:r>
      <w:r w:rsidRPr="00AB71A5">
        <w:rPr>
          <w:lang w:eastAsia="fr-FR" w:bidi="fr-FR"/>
        </w:rPr>
        <w:t>jets. La première est la formulation de Robinet pour présenter le projet de Louvain : si la philosophie m</w:t>
      </w:r>
      <w:r w:rsidRPr="00AB71A5">
        <w:rPr>
          <w:lang w:eastAsia="fr-FR" w:bidi="fr-FR"/>
        </w:rPr>
        <w:t>é</w:t>
      </w:r>
      <w:r w:rsidRPr="00AB71A5">
        <w:rPr>
          <w:lang w:eastAsia="fr-FR" w:bidi="fr-FR"/>
        </w:rPr>
        <w:t xml:space="preserve">diévale </w:t>
      </w:r>
      <w:r w:rsidRPr="00AB71A5">
        <w:t>repose</w:t>
      </w:r>
      <w:r w:rsidRPr="00AB71A5">
        <w:rPr>
          <w:lang w:eastAsia="fr-FR" w:bidi="fr-FR"/>
        </w:rPr>
        <w:t xml:space="preserve"> sur quelques 4,000 citations d’Aristote, qui ne voit pas l’intérêt d’en dresser le catalogue, d’en fa</w:t>
      </w:r>
      <w:r w:rsidRPr="00AB71A5">
        <w:rPr>
          <w:lang w:eastAsia="fr-FR" w:bidi="fr-FR"/>
        </w:rPr>
        <w:t>i</w:t>
      </w:r>
      <w:r w:rsidRPr="00AB71A5">
        <w:rPr>
          <w:lang w:eastAsia="fr-FR" w:bidi="fr-FR"/>
        </w:rPr>
        <w:t>re l’index, et qui ne voit pas l’opportunité d’accomplir des travaux similaires pour des œuvres contemporaines, ne serait-ce que pour vér</w:t>
      </w:r>
      <w:r w:rsidRPr="00AB71A5">
        <w:rPr>
          <w:lang w:eastAsia="fr-FR" w:bidi="fr-FR"/>
        </w:rPr>
        <w:t>i</w:t>
      </w:r>
      <w:r w:rsidRPr="00AB71A5">
        <w:rPr>
          <w:lang w:eastAsia="fr-FR" w:bidi="fr-FR"/>
        </w:rPr>
        <w:t>fier si la citation y joue le même rôle — l’autorité — que dans le texte médiéval.</w:t>
      </w:r>
    </w:p>
    <w:p w:rsidR="00A9729B" w:rsidRPr="00AB71A5" w:rsidRDefault="00A9729B" w:rsidP="00A9729B">
      <w:pPr>
        <w:spacing w:before="120" w:after="120"/>
        <w:jc w:val="both"/>
      </w:pPr>
      <w:r>
        <w:rPr>
          <w:lang w:eastAsia="fr-FR" w:bidi="fr-FR"/>
        </w:rPr>
        <w:t>[100]</w:t>
      </w:r>
    </w:p>
    <w:p w:rsidR="00A9729B" w:rsidRPr="00AB71A5" w:rsidRDefault="00A9729B" w:rsidP="00A9729B">
      <w:pPr>
        <w:spacing w:before="120" w:after="120"/>
        <w:jc w:val="both"/>
      </w:pPr>
      <w:r w:rsidRPr="00AB71A5">
        <w:rPr>
          <w:lang w:eastAsia="fr-FR" w:bidi="fr-FR"/>
        </w:rPr>
        <w:t>La seconde des choses qui doit nous requérir est la montée en fl</w:t>
      </w:r>
      <w:r w:rsidRPr="00AB71A5">
        <w:rPr>
          <w:lang w:eastAsia="fr-FR" w:bidi="fr-FR"/>
        </w:rPr>
        <w:t>è</w:t>
      </w:r>
      <w:r w:rsidRPr="00AB71A5">
        <w:rPr>
          <w:lang w:eastAsia="fr-FR" w:bidi="fr-FR"/>
        </w:rPr>
        <w:t>che du nombre des citations qui font l’objet des travaux préc</w:t>
      </w:r>
      <w:r w:rsidRPr="00AB71A5">
        <w:rPr>
          <w:lang w:eastAsia="fr-FR" w:bidi="fr-FR"/>
        </w:rPr>
        <w:t>i</w:t>
      </w:r>
      <w:r w:rsidRPr="00AB71A5">
        <w:rPr>
          <w:lang w:eastAsia="fr-FR" w:bidi="fr-FR"/>
        </w:rPr>
        <w:t>tés. Cette montée en flèche — de 4,000 à 55,000 — en même temps qu’elle i</w:t>
      </w:r>
      <w:r w:rsidRPr="00AB71A5">
        <w:rPr>
          <w:lang w:eastAsia="fr-FR" w:bidi="fr-FR"/>
        </w:rPr>
        <w:t>n</w:t>
      </w:r>
      <w:r w:rsidRPr="00AB71A5">
        <w:rPr>
          <w:lang w:eastAsia="fr-FR" w:bidi="fr-FR"/>
        </w:rPr>
        <w:t>dique l’étendue de la croissance du corpus des textes dans lesquels pouvaient respectivement puiser les médiévaux et à l’époque class</w:t>
      </w:r>
      <w:r w:rsidRPr="00AB71A5">
        <w:rPr>
          <w:lang w:eastAsia="fr-FR" w:bidi="fr-FR"/>
        </w:rPr>
        <w:t>i</w:t>
      </w:r>
      <w:r w:rsidRPr="00AB71A5">
        <w:rPr>
          <w:lang w:eastAsia="fr-FR" w:bidi="fr-FR"/>
        </w:rPr>
        <w:t>que, Pierre Bayle, trace aussi la limite de notre ambition lorsque nous nous faisons l’avocat de la poursuite de recherches de nature in</w:t>
      </w:r>
      <w:r>
        <w:rPr>
          <w:lang w:eastAsia="fr-FR" w:bidi="fr-FR"/>
        </w:rPr>
        <w:t>dexi</w:t>
      </w:r>
      <w:r w:rsidRPr="00AB71A5">
        <w:rPr>
          <w:lang w:eastAsia="fr-FR" w:bidi="fr-FR"/>
        </w:rPr>
        <w:t>c</w:t>
      </w:r>
      <w:r w:rsidRPr="00AB71A5">
        <w:rPr>
          <w:lang w:eastAsia="fr-FR" w:bidi="fr-FR"/>
        </w:rPr>
        <w:t>o</w:t>
      </w:r>
      <w:r w:rsidRPr="00AB71A5">
        <w:rPr>
          <w:lang w:eastAsia="fr-FR" w:bidi="fr-FR"/>
        </w:rPr>
        <w:t>logique pour l’époque contemporaine. Il faut s’arrêter, en effet, pour souligner vivement le sentiment d’absurdité qui nous envahirait à l’énoncé de tout projet qui se croirait autorisé à rédu</w:t>
      </w:r>
      <w:r w:rsidRPr="00AB71A5">
        <w:rPr>
          <w:lang w:eastAsia="fr-FR" w:bidi="fr-FR"/>
        </w:rPr>
        <w:t>i</w:t>
      </w:r>
      <w:r w:rsidRPr="00AB71A5">
        <w:rPr>
          <w:lang w:eastAsia="fr-FR" w:bidi="fr-FR"/>
        </w:rPr>
        <w:t>re le fond dans lequel puise la théorie contemporaine à quelques dizaines de milliers ou même à quelques centaines de milliers de citations tirées d’un seul ou de quelques auteurs, car dans ce sentiment d’absurdité se révèle, de façon crue, la distance qui nous sépare de la période médi</w:t>
      </w:r>
      <w:r w:rsidRPr="00AB71A5">
        <w:rPr>
          <w:lang w:eastAsia="fr-FR" w:bidi="fr-FR"/>
        </w:rPr>
        <w:t>é</w:t>
      </w:r>
      <w:r w:rsidRPr="00AB71A5">
        <w:rPr>
          <w:lang w:eastAsia="fr-FR" w:bidi="fr-FR"/>
        </w:rPr>
        <w:t>vale et même de celle de Bayle.</w:t>
      </w:r>
    </w:p>
    <w:p w:rsidR="00A9729B" w:rsidRPr="00AB71A5" w:rsidRDefault="00A9729B" w:rsidP="00A9729B">
      <w:pPr>
        <w:spacing w:before="120" w:after="120"/>
        <w:jc w:val="both"/>
      </w:pPr>
      <w:r w:rsidRPr="00AB71A5">
        <w:rPr>
          <w:lang w:eastAsia="fr-FR" w:bidi="fr-FR"/>
        </w:rPr>
        <w:t>Cette distance ne se réduit pas à un seul écart quantitatif, qui est tel, que l’on devrait le considérer comme entraînant une mutation de nature, mais elle recèle aussi une profonde métamorphose de struct</w:t>
      </w:r>
      <w:r w:rsidRPr="00AB71A5">
        <w:rPr>
          <w:lang w:eastAsia="fr-FR" w:bidi="fr-FR"/>
        </w:rPr>
        <w:t>u</w:t>
      </w:r>
      <w:r w:rsidRPr="00AB71A5">
        <w:rPr>
          <w:lang w:eastAsia="fr-FR" w:bidi="fr-FR"/>
        </w:rPr>
        <w:t>re. Le type de rapport sur lequel repose le projet de Lo</w:t>
      </w:r>
      <w:r w:rsidRPr="00AB71A5">
        <w:rPr>
          <w:lang w:eastAsia="fr-FR" w:bidi="fr-FR"/>
        </w:rPr>
        <w:t>u</w:t>
      </w:r>
      <w:r w:rsidRPr="00AB71A5">
        <w:rPr>
          <w:lang w:eastAsia="fr-FR" w:bidi="fr-FR"/>
        </w:rPr>
        <w:t>vain est celui qui s’établit entre d’une part, une plur</w:t>
      </w:r>
      <w:r w:rsidRPr="00AB71A5">
        <w:rPr>
          <w:lang w:eastAsia="fr-FR" w:bidi="fr-FR"/>
        </w:rPr>
        <w:t>a</w:t>
      </w:r>
      <w:r w:rsidRPr="00AB71A5">
        <w:rPr>
          <w:lang w:eastAsia="fr-FR" w:bidi="fr-FR"/>
        </w:rPr>
        <w:t>lité d’auteurs et d’autre part, une seule source, ou autorité que tous ces auteurs exploitent. Le ra</w:t>
      </w:r>
      <w:r w:rsidRPr="00AB71A5">
        <w:rPr>
          <w:lang w:eastAsia="fr-FR" w:bidi="fr-FR"/>
        </w:rPr>
        <w:t>p</w:t>
      </w:r>
      <w:r w:rsidRPr="00AB71A5">
        <w:rPr>
          <w:lang w:eastAsia="fr-FR" w:bidi="fr-FR"/>
        </w:rPr>
        <w:t>port qui lie Bayle à ses sources est rigoureusement inverse : il s’agit en ce cas d’un compilateur un</w:t>
      </w:r>
      <w:r w:rsidRPr="00AB71A5">
        <w:rPr>
          <w:lang w:eastAsia="fr-FR" w:bidi="fr-FR"/>
        </w:rPr>
        <w:t>i</w:t>
      </w:r>
      <w:r w:rsidRPr="00AB71A5">
        <w:rPr>
          <w:lang w:eastAsia="fr-FR" w:bidi="fr-FR"/>
        </w:rPr>
        <w:t>que — figure de l’encyclopédiste futur — qui puise à une grande v</w:t>
      </w:r>
      <w:r w:rsidRPr="00AB71A5">
        <w:rPr>
          <w:lang w:eastAsia="fr-FR" w:bidi="fr-FR"/>
        </w:rPr>
        <w:t>a</w:t>
      </w:r>
      <w:r w:rsidRPr="00AB71A5">
        <w:rPr>
          <w:lang w:eastAsia="fr-FR" w:bidi="fr-FR"/>
        </w:rPr>
        <w:t>riété de sources. L’époque contemporaine se caractérise en ce qu’elle doit progressivement écarter la po</w:t>
      </w:r>
      <w:r w:rsidRPr="00AB71A5">
        <w:rPr>
          <w:lang w:eastAsia="fr-FR" w:bidi="fr-FR"/>
        </w:rPr>
        <w:t>s</w:t>
      </w:r>
      <w:r w:rsidRPr="00AB71A5">
        <w:rPr>
          <w:lang w:eastAsia="fr-FR" w:bidi="fr-FR"/>
        </w:rPr>
        <w:t xml:space="preserve">sibilité d’instituer un rapport dissymétrique — plusieurs — » un, un </w:t>
      </w:r>
      <w:r w:rsidRPr="00AB71A5">
        <w:t>—&gt;</w:t>
      </w:r>
      <w:r w:rsidRPr="00AB71A5">
        <w:rPr>
          <w:lang w:eastAsia="fr-FR" w:bidi="fr-FR"/>
        </w:rPr>
        <w:t xml:space="preserve"> pl</w:t>
      </w:r>
      <w:r w:rsidRPr="00AB71A5">
        <w:rPr>
          <w:lang w:eastAsia="fr-FR" w:bidi="fr-FR"/>
        </w:rPr>
        <w:t>u</w:t>
      </w:r>
      <w:r w:rsidRPr="00AB71A5">
        <w:rPr>
          <w:lang w:eastAsia="fr-FR" w:bidi="fr-FR"/>
        </w:rPr>
        <w:t>sieurs — pour lui substituer une rel</w:t>
      </w:r>
      <w:r w:rsidRPr="00AB71A5">
        <w:rPr>
          <w:lang w:eastAsia="fr-FR" w:bidi="fr-FR"/>
        </w:rPr>
        <w:t>a</w:t>
      </w:r>
      <w:r w:rsidRPr="00AB71A5">
        <w:rPr>
          <w:lang w:eastAsia="fr-FR" w:bidi="fr-FR"/>
        </w:rPr>
        <w:t>tion dont les deux termes sont eux-mêmes pluriels. L’étendue de l’acquis — à laquelle Bayle déjà était sensible — d’une part, et l’accélération folle du proce</w:t>
      </w:r>
      <w:r w:rsidRPr="00AB71A5">
        <w:rPr>
          <w:lang w:eastAsia="fr-FR" w:bidi="fr-FR"/>
        </w:rPr>
        <w:t>s</w:t>
      </w:r>
      <w:r w:rsidRPr="00AB71A5">
        <w:rPr>
          <w:lang w:eastAsia="fr-FR" w:bidi="fr-FR"/>
        </w:rPr>
        <w:t>sus de production, d’hypothèses et/ou des connaissances d’autre part, récl</w:t>
      </w:r>
      <w:r w:rsidRPr="00AB71A5">
        <w:rPr>
          <w:lang w:eastAsia="fr-FR" w:bidi="fr-FR"/>
        </w:rPr>
        <w:t>a</w:t>
      </w:r>
      <w:r w:rsidRPr="00AB71A5">
        <w:rPr>
          <w:lang w:eastAsia="fr-FR" w:bidi="fr-FR"/>
        </w:rPr>
        <w:t>ment pour être appr</w:t>
      </w:r>
      <w:r w:rsidRPr="00AB71A5">
        <w:rPr>
          <w:lang w:eastAsia="fr-FR" w:bidi="fr-FR"/>
        </w:rPr>
        <w:t>é</w:t>
      </w:r>
      <w:r w:rsidRPr="00AB71A5">
        <w:rPr>
          <w:lang w:eastAsia="fr-FR" w:bidi="fr-FR"/>
        </w:rPr>
        <w:t>ciées des équipes multiples de compilateurs. On prévoit, par ailleurs, que ces équipes ne suffiront bientôt plus à la t</w:t>
      </w:r>
      <w:r w:rsidRPr="00AB71A5">
        <w:rPr>
          <w:lang w:eastAsia="fr-FR" w:bidi="fr-FR"/>
        </w:rPr>
        <w:t>â</w:t>
      </w:r>
      <w:r w:rsidRPr="00AB71A5">
        <w:rPr>
          <w:lang w:eastAsia="fr-FR" w:bidi="fr-FR"/>
        </w:rPr>
        <w:t>che, à moins que l’on ne révise de façon drastique les mécanismes de transmission du savoir existant.</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5. Si nous devions en rester à de seules opérations de dénombr</w:t>
      </w:r>
      <w:r w:rsidRPr="00AB71A5">
        <w:rPr>
          <w:lang w:eastAsia="fr-FR" w:bidi="fr-FR"/>
        </w:rPr>
        <w:t>e</w:t>
      </w:r>
      <w:r w:rsidRPr="00AB71A5">
        <w:rPr>
          <w:lang w:eastAsia="fr-FR" w:bidi="fr-FR"/>
        </w:rPr>
        <w:t>ment, il n’est pas sûr que l’interprétation des résultats qu’elles produ</w:t>
      </w:r>
      <w:r w:rsidRPr="00AB71A5">
        <w:rPr>
          <w:lang w:eastAsia="fr-FR" w:bidi="fr-FR"/>
        </w:rPr>
        <w:t>i</w:t>
      </w:r>
      <w:r w:rsidRPr="00AB71A5">
        <w:rPr>
          <w:lang w:eastAsia="fr-FR" w:bidi="fr-FR"/>
        </w:rPr>
        <w:t>sent — les index — ne rencontrerait pas une diff</w:t>
      </w:r>
      <w:r w:rsidRPr="00AB71A5">
        <w:rPr>
          <w:lang w:eastAsia="fr-FR" w:bidi="fr-FR"/>
        </w:rPr>
        <w:t>i</w:t>
      </w:r>
      <w:r w:rsidRPr="00AB71A5">
        <w:rPr>
          <w:lang w:eastAsia="fr-FR" w:bidi="fr-FR"/>
        </w:rPr>
        <w:t>culté insurmontable dans la mu</w:t>
      </w:r>
      <w:r w:rsidRPr="00AB71A5">
        <w:rPr>
          <w:lang w:eastAsia="fr-FR" w:bidi="fr-FR"/>
        </w:rPr>
        <w:t>l</w:t>
      </w:r>
      <w:r w:rsidRPr="00AB71A5">
        <w:rPr>
          <w:lang w:eastAsia="fr-FR" w:bidi="fr-FR"/>
        </w:rPr>
        <w:t>tiplicité des significations que l’on peut attribuer à ce qui s’est révélé comme étant la caractéri</w:t>
      </w:r>
      <w:r w:rsidRPr="00AB71A5">
        <w:rPr>
          <w:lang w:eastAsia="fr-FR" w:bidi="fr-FR"/>
        </w:rPr>
        <w:t>s</w:t>
      </w:r>
      <w:r w:rsidRPr="00AB71A5">
        <w:rPr>
          <w:lang w:eastAsia="fr-FR" w:bidi="fr-FR"/>
        </w:rPr>
        <w:t>tique de base de ces index, à</w:t>
      </w:r>
      <w:r>
        <w:rPr>
          <w:lang w:eastAsia="fr-FR" w:bidi="fr-FR"/>
        </w:rPr>
        <w:t xml:space="preserve"> [101] </w:t>
      </w:r>
      <w:r w:rsidRPr="00AB71A5">
        <w:rPr>
          <w:lang w:eastAsia="fr-FR" w:bidi="fr-FR"/>
        </w:rPr>
        <w:t>savoir leur grande étendue (complexité). On pourrait, par exe</w:t>
      </w:r>
      <w:r w:rsidRPr="00AB71A5">
        <w:rPr>
          <w:lang w:eastAsia="fr-FR" w:bidi="fr-FR"/>
        </w:rPr>
        <w:t>m</w:t>
      </w:r>
      <w:r w:rsidRPr="00AB71A5">
        <w:rPr>
          <w:lang w:eastAsia="fr-FR" w:bidi="fr-FR"/>
        </w:rPr>
        <w:t>ple, voir dans la dizaine d’ensembles culturels auxquels il est fait all</w:t>
      </w:r>
      <w:r w:rsidRPr="00AB71A5">
        <w:rPr>
          <w:lang w:eastAsia="fr-FR" w:bidi="fr-FR"/>
        </w:rPr>
        <w:t>u</w:t>
      </w:r>
      <w:r w:rsidRPr="00AB71A5">
        <w:rPr>
          <w:lang w:eastAsia="fr-FR" w:bidi="fr-FR"/>
        </w:rPr>
        <w:t>sion dans le texte de Kristeva, l’indice d’un déclo</w:t>
      </w:r>
      <w:r w:rsidRPr="00AB71A5">
        <w:rPr>
          <w:lang w:eastAsia="fr-FR" w:bidi="fr-FR"/>
        </w:rPr>
        <w:t>i</w:t>
      </w:r>
      <w:r w:rsidRPr="00AB71A5">
        <w:rPr>
          <w:lang w:eastAsia="fr-FR" w:bidi="fr-FR"/>
        </w:rPr>
        <w:t>sonnement culturel de l’Occident, ou celui d’un processus de mondialisation des dive</w:t>
      </w:r>
      <w:r w:rsidRPr="00AB71A5">
        <w:rPr>
          <w:lang w:eastAsia="fr-FR" w:bidi="fr-FR"/>
        </w:rPr>
        <w:t>r</w:t>
      </w:r>
      <w:r w:rsidRPr="00AB71A5">
        <w:rPr>
          <w:lang w:eastAsia="fr-FR" w:bidi="fr-FR"/>
        </w:rPr>
        <w:t>ses cultures jusqu’ici régionalisées. Quant à la diversité des régions épi</w:t>
      </w:r>
      <w:r w:rsidRPr="00AB71A5">
        <w:rPr>
          <w:lang w:eastAsia="fr-FR" w:bidi="fr-FR"/>
        </w:rPr>
        <w:t>s</w:t>
      </w:r>
      <w:r w:rsidRPr="00AB71A5">
        <w:rPr>
          <w:lang w:eastAsia="fr-FR" w:bidi="fr-FR"/>
        </w:rPr>
        <w:t>témologiques représe</w:t>
      </w:r>
      <w:r w:rsidRPr="00AB71A5">
        <w:rPr>
          <w:lang w:eastAsia="fr-FR" w:bidi="fr-FR"/>
        </w:rPr>
        <w:t>n</w:t>
      </w:r>
      <w:r w:rsidRPr="00AB71A5">
        <w:rPr>
          <w:lang w:eastAsia="fr-FR" w:bidi="fr-FR"/>
        </w:rPr>
        <w:t>tées dans ce même texte, elle pourrait à son tour connoter l’idée d’interdisciplinarité.</w:t>
      </w:r>
    </w:p>
    <w:p w:rsidR="00A9729B" w:rsidRPr="00AB71A5" w:rsidRDefault="00A9729B" w:rsidP="00A9729B">
      <w:pPr>
        <w:spacing w:before="120" w:after="120"/>
        <w:jc w:val="both"/>
      </w:pPr>
      <w:r w:rsidRPr="00AB71A5">
        <w:rPr>
          <w:lang w:eastAsia="fr-FR" w:bidi="fr-FR"/>
        </w:rPr>
        <w:t>De telles interprétations, nous semble-t-il, sont au mieux, prémat</w:t>
      </w:r>
      <w:r w:rsidRPr="00AB71A5">
        <w:rPr>
          <w:lang w:eastAsia="fr-FR" w:bidi="fr-FR"/>
        </w:rPr>
        <w:t>u</w:t>
      </w:r>
      <w:r w:rsidRPr="00AB71A5">
        <w:rPr>
          <w:lang w:eastAsia="fr-FR" w:bidi="fr-FR"/>
        </w:rPr>
        <w:t>rées et il ne serait pas, de seconde f</w:t>
      </w:r>
      <w:r w:rsidRPr="00AB71A5">
        <w:rPr>
          <w:lang w:eastAsia="fr-FR" w:bidi="fr-FR"/>
        </w:rPr>
        <w:t>a</w:t>
      </w:r>
      <w:r w:rsidRPr="00AB71A5">
        <w:rPr>
          <w:lang w:eastAsia="fr-FR" w:bidi="fr-FR"/>
        </w:rPr>
        <w:t>çon, tout à fait faux de penser qu’elles peuvent servir à masquer ce qui nous paraît être un problème autrement sérieux et qu’à défaut d'autre terme, nous no</w:t>
      </w:r>
      <w:r w:rsidRPr="00AB71A5">
        <w:rPr>
          <w:lang w:eastAsia="fr-FR" w:bidi="fr-FR"/>
        </w:rPr>
        <w:t>m</w:t>
      </w:r>
      <w:r w:rsidRPr="00AB71A5">
        <w:rPr>
          <w:lang w:eastAsia="fr-FR" w:bidi="fr-FR"/>
        </w:rPr>
        <w:t>merons celui de la « saturation culturelle ». Dit a</w:t>
      </w:r>
      <w:r w:rsidRPr="00AB71A5">
        <w:rPr>
          <w:lang w:eastAsia="fr-FR" w:bidi="fr-FR"/>
        </w:rPr>
        <w:t>u</w:t>
      </w:r>
      <w:r w:rsidRPr="00AB71A5">
        <w:rPr>
          <w:lang w:eastAsia="fr-FR" w:bidi="fr-FR"/>
        </w:rPr>
        <w:t>trement, il est loin d’être sûr que tous ces processus hypothétiques de décloisonnement culturel n’engendrent que des effets bén</w:t>
      </w:r>
      <w:r w:rsidRPr="00AB71A5">
        <w:rPr>
          <w:lang w:eastAsia="fr-FR" w:bidi="fr-FR"/>
        </w:rPr>
        <w:t>é</w:t>
      </w:r>
      <w:r w:rsidRPr="00AB71A5">
        <w:rPr>
          <w:lang w:eastAsia="fr-FR" w:bidi="fr-FR"/>
        </w:rPr>
        <w:t>fiques. Il est encore moins certain qu’ils puissent s’accomplir en s’épargnant l’épreuve d’une crise m</w:t>
      </w:r>
      <w:r w:rsidRPr="00AB71A5">
        <w:rPr>
          <w:lang w:eastAsia="fr-FR" w:bidi="fr-FR"/>
        </w:rPr>
        <w:t>a</w:t>
      </w:r>
      <w:r w:rsidRPr="00AB71A5">
        <w:rPr>
          <w:lang w:eastAsia="fr-FR" w:bidi="fr-FR"/>
        </w:rPr>
        <w:t xml:space="preserve">jeure, dont il faudrait tenter d’indiquer ce qu’elle pourrait être. Et pour ce faire, nous devons compliquer notre première opération de </w:t>
      </w:r>
      <w:r w:rsidRPr="00DC7B43">
        <w:rPr>
          <w:i/>
        </w:rPr>
        <w:t>déno</w:t>
      </w:r>
      <w:r w:rsidRPr="00DC7B43">
        <w:rPr>
          <w:i/>
        </w:rPr>
        <w:t>m</w:t>
      </w:r>
      <w:r w:rsidRPr="00DC7B43">
        <w:rPr>
          <w:i/>
        </w:rPr>
        <w:t>brement</w:t>
      </w:r>
      <w:r w:rsidRPr="00AB71A5">
        <w:t>,</w:t>
      </w:r>
      <w:r w:rsidRPr="00AB71A5">
        <w:rPr>
          <w:lang w:eastAsia="fr-FR" w:bidi="fr-FR"/>
        </w:rPr>
        <w:t xml:space="preserve"> d’une seconde opération dite de </w:t>
      </w:r>
      <w:r w:rsidRPr="00DC7B43">
        <w:rPr>
          <w:i/>
        </w:rPr>
        <w:t>hiérarchisation</w:t>
      </w:r>
      <w:r w:rsidRPr="00AB71A5">
        <w:t>.</w:t>
      </w:r>
      <w:r w:rsidRPr="00AB71A5">
        <w:rPr>
          <w:lang w:eastAsia="fr-FR" w:bidi="fr-FR"/>
        </w:rPr>
        <w:t xml:space="preserve"> Il apparaîtra alors à quel point est problématique le passage depuis la juxtap</w:t>
      </w:r>
      <w:r w:rsidRPr="00AB71A5">
        <w:rPr>
          <w:lang w:eastAsia="fr-FR" w:bidi="fr-FR"/>
        </w:rPr>
        <w:t>o</w:t>
      </w:r>
      <w:r w:rsidRPr="00AB71A5">
        <w:rPr>
          <w:lang w:eastAsia="fr-FR" w:bidi="fr-FR"/>
        </w:rPr>
        <w:t>sition simple d’un certain nombre d’entités au sein d’une liste (d’un index), à leur articulation au sein d’énoncés.</w:t>
      </w:r>
    </w:p>
    <w:p w:rsidR="00A9729B" w:rsidRPr="00AB71A5" w:rsidRDefault="00A9729B" w:rsidP="00A9729B">
      <w:pPr>
        <w:spacing w:before="120" w:after="120"/>
        <w:jc w:val="both"/>
      </w:pPr>
      <w:r w:rsidRPr="00AB71A5">
        <w:rPr>
          <w:lang w:eastAsia="fr-FR" w:bidi="fr-FR"/>
        </w:rPr>
        <w:t>Nous avons dit, en effet, qu’un dénombrement, ne nous fournissant qu’un lexique, était impuissant à nous renseigner sur les liaisons e</w:t>
      </w:r>
      <w:r w:rsidRPr="00AB71A5">
        <w:rPr>
          <w:lang w:eastAsia="fr-FR" w:bidi="fr-FR"/>
        </w:rPr>
        <w:t>f</w:t>
      </w:r>
      <w:r w:rsidRPr="00AB71A5">
        <w:rPr>
          <w:lang w:eastAsia="fr-FR" w:bidi="fr-FR"/>
        </w:rPr>
        <w:t>fectives qui étaient opérées dans le texte culturel et par lesquelles, se</w:t>
      </w:r>
      <w:r w:rsidRPr="00AB71A5">
        <w:rPr>
          <w:lang w:eastAsia="fr-FR" w:bidi="fr-FR"/>
        </w:rPr>
        <w:t>u</w:t>
      </w:r>
      <w:r w:rsidRPr="00AB71A5">
        <w:rPr>
          <w:lang w:eastAsia="fr-FR" w:bidi="fr-FR"/>
        </w:rPr>
        <w:t>les, il se réal</w:t>
      </w:r>
      <w:r w:rsidRPr="00AB71A5">
        <w:rPr>
          <w:lang w:eastAsia="fr-FR" w:bidi="fr-FR"/>
        </w:rPr>
        <w:t>i</w:t>
      </w:r>
      <w:r w:rsidRPr="00AB71A5">
        <w:rPr>
          <w:lang w:eastAsia="fr-FR" w:bidi="fr-FR"/>
        </w:rPr>
        <w:t>sait comme discours — ensemble ordonné d’énoncés porteurs de messages — . Or une grande pa</w:t>
      </w:r>
      <w:r w:rsidRPr="00AB71A5">
        <w:rPr>
          <w:lang w:eastAsia="fr-FR" w:bidi="fr-FR"/>
        </w:rPr>
        <w:t>r</w:t>
      </w:r>
      <w:r w:rsidRPr="00AB71A5">
        <w:rPr>
          <w:lang w:eastAsia="fr-FR" w:bidi="fr-FR"/>
        </w:rPr>
        <w:t>tie de nos problèmes viendra de ce que l’énoncé est régi par une double syntaxe dont les lois ne sont pas toujours accordées : 1) un premier type de syntaxe, pr</w:t>
      </w:r>
      <w:r w:rsidRPr="00AB71A5">
        <w:rPr>
          <w:lang w:eastAsia="fr-FR" w:bidi="fr-FR"/>
        </w:rPr>
        <w:t>o</w:t>
      </w:r>
      <w:r w:rsidRPr="00AB71A5">
        <w:rPr>
          <w:lang w:eastAsia="fr-FR" w:bidi="fr-FR"/>
        </w:rPr>
        <w:t>prement linguistique et qui se déploie sur un tracé horizontal et 2) un second type de syntaxe que je qualifierai de culturel, et qui organ</w:t>
      </w:r>
      <w:r w:rsidRPr="00AB71A5">
        <w:rPr>
          <w:lang w:eastAsia="fr-FR" w:bidi="fr-FR"/>
        </w:rPr>
        <w:t>i</w:t>
      </w:r>
      <w:r w:rsidRPr="00AB71A5">
        <w:rPr>
          <w:lang w:eastAsia="fr-FR" w:bidi="fr-FR"/>
        </w:rPr>
        <w:t>se l’énoncé selon une ve</w:t>
      </w:r>
      <w:r w:rsidRPr="00AB71A5">
        <w:rPr>
          <w:lang w:eastAsia="fr-FR" w:bidi="fr-FR"/>
        </w:rPr>
        <w:t>r</w:t>
      </w:r>
      <w:r w:rsidRPr="00AB71A5">
        <w:rPr>
          <w:lang w:eastAsia="fr-FR" w:bidi="fr-FR"/>
        </w:rPr>
        <w:t>ticale.</w:t>
      </w:r>
    </w:p>
    <w:p w:rsidR="00A9729B" w:rsidRDefault="00A9729B" w:rsidP="00A9729B">
      <w:pPr>
        <w:spacing w:before="120" w:after="120"/>
        <w:jc w:val="both"/>
        <w:rPr>
          <w:lang w:eastAsia="fr-FR" w:bidi="fr-FR"/>
        </w:rPr>
      </w:pPr>
      <w:r w:rsidRPr="00AB71A5">
        <w:rPr>
          <w:lang w:eastAsia="fr-FR" w:bidi="fr-FR"/>
        </w:rPr>
        <w:t>Tout ceci peut paraître assez obscur et c’est pourquoi je do</w:t>
      </w:r>
      <w:r w:rsidRPr="00AB71A5">
        <w:rPr>
          <w:lang w:eastAsia="fr-FR" w:bidi="fr-FR"/>
        </w:rPr>
        <w:t>n</w:t>
      </w:r>
      <w:r w:rsidRPr="00AB71A5">
        <w:rPr>
          <w:lang w:eastAsia="fr-FR" w:bidi="fr-FR"/>
        </w:rPr>
        <w:t>nerai deux exemples tirés du texte de Kri</w:t>
      </w:r>
      <w:r w:rsidRPr="00AB71A5">
        <w:rPr>
          <w:lang w:eastAsia="fr-FR" w:bidi="fr-FR"/>
        </w:rPr>
        <w:t>s</w:t>
      </w:r>
      <w:r w:rsidRPr="00AB71A5">
        <w:rPr>
          <w:lang w:eastAsia="fr-FR" w:bidi="fr-FR"/>
        </w:rPr>
        <w:t>teva, et qui montreront qu’il n’y a là rien que de très simple.</w:t>
      </w:r>
    </w:p>
    <w:p w:rsidR="00A9729B" w:rsidRPr="00AB71A5" w:rsidRDefault="00A9729B" w:rsidP="00A9729B">
      <w:pPr>
        <w:spacing w:before="120" w:after="120"/>
        <w:jc w:val="both"/>
      </w:pPr>
      <w:r>
        <w:br w:type="page"/>
      </w:r>
    </w:p>
    <w:p w:rsidR="00A9729B" w:rsidRPr="001C046D" w:rsidRDefault="00A9729B" w:rsidP="00A9729B">
      <w:pPr>
        <w:spacing w:before="120" w:after="120"/>
        <w:jc w:val="both"/>
        <w:rPr>
          <w:i/>
          <w:color w:val="000090"/>
        </w:rPr>
      </w:pPr>
      <w:r w:rsidRPr="001C046D">
        <w:rPr>
          <w:i/>
          <w:color w:val="000090"/>
          <w:lang w:eastAsia="fr-FR" w:bidi="fr-FR"/>
        </w:rPr>
        <w:t>Exemple 1</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Soit cette phrase, qui apparaît en p. 355, de « L’Engendrement de la formule ».</w:t>
      </w:r>
    </w:p>
    <w:p w:rsidR="00A9729B" w:rsidRPr="00AB71A5" w:rsidRDefault="00A9729B" w:rsidP="00A9729B">
      <w:pPr>
        <w:spacing w:before="120" w:after="120"/>
        <w:jc w:val="both"/>
      </w:pPr>
      <w:r>
        <w:rPr>
          <w:lang w:eastAsia="fr-FR" w:bidi="fr-FR"/>
        </w:rPr>
        <w:t>[102]</w:t>
      </w:r>
    </w:p>
    <w:p w:rsidR="00A9729B" w:rsidRDefault="00A9729B" w:rsidP="00A9729B">
      <w:pPr>
        <w:pStyle w:val="Grillecouleur-Accent1"/>
        <w:rPr>
          <w:lang w:eastAsia="fr-FR" w:bidi="fr-FR"/>
        </w:rPr>
      </w:pPr>
    </w:p>
    <w:p w:rsidR="00A9729B" w:rsidRDefault="00A9729B" w:rsidP="00A9729B">
      <w:pPr>
        <w:pStyle w:val="Grillecouleur-Accent1"/>
        <w:rPr>
          <w:lang w:eastAsia="fr-FR" w:bidi="fr-FR"/>
        </w:rPr>
      </w:pPr>
      <w:r w:rsidRPr="00AB71A5">
        <w:rPr>
          <w:lang w:eastAsia="fr-FR" w:bidi="fr-FR"/>
        </w:rPr>
        <w:t>« Comme chez Dante, dont Sollers analyse la l</w:t>
      </w:r>
      <w:r w:rsidRPr="00AB71A5">
        <w:rPr>
          <w:lang w:eastAsia="fr-FR" w:bidi="fr-FR"/>
        </w:rPr>
        <w:t>o</w:t>
      </w:r>
      <w:r w:rsidRPr="00AB71A5">
        <w:rPr>
          <w:lang w:eastAsia="fr-FR" w:bidi="fr-FR"/>
        </w:rPr>
        <w:t>gique « la femme est cette traversée de la mère, de la langue maternelle (de l’interdit majeur) vers la vision (à l’inverse d’Oedipe) vers le feu que l’on est. C’est elle qui conduit à la vue au-delà du visage et des corps rép</w:t>
      </w:r>
      <w:r w:rsidRPr="00AB71A5">
        <w:rPr>
          <w:lang w:eastAsia="fr-FR" w:bidi="fr-FR"/>
        </w:rPr>
        <w:t>é</w:t>
      </w:r>
      <w:r w:rsidRPr="00AB71A5">
        <w:rPr>
          <w:lang w:eastAsia="fr-FR" w:bidi="fr-FR"/>
        </w:rPr>
        <w:t>tés. » »</w:t>
      </w:r>
    </w:p>
    <w:p w:rsidR="00A9729B" w:rsidRPr="00AB71A5" w:rsidRDefault="00A9729B" w:rsidP="00A9729B">
      <w:pPr>
        <w:pStyle w:val="Grillecouleur-Accent1"/>
      </w:pPr>
    </w:p>
    <w:p w:rsidR="00A9729B" w:rsidRPr="00AB71A5" w:rsidRDefault="00A9729B" w:rsidP="00A9729B">
      <w:pPr>
        <w:spacing w:before="120" w:after="120"/>
        <w:jc w:val="both"/>
      </w:pPr>
      <w:r w:rsidRPr="00AB71A5">
        <w:rPr>
          <w:lang w:eastAsia="fr-FR" w:bidi="fr-FR"/>
        </w:rPr>
        <w:t>Il est possible, croyons-nous, de donner une double représent</w:t>
      </w:r>
      <w:r w:rsidRPr="00AB71A5">
        <w:rPr>
          <w:lang w:eastAsia="fr-FR" w:bidi="fr-FR"/>
        </w:rPr>
        <w:t>a</w:t>
      </w:r>
      <w:r w:rsidRPr="00AB71A5">
        <w:rPr>
          <w:lang w:eastAsia="fr-FR" w:bidi="fr-FR"/>
        </w:rPr>
        <w:t>tion de cette phrase. D’une part on en peut donner une analyse grammat</w:t>
      </w:r>
      <w:r w:rsidRPr="00AB71A5">
        <w:rPr>
          <w:lang w:eastAsia="fr-FR" w:bidi="fr-FR"/>
        </w:rPr>
        <w:t>i</w:t>
      </w:r>
      <w:r w:rsidRPr="00AB71A5">
        <w:rPr>
          <w:lang w:eastAsia="fr-FR" w:bidi="fr-FR"/>
        </w:rPr>
        <w:t>cale ou propos</w:t>
      </w:r>
      <w:r w:rsidRPr="00AB71A5">
        <w:rPr>
          <w:lang w:eastAsia="fr-FR" w:bidi="fr-FR"/>
        </w:rPr>
        <w:t>i</w:t>
      </w:r>
      <w:r w:rsidRPr="00AB71A5">
        <w:rPr>
          <w:lang w:eastAsia="fr-FR" w:bidi="fr-FR"/>
        </w:rPr>
        <w:t>tionnelle orthodoxe. On peut aussi, d’autre part, être attentif à une espèce de mise en palier qui s’instaure au sein de la phrase, des diverses médiations à travers lesquelles se révélerait un objet. On en donn</w:t>
      </w:r>
      <w:r w:rsidRPr="00AB71A5">
        <w:rPr>
          <w:lang w:eastAsia="fr-FR" w:bidi="fr-FR"/>
        </w:rPr>
        <w:t>e</w:t>
      </w:r>
      <w:r w:rsidRPr="00AB71A5">
        <w:rPr>
          <w:lang w:eastAsia="fr-FR" w:bidi="fr-FR"/>
        </w:rPr>
        <w:t>rait alors la traduction suivante :</w:t>
      </w:r>
    </w:p>
    <w:p w:rsidR="00A9729B" w:rsidRDefault="00A9729B" w:rsidP="00A9729B">
      <w:pPr>
        <w:pStyle w:val="Grillecouleur-Accent1"/>
        <w:rPr>
          <w:lang w:eastAsia="fr-FR" w:bidi="fr-FR"/>
        </w:rPr>
      </w:pPr>
    </w:p>
    <w:p w:rsidR="00A9729B" w:rsidRPr="00AB71A5" w:rsidRDefault="00A9729B" w:rsidP="00A9729B">
      <w:pPr>
        <w:pStyle w:val="Grillecouleur-Accent1"/>
      </w:pPr>
      <w:r w:rsidRPr="00AB71A5">
        <w:rPr>
          <w:lang w:eastAsia="fr-FR" w:bidi="fr-FR"/>
        </w:rPr>
        <w:t>« Kristeva parle de Sollers, qui parle de Dante, contrastant ce que ce dernier affirme de la femme-Mère, au cas d’Oedipe, qui est à la fois le nom d’un pe</w:t>
      </w:r>
      <w:r w:rsidRPr="00AB71A5">
        <w:rPr>
          <w:lang w:eastAsia="fr-FR" w:bidi="fr-FR"/>
        </w:rPr>
        <w:t>r</w:t>
      </w:r>
      <w:r w:rsidRPr="00AB71A5">
        <w:rPr>
          <w:lang w:eastAsia="fr-FR" w:bidi="fr-FR"/>
        </w:rPr>
        <w:t>sonnage de Sophocle qui, le créant, s’inspirait d’un mythe qui (...) et d’une problématique de la psychanalyse freudienne</w:t>
      </w:r>
      <w:r>
        <w:rPr>
          <w:lang w:eastAsia="fr-FR" w:bidi="fr-FR"/>
        </w:rPr>
        <w:t> </w:t>
      </w:r>
      <w:r>
        <w:rPr>
          <w:rStyle w:val="Appelnotedebasdep"/>
          <w:lang w:eastAsia="fr-FR" w:bidi="fr-FR"/>
        </w:rPr>
        <w:footnoteReference w:id="18"/>
      </w:r>
      <w:r w:rsidRPr="00AB71A5">
        <w:rPr>
          <w:lang w:eastAsia="fr-FR" w:bidi="fr-FR"/>
        </w:rPr>
        <w:t xml:space="preserve"> qui bapt</w:t>
      </w:r>
      <w:r w:rsidRPr="00AB71A5">
        <w:rPr>
          <w:lang w:eastAsia="fr-FR" w:bidi="fr-FR"/>
        </w:rPr>
        <w:t>i</w:t>
      </w:r>
      <w:r w:rsidRPr="00AB71A5">
        <w:rPr>
          <w:lang w:eastAsia="fr-FR" w:bidi="fr-FR"/>
        </w:rPr>
        <w:t>sait un complexe du nom d’un personnage de Soph</w:t>
      </w:r>
      <w:r w:rsidRPr="00AB71A5">
        <w:rPr>
          <w:lang w:eastAsia="fr-FR" w:bidi="fr-FR"/>
        </w:rPr>
        <w:t>o</w:t>
      </w:r>
      <w:r w:rsidRPr="00AB71A5">
        <w:rPr>
          <w:lang w:eastAsia="fr-FR" w:bidi="fr-FR"/>
        </w:rPr>
        <w:t>cle qui... »</w:t>
      </w:r>
      <w:r>
        <w:rPr>
          <w:lang w:eastAsia="fr-FR" w:bidi="fr-FR"/>
        </w:rPr>
        <w:t> </w:t>
      </w:r>
      <w:r>
        <w:rPr>
          <w:rStyle w:val="Appelnotedebasdep"/>
          <w:lang w:eastAsia="fr-FR" w:bidi="fr-FR"/>
        </w:rPr>
        <w:footnoteReference w:id="19"/>
      </w:r>
    </w:p>
    <w:p w:rsidR="00A9729B" w:rsidRDefault="00A9729B" w:rsidP="00A9729B">
      <w:pPr>
        <w:spacing w:before="120" w:after="120"/>
        <w:jc w:val="both"/>
      </w:pPr>
    </w:p>
    <w:p w:rsidR="00A9729B" w:rsidRDefault="00A9729B" w:rsidP="00A9729B">
      <w:pPr>
        <w:pStyle w:val="p"/>
        <w:rPr>
          <w:lang w:eastAsia="fr-FR" w:bidi="fr-FR"/>
        </w:rPr>
      </w:pPr>
      <w:r>
        <w:rPr>
          <w:lang w:eastAsia="fr-FR" w:bidi="fr-FR"/>
        </w:rPr>
        <w:t>[103]</w:t>
      </w:r>
    </w:p>
    <w:p w:rsidR="00A9729B" w:rsidRPr="00AB71A5" w:rsidRDefault="00A9729B" w:rsidP="00A9729B">
      <w:pPr>
        <w:spacing w:before="120" w:after="120"/>
        <w:jc w:val="both"/>
      </w:pPr>
    </w:p>
    <w:p w:rsidR="00A9729B" w:rsidRDefault="00A9729B" w:rsidP="00A9729B">
      <w:pPr>
        <w:spacing w:before="120" w:after="120"/>
        <w:jc w:val="both"/>
        <w:rPr>
          <w:lang w:eastAsia="fr-FR" w:bidi="fr-FR"/>
        </w:rPr>
      </w:pPr>
      <w:r w:rsidRPr="00AB71A5">
        <w:rPr>
          <w:lang w:eastAsia="fr-FR" w:bidi="fr-FR"/>
        </w:rPr>
        <w:t>La représentation graphique complète de cet énoncé aurait alors à peu près cet aspect :</w:t>
      </w:r>
    </w:p>
    <w:p w:rsidR="00A9729B" w:rsidRPr="00AB71A5" w:rsidRDefault="00A9729B" w:rsidP="00A9729B">
      <w:pPr>
        <w:spacing w:before="120" w:after="120"/>
        <w:jc w:val="both"/>
      </w:pPr>
    </w:p>
    <w:p w:rsidR="00A9729B" w:rsidRPr="00DC7B43" w:rsidRDefault="00AA2662" w:rsidP="00A9729B">
      <w:pPr>
        <w:pStyle w:val="fig"/>
      </w:pPr>
      <w:r>
        <w:rPr>
          <w:noProof/>
        </w:rPr>
        <w:drawing>
          <wp:inline distT="0" distB="0" distL="0" distR="0">
            <wp:extent cx="5071745" cy="4848225"/>
            <wp:effectExtent l="25400" t="25400" r="8255" b="15875"/>
            <wp:docPr id="6" name="Image 6" descr="fig_p_103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103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1745" cy="4848225"/>
                    </a:xfrm>
                    <a:prstGeom prst="rect">
                      <a:avLst/>
                    </a:prstGeom>
                    <a:noFill/>
                    <a:ln w="19050" cmpd="sng">
                      <a:solidFill>
                        <a:srgbClr val="000000"/>
                      </a:solidFill>
                      <a:miter lim="800000"/>
                      <a:headEnd/>
                      <a:tailEnd/>
                    </a:ln>
                    <a:effectLst/>
                  </pic:spPr>
                </pic:pic>
              </a:graphicData>
            </a:graphic>
          </wp:inline>
        </w:drawing>
      </w:r>
    </w:p>
    <w:p w:rsidR="00A9729B" w:rsidRDefault="00A9729B" w:rsidP="00A9729B">
      <w:pPr>
        <w:spacing w:before="120" w:after="120"/>
        <w:jc w:val="both"/>
        <w:rPr>
          <w:lang w:eastAsia="fr-FR" w:bidi="fr-FR"/>
        </w:rPr>
      </w:pPr>
      <w:r w:rsidRPr="00AB71A5">
        <w:br w:type="page"/>
      </w:r>
      <w:r>
        <w:rPr>
          <w:lang w:eastAsia="fr-FR" w:bidi="fr-FR"/>
        </w:rPr>
        <w:t>[104]</w:t>
      </w:r>
    </w:p>
    <w:p w:rsidR="00A9729B" w:rsidRPr="00AB71A5" w:rsidRDefault="00A9729B" w:rsidP="00A9729B">
      <w:pPr>
        <w:spacing w:before="120" w:after="120"/>
        <w:jc w:val="both"/>
      </w:pPr>
    </w:p>
    <w:p w:rsidR="00A9729B" w:rsidRPr="001C046D" w:rsidRDefault="00A9729B" w:rsidP="00A9729B">
      <w:pPr>
        <w:spacing w:before="120" w:after="120"/>
        <w:jc w:val="both"/>
        <w:rPr>
          <w:i/>
          <w:color w:val="000090"/>
        </w:rPr>
      </w:pPr>
      <w:r w:rsidRPr="001C046D">
        <w:rPr>
          <w:i/>
          <w:color w:val="000090"/>
          <w:lang w:eastAsia="fr-FR" w:bidi="fr-FR"/>
        </w:rPr>
        <w:t>Exemple 2</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Soit ce second exemple, où le processus de superposition est enc</w:t>
      </w:r>
      <w:r w:rsidRPr="00AB71A5">
        <w:rPr>
          <w:lang w:eastAsia="fr-FR" w:bidi="fr-FR"/>
        </w:rPr>
        <w:t>o</w:t>
      </w:r>
      <w:r w:rsidRPr="00AB71A5">
        <w:rPr>
          <w:lang w:eastAsia="fr-FR" w:bidi="fr-FR"/>
        </w:rPr>
        <w:t xml:space="preserve">re plus explicite. Kristeva cite un passage du texte qu’elle commente </w:t>
      </w:r>
      <w:r w:rsidRPr="00AB71A5">
        <w:t>(Nombres</w:t>
      </w:r>
      <w:r w:rsidRPr="00AB71A5">
        <w:rPr>
          <w:lang w:eastAsia="fr-FR" w:bidi="fr-FR"/>
        </w:rPr>
        <w:t xml:space="preserve"> de Sollers, 1.29) et fait </w:t>
      </w:r>
      <w:r>
        <w:rPr>
          <w:lang w:eastAsia="fr-FR" w:bidi="fr-FR"/>
        </w:rPr>
        <w:t>suivre cette citation d’un com</w:t>
      </w:r>
      <w:r w:rsidRPr="00AB71A5">
        <w:rPr>
          <w:lang w:eastAsia="fr-FR" w:bidi="fr-FR"/>
        </w:rPr>
        <w:t>me</w:t>
      </w:r>
      <w:r w:rsidRPr="00AB71A5">
        <w:rPr>
          <w:lang w:eastAsia="fr-FR" w:bidi="fr-FR"/>
        </w:rPr>
        <w:t>n</w:t>
      </w:r>
      <w:r w:rsidRPr="00AB71A5">
        <w:rPr>
          <w:lang w:eastAsia="fr-FR" w:bidi="fr-FR"/>
        </w:rPr>
        <w:t>taire assorti d’une note au bas de la page que nous reproduirons et qui consiste elle-même en une citation qui se pr</w:t>
      </w:r>
      <w:r w:rsidRPr="00AB71A5">
        <w:rPr>
          <w:lang w:eastAsia="fr-FR" w:bidi="fr-FR"/>
        </w:rPr>
        <w:t>o</w:t>
      </w:r>
      <w:r w:rsidRPr="00AB71A5">
        <w:rPr>
          <w:lang w:eastAsia="fr-FR" w:bidi="fr-FR"/>
        </w:rPr>
        <w:t>longe de deux références. (p. 337).</w:t>
      </w:r>
    </w:p>
    <w:p w:rsidR="00A9729B" w:rsidRDefault="00A9729B" w:rsidP="00A9729B">
      <w:pPr>
        <w:spacing w:before="120" w:after="120"/>
        <w:jc w:val="both"/>
        <w:rPr>
          <w:lang w:eastAsia="fr-FR" w:bidi="fr-FR"/>
        </w:rPr>
      </w:pPr>
    </w:p>
    <w:p w:rsidR="00A9729B" w:rsidRPr="00AB71A5" w:rsidRDefault="00A9729B" w:rsidP="00A9729B">
      <w:pPr>
        <w:pStyle w:val="Grillecouleur-Accent1"/>
      </w:pPr>
      <w:r w:rsidRPr="00AB71A5">
        <w:rPr>
          <w:lang w:eastAsia="fr-FR" w:bidi="fr-FR"/>
        </w:rPr>
        <w:t>"</w:t>
      </w:r>
      <w:r>
        <w:rPr>
          <w:lang w:eastAsia="fr-FR" w:bidi="fr-FR"/>
        </w:rPr>
        <w:t xml:space="preserve">………………….. </w:t>
      </w:r>
      <w:r w:rsidRPr="00AB71A5">
        <w:rPr>
          <w:lang w:eastAsia="fr-FR" w:bidi="fr-FR"/>
        </w:rPr>
        <w:t xml:space="preserve"> (Kristeva</w:t>
      </w:r>
      <w:r>
        <w:rPr>
          <w:lang w:eastAsia="fr-FR" w:bidi="fr-FR"/>
        </w:rPr>
        <w:t xml:space="preserve"> </w:t>
      </w:r>
      <w:r w:rsidRPr="00AB71A5">
        <w:rPr>
          <w:lang w:eastAsia="fr-FR" w:bidi="fr-FR"/>
        </w:rPr>
        <w:t xml:space="preserve">cite </w:t>
      </w:r>
      <w:r w:rsidRPr="00DC7B43">
        <w:rPr>
          <w:i/>
        </w:rPr>
        <w:t>Nombres</w:t>
      </w:r>
      <w:r w:rsidRPr="00AB71A5">
        <w:rPr>
          <w:lang w:eastAsia="fr-FR" w:bidi="fr-FR"/>
        </w:rPr>
        <w:t xml:space="preserve"> 1.29)</w:t>
      </w:r>
    </w:p>
    <w:p w:rsidR="00A9729B" w:rsidRPr="00AB71A5" w:rsidRDefault="00A9729B" w:rsidP="00A9729B">
      <w:pPr>
        <w:pStyle w:val="Grillecouleur-Accent1"/>
      </w:pPr>
      <w:r w:rsidRPr="00AB71A5">
        <w:rPr>
          <w:lang w:eastAsia="fr-FR" w:bidi="fr-FR"/>
        </w:rPr>
        <w:t>Placé dans des séquences subordonnées à une principale qui ma</w:t>
      </w:r>
      <w:r w:rsidRPr="00AB71A5">
        <w:rPr>
          <w:lang w:eastAsia="fr-FR" w:bidi="fr-FR"/>
        </w:rPr>
        <w:t>n</w:t>
      </w:r>
      <w:r w:rsidRPr="00AB71A5">
        <w:rPr>
          <w:lang w:eastAsia="fr-FR" w:bidi="fr-FR"/>
        </w:rPr>
        <w:t>que, entouré d’accumulations de verbes transitifs ou sans objets, l’imparfait r</w:t>
      </w:r>
      <w:r w:rsidRPr="00AB71A5">
        <w:rPr>
          <w:lang w:eastAsia="fr-FR" w:bidi="fr-FR"/>
        </w:rPr>
        <w:t>e</w:t>
      </w:r>
      <w:r w:rsidRPr="00AB71A5">
        <w:rPr>
          <w:lang w:eastAsia="fr-FR" w:bidi="fr-FR"/>
        </w:rPr>
        <w:t>prend le rôle des phrases nom</w:t>
      </w:r>
      <w:r w:rsidRPr="00AB71A5">
        <w:rPr>
          <w:lang w:eastAsia="fr-FR" w:bidi="fr-FR"/>
        </w:rPr>
        <w:t>i</w:t>
      </w:r>
      <w:r w:rsidRPr="00AB71A5">
        <w:rPr>
          <w:lang w:eastAsia="fr-FR" w:bidi="fr-FR"/>
        </w:rPr>
        <w:t>nales que nous avons noté plus haut, et avec lesquelles d’ailleurs, il consonne.</w:t>
      </w:r>
      <w:r>
        <w:rPr>
          <w:lang w:eastAsia="fr-FR" w:bidi="fr-FR"/>
        </w:rPr>
        <w:t> </w:t>
      </w:r>
      <w:r>
        <w:rPr>
          <w:rStyle w:val="Appelnotedebasdep"/>
          <w:lang w:eastAsia="fr-FR" w:bidi="fr-FR"/>
        </w:rPr>
        <w:footnoteReference w:id="20"/>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L’expansion complète de ce dernier texte prendrait cet a</w:t>
      </w:r>
      <w:r w:rsidRPr="00AB71A5">
        <w:rPr>
          <w:lang w:eastAsia="fr-FR" w:bidi="fr-FR"/>
        </w:rPr>
        <w:t>s</w:t>
      </w:r>
      <w:r w:rsidRPr="00AB71A5">
        <w:rPr>
          <w:lang w:eastAsia="fr-FR" w:bidi="fr-FR"/>
        </w:rPr>
        <w:t>pect :</w:t>
      </w:r>
    </w:p>
    <w:p w:rsidR="00A9729B" w:rsidRDefault="00A9729B" w:rsidP="00A9729B">
      <w:pPr>
        <w:pStyle w:val="Grillecouleur-Accent1"/>
        <w:rPr>
          <w:lang w:eastAsia="fr-FR" w:bidi="fr-FR"/>
        </w:rPr>
      </w:pPr>
    </w:p>
    <w:p w:rsidR="00A9729B" w:rsidRPr="00AB71A5" w:rsidRDefault="00A9729B" w:rsidP="00A9729B">
      <w:pPr>
        <w:pStyle w:val="Grillecouleur-Accent1"/>
      </w:pPr>
      <w:r w:rsidRPr="00AB71A5">
        <w:rPr>
          <w:lang w:eastAsia="fr-FR" w:bidi="fr-FR"/>
        </w:rPr>
        <w:t>« Kristeva commente Sollers en citant Renou qui commente Panini et nous renvoie à Hirt, lesquels font tous deux la théorie du Sanskrit qui est une langue dont on use pour parler de l’extra-linguistique (les « choses »). »</w:t>
      </w:r>
    </w:p>
    <w:p w:rsidR="00A9729B" w:rsidRPr="00AB71A5" w:rsidRDefault="00A9729B" w:rsidP="00A9729B">
      <w:pPr>
        <w:spacing w:before="120" w:after="120"/>
        <w:jc w:val="both"/>
      </w:pPr>
      <w:r w:rsidRPr="00AB71A5">
        <w:br w:type="page"/>
      </w:r>
      <w:r>
        <w:rPr>
          <w:lang w:eastAsia="fr-FR" w:bidi="fr-FR"/>
        </w:rPr>
        <w:t>[105]</w:t>
      </w:r>
    </w:p>
    <w:p w:rsidR="00A9729B" w:rsidRPr="00AB71A5" w:rsidRDefault="00A9729B" w:rsidP="00A9729B">
      <w:pPr>
        <w:spacing w:before="120" w:after="120"/>
        <w:jc w:val="both"/>
      </w:pPr>
      <w:r w:rsidRPr="00AB71A5">
        <w:rPr>
          <w:lang w:eastAsia="fr-FR" w:bidi="fr-FR"/>
        </w:rPr>
        <w:t>Usant de la même méthode de la représentation graphique que dans l’exemple précédent :</w:t>
      </w:r>
    </w:p>
    <w:p w:rsidR="00A9729B" w:rsidRDefault="00A9729B" w:rsidP="00A9729B">
      <w:pPr>
        <w:spacing w:before="120" w:after="120"/>
        <w:jc w:val="both"/>
        <w:rPr>
          <w:lang w:eastAsia="fr-FR" w:bidi="fr-FR"/>
        </w:rPr>
      </w:pPr>
    </w:p>
    <w:p w:rsidR="00A9729B" w:rsidRPr="00DC7B43" w:rsidRDefault="00AA2662" w:rsidP="00A9729B">
      <w:pPr>
        <w:pStyle w:val="fig"/>
      </w:pPr>
      <w:r>
        <w:rPr>
          <w:noProof/>
        </w:rPr>
        <w:drawing>
          <wp:inline distT="0" distB="0" distL="0" distR="0">
            <wp:extent cx="4890770" cy="4838065"/>
            <wp:effectExtent l="25400" t="25400" r="11430" b="13335"/>
            <wp:docPr id="7" name="Image 7" descr="fig_p_105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ig_p_105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0770" cy="4838065"/>
                    </a:xfrm>
                    <a:prstGeom prst="rect">
                      <a:avLst/>
                    </a:prstGeom>
                    <a:noFill/>
                    <a:ln w="19050" cmpd="sng">
                      <a:solidFill>
                        <a:srgbClr val="000000"/>
                      </a:solidFill>
                      <a:miter lim="800000"/>
                      <a:headEnd/>
                      <a:tailEnd/>
                    </a:ln>
                    <a:effectLst/>
                  </pic:spPr>
                </pic:pic>
              </a:graphicData>
            </a:graphic>
          </wp:inline>
        </w:drawing>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6. Il nous faut maintenant commenter quelque peu cette profondeur de l’énoncé. On commencera de voir ce que nous entendons par l’expression de « Saturation culturelle », que nous avons introduite plus haut.</w:t>
      </w:r>
    </w:p>
    <w:p w:rsidR="00A9729B" w:rsidRPr="00AB71A5" w:rsidRDefault="00A9729B" w:rsidP="00A9729B">
      <w:pPr>
        <w:spacing w:before="120" w:after="120"/>
        <w:jc w:val="both"/>
      </w:pPr>
      <w:r w:rsidRPr="00AB71A5">
        <w:rPr>
          <w:lang w:eastAsia="fr-FR" w:bidi="fr-FR"/>
        </w:rPr>
        <w:t>Notre première remarque aura la forme obligée d’une hypoth</w:t>
      </w:r>
      <w:r w:rsidRPr="00AB71A5">
        <w:rPr>
          <w:lang w:eastAsia="fr-FR" w:bidi="fr-FR"/>
        </w:rPr>
        <w:t>è</w:t>
      </w:r>
      <w:r w:rsidRPr="00AB71A5">
        <w:rPr>
          <w:lang w:eastAsia="fr-FR" w:bidi="fr-FR"/>
        </w:rPr>
        <w:t>se : celle-là qui affirme voir dans cette polynivellation de l’énoncé théor</w:t>
      </w:r>
      <w:r w:rsidRPr="00AB71A5">
        <w:rPr>
          <w:lang w:eastAsia="fr-FR" w:bidi="fr-FR"/>
        </w:rPr>
        <w:t>i</w:t>
      </w:r>
      <w:r w:rsidRPr="00AB71A5">
        <w:rPr>
          <w:lang w:eastAsia="fr-FR" w:bidi="fr-FR"/>
        </w:rPr>
        <w:t>que contemporain, un de ses traits les plus généralement accusés. Dans une mesure de plus en plus appréciable, l’énoncé théorique contemporain constitue un système explic</w:t>
      </w:r>
      <w:r w:rsidRPr="00AB71A5">
        <w:rPr>
          <w:lang w:eastAsia="fr-FR" w:bidi="fr-FR"/>
        </w:rPr>
        <w:t>i</w:t>
      </w:r>
      <w:r w:rsidRPr="00AB71A5">
        <w:rPr>
          <w:lang w:eastAsia="fr-FR" w:bidi="fr-FR"/>
        </w:rPr>
        <w:t>te et réciproque de renvois ordonnés. Faute d’avoir pu faire une vérif</w:t>
      </w:r>
      <w:r w:rsidRPr="00AB71A5">
        <w:rPr>
          <w:lang w:eastAsia="fr-FR" w:bidi="fr-FR"/>
        </w:rPr>
        <w:t>i</w:t>
      </w:r>
      <w:r w:rsidRPr="00AB71A5">
        <w:rPr>
          <w:lang w:eastAsia="fr-FR" w:bidi="fr-FR"/>
        </w:rPr>
        <w:t>cation adéquate de cette</w:t>
      </w:r>
      <w:r>
        <w:rPr>
          <w:lang w:eastAsia="fr-FR" w:bidi="fr-FR"/>
        </w:rPr>
        <w:t xml:space="preserve"> [106] </w:t>
      </w:r>
      <w:r w:rsidRPr="00AB71A5">
        <w:rPr>
          <w:lang w:eastAsia="fr-FR" w:bidi="fr-FR"/>
        </w:rPr>
        <w:t>proposition avec le lecteur, nous ne pouvons que la lui soume</w:t>
      </w:r>
      <w:r w:rsidRPr="00AB71A5">
        <w:rPr>
          <w:lang w:eastAsia="fr-FR" w:bidi="fr-FR"/>
        </w:rPr>
        <w:t>t</w:t>
      </w:r>
      <w:r w:rsidRPr="00AB71A5">
        <w:rPr>
          <w:lang w:eastAsia="fr-FR" w:bidi="fr-FR"/>
        </w:rPr>
        <w:t>tre comme une hypothèse, en l’engageant de la mettre à l’épreuve sur les textes. Il va de soi que le nombre des niveaux sur lesquels s’étagent les énoncés peut être très variable.</w:t>
      </w:r>
    </w:p>
    <w:p w:rsidR="00A9729B" w:rsidRPr="00AB71A5" w:rsidRDefault="00A9729B" w:rsidP="00A9729B">
      <w:pPr>
        <w:spacing w:before="120" w:after="120"/>
        <w:jc w:val="both"/>
      </w:pPr>
      <w:r w:rsidRPr="00AB71A5">
        <w:rPr>
          <w:lang w:eastAsia="fr-FR" w:bidi="fr-FR"/>
        </w:rPr>
        <w:t>On peut par ailleurs croire que la proportion des énoncés qui con</w:t>
      </w:r>
      <w:r w:rsidRPr="00AB71A5">
        <w:rPr>
          <w:lang w:eastAsia="fr-FR" w:bidi="fr-FR"/>
        </w:rPr>
        <w:t>s</w:t>
      </w:r>
      <w:r w:rsidRPr="00AB71A5">
        <w:rPr>
          <w:lang w:eastAsia="fr-FR" w:bidi="fr-FR"/>
        </w:rPr>
        <w:t>titueront des systèmes expl</w:t>
      </w:r>
      <w:r w:rsidRPr="00AB71A5">
        <w:rPr>
          <w:lang w:eastAsia="fr-FR" w:bidi="fr-FR"/>
        </w:rPr>
        <w:t>i</w:t>
      </w:r>
      <w:r w:rsidRPr="00AB71A5">
        <w:rPr>
          <w:lang w:eastAsia="fr-FR" w:bidi="fr-FR"/>
        </w:rPr>
        <w:t>cites de renvois devra aller en augmentant puisqu’elle n’est à certains égards que la contrepartie de la spécialis</w:t>
      </w:r>
      <w:r w:rsidRPr="00AB71A5">
        <w:rPr>
          <w:lang w:eastAsia="fr-FR" w:bidi="fr-FR"/>
        </w:rPr>
        <w:t>a</w:t>
      </w:r>
      <w:r w:rsidRPr="00AB71A5">
        <w:rPr>
          <w:lang w:eastAsia="fr-FR" w:bidi="fr-FR"/>
        </w:rPr>
        <w:t>tion croissante et caractérise l’évolution de la recherche scientifique, cette sp</w:t>
      </w:r>
      <w:r w:rsidRPr="00AB71A5">
        <w:rPr>
          <w:lang w:eastAsia="fr-FR" w:bidi="fr-FR"/>
        </w:rPr>
        <w:t>é</w:t>
      </w:r>
      <w:r w:rsidRPr="00AB71A5">
        <w:rPr>
          <w:lang w:eastAsia="fr-FR" w:bidi="fr-FR"/>
        </w:rPr>
        <w:t>cialisation faisant que se rétrécit comme une peau de chagrin le champ des phénomènes où le chercheur travaille de quasi pr</w:t>
      </w:r>
      <w:r w:rsidRPr="00AB71A5">
        <w:rPr>
          <w:lang w:eastAsia="fr-FR" w:bidi="fr-FR"/>
        </w:rPr>
        <w:t>e</w:t>
      </w:r>
      <w:r w:rsidRPr="00AB71A5">
        <w:rPr>
          <w:lang w:eastAsia="fr-FR" w:bidi="fr-FR"/>
        </w:rPr>
        <w:t>mière main.</w:t>
      </w:r>
      <w:r>
        <w:rPr>
          <w:lang w:eastAsia="fr-FR" w:bidi="fr-FR"/>
        </w:rPr>
        <w:t> </w:t>
      </w:r>
      <w:r>
        <w:rPr>
          <w:rStyle w:val="Appelnotedebasdep"/>
          <w:lang w:eastAsia="fr-FR" w:bidi="fr-FR"/>
        </w:rPr>
        <w:footnoteReference w:id="21"/>
      </w:r>
    </w:p>
    <w:p w:rsidR="00A9729B" w:rsidRPr="00AB71A5" w:rsidRDefault="00A9729B" w:rsidP="00A9729B">
      <w:pPr>
        <w:spacing w:before="120" w:after="120"/>
        <w:jc w:val="both"/>
      </w:pPr>
      <w:r w:rsidRPr="00AB71A5">
        <w:rPr>
          <w:lang w:eastAsia="fr-FR" w:bidi="fr-FR"/>
        </w:rPr>
        <w:t>Avec notre seconde remarque, nous tenterons de commencer à so</w:t>
      </w:r>
      <w:r w:rsidRPr="00AB71A5">
        <w:rPr>
          <w:lang w:eastAsia="fr-FR" w:bidi="fr-FR"/>
        </w:rPr>
        <w:t>u</w:t>
      </w:r>
      <w:r w:rsidRPr="00AB71A5">
        <w:rPr>
          <w:lang w:eastAsia="fr-FR" w:bidi="fr-FR"/>
        </w:rPr>
        <w:t>lever quelques-uns des pr</w:t>
      </w:r>
      <w:r w:rsidRPr="00AB71A5">
        <w:rPr>
          <w:lang w:eastAsia="fr-FR" w:bidi="fr-FR"/>
        </w:rPr>
        <w:t>o</w:t>
      </w:r>
      <w:r w:rsidRPr="00AB71A5">
        <w:rPr>
          <w:lang w:eastAsia="fr-FR" w:bidi="fr-FR"/>
        </w:rPr>
        <w:t>blèmes que cause la profondeur de l’énoncé. Le premier de ces problèmes vient de ce que la chaîne des renvois est très éloignée d’être composée de maillons transp</w:t>
      </w:r>
      <w:r w:rsidRPr="00AB71A5">
        <w:rPr>
          <w:lang w:eastAsia="fr-FR" w:bidi="fr-FR"/>
        </w:rPr>
        <w:t>a</w:t>
      </w:r>
      <w:r w:rsidRPr="00AB71A5">
        <w:rPr>
          <w:lang w:eastAsia="fr-FR" w:bidi="fr-FR"/>
        </w:rPr>
        <w:t>rents. Montrons cela, encore une fois, par un exe</w:t>
      </w:r>
      <w:r w:rsidRPr="00AB71A5">
        <w:rPr>
          <w:lang w:eastAsia="fr-FR" w:bidi="fr-FR"/>
        </w:rPr>
        <w:t>m</w:t>
      </w:r>
      <w:r w:rsidRPr="00AB71A5">
        <w:rPr>
          <w:lang w:eastAsia="fr-FR" w:bidi="fr-FR"/>
        </w:rPr>
        <w:t>ple. Kristeva appuiera l’une de ses thèses sur l’autorité de Mallarmé : voici le texte de Kri</w:t>
      </w:r>
      <w:r w:rsidRPr="00AB71A5">
        <w:rPr>
          <w:lang w:eastAsia="fr-FR" w:bidi="fr-FR"/>
        </w:rPr>
        <w:t>s</w:t>
      </w:r>
      <w:r w:rsidRPr="00AB71A5">
        <w:rPr>
          <w:lang w:eastAsia="fr-FR" w:bidi="fr-FR"/>
        </w:rPr>
        <w:t>teva et sa citation de Mallarmé, (p. 308).</w:t>
      </w:r>
    </w:p>
    <w:p w:rsidR="00A9729B" w:rsidRDefault="00A9729B" w:rsidP="00A9729B">
      <w:pPr>
        <w:pStyle w:val="Grillecouleur-Accent1"/>
        <w:rPr>
          <w:lang w:eastAsia="fr-FR" w:bidi="fr-FR"/>
        </w:rPr>
      </w:pPr>
    </w:p>
    <w:p w:rsidR="00A9729B" w:rsidRDefault="00A9729B" w:rsidP="00A9729B">
      <w:pPr>
        <w:pStyle w:val="Grillecouleur-Accent1"/>
        <w:rPr>
          <w:lang w:eastAsia="fr-FR" w:bidi="fr-FR"/>
        </w:rPr>
      </w:pPr>
      <w:r w:rsidRPr="00AB71A5">
        <w:rPr>
          <w:lang w:eastAsia="fr-FR" w:bidi="fr-FR"/>
        </w:rPr>
        <w:t>« Or lorsque la lecture reconstitue cet abîme du géno-texte c’est la b</w:t>
      </w:r>
      <w:r w:rsidRPr="00AB71A5">
        <w:rPr>
          <w:lang w:eastAsia="fr-FR" w:bidi="fr-FR"/>
        </w:rPr>
        <w:t>i</w:t>
      </w:r>
      <w:r w:rsidRPr="00AB71A5">
        <w:rPr>
          <w:lang w:eastAsia="fr-FR" w:bidi="fr-FR"/>
        </w:rPr>
        <w:t>bliothèque qui, obliquement, y participe. Pour Mallarmé, ce travail de m</w:t>
      </w:r>
      <w:r w:rsidRPr="00AB71A5">
        <w:rPr>
          <w:lang w:eastAsia="fr-FR" w:bidi="fr-FR"/>
        </w:rPr>
        <w:t>i</w:t>
      </w:r>
      <w:r w:rsidRPr="00AB71A5">
        <w:rPr>
          <w:lang w:eastAsia="fr-FR" w:bidi="fr-FR"/>
        </w:rPr>
        <w:t>se à jour du géno-texte, se présentait comme un devoir critique, une a</w:t>
      </w:r>
      <w:r w:rsidRPr="00AB71A5">
        <w:rPr>
          <w:lang w:eastAsia="fr-FR" w:bidi="fr-FR"/>
        </w:rPr>
        <w:t>r</w:t>
      </w:r>
      <w:r w:rsidRPr="00AB71A5">
        <w:rPr>
          <w:lang w:eastAsia="fr-FR" w:bidi="fr-FR"/>
        </w:rPr>
        <w:t>chéologie, une rétrospective : (Vient le texte de Mallarmé que nous citons dans sa version kristévienne.) « Toute invention ayant cessé, le rôle crit</w:t>
      </w:r>
      <w:r w:rsidRPr="00AB71A5">
        <w:rPr>
          <w:lang w:eastAsia="fr-FR" w:bidi="fr-FR"/>
        </w:rPr>
        <w:t>i</w:t>
      </w:r>
      <w:r w:rsidRPr="00AB71A5">
        <w:rPr>
          <w:lang w:eastAsia="fr-FR" w:bidi="fr-FR"/>
        </w:rPr>
        <w:t>que de notre siècle est de collectionner des formes usuelles et curieuses nées de la Fantaisie de chaque peuple et de ch</w:t>
      </w:r>
      <w:r w:rsidRPr="00AB71A5">
        <w:rPr>
          <w:lang w:eastAsia="fr-FR" w:bidi="fr-FR"/>
        </w:rPr>
        <w:t>a</w:t>
      </w:r>
      <w:r w:rsidRPr="00AB71A5">
        <w:rPr>
          <w:lang w:eastAsia="fr-FR" w:bidi="fr-FR"/>
        </w:rPr>
        <w:t xml:space="preserve">que... tout est rétrospectif » (Exposition du Louvre, </w:t>
      </w:r>
      <w:r w:rsidRPr="002C1492">
        <w:rPr>
          <w:i/>
          <w:lang w:eastAsia="fr-FR" w:bidi="fr-FR"/>
        </w:rPr>
        <w:t>op. cit</w:t>
      </w:r>
      <w:r w:rsidRPr="00AB71A5">
        <w:rPr>
          <w:lang w:eastAsia="fr-FR" w:bidi="fr-FR"/>
        </w:rPr>
        <w:t>. p. 683- 84) ».</w:t>
      </w:r>
    </w:p>
    <w:p w:rsidR="00A9729B" w:rsidRPr="00AB71A5" w:rsidRDefault="00A9729B" w:rsidP="00A9729B">
      <w:pPr>
        <w:pStyle w:val="Grillecouleur-Accent1"/>
      </w:pPr>
    </w:p>
    <w:p w:rsidR="00A9729B" w:rsidRPr="00AB71A5" w:rsidRDefault="00A9729B" w:rsidP="00A9729B">
      <w:pPr>
        <w:spacing w:before="120" w:after="120"/>
        <w:jc w:val="both"/>
      </w:pPr>
      <w:r w:rsidRPr="00AB71A5">
        <w:rPr>
          <w:lang w:eastAsia="fr-FR" w:bidi="fr-FR"/>
        </w:rPr>
        <w:t>Or quel n’est pas notre étonnement de trouver dans Malla</w:t>
      </w:r>
      <w:r w:rsidRPr="00AB71A5">
        <w:rPr>
          <w:lang w:eastAsia="fr-FR" w:bidi="fr-FR"/>
        </w:rPr>
        <w:t>r</w:t>
      </w:r>
      <w:r w:rsidRPr="00AB71A5">
        <w:rPr>
          <w:lang w:eastAsia="fr-FR" w:bidi="fr-FR"/>
        </w:rPr>
        <w:t>mé, dans un texte qui s’intitule « </w:t>
      </w:r>
      <w:r w:rsidRPr="002C1492">
        <w:rPr>
          <w:i/>
        </w:rPr>
        <w:t>Exposition de Londres</w:t>
      </w:r>
      <w:r w:rsidRPr="002C1492">
        <w:rPr>
          <w:i/>
          <w:lang w:eastAsia="fr-FR" w:bidi="fr-FR"/>
        </w:rPr>
        <w:t> </w:t>
      </w:r>
      <w:r w:rsidRPr="00AB71A5">
        <w:rPr>
          <w:lang w:eastAsia="fr-FR" w:bidi="fr-FR"/>
        </w:rPr>
        <w:t>» et non « </w:t>
      </w:r>
      <w:r w:rsidRPr="00AB71A5">
        <w:t>Exposition du Louvre »</w:t>
      </w:r>
      <w:r w:rsidRPr="00AB71A5">
        <w:rPr>
          <w:lang w:eastAsia="fr-FR" w:bidi="fr-FR"/>
        </w:rPr>
        <w:t xml:space="preserve"> l’original qui suit :</w:t>
      </w:r>
    </w:p>
    <w:p w:rsidR="00A9729B" w:rsidRDefault="00A9729B" w:rsidP="00A9729B">
      <w:pPr>
        <w:pStyle w:val="Grillecouleur-Accent1"/>
      </w:pPr>
    </w:p>
    <w:p w:rsidR="00A9729B" w:rsidRDefault="00A9729B" w:rsidP="00A9729B">
      <w:pPr>
        <w:pStyle w:val="Grillecouleur-Accent1"/>
        <w:rPr>
          <w:lang w:eastAsia="fr-FR" w:bidi="fr-FR"/>
        </w:rPr>
      </w:pPr>
      <w:r w:rsidRPr="00AB71A5">
        <w:t>« ...</w:t>
      </w:r>
      <w:r w:rsidRPr="00AB71A5">
        <w:rPr>
          <w:lang w:eastAsia="fr-FR" w:bidi="fr-FR"/>
        </w:rPr>
        <w:t xml:space="preserve"> toute invention ayant cessé, dans les arts </w:t>
      </w:r>
      <w:r w:rsidRPr="00AB71A5">
        <w:t>décor</w:t>
      </w:r>
      <w:r w:rsidRPr="002C1492">
        <w:rPr>
          <w:i/>
        </w:rPr>
        <w:t>a</w:t>
      </w:r>
      <w:r w:rsidRPr="00AB71A5">
        <w:t>tifs</w:t>
      </w:r>
      <w:r w:rsidRPr="00AB71A5">
        <w:rPr>
          <w:lang w:eastAsia="fr-FR" w:bidi="fr-FR"/>
        </w:rPr>
        <w:t xml:space="preserve"> (nous soul</w:t>
      </w:r>
      <w:r w:rsidRPr="00AB71A5">
        <w:rPr>
          <w:lang w:eastAsia="fr-FR" w:bidi="fr-FR"/>
        </w:rPr>
        <w:t>i</w:t>
      </w:r>
      <w:r w:rsidRPr="00AB71A5">
        <w:rPr>
          <w:lang w:eastAsia="fr-FR" w:bidi="fr-FR"/>
        </w:rPr>
        <w:t>gnons) à la fin du siècle dernier, le rôle critique de notre siècle est de co</w:t>
      </w:r>
      <w:r w:rsidRPr="00AB71A5">
        <w:rPr>
          <w:lang w:eastAsia="fr-FR" w:bidi="fr-FR"/>
        </w:rPr>
        <w:t>l</w:t>
      </w:r>
      <w:r w:rsidRPr="00AB71A5">
        <w:rPr>
          <w:lang w:eastAsia="fr-FR" w:bidi="fr-FR"/>
        </w:rPr>
        <w:t>lectionner les fo</w:t>
      </w:r>
      <w:r w:rsidRPr="00AB71A5">
        <w:rPr>
          <w:lang w:eastAsia="fr-FR" w:bidi="fr-FR"/>
        </w:rPr>
        <w:t>r</w:t>
      </w:r>
      <w:r w:rsidRPr="00AB71A5">
        <w:rPr>
          <w:lang w:eastAsia="fr-FR" w:bidi="fr-FR"/>
        </w:rPr>
        <w:t>mes usuelles et curieuses nées</w:t>
      </w:r>
      <w:r>
        <w:rPr>
          <w:lang w:eastAsia="fr-FR" w:bidi="fr-FR"/>
        </w:rPr>
        <w:t xml:space="preserve"> [107] </w:t>
      </w:r>
      <w:r w:rsidRPr="00AB71A5">
        <w:rPr>
          <w:lang w:eastAsia="fr-FR" w:bidi="fr-FR"/>
        </w:rPr>
        <w:t>de la Fantaisie de chaque peuple et de chaque époque. Quant à l’industrie, qui est la préo</w:t>
      </w:r>
      <w:r w:rsidRPr="00AB71A5">
        <w:rPr>
          <w:lang w:eastAsia="fr-FR" w:bidi="fr-FR"/>
        </w:rPr>
        <w:t>c</w:t>
      </w:r>
      <w:r w:rsidRPr="00AB71A5">
        <w:rPr>
          <w:lang w:eastAsia="fr-FR" w:bidi="fr-FR"/>
        </w:rPr>
        <w:t>cupation visible de ce temps, son but actif et généreux sera la multiplic</w:t>
      </w:r>
      <w:r w:rsidRPr="00AB71A5">
        <w:rPr>
          <w:lang w:eastAsia="fr-FR" w:bidi="fr-FR"/>
        </w:rPr>
        <w:t>a</w:t>
      </w:r>
      <w:r w:rsidRPr="00AB71A5">
        <w:rPr>
          <w:lang w:eastAsia="fr-FR" w:bidi="fr-FR"/>
        </w:rPr>
        <w:t>tion populaire de ces merveilles célèbres ou uniques enfouies longtemps dans quelques résidences héréditaires. Tout est rétrospectif ». (Mallarmé, E</w:t>
      </w:r>
      <w:r w:rsidRPr="00AB71A5">
        <w:rPr>
          <w:lang w:eastAsia="fr-FR" w:bidi="fr-FR"/>
        </w:rPr>
        <w:t>x</w:t>
      </w:r>
      <w:r w:rsidRPr="00AB71A5">
        <w:rPr>
          <w:lang w:eastAsia="fr-FR" w:bidi="fr-FR"/>
        </w:rPr>
        <w:t>position de Londres, Pléiade, p. 683-84).</w:t>
      </w:r>
    </w:p>
    <w:p w:rsidR="00A9729B" w:rsidRPr="00AB71A5" w:rsidRDefault="00A9729B" w:rsidP="00A9729B">
      <w:pPr>
        <w:pStyle w:val="Grillecouleur-Accent1"/>
      </w:pPr>
    </w:p>
    <w:p w:rsidR="00A9729B" w:rsidRPr="00AB71A5" w:rsidRDefault="00A9729B" w:rsidP="00A9729B">
      <w:pPr>
        <w:spacing w:before="120" w:after="120"/>
        <w:jc w:val="both"/>
      </w:pPr>
      <w:r w:rsidRPr="00AB71A5">
        <w:rPr>
          <w:lang w:eastAsia="fr-FR" w:bidi="fr-FR"/>
        </w:rPr>
        <w:t>Ce cas de malcitation, relat</w:t>
      </w:r>
      <w:r w:rsidRPr="00AB71A5">
        <w:rPr>
          <w:lang w:eastAsia="fr-FR" w:bidi="fr-FR"/>
        </w:rPr>
        <w:t>i</w:t>
      </w:r>
      <w:r w:rsidRPr="00AB71A5">
        <w:rPr>
          <w:lang w:eastAsia="fr-FR" w:bidi="fr-FR"/>
        </w:rPr>
        <w:t>vement anodin du point de vue de l’exégèse mallarméenne, prend valeur d’indice d’un pr</w:t>
      </w:r>
      <w:r w:rsidRPr="00AB71A5">
        <w:rPr>
          <w:lang w:eastAsia="fr-FR" w:bidi="fr-FR"/>
        </w:rPr>
        <w:t>o</w:t>
      </w:r>
      <w:r w:rsidRPr="00AB71A5">
        <w:rPr>
          <w:lang w:eastAsia="fr-FR" w:bidi="fr-FR"/>
        </w:rPr>
        <w:t>blème qui ne laisse pas d’être tro</w:t>
      </w:r>
      <w:r w:rsidRPr="00AB71A5">
        <w:rPr>
          <w:lang w:eastAsia="fr-FR" w:bidi="fr-FR"/>
        </w:rPr>
        <w:t>u</w:t>
      </w:r>
      <w:r w:rsidRPr="00AB71A5">
        <w:rPr>
          <w:lang w:eastAsia="fr-FR" w:bidi="fr-FR"/>
        </w:rPr>
        <w:t>blant pour une théorie de la profondeur de l’énoncé. Si le défaut de transparence de la chaîne des renvois va ju</w:t>
      </w:r>
      <w:r w:rsidRPr="00AB71A5">
        <w:rPr>
          <w:lang w:eastAsia="fr-FR" w:bidi="fr-FR"/>
        </w:rPr>
        <w:t>s</w:t>
      </w:r>
      <w:r w:rsidRPr="00AB71A5">
        <w:rPr>
          <w:lang w:eastAsia="fr-FR" w:bidi="fr-FR"/>
        </w:rPr>
        <w:t>qu’à l’altération physique du texte (suppression matérielle d’un ce</w:t>
      </w:r>
      <w:r w:rsidRPr="00AB71A5">
        <w:rPr>
          <w:lang w:eastAsia="fr-FR" w:bidi="fr-FR"/>
        </w:rPr>
        <w:t>r</w:t>
      </w:r>
      <w:r w:rsidRPr="00AB71A5">
        <w:rPr>
          <w:lang w:eastAsia="fr-FR" w:bidi="fr-FR"/>
        </w:rPr>
        <w:t>tain nombre de marques dans une citation)</w:t>
      </w:r>
      <w:r>
        <w:rPr>
          <w:lang w:eastAsia="fr-FR" w:bidi="fr-FR"/>
        </w:rPr>
        <w:t> </w:t>
      </w:r>
      <w:r>
        <w:rPr>
          <w:rStyle w:val="Appelnotedebasdep"/>
          <w:lang w:eastAsia="fr-FR" w:bidi="fr-FR"/>
        </w:rPr>
        <w:footnoteReference w:customMarkFollows="1" w:id="22"/>
        <w:t>H</w:t>
      </w:r>
      <w:r w:rsidRPr="00AB71A5">
        <w:rPr>
          <w:lang w:eastAsia="fr-FR" w:bidi="fr-FR"/>
        </w:rPr>
        <w:t>, quelle ne sera pas l’opacité du discours indirect (A dit que...) qui constitue la forme la plus courante de la structur</w:t>
      </w:r>
      <w:r w:rsidRPr="00AB71A5">
        <w:rPr>
          <w:lang w:eastAsia="fr-FR" w:bidi="fr-FR"/>
        </w:rPr>
        <w:t>a</w:t>
      </w:r>
      <w:r w:rsidRPr="00AB71A5">
        <w:rPr>
          <w:lang w:eastAsia="fr-FR" w:bidi="fr-FR"/>
        </w:rPr>
        <w:t>tion verticale de l’énoncé et qui s’augmente des interventions/interférences de chacune des subjectiv</w:t>
      </w:r>
      <w:r w:rsidRPr="00AB71A5">
        <w:rPr>
          <w:lang w:eastAsia="fr-FR" w:bidi="fr-FR"/>
        </w:rPr>
        <w:t>i</w:t>
      </w:r>
      <w:r w:rsidRPr="00AB71A5">
        <w:rPr>
          <w:lang w:eastAsia="fr-FR" w:bidi="fr-FR"/>
        </w:rPr>
        <w:t>tés nouvelles qui font partie du réseau qu’il instaure. Nos reformul</w:t>
      </w:r>
      <w:r w:rsidRPr="00AB71A5">
        <w:rPr>
          <w:lang w:eastAsia="fr-FR" w:bidi="fr-FR"/>
        </w:rPr>
        <w:t>a</w:t>
      </w:r>
      <w:r w:rsidRPr="00AB71A5">
        <w:rPr>
          <w:lang w:eastAsia="fr-FR" w:bidi="fr-FR"/>
        </w:rPr>
        <w:t>tions naïves :</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 xml:space="preserve">« B parle de K qui parle de S qui parle de </w:t>
      </w:r>
      <w:r w:rsidRPr="00AB71A5">
        <w:t>D...</w:t>
      </w:r>
      <w:r w:rsidRPr="00AB71A5">
        <w:rPr>
          <w:lang w:eastAsia="fr-FR" w:bidi="fr-FR"/>
        </w:rPr>
        <w:t> » devraient pl</w:t>
      </w:r>
      <w:r w:rsidRPr="00AB71A5">
        <w:rPr>
          <w:lang w:eastAsia="fr-FR" w:bidi="fr-FR"/>
        </w:rPr>
        <w:t>u</w:t>
      </w:r>
      <w:r w:rsidRPr="00AB71A5">
        <w:rPr>
          <w:lang w:eastAsia="fr-FR" w:bidi="fr-FR"/>
        </w:rPr>
        <w:t>tôt sénoncer sur le mode :</w:t>
      </w:r>
    </w:p>
    <w:p w:rsidR="00A9729B" w:rsidRPr="00AB71A5" w:rsidRDefault="00A9729B" w:rsidP="00A9729B">
      <w:pPr>
        <w:spacing w:before="120" w:after="120"/>
        <w:jc w:val="both"/>
      </w:pPr>
      <w:r w:rsidRPr="00AB71A5">
        <w:rPr>
          <w:lang w:eastAsia="fr-FR" w:bidi="fr-FR"/>
        </w:rPr>
        <w:t>« B parle d’un K’ qui parle d’un S” qui parle d’un D’”... »</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En d’autres termes : le K de B est brouillé au d</w:t>
      </w:r>
      <w:r w:rsidRPr="00AB71A5">
        <w:rPr>
          <w:lang w:eastAsia="fr-FR" w:bidi="fr-FR"/>
        </w:rPr>
        <w:t>e</w:t>
      </w:r>
      <w:r w:rsidRPr="00AB71A5">
        <w:rPr>
          <w:lang w:eastAsia="fr-FR" w:bidi="fr-FR"/>
        </w:rPr>
        <w:t>gré 1, le S de K est brouillé 1 pour K et au degré 2 pour B qui l’appréhende au tr</w:t>
      </w:r>
      <w:r w:rsidRPr="00AB71A5">
        <w:rPr>
          <w:lang w:eastAsia="fr-FR" w:bidi="fr-FR"/>
        </w:rPr>
        <w:t>a</w:t>
      </w:r>
      <w:r w:rsidRPr="00AB71A5">
        <w:rPr>
          <w:lang w:eastAsia="fr-FR" w:bidi="fr-FR"/>
        </w:rPr>
        <w:t>vers d’un K déjà brouillé de d</w:t>
      </w:r>
      <w:r w:rsidRPr="00AB71A5">
        <w:rPr>
          <w:lang w:eastAsia="fr-FR" w:bidi="fr-FR"/>
        </w:rPr>
        <w:t>e</w:t>
      </w:r>
      <w:r w:rsidRPr="00AB71A5">
        <w:rPr>
          <w:lang w:eastAsia="fr-FR" w:bidi="fr-FR"/>
        </w:rPr>
        <w:t>gré 1, pour lui B ; quant au D de S, il sera brouillé pour 1, pour S, pour deux, pour K qui le voit à travers S et pour 3, pour B qui doit percer K et S, pour arriver jusqu’à lui. Le ri</w:t>
      </w:r>
      <w:r w:rsidRPr="00AB71A5">
        <w:rPr>
          <w:lang w:eastAsia="fr-FR" w:bidi="fr-FR"/>
        </w:rPr>
        <w:t>s</w:t>
      </w:r>
      <w:r w:rsidRPr="00AB71A5">
        <w:rPr>
          <w:lang w:eastAsia="fr-FR" w:bidi="fr-FR"/>
        </w:rPr>
        <w:t>que devient alors grand que la chaîne des médiations s’épaississe au point de constituer un obstacle de belle densité à la perception de l’objet auquel il s’accroche. Les pri</w:t>
      </w:r>
      <w:r w:rsidRPr="00AB71A5">
        <w:rPr>
          <w:lang w:eastAsia="fr-FR" w:bidi="fr-FR"/>
        </w:rPr>
        <w:t>s</w:t>
      </w:r>
      <w:r w:rsidRPr="00AB71A5">
        <w:rPr>
          <w:lang w:eastAsia="fr-FR" w:bidi="fr-FR"/>
        </w:rPr>
        <w:t>mes peuvent être de plomb.</w:t>
      </w:r>
    </w:p>
    <w:p w:rsidR="00A9729B" w:rsidRPr="00AB71A5" w:rsidRDefault="00A9729B" w:rsidP="00A9729B">
      <w:pPr>
        <w:spacing w:before="120" w:after="120"/>
        <w:jc w:val="both"/>
      </w:pPr>
      <w:r w:rsidRPr="00AB71A5">
        <w:rPr>
          <w:lang w:eastAsia="fr-FR" w:bidi="fr-FR"/>
        </w:rPr>
        <w:t>Dernière remarque sur ce s</w:t>
      </w:r>
      <w:r w:rsidRPr="00AB71A5">
        <w:rPr>
          <w:lang w:eastAsia="fr-FR" w:bidi="fr-FR"/>
        </w:rPr>
        <w:t>u</w:t>
      </w:r>
      <w:r w:rsidRPr="00AB71A5">
        <w:rPr>
          <w:lang w:eastAsia="fr-FR" w:bidi="fr-FR"/>
        </w:rPr>
        <w:t>jet : on peut dès lors soupçonner à quel point est travaillé par une radicale contingence ce à quoi l’on réfère habituellement par les vocables de « devenir de l’Esprit », « Culture » et autres expressions de même farine, et qu’on serait parfois tenté de réduire à une suite d’actes de co</w:t>
      </w:r>
      <w:r w:rsidRPr="00AB71A5">
        <w:rPr>
          <w:lang w:eastAsia="fr-FR" w:bidi="fr-FR"/>
        </w:rPr>
        <w:t>m</w:t>
      </w:r>
      <w:r w:rsidRPr="00AB71A5">
        <w:rPr>
          <w:lang w:eastAsia="fr-FR" w:bidi="fr-FR"/>
        </w:rPr>
        <w:t>munication ratés, si l’on ne reculait devant l’outrance de ce</w:t>
      </w:r>
      <w:r w:rsidRPr="00AB71A5">
        <w:rPr>
          <w:lang w:eastAsia="fr-FR" w:bidi="fr-FR"/>
        </w:rPr>
        <w:t>t</w:t>
      </w:r>
      <w:r w:rsidRPr="00AB71A5">
        <w:rPr>
          <w:lang w:eastAsia="fr-FR" w:bidi="fr-FR"/>
        </w:rPr>
        <w:t>te thèse.</w:t>
      </w:r>
    </w:p>
    <w:p w:rsidR="00A9729B" w:rsidRPr="00AB71A5" w:rsidRDefault="00A9729B" w:rsidP="00A9729B">
      <w:pPr>
        <w:spacing w:before="120" w:after="120"/>
        <w:jc w:val="both"/>
      </w:pPr>
      <w:r w:rsidRPr="00AB71A5">
        <w:rPr>
          <w:lang w:eastAsia="fr-FR" w:bidi="fr-FR"/>
        </w:rPr>
        <w:t>Le paragraphe précédent a argué de l’opacité de la chaîne des s</w:t>
      </w:r>
      <w:r w:rsidRPr="00AB71A5">
        <w:rPr>
          <w:lang w:eastAsia="fr-FR" w:bidi="fr-FR"/>
        </w:rPr>
        <w:t>é</w:t>
      </w:r>
      <w:r w:rsidRPr="00AB71A5">
        <w:rPr>
          <w:lang w:eastAsia="fr-FR" w:bidi="fr-FR"/>
        </w:rPr>
        <w:t>diments pour indiquer le risque d’occultation de l’objet du di</w:t>
      </w:r>
      <w:r w:rsidRPr="00AB71A5">
        <w:rPr>
          <w:lang w:eastAsia="fr-FR" w:bidi="fr-FR"/>
        </w:rPr>
        <w:t>s</w:t>
      </w:r>
      <w:r w:rsidRPr="00AB71A5">
        <w:rPr>
          <w:lang w:eastAsia="fr-FR" w:bidi="fr-FR"/>
        </w:rPr>
        <w:t>cours, que comportait l’établissement d’une telle cha</w:t>
      </w:r>
      <w:r w:rsidRPr="00AB71A5">
        <w:rPr>
          <w:lang w:eastAsia="fr-FR" w:bidi="fr-FR"/>
        </w:rPr>
        <w:t>î</w:t>
      </w:r>
      <w:r w:rsidRPr="00AB71A5">
        <w:rPr>
          <w:lang w:eastAsia="fr-FR" w:bidi="fr-FR"/>
        </w:rPr>
        <w:t>ne. Cet alinéa-ci se</w:t>
      </w:r>
      <w:r>
        <w:rPr>
          <w:lang w:eastAsia="fr-FR" w:bidi="fr-FR"/>
        </w:rPr>
        <w:t xml:space="preserve"> [108] </w:t>
      </w:r>
      <w:r w:rsidRPr="00AB71A5">
        <w:rPr>
          <w:lang w:eastAsia="fr-FR" w:bidi="fr-FR"/>
        </w:rPr>
        <w:t>propose de suggérer qu’il y va, plus profondément, de la n</w:t>
      </w:r>
      <w:r w:rsidRPr="00AB71A5">
        <w:rPr>
          <w:lang w:eastAsia="fr-FR" w:bidi="fr-FR"/>
        </w:rPr>
        <w:t>a</w:t>
      </w:r>
      <w:r w:rsidRPr="00AB71A5">
        <w:rPr>
          <w:lang w:eastAsia="fr-FR" w:bidi="fr-FR"/>
        </w:rPr>
        <w:t>ture même d’une telle chaîne, d’engendrer des effets de voil</w:t>
      </w:r>
      <w:r w:rsidRPr="00AB71A5">
        <w:rPr>
          <w:lang w:eastAsia="fr-FR" w:bidi="fr-FR"/>
        </w:rPr>
        <w:t>e</w:t>
      </w:r>
      <w:r w:rsidRPr="00AB71A5">
        <w:rPr>
          <w:lang w:eastAsia="fr-FR" w:bidi="fr-FR"/>
        </w:rPr>
        <w:t>ment. On nous permettra une brève incursion en grammaire transformatio</w:t>
      </w:r>
      <w:r w:rsidRPr="00AB71A5">
        <w:rPr>
          <w:lang w:eastAsia="fr-FR" w:bidi="fr-FR"/>
        </w:rPr>
        <w:t>n</w:t>
      </w:r>
      <w:r w:rsidRPr="00AB71A5">
        <w:rPr>
          <w:lang w:eastAsia="fr-FR" w:bidi="fr-FR"/>
        </w:rPr>
        <w:t>nelle.</w:t>
      </w:r>
    </w:p>
    <w:p w:rsidR="00A9729B" w:rsidRPr="00AB71A5" w:rsidRDefault="00A9729B" w:rsidP="00A9729B">
      <w:pPr>
        <w:spacing w:before="120" w:after="120"/>
        <w:jc w:val="both"/>
      </w:pPr>
      <w:r w:rsidRPr="00AB71A5">
        <w:rPr>
          <w:lang w:eastAsia="fr-FR" w:bidi="fr-FR"/>
        </w:rPr>
        <w:t>Soit les trois phrases suiva</w:t>
      </w:r>
      <w:r w:rsidRPr="00AB71A5">
        <w:rPr>
          <w:lang w:eastAsia="fr-FR" w:bidi="fr-FR"/>
        </w:rPr>
        <w:t>n</w:t>
      </w:r>
      <w:r w:rsidRPr="00AB71A5">
        <w:rPr>
          <w:lang w:eastAsia="fr-FR" w:bidi="fr-FR"/>
        </w:rPr>
        <w:t>tes :</w:t>
      </w:r>
    </w:p>
    <w:p w:rsidR="00A9729B" w:rsidRDefault="00A9729B" w:rsidP="00A9729B">
      <w:pPr>
        <w:spacing w:before="120" w:after="120"/>
        <w:jc w:val="both"/>
        <w:rPr>
          <w:lang w:eastAsia="fr-FR" w:bidi="fr-FR"/>
        </w:rPr>
      </w:pPr>
    </w:p>
    <w:p w:rsidR="00A9729B" w:rsidRPr="00AB71A5" w:rsidRDefault="00A9729B" w:rsidP="00A9729B">
      <w:pPr>
        <w:spacing w:before="120" w:after="120"/>
        <w:ind w:left="900" w:hanging="540"/>
        <w:jc w:val="both"/>
      </w:pPr>
      <w:r>
        <w:rPr>
          <w:lang w:eastAsia="fr-FR" w:bidi="fr-FR"/>
        </w:rPr>
        <w:t>(1)</w:t>
      </w:r>
      <w:r>
        <w:rPr>
          <w:lang w:eastAsia="fr-FR" w:bidi="fr-FR"/>
        </w:rPr>
        <w:tab/>
      </w:r>
      <w:r w:rsidRPr="00AB71A5">
        <w:rPr>
          <w:lang w:eastAsia="fr-FR" w:bidi="fr-FR"/>
        </w:rPr>
        <w:t>Ce petit garçon préférera plus tard les petits garçons aux pet</w:t>
      </w:r>
      <w:r w:rsidRPr="00AB71A5">
        <w:rPr>
          <w:lang w:eastAsia="fr-FR" w:bidi="fr-FR"/>
        </w:rPr>
        <w:t>i</w:t>
      </w:r>
      <w:r w:rsidRPr="00AB71A5">
        <w:rPr>
          <w:lang w:eastAsia="fr-FR" w:bidi="fr-FR"/>
        </w:rPr>
        <w:t>tes fi</w:t>
      </w:r>
      <w:r w:rsidRPr="00AB71A5">
        <w:rPr>
          <w:lang w:eastAsia="fr-FR" w:bidi="fr-FR"/>
        </w:rPr>
        <w:t>l</w:t>
      </w:r>
      <w:r w:rsidRPr="00AB71A5">
        <w:rPr>
          <w:lang w:eastAsia="fr-FR" w:bidi="fr-FR"/>
        </w:rPr>
        <w:t>les.</w:t>
      </w:r>
    </w:p>
    <w:p w:rsidR="00A9729B" w:rsidRPr="00AB71A5" w:rsidRDefault="00A9729B" w:rsidP="00A9729B">
      <w:pPr>
        <w:spacing w:before="120" w:after="120"/>
        <w:ind w:left="900" w:hanging="540"/>
        <w:jc w:val="both"/>
      </w:pPr>
      <w:r>
        <w:rPr>
          <w:lang w:eastAsia="fr-FR" w:bidi="fr-FR"/>
        </w:rPr>
        <w:t>(2)</w:t>
      </w:r>
      <w:r>
        <w:rPr>
          <w:lang w:eastAsia="fr-FR" w:bidi="fr-FR"/>
        </w:rPr>
        <w:tab/>
      </w:r>
      <w:r w:rsidRPr="00AB71A5">
        <w:rPr>
          <w:lang w:eastAsia="fr-FR" w:bidi="fr-FR"/>
        </w:rPr>
        <w:t>Ce petit garçon que sa mère habille en petite fi</w:t>
      </w:r>
      <w:r w:rsidRPr="00AB71A5">
        <w:rPr>
          <w:lang w:eastAsia="fr-FR" w:bidi="fr-FR"/>
        </w:rPr>
        <w:t>l</w:t>
      </w:r>
      <w:r w:rsidRPr="00AB71A5">
        <w:rPr>
          <w:lang w:eastAsia="fr-FR" w:bidi="fr-FR"/>
        </w:rPr>
        <w:t>le, préférera plus tard les petits garçons aux petites filles.</w:t>
      </w:r>
    </w:p>
    <w:p w:rsidR="00A9729B" w:rsidRPr="00AB71A5" w:rsidRDefault="00A9729B" w:rsidP="00A9729B">
      <w:pPr>
        <w:spacing w:before="120" w:after="120"/>
        <w:ind w:left="900" w:hanging="540"/>
        <w:jc w:val="both"/>
      </w:pPr>
      <w:r>
        <w:rPr>
          <w:lang w:eastAsia="fr-FR" w:bidi="fr-FR"/>
        </w:rPr>
        <w:t>(3)</w:t>
      </w:r>
      <w:r>
        <w:rPr>
          <w:lang w:eastAsia="fr-FR" w:bidi="fr-FR"/>
        </w:rPr>
        <w:tab/>
      </w:r>
      <w:r w:rsidRPr="00AB71A5">
        <w:rPr>
          <w:lang w:eastAsia="fr-FR" w:bidi="fr-FR"/>
        </w:rPr>
        <w:t>Ce petit garçon, que sa mère, qui aime se vêtir en homme, h</w:t>
      </w:r>
      <w:r w:rsidRPr="00AB71A5">
        <w:rPr>
          <w:lang w:eastAsia="fr-FR" w:bidi="fr-FR"/>
        </w:rPr>
        <w:t>a</w:t>
      </w:r>
      <w:r w:rsidRPr="00AB71A5">
        <w:rPr>
          <w:lang w:eastAsia="fr-FR" w:bidi="fr-FR"/>
        </w:rPr>
        <w:t>bille en p</w:t>
      </w:r>
      <w:r w:rsidRPr="00AB71A5">
        <w:rPr>
          <w:lang w:eastAsia="fr-FR" w:bidi="fr-FR"/>
        </w:rPr>
        <w:t>e</w:t>
      </w:r>
      <w:r w:rsidRPr="00AB71A5">
        <w:rPr>
          <w:lang w:eastAsia="fr-FR" w:bidi="fr-FR"/>
        </w:rPr>
        <w:t>tite fille, préférera plus tard les petits garçons aux petites filles.</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Et soit maintenant les défin</w:t>
      </w:r>
      <w:r w:rsidRPr="00AB71A5">
        <w:rPr>
          <w:lang w:eastAsia="fr-FR" w:bidi="fr-FR"/>
        </w:rPr>
        <w:t>i</w:t>
      </w:r>
      <w:r w:rsidRPr="00AB71A5">
        <w:rPr>
          <w:lang w:eastAsia="fr-FR" w:bidi="fr-FR"/>
        </w:rPr>
        <w:t>tions suivantes</w:t>
      </w:r>
      <w:r>
        <w:rPr>
          <w:lang w:eastAsia="fr-FR" w:bidi="fr-FR"/>
        </w:rPr>
        <w:t> </w:t>
      </w:r>
      <w:r>
        <w:rPr>
          <w:rStyle w:val="Appelnotedebasdep"/>
          <w:lang w:eastAsia="fr-FR" w:bidi="fr-FR"/>
        </w:rPr>
        <w:footnoteReference w:customMarkFollows="1" w:id="23"/>
        <w:t>I</w:t>
      </w:r>
      <w:r w:rsidRPr="00AB71A5">
        <w:rPr>
          <w:lang w:eastAsia="fr-FR" w:bidi="fr-FR"/>
        </w:rPr>
        <w:t> :</w:t>
      </w:r>
    </w:p>
    <w:p w:rsidR="00A9729B" w:rsidRPr="00AB71A5" w:rsidRDefault="00A9729B" w:rsidP="00A9729B">
      <w:pPr>
        <w:spacing w:before="120" w:after="120"/>
        <w:jc w:val="both"/>
      </w:pPr>
      <w:r w:rsidRPr="00AB71A5">
        <w:rPr>
          <w:lang w:eastAsia="fr-FR" w:bidi="fr-FR"/>
        </w:rPr>
        <w:t>Dl : les syntagmes</w:t>
      </w:r>
      <w:r>
        <w:rPr>
          <w:lang w:eastAsia="fr-FR" w:bidi="fr-FR"/>
        </w:rPr>
        <w:t> </w:t>
      </w:r>
      <w:r>
        <w:rPr>
          <w:rStyle w:val="Appelnotedebasdep"/>
          <w:lang w:eastAsia="fr-FR" w:bidi="fr-FR"/>
        </w:rPr>
        <w:footnoteReference w:id="24"/>
      </w:r>
      <w:r w:rsidRPr="00AB71A5">
        <w:rPr>
          <w:lang w:eastAsia="fr-FR" w:bidi="fr-FR"/>
        </w:rPr>
        <w:t xml:space="preserve"> A et B forment une construction embo</w:t>
      </w:r>
      <w:r w:rsidRPr="00AB71A5">
        <w:rPr>
          <w:lang w:eastAsia="fr-FR" w:bidi="fr-FR"/>
        </w:rPr>
        <w:t>î</w:t>
      </w:r>
      <w:r w:rsidRPr="00AB71A5">
        <w:rPr>
          <w:lang w:eastAsia="fr-FR" w:bidi="fr-FR"/>
        </w:rPr>
        <w:t>tée si A est totalement indu dans B, avec un élément non-nul à sa gauche dans B et un élément non-nul à sa droite, encore une fois, à l’intérieur de B. Dans l’exemple (2), « que sa mère h</w:t>
      </w:r>
      <w:r w:rsidRPr="00AB71A5">
        <w:rPr>
          <w:lang w:eastAsia="fr-FR" w:bidi="fr-FR"/>
        </w:rPr>
        <w:t>a</w:t>
      </w:r>
      <w:r w:rsidRPr="00AB71A5">
        <w:rPr>
          <w:lang w:eastAsia="fr-FR" w:bidi="fr-FR"/>
        </w:rPr>
        <w:t>bille en petite fille » est emboîté dans la phrase totale qui const</w:t>
      </w:r>
      <w:r w:rsidRPr="00AB71A5">
        <w:rPr>
          <w:lang w:eastAsia="fr-FR" w:bidi="fr-FR"/>
        </w:rPr>
        <w:t>i</w:t>
      </w:r>
      <w:r w:rsidRPr="00AB71A5">
        <w:rPr>
          <w:lang w:eastAsia="fr-FR" w:bidi="fr-FR"/>
        </w:rPr>
        <w:t>tue l’exemple (2). D2 : on dira de plus que le syntagme A est auto-enchâssé dans B, si A est embo</w:t>
      </w:r>
      <w:r w:rsidRPr="00AB71A5">
        <w:rPr>
          <w:lang w:eastAsia="fr-FR" w:bidi="fr-FR"/>
        </w:rPr>
        <w:t>î</w:t>
      </w:r>
      <w:r w:rsidRPr="00AB71A5">
        <w:rPr>
          <w:lang w:eastAsia="fr-FR" w:bidi="fr-FR"/>
        </w:rPr>
        <w:t>té dans B et si, de plus, A est un syntagme de même type que B. Dans l’exemple (3), le syntagme « qui aime se vêtir en homme », est embo</w:t>
      </w:r>
      <w:r w:rsidRPr="00AB71A5">
        <w:rPr>
          <w:lang w:eastAsia="fr-FR" w:bidi="fr-FR"/>
        </w:rPr>
        <w:t>î</w:t>
      </w:r>
      <w:r w:rsidRPr="00AB71A5">
        <w:rPr>
          <w:lang w:eastAsia="fr-FR" w:bidi="fr-FR"/>
        </w:rPr>
        <w:t>té dans le syntagme « que sa mère (A) habille en pet</w:t>
      </w:r>
      <w:r w:rsidRPr="00AB71A5">
        <w:rPr>
          <w:lang w:eastAsia="fr-FR" w:bidi="fr-FR"/>
        </w:rPr>
        <w:t>i</w:t>
      </w:r>
      <w:r w:rsidRPr="00AB71A5">
        <w:rPr>
          <w:lang w:eastAsia="fr-FR" w:bidi="fr-FR"/>
        </w:rPr>
        <w:t>te fille » et de plus, A et B sont de même type : des relatives. On dira donc que A est auto-enchâssé dans B.</w:t>
      </w:r>
    </w:p>
    <w:p w:rsidR="00A9729B" w:rsidRPr="00AB71A5" w:rsidRDefault="00A9729B" w:rsidP="00A9729B">
      <w:pPr>
        <w:spacing w:before="120" w:after="120"/>
        <w:jc w:val="both"/>
      </w:pPr>
      <w:r w:rsidRPr="00AB71A5">
        <w:rPr>
          <w:lang w:eastAsia="fr-FR" w:bidi="fr-FR"/>
        </w:rPr>
        <w:t>Peut-être aura-t-on déjà perçu où nous voulons en venir : les r</w:t>
      </w:r>
      <w:r w:rsidRPr="00AB71A5">
        <w:rPr>
          <w:lang w:eastAsia="fr-FR" w:bidi="fr-FR"/>
        </w:rPr>
        <w:t>e</w:t>
      </w:r>
      <w:r w:rsidRPr="00AB71A5">
        <w:rPr>
          <w:lang w:eastAsia="fr-FR" w:bidi="fr-FR"/>
        </w:rPr>
        <w:t>formulations que nous avons données, du texte de Kristeva et qui ont la forme générale,</w:t>
      </w:r>
    </w:p>
    <w:p w:rsidR="00A9729B" w:rsidRPr="00AB71A5" w:rsidRDefault="00A9729B" w:rsidP="00A9729B">
      <w:pPr>
        <w:spacing w:before="120" w:after="120"/>
        <w:jc w:val="both"/>
      </w:pPr>
      <w:r w:rsidRPr="00AB71A5">
        <w:rPr>
          <w:lang w:eastAsia="fr-FR" w:bidi="fr-FR"/>
        </w:rPr>
        <w:t>« K parle de S qui parle de D qui parle.... » constituent des exe</w:t>
      </w:r>
      <w:r w:rsidRPr="00AB71A5">
        <w:rPr>
          <w:lang w:eastAsia="fr-FR" w:bidi="fr-FR"/>
        </w:rPr>
        <w:t>m</w:t>
      </w:r>
      <w:r w:rsidRPr="00AB71A5">
        <w:rPr>
          <w:lang w:eastAsia="fr-FR" w:bidi="fr-FR"/>
        </w:rPr>
        <w:t>ples-types de construction auto-enchâssée. Que l’on fasse maintenant intervenir que</w:t>
      </w:r>
      <w:r w:rsidRPr="00AB71A5">
        <w:rPr>
          <w:lang w:eastAsia="fr-FR" w:bidi="fr-FR"/>
        </w:rPr>
        <w:t>l</w:t>
      </w:r>
      <w:r w:rsidRPr="00AB71A5">
        <w:rPr>
          <w:lang w:eastAsia="fr-FR" w:bidi="fr-FR"/>
        </w:rPr>
        <w:t>ques-uns des résultats obtenus par Chomsky, et on pourra commencer de donner un contenu plus ident</w:t>
      </w:r>
      <w:r w:rsidRPr="00AB71A5">
        <w:rPr>
          <w:lang w:eastAsia="fr-FR" w:bidi="fr-FR"/>
        </w:rPr>
        <w:t>i</w:t>
      </w:r>
      <w:r w:rsidRPr="00AB71A5">
        <w:rPr>
          <w:lang w:eastAsia="fr-FR" w:bidi="fr-FR"/>
        </w:rPr>
        <w:t>fié à notre idée de saturation culturelle. Ces résultats sont les suivants. Chomsky a tro</w:t>
      </w:r>
      <w:r w:rsidRPr="00AB71A5">
        <w:rPr>
          <w:lang w:eastAsia="fr-FR" w:bidi="fr-FR"/>
        </w:rPr>
        <w:t>u</w:t>
      </w:r>
      <w:r w:rsidRPr="00AB71A5">
        <w:rPr>
          <w:lang w:eastAsia="fr-FR" w:bidi="fr-FR"/>
        </w:rPr>
        <w:t>vé : (1) que des e</w:t>
      </w:r>
      <w:r w:rsidRPr="00AB71A5">
        <w:rPr>
          <w:lang w:eastAsia="fr-FR" w:bidi="fr-FR"/>
        </w:rPr>
        <w:t>m</w:t>
      </w:r>
      <w:r w:rsidRPr="00AB71A5">
        <w:rPr>
          <w:lang w:eastAsia="fr-FR" w:bidi="fr-FR"/>
        </w:rPr>
        <w:t>boîtements répétés contribuent à rendre une phrase inacceptable (non-per</w:t>
      </w:r>
      <w:r>
        <w:rPr>
          <w:lang w:eastAsia="fr-FR" w:bidi="fr-FR"/>
        </w:rPr>
        <w:t>çue), (2) que l’au</w:t>
      </w:r>
      <w:r w:rsidRPr="00AB71A5">
        <w:rPr>
          <w:lang w:eastAsia="fr-FR" w:bidi="fr-FR"/>
        </w:rPr>
        <w:t>to-enchâssement contribue de façon plus radicale à l’inacceptabilité</w:t>
      </w:r>
      <w:r>
        <w:rPr>
          <w:lang w:eastAsia="fr-FR" w:bidi="fr-FR"/>
        </w:rPr>
        <w:t xml:space="preserve"> [109] </w:t>
      </w:r>
      <w:r w:rsidRPr="00AB71A5">
        <w:rPr>
          <w:lang w:eastAsia="fr-FR" w:bidi="fr-FR"/>
        </w:rPr>
        <w:t>et (3) que les constru</w:t>
      </w:r>
      <w:r w:rsidRPr="00AB71A5">
        <w:rPr>
          <w:lang w:eastAsia="fr-FR" w:bidi="fr-FR"/>
        </w:rPr>
        <w:t>c</w:t>
      </w:r>
      <w:r w:rsidRPr="00AB71A5">
        <w:rPr>
          <w:lang w:eastAsia="fr-FR" w:bidi="fr-FR"/>
        </w:rPr>
        <w:t>tions dites « à multiples embranchements » sont d’acceptation optim</w:t>
      </w:r>
      <w:r w:rsidRPr="00AB71A5">
        <w:rPr>
          <w:lang w:eastAsia="fr-FR" w:bidi="fr-FR"/>
        </w:rPr>
        <w:t>a</w:t>
      </w:r>
      <w:r w:rsidRPr="00AB71A5">
        <w:rPr>
          <w:lang w:eastAsia="fr-FR" w:bidi="fr-FR"/>
        </w:rPr>
        <w:t>le (un exemple de ce type de construction est donné par une phrase telle que « Kristeva, So</w:t>
      </w:r>
      <w:r w:rsidRPr="00AB71A5">
        <w:rPr>
          <w:lang w:eastAsia="fr-FR" w:bidi="fr-FR"/>
        </w:rPr>
        <w:t>l</w:t>
      </w:r>
      <w:r w:rsidRPr="00AB71A5">
        <w:rPr>
          <w:lang w:eastAsia="fr-FR" w:bidi="fr-FR"/>
        </w:rPr>
        <w:t>lers, Dante et Freud parlent de la Mère », et qui, on le voit, ne consiste qu’à aligner une suite de signifiants, Kri</w:t>
      </w:r>
      <w:r w:rsidRPr="00AB71A5">
        <w:rPr>
          <w:lang w:eastAsia="fr-FR" w:bidi="fr-FR"/>
        </w:rPr>
        <w:t>s</w:t>
      </w:r>
      <w:r w:rsidRPr="00AB71A5">
        <w:rPr>
          <w:lang w:eastAsia="fr-FR" w:bidi="fr-FR"/>
        </w:rPr>
        <w:t>teva, Sollers, Dante...) sans les lier par une autre structure que cette simple ju</w:t>
      </w:r>
      <w:r w:rsidRPr="00AB71A5">
        <w:rPr>
          <w:lang w:eastAsia="fr-FR" w:bidi="fr-FR"/>
        </w:rPr>
        <w:t>x</w:t>
      </w:r>
      <w:r w:rsidRPr="00AB71A5">
        <w:rPr>
          <w:lang w:eastAsia="fr-FR" w:bidi="fr-FR"/>
        </w:rPr>
        <w:t>taposition.</w:t>
      </w:r>
    </w:p>
    <w:p w:rsidR="00A9729B" w:rsidRPr="00AB71A5" w:rsidRDefault="00A9729B" w:rsidP="00A9729B">
      <w:pPr>
        <w:spacing w:before="120" w:after="120"/>
        <w:jc w:val="both"/>
      </w:pPr>
      <w:r w:rsidRPr="00AB71A5">
        <w:rPr>
          <w:lang w:eastAsia="fr-FR" w:bidi="fr-FR"/>
        </w:rPr>
        <w:t>S’il est vrai, donc, comme nous le croyons, qu’une propo</w:t>
      </w:r>
      <w:r w:rsidRPr="00AB71A5">
        <w:rPr>
          <w:lang w:eastAsia="fr-FR" w:bidi="fr-FR"/>
        </w:rPr>
        <w:t>r</w:t>
      </w:r>
      <w:r w:rsidRPr="00AB71A5">
        <w:rPr>
          <w:lang w:eastAsia="fr-FR" w:bidi="fr-FR"/>
        </w:rPr>
        <w:t>tion croissante des énoncés contemporains ont la forme de constructions auto-enchâssées, les résultats obtenus par Chom</w:t>
      </w:r>
      <w:r w:rsidRPr="00AB71A5">
        <w:rPr>
          <w:lang w:eastAsia="fr-FR" w:bidi="fr-FR"/>
        </w:rPr>
        <w:t>s</w:t>
      </w:r>
      <w:r w:rsidRPr="00AB71A5">
        <w:rPr>
          <w:lang w:eastAsia="fr-FR" w:bidi="fr-FR"/>
        </w:rPr>
        <w:t>ky nous donneraient à penser que l’acceptabilité de l’énoncé théorique contemporain d</w:t>
      </w:r>
      <w:r w:rsidRPr="00AB71A5">
        <w:rPr>
          <w:lang w:eastAsia="fr-FR" w:bidi="fr-FR"/>
        </w:rPr>
        <w:t>e</w:t>
      </w:r>
      <w:r w:rsidRPr="00AB71A5">
        <w:rPr>
          <w:lang w:eastAsia="fr-FR" w:bidi="fr-FR"/>
        </w:rPr>
        <w:t>vient de plus en plus problématique et que le discours à multiples e</w:t>
      </w:r>
      <w:r w:rsidRPr="00AB71A5">
        <w:rPr>
          <w:lang w:eastAsia="fr-FR" w:bidi="fr-FR"/>
        </w:rPr>
        <w:t>m</w:t>
      </w:r>
      <w:r w:rsidRPr="00AB71A5">
        <w:rPr>
          <w:lang w:eastAsia="fr-FR" w:bidi="fr-FR"/>
        </w:rPr>
        <w:t>branchements, dont l’exemple-limite est donné par l’index — simple e</w:t>
      </w:r>
      <w:r w:rsidRPr="00AB71A5">
        <w:rPr>
          <w:lang w:eastAsia="fr-FR" w:bidi="fr-FR"/>
        </w:rPr>
        <w:t>n</w:t>
      </w:r>
      <w:r w:rsidRPr="00AB71A5">
        <w:rPr>
          <w:lang w:eastAsia="fr-FR" w:bidi="fr-FR"/>
        </w:rPr>
        <w:t>semble de termes juxtaposés — occupera une place de plus en plus privilégiée dans notre culture. Ces conséquences, dont seule la form</w:t>
      </w:r>
      <w:r w:rsidRPr="00AB71A5">
        <w:rPr>
          <w:lang w:eastAsia="fr-FR" w:bidi="fr-FR"/>
        </w:rPr>
        <w:t>u</w:t>
      </w:r>
      <w:r w:rsidRPr="00AB71A5">
        <w:rPr>
          <w:lang w:eastAsia="fr-FR" w:bidi="fr-FR"/>
        </w:rPr>
        <w:t>lation peut paraître hétérodoxe n’ont rien pour nous su</w:t>
      </w:r>
      <w:r w:rsidRPr="00AB71A5">
        <w:rPr>
          <w:lang w:eastAsia="fr-FR" w:bidi="fr-FR"/>
        </w:rPr>
        <w:t>r</w:t>
      </w:r>
      <w:r w:rsidRPr="00AB71A5">
        <w:rPr>
          <w:lang w:eastAsia="fr-FR" w:bidi="fr-FR"/>
        </w:rPr>
        <w:t>prendre. On pourrait dire, en d’autres termes : notre futur sera plutôt celui du co</w:t>
      </w:r>
      <w:r w:rsidRPr="00AB71A5">
        <w:rPr>
          <w:lang w:eastAsia="fr-FR" w:bidi="fr-FR"/>
        </w:rPr>
        <w:t>m</w:t>
      </w:r>
      <w:r w:rsidRPr="00AB71A5">
        <w:rPr>
          <w:lang w:eastAsia="fr-FR" w:bidi="fr-FR"/>
        </w:rPr>
        <w:t>pilateur et de l’archiviste que celui de l’inventeur, plutôt celui du lex</w:t>
      </w:r>
      <w:r w:rsidRPr="00AB71A5">
        <w:rPr>
          <w:lang w:eastAsia="fr-FR" w:bidi="fr-FR"/>
        </w:rPr>
        <w:t>i</w:t>
      </w:r>
      <w:r w:rsidRPr="00AB71A5">
        <w:rPr>
          <w:lang w:eastAsia="fr-FR" w:bidi="fr-FR"/>
        </w:rPr>
        <w:t>cographe, que celui du prosateur.</w:t>
      </w:r>
    </w:p>
    <w:p w:rsidR="00A9729B" w:rsidRPr="00AB71A5" w:rsidRDefault="00A9729B" w:rsidP="00A9729B">
      <w:pPr>
        <w:spacing w:before="120" w:after="120"/>
        <w:jc w:val="both"/>
      </w:pPr>
      <w:r w:rsidRPr="00AB71A5">
        <w:rPr>
          <w:lang w:eastAsia="fr-FR" w:bidi="fr-FR"/>
        </w:rPr>
        <w:t>La notion d’acceptabilité que nous avons introdu</w:t>
      </w:r>
      <w:r w:rsidRPr="00AB71A5">
        <w:rPr>
          <w:lang w:eastAsia="fr-FR" w:bidi="fr-FR"/>
        </w:rPr>
        <w:t>i</w:t>
      </w:r>
      <w:r w:rsidRPr="00AB71A5">
        <w:rPr>
          <w:lang w:eastAsia="fr-FR" w:bidi="fr-FR"/>
        </w:rPr>
        <w:t>te plus haut, doit être précisée. Nous le ferons à l’aide d’un exemple, particuli</w:t>
      </w:r>
      <w:r w:rsidRPr="00AB71A5">
        <w:rPr>
          <w:lang w:eastAsia="fr-FR" w:bidi="fr-FR"/>
        </w:rPr>
        <w:t>è</w:t>
      </w:r>
      <w:r w:rsidRPr="00AB71A5">
        <w:rPr>
          <w:lang w:eastAsia="fr-FR" w:bidi="fr-FR"/>
        </w:rPr>
        <w:t>rement révélateur. Le type même, en effet, de la phrase « inacceptable » pou</w:t>
      </w:r>
      <w:r w:rsidRPr="00AB71A5">
        <w:rPr>
          <w:lang w:eastAsia="fr-FR" w:bidi="fr-FR"/>
        </w:rPr>
        <w:t>r</w:t>
      </w:r>
      <w:r w:rsidRPr="00AB71A5">
        <w:rPr>
          <w:lang w:eastAsia="fr-FR" w:bidi="fr-FR"/>
        </w:rPr>
        <w:t>rait être i</w:t>
      </w:r>
      <w:r w:rsidRPr="00AB71A5">
        <w:rPr>
          <w:lang w:eastAsia="fr-FR" w:bidi="fr-FR"/>
        </w:rPr>
        <w:t>l</w:t>
      </w:r>
      <w:r w:rsidRPr="00AB71A5">
        <w:rPr>
          <w:lang w:eastAsia="fr-FR" w:bidi="fr-FR"/>
        </w:rPr>
        <w:t>lustré par l’exemple suivant : « le fils de la femme de l’unique frère de mon grand-oncle paternel est malade » qui, remar- quons-le, est structuré par une série d’auto-enchâssements. Cette ina</w:t>
      </w:r>
      <w:r w:rsidRPr="00AB71A5">
        <w:rPr>
          <w:lang w:eastAsia="fr-FR" w:bidi="fr-FR"/>
        </w:rPr>
        <w:t>c</w:t>
      </w:r>
      <w:r w:rsidRPr="00AB71A5">
        <w:rPr>
          <w:lang w:eastAsia="fr-FR" w:bidi="fr-FR"/>
        </w:rPr>
        <w:t>ceptabilité peut être triplement cara</w:t>
      </w:r>
      <w:r w:rsidRPr="00AB71A5">
        <w:rPr>
          <w:lang w:eastAsia="fr-FR" w:bidi="fr-FR"/>
        </w:rPr>
        <w:t>c</w:t>
      </w:r>
      <w:r w:rsidRPr="00AB71A5">
        <w:rPr>
          <w:lang w:eastAsia="fr-FR" w:bidi="fr-FR"/>
        </w:rPr>
        <w:t>térisée. De façon intuitive, on dira que la phrase précédente est inacceptable de ce qu’on n’arrive pas à percevoir — ou très difficil</w:t>
      </w:r>
      <w:r w:rsidRPr="00AB71A5">
        <w:rPr>
          <w:lang w:eastAsia="fr-FR" w:bidi="fr-FR"/>
        </w:rPr>
        <w:t>e</w:t>
      </w:r>
      <w:r w:rsidRPr="00AB71A5">
        <w:rPr>
          <w:lang w:eastAsia="fr-FR" w:bidi="fr-FR"/>
        </w:rPr>
        <w:t xml:space="preserve">ment — à quel objet elle réfère (i.e. au </w:t>
      </w:r>
      <w:r w:rsidRPr="00AB71A5">
        <w:t>père</w:t>
      </w:r>
      <w:r w:rsidRPr="00AB71A5">
        <w:rPr>
          <w:lang w:eastAsia="fr-FR" w:bidi="fr-FR"/>
        </w:rPr>
        <w:t xml:space="preserve"> du loc</w:t>
      </w:r>
      <w:r w:rsidRPr="00AB71A5">
        <w:rPr>
          <w:lang w:eastAsia="fr-FR" w:bidi="fr-FR"/>
        </w:rPr>
        <w:t>u</w:t>
      </w:r>
      <w:r w:rsidRPr="00AB71A5">
        <w:rPr>
          <w:lang w:eastAsia="fr-FR" w:bidi="fr-FR"/>
        </w:rPr>
        <w:t>teur, dans notre exemple). De façon plus sophistiquée — qui connote le champ de l’informatique — on dira qu’il y a ici un échec à la communication : l’information (le message) encodée n’est pas, ou difficilement, perçue (i.e. « mon père est malade »). Par impl</w:t>
      </w:r>
      <w:r w:rsidRPr="00AB71A5">
        <w:rPr>
          <w:lang w:eastAsia="fr-FR" w:bidi="fr-FR"/>
        </w:rPr>
        <w:t>i</w:t>
      </w:r>
      <w:r w:rsidRPr="00AB71A5">
        <w:rPr>
          <w:lang w:eastAsia="fr-FR" w:bidi="fr-FR"/>
        </w:rPr>
        <w:t>cation, on ajoutera que ce type d’inacceptabilité est relatif à un sujet décodeur de message et pour lequel certains de leurs v</w:t>
      </w:r>
      <w:r w:rsidRPr="00AB71A5">
        <w:rPr>
          <w:lang w:eastAsia="fr-FR" w:bidi="fr-FR"/>
        </w:rPr>
        <w:t>é</w:t>
      </w:r>
      <w:r w:rsidRPr="00AB71A5">
        <w:rPr>
          <w:lang w:eastAsia="fr-FR" w:bidi="fr-FR"/>
        </w:rPr>
        <w:t>hicules sont inacceptables.</w:t>
      </w:r>
    </w:p>
    <w:p w:rsidR="00A9729B" w:rsidRPr="00AB71A5" w:rsidRDefault="00A9729B" w:rsidP="00A9729B">
      <w:pPr>
        <w:spacing w:before="120" w:after="120"/>
        <w:jc w:val="both"/>
      </w:pPr>
      <w:r w:rsidRPr="00AB71A5">
        <w:rPr>
          <w:lang w:eastAsia="fr-FR" w:bidi="fr-FR"/>
        </w:rPr>
        <w:t>D’où un premier sens à l’expression de saturation cult</w:t>
      </w:r>
      <w:r w:rsidRPr="00AB71A5">
        <w:rPr>
          <w:lang w:eastAsia="fr-FR" w:bidi="fr-FR"/>
        </w:rPr>
        <w:t>u</w:t>
      </w:r>
      <w:r w:rsidRPr="00AB71A5">
        <w:rPr>
          <w:lang w:eastAsia="fr-FR" w:bidi="fr-FR"/>
        </w:rPr>
        <w:t>relle : le seuil au-delà duquel un accroissement du réseau emboîté des médi</w:t>
      </w:r>
      <w:r w:rsidRPr="00AB71A5">
        <w:rPr>
          <w:lang w:eastAsia="fr-FR" w:bidi="fr-FR"/>
        </w:rPr>
        <w:t>a</w:t>
      </w:r>
      <w:r w:rsidRPr="00AB71A5">
        <w:rPr>
          <w:lang w:eastAsia="fr-FR" w:bidi="fr-FR"/>
        </w:rPr>
        <w:t>tions que déroule un énoncé, a pour résultat de pulv</w:t>
      </w:r>
      <w:r w:rsidRPr="00AB71A5">
        <w:rPr>
          <w:lang w:eastAsia="fr-FR" w:bidi="fr-FR"/>
        </w:rPr>
        <w:t>é</w:t>
      </w:r>
      <w:r w:rsidRPr="00AB71A5">
        <w:rPr>
          <w:lang w:eastAsia="fr-FR" w:bidi="fr-FR"/>
        </w:rPr>
        <w:t>riser le message que cet énoncé veut transmettre. Cette dernière propos</w:t>
      </w:r>
      <w:r w:rsidRPr="00AB71A5">
        <w:rPr>
          <w:lang w:eastAsia="fr-FR" w:bidi="fr-FR"/>
        </w:rPr>
        <w:t>i</w:t>
      </w:r>
      <w:r w:rsidRPr="00AB71A5">
        <w:rPr>
          <w:lang w:eastAsia="fr-FR" w:bidi="fr-FR"/>
        </w:rPr>
        <w:t>tion devrait</w:t>
      </w:r>
      <w:r>
        <w:rPr>
          <w:lang w:eastAsia="fr-FR" w:bidi="fr-FR"/>
        </w:rPr>
        <w:t xml:space="preserve"> [110] </w:t>
      </w:r>
      <w:r w:rsidRPr="00AB71A5">
        <w:rPr>
          <w:lang w:eastAsia="fr-FR" w:bidi="fr-FR"/>
        </w:rPr>
        <w:t>évidemment faire l’objet d’un grand nombre d’ajustements, que nous devrons nous résoudre à fa</w:t>
      </w:r>
      <w:r w:rsidRPr="00AB71A5">
        <w:rPr>
          <w:lang w:eastAsia="fr-FR" w:bidi="fr-FR"/>
        </w:rPr>
        <w:t>i</w:t>
      </w:r>
      <w:r w:rsidRPr="00AB71A5">
        <w:rPr>
          <w:lang w:eastAsia="fr-FR" w:bidi="fr-FR"/>
        </w:rPr>
        <w:t>re ailleurs. Pour ce texte-ci parons au plus pressé :</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Pr>
          <w:lang w:eastAsia="fr-FR" w:bidi="fr-FR"/>
        </w:rPr>
        <w:t xml:space="preserve">(1)  </w:t>
      </w:r>
      <w:r w:rsidRPr="00AB71A5">
        <w:rPr>
          <w:lang w:eastAsia="fr-FR" w:bidi="fr-FR"/>
        </w:rPr>
        <w:t>— Rappelons d’abord que le concept de saturation est un de ceux qui sont le plus propres à engendrer une façon de frustr</w:t>
      </w:r>
      <w:r w:rsidRPr="00AB71A5">
        <w:rPr>
          <w:lang w:eastAsia="fr-FR" w:bidi="fr-FR"/>
        </w:rPr>
        <w:t>a</w:t>
      </w:r>
      <w:r w:rsidRPr="00AB71A5">
        <w:rPr>
          <w:lang w:eastAsia="fr-FR" w:bidi="fr-FR"/>
        </w:rPr>
        <w:t xml:space="preserve">tion épistémologique. Ce concept est en effet essentiellement </w:t>
      </w:r>
      <w:r w:rsidRPr="00CD7B05">
        <w:rPr>
          <w:i/>
        </w:rPr>
        <w:t>de</w:t>
      </w:r>
      <w:r w:rsidRPr="00CD7B05">
        <w:rPr>
          <w:i/>
        </w:rPr>
        <w:t>s</w:t>
      </w:r>
      <w:r w:rsidRPr="00CD7B05">
        <w:rPr>
          <w:i/>
        </w:rPr>
        <w:t>criptif</w:t>
      </w:r>
      <w:r w:rsidRPr="00AB71A5">
        <w:t xml:space="preserve"> </w:t>
      </w:r>
      <w:r w:rsidRPr="00AB71A5">
        <w:rPr>
          <w:lang w:eastAsia="fr-FR" w:bidi="fr-FR"/>
        </w:rPr>
        <w:t>d’une situation caractér</w:t>
      </w:r>
      <w:r w:rsidRPr="00AB71A5">
        <w:rPr>
          <w:lang w:eastAsia="fr-FR" w:bidi="fr-FR"/>
        </w:rPr>
        <w:t>i</w:t>
      </w:r>
      <w:r w:rsidRPr="00AB71A5">
        <w:rPr>
          <w:lang w:eastAsia="fr-FR" w:bidi="fr-FR"/>
        </w:rPr>
        <w:t xml:space="preserve">sée par le plafonnement d’une courbe de croissance et par son allongement sur l’horizontale d’un graphique, alors que l’on attendrait une </w:t>
      </w:r>
      <w:r w:rsidRPr="00AB71A5">
        <w:t>explic</w:t>
      </w:r>
      <w:r w:rsidRPr="00AB71A5">
        <w:t>a</w:t>
      </w:r>
      <w:r w:rsidRPr="00AB71A5">
        <w:t>tion</w:t>
      </w:r>
      <w:r w:rsidRPr="00AB71A5">
        <w:rPr>
          <w:lang w:eastAsia="fr-FR" w:bidi="fr-FR"/>
        </w:rPr>
        <w:t xml:space="preserve"> de ce phénomène, que le concept se limite à décrire. La démarche de Solia Price</w:t>
      </w:r>
      <w:r>
        <w:rPr>
          <w:lang w:eastAsia="fr-FR" w:bidi="fr-FR"/>
        </w:rPr>
        <w:t> </w:t>
      </w:r>
      <w:r>
        <w:rPr>
          <w:rStyle w:val="Appelnotedebasdep"/>
          <w:lang w:eastAsia="fr-FR" w:bidi="fr-FR"/>
        </w:rPr>
        <w:footnoteReference w:customMarkFollows="1" w:id="25"/>
        <w:t>J</w:t>
      </w:r>
      <w:r w:rsidRPr="00AB71A5">
        <w:rPr>
          <w:lang w:eastAsia="fr-FR" w:bidi="fr-FR"/>
        </w:rPr>
        <w:t xml:space="preserve">, dans </w:t>
      </w:r>
      <w:r w:rsidRPr="00CD7B05">
        <w:rPr>
          <w:i/>
        </w:rPr>
        <w:t>Science Since Babylon</w:t>
      </w:r>
      <w:r w:rsidRPr="00AB71A5">
        <w:rPr>
          <w:lang w:eastAsia="fr-FR" w:bidi="fr-FR"/>
        </w:rPr>
        <w:t xml:space="preserve"> est à cet égard caractéristique. Price prévoit une satur</w:t>
      </w:r>
      <w:r w:rsidRPr="00AB71A5">
        <w:rPr>
          <w:lang w:eastAsia="fr-FR" w:bidi="fr-FR"/>
        </w:rPr>
        <w:t>a</w:t>
      </w:r>
      <w:r w:rsidRPr="00AB71A5">
        <w:rPr>
          <w:lang w:eastAsia="fr-FR" w:bidi="fr-FR"/>
        </w:rPr>
        <w:t>tion prochaine de la production scientifique sur la base des pr</w:t>
      </w:r>
      <w:r w:rsidRPr="00AB71A5">
        <w:rPr>
          <w:lang w:eastAsia="fr-FR" w:bidi="fr-FR"/>
        </w:rPr>
        <w:t>o</w:t>
      </w:r>
      <w:r w:rsidRPr="00AB71A5">
        <w:rPr>
          <w:lang w:eastAsia="fr-FR" w:bidi="fr-FR"/>
        </w:rPr>
        <w:t>priétés reconnues de ce</w:t>
      </w:r>
      <w:r w:rsidRPr="00AB71A5">
        <w:rPr>
          <w:lang w:eastAsia="fr-FR" w:bidi="fr-FR"/>
        </w:rPr>
        <w:t>r</w:t>
      </w:r>
      <w:r w:rsidRPr="00AB71A5">
        <w:rPr>
          <w:lang w:eastAsia="fr-FR" w:bidi="fr-FR"/>
        </w:rPr>
        <w:t>taines courbes statistiques, de s’infléchir après avoir représenté un indice de croissance déterminé. Nulle explication n’est cependant amenée de ce phénom</w:t>
      </w:r>
      <w:r w:rsidRPr="00AB71A5">
        <w:rPr>
          <w:lang w:eastAsia="fr-FR" w:bidi="fr-FR"/>
        </w:rPr>
        <w:t>è</w:t>
      </w:r>
      <w:r w:rsidRPr="00AB71A5">
        <w:rPr>
          <w:lang w:eastAsia="fr-FR" w:bidi="fr-FR"/>
        </w:rPr>
        <w:t>ne.</w:t>
      </w:r>
    </w:p>
    <w:p w:rsidR="00A9729B" w:rsidRPr="00AB71A5" w:rsidRDefault="00A9729B" w:rsidP="00A9729B">
      <w:pPr>
        <w:spacing w:before="120" w:after="120"/>
        <w:jc w:val="both"/>
      </w:pPr>
      <w:r>
        <w:rPr>
          <w:lang w:eastAsia="fr-FR" w:bidi="fr-FR"/>
        </w:rPr>
        <w:t xml:space="preserve">(2)  </w:t>
      </w:r>
      <w:r w:rsidRPr="00AB71A5">
        <w:rPr>
          <w:lang w:eastAsia="fr-FR" w:bidi="fr-FR"/>
        </w:rPr>
        <w:t>— J’ajoute maintenant que le seuil dont il a été plus haut que</w:t>
      </w:r>
      <w:r w:rsidRPr="00AB71A5">
        <w:rPr>
          <w:lang w:eastAsia="fr-FR" w:bidi="fr-FR"/>
        </w:rPr>
        <w:t>s</w:t>
      </w:r>
      <w:r w:rsidRPr="00AB71A5">
        <w:rPr>
          <w:lang w:eastAsia="fr-FR" w:bidi="fr-FR"/>
        </w:rPr>
        <w:t>tion ne doit d’aucune façon être conçu comme une ligne dont on pou</w:t>
      </w:r>
      <w:r w:rsidRPr="00AB71A5">
        <w:rPr>
          <w:lang w:eastAsia="fr-FR" w:bidi="fr-FR"/>
        </w:rPr>
        <w:t>r</w:t>
      </w:r>
      <w:r w:rsidRPr="00AB71A5">
        <w:rPr>
          <w:lang w:eastAsia="fr-FR" w:bidi="fr-FR"/>
        </w:rPr>
        <w:t>rait tirer avec précision le fil, sous la forme d’une règle a</w:t>
      </w:r>
      <w:r w:rsidRPr="00AB71A5">
        <w:rPr>
          <w:lang w:eastAsia="fr-FR" w:bidi="fr-FR"/>
        </w:rPr>
        <w:t>b</w:t>
      </w:r>
      <w:r w:rsidRPr="00AB71A5">
        <w:rPr>
          <w:lang w:eastAsia="fr-FR" w:bidi="fr-FR"/>
        </w:rPr>
        <w:t>surde, du genre « au-delà de trois emboîtements, l’énoncé n’est plus accept</w:t>
      </w:r>
      <w:r w:rsidRPr="00AB71A5">
        <w:rPr>
          <w:lang w:eastAsia="fr-FR" w:bidi="fr-FR"/>
        </w:rPr>
        <w:t>a</w:t>
      </w:r>
      <w:r w:rsidRPr="00AB71A5">
        <w:rPr>
          <w:lang w:eastAsia="fr-FR" w:bidi="fr-FR"/>
        </w:rPr>
        <w:t>ble ». Il s’agit plutôt d’une zone de profondeur vari</w:t>
      </w:r>
      <w:r w:rsidRPr="00AB71A5">
        <w:rPr>
          <w:lang w:eastAsia="fr-FR" w:bidi="fr-FR"/>
        </w:rPr>
        <w:t>a</w:t>
      </w:r>
      <w:r w:rsidRPr="00AB71A5">
        <w:rPr>
          <w:lang w:eastAsia="fr-FR" w:bidi="fr-FR"/>
        </w:rPr>
        <w:t>ble — sensible à la différence des sujets : concevoir le mouvement à travers un Gal</w:t>
      </w:r>
      <w:r w:rsidRPr="00AB71A5">
        <w:rPr>
          <w:lang w:eastAsia="fr-FR" w:bidi="fr-FR"/>
        </w:rPr>
        <w:t>i</w:t>
      </w:r>
      <w:r w:rsidRPr="00AB71A5">
        <w:rPr>
          <w:lang w:eastAsia="fr-FR" w:bidi="fr-FR"/>
        </w:rPr>
        <w:t>lée revu par Newton peut constituer une op</w:t>
      </w:r>
      <w:r w:rsidRPr="00AB71A5">
        <w:rPr>
          <w:lang w:eastAsia="fr-FR" w:bidi="fr-FR"/>
        </w:rPr>
        <w:t>é</w:t>
      </w:r>
      <w:r w:rsidRPr="00AB71A5">
        <w:rPr>
          <w:lang w:eastAsia="fr-FR" w:bidi="fr-FR"/>
        </w:rPr>
        <w:t>ration élémentaire pour un physicien et cependant l’amener à produire des énoncés parfait</w:t>
      </w:r>
      <w:r w:rsidRPr="00AB71A5">
        <w:rPr>
          <w:lang w:eastAsia="fr-FR" w:bidi="fr-FR"/>
        </w:rPr>
        <w:t>e</w:t>
      </w:r>
      <w:r w:rsidRPr="00AB71A5">
        <w:rPr>
          <w:lang w:eastAsia="fr-FR" w:bidi="fr-FR"/>
        </w:rPr>
        <w:t>ment saturés pour un produit des Facultés de Lettres — où la communic</w:t>
      </w:r>
      <w:r w:rsidRPr="00AB71A5">
        <w:rPr>
          <w:lang w:eastAsia="fr-FR" w:bidi="fr-FR"/>
        </w:rPr>
        <w:t>a</w:t>
      </w:r>
      <w:r w:rsidRPr="00AB71A5">
        <w:rPr>
          <w:lang w:eastAsia="fr-FR" w:bidi="fr-FR"/>
        </w:rPr>
        <w:t>tion menace de ca</w:t>
      </w:r>
      <w:r w:rsidRPr="00AB71A5">
        <w:rPr>
          <w:lang w:eastAsia="fr-FR" w:bidi="fr-FR"/>
        </w:rPr>
        <w:t>s</w:t>
      </w:r>
      <w:r w:rsidRPr="00AB71A5">
        <w:rPr>
          <w:lang w:eastAsia="fr-FR" w:bidi="fr-FR"/>
        </w:rPr>
        <w:t>ser, dont on ne peut donner la mesure exacte mais dont on peut assez bien percevoir quand on l’a quittée pour entrer dans la saturation. Tenter d’évaluer — serait-ce de façon grossièr</w:t>
      </w:r>
      <w:r w:rsidRPr="00AB71A5">
        <w:rPr>
          <w:lang w:eastAsia="fr-FR" w:bidi="fr-FR"/>
        </w:rPr>
        <w:t>e</w:t>
      </w:r>
      <w:r w:rsidRPr="00AB71A5">
        <w:rPr>
          <w:lang w:eastAsia="fr-FR" w:bidi="fr-FR"/>
        </w:rPr>
        <w:t>ment approximative — quels seraient les seuils de saturation pour d</w:t>
      </w:r>
      <w:r w:rsidRPr="00AB71A5">
        <w:rPr>
          <w:lang w:eastAsia="fr-FR" w:bidi="fr-FR"/>
        </w:rPr>
        <w:t>i</w:t>
      </w:r>
      <w:r w:rsidRPr="00AB71A5">
        <w:rPr>
          <w:lang w:eastAsia="fr-FR" w:bidi="fr-FR"/>
        </w:rPr>
        <w:t>vers groupements d’individus nous semblerait une tâche épistémol</w:t>
      </w:r>
      <w:r w:rsidRPr="00AB71A5">
        <w:rPr>
          <w:lang w:eastAsia="fr-FR" w:bidi="fr-FR"/>
        </w:rPr>
        <w:t>o</w:t>
      </w:r>
      <w:r w:rsidRPr="00AB71A5">
        <w:rPr>
          <w:lang w:eastAsia="fr-FR" w:bidi="fr-FR"/>
        </w:rPr>
        <w:t>gique à certains égards urgente : on pourrait penser qu’il y va de la survie de ce qui s’est cru e</w:t>
      </w:r>
      <w:r w:rsidRPr="00AB71A5">
        <w:rPr>
          <w:lang w:eastAsia="fr-FR" w:bidi="fr-FR"/>
        </w:rPr>
        <w:t>n</w:t>
      </w:r>
      <w:r w:rsidRPr="00AB71A5">
        <w:rPr>
          <w:lang w:eastAsia="fr-FR" w:bidi="fr-FR"/>
        </w:rPr>
        <w:t>seignement et éducation.</w:t>
      </w:r>
    </w:p>
    <w:p w:rsidR="00A9729B" w:rsidRPr="00AB71A5" w:rsidRDefault="00A9729B" w:rsidP="00A9729B">
      <w:pPr>
        <w:spacing w:before="120" w:after="120"/>
        <w:jc w:val="both"/>
      </w:pPr>
      <w:r>
        <w:rPr>
          <w:lang w:eastAsia="fr-FR" w:bidi="fr-FR"/>
        </w:rPr>
        <w:t xml:space="preserve">(3) </w:t>
      </w:r>
      <w:r w:rsidRPr="00AB71A5">
        <w:rPr>
          <w:lang w:eastAsia="fr-FR" w:bidi="fr-FR"/>
        </w:rPr>
        <w:t>— Si dans sa littéralité, la notion de saturation culturelle n’est pas exempte de difficultés, elle nous semble opportune pour ce qu’elle pointe vers des phénomènes dont il faudra se réso</w:t>
      </w:r>
      <w:r w:rsidRPr="00AB71A5">
        <w:rPr>
          <w:lang w:eastAsia="fr-FR" w:bidi="fr-FR"/>
        </w:rPr>
        <w:t>u</w:t>
      </w:r>
      <w:r w:rsidRPr="00AB71A5">
        <w:rPr>
          <w:lang w:eastAsia="fr-FR" w:bidi="fr-FR"/>
        </w:rPr>
        <w:t>dre à admettre qu’ils existent et qu’ils sont opérants. Un exe</w:t>
      </w:r>
      <w:r w:rsidRPr="00AB71A5">
        <w:rPr>
          <w:lang w:eastAsia="fr-FR" w:bidi="fr-FR"/>
        </w:rPr>
        <w:t>m</w:t>
      </w:r>
      <w:r w:rsidRPr="00AB71A5">
        <w:rPr>
          <w:lang w:eastAsia="fr-FR" w:bidi="fr-FR"/>
        </w:rPr>
        <w:t>ple : rien n’est plus instructif que de suivre les développ</w:t>
      </w:r>
      <w:r w:rsidRPr="00AB71A5">
        <w:rPr>
          <w:lang w:eastAsia="fr-FR" w:bidi="fr-FR"/>
        </w:rPr>
        <w:t>e</w:t>
      </w:r>
      <w:r w:rsidRPr="00AB71A5">
        <w:rPr>
          <w:lang w:eastAsia="fr-FR" w:bidi="fr-FR"/>
        </w:rPr>
        <w:t>ments de l’exégèse d’un « grand auteur ». Cet examen nous laisse conste</w:t>
      </w:r>
      <w:r w:rsidRPr="00AB71A5">
        <w:rPr>
          <w:lang w:eastAsia="fr-FR" w:bidi="fr-FR"/>
        </w:rPr>
        <w:t>r</w:t>
      </w:r>
      <w:r w:rsidRPr="00AB71A5">
        <w:rPr>
          <w:lang w:eastAsia="fr-FR" w:bidi="fr-FR"/>
        </w:rPr>
        <w:t>nés de voir qu’une œuvre const</w:t>
      </w:r>
      <w:r w:rsidRPr="00AB71A5">
        <w:rPr>
          <w:lang w:eastAsia="fr-FR" w:bidi="fr-FR"/>
        </w:rPr>
        <w:t>i</w:t>
      </w:r>
      <w:r w:rsidRPr="00AB71A5">
        <w:rPr>
          <w:lang w:eastAsia="fr-FR" w:bidi="fr-FR"/>
        </w:rPr>
        <w:t>tue un champ à la fois si exempt et si chargé de clôtures</w:t>
      </w:r>
      <w:r>
        <w:rPr>
          <w:lang w:eastAsia="fr-FR" w:bidi="fr-FR"/>
        </w:rPr>
        <w:t xml:space="preserve"> [111] </w:t>
      </w:r>
      <w:r w:rsidRPr="00AB71A5">
        <w:rPr>
          <w:lang w:eastAsia="fr-FR" w:bidi="fr-FR"/>
        </w:rPr>
        <w:t>qu’un ensemble d’interprètes accrédités peuvent s’accuser l’un l’autre de ne pas y habiter. Or si tel est le lot de l’exégèse, qui n’est rien d’autre qu’un décodage averti, qu’elle n’est pas l’errance de notre pr</w:t>
      </w:r>
      <w:r w:rsidRPr="00AB71A5">
        <w:rPr>
          <w:lang w:eastAsia="fr-FR" w:bidi="fr-FR"/>
        </w:rPr>
        <w:t>a</w:t>
      </w:r>
      <w:r w:rsidRPr="00AB71A5">
        <w:rPr>
          <w:lang w:eastAsia="fr-FR" w:bidi="fr-FR"/>
        </w:rPr>
        <w:t>tique quotidienne où l’enchevêtrement et la profusion des mess</w:t>
      </w:r>
      <w:r w:rsidRPr="00AB71A5">
        <w:rPr>
          <w:lang w:eastAsia="fr-FR" w:bidi="fr-FR"/>
        </w:rPr>
        <w:t>a</w:t>
      </w:r>
      <w:r w:rsidRPr="00AB71A5">
        <w:rPr>
          <w:lang w:eastAsia="fr-FR" w:bidi="fr-FR"/>
        </w:rPr>
        <w:t>ges fait de nous des décodeurs affolés.</w:t>
      </w:r>
    </w:p>
    <w:p w:rsidR="00A9729B" w:rsidRPr="00AB71A5" w:rsidRDefault="00A9729B" w:rsidP="00A9729B">
      <w:pPr>
        <w:spacing w:before="120" w:after="120"/>
        <w:jc w:val="both"/>
      </w:pPr>
      <w:r w:rsidRPr="00AB71A5">
        <w:rPr>
          <w:lang w:eastAsia="fr-FR" w:bidi="fr-FR"/>
        </w:rPr>
        <w:t>Ce dernier constat est banal et j’essaierai d’en atténuer la gén</w:t>
      </w:r>
      <w:r w:rsidRPr="00AB71A5">
        <w:rPr>
          <w:lang w:eastAsia="fr-FR" w:bidi="fr-FR"/>
        </w:rPr>
        <w:t>é</w:t>
      </w:r>
      <w:r w:rsidRPr="00AB71A5">
        <w:rPr>
          <w:lang w:eastAsia="fr-FR" w:bidi="fr-FR"/>
        </w:rPr>
        <w:t>ralité en alignant une série de cond</w:t>
      </w:r>
      <w:r w:rsidRPr="00AB71A5">
        <w:rPr>
          <w:lang w:eastAsia="fr-FR" w:bidi="fr-FR"/>
        </w:rPr>
        <w:t>i</w:t>
      </w:r>
      <w:r w:rsidRPr="00AB71A5">
        <w:rPr>
          <w:lang w:eastAsia="fr-FR" w:bidi="fr-FR"/>
        </w:rPr>
        <w:t>tions qui, si elles ne sont pas respectées peuvent entraîner une déperdition de l’information et même un r</w:t>
      </w:r>
      <w:r w:rsidRPr="00AB71A5">
        <w:rPr>
          <w:lang w:eastAsia="fr-FR" w:bidi="fr-FR"/>
        </w:rPr>
        <w:t>e</w:t>
      </w:r>
      <w:r w:rsidRPr="00AB71A5">
        <w:rPr>
          <w:lang w:eastAsia="fr-FR" w:bidi="fr-FR"/>
        </w:rPr>
        <w:t>tournement du message. Pour certaines d’entre elles je m’inspirerai des travaux d’Umberto Eco</w:t>
      </w:r>
      <w:r>
        <w:rPr>
          <w:lang w:eastAsia="fr-FR" w:bidi="fr-FR"/>
        </w:rPr>
        <w:t> </w:t>
      </w:r>
      <w:r>
        <w:rPr>
          <w:rStyle w:val="Appelnotedebasdep"/>
          <w:lang w:eastAsia="fr-FR" w:bidi="fr-FR"/>
        </w:rPr>
        <w:footnoteReference w:customMarkFollows="1" w:id="26"/>
        <w:t>K</w:t>
      </w:r>
      <w:r>
        <w:rPr>
          <w:lang w:eastAsia="fr-FR" w:bidi="fr-FR"/>
        </w:rPr>
        <w:t xml:space="preserve"> et d’un article que j’ai moi-</w:t>
      </w:r>
      <w:r w:rsidRPr="00AB71A5">
        <w:rPr>
          <w:lang w:eastAsia="fr-FR" w:bidi="fr-FR"/>
        </w:rPr>
        <w:t>même p</w:t>
      </w:r>
      <w:r w:rsidRPr="00AB71A5">
        <w:rPr>
          <w:lang w:eastAsia="fr-FR" w:bidi="fr-FR"/>
        </w:rPr>
        <w:t>u</w:t>
      </w:r>
      <w:r w:rsidRPr="00AB71A5">
        <w:rPr>
          <w:lang w:eastAsia="fr-FR" w:bidi="fr-FR"/>
        </w:rPr>
        <w:t>blié, où je fais des constatations assez se</w:t>
      </w:r>
      <w:r w:rsidRPr="00AB71A5">
        <w:rPr>
          <w:lang w:eastAsia="fr-FR" w:bidi="fr-FR"/>
        </w:rPr>
        <w:t>m</w:t>
      </w:r>
      <w:r w:rsidRPr="00AB71A5">
        <w:rPr>
          <w:lang w:eastAsia="fr-FR" w:bidi="fr-FR"/>
        </w:rPr>
        <w:t>blables aux siennes. Le nombre de ces conditions est, à la lumière des pages qui précèdent, tell</w:t>
      </w:r>
      <w:r w:rsidRPr="00AB71A5">
        <w:rPr>
          <w:lang w:eastAsia="fr-FR" w:bidi="fr-FR"/>
        </w:rPr>
        <w:t>e</w:t>
      </w:r>
      <w:r w:rsidRPr="00AB71A5">
        <w:rPr>
          <w:lang w:eastAsia="fr-FR" w:bidi="fr-FR"/>
        </w:rPr>
        <w:t>ment élevé qu’on est en droit de s’étonner qu’il advienne parfois quelque chose qui ressemble à une communication. Je répartirai ces conditions en trois classes.</w:t>
      </w:r>
    </w:p>
    <w:p w:rsidR="00A9729B" w:rsidRPr="00AB71A5" w:rsidRDefault="00A9729B" w:rsidP="00A9729B">
      <w:pPr>
        <w:spacing w:before="120" w:after="120"/>
        <w:jc w:val="both"/>
      </w:pPr>
      <w:r w:rsidRPr="00AB71A5">
        <w:rPr>
          <w:lang w:eastAsia="fr-FR" w:bidi="fr-FR"/>
        </w:rPr>
        <w:t>A — Celles qui affectent le signifiant dans ses réalisations mat</w:t>
      </w:r>
      <w:r w:rsidRPr="00AB71A5">
        <w:rPr>
          <w:lang w:eastAsia="fr-FR" w:bidi="fr-FR"/>
        </w:rPr>
        <w:t>é</w:t>
      </w:r>
      <w:r w:rsidRPr="00AB71A5">
        <w:rPr>
          <w:lang w:eastAsia="fr-FR" w:bidi="fr-FR"/>
        </w:rPr>
        <w:t>rielles, B — celles qui affe</w:t>
      </w:r>
      <w:r w:rsidRPr="00AB71A5">
        <w:rPr>
          <w:lang w:eastAsia="fr-FR" w:bidi="fr-FR"/>
        </w:rPr>
        <w:t>c</w:t>
      </w:r>
      <w:r w:rsidRPr="00AB71A5">
        <w:rPr>
          <w:lang w:eastAsia="fr-FR" w:bidi="fr-FR"/>
        </w:rPr>
        <w:t>tent, de façon simple, le signifié, et C — des conditions que j’appellerai pour faire court, récurrentes et qui a</w:t>
      </w:r>
      <w:r w:rsidRPr="00AB71A5">
        <w:rPr>
          <w:lang w:eastAsia="fr-FR" w:bidi="fr-FR"/>
        </w:rPr>
        <w:t>f</w:t>
      </w:r>
      <w:r w:rsidRPr="00AB71A5">
        <w:rPr>
          <w:lang w:eastAsia="fr-FR" w:bidi="fr-FR"/>
        </w:rPr>
        <w:t>fe</w:t>
      </w:r>
      <w:r w:rsidRPr="00AB71A5">
        <w:rPr>
          <w:lang w:eastAsia="fr-FR" w:bidi="fr-FR"/>
        </w:rPr>
        <w:t>c</w:t>
      </w:r>
      <w:r w:rsidRPr="00AB71A5">
        <w:rPr>
          <w:lang w:eastAsia="fr-FR" w:bidi="fr-FR"/>
        </w:rPr>
        <w:t>tent autant le signifié que le signifiant.</w:t>
      </w:r>
    </w:p>
    <w:p w:rsidR="00A9729B" w:rsidRDefault="00A9729B" w:rsidP="00A9729B">
      <w:pPr>
        <w:spacing w:before="120" w:after="120"/>
        <w:jc w:val="both"/>
      </w:pPr>
    </w:p>
    <w:p w:rsidR="00A9729B" w:rsidRPr="00AB71A5" w:rsidRDefault="00A9729B" w:rsidP="00A9729B">
      <w:pPr>
        <w:spacing w:before="120" w:after="120"/>
        <w:jc w:val="both"/>
      </w:pPr>
      <w:r w:rsidRPr="00AB71A5">
        <w:t xml:space="preserve">A — </w:t>
      </w:r>
      <w:r w:rsidRPr="00D021A3">
        <w:rPr>
          <w:i/>
          <w:color w:val="000090"/>
          <w:lang w:eastAsia="fr-FR" w:bidi="fr-FR"/>
        </w:rPr>
        <w:t>Conditions affectant le signifiant</w:t>
      </w:r>
    </w:p>
    <w:p w:rsidR="00A9729B" w:rsidRDefault="00A9729B" w:rsidP="00A9729B">
      <w:pPr>
        <w:spacing w:before="120" w:after="120"/>
        <w:jc w:val="both"/>
        <w:rPr>
          <w:lang w:eastAsia="fr-FR" w:bidi="fr-FR"/>
        </w:rPr>
      </w:pPr>
    </w:p>
    <w:p w:rsidR="00A9729B" w:rsidRPr="00AB71A5" w:rsidRDefault="00A9729B" w:rsidP="00A9729B">
      <w:pPr>
        <w:spacing w:before="120" w:after="120"/>
        <w:ind w:left="900" w:hanging="540"/>
        <w:jc w:val="both"/>
      </w:pPr>
      <w:r>
        <w:rPr>
          <w:lang w:eastAsia="fr-FR" w:bidi="fr-FR"/>
        </w:rPr>
        <w:t>(1)</w:t>
      </w:r>
      <w:r>
        <w:rPr>
          <w:lang w:eastAsia="fr-FR" w:bidi="fr-FR"/>
        </w:rPr>
        <w:tab/>
      </w:r>
      <w:r w:rsidRPr="00AB71A5">
        <w:rPr>
          <w:lang w:eastAsia="fr-FR" w:bidi="fr-FR"/>
        </w:rPr>
        <w:t>Une condition qui est le présupposé de toutes les autres : que</w:t>
      </w:r>
      <w:r>
        <w:rPr>
          <w:lang w:eastAsia="fr-FR" w:bidi="fr-FR"/>
        </w:rPr>
        <w:t xml:space="preserve"> </w:t>
      </w:r>
      <w:r w:rsidRPr="00AB71A5">
        <w:rPr>
          <w:lang w:eastAsia="fr-FR" w:bidi="fr-FR"/>
        </w:rPr>
        <w:t>le message soit physiquement perçu par son dest</w:t>
      </w:r>
      <w:r w:rsidRPr="00AB71A5">
        <w:rPr>
          <w:lang w:eastAsia="fr-FR" w:bidi="fr-FR"/>
        </w:rPr>
        <w:t>i</w:t>
      </w:r>
      <w:r w:rsidRPr="00AB71A5">
        <w:rPr>
          <w:lang w:eastAsia="fr-FR" w:bidi="fr-FR"/>
        </w:rPr>
        <w:t>nataire.</w:t>
      </w:r>
    </w:p>
    <w:p w:rsidR="00A9729B" w:rsidRPr="00AB71A5" w:rsidRDefault="00A9729B" w:rsidP="00A9729B">
      <w:pPr>
        <w:spacing w:before="120" w:after="120"/>
        <w:ind w:left="900" w:hanging="540"/>
        <w:jc w:val="both"/>
      </w:pPr>
      <w:r>
        <w:rPr>
          <w:lang w:eastAsia="fr-FR" w:bidi="fr-FR"/>
        </w:rPr>
        <w:t>(2)</w:t>
      </w:r>
      <w:r>
        <w:rPr>
          <w:lang w:eastAsia="fr-FR" w:bidi="fr-FR"/>
        </w:rPr>
        <w:tab/>
      </w:r>
      <w:r w:rsidRPr="00AB71A5">
        <w:rPr>
          <w:lang w:eastAsia="fr-FR" w:bidi="fr-FR"/>
        </w:rPr>
        <w:t>Dans de très nombreux cas, cette condition s’applique de f</w:t>
      </w:r>
      <w:r w:rsidRPr="00AB71A5">
        <w:rPr>
          <w:lang w:eastAsia="fr-FR" w:bidi="fr-FR"/>
        </w:rPr>
        <w:t>a</w:t>
      </w:r>
      <w:r w:rsidRPr="00AB71A5">
        <w:rPr>
          <w:lang w:eastAsia="fr-FR" w:bidi="fr-FR"/>
        </w:rPr>
        <w:t>çon</w:t>
      </w:r>
      <w:r>
        <w:rPr>
          <w:lang w:eastAsia="fr-FR" w:bidi="fr-FR"/>
        </w:rPr>
        <w:t xml:space="preserve"> </w:t>
      </w:r>
      <w:r w:rsidRPr="00AB71A5">
        <w:rPr>
          <w:lang w:eastAsia="fr-FR" w:bidi="fr-FR"/>
        </w:rPr>
        <w:t>récurrente : le destinateur d’un message ayant été lui-même destinataire d’un message qu’il s’efforce de retransme</w:t>
      </w:r>
      <w:r w:rsidRPr="00AB71A5">
        <w:rPr>
          <w:lang w:eastAsia="fr-FR" w:bidi="fr-FR"/>
        </w:rPr>
        <w:t>t</w:t>
      </w:r>
      <w:r w:rsidRPr="00AB71A5">
        <w:rPr>
          <w:lang w:eastAsia="fr-FR" w:bidi="fr-FR"/>
        </w:rPr>
        <w:t>tre — qu’il peut citer, par exemple — octroyant ainsi une ce</w:t>
      </w:r>
      <w:r w:rsidRPr="00AB71A5">
        <w:rPr>
          <w:lang w:eastAsia="fr-FR" w:bidi="fr-FR"/>
        </w:rPr>
        <w:t>r</w:t>
      </w:r>
      <w:r w:rsidRPr="00AB71A5">
        <w:rPr>
          <w:lang w:eastAsia="fr-FR" w:bidi="fr-FR"/>
        </w:rPr>
        <w:t>taine pr</w:t>
      </w:r>
      <w:r w:rsidRPr="00AB71A5">
        <w:rPr>
          <w:lang w:eastAsia="fr-FR" w:bidi="fr-FR"/>
        </w:rPr>
        <w:t>o</w:t>
      </w:r>
      <w:r w:rsidRPr="00AB71A5">
        <w:rPr>
          <w:lang w:eastAsia="fr-FR" w:bidi="fr-FR"/>
        </w:rPr>
        <w:t>fondeur à ses énoncés, il est lui-même soumis à la condition précédente. Dans l’exemple cité plus haut, d’une c</w:t>
      </w:r>
      <w:r w:rsidRPr="00AB71A5">
        <w:rPr>
          <w:lang w:eastAsia="fr-FR" w:bidi="fr-FR"/>
        </w:rPr>
        <w:t>i</w:t>
      </w:r>
      <w:r w:rsidRPr="00AB71A5">
        <w:rPr>
          <w:lang w:eastAsia="fr-FR" w:bidi="fr-FR"/>
        </w:rPr>
        <w:t>tation de Mallarmé par Kristeva, il peut y avoir perception r</w:t>
      </w:r>
      <w:r w:rsidRPr="00AB71A5">
        <w:rPr>
          <w:lang w:eastAsia="fr-FR" w:bidi="fr-FR"/>
        </w:rPr>
        <w:t>é</w:t>
      </w:r>
      <w:r w:rsidRPr="00AB71A5">
        <w:rPr>
          <w:lang w:eastAsia="fr-FR" w:bidi="fr-FR"/>
        </w:rPr>
        <w:t>ussie de la part du lecteur de Kristeva et c</w:t>
      </w:r>
      <w:r w:rsidRPr="00AB71A5">
        <w:rPr>
          <w:lang w:eastAsia="fr-FR" w:bidi="fr-FR"/>
        </w:rPr>
        <w:t>e</w:t>
      </w:r>
      <w:r w:rsidRPr="00AB71A5">
        <w:rPr>
          <w:lang w:eastAsia="fr-FR" w:bidi="fr-FR"/>
        </w:rPr>
        <w:t>pendant, rupture de la chaîne qui lie celui-ci à Mallarmé, l’un de ces relais — Kristeva — étant faussé. Dans sa forme récurre</w:t>
      </w:r>
      <w:r w:rsidRPr="00AB71A5">
        <w:rPr>
          <w:lang w:eastAsia="fr-FR" w:bidi="fr-FR"/>
        </w:rPr>
        <w:t>n</w:t>
      </w:r>
      <w:r w:rsidRPr="00AB71A5">
        <w:rPr>
          <w:lang w:eastAsia="fr-FR" w:bidi="fr-FR"/>
        </w:rPr>
        <w:t>te, cette condition s’applique à chacun des niveaux qui étagent la pr</w:t>
      </w:r>
      <w:r w:rsidRPr="00AB71A5">
        <w:rPr>
          <w:lang w:eastAsia="fr-FR" w:bidi="fr-FR"/>
        </w:rPr>
        <w:t>o</w:t>
      </w:r>
      <w:r w:rsidRPr="00AB71A5">
        <w:rPr>
          <w:lang w:eastAsia="fr-FR" w:bidi="fr-FR"/>
        </w:rPr>
        <w:t>fondeur de l’énoncé, et dont le nombre augmente les risques de déform</w:t>
      </w:r>
      <w:r w:rsidRPr="00AB71A5">
        <w:rPr>
          <w:lang w:eastAsia="fr-FR" w:bidi="fr-FR"/>
        </w:rPr>
        <w:t>a</w:t>
      </w:r>
      <w:r w:rsidRPr="00AB71A5">
        <w:rPr>
          <w:lang w:eastAsia="fr-FR" w:bidi="fr-FR"/>
        </w:rPr>
        <w:t>tion.</w:t>
      </w:r>
    </w:p>
    <w:p w:rsidR="00A9729B" w:rsidRDefault="00A9729B" w:rsidP="00A9729B">
      <w:pPr>
        <w:spacing w:before="120" w:after="120"/>
        <w:jc w:val="both"/>
      </w:pPr>
    </w:p>
    <w:p w:rsidR="00A9729B" w:rsidRPr="00AB71A5" w:rsidRDefault="00A9729B" w:rsidP="00A9729B">
      <w:pPr>
        <w:spacing w:before="120" w:after="120"/>
        <w:jc w:val="both"/>
      </w:pPr>
      <w:r>
        <w:rPr>
          <w:lang w:eastAsia="fr-FR" w:bidi="fr-FR"/>
        </w:rPr>
        <w:t>[112]</w:t>
      </w:r>
    </w:p>
    <w:p w:rsidR="00A9729B" w:rsidRDefault="00A9729B" w:rsidP="00A9729B">
      <w:pPr>
        <w:spacing w:before="120" w:after="120"/>
        <w:jc w:val="both"/>
      </w:pPr>
    </w:p>
    <w:p w:rsidR="00A9729B" w:rsidRPr="00D021A3" w:rsidRDefault="00A9729B" w:rsidP="00A9729B">
      <w:pPr>
        <w:spacing w:before="120" w:after="120"/>
        <w:jc w:val="both"/>
        <w:rPr>
          <w:color w:val="000090"/>
        </w:rPr>
      </w:pPr>
      <w:r w:rsidRPr="00AB71A5">
        <w:t xml:space="preserve">B — </w:t>
      </w:r>
      <w:r w:rsidRPr="00D021A3">
        <w:rPr>
          <w:i/>
          <w:color w:val="000090"/>
          <w:lang w:eastAsia="fr-FR" w:bidi="fr-FR"/>
        </w:rPr>
        <w:t>Conditions affectant la perception du signifié (applic</w:t>
      </w:r>
      <w:r w:rsidRPr="00D021A3">
        <w:rPr>
          <w:i/>
          <w:color w:val="000090"/>
          <w:lang w:eastAsia="fr-FR" w:bidi="fr-FR"/>
        </w:rPr>
        <w:t>a</w:t>
      </w:r>
      <w:r w:rsidRPr="00D021A3">
        <w:rPr>
          <w:i/>
          <w:color w:val="000090"/>
          <w:lang w:eastAsia="fr-FR" w:bidi="fr-FR"/>
        </w:rPr>
        <w:t>tion simple)</w:t>
      </w:r>
    </w:p>
    <w:p w:rsidR="00A9729B" w:rsidRDefault="00A9729B" w:rsidP="00A9729B">
      <w:pPr>
        <w:spacing w:before="120" w:after="120"/>
        <w:jc w:val="both"/>
        <w:rPr>
          <w:lang w:eastAsia="fr-FR" w:bidi="fr-FR"/>
        </w:rPr>
      </w:pPr>
    </w:p>
    <w:p w:rsidR="00A9729B" w:rsidRPr="00AB71A5" w:rsidRDefault="00A9729B" w:rsidP="00A9729B">
      <w:pPr>
        <w:spacing w:before="120" w:after="120"/>
        <w:ind w:left="900" w:hanging="540"/>
        <w:jc w:val="both"/>
      </w:pPr>
      <w:r>
        <w:rPr>
          <w:lang w:eastAsia="fr-FR" w:bidi="fr-FR"/>
        </w:rPr>
        <w:t>(3)</w:t>
      </w:r>
      <w:r>
        <w:rPr>
          <w:lang w:eastAsia="fr-FR" w:bidi="fr-FR"/>
        </w:rPr>
        <w:tab/>
      </w:r>
      <w:r w:rsidRPr="00AB71A5">
        <w:rPr>
          <w:lang w:eastAsia="fr-FR" w:bidi="fr-FR"/>
        </w:rPr>
        <w:t>Certaines conditions ont trait à l’énoncé lui-même. Elles</w:t>
      </w:r>
      <w:r>
        <w:rPr>
          <w:lang w:eastAsia="fr-FR" w:bidi="fr-FR"/>
        </w:rPr>
        <w:t xml:space="preserve"> </w:t>
      </w:r>
      <w:r w:rsidRPr="00AB71A5">
        <w:rPr>
          <w:lang w:eastAsia="fr-FR" w:bidi="fr-FR"/>
        </w:rPr>
        <w:t>sont bien connues. La première est qu’il soit sy</w:t>
      </w:r>
      <w:r w:rsidRPr="00AB71A5">
        <w:rPr>
          <w:lang w:eastAsia="fr-FR" w:bidi="fr-FR"/>
        </w:rPr>
        <w:t>n</w:t>
      </w:r>
      <w:r w:rsidRPr="00AB71A5">
        <w:rPr>
          <w:lang w:eastAsia="fr-FR" w:bidi="fr-FR"/>
        </w:rPr>
        <w:t>taxiquement bien formé et qu’il ait un sens et une référence suffisamment d</w:t>
      </w:r>
      <w:r w:rsidRPr="00AB71A5">
        <w:rPr>
          <w:lang w:eastAsia="fr-FR" w:bidi="fr-FR"/>
        </w:rPr>
        <w:t>é</w:t>
      </w:r>
      <w:r w:rsidRPr="00AB71A5">
        <w:rPr>
          <w:lang w:eastAsia="fr-FR" w:bidi="fr-FR"/>
        </w:rPr>
        <w:t>terminés (qui ne soient pas trop ambigus).</w:t>
      </w:r>
    </w:p>
    <w:p w:rsidR="00A9729B" w:rsidRPr="00AB71A5" w:rsidRDefault="00A9729B" w:rsidP="00A9729B">
      <w:pPr>
        <w:spacing w:before="120" w:after="120"/>
        <w:ind w:left="900" w:hanging="540"/>
        <w:jc w:val="both"/>
      </w:pPr>
      <w:r>
        <w:rPr>
          <w:lang w:eastAsia="fr-FR" w:bidi="fr-FR"/>
        </w:rPr>
        <w:t>(4)</w:t>
      </w:r>
      <w:r>
        <w:rPr>
          <w:lang w:eastAsia="fr-FR" w:bidi="fr-FR"/>
        </w:rPr>
        <w:tab/>
        <w:t>U</w:t>
      </w:r>
      <w:r w:rsidRPr="00AB71A5">
        <w:rPr>
          <w:lang w:eastAsia="fr-FR" w:bidi="fr-FR"/>
        </w:rPr>
        <w:t>ne autre condition a</w:t>
      </w:r>
      <w:r w:rsidRPr="00AB71A5">
        <w:rPr>
          <w:lang w:eastAsia="fr-FR" w:bidi="fr-FR"/>
        </w:rPr>
        <w:t>f</w:t>
      </w:r>
      <w:r w:rsidRPr="00AB71A5">
        <w:rPr>
          <w:lang w:eastAsia="fr-FR" w:bidi="fr-FR"/>
        </w:rPr>
        <w:t>fecte l’énoncé et nous la formulerons</w:t>
      </w:r>
      <w:r>
        <w:rPr>
          <w:lang w:eastAsia="fr-FR" w:bidi="fr-FR"/>
        </w:rPr>
        <w:t xml:space="preserve"> </w:t>
      </w:r>
      <w:r w:rsidRPr="00AB71A5">
        <w:rPr>
          <w:lang w:eastAsia="fr-FR" w:bidi="fr-FR"/>
        </w:rPr>
        <w:t>ainsi :</w:t>
      </w:r>
      <w:r>
        <w:rPr>
          <w:lang w:eastAsia="fr-FR" w:bidi="fr-FR"/>
        </w:rPr>
        <w:t xml:space="preserve"> </w:t>
      </w:r>
      <w:r w:rsidRPr="00AB71A5">
        <w:rPr>
          <w:lang w:eastAsia="fr-FR" w:bidi="fr-FR"/>
        </w:rPr>
        <w:t>la</w:t>
      </w:r>
      <w:r>
        <w:rPr>
          <w:lang w:eastAsia="fr-FR" w:bidi="fr-FR"/>
        </w:rPr>
        <w:t xml:space="preserve"> </w:t>
      </w:r>
      <w:r w:rsidRPr="00AB71A5">
        <w:rPr>
          <w:lang w:eastAsia="fr-FR" w:bidi="fr-FR"/>
        </w:rPr>
        <w:t>profondeur culturelle de l’énoncé ne devrait</w:t>
      </w:r>
      <w:r>
        <w:rPr>
          <w:lang w:eastAsia="fr-FR" w:bidi="fr-FR"/>
        </w:rPr>
        <w:t xml:space="preserve"> </w:t>
      </w:r>
      <w:r w:rsidRPr="00AB71A5">
        <w:rPr>
          <w:lang w:eastAsia="fr-FR" w:bidi="fr-FR"/>
        </w:rPr>
        <w:t>pas e</w:t>
      </w:r>
      <w:r w:rsidRPr="00AB71A5">
        <w:rPr>
          <w:lang w:eastAsia="fr-FR" w:bidi="fr-FR"/>
        </w:rPr>
        <w:t>x</w:t>
      </w:r>
      <w:r w:rsidRPr="00AB71A5">
        <w:rPr>
          <w:lang w:eastAsia="fr-FR" w:bidi="fr-FR"/>
        </w:rPr>
        <w:t>céder les seuils d’appréhension de ceux à qui ils s’adressent et, quoi qu’il en soit de cette pr</w:t>
      </w:r>
      <w:r w:rsidRPr="00AB71A5">
        <w:rPr>
          <w:lang w:eastAsia="fr-FR" w:bidi="fr-FR"/>
        </w:rPr>
        <w:t>o</w:t>
      </w:r>
      <w:r w:rsidRPr="00AB71A5">
        <w:rPr>
          <w:lang w:eastAsia="fr-FR" w:bidi="fr-FR"/>
        </w:rPr>
        <w:t>fondeur, celle-ci ne doit pas dépasser tout seuil d’appréhension possible. Beaucoup de te</w:t>
      </w:r>
      <w:r w:rsidRPr="00AB71A5">
        <w:rPr>
          <w:lang w:eastAsia="fr-FR" w:bidi="fr-FR"/>
        </w:rPr>
        <w:t>x</w:t>
      </w:r>
      <w:r w:rsidRPr="00AB71A5">
        <w:rPr>
          <w:lang w:eastAsia="fr-FR" w:bidi="fr-FR"/>
        </w:rPr>
        <w:t>tes pêchent contre ce</w:t>
      </w:r>
      <w:r w:rsidRPr="00AB71A5">
        <w:rPr>
          <w:lang w:eastAsia="fr-FR" w:bidi="fr-FR"/>
        </w:rPr>
        <w:t>t</w:t>
      </w:r>
      <w:r w:rsidRPr="00AB71A5">
        <w:rPr>
          <w:lang w:eastAsia="fr-FR" w:bidi="fr-FR"/>
        </w:rPr>
        <w:t>te condition en instaurant une espèce de surenchère dans la supe</w:t>
      </w:r>
      <w:r w:rsidRPr="00AB71A5">
        <w:rPr>
          <w:lang w:eastAsia="fr-FR" w:bidi="fr-FR"/>
        </w:rPr>
        <w:t>r</w:t>
      </w:r>
      <w:r w:rsidRPr="00AB71A5">
        <w:rPr>
          <w:lang w:eastAsia="fr-FR" w:bidi="fr-FR"/>
        </w:rPr>
        <w:t>position des grilles utilisées.</w:t>
      </w:r>
    </w:p>
    <w:p w:rsidR="00A9729B" w:rsidRPr="00AB71A5" w:rsidRDefault="00A9729B" w:rsidP="00A9729B">
      <w:pPr>
        <w:spacing w:before="120" w:after="120"/>
        <w:ind w:left="900" w:hanging="540"/>
        <w:jc w:val="both"/>
      </w:pPr>
      <w:r>
        <w:rPr>
          <w:lang w:eastAsia="fr-FR" w:bidi="fr-FR"/>
        </w:rPr>
        <w:t>(5)</w:t>
      </w:r>
      <w:r>
        <w:rPr>
          <w:lang w:eastAsia="fr-FR" w:bidi="fr-FR"/>
        </w:rPr>
        <w:tab/>
        <w:t>Q</w:t>
      </w:r>
      <w:r w:rsidRPr="00AB71A5">
        <w:rPr>
          <w:lang w:eastAsia="fr-FR" w:bidi="fr-FR"/>
        </w:rPr>
        <w:t>uelques conditions doivent aussi être remplies par le réce</w:t>
      </w:r>
      <w:r w:rsidRPr="00AB71A5">
        <w:rPr>
          <w:lang w:eastAsia="fr-FR" w:bidi="fr-FR"/>
        </w:rPr>
        <w:t>p</w:t>
      </w:r>
      <w:r w:rsidRPr="00AB71A5">
        <w:rPr>
          <w:lang w:eastAsia="fr-FR" w:bidi="fr-FR"/>
        </w:rPr>
        <w:t>teur du me</w:t>
      </w:r>
      <w:r w:rsidRPr="00AB71A5">
        <w:rPr>
          <w:lang w:eastAsia="fr-FR" w:bidi="fr-FR"/>
        </w:rPr>
        <w:t>s</w:t>
      </w:r>
      <w:r w:rsidRPr="00AB71A5">
        <w:rPr>
          <w:lang w:eastAsia="fr-FR" w:bidi="fr-FR"/>
        </w:rPr>
        <w:t>sage. La première est qu’il doit connaître la langue utilisée par le destinateur du message. Cette première cond</w:t>
      </w:r>
      <w:r w:rsidRPr="00AB71A5">
        <w:rPr>
          <w:lang w:eastAsia="fr-FR" w:bidi="fr-FR"/>
        </w:rPr>
        <w:t>i</w:t>
      </w:r>
      <w:r w:rsidRPr="00AB71A5">
        <w:rPr>
          <w:lang w:eastAsia="fr-FR" w:bidi="fr-FR"/>
        </w:rPr>
        <w:t>tion peut s’entendre en son sens littéral : je ne peux lire un message rédigé en français que si je connais cette langue. Elle peut aussi s’entendre en un sens moins immédiat : parler la même langue que l’interlocuteur ne signifie pas seul</w:t>
      </w:r>
      <w:r w:rsidRPr="00AB71A5">
        <w:rPr>
          <w:lang w:eastAsia="fr-FR" w:bidi="fr-FR"/>
        </w:rPr>
        <w:t>e</w:t>
      </w:r>
      <w:r w:rsidRPr="00AB71A5">
        <w:rPr>
          <w:lang w:eastAsia="fr-FR" w:bidi="fr-FR"/>
        </w:rPr>
        <w:t>ment qu’on soit suffisamment familier avec les bruits qu’il émet pour y reconnaître un sens, mais i</w:t>
      </w:r>
      <w:r w:rsidRPr="00AB71A5">
        <w:rPr>
          <w:lang w:eastAsia="fr-FR" w:bidi="fr-FR"/>
        </w:rPr>
        <w:t>m</w:t>
      </w:r>
      <w:r w:rsidRPr="00AB71A5">
        <w:rPr>
          <w:lang w:eastAsia="fr-FR" w:bidi="fr-FR"/>
        </w:rPr>
        <w:t>plique aussi que le sens qu’on y voit ne soit pas à rebours du sens qu’il y veut mettre. En d’autres termes, destinateur et récepteur doivent non se</w:t>
      </w:r>
      <w:r w:rsidRPr="00AB71A5">
        <w:rPr>
          <w:lang w:eastAsia="fr-FR" w:bidi="fr-FR"/>
        </w:rPr>
        <w:t>u</w:t>
      </w:r>
      <w:r w:rsidRPr="00AB71A5">
        <w:rPr>
          <w:lang w:eastAsia="fr-FR" w:bidi="fr-FR"/>
        </w:rPr>
        <w:t>lement avoir en commun un certain nombre de termes mais aussi un certain nombre de définitions. La discussion du s</w:t>
      </w:r>
      <w:r w:rsidRPr="00AB71A5">
        <w:rPr>
          <w:lang w:eastAsia="fr-FR" w:bidi="fr-FR"/>
        </w:rPr>
        <w:t>o</w:t>
      </w:r>
      <w:r w:rsidRPr="00AB71A5">
        <w:rPr>
          <w:lang w:eastAsia="fr-FR" w:bidi="fr-FR"/>
        </w:rPr>
        <w:t>cialisme par exemple, est à cet égard, la plupart du temps faussée, au Québec, ses avocats entendant par ce terme de s</w:t>
      </w:r>
      <w:r w:rsidRPr="00AB71A5">
        <w:rPr>
          <w:lang w:eastAsia="fr-FR" w:bidi="fr-FR"/>
        </w:rPr>
        <w:t>o</w:t>
      </w:r>
      <w:r w:rsidRPr="00AB71A5">
        <w:rPr>
          <w:lang w:eastAsia="fr-FR" w:bidi="fr-FR"/>
        </w:rPr>
        <w:t>cialisme un régime politique libérateur et la masse des réce</w:t>
      </w:r>
      <w:r w:rsidRPr="00AB71A5">
        <w:rPr>
          <w:lang w:eastAsia="fr-FR" w:bidi="fr-FR"/>
        </w:rPr>
        <w:t>p</w:t>
      </w:r>
      <w:r w:rsidRPr="00AB71A5">
        <w:rPr>
          <w:lang w:eastAsia="fr-FR" w:bidi="fr-FR"/>
        </w:rPr>
        <w:t>teurs ne voyant dans ce mot que l’un des nombreux synon</w:t>
      </w:r>
      <w:r w:rsidRPr="00AB71A5">
        <w:rPr>
          <w:lang w:eastAsia="fr-FR" w:bidi="fr-FR"/>
        </w:rPr>
        <w:t>y</w:t>
      </w:r>
      <w:r w:rsidRPr="00AB71A5">
        <w:rPr>
          <w:lang w:eastAsia="fr-FR" w:bidi="fr-FR"/>
        </w:rPr>
        <w:t>mes de « totalitarisme ».</w:t>
      </w:r>
    </w:p>
    <w:p w:rsidR="00A9729B" w:rsidRPr="00AB71A5" w:rsidRDefault="00A9729B" w:rsidP="00A9729B">
      <w:pPr>
        <w:spacing w:before="120" w:after="120"/>
        <w:ind w:left="900" w:hanging="540"/>
        <w:jc w:val="both"/>
      </w:pPr>
      <w:r>
        <w:rPr>
          <w:lang w:eastAsia="fr-FR" w:bidi="fr-FR"/>
        </w:rPr>
        <w:t>(6)</w:t>
      </w:r>
      <w:r>
        <w:rPr>
          <w:lang w:eastAsia="fr-FR" w:bidi="fr-FR"/>
        </w:rPr>
        <w:tab/>
      </w:r>
      <w:r w:rsidRPr="00AB71A5">
        <w:rPr>
          <w:lang w:eastAsia="fr-FR" w:bidi="fr-FR"/>
        </w:rPr>
        <w:t>De façon plus générale, nous devrons dire en r</w:t>
      </w:r>
      <w:r w:rsidRPr="00AB71A5">
        <w:rPr>
          <w:lang w:eastAsia="fr-FR" w:bidi="fr-FR"/>
        </w:rPr>
        <w:t>e</w:t>
      </w:r>
      <w:r w:rsidRPr="00AB71A5">
        <w:rPr>
          <w:lang w:eastAsia="fr-FR" w:bidi="fr-FR"/>
        </w:rPr>
        <w:t>prenant une</w:t>
      </w:r>
      <w:r>
        <w:rPr>
          <w:lang w:eastAsia="fr-FR" w:bidi="fr-FR"/>
        </w:rPr>
        <w:t xml:space="preserve"> </w:t>
      </w:r>
      <w:r w:rsidRPr="00AB71A5">
        <w:rPr>
          <w:lang w:eastAsia="fr-FR" w:bidi="fr-FR"/>
        </w:rPr>
        <w:t>idée exprimée par Eco et par nous-même dans un texte ant</w:t>
      </w:r>
      <w:r w:rsidRPr="00AB71A5">
        <w:rPr>
          <w:lang w:eastAsia="fr-FR" w:bidi="fr-FR"/>
        </w:rPr>
        <w:t>é</w:t>
      </w:r>
      <w:r w:rsidRPr="00AB71A5">
        <w:rPr>
          <w:lang w:eastAsia="fr-FR" w:bidi="fr-FR"/>
        </w:rPr>
        <w:t>rieur que le code utilisé par le récepteur du me</w:t>
      </w:r>
      <w:r w:rsidRPr="00AB71A5">
        <w:rPr>
          <w:lang w:eastAsia="fr-FR" w:bidi="fr-FR"/>
        </w:rPr>
        <w:t>s</w:t>
      </w:r>
      <w:r w:rsidRPr="00AB71A5">
        <w:rPr>
          <w:lang w:eastAsia="fr-FR" w:bidi="fr-FR"/>
        </w:rPr>
        <w:t>sage doit être homogène à celui utilisé par le de</w:t>
      </w:r>
      <w:r w:rsidRPr="00AB71A5">
        <w:rPr>
          <w:lang w:eastAsia="fr-FR" w:bidi="fr-FR"/>
        </w:rPr>
        <w:t>s</w:t>
      </w:r>
      <w:r w:rsidRPr="00AB71A5">
        <w:rPr>
          <w:lang w:eastAsia="fr-FR" w:bidi="fr-FR"/>
        </w:rPr>
        <w:t>tinateur du message.</w:t>
      </w:r>
    </w:p>
    <w:p w:rsidR="00A9729B" w:rsidRPr="00AB71A5" w:rsidRDefault="00A9729B" w:rsidP="00A9729B">
      <w:pPr>
        <w:pStyle w:val="p"/>
      </w:pPr>
      <w:r>
        <w:rPr>
          <w:lang w:eastAsia="fr-FR" w:bidi="fr-FR"/>
        </w:rPr>
        <w:t>[113]</w:t>
      </w:r>
    </w:p>
    <w:p w:rsidR="00A9729B" w:rsidRPr="00AB71A5" w:rsidRDefault="00A9729B" w:rsidP="00A9729B">
      <w:pPr>
        <w:spacing w:before="120" w:after="120"/>
        <w:ind w:left="900"/>
        <w:jc w:val="both"/>
      </w:pPr>
      <w:r w:rsidRPr="00AB71A5">
        <w:rPr>
          <w:lang w:eastAsia="fr-FR" w:bidi="fr-FR"/>
        </w:rPr>
        <w:t>L’exemple donné par Eco, est assez spectaculaire pour que nous le reproduisions : la même phrase « I vitelli dei romani sono belli » peut signifier pour un décodeur utilisant l’italien « les veaux des romains sont beaux » et pour un décodeur ut</w:t>
      </w:r>
      <w:r w:rsidRPr="00AB71A5">
        <w:rPr>
          <w:lang w:eastAsia="fr-FR" w:bidi="fr-FR"/>
        </w:rPr>
        <w:t>i</w:t>
      </w:r>
      <w:r w:rsidRPr="00AB71A5">
        <w:rPr>
          <w:lang w:eastAsia="fr-FR" w:bidi="fr-FR"/>
        </w:rPr>
        <w:t>lisant le latin, « va, ô Vitellius, au son de guerre du dieu r</w:t>
      </w:r>
      <w:r w:rsidRPr="00AB71A5">
        <w:rPr>
          <w:lang w:eastAsia="fr-FR" w:bidi="fr-FR"/>
        </w:rPr>
        <w:t>o</w:t>
      </w:r>
      <w:r w:rsidRPr="00AB71A5">
        <w:rPr>
          <w:lang w:eastAsia="fr-FR" w:bidi="fr-FR"/>
        </w:rPr>
        <w:t>main. » Cette condition qui réclame l’homogénéité du code, ne se borne pas à répéter la précédente qui réclamait le partage d’une même langue : le partage d’une même la</w:t>
      </w:r>
      <w:r w:rsidRPr="00AB71A5">
        <w:rPr>
          <w:lang w:eastAsia="fr-FR" w:bidi="fr-FR"/>
        </w:rPr>
        <w:t>n</w:t>
      </w:r>
      <w:r w:rsidRPr="00AB71A5">
        <w:rPr>
          <w:lang w:eastAsia="fr-FR" w:bidi="fr-FR"/>
        </w:rPr>
        <w:t>gue peut néanmoins produire des décod</w:t>
      </w:r>
      <w:r w:rsidRPr="00AB71A5">
        <w:rPr>
          <w:lang w:eastAsia="fr-FR" w:bidi="fr-FR"/>
        </w:rPr>
        <w:t>a</w:t>
      </w:r>
      <w:r w:rsidRPr="00AB71A5">
        <w:rPr>
          <w:lang w:eastAsia="fr-FR" w:bidi="fr-FR"/>
        </w:rPr>
        <w:t>ges aberrants. Eco cite le cas de cet italien fasciste, qui lisant la traduction italienne de « </w:t>
      </w:r>
      <w:r w:rsidRPr="00AB71A5">
        <w:t>Pour qui sonne le glas</w:t>
      </w:r>
      <w:r w:rsidRPr="00AB71A5">
        <w:rPr>
          <w:lang w:eastAsia="fr-FR" w:bidi="fr-FR"/>
        </w:rPr>
        <w:t> » pense que Hemingway prend parti pour la Ph</w:t>
      </w:r>
      <w:r w:rsidRPr="00AB71A5">
        <w:rPr>
          <w:lang w:eastAsia="fr-FR" w:bidi="fr-FR"/>
        </w:rPr>
        <w:t>a</w:t>
      </w:r>
      <w:r w:rsidRPr="00AB71A5">
        <w:rPr>
          <w:lang w:eastAsia="fr-FR" w:bidi="fr-FR"/>
        </w:rPr>
        <w:t>lange de Franco. On entendra donc aussi par code, un réseau d’associations et de connotations, ainsi qu’un e</w:t>
      </w:r>
      <w:r w:rsidRPr="00AB71A5">
        <w:rPr>
          <w:lang w:eastAsia="fr-FR" w:bidi="fr-FR"/>
        </w:rPr>
        <w:t>n</w:t>
      </w:r>
      <w:r w:rsidRPr="00AB71A5">
        <w:rPr>
          <w:lang w:eastAsia="fr-FR" w:bidi="fr-FR"/>
        </w:rPr>
        <w:t>semble de par</w:t>
      </w:r>
      <w:r w:rsidRPr="00AB71A5">
        <w:rPr>
          <w:lang w:eastAsia="fr-FR" w:bidi="fr-FR"/>
        </w:rPr>
        <w:t>a</w:t>
      </w:r>
      <w:r w:rsidRPr="00AB71A5">
        <w:rPr>
          <w:lang w:eastAsia="fr-FR" w:bidi="fr-FR"/>
        </w:rPr>
        <w:t>digmes culturels ou qui émargent à la psyché propre d’un individu, qui doublent le sy</w:t>
      </w:r>
      <w:r w:rsidRPr="00AB71A5">
        <w:rPr>
          <w:lang w:eastAsia="fr-FR" w:bidi="fr-FR"/>
        </w:rPr>
        <w:t>s</w:t>
      </w:r>
      <w:r w:rsidRPr="00AB71A5">
        <w:rPr>
          <w:lang w:eastAsia="fr-FR" w:bidi="fr-FR"/>
        </w:rPr>
        <w:t>tème de la langue et qui dans beaucoup de cas fini</w:t>
      </w:r>
      <w:r w:rsidRPr="00AB71A5">
        <w:rPr>
          <w:lang w:eastAsia="fr-FR" w:bidi="fr-FR"/>
        </w:rPr>
        <w:t>s</w:t>
      </w:r>
      <w:r w:rsidRPr="00AB71A5">
        <w:rPr>
          <w:lang w:eastAsia="fr-FR" w:bidi="fr-FR"/>
        </w:rPr>
        <w:t>sent par le capter. La thèse de Eco, assez simple, au fond, consiste à affirmer que l’effarante diversité des sollicitations intellectuelles ou idéologiques à l</w:t>
      </w:r>
      <w:r w:rsidRPr="00AB71A5">
        <w:rPr>
          <w:lang w:eastAsia="fr-FR" w:bidi="fr-FR"/>
        </w:rPr>
        <w:t>a</w:t>
      </w:r>
      <w:r w:rsidRPr="00AB71A5">
        <w:rPr>
          <w:lang w:eastAsia="fr-FR" w:bidi="fr-FR"/>
        </w:rPr>
        <w:t>quelle est soumis l’homme du XXe siècle, à la suite du défe</w:t>
      </w:r>
      <w:r w:rsidRPr="00AB71A5">
        <w:rPr>
          <w:lang w:eastAsia="fr-FR" w:bidi="fr-FR"/>
        </w:rPr>
        <w:t>r</w:t>
      </w:r>
      <w:r w:rsidRPr="00AB71A5">
        <w:rPr>
          <w:lang w:eastAsia="fr-FR" w:bidi="fr-FR"/>
        </w:rPr>
        <w:t>lement des moyens de communication de masse, a am</w:t>
      </w:r>
      <w:r w:rsidRPr="00AB71A5">
        <w:rPr>
          <w:lang w:eastAsia="fr-FR" w:bidi="fr-FR"/>
        </w:rPr>
        <w:t>e</w:t>
      </w:r>
      <w:r w:rsidRPr="00AB71A5">
        <w:rPr>
          <w:lang w:eastAsia="fr-FR" w:bidi="fr-FR"/>
        </w:rPr>
        <w:t>né un fractionnement sans retour de cette communauté qui s’instaurait habituellement entre un auteur et son public le</w:t>
      </w:r>
      <w:r w:rsidRPr="00AB71A5">
        <w:rPr>
          <w:lang w:eastAsia="fr-FR" w:bidi="fr-FR"/>
        </w:rPr>
        <w:t>c</w:t>
      </w:r>
      <w:r w:rsidRPr="00AB71A5">
        <w:rPr>
          <w:lang w:eastAsia="fr-FR" w:bidi="fr-FR"/>
        </w:rPr>
        <w:t>teur et sur laquelle l’auteur pouvait se fonder pour sélectio</w:t>
      </w:r>
      <w:r w:rsidRPr="00AB71A5">
        <w:rPr>
          <w:lang w:eastAsia="fr-FR" w:bidi="fr-FR"/>
        </w:rPr>
        <w:t>n</w:t>
      </w:r>
      <w:r w:rsidRPr="00AB71A5">
        <w:rPr>
          <w:lang w:eastAsia="fr-FR" w:bidi="fr-FR"/>
        </w:rPr>
        <w:t>ner les moyens — styli</w:t>
      </w:r>
      <w:r w:rsidRPr="00AB71A5">
        <w:rPr>
          <w:lang w:eastAsia="fr-FR" w:bidi="fr-FR"/>
        </w:rPr>
        <w:t>s</w:t>
      </w:r>
      <w:r w:rsidRPr="00AB71A5">
        <w:rPr>
          <w:lang w:eastAsia="fr-FR" w:bidi="fr-FR"/>
        </w:rPr>
        <w:t>tiques ou autres — qui assuraient à son œuvre un décodage adéquat. Ne pouvant s’ajuster à un destinata</w:t>
      </w:r>
      <w:r w:rsidRPr="00AB71A5">
        <w:rPr>
          <w:lang w:eastAsia="fr-FR" w:bidi="fr-FR"/>
        </w:rPr>
        <w:t>i</w:t>
      </w:r>
      <w:r w:rsidRPr="00AB71A5">
        <w:rPr>
          <w:lang w:eastAsia="fr-FR" w:bidi="fr-FR"/>
        </w:rPr>
        <w:t>re qui ne peut prévoir, le message est voué à l’errance, et la culture, dans la mesure où elle culmine dans ses marques, à la désorganisation</w:t>
      </w:r>
      <w:r>
        <w:rPr>
          <w:lang w:eastAsia="fr-FR" w:bidi="fr-FR"/>
        </w:rPr>
        <w:t>. </w:t>
      </w:r>
      <w:r>
        <w:rPr>
          <w:rStyle w:val="Appelnotedebasdep"/>
          <w:lang w:eastAsia="fr-FR" w:bidi="fr-FR"/>
        </w:rPr>
        <w:footnoteReference w:customMarkFollows="1" w:id="27"/>
        <w:t>L</w:t>
      </w:r>
    </w:p>
    <w:p w:rsidR="00A9729B" w:rsidRPr="00AB71A5" w:rsidRDefault="00A9729B" w:rsidP="00A9729B">
      <w:pPr>
        <w:spacing w:before="120" w:after="120"/>
        <w:ind w:left="900" w:hanging="540"/>
        <w:jc w:val="both"/>
      </w:pPr>
      <w:r>
        <w:rPr>
          <w:lang w:eastAsia="fr-FR" w:bidi="fr-FR"/>
        </w:rPr>
        <w:t>(7)</w:t>
      </w:r>
      <w:r>
        <w:rPr>
          <w:lang w:eastAsia="fr-FR" w:bidi="fr-FR"/>
        </w:rPr>
        <w:tab/>
        <w:t>D</w:t>
      </w:r>
      <w:r w:rsidRPr="00AB71A5">
        <w:rPr>
          <w:lang w:eastAsia="fr-FR" w:bidi="fr-FR"/>
        </w:rPr>
        <w:t>iverses conditions sont engendrées par la dimension vertic</w:t>
      </w:r>
      <w:r w:rsidRPr="00AB71A5">
        <w:rPr>
          <w:lang w:eastAsia="fr-FR" w:bidi="fr-FR"/>
        </w:rPr>
        <w:t>a</w:t>
      </w:r>
      <w:r w:rsidRPr="00AB71A5">
        <w:rPr>
          <w:lang w:eastAsia="fr-FR" w:bidi="fr-FR"/>
        </w:rPr>
        <w:t>le de l’énoncé. Pour le cas où les emboîtements cult</w:t>
      </w:r>
      <w:r w:rsidRPr="00AB71A5">
        <w:rPr>
          <w:lang w:eastAsia="fr-FR" w:bidi="fr-FR"/>
        </w:rPr>
        <w:t>u</w:t>
      </w:r>
      <w:r w:rsidRPr="00AB71A5">
        <w:rPr>
          <w:lang w:eastAsia="fr-FR" w:bidi="fr-FR"/>
        </w:rPr>
        <w:t>rels qui structurent l’énoncé n’excèdent pas ses seuils d’acceptation, le récepteur doit perc</w:t>
      </w:r>
      <w:r w:rsidRPr="00AB71A5">
        <w:rPr>
          <w:lang w:eastAsia="fr-FR" w:bidi="fr-FR"/>
        </w:rPr>
        <w:t>e</w:t>
      </w:r>
      <w:r w:rsidRPr="00AB71A5">
        <w:rPr>
          <w:lang w:eastAsia="fr-FR" w:bidi="fr-FR"/>
        </w:rPr>
        <w:t xml:space="preserve">voir </w:t>
      </w:r>
      <w:r w:rsidRPr="00AB71A5">
        <w:t>l’ordre</w:t>
      </w:r>
      <w:r w:rsidRPr="00AB71A5">
        <w:rPr>
          <w:lang w:eastAsia="fr-FR" w:bidi="fr-FR"/>
        </w:rPr>
        <w:t xml:space="preserve"> qui régit ces emboîtements et être capable de s’y so</w:t>
      </w:r>
      <w:r w:rsidRPr="00AB71A5">
        <w:rPr>
          <w:lang w:eastAsia="fr-FR" w:bidi="fr-FR"/>
        </w:rPr>
        <w:t>u</w:t>
      </w:r>
      <w:r w:rsidRPr="00AB71A5">
        <w:rPr>
          <w:lang w:eastAsia="fr-FR" w:bidi="fr-FR"/>
        </w:rPr>
        <w:t>mettre.</w:t>
      </w:r>
    </w:p>
    <w:p w:rsidR="00A9729B" w:rsidRPr="00AB71A5" w:rsidRDefault="00A9729B" w:rsidP="00A9729B">
      <w:pPr>
        <w:spacing w:before="120" w:after="120"/>
        <w:ind w:left="900" w:hanging="540"/>
        <w:jc w:val="both"/>
      </w:pPr>
      <w:r>
        <w:rPr>
          <w:lang w:eastAsia="fr-FR" w:bidi="fr-FR"/>
        </w:rPr>
        <w:t>(8)</w:t>
      </w:r>
      <w:r>
        <w:rPr>
          <w:lang w:eastAsia="fr-FR" w:bidi="fr-FR"/>
        </w:rPr>
        <w:tab/>
      </w:r>
      <w:r w:rsidRPr="00AB71A5">
        <w:rPr>
          <w:lang w:eastAsia="fr-FR" w:bidi="fr-FR"/>
        </w:rPr>
        <w:t>Présupposée à la préc</w:t>
      </w:r>
      <w:r w:rsidRPr="00AB71A5">
        <w:rPr>
          <w:lang w:eastAsia="fr-FR" w:bidi="fr-FR"/>
        </w:rPr>
        <w:t>é</w:t>
      </w:r>
      <w:r w:rsidRPr="00AB71A5">
        <w:rPr>
          <w:lang w:eastAsia="fr-FR" w:bidi="fr-FR"/>
        </w:rPr>
        <w:t>dente, est cette condition selon laquelle le récepteur doit être suffisa</w:t>
      </w:r>
      <w:r w:rsidRPr="00AB71A5">
        <w:rPr>
          <w:lang w:eastAsia="fr-FR" w:bidi="fr-FR"/>
        </w:rPr>
        <w:t>m</w:t>
      </w:r>
      <w:r w:rsidRPr="00AB71A5">
        <w:rPr>
          <w:lang w:eastAsia="fr-FR" w:bidi="fr-FR"/>
        </w:rPr>
        <w:t>ment familier avec les membres du r</w:t>
      </w:r>
      <w:r w:rsidRPr="00AB71A5">
        <w:rPr>
          <w:lang w:eastAsia="fr-FR" w:bidi="fr-FR"/>
        </w:rPr>
        <w:t>é</w:t>
      </w:r>
      <w:r w:rsidRPr="00AB71A5">
        <w:rPr>
          <w:lang w:eastAsia="fr-FR" w:bidi="fr-FR"/>
        </w:rPr>
        <w:t xml:space="preserve">seau culturel qu’instaure l’énoncé, pour pouvoir l’appréhender dans sa totalité. </w:t>
      </w:r>
      <w:r>
        <w:rPr>
          <w:lang w:eastAsia="fr-FR" w:bidi="fr-FR"/>
        </w:rPr>
        <w:t>À</w:t>
      </w:r>
      <w:r w:rsidRPr="00AB71A5">
        <w:rPr>
          <w:lang w:eastAsia="fr-FR" w:bidi="fr-FR"/>
        </w:rPr>
        <w:t xml:space="preserve"> prendre l’ensemble des me</w:t>
      </w:r>
      <w:r w:rsidRPr="00AB71A5">
        <w:rPr>
          <w:lang w:eastAsia="fr-FR" w:bidi="fr-FR"/>
        </w:rPr>
        <w:t>s</w:t>
      </w:r>
      <w:r w:rsidRPr="00AB71A5">
        <w:rPr>
          <w:lang w:eastAsia="fr-FR" w:bidi="fr-FR"/>
        </w:rPr>
        <w:t>sages qui sont couramment échangés dans la situa</w:t>
      </w:r>
      <w:r>
        <w:rPr>
          <w:lang w:eastAsia="fr-FR" w:bidi="fr-FR"/>
        </w:rPr>
        <w:t>tion pé</w:t>
      </w:r>
      <w:r w:rsidRPr="00AB71A5">
        <w:rPr>
          <w:lang w:eastAsia="fr-FR" w:bidi="fr-FR"/>
        </w:rPr>
        <w:t>d</w:t>
      </w:r>
      <w:r w:rsidRPr="00AB71A5">
        <w:rPr>
          <w:lang w:eastAsia="fr-FR" w:bidi="fr-FR"/>
        </w:rPr>
        <w:t>a</w:t>
      </w:r>
      <w:r w:rsidRPr="00AB71A5">
        <w:rPr>
          <w:lang w:eastAsia="fr-FR" w:bidi="fr-FR"/>
        </w:rPr>
        <w:t>gogique,</w:t>
      </w:r>
      <w:r>
        <w:rPr>
          <w:lang w:eastAsia="fr-FR" w:bidi="fr-FR"/>
        </w:rPr>
        <w:t xml:space="preserve"> [114]</w:t>
      </w:r>
      <w:r w:rsidRPr="00AB71A5">
        <w:rPr>
          <w:lang w:eastAsia="fr-FR" w:bidi="fr-FR"/>
        </w:rPr>
        <w:t xml:space="preserve"> on pourrait ici hasarder — en exceptant de n</w:t>
      </w:r>
      <w:r w:rsidRPr="00AB71A5">
        <w:rPr>
          <w:lang w:eastAsia="fr-FR" w:bidi="fr-FR"/>
        </w:rPr>
        <w:t>o</w:t>
      </w:r>
      <w:r w:rsidRPr="00AB71A5">
        <w:rPr>
          <w:lang w:eastAsia="fr-FR" w:bidi="fr-FR"/>
        </w:rPr>
        <w:t>tre calcul la médiation qui fait explicit</w:t>
      </w:r>
      <w:r w:rsidRPr="00AB71A5">
        <w:rPr>
          <w:lang w:eastAsia="fr-FR" w:bidi="fr-FR"/>
        </w:rPr>
        <w:t>e</w:t>
      </w:r>
      <w:r w:rsidRPr="00AB71A5">
        <w:rPr>
          <w:lang w:eastAsia="fr-FR" w:bidi="fr-FR"/>
        </w:rPr>
        <w:t>ment l’objet de l’enseignement et qu’il est no</w:t>
      </w:r>
      <w:r w:rsidRPr="00AB71A5">
        <w:rPr>
          <w:lang w:eastAsia="fr-FR" w:bidi="fr-FR"/>
        </w:rPr>
        <w:t>r</w:t>
      </w:r>
      <w:r w:rsidRPr="00AB71A5">
        <w:rPr>
          <w:lang w:eastAsia="fr-FR" w:bidi="fr-FR"/>
        </w:rPr>
        <w:t>mal de supposer non connue par les enseignés, — qu’il en est plus de la moitié qui ne re</w:t>
      </w:r>
      <w:r w:rsidRPr="00AB71A5">
        <w:rPr>
          <w:lang w:eastAsia="fr-FR" w:bidi="fr-FR"/>
        </w:rPr>
        <w:t>s</w:t>
      </w:r>
      <w:r w:rsidRPr="00AB71A5">
        <w:rPr>
          <w:lang w:eastAsia="fr-FR" w:bidi="fr-FR"/>
        </w:rPr>
        <w:t>pectent pas la condition (8).</w:t>
      </w:r>
    </w:p>
    <w:p w:rsidR="00A9729B" w:rsidRDefault="00A9729B" w:rsidP="00A9729B">
      <w:pPr>
        <w:spacing w:before="120" w:after="120"/>
        <w:jc w:val="both"/>
      </w:pPr>
    </w:p>
    <w:p w:rsidR="00A9729B" w:rsidRPr="00AB71A5" w:rsidRDefault="00A9729B" w:rsidP="00A9729B">
      <w:pPr>
        <w:spacing w:before="120" w:after="120"/>
        <w:jc w:val="both"/>
      </w:pPr>
      <w:r w:rsidRPr="00AB71A5">
        <w:t xml:space="preserve">C — </w:t>
      </w:r>
      <w:r w:rsidRPr="00D021A3">
        <w:rPr>
          <w:i/>
          <w:color w:val="000090"/>
          <w:lang w:eastAsia="fr-FR" w:bidi="fr-FR"/>
        </w:rPr>
        <w:t>Conditions affectant la perception du signifié (application r</w:t>
      </w:r>
      <w:r w:rsidRPr="00D021A3">
        <w:rPr>
          <w:i/>
          <w:color w:val="000090"/>
          <w:lang w:eastAsia="fr-FR" w:bidi="fr-FR"/>
        </w:rPr>
        <w:t>é</w:t>
      </w:r>
      <w:r w:rsidRPr="00D021A3">
        <w:rPr>
          <w:i/>
          <w:color w:val="000090"/>
          <w:lang w:eastAsia="fr-FR" w:bidi="fr-FR"/>
        </w:rPr>
        <w:t>currente)</w:t>
      </w:r>
    </w:p>
    <w:p w:rsidR="00A9729B" w:rsidRDefault="00A9729B" w:rsidP="00A9729B">
      <w:pPr>
        <w:spacing w:before="120" w:after="120"/>
        <w:jc w:val="both"/>
        <w:rPr>
          <w:lang w:eastAsia="fr-FR" w:bidi="fr-FR"/>
        </w:rPr>
      </w:pPr>
    </w:p>
    <w:p w:rsidR="00A9729B" w:rsidRPr="00AB71A5" w:rsidRDefault="00A9729B" w:rsidP="00A9729B">
      <w:pPr>
        <w:spacing w:before="120" w:after="120"/>
        <w:ind w:left="900" w:hanging="540"/>
        <w:jc w:val="both"/>
      </w:pPr>
      <w:r w:rsidRPr="00AB71A5">
        <w:rPr>
          <w:lang w:eastAsia="fr-FR" w:bidi="fr-FR"/>
        </w:rPr>
        <w:t>(9)</w:t>
      </w:r>
      <w:r>
        <w:rPr>
          <w:lang w:eastAsia="fr-FR" w:bidi="fr-FR"/>
        </w:rPr>
        <w:tab/>
      </w:r>
      <w:r w:rsidRPr="00AB71A5">
        <w:rPr>
          <w:lang w:eastAsia="fr-FR" w:bidi="fr-FR"/>
        </w:rPr>
        <w:t>particularité de la situation culturelle de l’actuel produ</w:t>
      </w:r>
      <w:r w:rsidRPr="00AB71A5">
        <w:rPr>
          <w:lang w:eastAsia="fr-FR" w:bidi="fr-FR"/>
        </w:rPr>
        <w:t>c</w:t>
      </w:r>
      <w:r w:rsidRPr="00AB71A5">
        <w:rPr>
          <w:lang w:eastAsia="fr-FR" w:bidi="fr-FR"/>
        </w:rPr>
        <w:t>teur de messages étant que celui-ci s’affirme explicitement comme récepteur de mess</w:t>
      </w:r>
      <w:r w:rsidRPr="00AB71A5">
        <w:rPr>
          <w:lang w:eastAsia="fr-FR" w:bidi="fr-FR"/>
        </w:rPr>
        <w:t>a</w:t>
      </w:r>
      <w:r w:rsidRPr="00AB71A5">
        <w:rPr>
          <w:lang w:eastAsia="fr-FR" w:bidi="fr-FR"/>
        </w:rPr>
        <w:t>ges acquis, dans l’acte même par lequel il destine un nouveau me</w:t>
      </w:r>
      <w:r w:rsidRPr="00AB71A5">
        <w:rPr>
          <w:lang w:eastAsia="fr-FR" w:bidi="fr-FR"/>
        </w:rPr>
        <w:t>s</w:t>
      </w:r>
      <w:r w:rsidRPr="00AB71A5">
        <w:rPr>
          <w:lang w:eastAsia="fr-FR" w:bidi="fr-FR"/>
        </w:rPr>
        <w:t>sage. Nous pourrions comme nous l’avons fait pour le cas du signifiant, plus haut, énoncer à nouveau chacune des cond</w:t>
      </w:r>
      <w:r w:rsidRPr="00AB71A5">
        <w:rPr>
          <w:lang w:eastAsia="fr-FR" w:bidi="fr-FR"/>
        </w:rPr>
        <w:t>i</w:t>
      </w:r>
      <w:r w:rsidRPr="00AB71A5">
        <w:rPr>
          <w:lang w:eastAsia="fr-FR" w:bidi="fr-FR"/>
        </w:rPr>
        <w:t>tions de B, dont l’application est récurrente. Pour ne pas allonger i</w:t>
      </w:r>
      <w:r w:rsidRPr="00AB71A5">
        <w:rPr>
          <w:lang w:eastAsia="fr-FR" w:bidi="fr-FR"/>
        </w:rPr>
        <w:t>n</w:t>
      </w:r>
      <w:r w:rsidRPr="00AB71A5">
        <w:rPr>
          <w:lang w:eastAsia="fr-FR" w:bidi="fr-FR"/>
        </w:rPr>
        <w:t>dûment une liste de contraintes déjà lourde, nous nous contenterons de donner un énoncé général de récurrence. Pr</w:t>
      </w:r>
      <w:r w:rsidRPr="00AB71A5">
        <w:rPr>
          <w:lang w:eastAsia="fr-FR" w:bidi="fr-FR"/>
        </w:rPr>
        <w:t>o</w:t>
      </w:r>
      <w:r w:rsidRPr="00AB71A5">
        <w:rPr>
          <w:lang w:eastAsia="fr-FR" w:bidi="fr-FR"/>
        </w:rPr>
        <w:t>duire l’énoncé X, doué d’une profondeur cult</w:t>
      </w:r>
      <w:r w:rsidRPr="00AB71A5">
        <w:rPr>
          <w:lang w:eastAsia="fr-FR" w:bidi="fr-FR"/>
        </w:rPr>
        <w:t>u</w:t>
      </w:r>
      <w:r w:rsidRPr="00AB71A5">
        <w:rPr>
          <w:lang w:eastAsia="fr-FR" w:bidi="fr-FR"/>
        </w:rPr>
        <w:t>relle Y, le destinateur Z a dû appliquer avec succès les conditions (5) (6) (7) et (8) pour percevoir le sens d’énoncés qui, eux-mêmes respectaient (3) et (4).</w:t>
      </w:r>
    </w:p>
    <w:p w:rsidR="00A9729B" w:rsidRPr="00AB71A5" w:rsidRDefault="00A9729B" w:rsidP="00A9729B">
      <w:pPr>
        <w:spacing w:before="120" w:after="120"/>
        <w:ind w:left="900" w:hanging="540"/>
        <w:jc w:val="both"/>
      </w:pPr>
      <w:r w:rsidRPr="00AB71A5">
        <w:rPr>
          <w:lang w:eastAsia="fr-FR" w:bidi="fr-FR"/>
        </w:rPr>
        <w:t>(10)</w:t>
      </w:r>
      <w:r>
        <w:rPr>
          <w:lang w:eastAsia="fr-FR" w:bidi="fr-FR"/>
        </w:rPr>
        <w:tab/>
      </w:r>
      <w:r w:rsidRPr="00AB71A5">
        <w:rPr>
          <w:lang w:eastAsia="fr-FR" w:bidi="fr-FR"/>
        </w:rPr>
        <w:t>La condition (9) s’applique à chacun des niveaux qui const</w:t>
      </w:r>
      <w:r w:rsidRPr="00AB71A5">
        <w:rPr>
          <w:lang w:eastAsia="fr-FR" w:bidi="fr-FR"/>
        </w:rPr>
        <w:t>i</w:t>
      </w:r>
      <w:r w:rsidRPr="00AB71A5">
        <w:rPr>
          <w:lang w:eastAsia="fr-FR" w:bidi="fr-FR"/>
        </w:rPr>
        <w:t>tuent la profondeur d’un éno</w:t>
      </w:r>
      <w:r w:rsidRPr="00AB71A5">
        <w:rPr>
          <w:lang w:eastAsia="fr-FR" w:bidi="fr-FR"/>
        </w:rPr>
        <w:t>n</w:t>
      </w:r>
      <w:r w:rsidRPr="00AB71A5">
        <w:rPr>
          <w:lang w:eastAsia="fr-FR" w:bidi="fr-FR"/>
        </w:rPr>
        <w:t>cé, dans le cas d’un énoncé poly-nivelé ainsi qu’à l’ensemble des su</w:t>
      </w:r>
      <w:r w:rsidRPr="00AB71A5">
        <w:rPr>
          <w:lang w:eastAsia="fr-FR" w:bidi="fr-FR"/>
        </w:rPr>
        <w:t>b</w:t>
      </w:r>
      <w:r w:rsidRPr="00AB71A5">
        <w:rPr>
          <w:lang w:eastAsia="fr-FR" w:bidi="fr-FR"/>
        </w:rPr>
        <w:t>jectivités qui ont parti pris dans cette profo</w:t>
      </w:r>
      <w:r w:rsidRPr="00AB71A5">
        <w:rPr>
          <w:lang w:eastAsia="fr-FR" w:bidi="fr-FR"/>
        </w:rPr>
        <w:t>n</w:t>
      </w:r>
      <w:r w:rsidRPr="00AB71A5">
        <w:rPr>
          <w:lang w:eastAsia="fr-FR" w:bidi="fr-FR"/>
        </w:rPr>
        <w:t>deur.</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Quelques remarques en conclusion : (a) l’ensemble des conditions 1-10 n’est pas exhau</w:t>
      </w:r>
      <w:r w:rsidRPr="00AB71A5">
        <w:rPr>
          <w:lang w:eastAsia="fr-FR" w:bidi="fr-FR"/>
        </w:rPr>
        <w:t>s</w:t>
      </w:r>
      <w:r w:rsidRPr="00AB71A5">
        <w:rPr>
          <w:lang w:eastAsia="fr-FR" w:bidi="fr-FR"/>
        </w:rPr>
        <w:t>tif : on pourrait en ajouter d’autres, (b) Il n’est aucune de ces conditions dont le respect s’inscrive dans le cadre d’une logique du tiers exclu : oui ou non. On peut dire, au contraire, qu’il n’est pas un acte de communication qui les respecte enti</w:t>
      </w:r>
      <w:r w:rsidRPr="00AB71A5">
        <w:rPr>
          <w:lang w:eastAsia="fr-FR" w:bidi="fr-FR"/>
        </w:rPr>
        <w:t>è</w:t>
      </w:r>
      <w:r w:rsidRPr="00AB71A5">
        <w:rPr>
          <w:lang w:eastAsia="fr-FR" w:bidi="fr-FR"/>
        </w:rPr>
        <w:t>rement, de même qu’on n’en peut trouver un seul si raté soit-il, qui dans une ce</w:t>
      </w:r>
      <w:r w:rsidRPr="00AB71A5">
        <w:rPr>
          <w:lang w:eastAsia="fr-FR" w:bidi="fr-FR"/>
        </w:rPr>
        <w:t>r</w:t>
      </w:r>
      <w:r w:rsidRPr="00AB71A5">
        <w:rPr>
          <w:lang w:eastAsia="fr-FR" w:bidi="fr-FR"/>
        </w:rPr>
        <w:t>taine mesure, ne s’y soumette (on doit faire ici exce</w:t>
      </w:r>
      <w:r w:rsidRPr="00AB71A5">
        <w:rPr>
          <w:lang w:eastAsia="fr-FR" w:bidi="fr-FR"/>
        </w:rPr>
        <w:t>p</w:t>
      </w:r>
      <w:r w:rsidRPr="00AB71A5">
        <w:rPr>
          <w:lang w:eastAsia="fr-FR" w:bidi="fr-FR"/>
        </w:rPr>
        <w:t>tion des cas où le canal perceptif chargé de transmettre le sign</w:t>
      </w:r>
      <w:r w:rsidRPr="00AB71A5">
        <w:rPr>
          <w:lang w:eastAsia="fr-FR" w:bidi="fr-FR"/>
        </w:rPr>
        <w:t>i</w:t>
      </w:r>
      <w:r w:rsidRPr="00AB71A5">
        <w:rPr>
          <w:lang w:eastAsia="fr-FR" w:bidi="fr-FR"/>
        </w:rPr>
        <w:t>fiant est définitivement obturé : par exemple, parler à un sourd, ou écrire une lettre à un ave</w:t>
      </w:r>
      <w:r w:rsidRPr="00AB71A5">
        <w:rPr>
          <w:lang w:eastAsia="fr-FR" w:bidi="fr-FR"/>
        </w:rPr>
        <w:t>u</w:t>
      </w:r>
      <w:r w:rsidRPr="00AB71A5">
        <w:rPr>
          <w:lang w:eastAsia="fr-FR" w:bidi="fr-FR"/>
        </w:rPr>
        <w:t>gle), (c) Les conditions qui sont i</w:t>
      </w:r>
      <w:r w:rsidRPr="00AB71A5">
        <w:rPr>
          <w:lang w:eastAsia="fr-FR" w:bidi="fr-FR"/>
        </w:rPr>
        <w:t>m</w:t>
      </w:r>
      <w:r w:rsidRPr="00AB71A5">
        <w:rPr>
          <w:lang w:eastAsia="fr-FR" w:bidi="fr-FR"/>
        </w:rPr>
        <w:t>pliquées par la profondeur de l’énoncé, de même que l’application récurrente de toutes les cond</w:t>
      </w:r>
      <w:r w:rsidRPr="00AB71A5">
        <w:rPr>
          <w:lang w:eastAsia="fr-FR" w:bidi="fr-FR"/>
        </w:rPr>
        <w:t>i</w:t>
      </w:r>
      <w:r w:rsidRPr="00AB71A5">
        <w:rPr>
          <w:lang w:eastAsia="fr-FR" w:bidi="fr-FR"/>
        </w:rPr>
        <w:t>tions énumérées plus haut, aggravent beaucoup le</w:t>
      </w:r>
      <w:r>
        <w:rPr>
          <w:lang w:eastAsia="fr-FR" w:bidi="fr-FR"/>
        </w:rPr>
        <w:t xml:space="preserve"> [115] </w:t>
      </w:r>
      <w:r w:rsidRPr="00AB71A5">
        <w:rPr>
          <w:lang w:eastAsia="fr-FR" w:bidi="fr-FR"/>
        </w:rPr>
        <w:t>constat de Eco sur les risques de désorganisation que doit a</w:t>
      </w:r>
      <w:r w:rsidRPr="00AB71A5">
        <w:rPr>
          <w:lang w:eastAsia="fr-FR" w:bidi="fr-FR"/>
        </w:rPr>
        <w:t>f</w:t>
      </w:r>
      <w:r w:rsidRPr="00AB71A5">
        <w:rPr>
          <w:lang w:eastAsia="fr-FR" w:bidi="fr-FR"/>
        </w:rPr>
        <w:t>fronter la culture. L’acte éléme</w:t>
      </w:r>
      <w:r w:rsidRPr="00AB71A5">
        <w:rPr>
          <w:lang w:eastAsia="fr-FR" w:bidi="fr-FR"/>
        </w:rPr>
        <w:t>n</w:t>
      </w:r>
      <w:r w:rsidRPr="00AB71A5">
        <w:rPr>
          <w:lang w:eastAsia="fr-FR" w:bidi="fr-FR"/>
        </w:rPr>
        <w:t>taire de communication, doit de moins en moins être défini comme une relation joignant deux subjectivités si</w:t>
      </w:r>
      <w:r w:rsidRPr="00AB71A5">
        <w:rPr>
          <w:lang w:eastAsia="fr-FR" w:bidi="fr-FR"/>
        </w:rPr>
        <w:t>m</w:t>
      </w:r>
      <w:r w:rsidRPr="00AB71A5">
        <w:rPr>
          <w:lang w:eastAsia="fr-FR" w:bidi="fr-FR"/>
        </w:rPr>
        <w:t xml:space="preserve">ples, </w:t>
      </w:r>
      <w:r w:rsidRPr="004C1F21">
        <w:rPr>
          <w:i/>
        </w:rPr>
        <w:t>mais comme un processus qui lie deux sy</w:t>
      </w:r>
      <w:r w:rsidRPr="004C1F21">
        <w:rPr>
          <w:i/>
        </w:rPr>
        <w:t>s</w:t>
      </w:r>
      <w:r w:rsidRPr="004C1F21">
        <w:rPr>
          <w:i/>
        </w:rPr>
        <w:t>tèmes de noms propres</w:t>
      </w:r>
      <w:r w:rsidRPr="00AB71A5">
        <w:rPr>
          <w:lang w:eastAsia="fr-FR" w:bidi="fr-FR"/>
        </w:rPr>
        <w:t xml:space="preserve"> (le terme de nom propre étant utilisé comme l’abrégé d’un ensemble si</w:t>
      </w:r>
      <w:r w:rsidRPr="00AB71A5">
        <w:rPr>
          <w:lang w:eastAsia="fr-FR" w:bidi="fr-FR"/>
        </w:rPr>
        <w:t>n</w:t>
      </w:r>
      <w:r w:rsidRPr="00AB71A5">
        <w:rPr>
          <w:lang w:eastAsia="fr-FR" w:bidi="fr-FR"/>
        </w:rPr>
        <w:t>gulier et ouvert de marques).</w:t>
      </w:r>
    </w:p>
    <w:p w:rsidR="00A9729B" w:rsidRPr="00AB71A5" w:rsidRDefault="00A9729B" w:rsidP="00A9729B">
      <w:pPr>
        <w:spacing w:before="120" w:after="120"/>
        <w:jc w:val="both"/>
      </w:pPr>
      <w:r w:rsidRPr="00AB71A5">
        <w:rPr>
          <w:lang w:eastAsia="fr-FR" w:bidi="fr-FR"/>
        </w:rPr>
        <w:t>7. En serions-nous venus à une impasse ? L’ensemble des contrai</w:t>
      </w:r>
      <w:r w:rsidRPr="00AB71A5">
        <w:rPr>
          <w:lang w:eastAsia="fr-FR" w:bidi="fr-FR"/>
        </w:rPr>
        <w:t>n</w:t>
      </w:r>
      <w:r w:rsidRPr="00AB71A5">
        <w:rPr>
          <w:lang w:eastAsia="fr-FR" w:bidi="fr-FR"/>
        </w:rPr>
        <w:t>tes qui grèvent la réussite d’un acte de communication, paraît si lourd qu’il semble nous autoriser à ne voir dans la culture que cet immense désordre, où, d’être si totalement inve</w:t>
      </w:r>
      <w:r w:rsidRPr="00AB71A5">
        <w:rPr>
          <w:lang w:eastAsia="fr-FR" w:bidi="fr-FR"/>
        </w:rPr>
        <w:t>s</w:t>
      </w:r>
      <w:r w:rsidRPr="00AB71A5">
        <w:rPr>
          <w:lang w:eastAsia="fr-FR" w:bidi="fr-FR"/>
        </w:rPr>
        <w:t>ties, les monades esseulées ne parviennent à se confier leur délaiss</w:t>
      </w:r>
      <w:r w:rsidRPr="00AB71A5">
        <w:rPr>
          <w:lang w:eastAsia="fr-FR" w:bidi="fr-FR"/>
        </w:rPr>
        <w:t>e</w:t>
      </w:r>
      <w:r w:rsidRPr="00AB71A5">
        <w:rPr>
          <w:lang w:eastAsia="fr-FR" w:bidi="fr-FR"/>
        </w:rPr>
        <w:t>ment que dans le saisissement d’une commune violence. Cette conséquence que nous croyons à beaucoup d’égards légitime n’est peut-être pas inéluctable et pour le montrer, nous devrons affronter une aporie qui nous permettra de pr</w:t>
      </w:r>
      <w:r w:rsidRPr="00AB71A5">
        <w:rPr>
          <w:lang w:eastAsia="fr-FR" w:bidi="fr-FR"/>
        </w:rPr>
        <w:t>é</w:t>
      </w:r>
      <w:r w:rsidRPr="00AB71A5">
        <w:rPr>
          <w:lang w:eastAsia="fr-FR" w:bidi="fr-FR"/>
        </w:rPr>
        <w:t>ciser davantage en quel sens nous entendons cette expression de sat</w:t>
      </w:r>
      <w:r w:rsidRPr="00AB71A5">
        <w:rPr>
          <w:lang w:eastAsia="fr-FR" w:bidi="fr-FR"/>
        </w:rPr>
        <w:t>u</w:t>
      </w:r>
      <w:r w:rsidRPr="00AB71A5">
        <w:rPr>
          <w:lang w:eastAsia="fr-FR" w:bidi="fr-FR"/>
        </w:rPr>
        <w:t>ration culturelle.</w:t>
      </w:r>
    </w:p>
    <w:p w:rsidR="00A9729B" w:rsidRPr="00AB71A5" w:rsidRDefault="00A9729B" w:rsidP="00A9729B">
      <w:pPr>
        <w:spacing w:before="120" w:after="120"/>
        <w:jc w:val="both"/>
      </w:pPr>
      <w:r w:rsidRPr="00AB71A5">
        <w:rPr>
          <w:lang w:eastAsia="fr-FR" w:bidi="fr-FR"/>
        </w:rPr>
        <w:t>L’aporie pourrait être ainsi formulée : s’il est vrai qu’une suite d’emboîtements, et surtout quand ils</w:t>
      </w:r>
      <w:r>
        <w:rPr>
          <w:lang w:eastAsia="fr-FR" w:bidi="fr-FR"/>
        </w:rPr>
        <w:t xml:space="preserve"> forment une construction auto-</w:t>
      </w:r>
      <w:r w:rsidRPr="00AB71A5">
        <w:rPr>
          <w:lang w:eastAsia="fr-FR" w:bidi="fr-FR"/>
        </w:rPr>
        <w:t>e</w:t>
      </w:r>
      <w:r w:rsidRPr="00AB71A5">
        <w:rPr>
          <w:lang w:eastAsia="fr-FR" w:bidi="fr-FR"/>
        </w:rPr>
        <w:t>n</w:t>
      </w:r>
      <w:r w:rsidRPr="00AB71A5">
        <w:rPr>
          <w:lang w:eastAsia="fr-FR" w:bidi="fr-FR"/>
        </w:rPr>
        <w:t>châssée, abaisse l’acceptabilité de l’énoncé qui la porte, il devrait s’ensuivre que nous avons délibérément choisi de r</w:t>
      </w:r>
      <w:r w:rsidRPr="00AB71A5">
        <w:rPr>
          <w:lang w:eastAsia="fr-FR" w:bidi="fr-FR"/>
        </w:rPr>
        <w:t>é</w:t>
      </w:r>
      <w:r w:rsidRPr="00AB71A5">
        <w:rPr>
          <w:lang w:eastAsia="fr-FR" w:bidi="fr-FR"/>
        </w:rPr>
        <w:t>duire l’acceptabilité de notre propre discours en a</w:t>
      </w:r>
      <w:r w:rsidRPr="00AB71A5">
        <w:rPr>
          <w:lang w:eastAsia="fr-FR" w:bidi="fr-FR"/>
        </w:rPr>
        <w:t>l</w:t>
      </w:r>
      <w:r w:rsidRPr="00AB71A5">
        <w:rPr>
          <w:lang w:eastAsia="fr-FR" w:bidi="fr-FR"/>
        </w:rPr>
        <w:t>longeant la formule quasi saturée :</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 K parle de S’ qui parle de D” qui parle de... » d’un</w:t>
      </w:r>
    </w:p>
    <w:p w:rsidR="00A9729B" w:rsidRPr="00AB71A5" w:rsidRDefault="00A9729B" w:rsidP="00A9729B">
      <w:pPr>
        <w:spacing w:before="120" w:after="120"/>
        <w:jc w:val="both"/>
      </w:pPr>
      <w:r w:rsidRPr="00AB71A5">
        <w:rPr>
          <w:lang w:eastAsia="fr-FR" w:bidi="fr-FR"/>
        </w:rPr>
        <w:t>« Brodeur parle de K’ qui parle de S” qui parle de D’” qui pa</w:t>
      </w:r>
      <w:r w:rsidRPr="00AB71A5">
        <w:rPr>
          <w:lang w:eastAsia="fr-FR" w:bidi="fr-FR"/>
        </w:rPr>
        <w:t>r</w:t>
      </w:r>
      <w:r w:rsidRPr="00AB71A5">
        <w:rPr>
          <w:lang w:eastAsia="fr-FR" w:bidi="fr-FR"/>
        </w:rPr>
        <w:t>le</w:t>
      </w:r>
      <w:r>
        <w:rPr>
          <w:lang w:eastAsia="fr-FR" w:bidi="fr-FR"/>
        </w:rPr>
        <w:t xml:space="preserve"> </w:t>
      </w:r>
      <w:r w:rsidRPr="00AB71A5">
        <w:rPr>
          <w:lang w:eastAsia="fr-FR" w:bidi="fr-FR"/>
        </w:rPr>
        <w:t>de... »</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L’objection n’est pas aussi décisive qu’il y paraît au premier abord. Avant d’y parer, il nous faut toutefois lui rendre sa just</w:t>
      </w:r>
      <w:r w:rsidRPr="00AB71A5">
        <w:rPr>
          <w:lang w:eastAsia="fr-FR" w:bidi="fr-FR"/>
        </w:rPr>
        <w:t>i</w:t>
      </w:r>
      <w:r w:rsidRPr="00AB71A5">
        <w:rPr>
          <w:lang w:eastAsia="fr-FR" w:bidi="fr-FR"/>
        </w:rPr>
        <w:t>ce. Bien que nous contestions que cette objection soit décisive — qu’elle rende vain notre effort — un souci élémentaire de cohérence doit nous am</w:t>
      </w:r>
      <w:r w:rsidRPr="00AB71A5">
        <w:rPr>
          <w:lang w:eastAsia="fr-FR" w:bidi="fr-FR"/>
        </w:rPr>
        <w:t>e</w:t>
      </w:r>
      <w:r w:rsidRPr="00AB71A5">
        <w:rPr>
          <w:lang w:eastAsia="fr-FR" w:bidi="fr-FR"/>
        </w:rPr>
        <w:t>ner à reco</w:t>
      </w:r>
      <w:r w:rsidRPr="00AB71A5">
        <w:rPr>
          <w:lang w:eastAsia="fr-FR" w:bidi="fr-FR"/>
        </w:rPr>
        <w:t>n</w:t>
      </w:r>
      <w:r w:rsidRPr="00AB71A5">
        <w:rPr>
          <w:lang w:eastAsia="fr-FR" w:bidi="fr-FR"/>
        </w:rPr>
        <w:t>naître que dans une mesure qui varie avec les différents lecteurs de ce texte, elle nous atteint. Le travail auquel nous nous l</w:t>
      </w:r>
      <w:r w:rsidRPr="00AB71A5">
        <w:rPr>
          <w:lang w:eastAsia="fr-FR" w:bidi="fr-FR"/>
        </w:rPr>
        <w:t>i</w:t>
      </w:r>
      <w:r w:rsidRPr="00AB71A5">
        <w:rPr>
          <w:lang w:eastAsia="fr-FR" w:bidi="fr-FR"/>
        </w:rPr>
        <w:t>vrons est fortement sédimenté et malgré nos efforts pour être explic</w:t>
      </w:r>
      <w:r w:rsidRPr="00AB71A5">
        <w:rPr>
          <w:lang w:eastAsia="fr-FR" w:bidi="fr-FR"/>
        </w:rPr>
        <w:t>i</w:t>
      </w:r>
      <w:r w:rsidRPr="00AB71A5">
        <w:rPr>
          <w:lang w:eastAsia="fr-FR" w:bidi="fr-FR"/>
        </w:rPr>
        <w:t>te, il ne fait pas de doute que nos énoncés sont délestés d’une pa</w:t>
      </w:r>
      <w:r w:rsidRPr="00AB71A5">
        <w:rPr>
          <w:lang w:eastAsia="fr-FR" w:bidi="fr-FR"/>
        </w:rPr>
        <w:t>r</w:t>
      </w:r>
      <w:r w:rsidRPr="00AB71A5">
        <w:rPr>
          <w:lang w:eastAsia="fr-FR" w:bidi="fr-FR"/>
        </w:rPr>
        <w:t>tie de leur sens par chacune des contraintes que nous avons p</w:t>
      </w:r>
      <w:r w:rsidRPr="00AB71A5">
        <w:rPr>
          <w:lang w:eastAsia="fr-FR" w:bidi="fr-FR"/>
        </w:rPr>
        <w:t>o</w:t>
      </w:r>
      <w:r w:rsidRPr="00AB71A5">
        <w:rPr>
          <w:lang w:eastAsia="fr-FR" w:bidi="fr-FR"/>
        </w:rPr>
        <w:t>sées à l’échange de l’information.</w:t>
      </w:r>
    </w:p>
    <w:p w:rsidR="00A9729B" w:rsidRDefault="00A9729B" w:rsidP="00A9729B">
      <w:pPr>
        <w:spacing w:before="120" w:after="120"/>
        <w:jc w:val="both"/>
        <w:rPr>
          <w:lang w:eastAsia="fr-FR" w:bidi="fr-FR"/>
        </w:rPr>
      </w:pPr>
      <w:r w:rsidRPr="00AB71A5">
        <w:rPr>
          <w:lang w:eastAsia="fr-FR" w:bidi="fr-FR"/>
        </w:rPr>
        <w:t>Cette admission faite, e</w:t>
      </w:r>
      <w:r w:rsidRPr="00AB71A5">
        <w:rPr>
          <w:lang w:eastAsia="fr-FR" w:bidi="fr-FR"/>
        </w:rPr>
        <w:t>s</w:t>
      </w:r>
      <w:r w:rsidRPr="00AB71A5">
        <w:rPr>
          <w:lang w:eastAsia="fr-FR" w:bidi="fr-FR"/>
        </w:rPr>
        <w:t>sayons de discuter l’objection. Il nous faut faire d’abord une distinction entre deux types d’enchâssements, et pa</w:t>
      </w:r>
      <w:r w:rsidRPr="00AB71A5">
        <w:rPr>
          <w:lang w:eastAsia="fr-FR" w:bidi="fr-FR"/>
        </w:rPr>
        <w:t>r</w:t>
      </w:r>
      <w:r w:rsidRPr="00AB71A5">
        <w:rPr>
          <w:lang w:eastAsia="fr-FR" w:bidi="fr-FR"/>
        </w:rPr>
        <w:t>tant, e</w:t>
      </w:r>
      <w:r w:rsidRPr="00AB71A5">
        <w:rPr>
          <w:lang w:eastAsia="fr-FR" w:bidi="fr-FR"/>
        </w:rPr>
        <w:t>n</w:t>
      </w:r>
      <w:r w:rsidRPr="00AB71A5">
        <w:rPr>
          <w:lang w:eastAsia="fr-FR" w:bidi="fr-FR"/>
        </w:rPr>
        <w:t>tre deux types d’inacceptabilité. Soit ces deux exemples :</w:t>
      </w:r>
    </w:p>
    <w:p w:rsidR="00A9729B" w:rsidRPr="00AB71A5" w:rsidRDefault="00A9729B" w:rsidP="00A9729B">
      <w:pPr>
        <w:spacing w:before="120" w:after="120"/>
        <w:jc w:val="both"/>
      </w:pPr>
      <w:r>
        <w:rPr>
          <w:lang w:eastAsia="fr-FR" w:bidi="fr-FR"/>
        </w:rPr>
        <w:t>[116]</w:t>
      </w:r>
    </w:p>
    <w:p w:rsidR="00A9729B" w:rsidRDefault="00A9729B" w:rsidP="00A9729B">
      <w:pPr>
        <w:spacing w:before="120" w:after="120"/>
        <w:jc w:val="both"/>
        <w:rPr>
          <w:lang w:eastAsia="fr-FR" w:bidi="fr-FR"/>
        </w:rPr>
      </w:pPr>
    </w:p>
    <w:p w:rsidR="00A9729B" w:rsidRPr="00AB71A5" w:rsidRDefault="00A9729B" w:rsidP="00A9729B">
      <w:pPr>
        <w:spacing w:before="120" w:after="120"/>
        <w:ind w:left="900" w:hanging="540"/>
        <w:jc w:val="both"/>
      </w:pPr>
      <w:r>
        <w:rPr>
          <w:lang w:eastAsia="fr-FR" w:bidi="fr-FR"/>
        </w:rPr>
        <w:t>(1)</w:t>
      </w:r>
      <w:r>
        <w:rPr>
          <w:lang w:eastAsia="fr-FR" w:bidi="fr-FR"/>
        </w:rPr>
        <w:tab/>
      </w:r>
      <w:r w:rsidRPr="00AB71A5">
        <w:rPr>
          <w:lang w:eastAsia="fr-FR" w:bidi="fr-FR"/>
        </w:rPr>
        <w:t>Ce petit garçon, que sa mère, qui aime se vêtir en homme,</w:t>
      </w:r>
      <w:r>
        <w:rPr>
          <w:lang w:eastAsia="fr-FR" w:bidi="fr-FR"/>
        </w:rPr>
        <w:t xml:space="preserve"> </w:t>
      </w:r>
      <w:r w:rsidRPr="00AB71A5">
        <w:rPr>
          <w:lang w:eastAsia="fr-FR" w:bidi="fr-FR"/>
        </w:rPr>
        <w:t>h</w:t>
      </w:r>
      <w:r w:rsidRPr="00AB71A5">
        <w:rPr>
          <w:lang w:eastAsia="fr-FR" w:bidi="fr-FR"/>
        </w:rPr>
        <w:t>a</w:t>
      </w:r>
      <w:r w:rsidRPr="00AB71A5">
        <w:rPr>
          <w:lang w:eastAsia="fr-FR" w:bidi="fr-FR"/>
        </w:rPr>
        <w:t>bille en p</w:t>
      </w:r>
      <w:r w:rsidRPr="00AB71A5">
        <w:rPr>
          <w:lang w:eastAsia="fr-FR" w:bidi="fr-FR"/>
        </w:rPr>
        <w:t>e</w:t>
      </w:r>
      <w:r w:rsidRPr="00AB71A5">
        <w:rPr>
          <w:lang w:eastAsia="fr-FR" w:bidi="fr-FR"/>
        </w:rPr>
        <w:t>tite fille, préférera plus tard les petits garçons aux pet</w:t>
      </w:r>
      <w:r w:rsidRPr="00AB71A5">
        <w:rPr>
          <w:lang w:eastAsia="fr-FR" w:bidi="fr-FR"/>
        </w:rPr>
        <w:t>i</w:t>
      </w:r>
      <w:r w:rsidRPr="00AB71A5">
        <w:rPr>
          <w:lang w:eastAsia="fr-FR" w:bidi="fr-FR"/>
        </w:rPr>
        <w:t>tes filles.</w:t>
      </w:r>
    </w:p>
    <w:p w:rsidR="00A9729B" w:rsidRPr="00AB71A5" w:rsidRDefault="00A9729B" w:rsidP="00A9729B">
      <w:pPr>
        <w:spacing w:before="120" w:after="120"/>
        <w:ind w:left="900" w:hanging="540"/>
        <w:jc w:val="both"/>
      </w:pPr>
      <w:r>
        <w:rPr>
          <w:lang w:eastAsia="fr-FR" w:bidi="fr-FR"/>
        </w:rPr>
        <w:t>(2)</w:t>
      </w:r>
      <w:r>
        <w:rPr>
          <w:lang w:eastAsia="fr-FR" w:bidi="fr-FR"/>
        </w:rPr>
        <w:tab/>
      </w:r>
      <w:r w:rsidRPr="00AB71A5">
        <w:rPr>
          <w:lang w:eastAsia="fr-FR" w:bidi="fr-FR"/>
        </w:rPr>
        <w:t>Le fils de la femme de l’unique frère de mon grand-oncle</w:t>
      </w:r>
      <w:r>
        <w:rPr>
          <w:lang w:eastAsia="fr-FR" w:bidi="fr-FR"/>
        </w:rPr>
        <w:t xml:space="preserve"> </w:t>
      </w:r>
      <w:r w:rsidRPr="00AB71A5">
        <w:rPr>
          <w:lang w:eastAsia="fr-FR" w:bidi="fr-FR"/>
        </w:rPr>
        <w:t>est malade.</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Il est assez manifeste que de ces deux phrases, c’est la s</w:t>
      </w:r>
      <w:r w:rsidRPr="00AB71A5">
        <w:rPr>
          <w:lang w:eastAsia="fr-FR" w:bidi="fr-FR"/>
        </w:rPr>
        <w:t>e</w:t>
      </w:r>
      <w:r w:rsidRPr="00AB71A5">
        <w:rPr>
          <w:lang w:eastAsia="fr-FR" w:bidi="fr-FR"/>
        </w:rPr>
        <w:t>conde qui est la moins acceptable et que le défaut d’acceptabilité de ces deux phrases ressortit à des raisons sensiblement différentes. La difficulté d’appréhender la première tient à l’effort qu’il faut fournir pour faire la synthèse d’un ensemble complexe de d</w:t>
      </w:r>
      <w:r w:rsidRPr="00AB71A5">
        <w:rPr>
          <w:lang w:eastAsia="fr-FR" w:bidi="fr-FR"/>
        </w:rPr>
        <w:t>é</w:t>
      </w:r>
      <w:r w:rsidRPr="00AB71A5">
        <w:rPr>
          <w:lang w:eastAsia="fr-FR" w:bidi="fr-FR"/>
        </w:rPr>
        <w:t>terminations dont la trop grande dispersion — on y parle d’un petit garçon au présent, puis au f</w:t>
      </w:r>
      <w:r w:rsidRPr="00AB71A5">
        <w:rPr>
          <w:lang w:eastAsia="fr-FR" w:bidi="fr-FR"/>
        </w:rPr>
        <w:t>u</w:t>
      </w:r>
      <w:r w:rsidRPr="00AB71A5">
        <w:rPr>
          <w:lang w:eastAsia="fr-FR" w:bidi="fr-FR"/>
        </w:rPr>
        <w:t>tur, et on caractérise sa mère — semble proscrire qu’on puisse les faire tenir ensemble. La résistance qu’offre la seconde peut se</w:t>
      </w:r>
      <w:r w:rsidRPr="00AB71A5">
        <w:rPr>
          <w:lang w:eastAsia="fr-FR" w:bidi="fr-FR"/>
        </w:rPr>
        <w:t>m</w:t>
      </w:r>
      <w:r w:rsidRPr="00AB71A5">
        <w:rPr>
          <w:lang w:eastAsia="fr-FR" w:bidi="fr-FR"/>
        </w:rPr>
        <w:t xml:space="preserve">bler inverse : on achoppe à identifier </w:t>
      </w:r>
      <w:r w:rsidRPr="004C1F21">
        <w:rPr>
          <w:i/>
        </w:rPr>
        <w:t>l’unique objet</w:t>
      </w:r>
      <w:r w:rsidRPr="00AB71A5">
        <w:rPr>
          <w:lang w:eastAsia="fr-FR" w:bidi="fr-FR"/>
        </w:rPr>
        <w:t xml:space="preserve"> auquel réfère la form</w:t>
      </w:r>
      <w:r w:rsidRPr="00AB71A5">
        <w:rPr>
          <w:lang w:eastAsia="fr-FR" w:bidi="fr-FR"/>
        </w:rPr>
        <w:t>u</w:t>
      </w:r>
      <w:r w:rsidRPr="00AB71A5">
        <w:rPr>
          <w:lang w:eastAsia="fr-FR" w:bidi="fr-FR"/>
        </w:rPr>
        <w:t>le compliquée qui préc</w:t>
      </w:r>
      <w:r w:rsidRPr="00AB71A5">
        <w:rPr>
          <w:lang w:eastAsia="fr-FR" w:bidi="fr-FR"/>
        </w:rPr>
        <w:t>è</w:t>
      </w:r>
      <w:r w:rsidRPr="00AB71A5">
        <w:rPr>
          <w:lang w:eastAsia="fr-FR" w:bidi="fr-FR"/>
        </w:rPr>
        <w:t>de le verbe. Comme de nos deux phrases c’est la seconde dont le défaut d’acceptabilité est le plus radical, nous r</w:t>
      </w:r>
      <w:r w:rsidRPr="00AB71A5">
        <w:rPr>
          <w:lang w:eastAsia="fr-FR" w:bidi="fr-FR"/>
        </w:rPr>
        <w:t>e</w:t>
      </w:r>
      <w:r w:rsidRPr="00AB71A5">
        <w:rPr>
          <w:lang w:eastAsia="fr-FR" w:bidi="fr-FR"/>
        </w:rPr>
        <w:t>tiendrons dans ce premier temps de la discussion, que la con</w:t>
      </w:r>
      <w:r w:rsidRPr="00AB71A5">
        <w:rPr>
          <w:lang w:eastAsia="fr-FR" w:bidi="fr-FR"/>
        </w:rPr>
        <w:t>s</w:t>
      </w:r>
      <w:r w:rsidRPr="00AB71A5">
        <w:rPr>
          <w:lang w:eastAsia="fr-FR" w:bidi="fr-FR"/>
        </w:rPr>
        <w:t>truction d’énoncés que l’on présume la moins acce</w:t>
      </w:r>
      <w:r w:rsidRPr="00AB71A5">
        <w:rPr>
          <w:lang w:eastAsia="fr-FR" w:bidi="fr-FR"/>
        </w:rPr>
        <w:t>p</w:t>
      </w:r>
      <w:r w:rsidRPr="00AB71A5">
        <w:rPr>
          <w:lang w:eastAsia="fr-FR" w:bidi="fr-FR"/>
        </w:rPr>
        <w:t>table est celle qui enchaîne cet énoncé tout entier à un référent unique, dont on décrète qu’il ne doit être que l’occasion. Toute insistance de l’énoncé à être — ne s</w:t>
      </w:r>
      <w:r w:rsidRPr="00AB71A5">
        <w:rPr>
          <w:lang w:eastAsia="fr-FR" w:bidi="fr-FR"/>
        </w:rPr>
        <w:t>e</w:t>
      </w:r>
      <w:r w:rsidRPr="00AB71A5">
        <w:rPr>
          <w:lang w:eastAsia="fr-FR" w:bidi="fr-FR"/>
        </w:rPr>
        <w:t>rait-ce que par la longueur — n’apparaît dès lors que co</w:t>
      </w:r>
      <w:r w:rsidRPr="00AB71A5">
        <w:rPr>
          <w:lang w:eastAsia="fr-FR" w:bidi="fr-FR"/>
        </w:rPr>
        <w:t>m</w:t>
      </w:r>
      <w:r w:rsidRPr="00AB71A5">
        <w:rPr>
          <w:lang w:eastAsia="fr-FR" w:bidi="fr-FR"/>
        </w:rPr>
        <w:t>me un ajournement du sens et un obstacle qu’il faut abolir pour que l’objet se montre : quand on a calculé que le référent de la phrase reproduite dans notre second exemple est le père du loc</w:t>
      </w:r>
      <w:r w:rsidRPr="00AB71A5">
        <w:rPr>
          <w:lang w:eastAsia="fr-FR" w:bidi="fr-FR"/>
        </w:rPr>
        <w:t>u</w:t>
      </w:r>
      <w:r w:rsidRPr="00AB71A5">
        <w:rPr>
          <w:lang w:eastAsia="fr-FR" w:bidi="fr-FR"/>
        </w:rPr>
        <w:t>teur, on la rature pour lui subst</w:t>
      </w:r>
      <w:r w:rsidRPr="00AB71A5">
        <w:rPr>
          <w:lang w:eastAsia="fr-FR" w:bidi="fr-FR"/>
        </w:rPr>
        <w:t>i</w:t>
      </w:r>
      <w:r w:rsidRPr="00AB71A5">
        <w:rPr>
          <w:lang w:eastAsia="fr-FR" w:bidi="fr-FR"/>
        </w:rPr>
        <w:t>tuer les mots « mon père » qui nous tiennent dans une plus grande proximité de ce référent. Or, s’il incombe au producteur d’un message de réduire la dispersion de l’information que porte ses éno</w:t>
      </w:r>
      <w:r w:rsidRPr="00AB71A5">
        <w:rPr>
          <w:lang w:eastAsia="fr-FR" w:bidi="fr-FR"/>
        </w:rPr>
        <w:t>n</w:t>
      </w:r>
      <w:r w:rsidRPr="00AB71A5">
        <w:rPr>
          <w:lang w:eastAsia="fr-FR" w:bidi="fr-FR"/>
        </w:rPr>
        <w:t>cés, il n’est pas sûr que ce ne soit pas à la masse de ses récepteurs qu’il appartienne de renoncer au leurre qui est à l’origine de la pos</w:t>
      </w:r>
      <w:r w:rsidRPr="00AB71A5">
        <w:rPr>
          <w:lang w:eastAsia="fr-FR" w:bidi="fr-FR"/>
        </w:rPr>
        <w:t>i</w:t>
      </w:r>
      <w:r w:rsidRPr="00AB71A5">
        <w:rPr>
          <w:lang w:eastAsia="fr-FR" w:bidi="fr-FR"/>
        </w:rPr>
        <w:t>tion du second type — le plus radical — d’inacceptabilité.</w:t>
      </w:r>
    </w:p>
    <w:p w:rsidR="00A9729B" w:rsidRPr="00AB71A5" w:rsidRDefault="00A9729B" w:rsidP="00A9729B">
      <w:pPr>
        <w:spacing w:before="120" w:after="120"/>
        <w:jc w:val="both"/>
      </w:pPr>
      <w:r w:rsidRPr="00AB71A5">
        <w:rPr>
          <w:lang w:eastAsia="fr-FR" w:bidi="fr-FR"/>
        </w:rPr>
        <w:t>Nous avons en effet écrit dans une note, dont nous avons soul</w:t>
      </w:r>
      <w:r w:rsidRPr="00AB71A5">
        <w:rPr>
          <w:lang w:eastAsia="fr-FR" w:bidi="fr-FR"/>
        </w:rPr>
        <w:t>i</w:t>
      </w:r>
      <w:r w:rsidRPr="00AB71A5">
        <w:rPr>
          <w:lang w:eastAsia="fr-FR" w:bidi="fr-FR"/>
        </w:rPr>
        <w:t>gné l’importance, que la traduction qui rendait véritablement problémat</w:t>
      </w:r>
      <w:r w:rsidRPr="00AB71A5">
        <w:rPr>
          <w:lang w:eastAsia="fr-FR" w:bidi="fr-FR"/>
        </w:rPr>
        <w:t>i</w:t>
      </w:r>
      <w:r w:rsidRPr="00AB71A5">
        <w:rPr>
          <w:lang w:eastAsia="fr-FR" w:bidi="fr-FR"/>
        </w:rPr>
        <w:t>que pour le succès d’une communication, une série d’enchâssements, était ambiguë. Cette traduction, rappelons-le, consistait dans le pass</w:t>
      </w:r>
      <w:r w:rsidRPr="00AB71A5">
        <w:rPr>
          <w:lang w:eastAsia="fr-FR" w:bidi="fr-FR"/>
        </w:rPr>
        <w:t>a</w:t>
      </w:r>
      <w:r w:rsidRPr="00AB71A5">
        <w:rPr>
          <w:lang w:eastAsia="fr-FR" w:bidi="fr-FR"/>
        </w:rPr>
        <w:t>ge d’une matrice du type :</w:t>
      </w:r>
    </w:p>
    <w:p w:rsidR="00A9729B" w:rsidRDefault="00A9729B" w:rsidP="00A9729B">
      <w:pPr>
        <w:spacing w:before="120" w:after="120"/>
        <w:jc w:val="both"/>
        <w:rPr>
          <w:lang w:eastAsia="fr-FR" w:bidi="fr-FR"/>
        </w:rPr>
      </w:pPr>
    </w:p>
    <w:p w:rsidR="00A9729B" w:rsidRDefault="00A9729B" w:rsidP="00A9729B">
      <w:pPr>
        <w:spacing w:before="120" w:after="120"/>
        <w:jc w:val="both"/>
        <w:rPr>
          <w:lang w:eastAsia="fr-FR" w:bidi="fr-FR"/>
        </w:rPr>
      </w:pPr>
      <w:r>
        <w:rPr>
          <w:lang w:eastAsia="fr-FR" w:bidi="fr-FR"/>
        </w:rPr>
        <w:t xml:space="preserve">(x) </w:t>
      </w:r>
      <w:r w:rsidRPr="00AB71A5">
        <w:rPr>
          <w:lang w:eastAsia="fr-FR" w:bidi="fr-FR"/>
        </w:rPr>
        <w:t xml:space="preserve">« Le discours de A a pour </w:t>
      </w:r>
      <w:r w:rsidRPr="004C1F21">
        <w:rPr>
          <w:i/>
        </w:rPr>
        <w:t>objet</w:t>
      </w:r>
      <w:r w:rsidRPr="00AB71A5">
        <w:rPr>
          <w:lang w:eastAsia="fr-FR" w:bidi="fr-FR"/>
        </w:rPr>
        <w:t xml:space="preserve"> le discours de B qui... » en la fo</w:t>
      </w:r>
      <w:r w:rsidRPr="00AB71A5">
        <w:rPr>
          <w:lang w:eastAsia="fr-FR" w:bidi="fr-FR"/>
        </w:rPr>
        <w:t>r</w:t>
      </w:r>
      <w:r w:rsidRPr="00AB71A5">
        <w:rPr>
          <w:lang w:eastAsia="fr-FR" w:bidi="fr-FR"/>
        </w:rPr>
        <w:t>mule plus explicitée</w:t>
      </w:r>
    </w:p>
    <w:p w:rsidR="00A9729B" w:rsidRDefault="00A9729B" w:rsidP="00A9729B">
      <w:pPr>
        <w:spacing w:before="120" w:after="120"/>
        <w:jc w:val="both"/>
      </w:pPr>
    </w:p>
    <w:p w:rsidR="00A9729B" w:rsidRPr="00AB71A5" w:rsidRDefault="00A9729B" w:rsidP="00A9729B">
      <w:pPr>
        <w:spacing w:before="120" w:after="120"/>
        <w:jc w:val="both"/>
      </w:pPr>
      <w:r>
        <w:rPr>
          <w:lang w:eastAsia="fr-FR" w:bidi="fr-FR"/>
        </w:rPr>
        <w:t>[117]</w:t>
      </w:r>
    </w:p>
    <w:p w:rsidR="00A9729B" w:rsidRPr="00AB71A5" w:rsidRDefault="00A9729B" w:rsidP="00A9729B">
      <w:pPr>
        <w:spacing w:before="120" w:after="120"/>
        <w:jc w:val="both"/>
      </w:pPr>
      <w:r w:rsidRPr="00AB71A5">
        <w:rPr>
          <w:lang w:eastAsia="fr-FR" w:bidi="fr-FR"/>
        </w:rPr>
        <w:t>(y)</w:t>
      </w:r>
      <w:r>
        <w:rPr>
          <w:lang w:eastAsia="fr-FR" w:bidi="fr-FR"/>
        </w:rPr>
        <w:t xml:space="preserve"> </w:t>
      </w:r>
      <w:r w:rsidRPr="00AB71A5">
        <w:rPr>
          <w:lang w:eastAsia="fr-FR" w:bidi="fr-FR"/>
        </w:rPr>
        <w:t xml:space="preserve">« Le discours de A a pour </w:t>
      </w:r>
      <w:r w:rsidRPr="00AB71A5">
        <w:t>contenu</w:t>
      </w:r>
      <w:r w:rsidRPr="00AB71A5">
        <w:rPr>
          <w:lang w:eastAsia="fr-FR" w:bidi="fr-FR"/>
        </w:rPr>
        <w:t xml:space="preserve"> le discours de B qui... » d’où l’on pouvait conjectuer une altération croissante d’un te</w:t>
      </w:r>
      <w:r w:rsidRPr="00AB71A5">
        <w:rPr>
          <w:lang w:eastAsia="fr-FR" w:bidi="fr-FR"/>
        </w:rPr>
        <w:t>x</w:t>
      </w:r>
      <w:r w:rsidRPr="00AB71A5">
        <w:rPr>
          <w:lang w:eastAsia="fr-FR" w:bidi="fr-FR"/>
        </w:rPr>
        <w:t>te originel commun d’une e</w:t>
      </w:r>
      <w:r w:rsidRPr="00AB71A5">
        <w:rPr>
          <w:lang w:eastAsia="fr-FR" w:bidi="fr-FR"/>
        </w:rPr>
        <w:t>x</w:t>
      </w:r>
      <w:r w:rsidRPr="00AB71A5">
        <w:rPr>
          <w:lang w:eastAsia="fr-FR" w:bidi="fr-FR"/>
        </w:rPr>
        <w:t>trémité de la chaîne à l’autre. Cette conjecture, il faut maintenant le reconnaître, reposait sur une interprét</w:t>
      </w:r>
      <w:r w:rsidRPr="00AB71A5">
        <w:rPr>
          <w:lang w:eastAsia="fr-FR" w:bidi="fr-FR"/>
        </w:rPr>
        <w:t>a</w:t>
      </w:r>
      <w:r w:rsidRPr="00AB71A5">
        <w:rPr>
          <w:lang w:eastAsia="fr-FR" w:bidi="fr-FR"/>
        </w:rPr>
        <w:t>tion — la plus immédiate et la plus courante — de la matrice Y : cette interpr</w:t>
      </w:r>
      <w:r w:rsidRPr="00AB71A5">
        <w:rPr>
          <w:lang w:eastAsia="fr-FR" w:bidi="fr-FR"/>
        </w:rPr>
        <w:t>é</w:t>
      </w:r>
      <w:r w:rsidRPr="00AB71A5">
        <w:rPr>
          <w:lang w:eastAsia="fr-FR" w:bidi="fr-FR"/>
        </w:rPr>
        <w:t>tation qui, fascinée par le sens, égale la formule « avoir pour contenu le di</w:t>
      </w:r>
      <w:r w:rsidRPr="00AB71A5">
        <w:rPr>
          <w:lang w:eastAsia="fr-FR" w:bidi="fr-FR"/>
        </w:rPr>
        <w:t>s</w:t>
      </w:r>
      <w:r w:rsidRPr="00AB71A5">
        <w:rPr>
          <w:lang w:eastAsia="fr-FR" w:bidi="fr-FR"/>
        </w:rPr>
        <w:t xml:space="preserve">cours de B » à cette autre, « avoir pour contenu le </w:t>
      </w:r>
      <w:r w:rsidRPr="00AB71A5">
        <w:t>signifié</w:t>
      </w:r>
      <w:r w:rsidRPr="00AB71A5">
        <w:rPr>
          <w:lang w:eastAsia="fr-FR" w:bidi="fr-FR"/>
        </w:rPr>
        <w:t xml:space="preserve"> du discours de B ». Une chaîne enchâssée qui donnerait l’exemple de ce</w:t>
      </w:r>
      <w:r w:rsidRPr="00AB71A5">
        <w:rPr>
          <w:lang w:eastAsia="fr-FR" w:bidi="fr-FR"/>
        </w:rPr>
        <w:t>t</w:t>
      </w:r>
      <w:r w:rsidRPr="00AB71A5">
        <w:rPr>
          <w:lang w:eastAsia="fr-FR" w:bidi="fr-FR"/>
        </w:rPr>
        <w:t>te première interprétation de la matrice Y, s</w:t>
      </w:r>
      <w:r w:rsidRPr="00AB71A5">
        <w:rPr>
          <w:lang w:eastAsia="fr-FR" w:bidi="fr-FR"/>
        </w:rPr>
        <w:t>e</w:t>
      </w:r>
      <w:r w:rsidRPr="00AB71A5">
        <w:rPr>
          <w:lang w:eastAsia="fr-FR" w:bidi="fr-FR"/>
        </w:rPr>
        <w:t>rait la suivante.</w:t>
      </w:r>
    </w:p>
    <w:p w:rsidR="00A9729B" w:rsidRPr="00AB71A5" w:rsidRDefault="00A9729B" w:rsidP="00A9729B">
      <w:pPr>
        <w:spacing w:before="120" w:after="120"/>
        <w:jc w:val="both"/>
      </w:pPr>
      <w:r w:rsidRPr="00AB71A5">
        <w:rPr>
          <w:lang w:eastAsia="fr-FR" w:bidi="fr-FR"/>
        </w:rPr>
        <w:t>Soit, par exemple, cette phr</w:t>
      </w:r>
      <w:r w:rsidRPr="00AB71A5">
        <w:rPr>
          <w:lang w:eastAsia="fr-FR" w:bidi="fr-FR"/>
        </w:rPr>
        <w:t>a</w:t>
      </w:r>
      <w:r w:rsidRPr="00AB71A5">
        <w:rPr>
          <w:lang w:eastAsia="fr-FR" w:bidi="fr-FR"/>
        </w:rPr>
        <w:t>se intervenant dans un ouvrage d’histoire sur les pré-socratiques :</w:t>
      </w:r>
    </w:p>
    <w:p w:rsidR="00A9729B" w:rsidRPr="00AB71A5" w:rsidRDefault="00A9729B" w:rsidP="00A9729B">
      <w:pPr>
        <w:spacing w:before="120" w:after="120"/>
        <w:jc w:val="both"/>
      </w:pPr>
      <w:r w:rsidRPr="00AB71A5">
        <w:rPr>
          <w:lang w:eastAsia="fr-FR" w:bidi="fr-FR"/>
        </w:rPr>
        <w:t>(z)</w:t>
      </w:r>
      <w:r w:rsidRPr="00AB71A5">
        <w:rPr>
          <w:lang w:eastAsia="fr-FR" w:bidi="fr-FR"/>
        </w:rPr>
        <w:tab/>
        <w:t>Simplicius prétend qu’Aristote a rapporté que Platon enseignait que Parménide s’était opposé à H</w:t>
      </w:r>
      <w:r w:rsidRPr="00AB71A5">
        <w:rPr>
          <w:lang w:eastAsia="fr-FR" w:bidi="fr-FR"/>
        </w:rPr>
        <w:t>é</w:t>
      </w:r>
      <w:r w:rsidRPr="00AB71A5">
        <w:rPr>
          <w:lang w:eastAsia="fr-FR" w:bidi="fr-FR"/>
        </w:rPr>
        <w:t>raclite sur la nature du premier principe.</w:t>
      </w:r>
    </w:p>
    <w:p w:rsidR="00A9729B" w:rsidRPr="00AB71A5" w:rsidRDefault="00A9729B" w:rsidP="00A9729B">
      <w:pPr>
        <w:spacing w:before="120" w:after="120"/>
        <w:jc w:val="both"/>
      </w:pPr>
      <w:r w:rsidRPr="00AB71A5">
        <w:rPr>
          <w:lang w:eastAsia="fr-FR" w:bidi="fr-FR"/>
        </w:rPr>
        <w:t>C’est là le type même d’une chaîne qui est toute entière tirée par son ancre (la querelle de Parménide et d’Héraclite) et que sa longueur — sa profondeur — nous fera ranger parmi les moins acceptables. Mais cette interpr</w:t>
      </w:r>
      <w:r w:rsidRPr="00AB71A5">
        <w:rPr>
          <w:lang w:eastAsia="fr-FR" w:bidi="fr-FR"/>
        </w:rPr>
        <w:t>é</w:t>
      </w:r>
      <w:r w:rsidRPr="00AB71A5">
        <w:rPr>
          <w:lang w:eastAsia="fr-FR" w:bidi="fr-FR"/>
        </w:rPr>
        <w:t>tation de la matrice Y n’est pas la seule possible. Parler d’un discours n’implique pas nécessa</w:t>
      </w:r>
      <w:r w:rsidRPr="00AB71A5">
        <w:rPr>
          <w:lang w:eastAsia="fr-FR" w:bidi="fr-FR"/>
        </w:rPr>
        <w:t>i</w:t>
      </w:r>
      <w:r w:rsidRPr="00AB71A5">
        <w:rPr>
          <w:lang w:eastAsia="fr-FR" w:bidi="fr-FR"/>
        </w:rPr>
        <w:t xml:space="preserve">rement que l’on répète ce qu’il dit : on peut aussi rapporter </w:t>
      </w:r>
      <w:r w:rsidRPr="004C1F21">
        <w:rPr>
          <w:i/>
        </w:rPr>
        <w:t>comment il s'énonce</w:t>
      </w:r>
      <w:r w:rsidRPr="00AB71A5">
        <w:t>.</w:t>
      </w:r>
      <w:r w:rsidRPr="00AB71A5">
        <w:rPr>
          <w:lang w:eastAsia="fr-FR" w:bidi="fr-FR"/>
        </w:rPr>
        <w:t xml:space="preserve"> Dans ce de</w:t>
      </w:r>
      <w:r w:rsidRPr="00AB71A5">
        <w:rPr>
          <w:lang w:eastAsia="fr-FR" w:bidi="fr-FR"/>
        </w:rPr>
        <w:t>r</w:t>
      </w:r>
      <w:r w:rsidRPr="00AB71A5">
        <w:rPr>
          <w:lang w:eastAsia="fr-FR" w:bidi="fr-FR"/>
        </w:rPr>
        <w:t>nier cas, « avoir pour contenu le discours de B » est une form</w:t>
      </w:r>
      <w:r w:rsidRPr="00AB71A5">
        <w:rPr>
          <w:lang w:eastAsia="fr-FR" w:bidi="fr-FR"/>
        </w:rPr>
        <w:t>u</w:t>
      </w:r>
      <w:r w:rsidRPr="00AB71A5">
        <w:rPr>
          <w:lang w:eastAsia="fr-FR" w:bidi="fr-FR"/>
        </w:rPr>
        <w:t xml:space="preserve">le qui s’interprète « avoir pour contenu le </w:t>
      </w:r>
      <w:r w:rsidRPr="004C1F21">
        <w:rPr>
          <w:i/>
        </w:rPr>
        <w:t>sign</w:t>
      </w:r>
      <w:r w:rsidRPr="004C1F21">
        <w:rPr>
          <w:i/>
        </w:rPr>
        <w:t>i</w:t>
      </w:r>
      <w:r w:rsidRPr="004C1F21">
        <w:rPr>
          <w:i/>
        </w:rPr>
        <w:t>fiant</w:t>
      </w:r>
      <w:r w:rsidRPr="00AB71A5">
        <w:rPr>
          <w:lang w:eastAsia="fr-FR" w:bidi="fr-FR"/>
        </w:rPr>
        <w:t xml:space="preserve"> qui porte le discours de B ». En d’autres te</w:t>
      </w:r>
      <w:r w:rsidRPr="00AB71A5">
        <w:rPr>
          <w:lang w:eastAsia="fr-FR" w:bidi="fr-FR"/>
        </w:rPr>
        <w:t>r</w:t>
      </w:r>
      <w:r w:rsidRPr="00AB71A5">
        <w:rPr>
          <w:lang w:eastAsia="fr-FR" w:bidi="fr-FR"/>
        </w:rPr>
        <w:t>mes, le discours de B n’est plus considéré par A comme l’un des nombreux relais qu’il doit trave</w:t>
      </w:r>
      <w:r w:rsidRPr="00AB71A5">
        <w:rPr>
          <w:lang w:eastAsia="fr-FR" w:bidi="fr-FR"/>
        </w:rPr>
        <w:t>r</w:t>
      </w:r>
      <w:r w:rsidRPr="00AB71A5">
        <w:rPr>
          <w:lang w:eastAsia="fr-FR" w:bidi="fr-FR"/>
        </w:rPr>
        <w:t>ser pour s’approcher d’une orig</w:t>
      </w:r>
      <w:r w:rsidRPr="00AB71A5">
        <w:rPr>
          <w:lang w:eastAsia="fr-FR" w:bidi="fr-FR"/>
        </w:rPr>
        <w:t>i</w:t>
      </w:r>
      <w:r w:rsidRPr="00AB71A5">
        <w:rPr>
          <w:lang w:eastAsia="fr-FR" w:bidi="fr-FR"/>
        </w:rPr>
        <w:t>ne, mais il est posé en lui-même, dans ses propriétés d’expression, que, pour les contraster aux précédentes, nous appell</w:t>
      </w:r>
      <w:r w:rsidRPr="00AB71A5">
        <w:rPr>
          <w:lang w:eastAsia="fr-FR" w:bidi="fr-FR"/>
        </w:rPr>
        <w:t>e</w:t>
      </w:r>
      <w:r w:rsidRPr="00AB71A5">
        <w:rPr>
          <w:lang w:eastAsia="fr-FR" w:bidi="fr-FR"/>
        </w:rPr>
        <w:t>rons forme</w:t>
      </w:r>
      <w:r w:rsidRPr="00AB71A5">
        <w:rPr>
          <w:lang w:eastAsia="fr-FR" w:bidi="fr-FR"/>
        </w:rPr>
        <w:t>l</w:t>
      </w:r>
      <w:r w:rsidRPr="00AB71A5">
        <w:rPr>
          <w:lang w:eastAsia="fr-FR" w:bidi="fr-FR"/>
        </w:rPr>
        <w:t>les, et par lesquelles il peut constituer l’objet suffisant du discours de A. La complexité d’une suite d’enchâssements, comme le montreront les deux exemples qui suivent, n’apparaît plus dès lors comme décisive puisque la chaîne des renvois se bloque au premier discours dont les propriétés formelles font l’objet d’une théorisation explic</w:t>
      </w:r>
      <w:r w:rsidRPr="00AB71A5">
        <w:rPr>
          <w:lang w:eastAsia="fr-FR" w:bidi="fr-FR"/>
        </w:rPr>
        <w:t>i</w:t>
      </w:r>
      <w:r w:rsidRPr="00AB71A5">
        <w:rPr>
          <w:lang w:eastAsia="fr-FR" w:bidi="fr-FR"/>
        </w:rPr>
        <w:t>te.</w:t>
      </w:r>
    </w:p>
    <w:p w:rsidR="00A9729B" w:rsidRPr="00AB71A5" w:rsidRDefault="00A9729B" w:rsidP="00A9729B">
      <w:pPr>
        <w:spacing w:before="120" w:after="120"/>
        <w:ind w:left="900" w:hanging="540"/>
        <w:jc w:val="both"/>
      </w:pPr>
      <w:r w:rsidRPr="00AB71A5">
        <w:rPr>
          <w:lang w:eastAsia="fr-FR" w:bidi="fr-FR"/>
        </w:rPr>
        <w:t>(u)</w:t>
      </w:r>
      <w:r w:rsidRPr="00AB71A5">
        <w:rPr>
          <w:lang w:eastAsia="fr-FR" w:bidi="fr-FR"/>
        </w:rPr>
        <w:tab/>
        <w:t xml:space="preserve">Simplicius prétend qu’Aristote a rapporté au livre </w:t>
      </w:r>
      <w:r w:rsidRPr="004C1F21">
        <w:rPr>
          <w:i/>
        </w:rPr>
        <w:t>delta</w:t>
      </w:r>
      <w:r w:rsidRPr="00AB71A5">
        <w:t xml:space="preserve"> </w:t>
      </w:r>
      <w:r w:rsidRPr="00AB71A5">
        <w:rPr>
          <w:lang w:eastAsia="fr-FR" w:bidi="fr-FR"/>
        </w:rPr>
        <w:t>des Métaphysiques, que Platon ense</w:t>
      </w:r>
      <w:r w:rsidRPr="00AB71A5">
        <w:rPr>
          <w:lang w:eastAsia="fr-FR" w:bidi="fr-FR"/>
        </w:rPr>
        <w:t>i</w:t>
      </w:r>
      <w:r w:rsidRPr="00AB71A5">
        <w:rPr>
          <w:lang w:eastAsia="fr-FR" w:bidi="fr-FR"/>
        </w:rPr>
        <w:t>gnait que Parménide s’était opposé à H</w:t>
      </w:r>
      <w:r w:rsidRPr="00AB71A5">
        <w:rPr>
          <w:lang w:eastAsia="fr-FR" w:bidi="fr-FR"/>
        </w:rPr>
        <w:t>é</w:t>
      </w:r>
      <w:r w:rsidRPr="00AB71A5">
        <w:rPr>
          <w:lang w:eastAsia="fr-FR" w:bidi="fr-FR"/>
        </w:rPr>
        <w:t>raclite sur la nature du premier principe.</w:t>
      </w:r>
    </w:p>
    <w:p w:rsidR="00A9729B" w:rsidRDefault="00A9729B" w:rsidP="00A9729B">
      <w:pPr>
        <w:spacing w:before="120" w:after="120"/>
        <w:ind w:left="900" w:hanging="540"/>
        <w:jc w:val="both"/>
        <w:rPr>
          <w:lang w:eastAsia="fr-FR" w:bidi="fr-FR"/>
        </w:rPr>
      </w:pPr>
      <w:r>
        <w:rPr>
          <w:lang w:eastAsia="fr-FR" w:bidi="fr-FR"/>
        </w:rPr>
        <w:t>(v)</w:t>
      </w:r>
      <w:r>
        <w:rPr>
          <w:lang w:eastAsia="fr-FR" w:bidi="fr-FR"/>
        </w:rPr>
        <w:tab/>
      </w:r>
      <w:r w:rsidRPr="00AB71A5">
        <w:rPr>
          <w:lang w:eastAsia="fr-FR" w:bidi="fr-FR"/>
        </w:rPr>
        <w:t xml:space="preserve">Simplicius prétend qu’Aristote a rapporté, </w:t>
      </w:r>
      <w:r w:rsidRPr="004C1F21">
        <w:rPr>
          <w:i/>
        </w:rPr>
        <w:t>en la</w:t>
      </w:r>
      <w:r w:rsidRPr="004C1F21">
        <w:rPr>
          <w:i/>
        </w:rPr>
        <w:t>n</w:t>
      </w:r>
      <w:r w:rsidRPr="004C1F21">
        <w:rPr>
          <w:i/>
        </w:rPr>
        <w:t>gue grecque</w:t>
      </w:r>
      <w:r w:rsidRPr="00AB71A5">
        <w:rPr>
          <w:lang w:eastAsia="fr-FR" w:bidi="fr-FR"/>
        </w:rPr>
        <w:t xml:space="preserve"> que Platon enseignait que Parménide s’était opposé à Héracl</w:t>
      </w:r>
      <w:r w:rsidRPr="00AB71A5">
        <w:rPr>
          <w:lang w:eastAsia="fr-FR" w:bidi="fr-FR"/>
        </w:rPr>
        <w:t>i</w:t>
      </w:r>
      <w:r w:rsidRPr="00AB71A5">
        <w:rPr>
          <w:lang w:eastAsia="fr-FR" w:bidi="fr-FR"/>
        </w:rPr>
        <w:t>te sur la nat</w:t>
      </w:r>
      <w:r w:rsidRPr="00AB71A5">
        <w:rPr>
          <w:lang w:eastAsia="fr-FR" w:bidi="fr-FR"/>
        </w:rPr>
        <w:t>u</w:t>
      </w:r>
      <w:r w:rsidRPr="00AB71A5">
        <w:rPr>
          <w:lang w:eastAsia="fr-FR" w:bidi="fr-FR"/>
        </w:rPr>
        <w:t>re du premier principe.</w:t>
      </w:r>
    </w:p>
    <w:p w:rsidR="00A9729B" w:rsidRDefault="00A9729B" w:rsidP="00A9729B">
      <w:pPr>
        <w:spacing w:before="120" w:after="120"/>
        <w:jc w:val="both"/>
      </w:pPr>
    </w:p>
    <w:p w:rsidR="00A9729B" w:rsidRPr="00AB71A5" w:rsidRDefault="00A9729B" w:rsidP="00A9729B">
      <w:pPr>
        <w:spacing w:before="120" w:after="120"/>
        <w:jc w:val="both"/>
      </w:pPr>
      <w:r>
        <w:rPr>
          <w:lang w:eastAsia="fr-FR" w:bidi="fr-FR"/>
        </w:rPr>
        <w:t>[118]</w:t>
      </w:r>
    </w:p>
    <w:p w:rsidR="00A9729B" w:rsidRPr="00AB71A5" w:rsidRDefault="00A9729B" w:rsidP="00A9729B">
      <w:pPr>
        <w:spacing w:before="120" w:after="120"/>
        <w:jc w:val="both"/>
      </w:pPr>
      <w:r w:rsidRPr="00AB71A5">
        <w:rPr>
          <w:lang w:eastAsia="fr-FR" w:bidi="fr-FR"/>
        </w:rPr>
        <w:t>On pourrait à cet égard imaginer tout un ensemble de rectif</w:t>
      </w:r>
      <w:r w:rsidRPr="00AB71A5">
        <w:rPr>
          <w:lang w:eastAsia="fr-FR" w:bidi="fr-FR"/>
        </w:rPr>
        <w:t>i</w:t>
      </w:r>
      <w:r w:rsidRPr="00AB71A5">
        <w:rPr>
          <w:lang w:eastAsia="fr-FR" w:bidi="fr-FR"/>
        </w:rPr>
        <w:t>cations opportunes qui transfo</w:t>
      </w:r>
      <w:r w:rsidRPr="00AB71A5">
        <w:rPr>
          <w:lang w:eastAsia="fr-FR" w:bidi="fr-FR"/>
        </w:rPr>
        <w:t>r</w:t>
      </w:r>
      <w:r w:rsidRPr="00AB71A5">
        <w:rPr>
          <w:lang w:eastAsia="fr-FR" w:bidi="fr-FR"/>
        </w:rPr>
        <w:t>merait notre exemple primitif, en un énoncé plus licite . Nous do</w:t>
      </w:r>
      <w:r w:rsidRPr="00AB71A5">
        <w:rPr>
          <w:lang w:eastAsia="fr-FR" w:bidi="fr-FR"/>
        </w:rPr>
        <w:t>n</w:t>
      </w:r>
      <w:r w:rsidRPr="00AB71A5">
        <w:rPr>
          <w:lang w:eastAsia="fr-FR" w:bidi="fr-FR"/>
        </w:rPr>
        <w:t>nerons une dernière illustration de l’une de ces rectifications.</w:t>
      </w:r>
    </w:p>
    <w:p w:rsidR="00A9729B" w:rsidRPr="00AB71A5" w:rsidRDefault="00A9729B" w:rsidP="00A9729B">
      <w:pPr>
        <w:spacing w:before="120" w:after="120"/>
        <w:ind w:left="900" w:hanging="540"/>
        <w:jc w:val="both"/>
      </w:pPr>
      <w:r w:rsidRPr="00AB71A5">
        <w:rPr>
          <w:lang w:eastAsia="fr-FR" w:bidi="fr-FR"/>
        </w:rPr>
        <w:t>(w)</w:t>
      </w:r>
      <w:r w:rsidRPr="00AB71A5">
        <w:rPr>
          <w:lang w:eastAsia="fr-FR" w:bidi="fr-FR"/>
        </w:rPr>
        <w:tab/>
        <w:t xml:space="preserve">Simplicius prétend que </w:t>
      </w:r>
      <w:r w:rsidRPr="004C1F21">
        <w:rPr>
          <w:i/>
        </w:rPr>
        <w:t>c’est Aristote</w:t>
      </w:r>
      <w:r w:rsidRPr="00AB71A5">
        <w:rPr>
          <w:lang w:eastAsia="fr-FR" w:bidi="fr-FR"/>
        </w:rPr>
        <w:t xml:space="preserve"> qui a rapporté que Pl</w:t>
      </w:r>
      <w:r w:rsidRPr="00AB71A5">
        <w:rPr>
          <w:lang w:eastAsia="fr-FR" w:bidi="fr-FR"/>
        </w:rPr>
        <w:t>a</w:t>
      </w:r>
      <w:r w:rsidRPr="00AB71A5">
        <w:rPr>
          <w:lang w:eastAsia="fr-FR" w:bidi="fr-FR"/>
        </w:rPr>
        <w:t>ton ense</w:t>
      </w:r>
      <w:r w:rsidRPr="00AB71A5">
        <w:rPr>
          <w:lang w:eastAsia="fr-FR" w:bidi="fr-FR"/>
        </w:rPr>
        <w:t>i</w:t>
      </w:r>
      <w:r w:rsidRPr="00AB71A5">
        <w:rPr>
          <w:lang w:eastAsia="fr-FR" w:bidi="fr-FR"/>
        </w:rPr>
        <w:t>gnait que P</w:t>
      </w:r>
      <w:r>
        <w:rPr>
          <w:lang w:eastAsia="fr-FR" w:bidi="fr-FR"/>
        </w:rPr>
        <w:t>arménide s’était opposé à Héra</w:t>
      </w:r>
      <w:r w:rsidRPr="00AB71A5">
        <w:rPr>
          <w:lang w:eastAsia="fr-FR" w:bidi="fr-FR"/>
        </w:rPr>
        <w:t>clite sur la nat</w:t>
      </w:r>
      <w:r w:rsidRPr="00AB71A5">
        <w:rPr>
          <w:lang w:eastAsia="fr-FR" w:bidi="fr-FR"/>
        </w:rPr>
        <w:t>u</w:t>
      </w:r>
      <w:r w:rsidRPr="00AB71A5">
        <w:rPr>
          <w:lang w:eastAsia="fr-FR" w:bidi="fr-FR"/>
        </w:rPr>
        <w:t>re du premier principe.</w:t>
      </w:r>
    </w:p>
    <w:p w:rsidR="00A9729B" w:rsidRPr="00AB71A5" w:rsidRDefault="00A9729B" w:rsidP="00A9729B">
      <w:pPr>
        <w:spacing w:before="120" w:after="120"/>
        <w:jc w:val="both"/>
      </w:pPr>
      <w:r w:rsidRPr="00AB71A5">
        <w:rPr>
          <w:lang w:eastAsia="fr-FR" w:bidi="fr-FR"/>
        </w:rPr>
        <w:t>Dans ce dernier cas, comme dans les deux précédents, ce sont ce</w:t>
      </w:r>
      <w:r w:rsidRPr="00AB71A5">
        <w:rPr>
          <w:lang w:eastAsia="fr-FR" w:bidi="fr-FR"/>
        </w:rPr>
        <w:t>r</w:t>
      </w:r>
      <w:r w:rsidRPr="00AB71A5">
        <w:rPr>
          <w:lang w:eastAsia="fr-FR" w:bidi="fr-FR"/>
        </w:rPr>
        <w:t>taines propriétés formelles du di</w:t>
      </w:r>
      <w:r w:rsidRPr="00AB71A5">
        <w:rPr>
          <w:lang w:eastAsia="fr-FR" w:bidi="fr-FR"/>
        </w:rPr>
        <w:t>s</w:t>
      </w:r>
      <w:r w:rsidRPr="00AB71A5">
        <w:rPr>
          <w:lang w:eastAsia="fr-FR" w:bidi="fr-FR"/>
        </w:rPr>
        <w:t>cours grec, distinctes de son contenu — le fait qu’un discours soit consigné dans tel livre des Métaphys</w:t>
      </w:r>
      <w:r w:rsidRPr="00AB71A5">
        <w:rPr>
          <w:lang w:eastAsia="fr-FR" w:bidi="fr-FR"/>
        </w:rPr>
        <w:t>i</w:t>
      </w:r>
      <w:r w:rsidRPr="00AB71A5">
        <w:rPr>
          <w:lang w:eastAsia="fr-FR" w:bidi="fr-FR"/>
        </w:rPr>
        <w:t>ques, le fait qu’il s’énonce en langue grecque ou qu’il ait Aristote comme auteur — qui constituent l’objet privil</w:t>
      </w:r>
      <w:r w:rsidRPr="00AB71A5">
        <w:rPr>
          <w:lang w:eastAsia="fr-FR" w:bidi="fr-FR"/>
        </w:rPr>
        <w:t>é</w:t>
      </w:r>
      <w:r w:rsidRPr="00AB71A5">
        <w:rPr>
          <w:lang w:eastAsia="fr-FR" w:bidi="fr-FR"/>
        </w:rPr>
        <w:t>gié du discours initial. La nécessité d’une adéquation à un référent ultime de la chaîne di</w:t>
      </w:r>
      <w:r w:rsidRPr="00AB71A5">
        <w:rPr>
          <w:lang w:eastAsia="fr-FR" w:bidi="fr-FR"/>
        </w:rPr>
        <w:t>s</w:t>
      </w:r>
      <w:r w:rsidRPr="00AB71A5">
        <w:rPr>
          <w:lang w:eastAsia="fr-FR" w:bidi="fr-FR"/>
        </w:rPr>
        <w:t>curs</w:t>
      </w:r>
      <w:r w:rsidRPr="00AB71A5">
        <w:rPr>
          <w:lang w:eastAsia="fr-FR" w:bidi="fr-FR"/>
        </w:rPr>
        <w:t>i</w:t>
      </w:r>
      <w:r w:rsidRPr="00AB71A5">
        <w:rPr>
          <w:lang w:eastAsia="fr-FR" w:bidi="fr-FR"/>
        </w:rPr>
        <w:t>ve est comme suspendue.</w:t>
      </w:r>
    </w:p>
    <w:p w:rsidR="00A9729B" w:rsidRPr="00AB71A5" w:rsidRDefault="00A9729B" w:rsidP="00A9729B">
      <w:pPr>
        <w:spacing w:before="120" w:after="120"/>
        <w:jc w:val="both"/>
      </w:pPr>
      <w:r w:rsidRPr="00AB71A5">
        <w:rPr>
          <w:lang w:eastAsia="fr-FR" w:bidi="fr-FR"/>
        </w:rPr>
        <w:t>Il est bien assuré cependant que cette première esquisse d’une r</w:t>
      </w:r>
      <w:r w:rsidRPr="00AB71A5">
        <w:rPr>
          <w:lang w:eastAsia="fr-FR" w:bidi="fr-FR"/>
        </w:rPr>
        <w:t>é</w:t>
      </w:r>
      <w:r w:rsidRPr="00AB71A5">
        <w:rPr>
          <w:lang w:eastAsia="fr-FR" w:bidi="fr-FR"/>
        </w:rPr>
        <w:t>ponse que l’on pourrait faire à l’objection formulée plus haut, et qui argue de la possibilité pour un discours d’en prendre un a</w:t>
      </w:r>
      <w:r w:rsidRPr="00AB71A5">
        <w:rPr>
          <w:lang w:eastAsia="fr-FR" w:bidi="fr-FR"/>
        </w:rPr>
        <w:t>u</w:t>
      </w:r>
      <w:r w:rsidRPr="00AB71A5">
        <w:rPr>
          <w:lang w:eastAsia="fr-FR" w:bidi="fr-FR"/>
        </w:rPr>
        <w:t>tre, dans sa valeur d’être, comme thème explicite, au lieu de se borner à n’en ret</w:t>
      </w:r>
      <w:r w:rsidRPr="00AB71A5">
        <w:rPr>
          <w:lang w:eastAsia="fr-FR" w:bidi="fr-FR"/>
        </w:rPr>
        <w:t>e</w:t>
      </w:r>
      <w:r w:rsidRPr="00AB71A5">
        <w:rPr>
          <w:lang w:eastAsia="fr-FR" w:bidi="fr-FR"/>
        </w:rPr>
        <w:t>nir que la valeur de renvoi, peut ne pas app</w:t>
      </w:r>
      <w:r w:rsidRPr="00AB71A5">
        <w:rPr>
          <w:lang w:eastAsia="fr-FR" w:bidi="fr-FR"/>
        </w:rPr>
        <w:t>a</w:t>
      </w:r>
      <w:r w:rsidRPr="00AB71A5">
        <w:rPr>
          <w:lang w:eastAsia="fr-FR" w:bidi="fr-FR"/>
        </w:rPr>
        <w:t>raître entièrement convaincante ou satisfa</w:t>
      </w:r>
      <w:r w:rsidRPr="00AB71A5">
        <w:rPr>
          <w:lang w:eastAsia="fr-FR" w:bidi="fr-FR"/>
        </w:rPr>
        <w:t>i</w:t>
      </w:r>
      <w:r w:rsidRPr="00AB71A5">
        <w:rPr>
          <w:lang w:eastAsia="fr-FR" w:bidi="fr-FR"/>
        </w:rPr>
        <w:t>sante.</w:t>
      </w:r>
      <w:r>
        <w:rPr>
          <w:lang w:eastAsia="fr-FR" w:bidi="fr-FR"/>
        </w:rPr>
        <w:t> </w:t>
      </w:r>
      <w:r>
        <w:rPr>
          <w:rStyle w:val="Appelnotedebasdep"/>
          <w:lang w:eastAsia="fr-FR" w:bidi="fr-FR"/>
        </w:rPr>
        <w:footnoteReference w:id="28"/>
      </w:r>
      <w:r w:rsidRPr="00AB71A5">
        <w:rPr>
          <w:lang w:eastAsia="fr-FR" w:bidi="fr-FR"/>
        </w:rPr>
        <w:t xml:space="preserve"> Nous l’accordons. Aussi n’est-ce que de l’énoncé de son principe — que l’on pourrait form</w:t>
      </w:r>
      <w:r w:rsidRPr="00AB71A5">
        <w:rPr>
          <w:lang w:eastAsia="fr-FR" w:bidi="fr-FR"/>
        </w:rPr>
        <w:t>u</w:t>
      </w:r>
      <w:r w:rsidRPr="00AB71A5">
        <w:rPr>
          <w:lang w:eastAsia="fr-FR" w:bidi="fr-FR"/>
        </w:rPr>
        <w:t>ler : une chaîne discursive profonde est d’autant plus acceptable qu’elle n’a pas sa première origine pour objet exclusif — que nous espérons tirer mati</w:t>
      </w:r>
      <w:r w:rsidRPr="00AB71A5">
        <w:rPr>
          <w:lang w:eastAsia="fr-FR" w:bidi="fr-FR"/>
        </w:rPr>
        <w:t>è</w:t>
      </w:r>
      <w:r w:rsidRPr="00AB71A5">
        <w:rPr>
          <w:lang w:eastAsia="fr-FR" w:bidi="fr-FR"/>
        </w:rPr>
        <w:t>re à nous faire progresser.</w:t>
      </w:r>
    </w:p>
    <w:p w:rsidR="00A9729B" w:rsidRDefault="00A9729B" w:rsidP="00A9729B">
      <w:pPr>
        <w:spacing w:before="120" w:after="120"/>
        <w:jc w:val="both"/>
        <w:rPr>
          <w:lang w:eastAsia="fr-FR" w:bidi="fr-FR"/>
        </w:rPr>
      </w:pPr>
      <w:r w:rsidRPr="00AB71A5">
        <w:rPr>
          <w:lang w:eastAsia="fr-FR" w:bidi="fr-FR"/>
        </w:rPr>
        <w:t>En effet, ce que nous avons appelé « saturation culturelle » a ju</w:t>
      </w:r>
      <w:r w:rsidRPr="00AB71A5">
        <w:rPr>
          <w:lang w:eastAsia="fr-FR" w:bidi="fr-FR"/>
        </w:rPr>
        <w:t>s</w:t>
      </w:r>
      <w:r w:rsidRPr="00AB71A5">
        <w:rPr>
          <w:lang w:eastAsia="fr-FR" w:bidi="fr-FR"/>
        </w:rPr>
        <w:t>qu’ici servi à désigner la fin</w:t>
      </w:r>
      <w:r w:rsidRPr="00AB71A5">
        <w:rPr>
          <w:lang w:eastAsia="fr-FR" w:bidi="fr-FR"/>
        </w:rPr>
        <w:t>i</w:t>
      </w:r>
      <w:r w:rsidRPr="00AB71A5">
        <w:rPr>
          <w:lang w:eastAsia="fr-FR" w:bidi="fr-FR"/>
        </w:rPr>
        <w:t>tude d’un sujet récepteur, qui achoppait, au-delà de ce</w:t>
      </w:r>
      <w:r w:rsidRPr="00AB71A5">
        <w:rPr>
          <w:lang w:eastAsia="fr-FR" w:bidi="fr-FR"/>
        </w:rPr>
        <w:t>r</w:t>
      </w:r>
      <w:r w:rsidRPr="00AB71A5">
        <w:rPr>
          <w:lang w:eastAsia="fr-FR" w:bidi="fr-FR"/>
        </w:rPr>
        <w:t>tains seuils, à traverser l’ensemble des médiations qui lui étaient soumises pour apercevoir le commencement qu’elles divu</w:t>
      </w:r>
      <w:r w:rsidRPr="00AB71A5">
        <w:rPr>
          <w:lang w:eastAsia="fr-FR" w:bidi="fr-FR"/>
        </w:rPr>
        <w:t>l</w:t>
      </w:r>
      <w:r w:rsidRPr="00AB71A5">
        <w:rPr>
          <w:lang w:eastAsia="fr-FR" w:bidi="fr-FR"/>
        </w:rPr>
        <w:t>guaient toutes. Mais cette défin</w:t>
      </w:r>
      <w:r w:rsidRPr="00AB71A5">
        <w:rPr>
          <w:lang w:eastAsia="fr-FR" w:bidi="fr-FR"/>
        </w:rPr>
        <w:t>i</w:t>
      </w:r>
      <w:r w:rsidRPr="00AB71A5">
        <w:rPr>
          <w:lang w:eastAsia="fr-FR" w:bidi="fr-FR"/>
        </w:rPr>
        <w:t>tion d’une saturation culturelle, dont il nous faut, d’une part, reconnaître qu’elle est subjective, pui</w:t>
      </w:r>
      <w:r w:rsidRPr="00AB71A5">
        <w:rPr>
          <w:lang w:eastAsia="fr-FR" w:bidi="fr-FR"/>
        </w:rPr>
        <w:t>s</w:t>
      </w:r>
      <w:r w:rsidRPr="00AB71A5">
        <w:rPr>
          <w:lang w:eastAsia="fr-FR" w:bidi="fr-FR"/>
        </w:rPr>
        <w:t>qu’on la tire d’une impuissance du s</w:t>
      </w:r>
      <w:r w:rsidRPr="00AB71A5">
        <w:rPr>
          <w:lang w:eastAsia="fr-FR" w:bidi="fr-FR"/>
        </w:rPr>
        <w:t>u</w:t>
      </w:r>
      <w:r w:rsidRPr="00AB71A5">
        <w:rPr>
          <w:lang w:eastAsia="fr-FR" w:bidi="fr-FR"/>
        </w:rPr>
        <w:t>jet, ne peut, d’autre part, que s’ériger sur le soc d’une tâche que la subjectivité s’impose à elle-même et à l</w:t>
      </w:r>
      <w:r w:rsidRPr="00AB71A5">
        <w:rPr>
          <w:lang w:eastAsia="fr-FR" w:bidi="fr-FR"/>
        </w:rPr>
        <w:t>a</w:t>
      </w:r>
      <w:r w:rsidRPr="00AB71A5">
        <w:rPr>
          <w:lang w:eastAsia="fr-FR" w:bidi="fr-FR"/>
        </w:rPr>
        <w:t>quelle elle se déclare parfois inadéquate. Il n’y a, en effet, d’incapacité, que rel</w:t>
      </w:r>
      <w:r w:rsidRPr="00AB71A5">
        <w:rPr>
          <w:lang w:eastAsia="fr-FR" w:bidi="fr-FR"/>
        </w:rPr>
        <w:t>a</w:t>
      </w:r>
      <w:r w:rsidRPr="00AB71A5">
        <w:rPr>
          <w:lang w:eastAsia="fr-FR" w:bidi="fr-FR"/>
        </w:rPr>
        <w:t>tive à un but que l’on s’est fixé.</w:t>
      </w:r>
    </w:p>
    <w:p w:rsidR="00A9729B" w:rsidRPr="00AB71A5" w:rsidRDefault="00A9729B" w:rsidP="00A9729B">
      <w:pPr>
        <w:spacing w:before="120" w:after="120"/>
        <w:jc w:val="both"/>
      </w:pPr>
      <w:r>
        <w:rPr>
          <w:lang w:eastAsia="fr-FR" w:bidi="fr-FR"/>
        </w:rPr>
        <w:t>[119]</w:t>
      </w:r>
    </w:p>
    <w:p w:rsidR="00A9729B" w:rsidRPr="00AB71A5" w:rsidRDefault="00A9729B" w:rsidP="00A9729B">
      <w:pPr>
        <w:spacing w:before="120" w:after="120"/>
        <w:jc w:val="both"/>
      </w:pPr>
      <w:r w:rsidRPr="00AB71A5">
        <w:rPr>
          <w:lang w:eastAsia="fr-FR" w:bidi="fr-FR"/>
        </w:rPr>
        <w:t>Or c’est le préjugé à cette t</w:t>
      </w:r>
      <w:r w:rsidRPr="00AB71A5">
        <w:rPr>
          <w:lang w:eastAsia="fr-FR" w:bidi="fr-FR"/>
        </w:rPr>
        <w:t>â</w:t>
      </w:r>
      <w:r w:rsidRPr="00AB71A5">
        <w:rPr>
          <w:lang w:eastAsia="fr-FR" w:bidi="fr-FR"/>
        </w:rPr>
        <w:t>che, qui tient dans une certaine vue de ce qu’est la nature du médiat, que nous aimerions rév</w:t>
      </w:r>
      <w:r w:rsidRPr="00AB71A5">
        <w:rPr>
          <w:lang w:eastAsia="fr-FR" w:bidi="fr-FR"/>
        </w:rPr>
        <w:t>o</w:t>
      </w:r>
      <w:r w:rsidRPr="00AB71A5">
        <w:rPr>
          <w:lang w:eastAsia="fr-FR" w:bidi="fr-FR"/>
        </w:rPr>
        <w:t>quer pour en venir à une nouvelle description de la saturation, dans laquelle le rôle du subjectif soit atténué. Cette conception du médiat, que nous vo</w:t>
      </w:r>
      <w:r w:rsidRPr="00AB71A5">
        <w:rPr>
          <w:lang w:eastAsia="fr-FR" w:bidi="fr-FR"/>
        </w:rPr>
        <w:t>u</w:t>
      </w:r>
      <w:r w:rsidRPr="00AB71A5">
        <w:rPr>
          <w:lang w:eastAsia="fr-FR" w:bidi="fr-FR"/>
        </w:rPr>
        <w:t>lons caractériser, consiste à toujours a</w:t>
      </w:r>
      <w:r w:rsidRPr="00AB71A5">
        <w:rPr>
          <w:lang w:eastAsia="fr-FR" w:bidi="fr-FR"/>
        </w:rPr>
        <w:t>n</w:t>
      </w:r>
      <w:r w:rsidRPr="00AB71A5">
        <w:rPr>
          <w:lang w:eastAsia="fr-FR" w:bidi="fr-FR"/>
        </w:rPr>
        <w:t>nuler la valeur d’être du médiat au profit de sa fonction. Dans un vocab</w:t>
      </w:r>
      <w:r w:rsidRPr="00AB71A5">
        <w:rPr>
          <w:lang w:eastAsia="fr-FR" w:bidi="fr-FR"/>
        </w:rPr>
        <w:t>u</w:t>
      </w:r>
      <w:r w:rsidRPr="00AB71A5">
        <w:rPr>
          <w:lang w:eastAsia="fr-FR" w:bidi="fr-FR"/>
        </w:rPr>
        <w:t>laire soucieux d’épistémologie, on dira que le médiat n’est alors conçu que comme une médiation qui commence par s’exercer, puis qui finit par s’abroger au profit d’une instance plus esse</w:t>
      </w:r>
      <w:r w:rsidRPr="00AB71A5">
        <w:rPr>
          <w:lang w:eastAsia="fr-FR" w:bidi="fr-FR"/>
        </w:rPr>
        <w:t>n</w:t>
      </w:r>
      <w:r w:rsidRPr="00AB71A5">
        <w:rPr>
          <w:lang w:eastAsia="fr-FR" w:bidi="fr-FR"/>
        </w:rPr>
        <w:t>tielle.</w:t>
      </w:r>
      <w:r>
        <w:rPr>
          <w:lang w:eastAsia="fr-FR" w:bidi="fr-FR"/>
        </w:rPr>
        <w:t> </w:t>
      </w:r>
      <w:r>
        <w:rPr>
          <w:rStyle w:val="Appelnotedebasdep"/>
          <w:lang w:eastAsia="fr-FR" w:bidi="fr-FR"/>
        </w:rPr>
        <w:footnoteReference w:id="29"/>
      </w:r>
    </w:p>
    <w:p w:rsidR="00A9729B" w:rsidRPr="00AB71A5" w:rsidRDefault="00A9729B" w:rsidP="00A9729B">
      <w:pPr>
        <w:spacing w:before="120" w:after="120"/>
        <w:jc w:val="both"/>
      </w:pPr>
      <w:r w:rsidRPr="00AB71A5">
        <w:rPr>
          <w:lang w:eastAsia="fr-FR" w:bidi="fr-FR"/>
        </w:rPr>
        <w:t xml:space="preserve">Plus près de la pratique, on devrait dire, en conformité avec la conception que nous essayons de chiffrer, que le médiat n’est jamais qu’un </w:t>
      </w:r>
      <w:r w:rsidRPr="00AB71A5">
        <w:t>moyen</w:t>
      </w:r>
      <w:r w:rsidRPr="00AB71A5">
        <w:rPr>
          <w:lang w:eastAsia="fr-FR" w:bidi="fr-FR"/>
        </w:rPr>
        <w:t xml:space="preserve"> que renie la jouissance dès qu’elle advient. Dans cette perspective, il devient manifeste que toute tentative du médiat pour déborder sa fonction afin d’exhiber son être propre est perçue comme une agression. D’où nos craintes d’une dissol</w:t>
      </w:r>
      <w:r w:rsidRPr="00AB71A5">
        <w:rPr>
          <w:lang w:eastAsia="fr-FR" w:bidi="fr-FR"/>
        </w:rPr>
        <w:t>u</w:t>
      </w:r>
      <w:r w:rsidRPr="00AB71A5">
        <w:rPr>
          <w:lang w:eastAsia="fr-FR" w:bidi="fr-FR"/>
        </w:rPr>
        <w:t>tion du sens dans l’écheveau des médiations, et d’où, aussi, notre tri</w:t>
      </w:r>
      <w:r w:rsidRPr="00AB71A5">
        <w:rPr>
          <w:lang w:eastAsia="fr-FR" w:bidi="fr-FR"/>
        </w:rPr>
        <w:t>s</w:t>
      </w:r>
      <w:r w:rsidRPr="00AB71A5">
        <w:rPr>
          <w:lang w:eastAsia="fr-FR" w:bidi="fr-FR"/>
        </w:rPr>
        <w:t>tesse de voir notre rapport à la nature prendre la fo</w:t>
      </w:r>
      <w:r w:rsidRPr="00AB71A5">
        <w:rPr>
          <w:lang w:eastAsia="fr-FR" w:bidi="fr-FR"/>
        </w:rPr>
        <w:t>r</w:t>
      </w:r>
      <w:r w:rsidRPr="00AB71A5">
        <w:rPr>
          <w:lang w:eastAsia="fr-FR" w:bidi="fr-FR"/>
        </w:rPr>
        <w:t>me d’un exil de plus en plus lointain.</w:t>
      </w:r>
    </w:p>
    <w:p w:rsidR="00A9729B" w:rsidRPr="00AB71A5" w:rsidRDefault="00A9729B" w:rsidP="00A9729B">
      <w:pPr>
        <w:spacing w:before="120" w:after="120"/>
        <w:jc w:val="both"/>
      </w:pPr>
      <w:r w:rsidRPr="00AB71A5">
        <w:rPr>
          <w:lang w:eastAsia="fr-FR" w:bidi="fr-FR"/>
        </w:rPr>
        <w:t>C’est cependant comme nous l’avons annoncé plus haut, notre conviction présente que ces caractérisations d’un concept de satur</w:t>
      </w:r>
      <w:r w:rsidRPr="00AB71A5">
        <w:rPr>
          <w:lang w:eastAsia="fr-FR" w:bidi="fr-FR"/>
        </w:rPr>
        <w:t>a</w:t>
      </w:r>
      <w:r w:rsidRPr="00AB71A5">
        <w:rPr>
          <w:lang w:eastAsia="fr-FR" w:bidi="fr-FR"/>
        </w:rPr>
        <w:t>tion culturelle comme subsumant essentiellement un échec de la su</w:t>
      </w:r>
      <w:r w:rsidRPr="00AB71A5">
        <w:rPr>
          <w:lang w:eastAsia="fr-FR" w:bidi="fr-FR"/>
        </w:rPr>
        <w:t>b</w:t>
      </w:r>
      <w:r w:rsidRPr="00AB71A5">
        <w:rPr>
          <w:lang w:eastAsia="fr-FR" w:bidi="fr-FR"/>
        </w:rPr>
        <w:t>jectivité, doivent être dépassées. Les raisons en sont claires. Nous d</w:t>
      </w:r>
      <w:r w:rsidRPr="00AB71A5">
        <w:rPr>
          <w:lang w:eastAsia="fr-FR" w:bidi="fr-FR"/>
        </w:rPr>
        <w:t>i</w:t>
      </w:r>
      <w:r w:rsidRPr="00AB71A5">
        <w:rPr>
          <w:lang w:eastAsia="fr-FR" w:bidi="fr-FR"/>
        </w:rPr>
        <w:t>rons, en première part, que cet échec de la subject</w:t>
      </w:r>
      <w:r w:rsidRPr="00AB71A5">
        <w:rPr>
          <w:lang w:eastAsia="fr-FR" w:bidi="fr-FR"/>
        </w:rPr>
        <w:t>i</w:t>
      </w:r>
      <w:r w:rsidRPr="00AB71A5">
        <w:rPr>
          <w:lang w:eastAsia="fr-FR" w:bidi="fr-FR"/>
        </w:rPr>
        <w:t>vité, pour autant qu’il existe, est si définitif qu’il n’est déjà plus opportun d’y référer dans le v</w:t>
      </w:r>
      <w:r w:rsidRPr="00AB71A5">
        <w:rPr>
          <w:lang w:eastAsia="fr-FR" w:bidi="fr-FR"/>
        </w:rPr>
        <w:t>o</w:t>
      </w:r>
      <w:r w:rsidRPr="00AB71A5">
        <w:rPr>
          <w:lang w:eastAsia="fr-FR" w:bidi="fr-FR"/>
        </w:rPr>
        <w:t>cabulaire de l’échec. Outre sa connotation morale qui l’amène à poser comme un objet de réprobation la situation qui e</w:t>
      </w:r>
      <w:r w:rsidRPr="00AB71A5">
        <w:rPr>
          <w:lang w:eastAsia="fr-FR" w:bidi="fr-FR"/>
        </w:rPr>
        <w:t>n</w:t>
      </w:r>
      <w:r w:rsidRPr="00AB71A5">
        <w:rPr>
          <w:lang w:eastAsia="fr-FR" w:bidi="fr-FR"/>
        </w:rPr>
        <w:t>gendre l’échec, ce vocabulaire a le do</w:t>
      </w:r>
      <w:r w:rsidRPr="00AB71A5">
        <w:rPr>
          <w:lang w:eastAsia="fr-FR" w:bidi="fr-FR"/>
        </w:rPr>
        <w:t>u</w:t>
      </w:r>
      <w:r w:rsidRPr="00AB71A5">
        <w:rPr>
          <w:lang w:eastAsia="fr-FR" w:bidi="fr-FR"/>
        </w:rPr>
        <w:t>ble tort de dévier l’attention</w:t>
      </w:r>
      <w:r>
        <w:rPr>
          <w:lang w:eastAsia="fr-FR" w:bidi="fr-FR"/>
        </w:rPr>
        <w:t xml:space="preserve"> [120] </w:t>
      </w:r>
      <w:r w:rsidRPr="00AB71A5">
        <w:rPr>
          <w:lang w:eastAsia="fr-FR" w:bidi="fr-FR"/>
        </w:rPr>
        <w:t>que l’on devrait porter à cette situation vers le sujet à qui su</w:t>
      </w:r>
      <w:r w:rsidRPr="00AB71A5">
        <w:rPr>
          <w:lang w:eastAsia="fr-FR" w:bidi="fr-FR"/>
        </w:rPr>
        <w:t>r</w:t>
      </w:r>
      <w:r w:rsidRPr="00AB71A5">
        <w:rPr>
          <w:lang w:eastAsia="fr-FR" w:bidi="fr-FR"/>
        </w:rPr>
        <w:t>vient cet échec et de laisser sous-entendre que, s’il y va de quelque chose de suffisamment essentiel pour ce sujet, cette situation devrait être amendée pour perme</w:t>
      </w:r>
      <w:r w:rsidRPr="00AB71A5">
        <w:rPr>
          <w:lang w:eastAsia="fr-FR" w:bidi="fr-FR"/>
        </w:rPr>
        <w:t>t</w:t>
      </w:r>
      <w:r w:rsidRPr="00AB71A5">
        <w:rPr>
          <w:lang w:eastAsia="fr-FR" w:bidi="fr-FR"/>
        </w:rPr>
        <w:t>tre sa victoire, puisqu’il est l’étalon de toute chose. Plus définitivement, nous dirons que ce que nous avons ju</w:t>
      </w:r>
      <w:r w:rsidRPr="00AB71A5">
        <w:rPr>
          <w:lang w:eastAsia="fr-FR" w:bidi="fr-FR"/>
        </w:rPr>
        <w:t>s</w:t>
      </w:r>
      <w:r w:rsidRPr="00AB71A5">
        <w:rPr>
          <w:lang w:eastAsia="fr-FR" w:bidi="fr-FR"/>
        </w:rPr>
        <w:t>qu’ici pensé comme constituant exclusivement l’échec d’une subject</w:t>
      </w:r>
      <w:r w:rsidRPr="00AB71A5">
        <w:rPr>
          <w:lang w:eastAsia="fr-FR" w:bidi="fr-FR"/>
        </w:rPr>
        <w:t>i</w:t>
      </w:r>
      <w:r w:rsidRPr="00AB71A5">
        <w:rPr>
          <w:lang w:eastAsia="fr-FR" w:bidi="fr-FR"/>
        </w:rPr>
        <w:t>vité n’a pu être pensé ainsi que sur le fond d’un projet que nous su</w:t>
      </w:r>
      <w:r w:rsidRPr="00AB71A5">
        <w:rPr>
          <w:lang w:eastAsia="fr-FR" w:bidi="fr-FR"/>
        </w:rPr>
        <w:t>p</w:t>
      </w:r>
      <w:r w:rsidRPr="00AB71A5">
        <w:rPr>
          <w:lang w:eastAsia="fr-FR" w:bidi="fr-FR"/>
        </w:rPr>
        <w:t>posions à ce</w:t>
      </w:r>
      <w:r w:rsidRPr="00AB71A5">
        <w:rPr>
          <w:lang w:eastAsia="fr-FR" w:bidi="fr-FR"/>
        </w:rPr>
        <w:t>t</w:t>
      </w:r>
      <w:r w:rsidRPr="00AB71A5">
        <w:rPr>
          <w:lang w:eastAsia="fr-FR" w:bidi="fr-FR"/>
        </w:rPr>
        <w:t>te subjectivité — se maintenir dans la proximité de l’originel — et dont nous reco</w:t>
      </w:r>
      <w:r w:rsidRPr="00AB71A5">
        <w:rPr>
          <w:lang w:eastAsia="fr-FR" w:bidi="fr-FR"/>
        </w:rPr>
        <w:t>n</w:t>
      </w:r>
      <w:r w:rsidRPr="00AB71A5">
        <w:rPr>
          <w:lang w:eastAsia="fr-FR" w:bidi="fr-FR"/>
        </w:rPr>
        <w:t>naissons maintenant qu’il s’autorisait d’une profonde m</w:t>
      </w:r>
      <w:r w:rsidRPr="00AB71A5">
        <w:rPr>
          <w:lang w:eastAsia="fr-FR" w:bidi="fr-FR"/>
        </w:rPr>
        <w:t>é</w:t>
      </w:r>
      <w:r w:rsidRPr="00AB71A5">
        <w:rPr>
          <w:lang w:eastAsia="fr-FR" w:bidi="fr-FR"/>
        </w:rPr>
        <w:t>connaissance de ce que l’on peut subsumer sous la catégorie du médiat et qui comprend la plupart des choses que nous avons dés</w:t>
      </w:r>
      <w:r w:rsidRPr="00AB71A5">
        <w:rPr>
          <w:lang w:eastAsia="fr-FR" w:bidi="fr-FR"/>
        </w:rPr>
        <w:t>i</w:t>
      </w:r>
      <w:r w:rsidRPr="00AB71A5">
        <w:rPr>
          <w:lang w:eastAsia="fr-FR" w:bidi="fr-FR"/>
        </w:rPr>
        <w:t>gnées par le terme de culture.</w:t>
      </w:r>
    </w:p>
    <w:p w:rsidR="00A9729B" w:rsidRPr="00AB71A5" w:rsidRDefault="00A9729B" w:rsidP="00A9729B">
      <w:pPr>
        <w:spacing w:before="120" w:after="120"/>
        <w:jc w:val="both"/>
      </w:pPr>
      <w:r w:rsidRPr="00AB71A5">
        <w:rPr>
          <w:lang w:eastAsia="fr-FR" w:bidi="fr-FR"/>
        </w:rPr>
        <w:t>Cette méconnaissance était la plus radicale de to</w:t>
      </w:r>
      <w:r w:rsidRPr="00AB71A5">
        <w:rPr>
          <w:lang w:eastAsia="fr-FR" w:bidi="fr-FR"/>
        </w:rPr>
        <w:t>u</w:t>
      </w:r>
      <w:r w:rsidRPr="00AB71A5">
        <w:rPr>
          <w:lang w:eastAsia="fr-FR" w:bidi="fr-FR"/>
        </w:rPr>
        <w:t xml:space="preserve">tes : le médiat y était destitué de son être. On pourrait, de façon large, désigner par les termes de </w:t>
      </w:r>
      <w:r w:rsidRPr="004C1F21">
        <w:rPr>
          <w:i/>
        </w:rPr>
        <w:t>saturation culturelle objective</w:t>
      </w:r>
      <w:r w:rsidRPr="00AB71A5">
        <w:rPr>
          <w:lang w:eastAsia="fr-FR" w:bidi="fr-FR"/>
        </w:rPr>
        <w:t xml:space="preserve"> cette irru</w:t>
      </w:r>
      <w:r w:rsidRPr="00AB71A5">
        <w:rPr>
          <w:lang w:eastAsia="fr-FR" w:bidi="fr-FR"/>
        </w:rPr>
        <w:t>p</w:t>
      </w:r>
      <w:r w:rsidRPr="00AB71A5">
        <w:rPr>
          <w:lang w:eastAsia="fr-FR" w:bidi="fr-FR"/>
        </w:rPr>
        <w:t>tion spectaculaire du médiat dans le champ de l’être ainsi que la conscie</w:t>
      </w:r>
      <w:r w:rsidRPr="00AB71A5">
        <w:rPr>
          <w:lang w:eastAsia="fr-FR" w:bidi="fr-FR"/>
        </w:rPr>
        <w:t>n</w:t>
      </w:r>
      <w:r w:rsidRPr="00AB71A5">
        <w:rPr>
          <w:lang w:eastAsia="fr-FR" w:bidi="fr-FR"/>
        </w:rPr>
        <w:t>ce inquiète qui en est prise. Que cette irruption soit bruyante peut difficilement être nié : elle semble constituer le dénominateur commun de la r</w:t>
      </w:r>
      <w:r w:rsidRPr="00AB71A5">
        <w:rPr>
          <w:lang w:eastAsia="fr-FR" w:bidi="fr-FR"/>
        </w:rPr>
        <w:t>é</w:t>
      </w:r>
      <w:r w:rsidRPr="00AB71A5">
        <w:rPr>
          <w:lang w:eastAsia="fr-FR" w:bidi="fr-FR"/>
        </w:rPr>
        <w:t>flexion des sciences humaines et de quelques autres. On apercevra peut-être avec plus de difficultés que l’on voit dans cette accession du médiat à l’existence un processus de saturation. La raison en est pourtant bo</w:t>
      </w:r>
      <w:r w:rsidRPr="00AB71A5">
        <w:rPr>
          <w:lang w:eastAsia="fr-FR" w:bidi="fr-FR"/>
        </w:rPr>
        <w:t>n</w:t>
      </w:r>
      <w:r w:rsidRPr="00AB71A5">
        <w:rPr>
          <w:lang w:eastAsia="fr-FR" w:bidi="fr-FR"/>
        </w:rPr>
        <w:t>ne. Comme celle de la culture, la catégorie du m</w:t>
      </w:r>
      <w:r w:rsidRPr="00AB71A5">
        <w:rPr>
          <w:lang w:eastAsia="fr-FR" w:bidi="fr-FR"/>
        </w:rPr>
        <w:t>é</w:t>
      </w:r>
      <w:r w:rsidRPr="00AB71A5">
        <w:rPr>
          <w:lang w:eastAsia="fr-FR" w:bidi="fr-FR"/>
        </w:rPr>
        <w:t xml:space="preserve">diat est prise dans une opposition qui lui donne sens et dont l’autre terme est la catégorie de </w:t>
      </w:r>
      <w:r w:rsidRPr="004C1F21">
        <w:rPr>
          <w:i/>
        </w:rPr>
        <w:t>l’immédiat</w:t>
      </w:r>
      <w:r w:rsidRPr="00AB71A5">
        <w:t>.</w:t>
      </w:r>
      <w:r w:rsidRPr="00AB71A5">
        <w:rPr>
          <w:lang w:eastAsia="fr-FR" w:bidi="fr-FR"/>
        </w:rPr>
        <w:t xml:space="preserve"> Le terme de satur</w:t>
      </w:r>
      <w:r w:rsidRPr="00AB71A5">
        <w:rPr>
          <w:lang w:eastAsia="fr-FR" w:bidi="fr-FR"/>
        </w:rPr>
        <w:t>a</w:t>
      </w:r>
      <w:r w:rsidRPr="00AB71A5">
        <w:rPr>
          <w:lang w:eastAsia="fr-FR" w:bidi="fr-FR"/>
        </w:rPr>
        <w:t>tion désigne alors ce fait que d’avoir été trop longtemps occultée, cette accession du médiat à l’être se m</w:t>
      </w:r>
      <w:r w:rsidRPr="00AB71A5">
        <w:rPr>
          <w:lang w:eastAsia="fr-FR" w:bidi="fr-FR"/>
        </w:rPr>
        <w:t>a</w:t>
      </w:r>
      <w:r w:rsidRPr="00AB71A5">
        <w:rPr>
          <w:lang w:eastAsia="fr-FR" w:bidi="fr-FR"/>
        </w:rPr>
        <w:t>nifeste à nous sous la forme d’une revendication si violente qu’elle paraît engendrer un processus de débordement. Ce processus de d</w:t>
      </w:r>
      <w:r w:rsidRPr="00AB71A5">
        <w:rPr>
          <w:lang w:eastAsia="fr-FR" w:bidi="fr-FR"/>
        </w:rPr>
        <w:t>é</w:t>
      </w:r>
      <w:r w:rsidRPr="00AB71A5">
        <w:rPr>
          <w:lang w:eastAsia="fr-FR" w:bidi="fr-FR"/>
        </w:rPr>
        <w:t>bordement a pour résultat premier de saturer d’être les diverses classes de sens — parmi lesquelles on peut trouver la culture — qui nous se</w:t>
      </w:r>
      <w:r w:rsidRPr="00AB71A5">
        <w:rPr>
          <w:lang w:eastAsia="fr-FR" w:bidi="fr-FR"/>
        </w:rPr>
        <w:t>r</w:t>
      </w:r>
      <w:r w:rsidRPr="00AB71A5">
        <w:rPr>
          <w:lang w:eastAsia="fr-FR" w:bidi="fr-FR"/>
        </w:rPr>
        <w:t>vaient originellement à définir la catégorie du médiat et de n’avoir ensuite d'autre issue que de continuer à décharger le trop plein des r</w:t>
      </w:r>
      <w:r w:rsidRPr="00AB71A5">
        <w:rPr>
          <w:lang w:eastAsia="fr-FR" w:bidi="fr-FR"/>
        </w:rPr>
        <w:t>é</w:t>
      </w:r>
      <w:r w:rsidRPr="00AB71A5">
        <w:rPr>
          <w:lang w:eastAsia="fr-FR" w:bidi="fr-FR"/>
        </w:rPr>
        <w:t>férents de cette dernière catégorie dans les classes qui lui se</w:t>
      </w:r>
      <w:r w:rsidRPr="00AB71A5">
        <w:rPr>
          <w:lang w:eastAsia="fr-FR" w:bidi="fr-FR"/>
        </w:rPr>
        <w:t>r</w:t>
      </w:r>
      <w:r w:rsidRPr="00AB71A5">
        <w:rPr>
          <w:lang w:eastAsia="fr-FR" w:bidi="fr-FR"/>
        </w:rPr>
        <w:t>vaient, aux yeux d’une logique des ensembles, de complément — la nature est une de ces classes — et auxquelles elle demeure liée. Les cons</w:t>
      </w:r>
      <w:r w:rsidRPr="00AB71A5">
        <w:rPr>
          <w:lang w:eastAsia="fr-FR" w:bidi="fr-FR"/>
        </w:rPr>
        <w:t>é</w:t>
      </w:r>
      <w:r w:rsidRPr="00AB71A5">
        <w:rPr>
          <w:lang w:eastAsia="fr-FR" w:bidi="fr-FR"/>
        </w:rPr>
        <w:t>quences sémantiques d’une telle appropriation sont loin d’être négl</w:t>
      </w:r>
      <w:r w:rsidRPr="00AB71A5">
        <w:rPr>
          <w:lang w:eastAsia="fr-FR" w:bidi="fr-FR"/>
        </w:rPr>
        <w:t>i</w:t>
      </w:r>
      <w:r w:rsidRPr="00AB71A5">
        <w:rPr>
          <w:lang w:eastAsia="fr-FR" w:bidi="fr-FR"/>
        </w:rPr>
        <w:t>geables et on peut facilement en prévoir l’essentiel. Neutralisant en effet, l’opposition structurale qui est présupposée à la signifiance du couple médiat-immédiat, cet arraisonnement de l’un des me</w:t>
      </w:r>
      <w:r w:rsidRPr="00AB71A5">
        <w:rPr>
          <w:lang w:eastAsia="fr-FR" w:bidi="fr-FR"/>
        </w:rPr>
        <w:t>m</w:t>
      </w:r>
      <w:r w:rsidRPr="00AB71A5">
        <w:rPr>
          <w:lang w:eastAsia="fr-FR" w:bidi="fr-FR"/>
        </w:rPr>
        <w:t>bres du couple par l’autre leur retire à tous</w:t>
      </w:r>
      <w:r>
        <w:rPr>
          <w:lang w:eastAsia="fr-FR" w:bidi="fr-FR"/>
        </w:rPr>
        <w:t xml:space="preserve"> [121] </w:t>
      </w:r>
      <w:r w:rsidRPr="00AB71A5">
        <w:rPr>
          <w:lang w:eastAsia="fr-FR" w:bidi="fr-FR"/>
        </w:rPr>
        <w:t>deux ainsi qu’à leurs dive</w:t>
      </w:r>
      <w:r w:rsidRPr="00AB71A5">
        <w:rPr>
          <w:lang w:eastAsia="fr-FR" w:bidi="fr-FR"/>
        </w:rPr>
        <w:t>r</w:t>
      </w:r>
      <w:r w:rsidRPr="00AB71A5">
        <w:rPr>
          <w:lang w:eastAsia="fr-FR" w:bidi="fr-FR"/>
        </w:rPr>
        <w:t>ses figures, toute pertinence épi</w:t>
      </w:r>
      <w:r w:rsidRPr="00AB71A5">
        <w:rPr>
          <w:lang w:eastAsia="fr-FR" w:bidi="fr-FR"/>
        </w:rPr>
        <w:t>s</w:t>
      </w:r>
      <w:r w:rsidRPr="00AB71A5">
        <w:rPr>
          <w:lang w:eastAsia="fr-FR" w:bidi="fr-FR"/>
        </w:rPr>
        <w:t>témologique ou, plus simplement, discursive. Il nous serait aisé, à cet égard, d’aligner un no</w:t>
      </w:r>
      <w:r w:rsidRPr="00AB71A5">
        <w:rPr>
          <w:lang w:eastAsia="fr-FR" w:bidi="fr-FR"/>
        </w:rPr>
        <w:t>m</w:t>
      </w:r>
      <w:r w:rsidRPr="00AB71A5">
        <w:rPr>
          <w:lang w:eastAsia="fr-FR" w:bidi="fr-FR"/>
        </w:rPr>
        <w:t>bre assez important de couples qui sont plus ou moins dérivés de l’opposition primitive médiat-immédiat et qui font présentement l’objet de renve</w:t>
      </w:r>
      <w:r w:rsidRPr="00AB71A5">
        <w:rPr>
          <w:lang w:eastAsia="fr-FR" w:bidi="fr-FR"/>
        </w:rPr>
        <w:t>r</w:t>
      </w:r>
      <w:r w:rsidRPr="00AB71A5">
        <w:rPr>
          <w:lang w:eastAsia="fr-FR" w:bidi="fr-FR"/>
        </w:rPr>
        <w:t>sements dont la formule générale serait qu’on réalise comme const</w:t>
      </w:r>
      <w:r w:rsidRPr="00AB71A5">
        <w:rPr>
          <w:lang w:eastAsia="fr-FR" w:bidi="fr-FR"/>
        </w:rPr>
        <w:t>i</w:t>
      </w:r>
      <w:r w:rsidRPr="00AB71A5">
        <w:rPr>
          <w:lang w:eastAsia="fr-FR" w:bidi="fr-FR"/>
        </w:rPr>
        <w:t>tuant une immédiateté seconde ce qui était traditionnellement conçu comme médiat.</w:t>
      </w:r>
      <w:r>
        <w:rPr>
          <w:lang w:eastAsia="fr-FR" w:bidi="fr-FR"/>
        </w:rPr>
        <w:t> </w:t>
      </w:r>
      <w:r>
        <w:rPr>
          <w:rStyle w:val="Appelnotedebasdep"/>
          <w:lang w:eastAsia="fr-FR" w:bidi="fr-FR"/>
        </w:rPr>
        <w:footnoteReference w:customMarkFollows="1" w:id="30"/>
        <w:t>M</w:t>
      </w:r>
      <w:r w:rsidRPr="00AB71A5">
        <w:rPr>
          <w:lang w:eastAsia="fr-FR" w:bidi="fr-FR"/>
        </w:rPr>
        <w:t xml:space="preserve"> Pas plus qu’il n’y a de nature qui ne soit déjà infi</w:t>
      </w:r>
      <w:r w:rsidRPr="00AB71A5">
        <w:rPr>
          <w:lang w:eastAsia="fr-FR" w:bidi="fr-FR"/>
        </w:rPr>
        <w:t>l</w:t>
      </w:r>
      <w:r w:rsidRPr="00AB71A5">
        <w:rPr>
          <w:lang w:eastAsia="fr-FR" w:bidi="fr-FR"/>
        </w:rPr>
        <w:t>trée par la culture, il n’est de culture qui ne soit alourdie d’un poids de facticité : il n’est pas un donné qui ne soit produit. Mais si tout peut être dit culture, on voit mal que l’on continue à employer ce terme puisqu’on ignore ce qu’il distingue. Ce retour à l’indistinction pou</w:t>
      </w:r>
      <w:r w:rsidRPr="00AB71A5">
        <w:rPr>
          <w:lang w:eastAsia="fr-FR" w:bidi="fr-FR"/>
        </w:rPr>
        <w:t>r</w:t>
      </w:r>
      <w:r w:rsidRPr="00AB71A5">
        <w:rPr>
          <w:lang w:eastAsia="fr-FR" w:bidi="fr-FR"/>
        </w:rPr>
        <w:t>rait, à son tour, nous amener à poser la culture comme le donné, c’est-à-dire comme une nature. Cette transform</w:t>
      </w:r>
      <w:r w:rsidRPr="00AB71A5">
        <w:rPr>
          <w:lang w:eastAsia="fr-FR" w:bidi="fr-FR"/>
        </w:rPr>
        <w:t>a</w:t>
      </w:r>
      <w:r w:rsidRPr="00AB71A5">
        <w:rPr>
          <w:lang w:eastAsia="fr-FR" w:bidi="fr-FR"/>
        </w:rPr>
        <w:t>tion des opposés l’un dans l’autre est l’une des conséquences sémant</w:t>
      </w:r>
      <w:r w:rsidRPr="00AB71A5">
        <w:rPr>
          <w:lang w:eastAsia="fr-FR" w:bidi="fr-FR"/>
        </w:rPr>
        <w:t>i</w:t>
      </w:r>
      <w:r w:rsidRPr="00AB71A5">
        <w:rPr>
          <w:lang w:eastAsia="fr-FR" w:bidi="fr-FR"/>
        </w:rPr>
        <w:t>ques de l’appropriation de la catégorie de la nature — de l’immédiat — par celle de la culture, à laquelle nous ont préparés les remarques qui pr</w:t>
      </w:r>
      <w:r w:rsidRPr="00AB71A5">
        <w:rPr>
          <w:lang w:eastAsia="fr-FR" w:bidi="fr-FR"/>
        </w:rPr>
        <w:t>é</w:t>
      </w:r>
      <w:r w:rsidRPr="00AB71A5">
        <w:rPr>
          <w:lang w:eastAsia="fr-FR" w:bidi="fr-FR"/>
        </w:rPr>
        <w:t>cèdent.</w:t>
      </w:r>
    </w:p>
    <w:p w:rsidR="00A9729B" w:rsidRPr="00AB71A5" w:rsidRDefault="00A9729B" w:rsidP="00A9729B">
      <w:pPr>
        <w:spacing w:before="120" w:after="120"/>
        <w:jc w:val="both"/>
      </w:pPr>
      <w:r w:rsidRPr="00AB71A5">
        <w:rPr>
          <w:lang w:eastAsia="fr-FR" w:bidi="fr-FR"/>
        </w:rPr>
        <w:t>Un exemple plus circonstancié de ce type de re</w:t>
      </w:r>
      <w:r w:rsidRPr="00AB71A5">
        <w:rPr>
          <w:lang w:eastAsia="fr-FR" w:bidi="fr-FR"/>
        </w:rPr>
        <w:t>n</w:t>
      </w:r>
      <w:r w:rsidRPr="00AB71A5">
        <w:rPr>
          <w:lang w:eastAsia="fr-FR" w:bidi="fr-FR"/>
        </w:rPr>
        <w:t>versement nous est apporté par les travaux de McL</w:t>
      </w:r>
      <w:r w:rsidRPr="00AB71A5">
        <w:rPr>
          <w:lang w:eastAsia="fr-FR" w:bidi="fr-FR"/>
        </w:rPr>
        <w:t>u</w:t>
      </w:r>
      <w:r w:rsidRPr="00AB71A5">
        <w:rPr>
          <w:lang w:eastAsia="fr-FR" w:bidi="fr-FR"/>
        </w:rPr>
        <w:t>han auxquels nous avons référé dans une précédente note. On pourrait encore, à cet égard, citer toute une problém</w:t>
      </w:r>
      <w:r w:rsidRPr="00AB71A5">
        <w:rPr>
          <w:lang w:eastAsia="fr-FR" w:bidi="fr-FR"/>
        </w:rPr>
        <w:t>a</w:t>
      </w:r>
      <w:r w:rsidRPr="00AB71A5">
        <w:rPr>
          <w:lang w:eastAsia="fr-FR" w:bidi="fr-FR"/>
        </w:rPr>
        <w:t>tique contemporaine du signe qui s’emploie à démonter ce rêve de récepteur d’être enfin mis en la présence d’un signifié nu pour y substituer le parcours éveillé d’une chaîne signifiante indéf</w:t>
      </w:r>
      <w:r w:rsidRPr="00AB71A5">
        <w:rPr>
          <w:lang w:eastAsia="fr-FR" w:bidi="fr-FR"/>
        </w:rPr>
        <w:t>i</w:t>
      </w:r>
      <w:r w:rsidRPr="00AB71A5">
        <w:rPr>
          <w:lang w:eastAsia="fr-FR" w:bidi="fr-FR"/>
        </w:rPr>
        <w:t>nie. Dans un domaine qui intéresse plus directement notre qu</w:t>
      </w:r>
      <w:r w:rsidRPr="00AB71A5">
        <w:rPr>
          <w:lang w:eastAsia="fr-FR" w:bidi="fr-FR"/>
        </w:rPr>
        <w:t>o</w:t>
      </w:r>
      <w:r w:rsidRPr="00AB71A5">
        <w:rPr>
          <w:lang w:eastAsia="fr-FR" w:bidi="fr-FR"/>
        </w:rPr>
        <w:t>tidien, on trouvera les angoisses de l’écologie qui voit les reto</w:t>
      </w:r>
      <w:r w:rsidRPr="00AB71A5">
        <w:rPr>
          <w:lang w:eastAsia="fr-FR" w:bidi="fr-FR"/>
        </w:rPr>
        <w:t>m</w:t>
      </w:r>
      <w:r w:rsidRPr="00AB71A5">
        <w:rPr>
          <w:lang w:eastAsia="fr-FR" w:bidi="fr-FR"/>
        </w:rPr>
        <w:t>bées d’un projet d’arraisonnement de la nature constituer peu à peu une matérialité d</w:t>
      </w:r>
      <w:r w:rsidRPr="00AB71A5">
        <w:rPr>
          <w:lang w:eastAsia="fr-FR" w:bidi="fr-FR"/>
        </w:rPr>
        <w:t>é</w:t>
      </w:r>
      <w:r w:rsidRPr="00AB71A5">
        <w:rPr>
          <w:lang w:eastAsia="fr-FR" w:bidi="fr-FR"/>
        </w:rPr>
        <w:t>rivée, plus ou moins ratée et qu’on répugne à voir occuper une place que s’octroyait l’ancienne nature.</w:t>
      </w:r>
    </w:p>
    <w:p w:rsidR="00A9729B" w:rsidRPr="00AB71A5" w:rsidRDefault="00A9729B" w:rsidP="00A9729B">
      <w:pPr>
        <w:spacing w:before="120" w:after="120"/>
        <w:jc w:val="both"/>
      </w:pPr>
      <w:r w:rsidRPr="00AB71A5">
        <w:rPr>
          <w:lang w:eastAsia="fr-FR" w:bidi="fr-FR"/>
        </w:rPr>
        <w:t>Nous ne sommes pas éloignés de croire que les problématiques qui interrogent les catégories de la proximité et de la présence ne corre</w:t>
      </w:r>
      <w:r w:rsidRPr="00AB71A5">
        <w:rPr>
          <w:lang w:eastAsia="fr-FR" w:bidi="fr-FR"/>
        </w:rPr>
        <w:t>s</w:t>
      </w:r>
      <w:r w:rsidRPr="00AB71A5">
        <w:rPr>
          <w:lang w:eastAsia="fr-FR" w:bidi="fr-FR"/>
        </w:rPr>
        <w:t>pondent malgré leur apparente abstraction, au concret le plus imm</w:t>
      </w:r>
      <w:r w:rsidRPr="00AB71A5">
        <w:rPr>
          <w:lang w:eastAsia="fr-FR" w:bidi="fr-FR"/>
        </w:rPr>
        <w:t>é</w:t>
      </w:r>
      <w:r w:rsidRPr="00AB71A5">
        <w:rPr>
          <w:lang w:eastAsia="fr-FR" w:bidi="fr-FR"/>
        </w:rPr>
        <w:t>diat de notre situation présente. Nos réserves à ces pr</w:t>
      </w:r>
      <w:r w:rsidRPr="00AB71A5">
        <w:rPr>
          <w:lang w:eastAsia="fr-FR" w:bidi="fr-FR"/>
        </w:rPr>
        <w:t>o</w:t>
      </w:r>
      <w:r w:rsidRPr="00AB71A5">
        <w:rPr>
          <w:lang w:eastAsia="fr-FR" w:bidi="fr-FR"/>
        </w:rPr>
        <w:t>blématiques viennent, comme nous l’avons dit précédemment, de ce qu’elles p</w:t>
      </w:r>
      <w:r w:rsidRPr="00AB71A5">
        <w:rPr>
          <w:lang w:eastAsia="fr-FR" w:bidi="fr-FR"/>
        </w:rPr>
        <w:t>o</w:t>
      </w:r>
      <w:r w:rsidRPr="00AB71A5">
        <w:rPr>
          <w:lang w:eastAsia="fr-FR" w:bidi="fr-FR"/>
        </w:rPr>
        <w:t>sent comme un constat, qui est tantôt amer, ta</w:t>
      </w:r>
      <w:r w:rsidRPr="00AB71A5">
        <w:rPr>
          <w:lang w:eastAsia="fr-FR" w:bidi="fr-FR"/>
        </w:rPr>
        <w:t>n</w:t>
      </w:r>
      <w:r w:rsidRPr="00AB71A5">
        <w:rPr>
          <w:lang w:eastAsia="fr-FR" w:bidi="fr-FR"/>
        </w:rPr>
        <w:t>tôt complaisant, ce qui ne peut apparaître que comme un pr</w:t>
      </w:r>
      <w:r w:rsidRPr="00AB71A5">
        <w:rPr>
          <w:lang w:eastAsia="fr-FR" w:bidi="fr-FR"/>
        </w:rPr>
        <w:t>o</w:t>
      </w:r>
      <w:r w:rsidRPr="00AB71A5">
        <w:rPr>
          <w:lang w:eastAsia="fr-FR" w:bidi="fr-FR"/>
        </w:rPr>
        <w:t>blème, ou encore, comme une impasse. Qu’elles parviennent à rempl</w:t>
      </w:r>
      <w:r w:rsidRPr="00AB71A5">
        <w:rPr>
          <w:lang w:eastAsia="fr-FR" w:bidi="fr-FR"/>
        </w:rPr>
        <w:t>a</w:t>
      </w:r>
      <w:r w:rsidRPr="00AB71A5">
        <w:rPr>
          <w:lang w:eastAsia="fr-FR" w:bidi="fr-FR"/>
        </w:rPr>
        <w:t>cer, dans la conscience, qu’elles prennent d’elle-même, la figure de Sisyphe par celle de Jason, nous semble être une des conditions de survie des cultures. Nous a</w:t>
      </w:r>
      <w:r w:rsidRPr="00AB71A5">
        <w:rPr>
          <w:lang w:eastAsia="fr-FR" w:bidi="fr-FR"/>
        </w:rPr>
        <w:t>i</w:t>
      </w:r>
      <w:r w:rsidRPr="00AB71A5">
        <w:rPr>
          <w:lang w:eastAsia="fr-FR" w:bidi="fr-FR"/>
        </w:rPr>
        <w:t>merions, dans la partie de ce texte qui nous reste, aligner quelques-uns</w:t>
      </w:r>
      <w:r>
        <w:rPr>
          <w:lang w:eastAsia="fr-FR" w:bidi="fr-FR"/>
        </w:rPr>
        <w:t xml:space="preserve"> [122] </w:t>
      </w:r>
      <w:r w:rsidRPr="00AB71A5">
        <w:rPr>
          <w:lang w:eastAsia="fr-FR" w:bidi="fr-FR"/>
        </w:rPr>
        <w:t>des phénomènes de notre actualité qui nous se</w:t>
      </w:r>
      <w:r w:rsidRPr="00AB71A5">
        <w:rPr>
          <w:lang w:eastAsia="fr-FR" w:bidi="fr-FR"/>
        </w:rPr>
        <w:t>m</w:t>
      </w:r>
      <w:r w:rsidRPr="00AB71A5">
        <w:rPr>
          <w:lang w:eastAsia="fr-FR" w:bidi="fr-FR"/>
        </w:rPr>
        <w:t>blent pointer vers un état objectif de saturation et les commenter brièvement.</w:t>
      </w:r>
    </w:p>
    <w:p w:rsidR="00A9729B" w:rsidRPr="00AB71A5" w:rsidRDefault="00A9729B" w:rsidP="00A9729B">
      <w:pPr>
        <w:spacing w:before="120" w:after="120"/>
        <w:jc w:val="both"/>
      </w:pPr>
      <w:r w:rsidRPr="00AB71A5">
        <w:rPr>
          <w:lang w:eastAsia="fr-FR" w:bidi="fr-FR"/>
        </w:rPr>
        <w:t>8. Dans cette brève énumér</w:t>
      </w:r>
      <w:r w:rsidRPr="00AB71A5">
        <w:rPr>
          <w:lang w:eastAsia="fr-FR" w:bidi="fr-FR"/>
        </w:rPr>
        <w:t>a</w:t>
      </w:r>
      <w:r w:rsidRPr="00AB71A5">
        <w:rPr>
          <w:lang w:eastAsia="fr-FR" w:bidi="fr-FR"/>
        </w:rPr>
        <w:t>tion que nous venons d’annoncer, nous ne pouvons passer sous s</w:t>
      </w:r>
      <w:r w:rsidRPr="00AB71A5">
        <w:rPr>
          <w:lang w:eastAsia="fr-FR" w:bidi="fr-FR"/>
        </w:rPr>
        <w:t>i</w:t>
      </w:r>
      <w:r w:rsidRPr="00AB71A5">
        <w:rPr>
          <w:lang w:eastAsia="fr-FR" w:bidi="fr-FR"/>
        </w:rPr>
        <w:t>lence les avertissements que nous lancent de façon maintenant quotidienne, ceux qui pratiquent les diverses scie</w:t>
      </w:r>
      <w:r w:rsidRPr="00AB71A5">
        <w:rPr>
          <w:lang w:eastAsia="fr-FR" w:bidi="fr-FR"/>
        </w:rPr>
        <w:t>n</w:t>
      </w:r>
      <w:r w:rsidRPr="00AB71A5">
        <w:rPr>
          <w:lang w:eastAsia="fr-FR" w:bidi="fr-FR"/>
        </w:rPr>
        <w:t>ces de l’environnement. Ce problème offre, en effet, une illustration particulièrement frappante d’un mécanisme de saturation. Etant ple</w:t>
      </w:r>
      <w:r w:rsidRPr="00AB71A5">
        <w:rPr>
          <w:lang w:eastAsia="fr-FR" w:bidi="fr-FR"/>
        </w:rPr>
        <w:t>i</w:t>
      </w:r>
      <w:r w:rsidRPr="00AB71A5">
        <w:rPr>
          <w:lang w:eastAsia="fr-FR" w:bidi="fr-FR"/>
        </w:rPr>
        <w:t>nement saturée d’existant, la catégorie du produit — d’industrie ou autre — peut difficilement s’élargir sans déborder sur celle du do</w:t>
      </w:r>
      <w:r w:rsidRPr="00AB71A5">
        <w:rPr>
          <w:lang w:eastAsia="fr-FR" w:bidi="fr-FR"/>
        </w:rPr>
        <w:t>n</w:t>
      </w:r>
      <w:r w:rsidRPr="00AB71A5">
        <w:rPr>
          <w:lang w:eastAsia="fr-FR" w:bidi="fr-FR"/>
        </w:rPr>
        <w:t>né — l’environnement naturel — pour tenter de se l’approprier. Cette substitution progressive d’une matérialité produite à une mat</w:t>
      </w:r>
      <w:r w:rsidRPr="00AB71A5">
        <w:rPr>
          <w:lang w:eastAsia="fr-FR" w:bidi="fr-FR"/>
        </w:rPr>
        <w:t>é</w:t>
      </w:r>
      <w:r w:rsidRPr="00AB71A5">
        <w:rPr>
          <w:lang w:eastAsia="fr-FR" w:bidi="fr-FR"/>
        </w:rPr>
        <w:t>rialité donnée n’est pas sans entraîner de profonds boulevers</w:t>
      </w:r>
      <w:r w:rsidRPr="00AB71A5">
        <w:rPr>
          <w:lang w:eastAsia="fr-FR" w:bidi="fr-FR"/>
        </w:rPr>
        <w:t>e</w:t>
      </w:r>
      <w:r w:rsidRPr="00AB71A5">
        <w:rPr>
          <w:lang w:eastAsia="fr-FR" w:bidi="fr-FR"/>
        </w:rPr>
        <w:t>ments. Nous nous contenterons de faire deux remarques à ce s</w:t>
      </w:r>
      <w:r w:rsidRPr="00AB71A5">
        <w:rPr>
          <w:lang w:eastAsia="fr-FR" w:bidi="fr-FR"/>
        </w:rPr>
        <w:t>u</w:t>
      </w:r>
      <w:r w:rsidRPr="00AB71A5">
        <w:rPr>
          <w:lang w:eastAsia="fr-FR" w:bidi="fr-FR"/>
        </w:rPr>
        <w:t>jet. (1) L’opinion prévalante selon laquelle cet arraiso</w:t>
      </w:r>
      <w:r w:rsidRPr="00AB71A5">
        <w:rPr>
          <w:lang w:eastAsia="fr-FR" w:bidi="fr-FR"/>
        </w:rPr>
        <w:t>n</w:t>
      </w:r>
      <w:r w:rsidRPr="00AB71A5">
        <w:rPr>
          <w:lang w:eastAsia="fr-FR" w:bidi="fr-FR"/>
        </w:rPr>
        <w:t>nement du donné par le produit coïncide avec une perversion de ce donné, nous paraît assez ambiguë, dans ses conséquences. Il ne fait pas de doute que des mesures doivent être prises, qui nous évitent d’habiter un dépotoir. Mais ce serait contrer le désordre par l’évasion, que d’endosser la rêv</w:t>
      </w:r>
      <w:r w:rsidRPr="00AB71A5">
        <w:rPr>
          <w:lang w:eastAsia="fr-FR" w:bidi="fr-FR"/>
        </w:rPr>
        <w:t>e</w:t>
      </w:r>
      <w:r w:rsidRPr="00AB71A5">
        <w:rPr>
          <w:lang w:eastAsia="fr-FR" w:bidi="fr-FR"/>
        </w:rPr>
        <w:t>rie naturiste selon laquelle un retour en arrière est possible. (2) Il fa</w:t>
      </w:r>
      <w:r w:rsidRPr="00AB71A5">
        <w:rPr>
          <w:lang w:eastAsia="fr-FR" w:bidi="fr-FR"/>
        </w:rPr>
        <w:t>u</w:t>
      </w:r>
      <w:r w:rsidRPr="00AB71A5">
        <w:rPr>
          <w:lang w:eastAsia="fr-FR" w:bidi="fr-FR"/>
        </w:rPr>
        <w:t>drait, d’une autre façon, s’empresser de réviser nos conceptions de processus de production, dont il faut s’apercevoir qu’il est assez profondément m</w:t>
      </w:r>
      <w:r w:rsidRPr="00AB71A5">
        <w:rPr>
          <w:lang w:eastAsia="fr-FR" w:bidi="fr-FR"/>
        </w:rPr>
        <w:t>o</w:t>
      </w:r>
      <w:r w:rsidRPr="00AB71A5">
        <w:rPr>
          <w:lang w:eastAsia="fr-FR" w:bidi="fr-FR"/>
        </w:rPr>
        <w:t>difié selon qu’il s’exerce sur une matière première, qui pour l’instant, nous est encore donnée, ou qu’il opère sur cette matérial</w:t>
      </w:r>
      <w:r w:rsidRPr="00AB71A5">
        <w:rPr>
          <w:lang w:eastAsia="fr-FR" w:bidi="fr-FR"/>
        </w:rPr>
        <w:t>i</w:t>
      </w:r>
      <w:r w:rsidRPr="00AB71A5">
        <w:rPr>
          <w:lang w:eastAsia="fr-FR" w:bidi="fr-FR"/>
        </w:rPr>
        <w:t>té seconde, qui rassemble les pr</w:t>
      </w:r>
      <w:r w:rsidRPr="00AB71A5">
        <w:rPr>
          <w:lang w:eastAsia="fr-FR" w:bidi="fr-FR"/>
        </w:rPr>
        <w:t>o</w:t>
      </w:r>
      <w:r w:rsidRPr="00AB71A5">
        <w:rPr>
          <w:lang w:eastAsia="fr-FR" w:bidi="fr-FR"/>
        </w:rPr>
        <w:t>duits de la première activité de transformation. Si le premier type de production nous donne l’exemple véritable d’un processus de transformation, le second type nous semble plutôt pr</w:t>
      </w:r>
      <w:r w:rsidRPr="00AB71A5">
        <w:rPr>
          <w:lang w:eastAsia="fr-FR" w:bidi="fr-FR"/>
        </w:rPr>
        <w:t>o</w:t>
      </w:r>
      <w:r w:rsidRPr="00AB71A5">
        <w:rPr>
          <w:lang w:eastAsia="fr-FR" w:bidi="fr-FR"/>
        </w:rPr>
        <w:t>duire de nouveaux agencements de parties déjà antérieurement acqu</w:t>
      </w:r>
      <w:r w:rsidRPr="00AB71A5">
        <w:rPr>
          <w:lang w:eastAsia="fr-FR" w:bidi="fr-FR"/>
        </w:rPr>
        <w:t>i</w:t>
      </w:r>
      <w:r w:rsidRPr="00AB71A5">
        <w:rPr>
          <w:lang w:eastAsia="fr-FR" w:bidi="fr-FR"/>
        </w:rPr>
        <w:t>ses, que des transformations proprement dites. Ces deux types de pr</w:t>
      </w:r>
      <w:r w:rsidRPr="00AB71A5">
        <w:rPr>
          <w:lang w:eastAsia="fr-FR" w:bidi="fr-FR"/>
        </w:rPr>
        <w:t>o</w:t>
      </w:r>
      <w:r w:rsidRPr="00AB71A5">
        <w:rPr>
          <w:lang w:eastAsia="fr-FR" w:bidi="fr-FR"/>
        </w:rPr>
        <w:t xml:space="preserve">duction, par transformation et par </w:t>
      </w:r>
      <w:r w:rsidRPr="00AB71A5">
        <w:t>agencement,</w:t>
      </w:r>
      <w:r w:rsidRPr="00AB71A5">
        <w:rPr>
          <w:lang w:eastAsia="fr-FR" w:bidi="fr-FR"/>
        </w:rPr>
        <w:t xml:space="preserve"> nous se</w:t>
      </w:r>
      <w:r w:rsidRPr="00AB71A5">
        <w:rPr>
          <w:lang w:eastAsia="fr-FR" w:bidi="fr-FR"/>
        </w:rPr>
        <w:t>m</w:t>
      </w:r>
      <w:r w:rsidRPr="00AB71A5">
        <w:rPr>
          <w:lang w:eastAsia="fr-FR" w:bidi="fr-FR"/>
        </w:rPr>
        <w:t>blent assez différents. Nous désignerons d</w:t>
      </w:r>
      <w:r w:rsidRPr="00AB71A5">
        <w:rPr>
          <w:lang w:eastAsia="fr-FR" w:bidi="fr-FR"/>
        </w:rPr>
        <w:t>o</w:t>
      </w:r>
      <w:r w:rsidRPr="00AB71A5">
        <w:rPr>
          <w:lang w:eastAsia="fr-FR" w:bidi="fr-FR"/>
        </w:rPr>
        <w:t>rénavant du terme de méta-production, un processus de production qui s’exerce sur des objets qui sont eux-mêmes issus d’une activité préalable de tran</w:t>
      </w:r>
      <w:r w:rsidRPr="00AB71A5">
        <w:rPr>
          <w:lang w:eastAsia="fr-FR" w:bidi="fr-FR"/>
        </w:rPr>
        <w:t>s</w:t>
      </w:r>
      <w:r w:rsidRPr="00AB71A5">
        <w:rPr>
          <w:lang w:eastAsia="fr-FR" w:bidi="fr-FR"/>
        </w:rPr>
        <w:t>formation — qui, donc, sont eux-mêmes, des pr</w:t>
      </w:r>
      <w:r w:rsidRPr="00AB71A5">
        <w:rPr>
          <w:lang w:eastAsia="fr-FR" w:bidi="fr-FR"/>
        </w:rPr>
        <w:t>o</w:t>
      </w:r>
      <w:r w:rsidRPr="00AB71A5">
        <w:rPr>
          <w:lang w:eastAsia="fr-FR" w:bidi="fr-FR"/>
        </w:rPr>
        <w:t>duits. Le type même d’un produit d’agencement s</w:t>
      </w:r>
      <w:r w:rsidRPr="00AB71A5">
        <w:rPr>
          <w:lang w:eastAsia="fr-FR" w:bidi="fr-FR"/>
        </w:rPr>
        <w:t>e</w:t>
      </w:r>
      <w:r w:rsidRPr="00AB71A5">
        <w:rPr>
          <w:lang w:eastAsia="fr-FR" w:bidi="fr-FR"/>
        </w:rPr>
        <w:t>rait le « gadget », qui exploite sur le mode parodique un principe de transformation qui a pu se révéler fécond dans ses pr</w:t>
      </w:r>
      <w:r w:rsidRPr="00AB71A5">
        <w:rPr>
          <w:lang w:eastAsia="fr-FR" w:bidi="fr-FR"/>
        </w:rPr>
        <w:t>e</w:t>
      </w:r>
      <w:r w:rsidRPr="00AB71A5">
        <w:rPr>
          <w:lang w:eastAsia="fr-FR" w:bidi="fr-FR"/>
        </w:rPr>
        <w:t>mières appl</w:t>
      </w:r>
      <w:r w:rsidRPr="00AB71A5">
        <w:rPr>
          <w:lang w:eastAsia="fr-FR" w:bidi="fr-FR"/>
        </w:rPr>
        <w:t>i</w:t>
      </w:r>
      <w:r w:rsidRPr="00AB71A5">
        <w:rPr>
          <w:lang w:eastAsia="fr-FR" w:bidi="fr-FR"/>
        </w:rPr>
        <w:t>cations.</w:t>
      </w:r>
    </w:p>
    <w:p w:rsidR="00A9729B" w:rsidRPr="00AB71A5" w:rsidRDefault="00A9729B" w:rsidP="00A9729B">
      <w:pPr>
        <w:spacing w:before="120" w:after="120"/>
        <w:jc w:val="both"/>
      </w:pPr>
      <w:r w:rsidRPr="00AB71A5">
        <w:rPr>
          <w:lang w:eastAsia="fr-FR" w:bidi="fr-FR"/>
        </w:rPr>
        <w:t>Nulle part ailleurs, peut-être, que dans les doma</w:t>
      </w:r>
      <w:r w:rsidRPr="00AB71A5">
        <w:rPr>
          <w:lang w:eastAsia="fr-FR" w:bidi="fr-FR"/>
        </w:rPr>
        <w:t>i</w:t>
      </w:r>
      <w:r w:rsidRPr="00AB71A5">
        <w:rPr>
          <w:lang w:eastAsia="fr-FR" w:bidi="fr-FR"/>
        </w:rPr>
        <w:t>nes conjoints de l’art et de la théorie, ne peut-on repérer avec plus d’aisance, des pr</w:t>
      </w:r>
      <w:r w:rsidRPr="00AB71A5">
        <w:rPr>
          <w:lang w:eastAsia="fr-FR" w:bidi="fr-FR"/>
        </w:rPr>
        <w:t>o</w:t>
      </w:r>
      <w:r w:rsidRPr="00AB71A5">
        <w:rPr>
          <w:lang w:eastAsia="fr-FR" w:bidi="fr-FR"/>
        </w:rPr>
        <w:t>cessus de production qui se réalisent en opérant de no</w:t>
      </w:r>
      <w:r w:rsidRPr="00AB71A5">
        <w:rPr>
          <w:lang w:eastAsia="fr-FR" w:bidi="fr-FR"/>
        </w:rPr>
        <w:t>u</w:t>
      </w:r>
      <w:r w:rsidRPr="00AB71A5">
        <w:rPr>
          <w:lang w:eastAsia="fr-FR" w:bidi="fr-FR"/>
        </w:rPr>
        <w:t>veaux</w:t>
      </w:r>
      <w:r>
        <w:rPr>
          <w:lang w:eastAsia="fr-FR" w:bidi="fr-FR"/>
        </w:rPr>
        <w:t xml:space="preserve"> [123] </w:t>
      </w:r>
      <w:r w:rsidRPr="00AB71A5">
        <w:rPr>
          <w:lang w:eastAsia="fr-FR" w:bidi="fr-FR"/>
        </w:rPr>
        <w:t>agencements de ce qui était déjà acquis. Il serait opportun, à cet égard, de rappeler que dans beaucoup de cas, c’est presque par un abus de termes que l’on parle de nouveauté, ce terme ne qualifiant ici qu’une combinaison mais non ses termes. On ne fait, par ailleurs, aucune vi</w:t>
      </w:r>
      <w:r w:rsidRPr="00AB71A5">
        <w:rPr>
          <w:lang w:eastAsia="fr-FR" w:bidi="fr-FR"/>
        </w:rPr>
        <w:t>o</w:t>
      </w:r>
      <w:r w:rsidRPr="00AB71A5">
        <w:rPr>
          <w:lang w:eastAsia="fr-FR" w:bidi="fr-FR"/>
        </w:rPr>
        <w:t>lence au qualificatif « saturé » en l’utilisant pour décrire un état qui se caractérise par ses propriétés d’invariance — son impui</w:t>
      </w:r>
      <w:r w:rsidRPr="00AB71A5">
        <w:rPr>
          <w:lang w:eastAsia="fr-FR" w:bidi="fr-FR"/>
        </w:rPr>
        <w:t>s</w:t>
      </w:r>
      <w:r w:rsidRPr="00AB71A5">
        <w:rPr>
          <w:lang w:eastAsia="fr-FR" w:bidi="fr-FR"/>
        </w:rPr>
        <w:t>sance à se transformer. Le champ de l’art est particulièrement, comme nous v</w:t>
      </w:r>
      <w:r w:rsidRPr="00AB71A5">
        <w:rPr>
          <w:lang w:eastAsia="fr-FR" w:bidi="fr-FR"/>
        </w:rPr>
        <w:t>e</w:t>
      </w:r>
      <w:r w:rsidRPr="00AB71A5">
        <w:rPr>
          <w:lang w:eastAsia="fr-FR" w:bidi="fr-FR"/>
        </w:rPr>
        <w:t>nons de le dire, riche de différences pour une problématique de la s</w:t>
      </w:r>
      <w:r w:rsidRPr="00AB71A5">
        <w:rPr>
          <w:lang w:eastAsia="fr-FR" w:bidi="fr-FR"/>
        </w:rPr>
        <w:t>a</w:t>
      </w:r>
      <w:r w:rsidRPr="00AB71A5">
        <w:rPr>
          <w:lang w:eastAsia="fr-FR" w:bidi="fr-FR"/>
        </w:rPr>
        <w:t>turation. Que les différentes pratiques artistiques soient r</w:t>
      </w:r>
      <w:r w:rsidRPr="00AB71A5">
        <w:rPr>
          <w:lang w:eastAsia="fr-FR" w:bidi="fr-FR"/>
        </w:rPr>
        <w:t>é</w:t>
      </w:r>
      <w:r w:rsidRPr="00AB71A5">
        <w:rPr>
          <w:lang w:eastAsia="fr-FR" w:bidi="fr-FR"/>
        </w:rPr>
        <w:t>flexives — qu’elles se prennent pour objet, parfois e</w:t>
      </w:r>
      <w:r w:rsidRPr="00AB71A5">
        <w:rPr>
          <w:lang w:eastAsia="fr-FR" w:bidi="fr-FR"/>
        </w:rPr>
        <w:t>x</w:t>
      </w:r>
      <w:r w:rsidRPr="00AB71A5">
        <w:rPr>
          <w:lang w:eastAsia="fr-FR" w:bidi="fr-FR"/>
        </w:rPr>
        <w:t>clusifs — est si apparent que l’on pourrait dire d’elles, en paraphr</w:t>
      </w:r>
      <w:r w:rsidRPr="00AB71A5">
        <w:rPr>
          <w:lang w:eastAsia="fr-FR" w:bidi="fr-FR"/>
        </w:rPr>
        <w:t>a</w:t>
      </w:r>
      <w:r w:rsidRPr="00AB71A5">
        <w:rPr>
          <w:lang w:eastAsia="fr-FR" w:bidi="fr-FR"/>
        </w:rPr>
        <w:t>sant le titre d’une œuvre bien connue, qu’elles sont en train de constituer un degré s</w:t>
      </w:r>
      <w:r w:rsidRPr="00AB71A5">
        <w:rPr>
          <w:lang w:eastAsia="fr-FR" w:bidi="fr-FR"/>
        </w:rPr>
        <w:t>e</w:t>
      </w:r>
      <w:r w:rsidRPr="00AB71A5">
        <w:rPr>
          <w:lang w:eastAsia="fr-FR" w:bidi="fr-FR"/>
        </w:rPr>
        <w:t>cond de la culture. (1) La fraction la plus vivante de l’esthétique s’est efforcée de montrer que c’était la littérature qui constituait l’objet pr</w:t>
      </w:r>
      <w:r w:rsidRPr="00AB71A5">
        <w:rPr>
          <w:lang w:eastAsia="fr-FR" w:bidi="fr-FR"/>
        </w:rPr>
        <w:t>i</w:t>
      </w:r>
      <w:r w:rsidRPr="00AB71A5">
        <w:rPr>
          <w:lang w:eastAsia="fr-FR" w:bidi="fr-FR"/>
        </w:rPr>
        <w:t>vilégié sinon exclusif de l’œuvre littéraire.</w:t>
      </w:r>
      <w:r>
        <w:rPr>
          <w:lang w:eastAsia="fr-FR" w:bidi="fr-FR"/>
        </w:rPr>
        <w:t> </w:t>
      </w:r>
      <w:r>
        <w:rPr>
          <w:rStyle w:val="Appelnotedebasdep"/>
          <w:lang w:eastAsia="fr-FR" w:bidi="fr-FR"/>
        </w:rPr>
        <w:footnoteReference w:customMarkFollows="1" w:id="31"/>
        <w:t>N</w:t>
      </w:r>
      <w:r w:rsidRPr="00AB71A5">
        <w:rPr>
          <w:vertAlign w:val="superscript"/>
          <w:lang w:eastAsia="fr-FR" w:bidi="fr-FR"/>
        </w:rPr>
        <w:t xml:space="preserve"> </w:t>
      </w:r>
      <w:r w:rsidRPr="00AB71A5">
        <w:rPr>
          <w:lang w:eastAsia="fr-FR" w:bidi="fr-FR"/>
        </w:rPr>
        <w:t>(2) Une remarque similaire pou</w:t>
      </w:r>
      <w:r w:rsidRPr="00AB71A5">
        <w:rPr>
          <w:lang w:eastAsia="fr-FR" w:bidi="fr-FR"/>
        </w:rPr>
        <w:t>r</w:t>
      </w:r>
      <w:r w:rsidRPr="00AB71A5">
        <w:rPr>
          <w:lang w:eastAsia="fr-FR" w:bidi="fr-FR"/>
        </w:rPr>
        <w:t>rait être faite à l’occasion de toutes ces pièces de théâtre que leur struct</w:t>
      </w:r>
      <w:r w:rsidRPr="00AB71A5">
        <w:rPr>
          <w:lang w:eastAsia="fr-FR" w:bidi="fr-FR"/>
        </w:rPr>
        <w:t>u</w:t>
      </w:r>
      <w:r w:rsidRPr="00AB71A5">
        <w:rPr>
          <w:lang w:eastAsia="fr-FR" w:bidi="fr-FR"/>
        </w:rPr>
        <w:t xml:space="preserve">re emboîtée définit comme un </w:t>
      </w:r>
      <w:r w:rsidRPr="004C1F21">
        <w:rPr>
          <w:i/>
        </w:rPr>
        <w:t>théâtre sur le théâtre</w:t>
      </w:r>
      <w:r w:rsidRPr="00AB71A5">
        <w:t>.</w:t>
      </w:r>
      <w:r>
        <w:t> </w:t>
      </w:r>
      <w:r>
        <w:rPr>
          <w:rStyle w:val="Appelnotedebasdep"/>
        </w:rPr>
        <w:footnoteReference w:customMarkFollows="1" w:id="32"/>
        <w:t>O</w:t>
      </w:r>
      <w:r w:rsidRPr="00AB71A5">
        <w:rPr>
          <w:lang w:eastAsia="fr-FR" w:bidi="fr-FR"/>
        </w:rPr>
        <w:t xml:space="preserve"> (3) On aurait beau jeu, dans le domaine des arts plastiques, d’invoquer le profond boul</w:t>
      </w:r>
      <w:r w:rsidRPr="00AB71A5">
        <w:rPr>
          <w:lang w:eastAsia="fr-FR" w:bidi="fr-FR"/>
        </w:rPr>
        <w:t>e</w:t>
      </w:r>
      <w:r w:rsidRPr="00AB71A5">
        <w:rPr>
          <w:lang w:eastAsia="fr-FR" w:bidi="fr-FR"/>
        </w:rPr>
        <w:t>versement qu’a suscité en sculpture, la réalisation par Picasso, d’une œuvre, à partir d’un montage de parties produites ind</w:t>
      </w:r>
      <w:r w:rsidRPr="00AB71A5">
        <w:rPr>
          <w:lang w:eastAsia="fr-FR" w:bidi="fr-FR"/>
        </w:rPr>
        <w:t>é</w:t>
      </w:r>
      <w:r w:rsidRPr="00AB71A5">
        <w:rPr>
          <w:lang w:eastAsia="fr-FR" w:bidi="fr-FR"/>
        </w:rPr>
        <w:t>pendamment les unes des autres. On pourrait faire des r</w:t>
      </w:r>
      <w:r w:rsidRPr="00AB71A5">
        <w:rPr>
          <w:lang w:eastAsia="fr-FR" w:bidi="fr-FR"/>
        </w:rPr>
        <w:t>e</w:t>
      </w:r>
      <w:r w:rsidRPr="00AB71A5">
        <w:rPr>
          <w:lang w:eastAsia="fr-FR" w:bidi="fr-FR"/>
        </w:rPr>
        <w:t>marques identiques au sujet de la technique picturale du collage. Une me</w:t>
      </w:r>
      <w:r w:rsidRPr="00AB71A5">
        <w:rPr>
          <w:lang w:eastAsia="fr-FR" w:bidi="fr-FR"/>
        </w:rPr>
        <w:t>n</w:t>
      </w:r>
      <w:r w:rsidRPr="00AB71A5">
        <w:rPr>
          <w:lang w:eastAsia="fr-FR" w:bidi="fr-FR"/>
        </w:rPr>
        <w:t>tion spéciale devrait être faite, du point de vue qui nous intéresse, à l’art pop et ses dér</w:t>
      </w:r>
      <w:r w:rsidRPr="00AB71A5">
        <w:rPr>
          <w:lang w:eastAsia="fr-FR" w:bidi="fr-FR"/>
        </w:rPr>
        <w:t>i</w:t>
      </w:r>
      <w:r w:rsidRPr="00AB71A5">
        <w:rPr>
          <w:lang w:eastAsia="fr-FR" w:bidi="fr-FR"/>
        </w:rPr>
        <w:t>vés qui, dans beaucoup de cas, s’emploient à produire de façon agrandie un graphisme antérieur — bande dessinée, ou photogr</w:t>
      </w:r>
      <w:r w:rsidRPr="00AB71A5">
        <w:rPr>
          <w:lang w:eastAsia="fr-FR" w:bidi="fr-FR"/>
        </w:rPr>
        <w:t>a</w:t>
      </w:r>
      <w:r w:rsidRPr="00AB71A5">
        <w:rPr>
          <w:lang w:eastAsia="fr-FR" w:bidi="fr-FR"/>
        </w:rPr>
        <w:t>phie, par exemple. (4) Même l’architecture ne constitue pas une exception trop criante dans la convergence que nous essayons d’esquisser. Le trait distinctif des édifices du projet Habitat 67, à Montréal, dont on a dit qu’il con</w:t>
      </w:r>
      <w:r w:rsidRPr="00AB71A5">
        <w:rPr>
          <w:lang w:eastAsia="fr-FR" w:bidi="fr-FR"/>
        </w:rPr>
        <w:t>s</w:t>
      </w:r>
      <w:r w:rsidRPr="00AB71A5">
        <w:rPr>
          <w:lang w:eastAsia="fr-FR" w:bidi="fr-FR"/>
        </w:rPr>
        <w:t>tituait la seule innovation architecturale véritable de l’exposition un</w:t>
      </w:r>
      <w:r w:rsidRPr="00AB71A5">
        <w:rPr>
          <w:lang w:eastAsia="fr-FR" w:bidi="fr-FR"/>
        </w:rPr>
        <w:t>i</w:t>
      </w:r>
      <w:r w:rsidRPr="00AB71A5">
        <w:rPr>
          <w:lang w:eastAsia="fr-FR" w:bidi="fr-FR"/>
        </w:rPr>
        <w:t>verselle de 1967, réside précisément dans le fait qu’il s’agit là d’édifices qui sont réalisés à partir d’un assemblage de logis indiv</w:t>
      </w:r>
      <w:r w:rsidRPr="00AB71A5">
        <w:rPr>
          <w:lang w:eastAsia="fr-FR" w:bidi="fr-FR"/>
        </w:rPr>
        <w:t>i</w:t>
      </w:r>
      <w:r w:rsidRPr="00AB71A5">
        <w:rPr>
          <w:lang w:eastAsia="fr-FR" w:bidi="fr-FR"/>
        </w:rPr>
        <w:t>duels dont la fabr</w:t>
      </w:r>
      <w:r w:rsidRPr="00AB71A5">
        <w:rPr>
          <w:lang w:eastAsia="fr-FR" w:bidi="fr-FR"/>
        </w:rPr>
        <w:t>i</w:t>
      </w:r>
      <w:r w:rsidRPr="00AB71A5">
        <w:rPr>
          <w:lang w:eastAsia="fr-FR" w:bidi="fr-FR"/>
        </w:rPr>
        <w:t>cation antécède celle de l’édifice total et qui en sont comme les parties.</w:t>
      </w:r>
    </w:p>
    <w:p w:rsidR="00A9729B" w:rsidRPr="00AB71A5" w:rsidRDefault="00A9729B" w:rsidP="00A9729B">
      <w:pPr>
        <w:spacing w:before="120" w:after="120"/>
        <w:jc w:val="both"/>
      </w:pPr>
      <w:r w:rsidRPr="00AB71A5">
        <w:rPr>
          <w:lang w:eastAsia="fr-FR" w:bidi="fr-FR"/>
        </w:rPr>
        <w:t>(5) On doit faire une place à part au cinéma et à la musique car ils offrent tous deux l’exemple, à bien des égards parallèle, des deux v</w:t>
      </w:r>
      <w:r w:rsidRPr="00AB71A5">
        <w:rPr>
          <w:lang w:eastAsia="fr-FR" w:bidi="fr-FR"/>
        </w:rPr>
        <w:t>a</w:t>
      </w:r>
      <w:r w:rsidRPr="00AB71A5">
        <w:rPr>
          <w:lang w:eastAsia="fr-FR" w:bidi="fr-FR"/>
        </w:rPr>
        <w:t>riantes d’un même aboutissement auquel conduit la poursuite cons</w:t>
      </w:r>
      <w:r w:rsidRPr="00AB71A5">
        <w:rPr>
          <w:lang w:eastAsia="fr-FR" w:bidi="fr-FR"/>
        </w:rPr>
        <w:t>é</w:t>
      </w:r>
      <w:r w:rsidRPr="00AB71A5">
        <w:rPr>
          <w:lang w:eastAsia="fr-FR" w:bidi="fr-FR"/>
        </w:rPr>
        <w:t>quente d’un processus de méta-production. Dans les deux cas, un pr</w:t>
      </w:r>
      <w:r w:rsidRPr="00AB71A5">
        <w:rPr>
          <w:lang w:eastAsia="fr-FR" w:bidi="fr-FR"/>
        </w:rPr>
        <w:t>o</w:t>
      </w:r>
      <w:r w:rsidRPr="00AB71A5">
        <w:rPr>
          <w:lang w:eastAsia="fr-FR" w:bidi="fr-FR"/>
        </w:rPr>
        <w:t>cessus de méta-production en vient à se nier comme production</w:t>
      </w:r>
      <w:r>
        <w:rPr>
          <w:lang w:eastAsia="fr-FR" w:bidi="fr-FR"/>
        </w:rPr>
        <w:t xml:space="preserve"> [124] </w:t>
      </w:r>
      <w:r w:rsidRPr="00AB71A5">
        <w:rPr>
          <w:lang w:eastAsia="fr-FR" w:bidi="fr-FR"/>
        </w:rPr>
        <w:t>en s’achevant dans la position de ce qui peut app</w:t>
      </w:r>
      <w:r w:rsidRPr="00AB71A5">
        <w:rPr>
          <w:lang w:eastAsia="fr-FR" w:bidi="fr-FR"/>
        </w:rPr>
        <w:t>a</w:t>
      </w:r>
      <w:r w:rsidRPr="00AB71A5">
        <w:rPr>
          <w:lang w:eastAsia="fr-FR" w:bidi="fr-FR"/>
        </w:rPr>
        <w:t>raître comme un nouveau donné naturel et qui résulte tantôt de la parodie et de l’outrance et tantôt d’un démontage critique ou d’une destruction ph</w:t>
      </w:r>
      <w:r w:rsidRPr="00AB71A5">
        <w:rPr>
          <w:lang w:eastAsia="fr-FR" w:bidi="fr-FR"/>
        </w:rPr>
        <w:t>y</w:t>
      </w:r>
      <w:r w:rsidRPr="00AB71A5">
        <w:rPr>
          <w:lang w:eastAsia="fr-FR" w:bidi="fr-FR"/>
        </w:rPr>
        <w:t>sique du produit culturel qui lui sert d’objet premier. Un exemple de cette seconde varia</w:t>
      </w:r>
      <w:r w:rsidRPr="00AB71A5">
        <w:rPr>
          <w:lang w:eastAsia="fr-FR" w:bidi="fr-FR"/>
        </w:rPr>
        <w:t>n</w:t>
      </w:r>
      <w:r w:rsidRPr="00AB71A5">
        <w:rPr>
          <w:lang w:eastAsia="fr-FR" w:bidi="fr-FR"/>
        </w:rPr>
        <w:t>te du résultat nous est fourni par la musique de Stockhausen et par certains films de Godard. Dans l’un et l’autre cas, on a bien affaire à des procès de méta-production, car la mati</w:t>
      </w:r>
      <w:r w:rsidRPr="00AB71A5">
        <w:rPr>
          <w:lang w:eastAsia="fr-FR" w:bidi="fr-FR"/>
        </w:rPr>
        <w:t>è</w:t>
      </w:r>
      <w:r w:rsidRPr="00AB71A5">
        <w:rPr>
          <w:lang w:eastAsia="fr-FR" w:bidi="fr-FR"/>
        </w:rPr>
        <w:t>re de l’œuvre est apportée par des productions antérieures. Pour Stockha</w:t>
      </w:r>
      <w:r w:rsidRPr="00AB71A5">
        <w:rPr>
          <w:lang w:eastAsia="fr-FR" w:bidi="fr-FR"/>
        </w:rPr>
        <w:t>u</w:t>
      </w:r>
      <w:r w:rsidRPr="00AB71A5">
        <w:rPr>
          <w:lang w:eastAsia="fr-FR" w:bidi="fr-FR"/>
        </w:rPr>
        <w:t>sen, c’est le matériau même de l’œuvre qui est donné par des mus</w:t>
      </w:r>
      <w:r w:rsidRPr="00AB71A5">
        <w:rPr>
          <w:lang w:eastAsia="fr-FR" w:bidi="fr-FR"/>
        </w:rPr>
        <w:t>i</w:t>
      </w:r>
      <w:r w:rsidRPr="00AB71A5">
        <w:rPr>
          <w:lang w:eastAsia="fr-FR" w:bidi="fr-FR"/>
        </w:rPr>
        <w:t>ques acquises (hymnes n</w:t>
      </w:r>
      <w:r w:rsidRPr="00AB71A5">
        <w:rPr>
          <w:lang w:eastAsia="fr-FR" w:bidi="fr-FR"/>
        </w:rPr>
        <w:t>a</w:t>
      </w:r>
      <w:r w:rsidRPr="00AB71A5">
        <w:rPr>
          <w:lang w:eastAsia="fr-FR" w:bidi="fr-FR"/>
        </w:rPr>
        <w:t xml:space="preserve">tionaux </w:t>
      </w:r>
      <w:r w:rsidRPr="001746A1">
        <w:rPr>
          <w:i/>
        </w:rPr>
        <w:t>Hymnen</w:t>
      </w:r>
      <w:r w:rsidRPr="00AB71A5">
        <w:t>),</w:t>
      </w:r>
      <w:r w:rsidRPr="00AB71A5">
        <w:rPr>
          <w:lang w:eastAsia="fr-FR" w:bidi="fr-FR"/>
        </w:rPr>
        <w:t xml:space="preserve"> ou musiques d’occasion, synthonisées un soir de concert) et que va s’employer à pulvériser l’outil électronique, qu’utilise le compositeur pour retrouver un son nu et austère. Paradoxalement, l’opération pr</w:t>
      </w:r>
      <w:r w:rsidRPr="00AB71A5">
        <w:rPr>
          <w:lang w:eastAsia="fr-FR" w:bidi="fr-FR"/>
        </w:rPr>
        <w:t>o</w:t>
      </w:r>
      <w:r w:rsidRPr="00AB71A5">
        <w:rPr>
          <w:lang w:eastAsia="fr-FR" w:bidi="fr-FR"/>
        </w:rPr>
        <w:t>duit ici un matériau sonore encore plus brut que son origine. Pour Godard, c’est l’argument idé</w:t>
      </w:r>
      <w:r w:rsidRPr="00AB71A5">
        <w:rPr>
          <w:lang w:eastAsia="fr-FR" w:bidi="fr-FR"/>
        </w:rPr>
        <w:t>o</w:t>
      </w:r>
      <w:r w:rsidRPr="00AB71A5">
        <w:rPr>
          <w:lang w:eastAsia="fr-FR" w:bidi="fr-FR"/>
        </w:rPr>
        <w:t>logique du film qui est fourni par certains des archétypes du cin</w:t>
      </w:r>
      <w:r w:rsidRPr="00AB71A5">
        <w:rPr>
          <w:lang w:eastAsia="fr-FR" w:bidi="fr-FR"/>
        </w:rPr>
        <w:t>é</w:t>
      </w:r>
      <w:r w:rsidRPr="00AB71A5">
        <w:rPr>
          <w:lang w:eastAsia="fr-FR" w:bidi="fr-FR"/>
        </w:rPr>
        <w:t>ma de consommation — western, science-fiction ou film policier — que des opérations systématiques de démontage ou de dissociation</w:t>
      </w:r>
      <w:r>
        <w:rPr>
          <w:lang w:eastAsia="fr-FR" w:bidi="fr-FR"/>
        </w:rPr>
        <w:t> </w:t>
      </w:r>
      <w:r>
        <w:rPr>
          <w:rStyle w:val="Appelnotedebasdep"/>
          <w:lang w:eastAsia="fr-FR" w:bidi="fr-FR"/>
        </w:rPr>
        <w:footnoteReference w:id="33"/>
      </w:r>
      <w:r w:rsidRPr="00AB71A5">
        <w:rPr>
          <w:lang w:eastAsia="fr-FR" w:bidi="fr-FR"/>
        </w:rPr>
        <w:t xml:space="preserve"> fin</w:t>
      </w:r>
      <w:r w:rsidRPr="00AB71A5">
        <w:rPr>
          <w:lang w:eastAsia="fr-FR" w:bidi="fr-FR"/>
        </w:rPr>
        <w:t>i</w:t>
      </w:r>
      <w:r w:rsidRPr="00AB71A5">
        <w:rPr>
          <w:lang w:eastAsia="fr-FR" w:bidi="fr-FR"/>
        </w:rPr>
        <w:t>ront par réduire à la sécheresse désaffectée du doc</w:t>
      </w:r>
      <w:r w:rsidRPr="00AB71A5">
        <w:rPr>
          <w:lang w:eastAsia="fr-FR" w:bidi="fr-FR"/>
        </w:rPr>
        <w:t>u</w:t>
      </w:r>
      <w:r w:rsidRPr="00AB71A5">
        <w:rPr>
          <w:lang w:eastAsia="fr-FR" w:bidi="fr-FR"/>
        </w:rPr>
        <w:t>mentaire.</w:t>
      </w:r>
    </w:p>
    <w:p w:rsidR="00A9729B" w:rsidRPr="00AB71A5" w:rsidRDefault="00A9729B" w:rsidP="00A9729B">
      <w:pPr>
        <w:spacing w:before="120" w:after="120"/>
        <w:jc w:val="both"/>
      </w:pPr>
      <w:r>
        <w:rPr>
          <w:lang w:eastAsia="fr-FR" w:bidi="fr-FR"/>
        </w:rPr>
        <w:t>À</w:t>
      </w:r>
      <w:r w:rsidRPr="00AB71A5">
        <w:rPr>
          <w:lang w:eastAsia="fr-FR" w:bidi="fr-FR"/>
        </w:rPr>
        <w:t xml:space="preserve"> l’opposé du traitement que fait Godard du film de grande consommation, mais produisant souvent les mêmes résultats, on tro</w:t>
      </w:r>
      <w:r w:rsidRPr="00AB71A5">
        <w:rPr>
          <w:lang w:eastAsia="fr-FR" w:bidi="fr-FR"/>
        </w:rPr>
        <w:t>u</w:t>
      </w:r>
      <w:r w:rsidRPr="00AB71A5">
        <w:rPr>
          <w:lang w:eastAsia="fr-FR" w:bidi="fr-FR"/>
        </w:rPr>
        <w:t>vera celui des fabricateurs de westerns italiens. Dans ce cas-ci comme dans l’autre, la différence de l’art avec le donné naturel est abolie, mais par un processus inverse qui n’est pas sans rappeler une démon</w:t>
      </w:r>
      <w:r w:rsidRPr="00AB71A5">
        <w:rPr>
          <w:lang w:eastAsia="fr-FR" w:bidi="fr-FR"/>
        </w:rPr>
        <w:t>s</w:t>
      </w:r>
      <w:r w:rsidRPr="00AB71A5">
        <w:rPr>
          <w:lang w:eastAsia="fr-FR" w:bidi="fr-FR"/>
        </w:rPr>
        <w:t>tration par l’absurde : au projet cr</w:t>
      </w:r>
      <w:r w:rsidRPr="00AB71A5">
        <w:rPr>
          <w:lang w:eastAsia="fr-FR" w:bidi="fr-FR"/>
        </w:rPr>
        <w:t>i</w:t>
      </w:r>
      <w:r w:rsidRPr="00AB71A5">
        <w:rPr>
          <w:lang w:eastAsia="fr-FR" w:bidi="fr-FR"/>
        </w:rPr>
        <w:t>tique qui démonte, on substitue la parodie qui exacerbe et dans laquelle, par son outrance, l’œuvre se désigne elle-même comme une impost</w:t>
      </w:r>
      <w:r w:rsidRPr="00AB71A5">
        <w:rPr>
          <w:lang w:eastAsia="fr-FR" w:bidi="fr-FR"/>
        </w:rPr>
        <w:t>u</w:t>
      </w:r>
      <w:r w:rsidRPr="00AB71A5">
        <w:rPr>
          <w:lang w:eastAsia="fr-FR" w:bidi="fr-FR"/>
        </w:rPr>
        <w:t>re. Si l’entreprise de Godard est homicide, le western italien réu</w:t>
      </w:r>
      <w:r w:rsidRPr="00AB71A5">
        <w:rPr>
          <w:lang w:eastAsia="fr-FR" w:bidi="fr-FR"/>
        </w:rPr>
        <w:t>s</w:t>
      </w:r>
      <w:r w:rsidRPr="00AB71A5">
        <w:rPr>
          <w:lang w:eastAsia="fr-FR" w:bidi="fr-FR"/>
        </w:rPr>
        <w:t>si est suicidaire. Un homologue musical du western italien peut facilement être trouvé dans cet appr</w:t>
      </w:r>
      <w:r w:rsidRPr="00AB71A5">
        <w:rPr>
          <w:lang w:eastAsia="fr-FR" w:bidi="fr-FR"/>
        </w:rPr>
        <w:t>ê</w:t>
      </w:r>
      <w:r w:rsidRPr="00AB71A5">
        <w:rPr>
          <w:lang w:eastAsia="fr-FR" w:bidi="fr-FR"/>
        </w:rPr>
        <w:t>tage d’anciennes pièces musicales à la nausée du jour, qui, usant des précédentes techniques d’outrance et de simplification — accentu</w:t>
      </w:r>
      <w:r w:rsidRPr="00AB71A5">
        <w:rPr>
          <w:lang w:eastAsia="fr-FR" w:bidi="fr-FR"/>
        </w:rPr>
        <w:t>a</w:t>
      </w:r>
      <w:r w:rsidRPr="00AB71A5">
        <w:rPr>
          <w:lang w:eastAsia="fr-FR" w:bidi="fr-FR"/>
        </w:rPr>
        <w:t>tion du ryt</w:t>
      </w:r>
      <w:r w:rsidRPr="00AB71A5">
        <w:rPr>
          <w:lang w:eastAsia="fr-FR" w:bidi="fr-FR"/>
        </w:rPr>
        <w:t>h</w:t>
      </w:r>
      <w:r w:rsidRPr="00AB71A5">
        <w:rPr>
          <w:lang w:eastAsia="fr-FR" w:bidi="fr-FR"/>
        </w:rPr>
        <w:t>me, répétition oppressante d’une mélodie réduite à l’état d’épure — transforment peu à peu la m</w:t>
      </w:r>
      <w:r w:rsidRPr="00AB71A5">
        <w:rPr>
          <w:lang w:eastAsia="fr-FR" w:bidi="fr-FR"/>
        </w:rPr>
        <w:t>u</w:t>
      </w:r>
      <w:r w:rsidRPr="00AB71A5">
        <w:rPr>
          <w:lang w:eastAsia="fr-FR" w:bidi="fr-FR"/>
        </w:rPr>
        <w:t>sique en un mécanisme quasi n</w:t>
      </w:r>
      <w:r w:rsidRPr="00AB71A5">
        <w:rPr>
          <w:lang w:eastAsia="fr-FR" w:bidi="fr-FR"/>
        </w:rPr>
        <w:t>a</w:t>
      </w:r>
      <w:r w:rsidRPr="00AB71A5">
        <w:rPr>
          <w:lang w:eastAsia="fr-FR" w:bidi="fr-FR"/>
        </w:rPr>
        <w:t>turel de conditionnement affectif. De même que</w:t>
      </w:r>
      <w:r>
        <w:rPr>
          <w:lang w:eastAsia="fr-FR" w:bidi="fr-FR"/>
        </w:rPr>
        <w:t xml:space="preserve"> [125] </w:t>
      </w:r>
      <w:r w:rsidRPr="00AB71A5">
        <w:rPr>
          <w:lang w:eastAsia="fr-FR" w:bidi="fr-FR"/>
        </w:rPr>
        <w:t>l’instrument électronique, la vulgarisation parvient à défaire l’œuvre qu’elle a prise pour objet, mais, contrairement à celle-ci elle est impuissante à la r</w:t>
      </w:r>
      <w:r w:rsidRPr="00AB71A5">
        <w:rPr>
          <w:lang w:eastAsia="fr-FR" w:bidi="fr-FR"/>
        </w:rPr>
        <w:t>e</w:t>
      </w:r>
      <w:r w:rsidRPr="00AB71A5">
        <w:rPr>
          <w:lang w:eastAsia="fr-FR" w:bidi="fr-FR"/>
        </w:rPr>
        <w:t>con</w:t>
      </w:r>
      <w:r w:rsidRPr="00AB71A5">
        <w:rPr>
          <w:lang w:eastAsia="fr-FR" w:bidi="fr-FR"/>
        </w:rPr>
        <w:t>s</w:t>
      </w:r>
      <w:r w:rsidRPr="00AB71A5">
        <w:rPr>
          <w:lang w:eastAsia="fr-FR" w:bidi="fr-FR"/>
        </w:rPr>
        <w:t>truire.</w:t>
      </w:r>
    </w:p>
    <w:p w:rsidR="00A9729B" w:rsidRPr="00AB71A5" w:rsidRDefault="00A9729B" w:rsidP="00A9729B">
      <w:pPr>
        <w:spacing w:before="120" w:after="120"/>
        <w:jc w:val="both"/>
      </w:pPr>
      <w:r w:rsidRPr="00AB71A5">
        <w:rPr>
          <w:lang w:eastAsia="fr-FR" w:bidi="fr-FR"/>
        </w:rPr>
        <w:t>On aurait tort de négliger les retombées de ces dernières manifest</w:t>
      </w:r>
      <w:r w:rsidRPr="00AB71A5">
        <w:rPr>
          <w:lang w:eastAsia="fr-FR" w:bidi="fr-FR"/>
        </w:rPr>
        <w:t>a</w:t>
      </w:r>
      <w:r w:rsidRPr="00AB71A5">
        <w:rPr>
          <w:lang w:eastAsia="fr-FR" w:bidi="fr-FR"/>
        </w:rPr>
        <w:t>tions d’une situation cult</w:t>
      </w:r>
      <w:r w:rsidRPr="00AB71A5">
        <w:rPr>
          <w:lang w:eastAsia="fr-FR" w:bidi="fr-FR"/>
        </w:rPr>
        <w:t>u</w:t>
      </w:r>
      <w:r w:rsidRPr="00AB71A5">
        <w:rPr>
          <w:lang w:eastAsia="fr-FR" w:bidi="fr-FR"/>
        </w:rPr>
        <w:t>relle qui tend vers la saturation, et qui ne sont pas aussi anod</w:t>
      </w:r>
      <w:r w:rsidRPr="00AB71A5">
        <w:rPr>
          <w:lang w:eastAsia="fr-FR" w:bidi="fr-FR"/>
        </w:rPr>
        <w:t>i</w:t>
      </w:r>
      <w:r w:rsidRPr="00AB71A5">
        <w:rPr>
          <w:lang w:eastAsia="fr-FR" w:bidi="fr-FR"/>
        </w:rPr>
        <w:t>nes qu’il y paraît. Elles engendrent, en effet, l’exigence d’un décod</w:t>
      </w:r>
      <w:r w:rsidRPr="00AB71A5">
        <w:rPr>
          <w:lang w:eastAsia="fr-FR" w:bidi="fr-FR"/>
        </w:rPr>
        <w:t>a</w:t>
      </w:r>
      <w:r w:rsidRPr="00AB71A5">
        <w:rPr>
          <w:lang w:eastAsia="fr-FR" w:bidi="fr-FR"/>
        </w:rPr>
        <w:t>ge multiple du produit de culture, qui est une fonction de sa profondeur, et qui a pour cons</w:t>
      </w:r>
      <w:r w:rsidRPr="00AB71A5">
        <w:rPr>
          <w:lang w:eastAsia="fr-FR" w:bidi="fr-FR"/>
        </w:rPr>
        <w:t>é</w:t>
      </w:r>
      <w:r w:rsidRPr="00AB71A5">
        <w:rPr>
          <w:lang w:eastAsia="fr-FR" w:bidi="fr-FR"/>
        </w:rPr>
        <w:t>quence, dans beaucoup de cas, d’accroître l’aliénation de ceux qui ne peuvent s’y livrer et qui forment encore une majorité écrasante. L’aspect p</w:t>
      </w:r>
      <w:r w:rsidRPr="00AB71A5">
        <w:rPr>
          <w:lang w:eastAsia="fr-FR" w:bidi="fr-FR"/>
        </w:rPr>
        <w:t>a</w:t>
      </w:r>
      <w:r w:rsidRPr="00AB71A5">
        <w:rPr>
          <w:lang w:eastAsia="fr-FR" w:bidi="fr-FR"/>
        </w:rPr>
        <w:t>rodique du western italien par exemple et de bea</w:t>
      </w:r>
      <w:r w:rsidRPr="00AB71A5">
        <w:rPr>
          <w:lang w:eastAsia="fr-FR" w:bidi="fr-FR"/>
        </w:rPr>
        <w:t>u</w:t>
      </w:r>
      <w:r w:rsidRPr="00AB71A5">
        <w:rPr>
          <w:lang w:eastAsia="fr-FR" w:bidi="fr-FR"/>
        </w:rPr>
        <w:t xml:space="preserve">coup </w:t>
      </w:r>
      <w:r>
        <w:rPr>
          <w:lang w:eastAsia="fr-FR" w:bidi="fr-FR"/>
        </w:rPr>
        <w:t>de produits sé</w:t>
      </w:r>
      <w:r w:rsidRPr="00AB71A5">
        <w:rPr>
          <w:lang w:eastAsia="fr-FR" w:bidi="fr-FR"/>
        </w:rPr>
        <w:t>dimentés du même genre, n’est perceptible que pour ceux qui, familiers avec les pr</w:t>
      </w:r>
      <w:r w:rsidRPr="00AB71A5">
        <w:rPr>
          <w:lang w:eastAsia="fr-FR" w:bidi="fr-FR"/>
        </w:rPr>
        <w:t>o</w:t>
      </w:r>
      <w:r w:rsidRPr="00AB71A5">
        <w:rPr>
          <w:lang w:eastAsia="fr-FR" w:bidi="fr-FR"/>
        </w:rPr>
        <w:t>cédés dont le réalisateur se moque, pour les avoir identifiés déjà, s’en tie</w:t>
      </w:r>
      <w:r w:rsidRPr="00AB71A5">
        <w:rPr>
          <w:lang w:eastAsia="fr-FR" w:bidi="fr-FR"/>
        </w:rPr>
        <w:t>n</w:t>
      </w:r>
      <w:r w:rsidRPr="00AB71A5">
        <w:rPr>
          <w:lang w:eastAsia="fr-FR" w:bidi="fr-FR"/>
        </w:rPr>
        <w:t>nent à une distance suffisante pour apprécier le tra</w:t>
      </w:r>
      <w:r w:rsidRPr="00AB71A5">
        <w:rPr>
          <w:lang w:eastAsia="fr-FR" w:bidi="fr-FR"/>
        </w:rPr>
        <w:t>i</w:t>
      </w:r>
      <w:r w:rsidRPr="00AB71A5">
        <w:rPr>
          <w:lang w:eastAsia="fr-FR" w:bidi="fr-FR"/>
        </w:rPr>
        <w:t>tement qu’il en fait. Il n’en est pas de même pour ceux qui, ne possédant pas les éléments du code de la parodie l’accueillent naïv</w:t>
      </w:r>
      <w:r w:rsidRPr="00AB71A5">
        <w:rPr>
          <w:lang w:eastAsia="fr-FR" w:bidi="fr-FR"/>
        </w:rPr>
        <w:t>e</w:t>
      </w:r>
      <w:r w:rsidRPr="00AB71A5">
        <w:rPr>
          <w:lang w:eastAsia="fr-FR" w:bidi="fr-FR"/>
        </w:rPr>
        <w:t>ment — au premier degré — et qui deviennent ainsi captifs d’un univers doublement frelaté. Cette capture peut se transformer en une fascination, qui ne laisse pas d’être tragique, quand le moyen que se donne la parodie est un réalisme constamment e</w:t>
      </w:r>
      <w:r w:rsidRPr="00AB71A5">
        <w:rPr>
          <w:lang w:eastAsia="fr-FR" w:bidi="fr-FR"/>
        </w:rPr>
        <w:t>x</w:t>
      </w:r>
      <w:r w:rsidRPr="00AB71A5">
        <w:rPr>
          <w:lang w:eastAsia="fr-FR" w:bidi="fr-FR"/>
        </w:rPr>
        <w:t>cédé</w:t>
      </w:r>
      <w:r>
        <w:rPr>
          <w:lang w:eastAsia="fr-FR" w:bidi="fr-FR"/>
        </w:rPr>
        <w:t> </w:t>
      </w:r>
      <w:r>
        <w:rPr>
          <w:rStyle w:val="Appelnotedebasdep"/>
          <w:lang w:eastAsia="fr-FR" w:bidi="fr-FR"/>
        </w:rPr>
        <w:footnoteReference w:id="34"/>
      </w:r>
      <w:r w:rsidRPr="00AB71A5">
        <w:rPr>
          <w:lang w:eastAsia="fr-FR" w:bidi="fr-FR"/>
        </w:rPr>
        <w:t>. L’instance de la parodie étant de prendre une importance accrue dans notre culture, on peut prévoir que ce pr</w:t>
      </w:r>
      <w:r w:rsidRPr="00AB71A5">
        <w:rPr>
          <w:lang w:eastAsia="fr-FR" w:bidi="fr-FR"/>
        </w:rPr>
        <w:t>o</w:t>
      </w:r>
      <w:r w:rsidRPr="00AB71A5">
        <w:rPr>
          <w:lang w:eastAsia="fr-FR" w:bidi="fr-FR"/>
        </w:rPr>
        <w:t>blème de la double lecture — avertie et naïve — sera opérant dans la discr</w:t>
      </w:r>
      <w:r w:rsidRPr="00AB71A5">
        <w:rPr>
          <w:lang w:eastAsia="fr-FR" w:bidi="fr-FR"/>
        </w:rPr>
        <w:t>i</w:t>
      </w:r>
      <w:r w:rsidRPr="00AB71A5">
        <w:rPr>
          <w:lang w:eastAsia="fr-FR" w:bidi="fr-FR"/>
        </w:rPr>
        <w:t xml:space="preserve">mination des groupes. </w:t>
      </w:r>
      <w:r w:rsidRPr="001746A1">
        <w:rPr>
          <w:i/>
        </w:rPr>
        <w:t>On ne saurait négliger ce fait que la le</w:t>
      </w:r>
      <w:r w:rsidRPr="001746A1">
        <w:rPr>
          <w:i/>
        </w:rPr>
        <w:t>c</w:t>
      </w:r>
      <w:r w:rsidRPr="001746A1">
        <w:rPr>
          <w:i/>
        </w:rPr>
        <w:t>ture plurielle a pour envers considérable la masse des lectures bl</w:t>
      </w:r>
      <w:r w:rsidRPr="001746A1">
        <w:rPr>
          <w:i/>
        </w:rPr>
        <w:t>o</w:t>
      </w:r>
      <w:r w:rsidRPr="001746A1">
        <w:rPr>
          <w:i/>
        </w:rPr>
        <w:t>quées.</w:t>
      </w:r>
    </w:p>
    <w:p w:rsidR="00A9729B" w:rsidRPr="00AB71A5" w:rsidRDefault="00A9729B" w:rsidP="00A9729B">
      <w:pPr>
        <w:spacing w:before="120" w:after="120"/>
        <w:jc w:val="both"/>
      </w:pPr>
      <w:r w:rsidRPr="00AB71A5">
        <w:rPr>
          <w:lang w:eastAsia="fr-FR" w:bidi="fr-FR"/>
        </w:rPr>
        <w:t>Nous serons assez bref dans nos remarques sur le domaine de la théorie, pour y avoir consacré la m</w:t>
      </w:r>
      <w:r w:rsidRPr="00AB71A5">
        <w:rPr>
          <w:lang w:eastAsia="fr-FR" w:bidi="fr-FR"/>
        </w:rPr>
        <w:t>a</w:t>
      </w:r>
      <w:r w:rsidRPr="00AB71A5">
        <w:rPr>
          <w:lang w:eastAsia="fr-FR" w:bidi="fr-FR"/>
        </w:rPr>
        <w:t>jeure partie de ce travail. Nous répartirons ces remarques selon deux coupes, verticales et horizont</w:t>
      </w:r>
      <w:r w:rsidRPr="00AB71A5">
        <w:rPr>
          <w:lang w:eastAsia="fr-FR" w:bidi="fr-FR"/>
        </w:rPr>
        <w:t>a</w:t>
      </w:r>
      <w:r w:rsidRPr="00AB71A5">
        <w:rPr>
          <w:lang w:eastAsia="fr-FR" w:bidi="fr-FR"/>
        </w:rPr>
        <w:t>les, que l’on peut faire dans le théorique et qui correspond à des op</w:t>
      </w:r>
      <w:r w:rsidRPr="00AB71A5">
        <w:rPr>
          <w:lang w:eastAsia="fr-FR" w:bidi="fr-FR"/>
        </w:rPr>
        <w:t>é</w:t>
      </w:r>
      <w:r w:rsidRPr="00AB71A5">
        <w:rPr>
          <w:lang w:eastAsia="fr-FR" w:bidi="fr-FR"/>
        </w:rPr>
        <w:t>rations — hiérarchie et dénombrement — que nous avons précéde</w:t>
      </w:r>
      <w:r w:rsidRPr="00AB71A5">
        <w:rPr>
          <w:lang w:eastAsia="fr-FR" w:bidi="fr-FR"/>
        </w:rPr>
        <w:t>m</w:t>
      </w:r>
      <w:r w:rsidRPr="00AB71A5">
        <w:rPr>
          <w:lang w:eastAsia="fr-FR" w:bidi="fr-FR"/>
        </w:rPr>
        <w:t>ment di</w:t>
      </w:r>
      <w:r w:rsidRPr="00AB71A5">
        <w:rPr>
          <w:lang w:eastAsia="fr-FR" w:bidi="fr-FR"/>
        </w:rPr>
        <w:t>s</w:t>
      </w:r>
      <w:r w:rsidRPr="00AB71A5">
        <w:rPr>
          <w:lang w:eastAsia="fr-FR" w:bidi="fr-FR"/>
        </w:rPr>
        <w:t>tinguées.</w:t>
      </w:r>
    </w:p>
    <w:p w:rsidR="00A9729B" w:rsidRPr="00AB71A5" w:rsidRDefault="00A9729B" w:rsidP="00A9729B">
      <w:pPr>
        <w:spacing w:before="120" w:after="120"/>
        <w:jc w:val="both"/>
      </w:pPr>
      <w:r w:rsidRPr="00AB71A5">
        <w:rPr>
          <w:lang w:eastAsia="fr-FR" w:bidi="fr-FR"/>
        </w:rPr>
        <w:t>Une coupe verticale nous révélerait l’ampleur du processus de s</w:t>
      </w:r>
      <w:r w:rsidRPr="00AB71A5">
        <w:rPr>
          <w:lang w:eastAsia="fr-FR" w:bidi="fr-FR"/>
        </w:rPr>
        <w:t>é</w:t>
      </w:r>
      <w:r w:rsidRPr="00AB71A5">
        <w:rPr>
          <w:lang w:eastAsia="fr-FR" w:bidi="fr-FR"/>
        </w:rPr>
        <w:t>dimentation d’où résulte le théorique, et dont on aimerait penser que les différents étagements qui l’informent, se f</w:t>
      </w:r>
      <w:r w:rsidRPr="00AB71A5">
        <w:rPr>
          <w:lang w:eastAsia="fr-FR" w:bidi="fr-FR"/>
        </w:rPr>
        <w:t>é</w:t>
      </w:r>
      <w:r w:rsidRPr="00AB71A5">
        <w:rPr>
          <w:lang w:eastAsia="fr-FR" w:bidi="fr-FR"/>
        </w:rPr>
        <w:t>condent l’un l’autre, réalisant ainsi l’idée d’un progrès. Ce progrès est cependant doubl</w:t>
      </w:r>
      <w:r w:rsidRPr="00AB71A5">
        <w:rPr>
          <w:lang w:eastAsia="fr-FR" w:bidi="fr-FR"/>
        </w:rPr>
        <w:t>e</w:t>
      </w:r>
      <w:r w:rsidRPr="00AB71A5">
        <w:rPr>
          <w:lang w:eastAsia="fr-FR" w:bidi="fr-FR"/>
        </w:rPr>
        <w:t>ment menacé. D’une part, par une satur</w:t>
      </w:r>
      <w:r w:rsidRPr="00AB71A5">
        <w:rPr>
          <w:lang w:eastAsia="fr-FR" w:bidi="fr-FR"/>
        </w:rPr>
        <w:t>a</w:t>
      </w:r>
      <w:r w:rsidRPr="00AB71A5">
        <w:rPr>
          <w:lang w:eastAsia="fr-FR" w:bidi="fr-FR"/>
        </w:rPr>
        <w:t>tion subjective qui risque</w:t>
      </w:r>
      <w:r>
        <w:rPr>
          <w:lang w:eastAsia="fr-FR" w:bidi="fr-FR"/>
        </w:rPr>
        <w:t xml:space="preserve"> [126] </w:t>
      </w:r>
      <w:r w:rsidRPr="00AB71A5">
        <w:rPr>
          <w:lang w:eastAsia="fr-FR" w:bidi="fr-FR"/>
        </w:rPr>
        <w:t>de sectionner les circuits de la communication et ainsi de rendre impossible le partage et la pou</w:t>
      </w:r>
      <w:r w:rsidRPr="00AB71A5">
        <w:rPr>
          <w:lang w:eastAsia="fr-FR" w:bidi="fr-FR"/>
        </w:rPr>
        <w:t>r</w:t>
      </w:r>
      <w:r w:rsidRPr="00AB71A5">
        <w:rPr>
          <w:lang w:eastAsia="fr-FR" w:bidi="fr-FR"/>
        </w:rPr>
        <w:t>suite de ce progrès. D’autre part, par le corrélât objectif de cette saturation subjective et que l’on pourrait te</w:t>
      </w:r>
      <w:r w:rsidRPr="00AB71A5">
        <w:rPr>
          <w:lang w:eastAsia="fr-FR" w:bidi="fr-FR"/>
        </w:rPr>
        <w:t>n</w:t>
      </w:r>
      <w:r w:rsidRPr="00AB71A5">
        <w:rPr>
          <w:lang w:eastAsia="fr-FR" w:bidi="fr-FR"/>
        </w:rPr>
        <w:t>ter de caractériser comme un épuisement de la base empirique qui f</w:t>
      </w:r>
      <w:r w:rsidRPr="00AB71A5">
        <w:rPr>
          <w:lang w:eastAsia="fr-FR" w:bidi="fr-FR"/>
        </w:rPr>
        <w:t>é</w:t>
      </w:r>
      <w:r w:rsidRPr="00AB71A5">
        <w:rPr>
          <w:lang w:eastAsia="fr-FR" w:bidi="fr-FR"/>
        </w:rPr>
        <w:t>condait la théorie. Cet exténuement de l’empirie condamne à une r</w:t>
      </w:r>
      <w:r w:rsidRPr="00AB71A5">
        <w:rPr>
          <w:lang w:eastAsia="fr-FR" w:bidi="fr-FR"/>
        </w:rPr>
        <w:t>e</w:t>
      </w:r>
      <w:r w:rsidRPr="00AB71A5">
        <w:rPr>
          <w:lang w:eastAsia="fr-FR" w:bidi="fr-FR"/>
        </w:rPr>
        <w:t>dondance de fond, une structure théorique qui ne peut se renouveler qu’en v</w:t>
      </w:r>
      <w:r w:rsidRPr="00AB71A5">
        <w:rPr>
          <w:lang w:eastAsia="fr-FR" w:bidi="fr-FR"/>
        </w:rPr>
        <w:t>a</w:t>
      </w:r>
      <w:r w:rsidRPr="00AB71A5">
        <w:rPr>
          <w:lang w:eastAsia="fr-FR" w:bidi="fr-FR"/>
        </w:rPr>
        <w:t>riant à l’infini l’agencement de ses termes (concepts), qu’elle n’a pas les moyens de questionner. Ce que nous disons là est de si</w:t>
      </w:r>
      <w:r w:rsidRPr="00AB71A5">
        <w:rPr>
          <w:lang w:eastAsia="fr-FR" w:bidi="fr-FR"/>
        </w:rPr>
        <w:t>m</w:t>
      </w:r>
      <w:r w:rsidRPr="00AB71A5">
        <w:rPr>
          <w:lang w:eastAsia="fr-FR" w:bidi="fr-FR"/>
        </w:rPr>
        <w:t>ple bon sens et n’implique en rien que nous nous solidarisions avec une épistémologie de type empiriste. Imagine-t-on que la médecine eût progressé en se contentant de permuter de toutes les façons les v</w:t>
      </w:r>
      <w:r w:rsidRPr="00AB71A5">
        <w:rPr>
          <w:lang w:eastAsia="fr-FR" w:bidi="fr-FR"/>
        </w:rPr>
        <w:t>a</w:t>
      </w:r>
      <w:r w:rsidRPr="00AB71A5">
        <w:rPr>
          <w:lang w:eastAsia="fr-FR" w:bidi="fr-FR"/>
        </w:rPr>
        <w:t>riables conce</w:t>
      </w:r>
      <w:r w:rsidRPr="00AB71A5">
        <w:rPr>
          <w:lang w:eastAsia="fr-FR" w:bidi="fr-FR"/>
        </w:rPr>
        <w:t>p</w:t>
      </w:r>
      <w:r w:rsidRPr="00AB71A5">
        <w:rPr>
          <w:lang w:eastAsia="fr-FR" w:bidi="fr-FR"/>
        </w:rPr>
        <w:t>tuelles du Corpus Hippocratique, ou celle de l’œuvre d’André Vésale. C’est pourtant à cette entreprise paralysée que se</w:t>
      </w:r>
      <w:r w:rsidRPr="00AB71A5">
        <w:rPr>
          <w:lang w:eastAsia="fr-FR" w:bidi="fr-FR"/>
        </w:rPr>
        <w:t>m</w:t>
      </w:r>
      <w:r w:rsidRPr="00AB71A5">
        <w:rPr>
          <w:lang w:eastAsia="fr-FR" w:bidi="fr-FR"/>
        </w:rPr>
        <w:t>ble conduire, par exemple, la rumination des dichotomies saussurie</w:t>
      </w:r>
      <w:r w:rsidRPr="00AB71A5">
        <w:rPr>
          <w:lang w:eastAsia="fr-FR" w:bidi="fr-FR"/>
        </w:rPr>
        <w:t>n</w:t>
      </w:r>
      <w:r w:rsidRPr="00AB71A5">
        <w:rPr>
          <w:lang w:eastAsia="fr-FR" w:bidi="fr-FR"/>
        </w:rPr>
        <w:t>nes ou la conjugaison affolée de certains des concepts du ma</w:t>
      </w:r>
      <w:r w:rsidRPr="00AB71A5">
        <w:rPr>
          <w:lang w:eastAsia="fr-FR" w:bidi="fr-FR"/>
        </w:rPr>
        <w:t>r</w:t>
      </w:r>
      <w:r w:rsidRPr="00AB71A5">
        <w:rPr>
          <w:lang w:eastAsia="fr-FR" w:bidi="fr-FR"/>
        </w:rPr>
        <w:t>xisme. Cette rupture d’équilibre entre l’empirique et le discursif, au profit d’un véritable écras</w:t>
      </w:r>
      <w:r w:rsidRPr="00AB71A5">
        <w:rPr>
          <w:lang w:eastAsia="fr-FR" w:bidi="fr-FR"/>
        </w:rPr>
        <w:t>e</w:t>
      </w:r>
      <w:r w:rsidRPr="00AB71A5">
        <w:rPr>
          <w:lang w:eastAsia="fr-FR" w:bidi="fr-FR"/>
        </w:rPr>
        <w:t>ment du premier sous le poids du second est l’un des indices les plus assurés de l’ébranlement à un ensemble culturel. Par deux fois au moins, il a été partie prenante dans son effondr</w:t>
      </w:r>
      <w:r w:rsidRPr="00AB71A5">
        <w:rPr>
          <w:lang w:eastAsia="fr-FR" w:bidi="fr-FR"/>
        </w:rPr>
        <w:t>e</w:t>
      </w:r>
      <w:r w:rsidRPr="00AB71A5">
        <w:rPr>
          <w:lang w:eastAsia="fr-FR" w:bidi="fr-FR"/>
        </w:rPr>
        <w:t>ment.</w:t>
      </w:r>
      <w:r>
        <w:rPr>
          <w:lang w:eastAsia="fr-FR" w:bidi="fr-FR"/>
        </w:rPr>
        <w:t> </w:t>
      </w:r>
      <w:r>
        <w:rPr>
          <w:rStyle w:val="Appelnotedebasdep"/>
          <w:lang w:eastAsia="fr-FR" w:bidi="fr-FR"/>
        </w:rPr>
        <w:footnoteReference w:customMarkFollows="1" w:id="35"/>
        <w:t>P</w:t>
      </w:r>
    </w:p>
    <w:p w:rsidR="00A9729B" w:rsidRPr="00AB71A5" w:rsidRDefault="00A9729B" w:rsidP="00A9729B">
      <w:pPr>
        <w:spacing w:before="120" w:after="120"/>
        <w:jc w:val="both"/>
      </w:pPr>
      <w:r w:rsidRPr="00AB71A5">
        <w:rPr>
          <w:lang w:eastAsia="fr-FR" w:bidi="fr-FR"/>
        </w:rPr>
        <w:t xml:space="preserve">C’est l’établissement d’une </w:t>
      </w:r>
      <w:r w:rsidRPr="001746A1">
        <w:rPr>
          <w:i/>
        </w:rPr>
        <w:t>topique</w:t>
      </w:r>
      <w:r w:rsidRPr="00AB71A5">
        <w:rPr>
          <w:lang w:eastAsia="fr-FR" w:bidi="fr-FR"/>
        </w:rPr>
        <w:t xml:space="preserve"> culturelle qui répond, sur l’axe des abscisses, de la possib</w:t>
      </w:r>
      <w:r w:rsidRPr="00AB71A5">
        <w:rPr>
          <w:lang w:eastAsia="fr-FR" w:bidi="fr-FR"/>
        </w:rPr>
        <w:t>i</w:t>
      </w:r>
      <w:r w:rsidRPr="00AB71A5">
        <w:rPr>
          <w:lang w:eastAsia="fr-FR" w:bidi="fr-FR"/>
        </w:rPr>
        <w:t>lité d’une telle superposition en hauteur. Cet établissement d’une topique est assurée par la seconde de nos op</w:t>
      </w:r>
      <w:r w:rsidRPr="00AB71A5">
        <w:rPr>
          <w:lang w:eastAsia="fr-FR" w:bidi="fr-FR"/>
        </w:rPr>
        <w:t>é</w:t>
      </w:r>
      <w:r w:rsidRPr="00AB71A5">
        <w:rPr>
          <w:lang w:eastAsia="fr-FR" w:bidi="fr-FR"/>
        </w:rPr>
        <w:t>rations : le d</w:t>
      </w:r>
      <w:r w:rsidRPr="00AB71A5">
        <w:rPr>
          <w:lang w:eastAsia="fr-FR" w:bidi="fr-FR"/>
        </w:rPr>
        <w:t>é</w:t>
      </w:r>
      <w:r w:rsidRPr="00AB71A5">
        <w:rPr>
          <w:lang w:eastAsia="fr-FR" w:bidi="fr-FR"/>
        </w:rPr>
        <w:t>nombrement, ou encore l’inventaire. Il faut ici que nous entendions le terme « topique » au sens que lui donnaient les rhétor</w:t>
      </w:r>
      <w:r w:rsidRPr="00AB71A5">
        <w:rPr>
          <w:lang w:eastAsia="fr-FR" w:bidi="fr-FR"/>
        </w:rPr>
        <w:t>i</w:t>
      </w:r>
      <w:r w:rsidRPr="00AB71A5">
        <w:rPr>
          <w:lang w:eastAsia="fr-FR" w:bidi="fr-FR"/>
        </w:rPr>
        <w:t>ciens des XV</w:t>
      </w:r>
      <w:r w:rsidRPr="001746A1">
        <w:rPr>
          <w:vertAlign w:val="superscript"/>
          <w:lang w:eastAsia="fr-FR" w:bidi="fr-FR"/>
        </w:rPr>
        <w:t>e</w:t>
      </w:r>
      <w:r w:rsidRPr="00AB71A5">
        <w:rPr>
          <w:lang w:eastAsia="fr-FR" w:bidi="fr-FR"/>
        </w:rPr>
        <w:t xml:space="preserve"> et XVI</w:t>
      </w:r>
      <w:r w:rsidRPr="001746A1">
        <w:rPr>
          <w:vertAlign w:val="superscript"/>
          <w:lang w:eastAsia="fr-FR" w:bidi="fr-FR"/>
        </w:rPr>
        <w:t>e</w:t>
      </w:r>
      <w:r w:rsidRPr="00AB71A5">
        <w:rPr>
          <w:lang w:eastAsia="fr-FR" w:bidi="fr-FR"/>
        </w:rPr>
        <w:t xml:space="preserve"> siècles, en particulier, et pour lesquels une t</w:t>
      </w:r>
      <w:r w:rsidRPr="00AB71A5">
        <w:rPr>
          <w:lang w:eastAsia="fr-FR" w:bidi="fr-FR"/>
        </w:rPr>
        <w:t>o</w:t>
      </w:r>
      <w:r w:rsidRPr="00AB71A5">
        <w:rPr>
          <w:lang w:eastAsia="fr-FR" w:bidi="fr-FR"/>
        </w:rPr>
        <w:t>pique constituait à la fois un instrument et une m</w:t>
      </w:r>
      <w:r w:rsidRPr="00AB71A5">
        <w:rPr>
          <w:lang w:eastAsia="fr-FR" w:bidi="fr-FR"/>
        </w:rPr>
        <w:t>é</w:t>
      </w:r>
      <w:r w:rsidRPr="00AB71A5">
        <w:rPr>
          <w:lang w:eastAsia="fr-FR" w:bidi="fr-FR"/>
        </w:rPr>
        <w:t>thode d’invention, qui facilitait la composition d’un bon discours, jusqu’à la rendre m</w:t>
      </w:r>
      <w:r w:rsidRPr="00AB71A5">
        <w:rPr>
          <w:lang w:eastAsia="fr-FR" w:bidi="fr-FR"/>
        </w:rPr>
        <w:t>é</w:t>
      </w:r>
      <w:r w:rsidRPr="00AB71A5">
        <w:rPr>
          <w:lang w:eastAsia="fr-FR" w:bidi="fr-FR"/>
        </w:rPr>
        <w:t>canique.</w:t>
      </w:r>
      <w:r>
        <w:rPr>
          <w:lang w:eastAsia="fr-FR" w:bidi="fr-FR"/>
        </w:rPr>
        <w:t> </w:t>
      </w:r>
      <w:r>
        <w:rPr>
          <w:rStyle w:val="Appelnotedebasdep"/>
          <w:lang w:eastAsia="fr-FR" w:bidi="fr-FR"/>
        </w:rPr>
        <w:footnoteReference w:customMarkFollows="1" w:id="36"/>
        <w:t>Q</w:t>
      </w:r>
    </w:p>
    <w:p w:rsidR="00A9729B" w:rsidRPr="00AB71A5" w:rsidRDefault="00A9729B" w:rsidP="00A9729B">
      <w:pPr>
        <w:spacing w:before="120" w:after="120"/>
        <w:jc w:val="both"/>
      </w:pPr>
      <w:r w:rsidRPr="00AB71A5">
        <w:rPr>
          <w:lang w:eastAsia="fr-FR" w:bidi="fr-FR"/>
        </w:rPr>
        <w:t>En tant qu’instrument, une t</w:t>
      </w:r>
      <w:r w:rsidRPr="00AB71A5">
        <w:rPr>
          <w:lang w:eastAsia="fr-FR" w:bidi="fr-FR"/>
        </w:rPr>
        <w:t>o</w:t>
      </w:r>
      <w:r w:rsidRPr="00AB71A5">
        <w:rPr>
          <w:lang w:eastAsia="fr-FR" w:bidi="fr-FR"/>
        </w:rPr>
        <w:t>pique consistait en un ensemble de classes très générales, qui ident</w:t>
      </w:r>
      <w:r w:rsidRPr="00AB71A5">
        <w:rPr>
          <w:lang w:eastAsia="fr-FR" w:bidi="fr-FR"/>
        </w:rPr>
        <w:t>i</w:t>
      </w:r>
      <w:r w:rsidRPr="00AB71A5">
        <w:rPr>
          <w:lang w:eastAsia="fr-FR" w:bidi="fr-FR"/>
        </w:rPr>
        <w:t>fiaient autant de points de vue que l’on pouvait pre</w:t>
      </w:r>
      <w:r w:rsidRPr="00AB71A5">
        <w:rPr>
          <w:lang w:eastAsia="fr-FR" w:bidi="fr-FR"/>
        </w:rPr>
        <w:t>n</w:t>
      </w:r>
      <w:r w:rsidRPr="00AB71A5">
        <w:rPr>
          <w:lang w:eastAsia="fr-FR" w:bidi="fr-FR"/>
        </w:rPr>
        <w:t>dre sur l’objet dont on devait parler — son origine locale, temporelle, sa cause etc. — et dans lesquelles on avait rangé un certain nombre d’arguments, d’opinions et de procédés discursifs tout faits qui permettaient d’assurer de façon quasi-automatique, la production d’énoncés sur cet objet, à partir du point de vue proviso</w:t>
      </w:r>
      <w:r w:rsidRPr="00AB71A5">
        <w:rPr>
          <w:lang w:eastAsia="fr-FR" w:bidi="fr-FR"/>
        </w:rPr>
        <w:t>i</w:t>
      </w:r>
      <w:r w:rsidRPr="00AB71A5">
        <w:rPr>
          <w:lang w:eastAsia="fr-FR" w:bidi="fr-FR"/>
        </w:rPr>
        <w:t>rement adopté. En tant que méthode, la topique consistait à mouliner tout sujet sur lequel on devait remettre un discours, à travers la top</w:t>
      </w:r>
      <w:r w:rsidRPr="00AB71A5">
        <w:rPr>
          <w:lang w:eastAsia="fr-FR" w:bidi="fr-FR"/>
        </w:rPr>
        <w:t>i</w:t>
      </w:r>
      <w:r w:rsidRPr="00AB71A5">
        <w:rPr>
          <w:lang w:eastAsia="fr-FR" w:bidi="fr-FR"/>
        </w:rPr>
        <w:t>que-instrument, l’engraissant de mots à chacune de</w:t>
      </w:r>
      <w:r>
        <w:rPr>
          <w:lang w:eastAsia="fr-FR" w:bidi="fr-FR"/>
        </w:rPr>
        <w:t xml:space="preserve"> [127] </w:t>
      </w:r>
      <w:r w:rsidRPr="00AB71A5">
        <w:rPr>
          <w:lang w:eastAsia="fr-FR" w:bidi="fr-FR"/>
        </w:rPr>
        <w:t>ses stations dans une de ces cases et le retirant au terme de ce pa</w:t>
      </w:r>
      <w:r w:rsidRPr="00AB71A5">
        <w:rPr>
          <w:lang w:eastAsia="fr-FR" w:bidi="fr-FR"/>
        </w:rPr>
        <w:t>r</w:t>
      </w:r>
      <w:r w:rsidRPr="00AB71A5">
        <w:rPr>
          <w:lang w:eastAsia="fr-FR" w:bidi="fr-FR"/>
        </w:rPr>
        <w:t>cours sous la forme d’un di</w:t>
      </w:r>
      <w:r w:rsidRPr="00AB71A5">
        <w:rPr>
          <w:lang w:eastAsia="fr-FR" w:bidi="fr-FR"/>
        </w:rPr>
        <w:t>s</w:t>
      </w:r>
      <w:r w:rsidRPr="00AB71A5">
        <w:rPr>
          <w:lang w:eastAsia="fr-FR" w:bidi="fr-FR"/>
        </w:rPr>
        <w:t>cours.</w:t>
      </w:r>
    </w:p>
    <w:p w:rsidR="00A9729B" w:rsidRPr="00AB71A5" w:rsidRDefault="00A9729B" w:rsidP="00A9729B">
      <w:pPr>
        <w:spacing w:before="120" w:after="120"/>
        <w:jc w:val="both"/>
      </w:pPr>
      <w:r w:rsidRPr="00AB71A5">
        <w:rPr>
          <w:lang w:eastAsia="fr-FR" w:bidi="fr-FR"/>
        </w:rPr>
        <w:t>Or c’est, à bien des égards, un procédé similaire que nous pe</w:t>
      </w:r>
      <w:r w:rsidRPr="00AB71A5">
        <w:rPr>
          <w:lang w:eastAsia="fr-FR" w:bidi="fr-FR"/>
        </w:rPr>
        <w:t>r</w:t>
      </w:r>
      <w:r w:rsidRPr="00AB71A5">
        <w:rPr>
          <w:lang w:eastAsia="fr-FR" w:bidi="fr-FR"/>
        </w:rPr>
        <w:t>met</w:t>
      </w:r>
    </w:p>
    <w:p w:rsidR="00A9729B" w:rsidRPr="00AB71A5" w:rsidRDefault="00A9729B" w:rsidP="00A9729B">
      <w:pPr>
        <w:spacing w:before="120" w:after="120"/>
        <w:jc w:val="both"/>
      </w:pPr>
      <w:r w:rsidRPr="00AB71A5">
        <w:rPr>
          <w:lang w:eastAsia="fr-FR" w:bidi="fr-FR"/>
        </w:rPr>
        <w:t>de découvrir, sous l’épaisseur des énoncés, une opération de d</w:t>
      </w:r>
      <w:r w:rsidRPr="00AB71A5">
        <w:rPr>
          <w:lang w:eastAsia="fr-FR" w:bidi="fr-FR"/>
        </w:rPr>
        <w:t>é</w:t>
      </w:r>
      <w:r w:rsidRPr="00AB71A5">
        <w:rPr>
          <w:lang w:eastAsia="fr-FR" w:bidi="fr-FR"/>
        </w:rPr>
        <w:t>nombrement ; celle-ci a, en effet, so</w:t>
      </w:r>
      <w:r w:rsidRPr="00AB71A5">
        <w:rPr>
          <w:lang w:eastAsia="fr-FR" w:bidi="fr-FR"/>
        </w:rPr>
        <w:t>u</w:t>
      </w:r>
      <w:r w:rsidRPr="00AB71A5">
        <w:rPr>
          <w:lang w:eastAsia="fr-FR" w:bidi="fr-FR"/>
        </w:rPr>
        <w:t>vent pour résultat de nous fournir un ensemble de vocabulaires juxtaposés qui sont homologues aux cla</w:t>
      </w:r>
      <w:r w:rsidRPr="00AB71A5">
        <w:rPr>
          <w:lang w:eastAsia="fr-FR" w:bidi="fr-FR"/>
        </w:rPr>
        <w:t>s</w:t>
      </w:r>
      <w:r w:rsidRPr="00AB71A5">
        <w:rPr>
          <w:lang w:eastAsia="fr-FR" w:bidi="fr-FR"/>
        </w:rPr>
        <w:t xml:space="preserve">ses d’une topique rhétorique et à travers lesquels le théoricien propulse un très faible </w:t>
      </w:r>
      <w:r w:rsidRPr="001746A1">
        <w:rPr>
          <w:i/>
        </w:rPr>
        <w:t>input</w:t>
      </w:r>
      <w:r w:rsidRPr="00AB71A5">
        <w:rPr>
          <w:lang w:eastAsia="fr-FR" w:bidi="fr-FR"/>
        </w:rPr>
        <w:t xml:space="preserve"> conceptuel, qu’un système élaboré de traductions permet de transformer en texte (livre, article ou confére</w:t>
      </w:r>
      <w:r w:rsidRPr="00AB71A5">
        <w:rPr>
          <w:lang w:eastAsia="fr-FR" w:bidi="fr-FR"/>
        </w:rPr>
        <w:t>n</w:t>
      </w:r>
      <w:r w:rsidRPr="00AB71A5">
        <w:rPr>
          <w:lang w:eastAsia="fr-FR" w:bidi="fr-FR"/>
        </w:rPr>
        <w:t>ce). On pourrait retrouver une idée similaire, sous-tendant notre prat</w:t>
      </w:r>
      <w:r w:rsidRPr="00AB71A5">
        <w:rPr>
          <w:lang w:eastAsia="fr-FR" w:bidi="fr-FR"/>
        </w:rPr>
        <w:t>i</w:t>
      </w:r>
      <w:r w:rsidRPr="00AB71A5">
        <w:rPr>
          <w:lang w:eastAsia="fr-FR" w:bidi="fr-FR"/>
        </w:rPr>
        <w:t>que actuelle de l’interdisciplinarité où l’intervention des différentes disciplines n’est jamais suffisa</w:t>
      </w:r>
      <w:r w:rsidRPr="00AB71A5">
        <w:rPr>
          <w:lang w:eastAsia="fr-FR" w:bidi="fr-FR"/>
        </w:rPr>
        <w:t>m</w:t>
      </w:r>
      <w:r w:rsidRPr="00AB71A5">
        <w:rPr>
          <w:lang w:eastAsia="fr-FR" w:bidi="fr-FR"/>
        </w:rPr>
        <w:t>ment concertée pour produire une construction du problème, mais donne tout au plus lieu à une accum</w:t>
      </w:r>
      <w:r w:rsidRPr="00AB71A5">
        <w:rPr>
          <w:lang w:eastAsia="fr-FR" w:bidi="fr-FR"/>
        </w:rPr>
        <w:t>u</w:t>
      </w:r>
      <w:r w:rsidRPr="00AB71A5">
        <w:rPr>
          <w:lang w:eastAsia="fr-FR" w:bidi="fr-FR"/>
        </w:rPr>
        <w:t>lation de reformulations assez vagues. L’utilisation d’une topique po</w:t>
      </w:r>
      <w:r w:rsidRPr="00AB71A5">
        <w:rPr>
          <w:lang w:eastAsia="fr-FR" w:bidi="fr-FR"/>
        </w:rPr>
        <w:t>r</w:t>
      </w:r>
      <w:r w:rsidRPr="00AB71A5">
        <w:rPr>
          <w:lang w:eastAsia="fr-FR" w:bidi="fr-FR"/>
        </w:rPr>
        <w:t>te en elle-même sa sanction : l’autre nom des classes qui la composent est celui de « lieux communs », terme, dont on peut penser qu’il qual</w:t>
      </w:r>
      <w:r w:rsidRPr="00AB71A5">
        <w:rPr>
          <w:lang w:eastAsia="fr-FR" w:bidi="fr-FR"/>
        </w:rPr>
        <w:t>i</w:t>
      </w:r>
      <w:r w:rsidRPr="00AB71A5">
        <w:rPr>
          <w:lang w:eastAsia="fr-FR" w:bidi="fr-FR"/>
        </w:rPr>
        <w:t>fie a</w:t>
      </w:r>
      <w:r w:rsidRPr="00AB71A5">
        <w:rPr>
          <w:lang w:eastAsia="fr-FR" w:bidi="fr-FR"/>
        </w:rPr>
        <w:t>u</w:t>
      </w:r>
      <w:r w:rsidRPr="00AB71A5">
        <w:rPr>
          <w:lang w:eastAsia="fr-FR" w:bidi="fr-FR"/>
        </w:rPr>
        <w:t>tant le produit que l’instrument. Nous retrouvons l’un des sens du terme de « saturation », que nous avions précédemment di</w:t>
      </w:r>
      <w:r w:rsidRPr="00AB71A5">
        <w:rPr>
          <w:lang w:eastAsia="fr-FR" w:bidi="fr-FR"/>
        </w:rPr>
        <w:t>s</w:t>
      </w:r>
      <w:r w:rsidRPr="00AB71A5">
        <w:rPr>
          <w:lang w:eastAsia="fr-FR" w:bidi="fr-FR"/>
        </w:rPr>
        <w:t>tingué : l’impuissance d’une somme à provoquer a</w:t>
      </w:r>
      <w:r w:rsidRPr="00AB71A5">
        <w:rPr>
          <w:lang w:eastAsia="fr-FR" w:bidi="fr-FR"/>
        </w:rPr>
        <w:t>u</w:t>
      </w:r>
      <w:r w:rsidRPr="00AB71A5">
        <w:rPr>
          <w:lang w:eastAsia="fr-FR" w:bidi="fr-FR"/>
        </w:rPr>
        <w:t>cune modification qui soit autre que quantitative.</w:t>
      </w:r>
    </w:p>
    <w:p w:rsidR="00A9729B" w:rsidRPr="00AB71A5" w:rsidRDefault="00A9729B" w:rsidP="00A9729B">
      <w:pPr>
        <w:spacing w:before="120" w:after="120"/>
        <w:jc w:val="both"/>
      </w:pPr>
      <w:r w:rsidRPr="00AB71A5">
        <w:rPr>
          <w:lang w:eastAsia="fr-FR" w:bidi="fr-FR"/>
        </w:rPr>
        <w:t>Il n’est pas jusqu’à l’échange quotidien qui ne manifeste les ind</w:t>
      </w:r>
      <w:r w:rsidRPr="00AB71A5">
        <w:rPr>
          <w:lang w:eastAsia="fr-FR" w:bidi="fr-FR"/>
        </w:rPr>
        <w:t>i</w:t>
      </w:r>
      <w:r w:rsidRPr="00AB71A5">
        <w:rPr>
          <w:lang w:eastAsia="fr-FR" w:bidi="fr-FR"/>
        </w:rPr>
        <w:t>ces d’une situation saturée. Ces manifestations sont no</w:t>
      </w:r>
      <w:r w:rsidRPr="00AB71A5">
        <w:rPr>
          <w:lang w:eastAsia="fr-FR" w:bidi="fr-FR"/>
        </w:rPr>
        <w:t>m</w:t>
      </w:r>
      <w:r w:rsidRPr="00AB71A5">
        <w:rPr>
          <w:lang w:eastAsia="fr-FR" w:bidi="fr-FR"/>
        </w:rPr>
        <w:t>breuses et nous n’en traiterons qu’une, qui nous paraît partic</w:t>
      </w:r>
      <w:r w:rsidRPr="00AB71A5">
        <w:rPr>
          <w:lang w:eastAsia="fr-FR" w:bidi="fr-FR"/>
        </w:rPr>
        <w:t>u</w:t>
      </w:r>
      <w:r w:rsidRPr="00AB71A5">
        <w:rPr>
          <w:lang w:eastAsia="fr-FR" w:bidi="fr-FR"/>
        </w:rPr>
        <w:t>lièrement marquée. Ce phénom</w:t>
      </w:r>
      <w:r w:rsidRPr="00AB71A5">
        <w:rPr>
          <w:lang w:eastAsia="fr-FR" w:bidi="fr-FR"/>
        </w:rPr>
        <w:t>è</w:t>
      </w:r>
      <w:r w:rsidRPr="00AB71A5">
        <w:rPr>
          <w:lang w:eastAsia="fr-FR" w:bidi="fr-FR"/>
        </w:rPr>
        <w:t>ne naît de la conjugaison de deux facteurs qui tous deux ressorti</w:t>
      </w:r>
      <w:r w:rsidRPr="00AB71A5">
        <w:rPr>
          <w:lang w:eastAsia="fr-FR" w:bidi="fr-FR"/>
        </w:rPr>
        <w:t>s</w:t>
      </w:r>
      <w:r w:rsidRPr="00AB71A5">
        <w:rPr>
          <w:lang w:eastAsia="fr-FR" w:bidi="fr-FR"/>
        </w:rPr>
        <w:t>sent à un état de saturation. On pourrait énoncer le premier de ces facteurs de la f</w:t>
      </w:r>
      <w:r w:rsidRPr="00AB71A5">
        <w:rPr>
          <w:lang w:eastAsia="fr-FR" w:bidi="fr-FR"/>
        </w:rPr>
        <w:t>a</w:t>
      </w:r>
      <w:r w:rsidRPr="00AB71A5">
        <w:rPr>
          <w:lang w:eastAsia="fr-FR" w:bidi="fr-FR"/>
        </w:rPr>
        <w:t>çon suivante : il n’est à peu près aucune attitude théorique ou pratique qui ne soit aujourd’hui, verbalement ident</w:t>
      </w:r>
      <w:r w:rsidRPr="00AB71A5">
        <w:rPr>
          <w:lang w:eastAsia="fr-FR" w:bidi="fr-FR"/>
        </w:rPr>
        <w:t>i</w:t>
      </w:r>
      <w:r w:rsidRPr="00AB71A5">
        <w:rPr>
          <w:lang w:eastAsia="fr-FR" w:bidi="fr-FR"/>
        </w:rPr>
        <w:t>fiée. Sans dresser l’accablante liste des « ismes », on peut pe</w:t>
      </w:r>
      <w:r w:rsidRPr="00AB71A5">
        <w:rPr>
          <w:lang w:eastAsia="fr-FR" w:bidi="fr-FR"/>
        </w:rPr>
        <w:t>n</w:t>
      </w:r>
      <w:r w:rsidRPr="00AB71A5">
        <w:rPr>
          <w:lang w:eastAsia="fr-FR" w:bidi="fr-FR"/>
        </w:rPr>
        <w:t>ser que du matérialisme au spiritualisme, pour nos comportements épistémolog</w:t>
      </w:r>
      <w:r w:rsidRPr="00AB71A5">
        <w:rPr>
          <w:lang w:eastAsia="fr-FR" w:bidi="fr-FR"/>
        </w:rPr>
        <w:t>i</w:t>
      </w:r>
      <w:r w:rsidRPr="00AB71A5">
        <w:rPr>
          <w:lang w:eastAsia="fr-FR" w:bidi="fr-FR"/>
        </w:rPr>
        <w:t>ques, et du fascisme au spontanéisme pour nos comportements prax</w:t>
      </w:r>
      <w:r w:rsidRPr="00AB71A5">
        <w:rPr>
          <w:lang w:eastAsia="fr-FR" w:bidi="fr-FR"/>
        </w:rPr>
        <w:t>i</w:t>
      </w:r>
      <w:r w:rsidRPr="00AB71A5">
        <w:rPr>
          <w:lang w:eastAsia="fr-FR" w:bidi="fr-FR"/>
        </w:rPr>
        <w:t>ques, le champ de nos options est au plan de sa nomination assez he</w:t>
      </w:r>
      <w:r w:rsidRPr="00AB71A5">
        <w:rPr>
          <w:lang w:eastAsia="fr-FR" w:bidi="fr-FR"/>
        </w:rPr>
        <w:t>r</w:t>
      </w:r>
      <w:r w:rsidRPr="00AB71A5">
        <w:rPr>
          <w:lang w:eastAsia="fr-FR" w:bidi="fr-FR"/>
        </w:rPr>
        <w:t>métiquement verrouillé. Mais il y a plus. Ce champ lexical de nos o</w:t>
      </w:r>
      <w:r w:rsidRPr="00AB71A5">
        <w:rPr>
          <w:lang w:eastAsia="fr-FR" w:bidi="fr-FR"/>
        </w:rPr>
        <w:t>p</w:t>
      </w:r>
      <w:r w:rsidRPr="00AB71A5">
        <w:rPr>
          <w:lang w:eastAsia="fr-FR" w:bidi="fr-FR"/>
        </w:rPr>
        <w:t>tions est structuré de façon originale. On peut, en effet, compléter n</w:t>
      </w:r>
      <w:r w:rsidRPr="00AB71A5">
        <w:rPr>
          <w:lang w:eastAsia="fr-FR" w:bidi="fr-FR"/>
        </w:rPr>
        <w:t>o</w:t>
      </w:r>
      <w:r w:rsidRPr="00AB71A5">
        <w:rPr>
          <w:lang w:eastAsia="fr-FR" w:bidi="fr-FR"/>
        </w:rPr>
        <w:t>tre première remarque par cette autre qui en étend la portée. On dira qu’il n’est aucune de nos options dont on n’ait ma</w:t>
      </w:r>
      <w:r w:rsidRPr="00AB71A5">
        <w:rPr>
          <w:lang w:eastAsia="fr-FR" w:bidi="fr-FR"/>
        </w:rPr>
        <w:t>r</w:t>
      </w:r>
      <w:r w:rsidRPr="00AB71A5">
        <w:rPr>
          <w:lang w:eastAsia="fr-FR" w:bidi="fr-FR"/>
        </w:rPr>
        <w:t xml:space="preserve">qué verbalement </w:t>
      </w:r>
      <w:r>
        <w:rPr>
          <w:lang w:eastAsia="fr-FR" w:bidi="fr-FR"/>
        </w:rPr>
        <w:t>l’</w:t>
      </w:r>
      <w:r w:rsidRPr="001746A1">
        <w:rPr>
          <w:i/>
        </w:rPr>
        <w:t>e</w:t>
      </w:r>
      <w:r w:rsidRPr="001746A1">
        <w:rPr>
          <w:i/>
        </w:rPr>
        <w:t>x</w:t>
      </w:r>
      <w:r w:rsidRPr="001746A1">
        <w:rPr>
          <w:i/>
        </w:rPr>
        <w:t>cès</w:t>
      </w:r>
      <w:r w:rsidRPr="00AB71A5">
        <w:t>.</w:t>
      </w:r>
      <w:r w:rsidRPr="00AB71A5">
        <w:rPr>
          <w:lang w:eastAsia="fr-FR" w:bidi="fr-FR"/>
        </w:rPr>
        <w:t xml:space="preserve"> Et à cet égard tous les termes en « isme » sont pris dans une ambiguïté qui leur est en quelque sorte congén</w:t>
      </w:r>
      <w:r w:rsidRPr="00AB71A5">
        <w:rPr>
          <w:lang w:eastAsia="fr-FR" w:bidi="fr-FR"/>
        </w:rPr>
        <w:t>i</w:t>
      </w:r>
      <w:r w:rsidRPr="00AB71A5">
        <w:rPr>
          <w:lang w:eastAsia="fr-FR" w:bidi="fr-FR"/>
        </w:rPr>
        <w:t>tale : ils peuvent à la fois être considérés comme une</w:t>
      </w:r>
      <w:r>
        <w:rPr>
          <w:lang w:eastAsia="fr-FR" w:bidi="fr-FR"/>
        </w:rPr>
        <w:t xml:space="preserve"> [128] </w:t>
      </w:r>
      <w:r w:rsidRPr="00AB71A5">
        <w:rPr>
          <w:lang w:eastAsia="fr-FR" w:bidi="fr-FR"/>
        </w:rPr>
        <w:t xml:space="preserve">série descriptive ou comme une série </w:t>
      </w:r>
      <w:r w:rsidRPr="00AB71A5">
        <w:t>accentuée</w:t>
      </w:r>
      <w:r w:rsidRPr="00AB71A5">
        <w:rPr>
          <w:lang w:eastAsia="fr-FR" w:bidi="fr-FR"/>
        </w:rPr>
        <w:t xml:space="preserve"> (qui maxim</w:t>
      </w:r>
      <w:r w:rsidRPr="00AB71A5">
        <w:rPr>
          <w:lang w:eastAsia="fr-FR" w:bidi="fr-FR"/>
        </w:rPr>
        <w:t>a</w:t>
      </w:r>
      <w:r w:rsidRPr="00AB71A5">
        <w:rPr>
          <w:lang w:eastAsia="fr-FR" w:bidi="fr-FR"/>
        </w:rPr>
        <w:t>lise les propriétés d’une situation au lieu de se borner à les décrire).</w:t>
      </w:r>
    </w:p>
    <w:p w:rsidR="00A9729B" w:rsidRPr="00AB71A5" w:rsidRDefault="00A9729B" w:rsidP="00A9729B">
      <w:pPr>
        <w:spacing w:before="120" w:after="120"/>
        <w:jc w:val="both"/>
      </w:pPr>
      <w:r w:rsidRPr="00AB71A5">
        <w:rPr>
          <w:lang w:eastAsia="fr-FR" w:bidi="fr-FR"/>
        </w:rPr>
        <w:t>Le second de nos facteurs est plus délicat à caractériser. Il présu</w:t>
      </w:r>
      <w:r w:rsidRPr="00AB71A5">
        <w:rPr>
          <w:lang w:eastAsia="fr-FR" w:bidi="fr-FR"/>
        </w:rPr>
        <w:t>p</w:t>
      </w:r>
      <w:r w:rsidRPr="00AB71A5">
        <w:rPr>
          <w:lang w:eastAsia="fr-FR" w:bidi="fr-FR"/>
        </w:rPr>
        <w:t>pose que le lecteur perçoive une différence entre trois types de di</w:t>
      </w:r>
      <w:r w:rsidRPr="00AB71A5">
        <w:rPr>
          <w:lang w:eastAsia="fr-FR" w:bidi="fr-FR"/>
        </w:rPr>
        <w:t>s</w:t>
      </w:r>
      <w:r w:rsidRPr="00AB71A5">
        <w:rPr>
          <w:lang w:eastAsia="fr-FR" w:bidi="fr-FR"/>
        </w:rPr>
        <w:t>cours, dont il est diff</w:t>
      </w:r>
      <w:r w:rsidRPr="00AB71A5">
        <w:rPr>
          <w:lang w:eastAsia="fr-FR" w:bidi="fr-FR"/>
        </w:rPr>
        <w:t>i</w:t>
      </w:r>
      <w:r w:rsidRPr="00AB71A5">
        <w:rPr>
          <w:lang w:eastAsia="fr-FR" w:bidi="fr-FR"/>
        </w:rPr>
        <w:t>cile de fournir, de façon tranchée, les critères de distinction. Ces trois actes de discours sont les su</w:t>
      </w:r>
      <w:r w:rsidRPr="00AB71A5">
        <w:rPr>
          <w:lang w:eastAsia="fr-FR" w:bidi="fr-FR"/>
        </w:rPr>
        <w:t>i</w:t>
      </w:r>
      <w:r w:rsidRPr="00AB71A5">
        <w:rPr>
          <w:lang w:eastAsia="fr-FR" w:bidi="fr-FR"/>
        </w:rPr>
        <w:t>vants : (1) énoncer une thèse, (2) émettre une opinion, ou une pr</w:t>
      </w:r>
      <w:r w:rsidRPr="00AB71A5">
        <w:rPr>
          <w:lang w:eastAsia="fr-FR" w:bidi="fr-FR"/>
        </w:rPr>
        <w:t>é</w:t>
      </w:r>
      <w:r w:rsidRPr="00AB71A5">
        <w:rPr>
          <w:lang w:eastAsia="fr-FR" w:bidi="fr-FR"/>
        </w:rPr>
        <w:t>férence (3) répéter un axiome (pratique ou autre). Nous essaierons de suggérer les différe</w:t>
      </w:r>
      <w:r w:rsidRPr="00AB71A5">
        <w:rPr>
          <w:lang w:eastAsia="fr-FR" w:bidi="fr-FR"/>
        </w:rPr>
        <w:t>n</w:t>
      </w:r>
      <w:r w:rsidRPr="00AB71A5">
        <w:rPr>
          <w:lang w:eastAsia="fr-FR" w:bidi="fr-FR"/>
        </w:rPr>
        <w:t>ces en contrastant des exemples : l’essentiel de mon propos est de contraster (2) et (3) à (1).</w:t>
      </w:r>
    </w:p>
    <w:p w:rsidR="00A9729B" w:rsidRPr="00AB71A5" w:rsidRDefault="00A9729B" w:rsidP="00A9729B">
      <w:pPr>
        <w:spacing w:before="120" w:after="120"/>
        <w:jc w:val="both"/>
      </w:pPr>
      <w:r w:rsidRPr="00AB71A5">
        <w:rPr>
          <w:lang w:eastAsia="fr-FR" w:bidi="fr-FR"/>
        </w:rPr>
        <w:t>Soit un groupe d’amis qui désirent aller au cin</w:t>
      </w:r>
      <w:r w:rsidRPr="00AB71A5">
        <w:rPr>
          <w:lang w:eastAsia="fr-FR" w:bidi="fr-FR"/>
        </w:rPr>
        <w:t>é</w:t>
      </w:r>
      <w:r w:rsidRPr="00AB71A5">
        <w:rPr>
          <w:lang w:eastAsia="fr-FR" w:bidi="fr-FR"/>
        </w:rPr>
        <w:t>ma. L’un d’eux avoue sa préférence pour un film de guerre. On lui réto</w:t>
      </w:r>
      <w:r w:rsidRPr="00AB71A5">
        <w:rPr>
          <w:lang w:eastAsia="fr-FR" w:bidi="fr-FR"/>
        </w:rPr>
        <w:t>r</w:t>
      </w:r>
      <w:r w:rsidRPr="00AB71A5">
        <w:rPr>
          <w:lang w:eastAsia="fr-FR" w:bidi="fr-FR"/>
        </w:rPr>
        <w:t>que : « Au fond, tu soutiens qu’il faut encourager la représentation de la viole</w:t>
      </w:r>
      <w:r w:rsidRPr="00AB71A5">
        <w:rPr>
          <w:lang w:eastAsia="fr-FR" w:bidi="fr-FR"/>
        </w:rPr>
        <w:t>n</w:t>
      </w:r>
      <w:r w:rsidRPr="00AB71A5">
        <w:rPr>
          <w:lang w:eastAsia="fr-FR" w:bidi="fr-FR"/>
        </w:rPr>
        <w:t>ce. » Nous dirons, de façon très grosse, que l’auteur de la dernière r</w:t>
      </w:r>
      <w:r w:rsidRPr="00AB71A5">
        <w:rPr>
          <w:lang w:eastAsia="fr-FR" w:bidi="fr-FR"/>
        </w:rPr>
        <w:t>e</w:t>
      </w:r>
      <w:r w:rsidRPr="00AB71A5">
        <w:rPr>
          <w:lang w:eastAsia="fr-FR" w:bidi="fr-FR"/>
        </w:rPr>
        <w:t>marque a peu de notion de la différence qui existe entre (1) et (2). Ce</w:t>
      </w:r>
      <w:r w:rsidRPr="00AB71A5">
        <w:rPr>
          <w:lang w:eastAsia="fr-FR" w:bidi="fr-FR"/>
        </w:rPr>
        <w:t>t</w:t>
      </w:r>
      <w:r w:rsidRPr="00AB71A5">
        <w:rPr>
          <w:lang w:eastAsia="fr-FR" w:bidi="fr-FR"/>
        </w:rPr>
        <w:t>te différence, de façon encore très schémat</w:t>
      </w:r>
      <w:r w:rsidRPr="00AB71A5">
        <w:rPr>
          <w:lang w:eastAsia="fr-FR" w:bidi="fr-FR"/>
        </w:rPr>
        <w:t>i</w:t>
      </w:r>
      <w:r w:rsidRPr="00AB71A5">
        <w:rPr>
          <w:lang w:eastAsia="fr-FR" w:bidi="fr-FR"/>
        </w:rPr>
        <w:t>que, pourrait être trouvée dans ce fait que l’énoncé d’une opinion ou d’une préférence est en général assez circonstancié et implique une a</w:t>
      </w:r>
      <w:r w:rsidRPr="00AB71A5">
        <w:rPr>
          <w:lang w:eastAsia="fr-FR" w:bidi="fr-FR"/>
        </w:rPr>
        <w:t>t</w:t>
      </w:r>
      <w:r w:rsidRPr="00AB71A5">
        <w:rPr>
          <w:lang w:eastAsia="fr-FR" w:bidi="fr-FR"/>
        </w:rPr>
        <w:t>titude conciliante quant à la vérité de l’opinion émise, alors que celui d’une thèse i</w:t>
      </w:r>
      <w:r w:rsidRPr="00AB71A5">
        <w:rPr>
          <w:lang w:eastAsia="fr-FR" w:bidi="fr-FR"/>
        </w:rPr>
        <w:t>m</w:t>
      </w:r>
      <w:r w:rsidRPr="00AB71A5">
        <w:rPr>
          <w:lang w:eastAsia="fr-FR" w:bidi="fr-FR"/>
        </w:rPr>
        <w:t>plique habituellement la croya</w:t>
      </w:r>
      <w:r w:rsidRPr="00AB71A5">
        <w:rPr>
          <w:lang w:eastAsia="fr-FR" w:bidi="fr-FR"/>
        </w:rPr>
        <w:t>n</w:t>
      </w:r>
      <w:r w:rsidRPr="00AB71A5">
        <w:rPr>
          <w:lang w:eastAsia="fr-FR" w:bidi="fr-FR"/>
        </w:rPr>
        <w:t>ce à une certaine universalité de la thè</w:t>
      </w:r>
      <w:r>
        <w:rPr>
          <w:lang w:eastAsia="fr-FR" w:bidi="fr-FR"/>
        </w:rPr>
        <w:t>se et la défense de sa validité. </w:t>
      </w:r>
      <w:r>
        <w:rPr>
          <w:rStyle w:val="Appelnotedebasdep"/>
          <w:lang w:eastAsia="fr-FR" w:bidi="fr-FR"/>
        </w:rPr>
        <w:footnoteReference w:customMarkFollows="1" w:id="37"/>
        <w:t>R</w:t>
      </w:r>
      <w:r w:rsidRPr="00AB71A5">
        <w:rPr>
          <w:lang w:eastAsia="fr-FR" w:bidi="fr-FR"/>
        </w:rPr>
        <w:t xml:space="preserve"> Une dernière différence vie</w:t>
      </w:r>
      <w:r w:rsidRPr="00AB71A5">
        <w:rPr>
          <w:lang w:eastAsia="fr-FR" w:bidi="fr-FR"/>
        </w:rPr>
        <w:t>n</w:t>
      </w:r>
      <w:r w:rsidRPr="00AB71A5">
        <w:rPr>
          <w:lang w:eastAsia="fr-FR" w:bidi="fr-FR"/>
        </w:rPr>
        <w:t>drait du fait qu’une thèse est habituellement fondée sur un ce</w:t>
      </w:r>
      <w:r w:rsidRPr="00AB71A5">
        <w:rPr>
          <w:lang w:eastAsia="fr-FR" w:bidi="fr-FR"/>
        </w:rPr>
        <w:t>r</w:t>
      </w:r>
      <w:r w:rsidRPr="00AB71A5">
        <w:rPr>
          <w:lang w:eastAsia="fr-FR" w:bidi="fr-FR"/>
        </w:rPr>
        <w:t>tain nombre de considérations qui la préc</w:t>
      </w:r>
      <w:r w:rsidRPr="00AB71A5">
        <w:rPr>
          <w:lang w:eastAsia="fr-FR" w:bidi="fr-FR"/>
        </w:rPr>
        <w:t>è</w:t>
      </w:r>
      <w:r w:rsidRPr="00AB71A5">
        <w:rPr>
          <w:lang w:eastAsia="fr-FR" w:bidi="fr-FR"/>
        </w:rPr>
        <w:t>dent logiquement et qui constituent comme les pr</w:t>
      </w:r>
      <w:r w:rsidRPr="00AB71A5">
        <w:rPr>
          <w:lang w:eastAsia="fr-FR" w:bidi="fr-FR"/>
        </w:rPr>
        <w:t>é</w:t>
      </w:r>
      <w:r w:rsidRPr="00AB71A5">
        <w:rPr>
          <w:lang w:eastAsia="fr-FR" w:bidi="fr-FR"/>
        </w:rPr>
        <w:t>supposés d’où elle est issue. Une opinion, au sens très concret, où nous prenons ce terme, est moins fondée sur des postulats généraux que déterminée par le contexte singulier où elle s’énonce.</w:t>
      </w:r>
    </w:p>
    <w:p w:rsidR="00A9729B" w:rsidRPr="00AB71A5" w:rsidRDefault="00A9729B" w:rsidP="00A9729B">
      <w:pPr>
        <w:spacing w:before="120" w:after="120"/>
        <w:jc w:val="both"/>
      </w:pPr>
      <w:r w:rsidRPr="00AB71A5">
        <w:rPr>
          <w:lang w:eastAsia="fr-FR" w:bidi="fr-FR"/>
        </w:rPr>
        <w:t>Soit maintenant, second exemple, le dialogue su</w:t>
      </w:r>
      <w:r w:rsidRPr="00AB71A5">
        <w:rPr>
          <w:lang w:eastAsia="fr-FR" w:bidi="fr-FR"/>
        </w:rPr>
        <w:t>i</w:t>
      </w:r>
      <w:r w:rsidRPr="00AB71A5">
        <w:rPr>
          <w:lang w:eastAsia="fr-FR" w:bidi="fr-FR"/>
        </w:rPr>
        <w:t>vant.</w:t>
      </w:r>
    </w:p>
    <w:p w:rsidR="00A9729B" w:rsidRDefault="00A9729B" w:rsidP="00A9729B">
      <w:pPr>
        <w:spacing w:before="120" w:after="120"/>
        <w:jc w:val="both"/>
        <w:rPr>
          <w:lang w:eastAsia="fr-FR" w:bidi="fr-FR"/>
        </w:rPr>
      </w:pPr>
    </w:p>
    <w:p w:rsidR="00A9729B" w:rsidRPr="00AB71A5" w:rsidRDefault="00A9729B" w:rsidP="00A9729B">
      <w:pPr>
        <w:spacing w:before="120" w:after="120"/>
        <w:ind w:left="900" w:hanging="540"/>
        <w:jc w:val="both"/>
      </w:pPr>
      <w:r w:rsidRPr="00AB71A5">
        <w:rPr>
          <w:lang w:eastAsia="fr-FR" w:bidi="fr-FR"/>
        </w:rPr>
        <w:t>X</w:t>
      </w:r>
      <w:r w:rsidRPr="00AB71A5">
        <w:rPr>
          <w:vertAlign w:val="superscript"/>
          <w:lang w:eastAsia="fr-FR" w:bidi="fr-FR"/>
        </w:rPr>
        <w:t>1</w:t>
      </w:r>
      <w:r w:rsidRPr="00AB71A5">
        <w:rPr>
          <w:lang w:eastAsia="fr-FR" w:bidi="fr-FR"/>
        </w:rPr>
        <w:t> :</w:t>
      </w:r>
      <w:r>
        <w:rPr>
          <w:lang w:eastAsia="fr-FR" w:bidi="fr-FR"/>
        </w:rPr>
        <w:tab/>
      </w:r>
      <w:r w:rsidRPr="00AB71A5">
        <w:rPr>
          <w:lang w:eastAsia="fr-FR" w:bidi="fr-FR"/>
        </w:rPr>
        <w:t>Et alors les réfugiés affamés se sont mis à briser les vitr</w:t>
      </w:r>
      <w:r w:rsidRPr="00AB71A5">
        <w:rPr>
          <w:lang w:eastAsia="fr-FR" w:bidi="fr-FR"/>
        </w:rPr>
        <w:t>i</w:t>
      </w:r>
      <w:r w:rsidRPr="00AB71A5">
        <w:rPr>
          <w:lang w:eastAsia="fr-FR" w:bidi="fr-FR"/>
        </w:rPr>
        <w:t>nes des magasins d’alimentation et à s’emparer de vivres.</w:t>
      </w:r>
    </w:p>
    <w:p w:rsidR="00A9729B" w:rsidRPr="00AB71A5" w:rsidRDefault="00A9729B" w:rsidP="00A9729B">
      <w:pPr>
        <w:spacing w:before="120" w:after="120"/>
        <w:ind w:left="900" w:hanging="540"/>
        <w:jc w:val="both"/>
      </w:pPr>
      <w:r w:rsidRPr="00AB71A5">
        <w:rPr>
          <w:lang w:eastAsia="fr-FR" w:bidi="fr-FR"/>
        </w:rPr>
        <w:t>Y</w:t>
      </w:r>
      <w:r w:rsidRPr="00AB71A5">
        <w:rPr>
          <w:vertAlign w:val="superscript"/>
          <w:lang w:eastAsia="fr-FR" w:bidi="fr-FR"/>
        </w:rPr>
        <w:t>1</w:t>
      </w:r>
      <w:r w:rsidRPr="00AB71A5">
        <w:rPr>
          <w:lang w:eastAsia="fr-FR" w:bidi="fr-FR"/>
        </w:rPr>
        <w:t> :</w:t>
      </w:r>
      <w:r>
        <w:rPr>
          <w:lang w:eastAsia="fr-FR" w:bidi="fr-FR"/>
        </w:rPr>
        <w:tab/>
      </w:r>
      <w:r w:rsidRPr="00AB71A5">
        <w:rPr>
          <w:lang w:eastAsia="fr-FR" w:bidi="fr-FR"/>
        </w:rPr>
        <w:t>Les sauvages !</w:t>
      </w:r>
    </w:p>
    <w:p w:rsidR="00A9729B" w:rsidRPr="00AB71A5" w:rsidRDefault="00A9729B" w:rsidP="00A9729B">
      <w:pPr>
        <w:spacing w:before="120" w:after="120"/>
        <w:ind w:left="900" w:hanging="540"/>
        <w:jc w:val="both"/>
      </w:pPr>
      <w:r w:rsidRPr="00AB71A5">
        <w:rPr>
          <w:lang w:eastAsia="fr-FR" w:bidi="fr-FR"/>
        </w:rPr>
        <w:t>X</w:t>
      </w:r>
      <w:r w:rsidRPr="00AB71A5">
        <w:rPr>
          <w:vertAlign w:val="superscript"/>
          <w:lang w:eastAsia="fr-FR" w:bidi="fr-FR"/>
        </w:rPr>
        <w:t>2</w:t>
      </w:r>
      <w:r w:rsidRPr="00AB71A5">
        <w:rPr>
          <w:lang w:eastAsia="fr-FR" w:bidi="fr-FR"/>
        </w:rPr>
        <w:t> :</w:t>
      </w:r>
      <w:r>
        <w:rPr>
          <w:lang w:eastAsia="fr-FR" w:bidi="fr-FR"/>
        </w:rPr>
        <w:tab/>
      </w:r>
      <w:r w:rsidRPr="00AB71A5">
        <w:rPr>
          <w:lang w:eastAsia="fr-FR" w:bidi="fr-FR"/>
        </w:rPr>
        <w:t>Que veux-tu, il faut bien que les gens ma</w:t>
      </w:r>
      <w:r w:rsidRPr="00AB71A5">
        <w:rPr>
          <w:lang w:eastAsia="fr-FR" w:bidi="fr-FR"/>
        </w:rPr>
        <w:t>n</w:t>
      </w:r>
      <w:r w:rsidRPr="00AB71A5">
        <w:rPr>
          <w:lang w:eastAsia="fr-FR" w:bidi="fr-FR"/>
        </w:rPr>
        <w:t>gent.</w:t>
      </w:r>
    </w:p>
    <w:p w:rsidR="00A9729B" w:rsidRPr="00AB71A5" w:rsidRDefault="00A9729B" w:rsidP="00A9729B">
      <w:pPr>
        <w:spacing w:before="120" w:after="120"/>
        <w:ind w:left="900" w:hanging="540"/>
        <w:jc w:val="both"/>
      </w:pPr>
      <w:r w:rsidRPr="00AB71A5">
        <w:rPr>
          <w:lang w:eastAsia="fr-FR" w:bidi="fr-FR"/>
        </w:rPr>
        <w:t>Y</w:t>
      </w:r>
      <w:r w:rsidRPr="00AB71A5">
        <w:rPr>
          <w:vertAlign w:val="superscript"/>
          <w:lang w:eastAsia="fr-FR" w:bidi="fr-FR"/>
        </w:rPr>
        <w:t>2</w:t>
      </w:r>
      <w:r w:rsidRPr="00AB71A5">
        <w:rPr>
          <w:lang w:eastAsia="fr-FR" w:bidi="fr-FR"/>
        </w:rPr>
        <w:t> :</w:t>
      </w:r>
      <w:r>
        <w:rPr>
          <w:lang w:eastAsia="fr-FR" w:bidi="fr-FR"/>
        </w:rPr>
        <w:tab/>
      </w:r>
      <w:r w:rsidRPr="00AB71A5">
        <w:rPr>
          <w:lang w:eastAsia="fr-FR" w:bidi="fr-FR"/>
        </w:rPr>
        <w:t>Tu le crois vraiment ?</w:t>
      </w:r>
    </w:p>
    <w:p w:rsidR="00A9729B" w:rsidRDefault="00A9729B" w:rsidP="00A9729B">
      <w:pPr>
        <w:spacing w:before="120" w:after="120"/>
        <w:jc w:val="both"/>
        <w:rPr>
          <w:lang w:eastAsia="fr-FR" w:bidi="fr-FR"/>
        </w:rPr>
      </w:pPr>
    </w:p>
    <w:p w:rsidR="00A9729B" w:rsidRPr="00AB71A5" w:rsidRDefault="00A9729B" w:rsidP="00A9729B">
      <w:pPr>
        <w:spacing w:before="120" w:after="120"/>
        <w:jc w:val="both"/>
      </w:pPr>
      <w:r w:rsidRPr="00AB71A5">
        <w:rPr>
          <w:lang w:eastAsia="fr-FR" w:bidi="fr-FR"/>
        </w:rPr>
        <w:t>Le terme d’« axiome » est mal venu peut-être, pour qualifier la phrase qui apparaît en X</w:t>
      </w:r>
      <w:r w:rsidRPr="00AB71A5">
        <w:rPr>
          <w:vertAlign w:val="superscript"/>
          <w:lang w:eastAsia="fr-FR" w:bidi="fr-FR"/>
        </w:rPr>
        <w:t>2</w:t>
      </w:r>
      <w:r w:rsidRPr="00AB71A5">
        <w:rPr>
          <w:lang w:eastAsia="fr-FR" w:bidi="fr-FR"/>
        </w:rPr>
        <w:t>. Au vrai, il</w:t>
      </w:r>
      <w:r>
        <w:rPr>
          <w:lang w:eastAsia="fr-FR" w:bidi="fr-FR"/>
        </w:rPr>
        <w:t xml:space="preserve"> s’agit d’une catégorie d’énon</w:t>
      </w:r>
      <w:r w:rsidRPr="00AB71A5">
        <w:rPr>
          <w:lang w:eastAsia="fr-FR" w:bidi="fr-FR"/>
        </w:rPr>
        <w:t>c</w:t>
      </w:r>
      <w:r>
        <w:rPr>
          <w:lang w:eastAsia="fr-FR" w:bidi="fr-FR"/>
        </w:rPr>
        <w:t>é</w:t>
      </w:r>
      <w:r w:rsidRPr="00AB71A5">
        <w:rPr>
          <w:lang w:eastAsia="fr-FR" w:bidi="fr-FR"/>
        </w:rPr>
        <w:t xml:space="preserve">s que l’on a cru bon de distinguer </w:t>
      </w:r>
      <w:r>
        <w:rPr>
          <w:lang w:eastAsia="fr-FR" w:bidi="fr-FR"/>
        </w:rPr>
        <w:t xml:space="preserve">des autres mais dont les termes [129] </w:t>
      </w:r>
      <w:r w:rsidRPr="00AB71A5">
        <w:rPr>
          <w:lang w:eastAsia="fr-FR" w:bidi="fr-FR"/>
        </w:rPr>
        <w:t>qu’on a utilisés pour les désigner — axiome, postulat pratique, év</w:t>
      </w:r>
      <w:r w:rsidRPr="00AB71A5">
        <w:rPr>
          <w:lang w:eastAsia="fr-FR" w:bidi="fr-FR"/>
        </w:rPr>
        <w:t>i</w:t>
      </w:r>
      <w:r w:rsidRPr="00AB71A5">
        <w:rPr>
          <w:lang w:eastAsia="fr-FR" w:bidi="fr-FR"/>
        </w:rPr>
        <w:t>dence, vérités éternelles, notions communes, etc. — se sont to</w:t>
      </w:r>
      <w:r w:rsidRPr="00AB71A5">
        <w:rPr>
          <w:lang w:eastAsia="fr-FR" w:bidi="fr-FR"/>
        </w:rPr>
        <w:t>u</w:t>
      </w:r>
      <w:r w:rsidRPr="00AB71A5">
        <w:rPr>
          <w:lang w:eastAsia="fr-FR" w:bidi="fr-FR"/>
        </w:rPr>
        <w:t>jours révélés insatisfaisants. Quoiqu’il en soit de la terminologie, nous e</w:t>
      </w:r>
      <w:r w:rsidRPr="00AB71A5">
        <w:rPr>
          <w:lang w:eastAsia="fr-FR" w:bidi="fr-FR"/>
        </w:rPr>
        <w:t>s</w:t>
      </w:r>
      <w:r w:rsidRPr="00AB71A5">
        <w:rPr>
          <w:lang w:eastAsia="fr-FR" w:bidi="fr-FR"/>
        </w:rPr>
        <w:t>timons que c’est avec raison que X sera décontenancé par la que</w:t>
      </w:r>
      <w:r w:rsidRPr="00AB71A5">
        <w:rPr>
          <w:lang w:eastAsia="fr-FR" w:bidi="fr-FR"/>
        </w:rPr>
        <w:t>s</w:t>
      </w:r>
      <w:r w:rsidRPr="00AB71A5">
        <w:rPr>
          <w:lang w:eastAsia="fr-FR" w:bidi="fr-FR"/>
        </w:rPr>
        <w:t>tion de Y : les propositions du type de X</w:t>
      </w:r>
      <w:r w:rsidRPr="00AB71A5">
        <w:rPr>
          <w:vertAlign w:val="superscript"/>
          <w:lang w:eastAsia="fr-FR" w:bidi="fr-FR"/>
        </w:rPr>
        <w:t>2</w:t>
      </w:r>
      <w:r w:rsidRPr="00AB71A5">
        <w:rPr>
          <w:lang w:eastAsia="fr-FR" w:bidi="fr-FR"/>
        </w:rPr>
        <w:t xml:space="preserve"> ne sont pas habituellement su</w:t>
      </w:r>
      <w:r w:rsidRPr="00AB71A5">
        <w:rPr>
          <w:lang w:eastAsia="fr-FR" w:bidi="fr-FR"/>
        </w:rPr>
        <w:t>i</w:t>
      </w:r>
      <w:r w:rsidRPr="00AB71A5">
        <w:rPr>
          <w:lang w:eastAsia="fr-FR" w:bidi="fr-FR"/>
        </w:rPr>
        <w:t>vies d’une réaction comme celle qui s’énonce en Y</w:t>
      </w:r>
      <w:r w:rsidRPr="00AB71A5">
        <w:rPr>
          <w:vertAlign w:val="superscript"/>
          <w:lang w:eastAsia="fr-FR" w:bidi="fr-FR"/>
        </w:rPr>
        <w:t>2</w:t>
      </w:r>
      <w:r w:rsidRPr="00AB71A5">
        <w:rPr>
          <w:lang w:eastAsia="fr-FR" w:bidi="fr-FR"/>
        </w:rPr>
        <w:t>.</w:t>
      </w:r>
    </w:p>
    <w:p w:rsidR="00A9729B" w:rsidRPr="00AB71A5" w:rsidRDefault="00A9729B" w:rsidP="00A9729B">
      <w:pPr>
        <w:spacing w:before="120" w:after="120"/>
        <w:jc w:val="both"/>
      </w:pPr>
      <w:r w:rsidRPr="00AB71A5">
        <w:rPr>
          <w:lang w:eastAsia="fr-FR" w:bidi="fr-FR"/>
        </w:rPr>
        <w:t>Ces distinctions schématiques faites, nous pouvons y aller du s</w:t>
      </w:r>
      <w:r w:rsidRPr="00AB71A5">
        <w:rPr>
          <w:lang w:eastAsia="fr-FR" w:bidi="fr-FR"/>
        </w:rPr>
        <w:t>e</w:t>
      </w:r>
      <w:r w:rsidRPr="00AB71A5">
        <w:rPr>
          <w:lang w:eastAsia="fr-FR" w:bidi="fr-FR"/>
        </w:rPr>
        <w:t>cond des facteurs que nous anno</w:t>
      </w:r>
      <w:r w:rsidRPr="00AB71A5">
        <w:rPr>
          <w:lang w:eastAsia="fr-FR" w:bidi="fr-FR"/>
        </w:rPr>
        <w:t>n</w:t>
      </w:r>
      <w:r w:rsidRPr="00AB71A5">
        <w:rPr>
          <w:lang w:eastAsia="fr-FR" w:bidi="fr-FR"/>
        </w:rPr>
        <w:t xml:space="preserve">cions plus haut et qui est le suivant. Pour des raisons dans lesquelles nous n’entrerons pas et qui, pour l’essentiel, tiennent à ce que </w:t>
      </w:r>
      <w:r w:rsidRPr="001746A1">
        <w:rPr>
          <w:i/>
        </w:rPr>
        <w:t>tout</w:t>
      </w:r>
      <w:r w:rsidRPr="00AB71A5">
        <w:rPr>
          <w:lang w:eastAsia="fr-FR" w:bidi="fr-FR"/>
        </w:rPr>
        <w:t xml:space="preserve"> acte de discours est pe</w:t>
      </w:r>
      <w:r w:rsidRPr="00AB71A5">
        <w:rPr>
          <w:lang w:eastAsia="fr-FR" w:bidi="fr-FR"/>
        </w:rPr>
        <w:t>r</w:t>
      </w:r>
      <w:r w:rsidRPr="00AB71A5">
        <w:rPr>
          <w:lang w:eastAsia="fr-FR" w:bidi="fr-FR"/>
        </w:rPr>
        <w:t>çu comme le résultat d’un ensemble de présupp</w:t>
      </w:r>
      <w:r w:rsidRPr="00AB71A5">
        <w:rPr>
          <w:lang w:eastAsia="fr-FR" w:bidi="fr-FR"/>
        </w:rPr>
        <w:t>o</w:t>
      </w:r>
      <w:r w:rsidRPr="00AB71A5">
        <w:rPr>
          <w:lang w:eastAsia="fr-FR" w:bidi="fr-FR"/>
        </w:rPr>
        <w:t>sés culturels qu’il faut interroger, nous pensons que la distinction entre les trois types d’actes de di</w:t>
      </w:r>
      <w:r w:rsidRPr="00AB71A5">
        <w:rPr>
          <w:lang w:eastAsia="fr-FR" w:bidi="fr-FR"/>
        </w:rPr>
        <w:t>s</w:t>
      </w:r>
      <w:r w:rsidRPr="00AB71A5">
        <w:rPr>
          <w:lang w:eastAsia="fr-FR" w:bidi="fr-FR"/>
        </w:rPr>
        <w:t xml:space="preserve">cours que nous avons discutés plus haut tend à s’effacer de plus en plus au profit d’une assimilation de tout acte de discours au mode </w:t>
      </w:r>
      <w:r w:rsidRPr="001746A1">
        <w:rPr>
          <w:i/>
        </w:rPr>
        <w:t>th</w:t>
      </w:r>
      <w:r w:rsidRPr="001746A1">
        <w:rPr>
          <w:i/>
        </w:rPr>
        <w:t>é</w:t>
      </w:r>
      <w:r w:rsidRPr="001746A1">
        <w:rPr>
          <w:i/>
        </w:rPr>
        <w:t>tique</w:t>
      </w:r>
      <w:r w:rsidRPr="00AB71A5">
        <w:rPr>
          <w:lang w:eastAsia="fr-FR" w:bidi="fr-FR"/>
        </w:rPr>
        <w:t xml:space="preserve"> du discours. Pour le dire clairement, il n’est pas de di</w:t>
      </w:r>
      <w:r w:rsidRPr="00AB71A5">
        <w:rPr>
          <w:lang w:eastAsia="fr-FR" w:bidi="fr-FR"/>
        </w:rPr>
        <w:t>s</w:t>
      </w:r>
      <w:r w:rsidRPr="00AB71A5">
        <w:rPr>
          <w:lang w:eastAsia="fr-FR" w:bidi="fr-FR"/>
        </w:rPr>
        <w:t>cours qui ne puisse s’entendre et qui ne soit entendu comme une thèse ou co</w:t>
      </w:r>
      <w:r w:rsidRPr="00AB71A5">
        <w:rPr>
          <w:lang w:eastAsia="fr-FR" w:bidi="fr-FR"/>
        </w:rPr>
        <w:t>m</w:t>
      </w:r>
      <w:r w:rsidRPr="00AB71A5">
        <w:rPr>
          <w:lang w:eastAsia="fr-FR" w:bidi="fr-FR"/>
        </w:rPr>
        <w:t xml:space="preserve">me impliquant </w:t>
      </w:r>
      <w:r w:rsidRPr="001746A1">
        <w:rPr>
          <w:i/>
        </w:rPr>
        <w:t>explicitement</w:t>
      </w:r>
      <w:r w:rsidRPr="00AB71A5">
        <w:rPr>
          <w:lang w:eastAsia="fr-FR" w:bidi="fr-FR"/>
        </w:rPr>
        <w:t xml:space="preserve"> une thèse. Cette g</w:t>
      </w:r>
      <w:r w:rsidRPr="00AB71A5">
        <w:rPr>
          <w:lang w:eastAsia="fr-FR" w:bidi="fr-FR"/>
        </w:rPr>
        <w:t>é</w:t>
      </w:r>
      <w:r w:rsidRPr="00AB71A5">
        <w:rPr>
          <w:lang w:eastAsia="fr-FR" w:bidi="fr-FR"/>
        </w:rPr>
        <w:t>néralisation, surtout si on tient compte du fait qu’il y a très loin de n’avoir que des thèses, même dans un texte théorique, peut en elle-même donner lieu à de très graves méprises. Elle nous porte, par exemple, à attendre d’un loc</w:t>
      </w:r>
      <w:r w:rsidRPr="00AB71A5">
        <w:rPr>
          <w:lang w:eastAsia="fr-FR" w:bidi="fr-FR"/>
        </w:rPr>
        <w:t>u</w:t>
      </w:r>
      <w:r w:rsidRPr="00AB71A5">
        <w:rPr>
          <w:lang w:eastAsia="fr-FR" w:bidi="fr-FR"/>
        </w:rPr>
        <w:t>teur une justification de ses propos qu’il est bien embarrassé de fou</w:t>
      </w:r>
      <w:r w:rsidRPr="00AB71A5">
        <w:rPr>
          <w:lang w:eastAsia="fr-FR" w:bidi="fr-FR"/>
        </w:rPr>
        <w:t>r</w:t>
      </w:r>
      <w:r w:rsidRPr="00AB71A5">
        <w:rPr>
          <w:lang w:eastAsia="fr-FR" w:bidi="fr-FR"/>
        </w:rPr>
        <w:t>nir, ne les ayant pas produits comme des thèses. Par ai</w:t>
      </w:r>
      <w:r w:rsidRPr="00AB71A5">
        <w:rPr>
          <w:lang w:eastAsia="fr-FR" w:bidi="fr-FR"/>
        </w:rPr>
        <w:t>l</w:t>
      </w:r>
      <w:r w:rsidRPr="00AB71A5">
        <w:rPr>
          <w:lang w:eastAsia="fr-FR" w:bidi="fr-FR"/>
        </w:rPr>
        <w:t>leurs, les conséquences de cette généralisation sont de grande po</w:t>
      </w:r>
      <w:r w:rsidRPr="00AB71A5">
        <w:rPr>
          <w:lang w:eastAsia="fr-FR" w:bidi="fr-FR"/>
        </w:rPr>
        <w:t>r</w:t>
      </w:r>
      <w:r w:rsidRPr="00AB71A5">
        <w:rPr>
          <w:lang w:eastAsia="fr-FR" w:bidi="fr-FR"/>
        </w:rPr>
        <w:t>tée : prises à la lettre, elles tendraient à rendre impo</w:t>
      </w:r>
      <w:r w:rsidRPr="00AB71A5">
        <w:rPr>
          <w:lang w:eastAsia="fr-FR" w:bidi="fr-FR"/>
        </w:rPr>
        <w:t>s</w:t>
      </w:r>
      <w:r w:rsidRPr="00AB71A5">
        <w:rPr>
          <w:lang w:eastAsia="fr-FR" w:bidi="fr-FR"/>
        </w:rPr>
        <w:t>sible l’énoncé de tout discours circon</w:t>
      </w:r>
      <w:r w:rsidRPr="00AB71A5">
        <w:rPr>
          <w:lang w:eastAsia="fr-FR" w:bidi="fr-FR"/>
        </w:rPr>
        <w:t>s</w:t>
      </w:r>
      <w:r w:rsidRPr="00AB71A5">
        <w:rPr>
          <w:lang w:eastAsia="fr-FR" w:bidi="fr-FR"/>
        </w:rPr>
        <w:t>tancié — concret — en exigeant toujours qu’il se profile sur l’horizon de l’universel. Mais, ce qui est peut-être le plus grave de tout, cette même généralisation devient, si on l’accouple au pr</w:t>
      </w:r>
      <w:r w:rsidRPr="00AB71A5">
        <w:rPr>
          <w:lang w:eastAsia="fr-FR" w:bidi="fr-FR"/>
        </w:rPr>
        <w:t>e</w:t>
      </w:r>
      <w:r w:rsidRPr="00AB71A5">
        <w:rPr>
          <w:lang w:eastAsia="fr-FR" w:bidi="fr-FR"/>
        </w:rPr>
        <w:t>mier facteur dont nous avons discuté plus haut, un outil de réc</w:t>
      </w:r>
      <w:r w:rsidRPr="00AB71A5">
        <w:rPr>
          <w:lang w:eastAsia="fr-FR" w:bidi="fr-FR"/>
        </w:rPr>
        <w:t>u</w:t>
      </w:r>
      <w:r w:rsidRPr="00AB71A5">
        <w:rPr>
          <w:lang w:eastAsia="fr-FR" w:bidi="fr-FR"/>
        </w:rPr>
        <w:t>pération culturelle terriblement efficace, en opérant un travestissement syst</w:t>
      </w:r>
      <w:r w:rsidRPr="00AB71A5">
        <w:rPr>
          <w:lang w:eastAsia="fr-FR" w:bidi="fr-FR"/>
        </w:rPr>
        <w:t>é</w:t>
      </w:r>
      <w:r w:rsidRPr="00AB71A5">
        <w:rPr>
          <w:lang w:eastAsia="fr-FR" w:bidi="fr-FR"/>
        </w:rPr>
        <w:t>matique de tout acte de discours.</w:t>
      </w:r>
    </w:p>
    <w:p w:rsidR="00A9729B" w:rsidRPr="00AB71A5" w:rsidRDefault="00A9729B" w:rsidP="00A9729B">
      <w:pPr>
        <w:spacing w:before="120" w:after="120"/>
        <w:jc w:val="both"/>
      </w:pPr>
      <w:r w:rsidRPr="00AB71A5">
        <w:rPr>
          <w:lang w:eastAsia="fr-FR" w:bidi="fr-FR"/>
        </w:rPr>
        <w:t>Le processus de récupération se réalise en trois temps. Un di</w:t>
      </w:r>
      <w:r w:rsidRPr="00AB71A5">
        <w:rPr>
          <w:lang w:eastAsia="fr-FR" w:bidi="fr-FR"/>
        </w:rPr>
        <w:t>s</w:t>
      </w:r>
      <w:r w:rsidRPr="00AB71A5">
        <w:rPr>
          <w:lang w:eastAsia="fr-FR" w:bidi="fr-FR"/>
        </w:rPr>
        <w:t>cours circonstancié — ce peut être un discours politique, par exemple — est d’abord mét</w:t>
      </w:r>
      <w:r w:rsidRPr="00AB71A5">
        <w:rPr>
          <w:lang w:eastAsia="fr-FR" w:bidi="fr-FR"/>
        </w:rPr>
        <w:t>a</w:t>
      </w:r>
      <w:r w:rsidRPr="00AB71A5">
        <w:rPr>
          <w:lang w:eastAsia="fr-FR" w:bidi="fr-FR"/>
        </w:rPr>
        <w:t>morphosé en un discours thétique —</w:t>
      </w:r>
      <w:r>
        <w:rPr>
          <w:lang w:eastAsia="fr-FR" w:bidi="fr-FR"/>
        </w:rPr>
        <w:t xml:space="preserve"> </w:t>
      </w:r>
      <w:r w:rsidRPr="00AB71A5">
        <w:rPr>
          <w:lang w:eastAsia="fr-FR" w:bidi="fr-FR"/>
        </w:rPr>
        <w:t xml:space="preserve">abstrait — dont on peut </w:t>
      </w:r>
      <w:r w:rsidRPr="001746A1">
        <w:rPr>
          <w:i/>
        </w:rPr>
        <w:t>indépendamment de la situation singulière qui le détermine</w:t>
      </w:r>
      <w:r w:rsidRPr="00AB71A5">
        <w:t>,</w:t>
      </w:r>
      <w:r w:rsidRPr="00AB71A5">
        <w:rPr>
          <w:lang w:eastAsia="fr-FR" w:bidi="fr-FR"/>
        </w:rPr>
        <w:t xml:space="preserve"> que</w:t>
      </w:r>
      <w:r w:rsidRPr="00AB71A5">
        <w:rPr>
          <w:lang w:eastAsia="fr-FR" w:bidi="fr-FR"/>
        </w:rPr>
        <w:t>s</w:t>
      </w:r>
      <w:r w:rsidRPr="00AB71A5">
        <w:rPr>
          <w:lang w:eastAsia="fr-FR" w:bidi="fr-FR"/>
        </w:rPr>
        <w:t>tionner les présupposés ou les principes. Etant transformé en un acte de discours thétique, il devient, en second lieu, ipso facto, le r</w:t>
      </w:r>
      <w:r w:rsidRPr="00AB71A5">
        <w:rPr>
          <w:lang w:eastAsia="fr-FR" w:bidi="fr-FR"/>
        </w:rPr>
        <w:t>e</w:t>
      </w:r>
      <w:r w:rsidRPr="00AB71A5">
        <w:rPr>
          <w:lang w:eastAsia="fr-FR" w:bidi="fr-FR"/>
        </w:rPr>
        <w:t>présentant de l’une de ces options dont la généralité — l’universalité — requiert qu’on la dénomme par un « isme ». Comme</w:t>
      </w:r>
      <w:r>
        <w:rPr>
          <w:lang w:eastAsia="fr-FR" w:bidi="fr-FR"/>
        </w:rPr>
        <w:t xml:space="preserve"> [130] </w:t>
      </w:r>
      <w:r w:rsidRPr="00AB71A5">
        <w:rPr>
          <w:lang w:eastAsia="fr-FR" w:bidi="fr-FR"/>
        </w:rPr>
        <w:t>le champ lexical des compo</w:t>
      </w:r>
      <w:r w:rsidRPr="00AB71A5">
        <w:rPr>
          <w:lang w:eastAsia="fr-FR" w:bidi="fr-FR"/>
        </w:rPr>
        <w:t>r</w:t>
      </w:r>
      <w:r w:rsidRPr="00AB71A5">
        <w:rPr>
          <w:lang w:eastAsia="fr-FR" w:bidi="fr-FR"/>
        </w:rPr>
        <w:t>tements — politiques, pour le cas qui nous intéresse — est relativement saturé, il y a gros à parier que ce compo</w:t>
      </w:r>
      <w:r w:rsidRPr="00AB71A5">
        <w:rPr>
          <w:lang w:eastAsia="fr-FR" w:bidi="fr-FR"/>
        </w:rPr>
        <w:t>r</w:t>
      </w:r>
      <w:r w:rsidRPr="00AB71A5">
        <w:rPr>
          <w:lang w:eastAsia="fr-FR" w:bidi="fr-FR"/>
        </w:rPr>
        <w:t>tement — cette option —, on pourra l’identifier et le réduire aux items que l’on possède déjà. En fait, et c’est là le troisième m</w:t>
      </w:r>
      <w:r w:rsidRPr="00AB71A5">
        <w:rPr>
          <w:lang w:eastAsia="fr-FR" w:bidi="fr-FR"/>
        </w:rPr>
        <w:t>o</w:t>
      </w:r>
      <w:r w:rsidRPr="00AB71A5">
        <w:rPr>
          <w:lang w:eastAsia="fr-FR" w:bidi="fr-FR"/>
        </w:rPr>
        <w:t>ment, cette réduction est doublement assurée : une première assimil</w:t>
      </w:r>
      <w:r w:rsidRPr="00AB71A5">
        <w:rPr>
          <w:lang w:eastAsia="fr-FR" w:bidi="fr-FR"/>
        </w:rPr>
        <w:t>a</w:t>
      </w:r>
      <w:r w:rsidRPr="00AB71A5">
        <w:rPr>
          <w:lang w:eastAsia="fr-FR" w:bidi="fr-FR"/>
        </w:rPr>
        <w:t>tion rangera l’option dont il est q</w:t>
      </w:r>
      <w:r>
        <w:rPr>
          <w:lang w:eastAsia="fr-FR" w:bidi="fr-FR"/>
        </w:rPr>
        <w:t>uestion sous une étiquette soi-</w:t>
      </w:r>
      <w:r w:rsidRPr="00AB71A5">
        <w:rPr>
          <w:lang w:eastAsia="fr-FR" w:bidi="fr-FR"/>
        </w:rPr>
        <w:t>disant descript</w:t>
      </w:r>
      <w:r w:rsidRPr="00AB71A5">
        <w:rPr>
          <w:lang w:eastAsia="fr-FR" w:bidi="fr-FR"/>
        </w:rPr>
        <w:t>i</w:t>
      </w:r>
      <w:r w:rsidRPr="00AB71A5">
        <w:rPr>
          <w:lang w:eastAsia="fr-FR" w:bidi="fr-FR"/>
        </w:rPr>
        <w:t>ve, assurant ainsi sa récupération et la destituant donc de son pouvoir d’interpellation, tandis qu’une s</w:t>
      </w:r>
      <w:r w:rsidRPr="00AB71A5">
        <w:rPr>
          <w:lang w:eastAsia="fr-FR" w:bidi="fr-FR"/>
        </w:rPr>
        <w:t>e</w:t>
      </w:r>
      <w:r w:rsidRPr="00AB71A5">
        <w:rPr>
          <w:lang w:eastAsia="fr-FR" w:bidi="fr-FR"/>
        </w:rPr>
        <w:t>conde violence la fera passer sous une étiquette accentuée ou encore, projettera une interprétation acce</w:t>
      </w:r>
      <w:r w:rsidRPr="00AB71A5">
        <w:rPr>
          <w:lang w:eastAsia="fr-FR" w:bidi="fr-FR"/>
        </w:rPr>
        <w:t>n</w:t>
      </w:r>
      <w:r w:rsidRPr="00AB71A5">
        <w:rPr>
          <w:lang w:eastAsia="fr-FR" w:bidi="fr-FR"/>
        </w:rPr>
        <w:t>tuée sur l’étiquette descriptive sous l</w:t>
      </w:r>
      <w:r w:rsidRPr="00AB71A5">
        <w:rPr>
          <w:lang w:eastAsia="fr-FR" w:bidi="fr-FR"/>
        </w:rPr>
        <w:t>a</w:t>
      </w:r>
      <w:r w:rsidRPr="00AB71A5">
        <w:rPr>
          <w:lang w:eastAsia="fr-FR" w:bidi="fr-FR"/>
        </w:rPr>
        <w:t>quelle elle se trouve déjà rangée, assurant ainsi de façon mécan</w:t>
      </w:r>
      <w:r w:rsidRPr="00AB71A5">
        <w:rPr>
          <w:lang w:eastAsia="fr-FR" w:bidi="fr-FR"/>
        </w:rPr>
        <w:t>i</w:t>
      </w:r>
      <w:r w:rsidRPr="00AB71A5">
        <w:rPr>
          <w:lang w:eastAsia="fr-FR" w:bidi="fr-FR"/>
        </w:rPr>
        <w:t>que, si besoin est, sa réfutation. On lui suppose en effet, alors, le même arrière-plan et les mêmes final</w:t>
      </w:r>
      <w:r w:rsidRPr="00AB71A5">
        <w:rPr>
          <w:lang w:eastAsia="fr-FR" w:bidi="fr-FR"/>
        </w:rPr>
        <w:t>i</w:t>
      </w:r>
      <w:r w:rsidRPr="00AB71A5">
        <w:rPr>
          <w:lang w:eastAsia="fr-FR" w:bidi="fr-FR"/>
        </w:rPr>
        <w:t>tés que les comportements auxquels elle est associée.</w:t>
      </w:r>
    </w:p>
    <w:p w:rsidR="00A9729B" w:rsidRPr="00AB71A5" w:rsidRDefault="00A9729B" w:rsidP="00A9729B">
      <w:pPr>
        <w:spacing w:before="120" w:after="120"/>
        <w:jc w:val="both"/>
      </w:pPr>
      <w:r w:rsidRPr="00AB71A5">
        <w:rPr>
          <w:lang w:eastAsia="fr-FR" w:bidi="fr-FR"/>
        </w:rPr>
        <w:t>On aurait tort de croire que l’application de ce procédé est restreint au champ du politique : il n’est pas un seul de nos co</w:t>
      </w:r>
      <w:r w:rsidRPr="00AB71A5">
        <w:rPr>
          <w:lang w:eastAsia="fr-FR" w:bidi="fr-FR"/>
        </w:rPr>
        <w:t>m</w:t>
      </w:r>
      <w:r w:rsidRPr="00AB71A5">
        <w:rPr>
          <w:lang w:eastAsia="fr-FR" w:bidi="fr-FR"/>
        </w:rPr>
        <w:t>portements, qu’il soit théor</w:t>
      </w:r>
      <w:r w:rsidRPr="00AB71A5">
        <w:rPr>
          <w:lang w:eastAsia="fr-FR" w:bidi="fr-FR"/>
        </w:rPr>
        <w:t>i</w:t>
      </w:r>
      <w:r w:rsidRPr="00AB71A5">
        <w:rPr>
          <w:lang w:eastAsia="fr-FR" w:bidi="fr-FR"/>
        </w:rPr>
        <w:t>que ou qu’il ressortisse aux diverses praxis, qui y échappe, dans la mesure où il se dit en même temps qu’il s’exécute. On peut trouver tragique cette difficulté croissante et selon nous, i</w:t>
      </w:r>
      <w:r w:rsidRPr="00AB71A5">
        <w:rPr>
          <w:lang w:eastAsia="fr-FR" w:bidi="fr-FR"/>
        </w:rPr>
        <w:t>r</w:t>
      </w:r>
      <w:r w:rsidRPr="00AB71A5">
        <w:rPr>
          <w:lang w:eastAsia="fr-FR" w:bidi="fr-FR"/>
        </w:rPr>
        <w:t>rémédiable, pour la parole, de faire justice aux requêtes de la divers</w:t>
      </w:r>
      <w:r w:rsidRPr="00AB71A5">
        <w:rPr>
          <w:lang w:eastAsia="fr-FR" w:bidi="fr-FR"/>
        </w:rPr>
        <w:t>i</w:t>
      </w:r>
      <w:r w:rsidRPr="00AB71A5">
        <w:rPr>
          <w:lang w:eastAsia="fr-FR" w:bidi="fr-FR"/>
        </w:rPr>
        <w:t>té et à celles aussi, parfois, de la certitude.</w:t>
      </w:r>
    </w:p>
    <w:p w:rsidR="00A9729B" w:rsidRPr="00AB71A5" w:rsidRDefault="00A9729B" w:rsidP="00A9729B">
      <w:pPr>
        <w:spacing w:before="120" w:after="120"/>
        <w:jc w:val="both"/>
      </w:pPr>
      <w:r w:rsidRPr="00AB71A5">
        <w:rPr>
          <w:lang w:eastAsia="fr-FR" w:bidi="fr-FR"/>
        </w:rPr>
        <w:t>9. Nous aimerions formuler nos dernières rema</w:t>
      </w:r>
      <w:r w:rsidRPr="00AB71A5">
        <w:rPr>
          <w:lang w:eastAsia="fr-FR" w:bidi="fr-FR"/>
        </w:rPr>
        <w:t>r</w:t>
      </w:r>
      <w:r w:rsidRPr="00AB71A5">
        <w:rPr>
          <w:lang w:eastAsia="fr-FR" w:bidi="fr-FR"/>
        </w:rPr>
        <w:t>ques sur le mode analogique. On sait que Marx a cru que la suite de l’histoire devait évoluer dans le sens d’un accroissement continu du capital et d’une paup</w:t>
      </w:r>
      <w:r w:rsidRPr="00AB71A5">
        <w:rPr>
          <w:lang w:eastAsia="fr-FR" w:bidi="fr-FR"/>
        </w:rPr>
        <w:t>é</w:t>
      </w:r>
      <w:r w:rsidRPr="00AB71A5">
        <w:rPr>
          <w:lang w:eastAsia="fr-FR" w:bidi="fr-FR"/>
        </w:rPr>
        <w:t>risation toujours croissante du prolétariat, le second phénomène n’étant que la condition du premier. M</w:t>
      </w:r>
      <w:r w:rsidRPr="00AB71A5">
        <w:rPr>
          <w:lang w:eastAsia="fr-FR" w:bidi="fr-FR"/>
        </w:rPr>
        <w:t>ê</w:t>
      </w:r>
      <w:r w:rsidRPr="00AB71A5">
        <w:rPr>
          <w:lang w:eastAsia="fr-FR" w:bidi="fr-FR"/>
        </w:rPr>
        <w:t>me si ce genre de prédiction est habituellement d</w:t>
      </w:r>
      <w:r w:rsidRPr="00AB71A5">
        <w:rPr>
          <w:lang w:eastAsia="fr-FR" w:bidi="fr-FR"/>
        </w:rPr>
        <w:t>é</w:t>
      </w:r>
      <w:r w:rsidRPr="00AB71A5">
        <w:rPr>
          <w:lang w:eastAsia="fr-FR" w:bidi="fr-FR"/>
        </w:rPr>
        <w:t>menti par la réalité subséquente, il peut parfois tenir salutairement lieu d’exorcisme et l’on peut s’en servir pourvu que l’on soit conscient qu’il ne s’agit là que d’un moyen qui est e</w:t>
      </w:r>
      <w:r w:rsidRPr="00AB71A5">
        <w:rPr>
          <w:lang w:eastAsia="fr-FR" w:bidi="fr-FR"/>
        </w:rPr>
        <w:t>m</w:t>
      </w:r>
      <w:r w:rsidRPr="00AB71A5">
        <w:rPr>
          <w:lang w:eastAsia="fr-FR" w:bidi="fr-FR"/>
        </w:rPr>
        <w:t>ployé pour suggérer ce qu’il s</w:t>
      </w:r>
      <w:r w:rsidRPr="00AB71A5">
        <w:rPr>
          <w:lang w:eastAsia="fr-FR" w:bidi="fr-FR"/>
        </w:rPr>
        <w:t>e</w:t>
      </w:r>
      <w:r w:rsidRPr="00AB71A5">
        <w:rPr>
          <w:lang w:eastAsia="fr-FR" w:bidi="fr-FR"/>
        </w:rPr>
        <w:t>rait trop long de dire en détail et qui, par cons</w:t>
      </w:r>
      <w:r w:rsidRPr="00AB71A5">
        <w:rPr>
          <w:lang w:eastAsia="fr-FR" w:bidi="fr-FR"/>
        </w:rPr>
        <w:t>é</w:t>
      </w:r>
      <w:r w:rsidRPr="00AB71A5">
        <w:rPr>
          <w:lang w:eastAsia="fr-FR" w:bidi="fr-FR"/>
        </w:rPr>
        <w:t>quent, ne doit pas être entendu en son sens littéral.</w:t>
      </w:r>
    </w:p>
    <w:p w:rsidR="00A9729B" w:rsidRPr="00AB71A5" w:rsidRDefault="00A9729B" w:rsidP="00A9729B">
      <w:pPr>
        <w:spacing w:before="120" w:after="120"/>
        <w:jc w:val="both"/>
      </w:pPr>
      <w:r w:rsidRPr="00AB71A5">
        <w:rPr>
          <w:lang w:eastAsia="fr-FR" w:bidi="fr-FR"/>
        </w:rPr>
        <w:t>En plus d’un instrument qui nous aide à réfléchir de façon un peu systématique les conditions et les conséquences d’un proce</w:t>
      </w:r>
      <w:r w:rsidRPr="00AB71A5">
        <w:rPr>
          <w:lang w:eastAsia="fr-FR" w:bidi="fr-FR"/>
        </w:rPr>
        <w:t>s</w:t>
      </w:r>
      <w:r w:rsidRPr="00AB71A5">
        <w:rPr>
          <w:lang w:eastAsia="fr-FR" w:bidi="fr-FR"/>
        </w:rPr>
        <w:t>sus d’accumulation, on pourrait voir dans le concept de capital, ce geste i</w:t>
      </w:r>
      <w:r w:rsidRPr="00AB71A5">
        <w:rPr>
          <w:lang w:eastAsia="fr-FR" w:bidi="fr-FR"/>
        </w:rPr>
        <w:t>m</w:t>
      </w:r>
      <w:r w:rsidRPr="00AB71A5">
        <w:rPr>
          <w:lang w:eastAsia="fr-FR" w:bidi="fr-FR"/>
        </w:rPr>
        <w:t xml:space="preserve">portant par lequel la catégorie inerte de la quantité est promue à </w:t>
      </w:r>
      <w:r w:rsidRPr="00BE0208">
        <w:rPr>
          <w:i/>
        </w:rPr>
        <w:t>l’existence active</w:t>
      </w:r>
      <w:r w:rsidRPr="00AB71A5">
        <w:rPr>
          <w:lang w:eastAsia="fr-FR" w:bidi="fr-FR"/>
        </w:rPr>
        <w:t xml:space="preserve"> et, partant, à l’existence tout court, les concepts d’activité et d’existence étant à bien des égards équivalents. Il jouit en ce sens d’une grande application et c’est par ce biais qu’on peut l’introduire dans notre problématique de la sat</w:t>
      </w:r>
      <w:r w:rsidRPr="00AB71A5">
        <w:rPr>
          <w:lang w:eastAsia="fr-FR" w:bidi="fr-FR"/>
        </w:rPr>
        <w:t>u</w:t>
      </w:r>
      <w:r w:rsidRPr="00AB71A5">
        <w:rPr>
          <w:lang w:eastAsia="fr-FR" w:bidi="fr-FR"/>
        </w:rPr>
        <w:t>ration. Car celle-ci</w:t>
      </w:r>
      <w:r>
        <w:rPr>
          <w:lang w:eastAsia="fr-FR" w:bidi="fr-FR"/>
        </w:rPr>
        <w:t xml:space="preserve"> [131] </w:t>
      </w:r>
      <w:r w:rsidRPr="00AB71A5">
        <w:rPr>
          <w:lang w:eastAsia="fr-FR" w:bidi="fr-FR"/>
        </w:rPr>
        <w:t>n’est rien d’autre qu’un effet engendré par une masse culture</w:t>
      </w:r>
      <w:r w:rsidRPr="00AB71A5">
        <w:rPr>
          <w:lang w:eastAsia="fr-FR" w:bidi="fr-FR"/>
        </w:rPr>
        <w:t>l</w:t>
      </w:r>
      <w:r w:rsidRPr="00AB71A5">
        <w:rPr>
          <w:lang w:eastAsia="fr-FR" w:bidi="fr-FR"/>
        </w:rPr>
        <w:t>le opérant par sa quantité et qui nous contraint d’attribuer à cette quant</w:t>
      </w:r>
      <w:r w:rsidRPr="00AB71A5">
        <w:rPr>
          <w:lang w:eastAsia="fr-FR" w:bidi="fr-FR"/>
        </w:rPr>
        <w:t>i</w:t>
      </w:r>
      <w:r w:rsidRPr="00AB71A5">
        <w:rPr>
          <w:lang w:eastAsia="fr-FR" w:bidi="fr-FR"/>
        </w:rPr>
        <w:t xml:space="preserve">té une existence causale pleinement autonome, </w:t>
      </w:r>
      <w:r w:rsidRPr="00AB71A5">
        <w:t>qua</w:t>
      </w:r>
      <w:r w:rsidRPr="00AB71A5">
        <w:rPr>
          <w:lang w:eastAsia="fr-FR" w:bidi="fr-FR"/>
        </w:rPr>
        <w:t xml:space="preserve"> qua</w:t>
      </w:r>
      <w:r w:rsidRPr="00AB71A5">
        <w:rPr>
          <w:lang w:eastAsia="fr-FR" w:bidi="fr-FR"/>
        </w:rPr>
        <w:t>n</w:t>
      </w:r>
      <w:r w:rsidRPr="00AB71A5">
        <w:rPr>
          <w:lang w:eastAsia="fr-FR" w:bidi="fr-FR"/>
        </w:rPr>
        <w:t>tité.</w:t>
      </w:r>
    </w:p>
    <w:p w:rsidR="00A9729B" w:rsidRPr="00AB71A5" w:rsidRDefault="00A9729B" w:rsidP="00A9729B">
      <w:pPr>
        <w:spacing w:before="120" w:after="120"/>
        <w:jc w:val="both"/>
      </w:pPr>
      <w:r w:rsidRPr="00AB71A5">
        <w:rPr>
          <w:lang w:eastAsia="fr-FR" w:bidi="fr-FR"/>
        </w:rPr>
        <w:t>Que l’on entende maintenant notre expression de saturation en son sens subjectif — seuil d’acceptabilité — et l’on dira que l’un des e</w:t>
      </w:r>
      <w:r w:rsidRPr="00AB71A5">
        <w:rPr>
          <w:lang w:eastAsia="fr-FR" w:bidi="fr-FR"/>
        </w:rPr>
        <w:t>f</w:t>
      </w:r>
      <w:r w:rsidRPr="00AB71A5">
        <w:rPr>
          <w:lang w:eastAsia="fr-FR" w:bidi="fr-FR"/>
        </w:rPr>
        <w:t>fets de la quantité de culture est de rendre de larges régions de cette dernière inacce</w:t>
      </w:r>
      <w:r w:rsidRPr="00AB71A5">
        <w:rPr>
          <w:lang w:eastAsia="fr-FR" w:bidi="fr-FR"/>
        </w:rPr>
        <w:t>s</w:t>
      </w:r>
      <w:r w:rsidRPr="00AB71A5">
        <w:rPr>
          <w:lang w:eastAsia="fr-FR" w:bidi="fr-FR"/>
        </w:rPr>
        <w:t>sibles à la masse des récepteurs qui ne peuvent pas reconstituer le réseau des règles qui ordonnent cette quantité et qui deviennent dès lors victimes de son épai</w:t>
      </w:r>
      <w:r w:rsidRPr="00AB71A5">
        <w:rPr>
          <w:lang w:eastAsia="fr-FR" w:bidi="fr-FR"/>
        </w:rPr>
        <w:t>s</w:t>
      </w:r>
      <w:r w:rsidRPr="00AB71A5">
        <w:rPr>
          <w:lang w:eastAsia="fr-FR" w:bidi="fr-FR"/>
        </w:rPr>
        <w:t>seur.</w:t>
      </w:r>
    </w:p>
    <w:p w:rsidR="00A9729B" w:rsidRPr="00AB71A5" w:rsidRDefault="00A9729B" w:rsidP="00A9729B">
      <w:pPr>
        <w:spacing w:before="120" w:after="120"/>
        <w:jc w:val="both"/>
      </w:pPr>
      <w:r w:rsidRPr="00AB71A5">
        <w:rPr>
          <w:lang w:eastAsia="fr-FR" w:bidi="fr-FR"/>
        </w:rPr>
        <w:t>Ceci, nous le soupçonnions déjà. Et, c’est à ce point qu’il nous faut utiliser le relai de l’analogie. Il n’est en effet pas du tout assuré que tous les projets, souvent euphoriques, d’éducation des masses, que l’on échafaude à la hâte dans le but de constituer une soi-disant cult</w:t>
      </w:r>
      <w:r w:rsidRPr="00AB71A5">
        <w:rPr>
          <w:lang w:eastAsia="fr-FR" w:bidi="fr-FR"/>
        </w:rPr>
        <w:t>u</w:t>
      </w:r>
      <w:r w:rsidRPr="00AB71A5">
        <w:rPr>
          <w:lang w:eastAsia="fr-FR" w:bidi="fr-FR"/>
        </w:rPr>
        <w:t>re populaire, n’aient pas, tels qu’on les pense et les réalise actuell</w:t>
      </w:r>
      <w:r w:rsidRPr="00AB71A5">
        <w:rPr>
          <w:lang w:eastAsia="fr-FR" w:bidi="fr-FR"/>
        </w:rPr>
        <w:t>e</w:t>
      </w:r>
      <w:r w:rsidRPr="00AB71A5">
        <w:rPr>
          <w:lang w:eastAsia="fr-FR" w:bidi="fr-FR"/>
        </w:rPr>
        <w:t>ment, une fonction anal</w:t>
      </w:r>
      <w:r w:rsidRPr="00AB71A5">
        <w:rPr>
          <w:lang w:eastAsia="fr-FR" w:bidi="fr-FR"/>
        </w:rPr>
        <w:t>o</w:t>
      </w:r>
      <w:r w:rsidRPr="00AB71A5">
        <w:rPr>
          <w:lang w:eastAsia="fr-FR" w:bidi="fr-FR"/>
        </w:rPr>
        <w:t>gue à la politique salariale poursuivie par le capit</w:t>
      </w:r>
      <w:r w:rsidRPr="00AB71A5">
        <w:rPr>
          <w:lang w:eastAsia="fr-FR" w:bidi="fr-FR"/>
        </w:rPr>
        <w:t>a</w:t>
      </w:r>
      <w:r w:rsidRPr="00AB71A5">
        <w:rPr>
          <w:lang w:eastAsia="fr-FR" w:bidi="fr-FR"/>
        </w:rPr>
        <w:t>lisme sauvage du XIX</w:t>
      </w:r>
      <w:r w:rsidRPr="00BE0208">
        <w:rPr>
          <w:vertAlign w:val="superscript"/>
          <w:lang w:eastAsia="fr-FR" w:bidi="fr-FR"/>
        </w:rPr>
        <w:t>ième</w:t>
      </w:r>
      <w:r w:rsidRPr="00AB71A5">
        <w:rPr>
          <w:lang w:eastAsia="fr-FR" w:bidi="fr-FR"/>
        </w:rPr>
        <w:t xml:space="preserve"> et du début du XX</w:t>
      </w:r>
      <w:r w:rsidRPr="00BE0208">
        <w:rPr>
          <w:vertAlign w:val="superscript"/>
          <w:lang w:eastAsia="fr-FR" w:bidi="fr-FR"/>
        </w:rPr>
        <w:t>ième</w:t>
      </w:r>
      <w:r w:rsidRPr="00AB71A5">
        <w:rPr>
          <w:lang w:eastAsia="fr-FR" w:bidi="fr-FR"/>
        </w:rPr>
        <w:t xml:space="preserve"> siècles et qui visait à n’assurer que la reproduction de la force de travail que repr</w:t>
      </w:r>
      <w:r w:rsidRPr="00AB71A5">
        <w:rPr>
          <w:lang w:eastAsia="fr-FR" w:bidi="fr-FR"/>
        </w:rPr>
        <w:t>é</w:t>
      </w:r>
      <w:r w:rsidRPr="00AB71A5">
        <w:rPr>
          <w:lang w:eastAsia="fr-FR" w:bidi="fr-FR"/>
        </w:rPr>
        <w:t>sentait le prolétariat. Qu’on nous comprenne bien : nous ne reprenons pas ici la thèse mai</w:t>
      </w:r>
      <w:r w:rsidRPr="00AB71A5">
        <w:rPr>
          <w:lang w:eastAsia="fr-FR" w:bidi="fr-FR"/>
        </w:rPr>
        <w:t>n</w:t>
      </w:r>
      <w:r w:rsidRPr="00AB71A5">
        <w:rPr>
          <w:lang w:eastAsia="fr-FR" w:bidi="fr-FR"/>
        </w:rPr>
        <w:t>tenant banale que les réseaux d’enseignement, populaire ou autre, auraient pour fonction d’assurer la diffusion de l’idéologie d’une classe dom</w:t>
      </w:r>
      <w:r w:rsidRPr="00AB71A5">
        <w:rPr>
          <w:lang w:eastAsia="fr-FR" w:bidi="fr-FR"/>
        </w:rPr>
        <w:t>i</w:t>
      </w:r>
      <w:r w:rsidRPr="00AB71A5">
        <w:rPr>
          <w:lang w:eastAsia="fr-FR" w:bidi="fr-FR"/>
        </w:rPr>
        <w:t>nante. Cette thèse comporte sans doute une bonne part de vérité. Mais, de façon plus fondament</w:t>
      </w:r>
      <w:r w:rsidRPr="00AB71A5">
        <w:rPr>
          <w:lang w:eastAsia="fr-FR" w:bidi="fr-FR"/>
        </w:rPr>
        <w:t>a</w:t>
      </w:r>
      <w:r w:rsidRPr="00AB71A5">
        <w:rPr>
          <w:lang w:eastAsia="fr-FR" w:bidi="fr-FR"/>
        </w:rPr>
        <w:t>le peut-être, nous pensons que le risque est grand que la pratique actuelle de l’éducation popula</w:t>
      </w:r>
      <w:r w:rsidRPr="00AB71A5">
        <w:rPr>
          <w:lang w:eastAsia="fr-FR" w:bidi="fr-FR"/>
        </w:rPr>
        <w:t>i</w:t>
      </w:r>
      <w:r w:rsidRPr="00AB71A5">
        <w:rPr>
          <w:lang w:eastAsia="fr-FR" w:bidi="fr-FR"/>
        </w:rPr>
        <w:t>re, quel que soit son moyen, n’ait pour seul résultat que de donner heureuse conscience à une soci</w:t>
      </w:r>
      <w:r w:rsidRPr="00AB71A5">
        <w:rPr>
          <w:lang w:eastAsia="fr-FR" w:bidi="fr-FR"/>
        </w:rPr>
        <w:t>é</w:t>
      </w:r>
      <w:r w:rsidRPr="00AB71A5">
        <w:rPr>
          <w:lang w:eastAsia="fr-FR" w:bidi="fr-FR"/>
        </w:rPr>
        <w:t>té qui est de plus en plus déterminée par un établissement scie</w:t>
      </w:r>
      <w:r w:rsidRPr="00AB71A5">
        <w:rPr>
          <w:lang w:eastAsia="fr-FR" w:bidi="fr-FR"/>
        </w:rPr>
        <w:t>n</w:t>
      </w:r>
      <w:r w:rsidRPr="00AB71A5">
        <w:rPr>
          <w:lang w:eastAsia="fr-FR" w:bidi="fr-FR"/>
        </w:rPr>
        <w:t>tifique en la rassurant que la rationalité qu’elle invoque pour contraindre ses membres est a</w:t>
      </w:r>
      <w:r w:rsidRPr="00AB71A5">
        <w:rPr>
          <w:lang w:eastAsia="fr-FR" w:bidi="fr-FR"/>
        </w:rPr>
        <w:t>s</w:t>
      </w:r>
      <w:r w:rsidRPr="00AB71A5">
        <w:rPr>
          <w:lang w:eastAsia="fr-FR" w:bidi="fr-FR"/>
        </w:rPr>
        <w:t xml:space="preserve">sez — juste assez — connue de ceux-ci pour qu’ils puissent la </w:t>
      </w:r>
      <w:r w:rsidRPr="00AB71A5">
        <w:t>vouloir.</w:t>
      </w:r>
      <w:r w:rsidRPr="00AB71A5">
        <w:rPr>
          <w:lang w:eastAsia="fr-FR" w:bidi="fr-FR"/>
        </w:rPr>
        <w:t xml:space="preserve"> La théorie néo-marxiste de l’idéologie est inutilement compliquée : une information n’a pas même besoin d’être fausse pour servir des intérêts de caste, elle n’a qu’à être insuffisante. Et, si tel est le risque que co</w:t>
      </w:r>
      <w:r w:rsidRPr="00AB71A5">
        <w:rPr>
          <w:lang w:eastAsia="fr-FR" w:bidi="fr-FR"/>
        </w:rPr>
        <w:t>u</w:t>
      </w:r>
      <w:r w:rsidRPr="00AB71A5">
        <w:rPr>
          <w:lang w:eastAsia="fr-FR" w:bidi="fr-FR"/>
        </w:rPr>
        <w:t>rent nos projets de rattrapage culturel, il ne nous reste plus qu’à pou</w:t>
      </w:r>
      <w:r w:rsidRPr="00AB71A5">
        <w:rPr>
          <w:lang w:eastAsia="fr-FR" w:bidi="fr-FR"/>
        </w:rPr>
        <w:t>r</w:t>
      </w:r>
      <w:r w:rsidRPr="00AB71A5">
        <w:rPr>
          <w:lang w:eastAsia="fr-FR" w:bidi="fr-FR"/>
        </w:rPr>
        <w:t>suivre jusqu’au bout notre analogie en reprenant l’hypothèse pessimi</w:t>
      </w:r>
      <w:r w:rsidRPr="00AB71A5">
        <w:rPr>
          <w:lang w:eastAsia="fr-FR" w:bidi="fr-FR"/>
        </w:rPr>
        <w:t>s</w:t>
      </w:r>
      <w:r w:rsidRPr="00AB71A5">
        <w:rPr>
          <w:lang w:eastAsia="fr-FR" w:bidi="fr-FR"/>
        </w:rPr>
        <w:t>te selon laquelle un déséquilibre initial — qui, ici, résulte d’un proce</w:t>
      </w:r>
      <w:r w:rsidRPr="00AB71A5">
        <w:rPr>
          <w:lang w:eastAsia="fr-FR" w:bidi="fr-FR"/>
        </w:rPr>
        <w:t>s</w:t>
      </w:r>
      <w:r w:rsidRPr="00AB71A5">
        <w:rPr>
          <w:lang w:eastAsia="fr-FR" w:bidi="fr-FR"/>
        </w:rPr>
        <w:t>sus de saturation culturelle — ne peut aller qu’en s’accentuant. Nous ne voulons évidemment pas dire par là que les masses vont progress</w:t>
      </w:r>
      <w:r w:rsidRPr="00AB71A5">
        <w:rPr>
          <w:lang w:eastAsia="fr-FR" w:bidi="fr-FR"/>
        </w:rPr>
        <w:t>i</w:t>
      </w:r>
      <w:r>
        <w:rPr>
          <w:lang w:eastAsia="fr-FR" w:bidi="fr-FR"/>
        </w:rPr>
        <w:t>vement se dé-sco</w:t>
      </w:r>
      <w:r w:rsidRPr="00AB71A5">
        <w:rPr>
          <w:lang w:eastAsia="fr-FR" w:bidi="fr-FR"/>
        </w:rPr>
        <w:t>lariser. Cela est peu probable. Ma</w:t>
      </w:r>
      <w:r>
        <w:rPr>
          <w:lang w:eastAsia="fr-FR" w:bidi="fr-FR"/>
        </w:rPr>
        <w:t>is, si l’on entend par inadéqua</w:t>
      </w:r>
      <w:r w:rsidRPr="00AB71A5">
        <w:rPr>
          <w:lang w:eastAsia="fr-FR" w:bidi="fr-FR"/>
        </w:rPr>
        <w:t>tion</w:t>
      </w:r>
      <w:r>
        <w:rPr>
          <w:lang w:eastAsia="fr-FR" w:bidi="fr-FR"/>
        </w:rPr>
        <w:t xml:space="preserve"> [132]</w:t>
      </w:r>
      <w:r w:rsidRPr="00AB71A5">
        <w:rPr>
          <w:lang w:eastAsia="fr-FR" w:bidi="fr-FR"/>
        </w:rPr>
        <w:t xml:space="preserve"> l’écart séparant le poss</w:t>
      </w:r>
      <w:r w:rsidRPr="00AB71A5">
        <w:rPr>
          <w:lang w:eastAsia="fr-FR" w:bidi="fr-FR"/>
        </w:rPr>
        <w:t>i</w:t>
      </w:r>
      <w:r w:rsidRPr="00AB71A5">
        <w:rPr>
          <w:lang w:eastAsia="fr-FR" w:bidi="fr-FR"/>
        </w:rPr>
        <w:t>ble du nécessaire, il se pourrait que l’avenir réalise le paradoxe de coupler la scolarisation la plus grande que l’Occident ait connue avec une inadéquation maxim</w:t>
      </w:r>
      <w:r w:rsidRPr="00AB71A5">
        <w:rPr>
          <w:lang w:eastAsia="fr-FR" w:bidi="fr-FR"/>
        </w:rPr>
        <w:t>a</w:t>
      </w:r>
      <w:r w:rsidRPr="00AB71A5">
        <w:rPr>
          <w:lang w:eastAsia="fr-FR" w:bidi="fr-FR"/>
        </w:rPr>
        <w:t>le.</w:t>
      </w:r>
    </w:p>
    <w:p w:rsidR="00A9729B" w:rsidRPr="00AB71A5" w:rsidRDefault="00A9729B" w:rsidP="00A9729B">
      <w:pPr>
        <w:spacing w:before="120" w:after="120"/>
        <w:jc w:val="both"/>
      </w:pPr>
      <w:r w:rsidRPr="00AB71A5">
        <w:rPr>
          <w:lang w:eastAsia="fr-FR" w:bidi="fr-FR"/>
        </w:rPr>
        <w:t>Nous ne pouvons faire la preuve que le déséquilibre cult</w:t>
      </w:r>
      <w:r w:rsidRPr="00AB71A5">
        <w:rPr>
          <w:lang w:eastAsia="fr-FR" w:bidi="fr-FR"/>
        </w:rPr>
        <w:t>u</w:t>
      </w:r>
      <w:r w:rsidRPr="00AB71A5">
        <w:rPr>
          <w:lang w:eastAsia="fr-FR" w:bidi="fr-FR"/>
        </w:rPr>
        <w:t>rel actuel ira en s’accentuant. Cette preuve n’est d’ailleurs pas plus opportune qu’elle n’est po</w:t>
      </w:r>
      <w:r w:rsidRPr="00AB71A5">
        <w:rPr>
          <w:lang w:eastAsia="fr-FR" w:bidi="fr-FR"/>
        </w:rPr>
        <w:t>s</w:t>
      </w:r>
      <w:r w:rsidRPr="00AB71A5">
        <w:rPr>
          <w:lang w:eastAsia="fr-FR" w:bidi="fr-FR"/>
        </w:rPr>
        <w:t>sible puisqu’elle ne pourrait que s’exténuer à appuyer un discours qui s’est d’emblée déclaré anal</w:t>
      </w:r>
      <w:r w:rsidRPr="00AB71A5">
        <w:rPr>
          <w:lang w:eastAsia="fr-FR" w:bidi="fr-FR"/>
        </w:rPr>
        <w:t>o</w:t>
      </w:r>
      <w:r w:rsidRPr="00AB71A5">
        <w:rPr>
          <w:lang w:eastAsia="fr-FR" w:bidi="fr-FR"/>
        </w:rPr>
        <w:t>gique. Mais encore est-il que nous aimerions tempérer la gratuité apparente de cette affirm</w:t>
      </w:r>
      <w:r w:rsidRPr="00AB71A5">
        <w:rPr>
          <w:lang w:eastAsia="fr-FR" w:bidi="fr-FR"/>
        </w:rPr>
        <w:t>a</w:t>
      </w:r>
      <w:r w:rsidRPr="00AB71A5">
        <w:rPr>
          <w:lang w:eastAsia="fr-FR" w:bidi="fr-FR"/>
        </w:rPr>
        <w:t>tion en avançant quelques raisons qui montreront qu’elle est au moins plausible. Au moins une de ces raisons est intéressa</w:t>
      </w:r>
      <w:r w:rsidRPr="00AB71A5">
        <w:rPr>
          <w:lang w:eastAsia="fr-FR" w:bidi="fr-FR"/>
        </w:rPr>
        <w:t>n</w:t>
      </w:r>
      <w:r w:rsidRPr="00AB71A5">
        <w:rPr>
          <w:lang w:eastAsia="fr-FR" w:bidi="fr-FR"/>
        </w:rPr>
        <w:t>te en elle-même.</w:t>
      </w:r>
    </w:p>
    <w:p w:rsidR="00A9729B" w:rsidRPr="00AB71A5" w:rsidRDefault="00A9729B" w:rsidP="00A9729B">
      <w:pPr>
        <w:spacing w:before="120" w:after="120"/>
        <w:jc w:val="both"/>
      </w:pPr>
      <w:r w:rsidRPr="00AB71A5">
        <w:rPr>
          <w:lang w:eastAsia="fr-FR" w:bidi="fr-FR"/>
        </w:rPr>
        <w:t>Le principe général qui assure une certaine créd</w:t>
      </w:r>
      <w:r w:rsidRPr="00AB71A5">
        <w:rPr>
          <w:lang w:eastAsia="fr-FR" w:bidi="fr-FR"/>
        </w:rPr>
        <w:t>i</w:t>
      </w:r>
      <w:r w:rsidRPr="00AB71A5">
        <w:rPr>
          <w:lang w:eastAsia="fr-FR" w:bidi="fr-FR"/>
        </w:rPr>
        <w:t>bilité à l’hypothèse du déséquilibre croissant entre la production culturelle et son accessibilité r</w:t>
      </w:r>
      <w:r w:rsidRPr="00AB71A5">
        <w:rPr>
          <w:lang w:eastAsia="fr-FR" w:bidi="fr-FR"/>
        </w:rPr>
        <w:t>é</w:t>
      </w:r>
      <w:r w:rsidRPr="00AB71A5">
        <w:rPr>
          <w:lang w:eastAsia="fr-FR" w:bidi="fr-FR"/>
        </w:rPr>
        <w:t>side dans l’écart considérable qui sépare le rythme objectif de la production culturelle de la cadence nécessairement su</w:t>
      </w:r>
      <w:r w:rsidRPr="00AB71A5">
        <w:rPr>
          <w:lang w:eastAsia="fr-FR" w:bidi="fr-FR"/>
        </w:rPr>
        <w:t>b</w:t>
      </w:r>
      <w:r w:rsidRPr="00AB71A5">
        <w:rPr>
          <w:lang w:eastAsia="fr-FR" w:bidi="fr-FR"/>
        </w:rPr>
        <w:t>jective de son assimilation. Si donc, d’une part, le déséquilibre actuel ressortit à trop grande quantité des produits de culture et si, d’autre part, le rythme de leur production est sans commune mesure avec c</w:t>
      </w:r>
      <w:r w:rsidRPr="00AB71A5">
        <w:rPr>
          <w:lang w:eastAsia="fr-FR" w:bidi="fr-FR"/>
        </w:rPr>
        <w:t>e</w:t>
      </w:r>
      <w:r w:rsidRPr="00AB71A5">
        <w:rPr>
          <w:lang w:eastAsia="fr-FR" w:bidi="fr-FR"/>
        </w:rPr>
        <w:t>lui de leur assimilation, il s’ensuit fatalement que le d</w:t>
      </w:r>
      <w:r w:rsidRPr="00AB71A5">
        <w:rPr>
          <w:lang w:eastAsia="fr-FR" w:bidi="fr-FR"/>
        </w:rPr>
        <w:t>é</w:t>
      </w:r>
      <w:r w:rsidRPr="00AB71A5">
        <w:rPr>
          <w:lang w:eastAsia="fr-FR" w:bidi="fr-FR"/>
        </w:rPr>
        <w:t>séquilibre ne pourra que croître.</w:t>
      </w:r>
    </w:p>
    <w:p w:rsidR="00A9729B" w:rsidRPr="00AB71A5" w:rsidRDefault="00A9729B" w:rsidP="00A9729B">
      <w:pPr>
        <w:spacing w:before="120" w:after="120"/>
        <w:jc w:val="both"/>
      </w:pPr>
      <w:r w:rsidRPr="00AB71A5">
        <w:rPr>
          <w:lang w:eastAsia="fr-FR" w:bidi="fr-FR"/>
        </w:rPr>
        <w:t>Que le rythme de production soit nécessairement toujours en ava</w:t>
      </w:r>
      <w:r w:rsidRPr="00AB71A5">
        <w:rPr>
          <w:lang w:eastAsia="fr-FR" w:bidi="fr-FR"/>
        </w:rPr>
        <w:t>n</w:t>
      </w:r>
      <w:r w:rsidRPr="00AB71A5">
        <w:rPr>
          <w:lang w:eastAsia="fr-FR" w:bidi="fr-FR"/>
        </w:rPr>
        <w:t>ce sur celui de l’assimilation est fac</w:t>
      </w:r>
      <w:r w:rsidRPr="00AB71A5">
        <w:rPr>
          <w:lang w:eastAsia="fr-FR" w:bidi="fr-FR"/>
        </w:rPr>
        <w:t>i</w:t>
      </w:r>
      <w:r w:rsidRPr="00AB71A5">
        <w:rPr>
          <w:lang w:eastAsia="fr-FR" w:bidi="fr-FR"/>
        </w:rPr>
        <w:t>le à montrer. On n’a, en première part, qu’à souligner que le rapport assimilation/production est fonci</w:t>
      </w:r>
      <w:r w:rsidRPr="00AB71A5">
        <w:rPr>
          <w:lang w:eastAsia="fr-FR" w:bidi="fr-FR"/>
        </w:rPr>
        <w:t>è</w:t>
      </w:r>
      <w:r w:rsidRPr="00AB71A5">
        <w:rPr>
          <w:lang w:eastAsia="fr-FR" w:bidi="fr-FR"/>
        </w:rPr>
        <w:t>rement dissymétrique car il doit s’énoncer sur le mode du seul — le sujet récepteur qui tente d’assimiler — contre tous — un ensemble de produits de culture. Dit autrement : si on peut se me</w:t>
      </w:r>
      <w:r w:rsidRPr="00AB71A5">
        <w:rPr>
          <w:lang w:eastAsia="fr-FR" w:bidi="fr-FR"/>
        </w:rPr>
        <w:t>t</w:t>
      </w:r>
      <w:r w:rsidRPr="00AB71A5">
        <w:rPr>
          <w:lang w:eastAsia="fr-FR" w:bidi="fr-FR"/>
        </w:rPr>
        <w:t>tre à plusieurs pour faire un livre, on est forcément seul pour le l</w:t>
      </w:r>
      <w:r w:rsidRPr="00AB71A5">
        <w:rPr>
          <w:lang w:eastAsia="fr-FR" w:bidi="fr-FR"/>
        </w:rPr>
        <w:t>i</w:t>
      </w:r>
      <w:r w:rsidRPr="00AB71A5">
        <w:rPr>
          <w:lang w:eastAsia="fr-FR" w:bidi="fr-FR"/>
        </w:rPr>
        <w:t>re.</w:t>
      </w:r>
      <w:r>
        <w:rPr>
          <w:lang w:eastAsia="fr-FR" w:bidi="fr-FR"/>
        </w:rPr>
        <w:t> </w:t>
      </w:r>
      <w:r>
        <w:rPr>
          <w:rStyle w:val="Appelnotedebasdep"/>
          <w:lang w:eastAsia="fr-FR" w:bidi="fr-FR"/>
        </w:rPr>
        <w:footnoteReference w:id="38"/>
      </w:r>
      <w:r w:rsidRPr="00AB71A5">
        <w:rPr>
          <w:vertAlign w:val="superscript"/>
          <w:lang w:eastAsia="fr-FR" w:bidi="fr-FR"/>
        </w:rPr>
        <w:t xml:space="preserve"> </w:t>
      </w:r>
      <w:r w:rsidRPr="00AB71A5">
        <w:rPr>
          <w:lang w:eastAsia="fr-FR" w:bidi="fr-FR"/>
        </w:rPr>
        <w:t>On peut, en seconde part, faire valoir que tout acte de production dans une situ</w:t>
      </w:r>
      <w:r w:rsidRPr="00AB71A5">
        <w:rPr>
          <w:lang w:eastAsia="fr-FR" w:bidi="fr-FR"/>
        </w:rPr>
        <w:t>a</w:t>
      </w:r>
      <w:r w:rsidRPr="00AB71A5">
        <w:rPr>
          <w:lang w:eastAsia="fr-FR" w:bidi="fr-FR"/>
        </w:rPr>
        <w:t>tion culturelle qui privilégie les mécani</w:t>
      </w:r>
      <w:r w:rsidRPr="00AB71A5">
        <w:rPr>
          <w:lang w:eastAsia="fr-FR" w:bidi="fr-FR"/>
        </w:rPr>
        <w:t>s</w:t>
      </w:r>
      <w:r w:rsidRPr="00AB71A5">
        <w:rPr>
          <w:lang w:eastAsia="fr-FR" w:bidi="fr-FR"/>
        </w:rPr>
        <w:t>mes d’agencement sur une pratique de transformation, multiplié par tous les produits déjà exi</w:t>
      </w:r>
      <w:r w:rsidRPr="00AB71A5">
        <w:rPr>
          <w:lang w:eastAsia="fr-FR" w:bidi="fr-FR"/>
        </w:rPr>
        <w:t>s</w:t>
      </w:r>
      <w:r w:rsidRPr="00AB71A5">
        <w:rPr>
          <w:lang w:eastAsia="fr-FR" w:bidi="fr-FR"/>
        </w:rPr>
        <w:t>tants avec lequel son résultat peut être conjoint</w:t>
      </w:r>
      <w:r>
        <w:rPr>
          <w:lang w:eastAsia="fr-FR" w:bidi="fr-FR"/>
        </w:rPr>
        <w:t xml:space="preserve"> [133] </w:t>
      </w:r>
      <w:r w:rsidRPr="00AB71A5">
        <w:rPr>
          <w:lang w:eastAsia="fr-FR" w:bidi="fr-FR"/>
        </w:rPr>
        <w:t>pour constituer un nouvel a</w:t>
      </w:r>
      <w:r w:rsidRPr="00AB71A5">
        <w:rPr>
          <w:lang w:eastAsia="fr-FR" w:bidi="fr-FR"/>
        </w:rPr>
        <w:t>s</w:t>
      </w:r>
      <w:r w:rsidRPr="00AB71A5">
        <w:rPr>
          <w:lang w:eastAsia="fr-FR" w:bidi="fr-FR"/>
        </w:rPr>
        <w:t>semblage qui, à son tour, devra être appréhendé. Si, pour prendre un exemp</w:t>
      </w:r>
      <w:r>
        <w:rPr>
          <w:lang w:eastAsia="fr-FR" w:bidi="fr-FR"/>
        </w:rPr>
        <w:t>le simple, à l’ensemble des cul</w:t>
      </w:r>
      <w:r w:rsidRPr="00AB71A5">
        <w:rPr>
          <w:lang w:eastAsia="fr-FR" w:bidi="fr-FR"/>
        </w:rPr>
        <w:t>turèmes exi</w:t>
      </w:r>
      <w:r w:rsidRPr="00AB71A5">
        <w:rPr>
          <w:lang w:eastAsia="fr-FR" w:bidi="fr-FR"/>
        </w:rPr>
        <w:t>s</w:t>
      </w:r>
      <w:r w:rsidRPr="00AB71A5">
        <w:rPr>
          <w:lang w:eastAsia="fr-FR" w:bidi="fr-FR"/>
        </w:rPr>
        <w:t>tants A-B-C-D, s’ajoute E, il serait naïf de croire que la tâche du récepteur se borne à intégrer E : l’énergie nécessaire à l’intégration de E doit s’augmenter de celle qui est nécessaire à l’assimilation des assembl</w:t>
      </w:r>
      <w:r w:rsidRPr="00AB71A5">
        <w:rPr>
          <w:lang w:eastAsia="fr-FR" w:bidi="fr-FR"/>
        </w:rPr>
        <w:t>a</w:t>
      </w:r>
      <w:r w:rsidRPr="00AB71A5">
        <w:rPr>
          <w:lang w:eastAsia="fr-FR" w:bidi="fr-FR"/>
        </w:rPr>
        <w:t xml:space="preserve">ges </w:t>
      </w:r>
      <w:r w:rsidRPr="00BE0208">
        <w:rPr>
          <w:i/>
        </w:rPr>
        <w:t>ordonnés</w:t>
      </w:r>
      <w:r w:rsidRPr="00AB71A5">
        <w:rPr>
          <w:lang w:eastAsia="fr-FR" w:bidi="fr-FR"/>
        </w:rPr>
        <w:t xml:space="preserve"> AE - BE - CE - DE etc.</w:t>
      </w:r>
    </w:p>
    <w:p w:rsidR="00A9729B" w:rsidRPr="00AB71A5" w:rsidRDefault="00A9729B" w:rsidP="00A9729B">
      <w:pPr>
        <w:spacing w:before="120" w:after="120"/>
        <w:jc w:val="both"/>
      </w:pPr>
      <w:r w:rsidRPr="00AB71A5">
        <w:rPr>
          <w:lang w:eastAsia="fr-FR" w:bidi="fr-FR"/>
        </w:rPr>
        <w:t>Nous allons nous borner à énoncer la seconde de nos ra</w:t>
      </w:r>
      <w:r w:rsidRPr="00AB71A5">
        <w:rPr>
          <w:lang w:eastAsia="fr-FR" w:bidi="fr-FR"/>
        </w:rPr>
        <w:t>i</w:t>
      </w:r>
      <w:r w:rsidRPr="00AB71A5">
        <w:rPr>
          <w:lang w:eastAsia="fr-FR" w:bidi="fr-FR"/>
        </w:rPr>
        <w:t>sons, pour y avoir déjà fait so</w:t>
      </w:r>
      <w:r w:rsidRPr="00AB71A5">
        <w:rPr>
          <w:lang w:eastAsia="fr-FR" w:bidi="fr-FR"/>
        </w:rPr>
        <w:t>u</w:t>
      </w:r>
      <w:r w:rsidRPr="00AB71A5">
        <w:rPr>
          <w:lang w:eastAsia="fr-FR" w:bidi="fr-FR"/>
        </w:rPr>
        <w:t>vent allusion. Elle tient pour l’essentiel en ce que l’un des phénomènes les plus caractéristiques d’une saturation cult</w:t>
      </w:r>
      <w:r w:rsidRPr="00AB71A5">
        <w:rPr>
          <w:lang w:eastAsia="fr-FR" w:bidi="fr-FR"/>
        </w:rPr>
        <w:t>u</w:t>
      </w:r>
      <w:r w:rsidRPr="00AB71A5">
        <w:rPr>
          <w:lang w:eastAsia="fr-FR" w:bidi="fr-FR"/>
        </w:rPr>
        <w:t>relle, la production d’énoncés très profondément s</w:t>
      </w:r>
      <w:r w:rsidRPr="00AB71A5">
        <w:rPr>
          <w:lang w:eastAsia="fr-FR" w:bidi="fr-FR"/>
        </w:rPr>
        <w:t>é</w:t>
      </w:r>
      <w:r w:rsidRPr="00AB71A5">
        <w:rPr>
          <w:lang w:eastAsia="fr-FR" w:bidi="fr-FR"/>
        </w:rPr>
        <w:t>dimentés, a pour conséquence de rendre extrêmement problématique le rapport péd</w:t>
      </w:r>
      <w:r w:rsidRPr="00AB71A5">
        <w:rPr>
          <w:lang w:eastAsia="fr-FR" w:bidi="fr-FR"/>
        </w:rPr>
        <w:t>a</w:t>
      </w:r>
      <w:r w:rsidRPr="00AB71A5">
        <w:rPr>
          <w:lang w:eastAsia="fr-FR" w:bidi="fr-FR"/>
        </w:rPr>
        <w:t>gogique. Si donc, un état de culture saturée a pour résultat précis de grever l’efficacité du remède qui devrait nous permettre de le dépa</w:t>
      </w:r>
      <w:r w:rsidRPr="00AB71A5">
        <w:rPr>
          <w:lang w:eastAsia="fr-FR" w:bidi="fr-FR"/>
        </w:rPr>
        <w:t>s</w:t>
      </w:r>
      <w:r w:rsidRPr="00AB71A5">
        <w:rPr>
          <w:lang w:eastAsia="fr-FR" w:bidi="fr-FR"/>
        </w:rPr>
        <w:t>ser, il s’ensuit non seulement que le déséqu</w:t>
      </w:r>
      <w:r w:rsidRPr="00AB71A5">
        <w:rPr>
          <w:lang w:eastAsia="fr-FR" w:bidi="fr-FR"/>
        </w:rPr>
        <w:t>i</w:t>
      </w:r>
      <w:r w:rsidRPr="00AB71A5">
        <w:rPr>
          <w:lang w:eastAsia="fr-FR" w:bidi="fr-FR"/>
        </w:rPr>
        <w:t>libre qui caractérise cet état va s’accroître mais aussi que cette croissance rendra de plus en plus inopérant le moyen de le combattre. Le cercle qui se trace d</w:t>
      </w:r>
      <w:r w:rsidRPr="00AB71A5">
        <w:rPr>
          <w:lang w:eastAsia="fr-FR" w:bidi="fr-FR"/>
        </w:rPr>
        <w:t>e</w:t>
      </w:r>
      <w:r w:rsidRPr="00AB71A5">
        <w:rPr>
          <w:lang w:eastAsia="fr-FR" w:bidi="fr-FR"/>
        </w:rPr>
        <w:t>vant nous est au fond celui dans lequel nous enferme l’écologie : une crise qui a pour raison la croissance ne peut que s’accroître si celle-ci se poursuit.</w:t>
      </w:r>
    </w:p>
    <w:p w:rsidR="00A9729B" w:rsidRPr="00AB71A5" w:rsidRDefault="00A9729B" w:rsidP="00A9729B">
      <w:pPr>
        <w:spacing w:before="120" w:after="120"/>
        <w:jc w:val="both"/>
      </w:pPr>
      <w:r w:rsidRPr="00AB71A5">
        <w:rPr>
          <w:lang w:eastAsia="fr-FR" w:bidi="fr-FR"/>
        </w:rPr>
        <w:t>L’intervention, enfin, de considérations d’ordre politique révèle mieux que celle de toute autre la structure circulaire d’un état de sat</w:t>
      </w:r>
      <w:r w:rsidRPr="00AB71A5">
        <w:rPr>
          <w:lang w:eastAsia="fr-FR" w:bidi="fr-FR"/>
        </w:rPr>
        <w:t>u</w:t>
      </w:r>
      <w:r w:rsidRPr="00AB71A5">
        <w:rPr>
          <w:lang w:eastAsia="fr-FR" w:bidi="fr-FR"/>
        </w:rPr>
        <w:t xml:space="preserve">ration culturelle. L’un des sens de ce mot de saturation est, avons-nous dit, l’impuissance d’une situation à se transformer. </w:t>
      </w:r>
      <w:r>
        <w:rPr>
          <w:lang w:eastAsia="fr-FR" w:bidi="fr-FR"/>
        </w:rPr>
        <w:t>À</w:t>
      </w:r>
      <w:r w:rsidRPr="00AB71A5">
        <w:rPr>
          <w:lang w:eastAsia="fr-FR" w:bidi="fr-FR"/>
        </w:rPr>
        <w:t xml:space="preserve"> cet égard, p</w:t>
      </w:r>
      <w:r w:rsidRPr="00AB71A5">
        <w:rPr>
          <w:lang w:eastAsia="fr-FR" w:bidi="fr-FR"/>
        </w:rPr>
        <w:t>o</w:t>
      </w:r>
      <w:r w:rsidRPr="00AB71A5">
        <w:rPr>
          <w:lang w:eastAsia="fr-FR" w:bidi="fr-FR"/>
        </w:rPr>
        <w:t>sons un axiome (qui n’est, en réalité, qu’un truisme) : il n’est pas de changement profond dans une société dont le projet puisse se passer du soutien populaire (une tyrannie est habituellement éphémère). Or ce soutien populaire, il faut l’obtenir en soumettant aux divers me</w:t>
      </w:r>
      <w:r w:rsidRPr="00AB71A5">
        <w:rPr>
          <w:lang w:eastAsia="fr-FR" w:bidi="fr-FR"/>
        </w:rPr>
        <w:t>m</w:t>
      </w:r>
      <w:r w:rsidRPr="00AB71A5">
        <w:rPr>
          <w:lang w:eastAsia="fr-FR" w:bidi="fr-FR"/>
        </w:rPr>
        <w:t>bres du corps social le programme d’une pol</w:t>
      </w:r>
      <w:r w:rsidRPr="00AB71A5">
        <w:rPr>
          <w:lang w:eastAsia="fr-FR" w:bidi="fr-FR"/>
        </w:rPr>
        <w:t>i</w:t>
      </w:r>
      <w:r w:rsidRPr="00AB71A5">
        <w:rPr>
          <w:lang w:eastAsia="fr-FR" w:bidi="fr-FR"/>
        </w:rPr>
        <w:t>tique, en espérant qu’ils lui donneront leur adhésion.</w:t>
      </w:r>
      <w:r>
        <w:rPr>
          <w:lang w:eastAsia="fr-FR" w:bidi="fr-FR"/>
        </w:rPr>
        <w:t> </w:t>
      </w:r>
      <w:r>
        <w:rPr>
          <w:rStyle w:val="Appelnotedebasdep"/>
          <w:lang w:eastAsia="fr-FR" w:bidi="fr-FR"/>
        </w:rPr>
        <w:footnoteReference w:id="39"/>
      </w:r>
      <w:r w:rsidRPr="00AB71A5">
        <w:rPr>
          <w:lang w:eastAsia="fr-FR" w:bidi="fr-FR"/>
        </w:rPr>
        <w:t xml:space="preserve"> Comme nous l’avons suggéré préc</w:t>
      </w:r>
      <w:r w:rsidRPr="00AB71A5">
        <w:rPr>
          <w:lang w:eastAsia="fr-FR" w:bidi="fr-FR"/>
        </w:rPr>
        <w:t>é</w:t>
      </w:r>
      <w:r w:rsidRPr="00AB71A5">
        <w:rPr>
          <w:lang w:eastAsia="fr-FR" w:bidi="fr-FR"/>
        </w:rPr>
        <w:t>demment, on peut penser que ces pr</w:t>
      </w:r>
      <w:r w:rsidRPr="00AB71A5">
        <w:rPr>
          <w:lang w:eastAsia="fr-FR" w:bidi="fr-FR"/>
        </w:rPr>
        <w:t>o</w:t>
      </w:r>
      <w:r w:rsidRPr="00AB71A5">
        <w:rPr>
          <w:lang w:eastAsia="fr-FR" w:bidi="fr-FR"/>
        </w:rPr>
        <w:t>grammes seront de plus en plus déterminés par les impératifs d’une rationalité d’ordre scient</w:t>
      </w:r>
      <w:r w:rsidRPr="00AB71A5">
        <w:rPr>
          <w:lang w:eastAsia="fr-FR" w:bidi="fr-FR"/>
        </w:rPr>
        <w:t>i</w:t>
      </w:r>
      <w:r w:rsidRPr="00AB71A5">
        <w:rPr>
          <w:lang w:eastAsia="fr-FR" w:bidi="fr-FR"/>
        </w:rPr>
        <w:t>fique, ou du moins se présenteront comme tels.</w:t>
      </w:r>
      <w:r>
        <w:rPr>
          <w:lang w:eastAsia="fr-FR" w:bidi="fr-FR"/>
        </w:rPr>
        <w:t> </w:t>
      </w:r>
      <w:r>
        <w:rPr>
          <w:rStyle w:val="Appelnotedebasdep"/>
          <w:lang w:eastAsia="fr-FR" w:bidi="fr-FR"/>
        </w:rPr>
        <w:footnoteReference w:id="40"/>
      </w:r>
      <w:r w:rsidRPr="00AB71A5">
        <w:rPr>
          <w:lang w:eastAsia="fr-FR" w:bidi="fr-FR"/>
        </w:rPr>
        <w:t xml:space="preserve"> Mais nos h</w:t>
      </w:r>
      <w:r w:rsidRPr="00AB71A5">
        <w:rPr>
          <w:lang w:eastAsia="fr-FR" w:bidi="fr-FR"/>
        </w:rPr>
        <w:t>y</w:t>
      </w:r>
      <w:r w:rsidRPr="00AB71A5">
        <w:rPr>
          <w:lang w:eastAsia="fr-FR" w:bidi="fr-FR"/>
        </w:rPr>
        <w:t>pothèses sur la profondeur — la poly-nivellation — de l’énoncé théorique contemp</w:t>
      </w:r>
      <w:r w:rsidRPr="00AB71A5">
        <w:rPr>
          <w:lang w:eastAsia="fr-FR" w:bidi="fr-FR"/>
        </w:rPr>
        <w:t>o</w:t>
      </w:r>
      <w:r w:rsidRPr="00AB71A5">
        <w:rPr>
          <w:lang w:eastAsia="fr-FR" w:bidi="fr-FR"/>
        </w:rPr>
        <w:t>rain nous obligent de poser que cette</w:t>
      </w:r>
      <w:r>
        <w:rPr>
          <w:lang w:eastAsia="fr-FR" w:bidi="fr-FR"/>
        </w:rPr>
        <w:t xml:space="preserve"> [134] </w:t>
      </w:r>
      <w:r w:rsidRPr="00AB71A5">
        <w:rPr>
          <w:lang w:eastAsia="fr-FR" w:bidi="fr-FR"/>
        </w:rPr>
        <w:t>rationalité ne sera access</w:t>
      </w:r>
      <w:r w:rsidRPr="00AB71A5">
        <w:rPr>
          <w:lang w:eastAsia="fr-FR" w:bidi="fr-FR"/>
        </w:rPr>
        <w:t>i</w:t>
      </w:r>
      <w:r w:rsidRPr="00AB71A5">
        <w:rPr>
          <w:lang w:eastAsia="fr-FR" w:bidi="fr-FR"/>
        </w:rPr>
        <w:t>ble aux masses que retraduites sous la forme simplifiée d’un ense</w:t>
      </w:r>
      <w:r w:rsidRPr="00AB71A5">
        <w:rPr>
          <w:lang w:eastAsia="fr-FR" w:bidi="fr-FR"/>
        </w:rPr>
        <w:t>m</w:t>
      </w:r>
      <w:r w:rsidRPr="00AB71A5">
        <w:rPr>
          <w:lang w:eastAsia="fr-FR" w:bidi="fr-FR"/>
        </w:rPr>
        <w:t xml:space="preserve">ble de consignes, de mots d’ordre et de menaces aisément perceptibles. Ce n’est, en effet, qu’à travers une espèce de </w:t>
      </w:r>
      <w:r w:rsidRPr="00EB37B5">
        <w:rPr>
          <w:i/>
        </w:rPr>
        <w:t>caporalisme intellectuel</w:t>
      </w:r>
      <w:r w:rsidRPr="00AB71A5">
        <w:rPr>
          <w:lang w:eastAsia="fr-FR" w:bidi="fr-FR"/>
        </w:rPr>
        <w:t xml:space="preserve"> que des résultats acquis dans des laboratoires ou des salles de sémina</w:t>
      </w:r>
      <w:r w:rsidRPr="00AB71A5">
        <w:rPr>
          <w:lang w:eastAsia="fr-FR" w:bidi="fr-FR"/>
        </w:rPr>
        <w:t>i</w:t>
      </w:r>
      <w:r w:rsidRPr="00AB71A5">
        <w:rPr>
          <w:lang w:eastAsia="fr-FR" w:bidi="fr-FR"/>
        </w:rPr>
        <w:t>re d’universités seront retransmis à l’ensemble des citoyens. La diff</w:t>
      </w:r>
      <w:r w:rsidRPr="00AB71A5">
        <w:rPr>
          <w:lang w:eastAsia="fr-FR" w:bidi="fr-FR"/>
        </w:rPr>
        <w:t>i</w:t>
      </w:r>
      <w:r w:rsidRPr="00AB71A5">
        <w:rPr>
          <w:lang w:eastAsia="fr-FR" w:bidi="fr-FR"/>
        </w:rPr>
        <w:t>culté est cependant ici que ce mode de diffusion est beaucoup plus affiné à servir les entreprises des partis au pouvoir que celles des fo</w:t>
      </w:r>
      <w:r w:rsidRPr="00AB71A5">
        <w:rPr>
          <w:lang w:eastAsia="fr-FR" w:bidi="fr-FR"/>
        </w:rPr>
        <w:t>r</w:t>
      </w:r>
      <w:r w:rsidRPr="00AB71A5">
        <w:rPr>
          <w:lang w:eastAsia="fr-FR" w:bidi="fr-FR"/>
        </w:rPr>
        <w:t>ces d’opposition.</w:t>
      </w:r>
      <w:r>
        <w:rPr>
          <w:lang w:eastAsia="fr-FR" w:bidi="fr-FR"/>
        </w:rPr>
        <w:t> </w:t>
      </w:r>
      <w:r>
        <w:rPr>
          <w:rStyle w:val="Appelnotedebasdep"/>
          <w:lang w:eastAsia="fr-FR" w:bidi="fr-FR"/>
        </w:rPr>
        <w:footnoteReference w:id="41"/>
      </w:r>
      <w:r w:rsidRPr="00AB71A5">
        <w:rPr>
          <w:lang w:eastAsia="fr-FR" w:bidi="fr-FR"/>
        </w:rPr>
        <w:t xml:space="preserve"> Un mot d’ordre n’est en effet efficace que dans la mesure où il est </w:t>
      </w:r>
      <w:r w:rsidRPr="00EB37B5">
        <w:rPr>
          <w:i/>
        </w:rPr>
        <w:t>rép</w:t>
      </w:r>
      <w:r w:rsidRPr="00EB37B5">
        <w:rPr>
          <w:i/>
        </w:rPr>
        <w:t>é</w:t>
      </w:r>
      <w:r w:rsidRPr="00EB37B5">
        <w:rPr>
          <w:i/>
        </w:rPr>
        <w:t>té</w:t>
      </w:r>
      <w:r w:rsidRPr="00AB71A5">
        <w:t>.</w:t>
      </w:r>
      <w:r w:rsidRPr="00AB71A5">
        <w:rPr>
          <w:lang w:eastAsia="fr-FR" w:bidi="fr-FR"/>
        </w:rPr>
        <w:t xml:space="preserve"> Or ce sont, de façon générale, les partis au pouvoir qui ont la mainm</w:t>
      </w:r>
      <w:r w:rsidRPr="00AB71A5">
        <w:rPr>
          <w:lang w:eastAsia="fr-FR" w:bidi="fr-FR"/>
        </w:rPr>
        <w:t>i</w:t>
      </w:r>
      <w:r w:rsidRPr="00AB71A5">
        <w:rPr>
          <w:lang w:eastAsia="fr-FR" w:bidi="fr-FR"/>
        </w:rPr>
        <w:t>se sur les moyens qui peuvent assurer ces répétitions nécessaires, comme la grande pre</w:t>
      </w:r>
      <w:r w:rsidRPr="00AB71A5">
        <w:rPr>
          <w:lang w:eastAsia="fr-FR" w:bidi="fr-FR"/>
        </w:rPr>
        <w:t>s</w:t>
      </w:r>
      <w:r w:rsidRPr="00AB71A5">
        <w:rPr>
          <w:lang w:eastAsia="fr-FR" w:bidi="fr-FR"/>
        </w:rPr>
        <w:t>se, la radio, la télévision etc.... Le caporalisme, d’autre part, n’est possible que s’il po</w:t>
      </w:r>
      <w:r w:rsidRPr="00AB71A5">
        <w:rPr>
          <w:lang w:eastAsia="fr-FR" w:bidi="fr-FR"/>
        </w:rPr>
        <w:t>s</w:t>
      </w:r>
      <w:r w:rsidRPr="00AB71A5">
        <w:rPr>
          <w:lang w:eastAsia="fr-FR" w:bidi="fr-FR"/>
        </w:rPr>
        <w:t>sède le moyen de réprimer ceux qui ne s’y soumettent pas. Les forces d’opposition sont pl</w:t>
      </w:r>
      <w:r w:rsidRPr="00AB71A5">
        <w:rPr>
          <w:lang w:eastAsia="fr-FR" w:bidi="fr-FR"/>
        </w:rPr>
        <w:t>u</w:t>
      </w:r>
      <w:r w:rsidRPr="00AB71A5">
        <w:rPr>
          <w:lang w:eastAsia="fr-FR" w:bidi="fr-FR"/>
        </w:rPr>
        <w:t>tôt conduites à employer un discours qui trouve dans sa seule rigueur sa force de contrainte et dont la densité supplée à sa rareté. C’est à ce point que notre cercle se remet à tourner : le ri</w:t>
      </w:r>
      <w:r w:rsidRPr="00AB71A5">
        <w:rPr>
          <w:lang w:eastAsia="fr-FR" w:bidi="fr-FR"/>
        </w:rPr>
        <w:t>s</w:t>
      </w:r>
      <w:r w:rsidRPr="00AB71A5">
        <w:rPr>
          <w:lang w:eastAsia="fr-FR" w:bidi="fr-FR"/>
        </w:rPr>
        <w:t>que est en effet très grand</w:t>
      </w:r>
      <w:r>
        <w:rPr>
          <w:lang w:eastAsia="fr-FR" w:bidi="fr-FR"/>
        </w:rPr>
        <w:t> </w:t>
      </w:r>
      <w:r>
        <w:rPr>
          <w:rStyle w:val="Appelnotedebasdep"/>
          <w:lang w:eastAsia="fr-FR" w:bidi="fr-FR"/>
        </w:rPr>
        <w:footnoteReference w:id="42"/>
      </w:r>
      <w:r w:rsidRPr="00AB71A5">
        <w:rPr>
          <w:lang w:eastAsia="fr-FR" w:bidi="fr-FR"/>
        </w:rPr>
        <w:t xml:space="preserve"> que cette rigueur et cette densité ne pui</w:t>
      </w:r>
      <w:r w:rsidRPr="00AB71A5">
        <w:rPr>
          <w:lang w:eastAsia="fr-FR" w:bidi="fr-FR"/>
        </w:rPr>
        <w:t>s</w:t>
      </w:r>
      <w:r w:rsidRPr="00AB71A5">
        <w:rPr>
          <w:lang w:eastAsia="fr-FR" w:bidi="fr-FR"/>
        </w:rPr>
        <w:t>sent s’acquérir qu’en se doublant d’une profondeur culturelle qui r</w:t>
      </w:r>
      <w:r w:rsidRPr="00AB71A5">
        <w:rPr>
          <w:lang w:eastAsia="fr-FR" w:bidi="fr-FR"/>
        </w:rPr>
        <w:t>é</w:t>
      </w:r>
      <w:r w:rsidRPr="00AB71A5">
        <w:rPr>
          <w:lang w:eastAsia="fr-FR" w:bidi="fr-FR"/>
        </w:rPr>
        <w:t>duit sensiblement leur access</w:t>
      </w:r>
      <w:r w:rsidRPr="00AB71A5">
        <w:rPr>
          <w:lang w:eastAsia="fr-FR" w:bidi="fr-FR"/>
        </w:rPr>
        <w:t>a</w:t>
      </w:r>
      <w:r w:rsidRPr="00AB71A5">
        <w:rPr>
          <w:lang w:eastAsia="fr-FR" w:bidi="fr-FR"/>
        </w:rPr>
        <w:t>bilité (acceptabilité). N’étant dès lors relayés par aucune pratique de masse, les énoncés dont il est ici que</w:t>
      </w:r>
      <w:r w:rsidRPr="00AB71A5">
        <w:rPr>
          <w:lang w:eastAsia="fr-FR" w:bidi="fr-FR"/>
        </w:rPr>
        <w:t>s</w:t>
      </w:r>
      <w:r w:rsidRPr="00AB71A5">
        <w:rPr>
          <w:lang w:eastAsia="fr-FR" w:bidi="fr-FR"/>
        </w:rPr>
        <w:t>tion vont grossir le corpus constitué déjà imposant des énoncés de n</w:t>
      </w:r>
      <w:r w:rsidRPr="00AB71A5">
        <w:rPr>
          <w:lang w:eastAsia="fr-FR" w:bidi="fr-FR"/>
        </w:rPr>
        <w:t>a</w:t>
      </w:r>
      <w:r w:rsidRPr="00AB71A5">
        <w:rPr>
          <w:lang w:eastAsia="fr-FR" w:bidi="fr-FR"/>
        </w:rPr>
        <w:t>ture politique, dont il augmente l’étendue et qu’il approche de sa sat</w:t>
      </w:r>
      <w:r w:rsidRPr="00AB71A5">
        <w:rPr>
          <w:lang w:eastAsia="fr-FR" w:bidi="fr-FR"/>
        </w:rPr>
        <w:t>u</w:t>
      </w:r>
      <w:r w:rsidRPr="00AB71A5">
        <w:rPr>
          <w:lang w:eastAsia="fr-FR" w:bidi="fr-FR"/>
        </w:rPr>
        <w:t>ration.</w:t>
      </w:r>
      <w:r>
        <w:rPr>
          <w:lang w:eastAsia="fr-FR" w:bidi="fr-FR"/>
        </w:rPr>
        <w:t> </w:t>
      </w:r>
      <w:r>
        <w:rPr>
          <w:rStyle w:val="Appelnotedebasdep"/>
          <w:lang w:eastAsia="fr-FR" w:bidi="fr-FR"/>
        </w:rPr>
        <w:footnoteReference w:id="43"/>
      </w:r>
      <w:r>
        <w:rPr>
          <w:lang w:eastAsia="fr-FR" w:bidi="fr-FR"/>
        </w:rPr>
        <w:t xml:space="preserve"> [135] </w:t>
      </w:r>
      <w:r w:rsidRPr="00AB71A5">
        <w:rPr>
          <w:lang w:eastAsia="fr-FR" w:bidi="fr-FR"/>
        </w:rPr>
        <w:t>C’est parce que le discours critique est, eu égard à la masse des récepteurs à qui il doit s’adresser, cult</w:t>
      </w:r>
      <w:r w:rsidRPr="00AB71A5">
        <w:rPr>
          <w:lang w:eastAsia="fr-FR" w:bidi="fr-FR"/>
        </w:rPr>
        <w:t>u</w:t>
      </w:r>
      <w:r w:rsidRPr="00AB71A5">
        <w:rPr>
          <w:lang w:eastAsia="fr-FR" w:bidi="fr-FR"/>
        </w:rPr>
        <w:t>rellement saturé qu’il ne peut emporter l’adhésion qui conditionne son éclatement dans une pratique — il n’est pas même perçu —, et c’est parce qu’il n’informe aucune pratique qu’il va rejoindre la masse du déjà dit et en augmente, si une telle chose est possible, la saturation. Il est imp</w:t>
      </w:r>
      <w:r w:rsidRPr="00AB71A5">
        <w:rPr>
          <w:lang w:eastAsia="fr-FR" w:bidi="fr-FR"/>
        </w:rPr>
        <w:t>é</w:t>
      </w:r>
      <w:r w:rsidRPr="00AB71A5">
        <w:rPr>
          <w:lang w:eastAsia="fr-FR" w:bidi="fr-FR"/>
        </w:rPr>
        <w:t>rieux, pour une crit</w:t>
      </w:r>
      <w:r w:rsidRPr="00AB71A5">
        <w:rPr>
          <w:lang w:eastAsia="fr-FR" w:bidi="fr-FR"/>
        </w:rPr>
        <w:t>i</w:t>
      </w:r>
      <w:r w:rsidRPr="00AB71A5">
        <w:rPr>
          <w:lang w:eastAsia="fr-FR" w:bidi="fr-FR"/>
        </w:rPr>
        <w:t>que de la culture qui se veut autre chose qu’un recueil de convers</w:t>
      </w:r>
      <w:r w:rsidRPr="00AB71A5">
        <w:rPr>
          <w:lang w:eastAsia="fr-FR" w:bidi="fr-FR"/>
        </w:rPr>
        <w:t>a</w:t>
      </w:r>
      <w:r w:rsidRPr="00AB71A5">
        <w:rPr>
          <w:lang w:eastAsia="fr-FR" w:bidi="fr-FR"/>
        </w:rPr>
        <w:t>tions, de trouver le moyen de sortir de ce cercle. Pour cette fois, nous nous arrêt</w:t>
      </w:r>
      <w:r w:rsidRPr="00AB71A5">
        <w:rPr>
          <w:lang w:eastAsia="fr-FR" w:bidi="fr-FR"/>
        </w:rPr>
        <w:t>e</w:t>
      </w:r>
      <w:r w:rsidRPr="00AB71A5">
        <w:rPr>
          <w:lang w:eastAsia="fr-FR" w:bidi="fr-FR"/>
        </w:rPr>
        <w:t>rons ici.</w:t>
      </w:r>
    </w:p>
    <w:p w:rsidR="00A9729B" w:rsidRDefault="00A9729B" w:rsidP="00A9729B">
      <w:pPr>
        <w:spacing w:before="120" w:after="120"/>
        <w:jc w:val="both"/>
        <w:rPr>
          <w:lang w:bidi="fr-FR"/>
        </w:rPr>
      </w:pPr>
    </w:p>
    <w:p w:rsidR="00A9729B" w:rsidRPr="00AB71A5" w:rsidRDefault="00A9729B" w:rsidP="00A9729B">
      <w:pPr>
        <w:pStyle w:val="p"/>
      </w:pPr>
      <w:r>
        <w:rPr>
          <w:lang w:bidi="fr-FR"/>
        </w:rPr>
        <w:t>[136]</w:t>
      </w:r>
    </w:p>
    <w:p w:rsidR="00A9729B" w:rsidRDefault="00A9729B" w:rsidP="00A9729B">
      <w:pPr>
        <w:spacing w:before="120" w:after="120"/>
        <w:jc w:val="both"/>
        <w:rPr>
          <w:lang w:eastAsia="fr-FR" w:bidi="fr-FR"/>
        </w:rPr>
      </w:pPr>
    </w:p>
    <w:p w:rsidR="00A9729B" w:rsidRDefault="00A9729B" w:rsidP="00A9729B">
      <w:pPr>
        <w:jc w:val="both"/>
      </w:pPr>
      <w:r w:rsidRPr="003F76B5">
        <w:rPr>
          <w:b/>
          <w:color w:val="FF0000"/>
        </w:rPr>
        <w:t>NOTES</w:t>
      </w:r>
    </w:p>
    <w:p w:rsidR="00A9729B" w:rsidRDefault="00A9729B" w:rsidP="00A9729B">
      <w:pPr>
        <w:jc w:val="both"/>
      </w:pPr>
    </w:p>
    <w:p w:rsidR="00A9729B" w:rsidRPr="00E07116" w:rsidRDefault="00A9729B" w:rsidP="00A9729B">
      <w:pPr>
        <w:jc w:val="both"/>
      </w:pPr>
      <w:r>
        <w:t>Pour faciliter la consultation des notes en fin de textes, nous les avons toutes converties, dans cette édition numérique des Classiques des sciences sociales, en notes de bas de page. JMT.</w:t>
      </w:r>
    </w:p>
    <w:p w:rsidR="00A9729B" w:rsidRDefault="00A9729B" w:rsidP="00A9729B">
      <w:pPr>
        <w:spacing w:before="120" w:after="120"/>
        <w:jc w:val="both"/>
        <w:rPr>
          <w:lang w:eastAsia="fr-FR" w:bidi="fr-FR"/>
        </w:rPr>
      </w:pPr>
    </w:p>
    <w:p w:rsidR="00A9729B" w:rsidRDefault="00A9729B" w:rsidP="00A9729B">
      <w:pPr>
        <w:pStyle w:val="p"/>
        <w:rPr>
          <w:lang w:eastAsia="fr-FR" w:bidi="fr-FR"/>
        </w:rPr>
      </w:pPr>
      <w:r>
        <w:rPr>
          <w:lang w:eastAsia="fr-FR" w:bidi="fr-FR"/>
        </w:rPr>
        <w:t>[137]</w:t>
      </w:r>
    </w:p>
    <w:p w:rsidR="00A9729B" w:rsidRDefault="00A9729B" w:rsidP="00A9729B">
      <w:pPr>
        <w:pStyle w:val="p"/>
      </w:pPr>
      <w:r>
        <w:t>[138]</w:t>
      </w:r>
    </w:p>
    <w:sectPr w:rsidR="00A9729B" w:rsidSect="00A9729B">
      <w:headerReference w:type="default" r:id="rId20"/>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DA8" w:rsidRDefault="00C56DA8">
      <w:r>
        <w:separator/>
      </w:r>
    </w:p>
  </w:endnote>
  <w:endnote w:type="continuationSeparator" w:id="0">
    <w:p w:rsidR="00C56DA8" w:rsidRDefault="00C5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DA8" w:rsidRDefault="00C56DA8">
      <w:pPr>
        <w:ind w:firstLine="0"/>
      </w:pPr>
      <w:r>
        <w:separator/>
      </w:r>
    </w:p>
  </w:footnote>
  <w:footnote w:type="continuationSeparator" w:id="0">
    <w:p w:rsidR="00C56DA8" w:rsidRDefault="00C56DA8">
      <w:pPr>
        <w:ind w:firstLine="0"/>
      </w:pPr>
      <w:r>
        <w:separator/>
      </w:r>
    </w:p>
  </w:footnote>
  <w:footnote w:id="1">
    <w:p w:rsidR="00A9729B" w:rsidRDefault="00A9729B" w:rsidP="00A9729B">
      <w:pPr>
        <w:pStyle w:val="Notedebasdepage"/>
      </w:pPr>
      <w:r>
        <w:rPr>
          <w:rStyle w:val="Appelnotedebasdep"/>
        </w:rPr>
        <w:t>A</w:t>
      </w:r>
      <w:r>
        <w:t xml:space="preserve"> </w:t>
      </w:r>
      <w:r>
        <w:tab/>
      </w:r>
      <w:r>
        <w:rPr>
          <w:lang w:eastAsia="fr-FR" w:bidi="fr-FR"/>
        </w:rPr>
        <w:t>cf. Faits, phrases et pr</w:t>
      </w:r>
      <w:r>
        <w:rPr>
          <w:lang w:eastAsia="fr-FR" w:bidi="fr-FR"/>
        </w:rPr>
        <w:t>o</w:t>
      </w:r>
      <w:r>
        <w:rPr>
          <w:lang w:eastAsia="fr-FR" w:bidi="fr-FR"/>
        </w:rPr>
        <w:t xml:space="preserve">positions, revue </w:t>
      </w:r>
      <w:r w:rsidRPr="009F0B0D">
        <w:rPr>
          <w:i/>
          <w:lang w:eastAsia="fr-FR" w:bidi="fr-FR"/>
        </w:rPr>
        <w:t>Dialogue</w:t>
      </w:r>
      <w:r>
        <w:rPr>
          <w:lang w:eastAsia="fr-FR" w:bidi="fr-FR"/>
        </w:rPr>
        <w:t>, vol. X, 1971, pp. 673-690, p. 688.</w:t>
      </w:r>
    </w:p>
  </w:footnote>
  <w:footnote w:id="2">
    <w:p w:rsidR="00A9729B" w:rsidRDefault="00A9729B" w:rsidP="00A9729B">
      <w:pPr>
        <w:pStyle w:val="Notedebasdepage"/>
      </w:pPr>
      <w:r>
        <w:rPr>
          <w:rStyle w:val="Appelnotedebasdep"/>
        </w:rPr>
        <w:t>B</w:t>
      </w:r>
      <w:r>
        <w:t xml:space="preserve"> </w:t>
      </w:r>
      <w:r>
        <w:tab/>
      </w:r>
      <w:r>
        <w:rPr>
          <w:lang w:eastAsia="fr-FR" w:bidi="fr-FR"/>
        </w:rPr>
        <w:t>Voir, par exemple, Eco, Umberto, Le problème de la réce</w:t>
      </w:r>
      <w:r>
        <w:rPr>
          <w:lang w:eastAsia="fr-FR" w:bidi="fr-FR"/>
        </w:rPr>
        <w:t>p</w:t>
      </w:r>
      <w:r>
        <w:rPr>
          <w:lang w:eastAsia="fr-FR" w:bidi="fr-FR"/>
        </w:rPr>
        <w:t xml:space="preserve">tion, in </w:t>
      </w:r>
      <w:r w:rsidRPr="009F0B0D">
        <w:rPr>
          <w:i/>
          <w:lang w:eastAsia="fr-FR" w:bidi="fr-FR"/>
        </w:rPr>
        <w:t>Critique sociologique et critique psychanalytique</w:t>
      </w:r>
      <w:r>
        <w:rPr>
          <w:lang w:eastAsia="fr-FR" w:bidi="fr-FR"/>
        </w:rPr>
        <w:t>, Ed</w:t>
      </w:r>
      <w:r>
        <w:rPr>
          <w:lang w:eastAsia="fr-FR" w:bidi="fr-FR"/>
        </w:rPr>
        <w:t>i</w:t>
      </w:r>
      <w:r>
        <w:rPr>
          <w:lang w:eastAsia="fr-FR" w:bidi="fr-FR"/>
        </w:rPr>
        <w:t>tions de l'Institut de Sociologie, Université libre de Bruxelles, Bruxelles,   1970.</w:t>
      </w:r>
    </w:p>
  </w:footnote>
  <w:footnote w:id="3">
    <w:p w:rsidR="00A9729B" w:rsidRDefault="00A9729B" w:rsidP="00A9729B">
      <w:pPr>
        <w:pStyle w:val="Notedebasdepage"/>
      </w:pPr>
      <w:r>
        <w:rPr>
          <w:rStyle w:val="Appelnotedebasdep"/>
        </w:rPr>
        <w:footnoteRef/>
      </w:r>
      <w:r>
        <w:t xml:space="preserve"> </w:t>
      </w:r>
      <w:r>
        <w:tab/>
      </w:r>
      <w:r w:rsidRPr="00511775">
        <w:rPr>
          <w:lang w:val="fr-FR" w:eastAsia="fr-FR" w:bidi="fr-FR"/>
        </w:rPr>
        <w:t xml:space="preserve">Par </w:t>
      </w:r>
      <w:r>
        <w:rPr>
          <w:lang w:val="fr-FR" w:eastAsia="fr-FR" w:bidi="fr-FR"/>
        </w:rPr>
        <w:t>« </w:t>
      </w:r>
      <w:r w:rsidRPr="00511775">
        <w:rPr>
          <w:lang w:val="fr-FR" w:eastAsia="fr-FR" w:bidi="fr-FR"/>
        </w:rPr>
        <w:t>phrase</w:t>
      </w:r>
      <w:r>
        <w:rPr>
          <w:lang w:val="fr-FR" w:eastAsia="fr-FR" w:bidi="fr-FR"/>
        </w:rPr>
        <w:t> »</w:t>
      </w:r>
      <w:r w:rsidRPr="00511775">
        <w:rPr>
          <w:lang w:val="fr-FR" w:eastAsia="fr-FR" w:bidi="fr-FR"/>
        </w:rPr>
        <w:t xml:space="preserve"> j’entendrai tout uniment (1) le signi</w:t>
      </w:r>
      <w:r>
        <w:rPr>
          <w:lang w:val="fr-FR" w:eastAsia="fr-FR" w:bidi="fr-FR"/>
        </w:rPr>
        <w:t>fiant matériel (l’oc</w:t>
      </w:r>
      <w:r w:rsidRPr="00511775">
        <w:rPr>
          <w:lang w:val="fr-FR" w:eastAsia="fr-FR" w:bidi="fr-FR"/>
        </w:rPr>
        <w:t>currence-phrase, au sens technique) (2) le signifié de cette phrase (la proposition) et (3) le jugement communiqué (l’énoncé). Ces choses sont di</w:t>
      </w:r>
      <w:r w:rsidRPr="00511775">
        <w:rPr>
          <w:lang w:val="fr-FR" w:eastAsia="fr-FR" w:bidi="fr-FR"/>
        </w:rPr>
        <w:t>s</w:t>
      </w:r>
      <w:r w:rsidRPr="00511775">
        <w:rPr>
          <w:lang w:val="fr-FR" w:eastAsia="fr-FR" w:bidi="fr-FR"/>
        </w:rPr>
        <w:t>tinctes, mais il ne m’est pas nécessaire, dans ce texte, de maintenir leur di</w:t>
      </w:r>
      <w:r w:rsidRPr="00511775">
        <w:rPr>
          <w:lang w:val="fr-FR" w:eastAsia="fr-FR" w:bidi="fr-FR"/>
        </w:rPr>
        <w:t>f</w:t>
      </w:r>
      <w:r w:rsidRPr="00511775">
        <w:rPr>
          <w:lang w:val="fr-FR" w:eastAsia="fr-FR" w:bidi="fr-FR"/>
        </w:rPr>
        <w:t>férence.</w:t>
      </w:r>
    </w:p>
  </w:footnote>
  <w:footnote w:id="4">
    <w:p w:rsidR="00A9729B" w:rsidRDefault="00A9729B" w:rsidP="00A9729B">
      <w:pPr>
        <w:pStyle w:val="Notedebasdepage"/>
      </w:pPr>
      <w:r>
        <w:rPr>
          <w:rStyle w:val="Appelnotedebasdep"/>
        </w:rPr>
        <w:footnoteRef/>
      </w:r>
      <w:r>
        <w:t xml:space="preserve"> </w:t>
      </w:r>
      <w:r>
        <w:tab/>
      </w:r>
      <w:r w:rsidRPr="00511775">
        <w:rPr>
          <w:lang w:val="fr-FR" w:eastAsia="fr-FR" w:bidi="fr-FR"/>
        </w:rPr>
        <w:t>Les expressions</w:t>
      </w:r>
      <w:r>
        <w:rPr>
          <w:lang w:val="fr-FR" w:eastAsia="fr-FR" w:bidi="fr-FR"/>
        </w:rPr>
        <w:t> :</w:t>
      </w:r>
      <w:r w:rsidRPr="00511775">
        <w:rPr>
          <w:lang w:val="fr-FR" w:eastAsia="fr-FR" w:bidi="fr-FR"/>
        </w:rPr>
        <w:t xml:space="preserve"> </w:t>
      </w:r>
      <w:r>
        <w:rPr>
          <w:lang w:val="fr-FR" w:eastAsia="fr-FR" w:bidi="fr-FR"/>
        </w:rPr>
        <w:t>« </w:t>
      </w:r>
      <w:r w:rsidRPr="00511775">
        <w:rPr>
          <w:lang w:val="fr-FR" w:eastAsia="fr-FR" w:bidi="fr-FR"/>
        </w:rPr>
        <w:t>La première grande rue co</w:t>
      </w:r>
      <w:r w:rsidRPr="00511775">
        <w:rPr>
          <w:lang w:val="fr-FR" w:eastAsia="fr-FR" w:bidi="fr-FR"/>
        </w:rPr>
        <w:t>m</w:t>
      </w:r>
      <w:r w:rsidRPr="00511775">
        <w:rPr>
          <w:lang w:val="fr-FR" w:eastAsia="fr-FR" w:bidi="fr-FR"/>
        </w:rPr>
        <w:t>merciale au sud du boul. Maisonneuve</w:t>
      </w:r>
      <w:r>
        <w:rPr>
          <w:lang w:val="fr-FR" w:eastAsia="fr-FR" w:bidi="fr-FR"/>
        </w:rPr>
        <w:t> »</w:t>
      </w:r>
      <w:r w:rsidRPr="00511775">
        <w:rPr>
          <w:lang w:val="fr-FR" w:eastAsia="fr-FR" w:bidi="fr-FR"/>
        </w:rPr>
        <w:t xml:space="preserve"> et </w:t>
      </w:r>
      <w:r>
        <w:rPr>
          <w:lang w:val="fr-FR" w:eastAsia="fr-FR" w:bidi="fr-FR"/>
        </w:rPr>
        <w:t>« </w:t>
      </w:r>
      <w:r w:rsidRPr="00511775">
        <w:rPr>
          <w:lang w:val="fr-FR" w:eastAsia="fr-FR" w:bidi="fr-FR"/>
        </w:rPr>
        <w:t>la première grande rue commerciale au nord du boul. Dorchester</w:t>
      </w:r>
      <w:r>
        <w:rPr>
          <w:lang w:val="fr-FR" w:eastAsia="fr-FR" w:bidi="fr-FR"/>
        </w:rPr>
        <w:t> »</w:t>
      </w:r>
      <w:r w:rsidRPr="00511775">
        <w:rPr>
          <w:lang w:val="fr-FR" w:eastAsia="fr-FR" w:bidi="fr-FR"/>
        </w:rPr>
        <w:t xml:space="preserve"> n’ont pas le même sens, mais ont toutes deux la même référe</w:t>
      </w:r>
      <w:r w:rsidRPr="00511775">
        <w:rPr>
          <w:lang w:val="fr-FR" w:eastAsia="fr-FR" w:bidi="fr-FR"/>
        </w:rPr>
        <w:t>n</w:t>
      </w:r>
      <w:r w:rsidRPr="00511775">
        <w:rPr>
          <w:lang w:val="fr-FR" w:eastAsia="fr-FR" w:bidi="fr-FR"/>
        </w:rPr>
        <w:t>ce, à s</w:t>
      </w:r>
      <w:r w:rsidRPr="00511775">
        <w:rPr>
          <w:lang w:val="fr-FR" w:eastAsia="fr-FR" w:bidi="fr-FR"/>
        </w:rPr>
        <w:t>a</w:t>
      </w:r>
      <w:r w:rsidRPr="00511775">
        <w:rPr>
          <w:lang w:val="fr-FR" w:eastAsia="fr-FR" w:bidi="fr-FR"/>
        </w:rPr>
        <w:t xml:space="preserve">voir la rue Ste-Catherine. On appellera </w:t>
      </w:r>
      <w:r>
        <w:rPr>
          <w:lang w:val="fr-FR" w:eastAsia="fr-FR" w:bidi="fr-FR"/>
        </w:rPr>
        <w:t>« </w:t>
      </w:r>
      <w:r w:rsidRPr="00511775">
        <w:rPr>
          <w:lang w:val="fr-FR" w:eastAsia="fr-FR" w:bidi="fr-FR"/>
        </w:rPr>
        <w:t>sens</w:t>
      </w:r>
      <w:r>
        <w:rPr>
          <w:lang w:val="fr-FR" w:eastAsia="fr-FR" w:bidi="fr-FR"/>
        </w:rPr>
        <w:t> »</w:t>
      </w:r>
      <w:r w:rsidRPr="00511775">
        <w:rPr>
          <w:lang w:val="fr-FR" w:eastAsia="fr-FR" w:bidi="fr-FR"/>
        </w:rPr>
        <w:t xml:space="preserve"> le signifié conceptuel d’une e</w:t>
      </w:r>
      <w:r w:rsidRPr="00511775">
        <w:rPr>
          <w:lang w:val="fr-FR" w:eastAsia="fr-FR" w:bidi="fr-FR"/>
        </w:rPr>
        <w:t>x</w:t>
      </w:r>
      <w:r w:rsidRPr="00511775">
        <w:rPr>
          <w:lang w:val="fr-FR" w:eastAsia="fr-FR" w:bidi="fr-FR"/>
        </w:rPr>
        <w:t xml:space="preserve">pression et </w:t>
      </w:r>
      <w:r>
        <w:rPr>
          <w:lang w:val="fr-FR" w:eastAsia="fr-FR" w:bidi="fr-FR"/>
        </w:rPr>
        <w:t>« </w:t>
      </w:r>
      <w:r w:rsidRPr="00511775">
        <w:rPr>
          <w:lang w:val="fr-FR" w:eastAsia="fr-FR" w:bidi="fr-FR"/>
        </w:rPr>
        <w:t>référence</w:t>
      </w:r>
      <w:r>
        <w:rPr>
          <w:lang w:val="fr-FR" w:eastAsia="fr-FR" w:bidi="fr-FR"/>
        </w:rPr>
        <w:t> »</w:t>
      </w:r>
      <w:r w:rsidRPr="00511775">
        <w:rPr>
          <w:lang w:val="fr-FR" w:eastAsia="fr-FR" w:bidi="fr-FR"/>
        </w:rPr>
        <w:t xml:space="preserve"> l’objet qu’elle désigne.</w:t>
      </w:r>
    </w:p>
  </w:footnote>
  <w:footnote w:id="5">
    <w:p w:rsidR="00A9729B" w:rsidRDefault="00A9729B" w:rsidP="00A9729B">
      <w:pPr>
        <w:pStyle w:val="Notedebasdepage"/>
      </w:pPr>
      <w:r>
        <w:rPr>
          <w:rStyle w:val="Appelnotedebasdep"/>
        </w:rPr>
        <w:t>C</w:t>
      </w:r>
      <w:r>
        <w:t xml:space="preserve"> </w:t>
      </w:r>
      <w:r>
        <w:tab/>
      </w:r>
      <w:r>
        <w:rPr>
          <w:lang w:eastAsia="fr-FR" w:bidi="fr-FR"/>
        </w:rPr>
        <w:t xml:space="preserve">Voir Kristeller, Paul, </w:t>
      </w:r>
      <w:r w:rsidRPr="009F0B0D">
        <w:rPr>
          <w:i/>
          <w:lang w:eastAsia="fr-FR" w:bidi="fr-FR"/>
        </w:rPr>
        <w:t>Renaissance Thought</w:t>
      </w:r>
      <w:r>
        <w:rPr>
          <w:lang w:eastAsia="fr-FR" w:bidi="fr-FR"/>
        </w:rPr>
        <w:t>, New York,  1961.</w:t>
      </w:r>
    </w:p>
  </w:footnote>
  <w:footnote w:id="6">
    <w:p w:rsidR="00A9729B" w:rsidRDefault="00A9729B" w:rsidP="00A9729B">
      <w:pPr>
        <w:pStyle w:val="Notedebasdepage"/>
      </w:pPr>
      <w:r>
        <w:rPr>
          <w:rStyle w:val="Appelnotedebasdep"/>
        </w:rPr>
        <w:footnoteRef/>
      </w:r>
      <w:r>
        <w:t xml:space="preserve"> </w:t>
      </w:r>
      <w:r>
        <w:tab/>
      </w:r>
      <w:r w:rsidRPr="00511775">
        <w:rPr>
          <w:lang w:val="fr-FR" w:eastAsia="fr-FR" w:bidi="fr-FR"/>
        </w:rPr>
        <w:t>Il est important d’appliquer simultanément tous nos critères. Si le seul crit</w:t>
      </w:r>
      <w:r w:rsidRPr="00511775">
        <w:rPr>
          <w:lang w:val="fr-FR" w:eastAsia="fr-FR" w:bidi="fr-FR"/>
        </w:rPr>
        <w:t>è</w:t>
      </w:r>
      <w:r w:rsidRPr="00511775">
        <w:rPr>
          <w:lang w:val="fr-FR" w:eastAsia="fr-FR" w:bidi="fr-FR"/>
        </w:rPr>
        <w:t>re de la possibilité de modifier était appliqué, pour que l’on déclare qu’un objet quelconque est culturel, il n’est pas sûr que le système solaire ne doive éventuellement être dit cult</w:t>
      </w:r>
      <w:r w:rsidRPr="00511775">
        <w:rPr>
          <w:lang w:val="fr-FR" w:eastAsia="fr-FR" w:bidi="fr-FR"/>
        </w:rPr>
        <w:t>u</w:t>
      </w:r>
      <w:r w:rsidRPr="00511775">
        <w:rPr>
          <w:lang w:val="fr-FR" w:eastAsia="fr-FR" w:bidi="fr-FR"/>
        </w:rPr>
        <w:t>re. L’idée qu’on puisse en modifier l’agencement n’est pas contradictoire (il n’est pas un seul projet de modif</w:t>
      </w:r>
      <w:r w:rsidRPr="00511775">
        <w:rPr>
          <w:lang w:val="fr-FR" w:eastAsia="fr-FR" w:bidi="fr-FR"/>
        </w:rPr>
        <w:t>i</w:t>
      </w:r>
      <w:r w:rsidRPr="00511775">
        <w:rPr>
          <w:lang w:val="fr-FR" w:eastAsia="fr-FR" w:bidi="fr-FR"/>
        </w:rPr>
        <w:t>cation dont l’énoncé serait contradictoire par l’objet qu’il s’assigne, si ce dernier est donné empiriquement.) On ne peut cependant croire que le sy</w:t>
      </w:r>
      <w:r w:rsidRPr="00511775">
        <w:rPr>
          <w:lang w:val="fr-FR" w:eastAsia="fr-FR" w:bidi="fr-FR"/>
        </w:rPr>
        <w:t>s</w:t>
      </w:r>
      <w:r w:rsidRPr="00511775">
        <w:rPr>
          <w:lang w:val="fr-FR" w:eastAsia="fr-FR" w:bidi="fr-FR"/>
        </w:rPr>
        <w:t>tème solaire soit un produit humain. Il n’est donc pas culture. La grande di</w:t>
      </w:r>
      <w:r w:rsidRPr="00511775">
        <w:rPr>
          <w:lang w:val="fr-FR" w:eastAsia="fr-FR" w:bidi="fr-FR"/>
        </w:rPr>
        <w:t>f</w:t>
      </w:r>
      <w:r w:rsidRPr="00511775">
        <w:rPr>
          <w:lang w:val="fr-FR" w:eastAsia="fr-FR" w:bidi="fr-FR"/>
        </w:rPr>
        <w:t>ficulté que l’on éprouve à penser la nature est qu’elle est, dans sa réalité e</w:t>
      </w:r>
      <w:r w:rsidRPr="00511775">
        <w:rPr>
          <w:lang w:val="fr-FR" w:eastAsia="fr-FR" w:bidi="fr-FR"/>
        </w:rPr>
        <w:t>m</w:t>
      </w:r>
      <w:r w:rsidRPr="00511775">
        <w:rPr>
          <w:lang w:val="fr-FR" w:eastAsia="fr-FR" w:bidi="fr-FR"/>
        </w:rPr>
        <w:t>pirique l’objet d’une pratique de transformation et dans son concept, la n</w:t>
      </w:r>
      <w:r w:rsidRPr="00511775">
        <w:rPr>
          <w:lang w:val="fr-FR" w:eastAsia="fr-FR" w:bidi="fr-FR"/>
        </w:rPr>
        <w:t>é</w:t>
      </w:r>
      <w:r w:rsidRPr="00511775">
        <w:rPr>
          <w:lang w:val="fr-FR" w:eastAsia="fr-FR" w:bidi="fr-FR"/>
        </w:rPr>
        <w:t>gation de toute transformation possible.</w:t>
      </w:r>
    </w:p>
  </w:footnote>
  <w:footnote w:id="7">
    <w:p w:rsidR="00A9729B" w:rsidRDefault="00A9729B" w:rsidP="00A9729B">
      <w:pPr>
        <w:pStyle w:val="Notedebasdepage"/>
      </w:pPr>
      <w:r>
        <w:rPr>
          <w:rStyle w:val="Appelnotedebasdep"/>
        </w:rPr>
        <w:footnoteRef/>
      </w:r>
      <w:r>
        <w:t xml:space="preserve"> </w:t>
      </w:r>
      <w:r>
        <w:tab/>
      </w:r>
      <w:r w:rsidRPr="00511775">
        <w:rPr>
          <w:lang w:val="fr-FR" w:eastAsia="fr-FR" w:bidi="fr-FR"/>
        </w:rPr>
        <w:t>Ce dernier terme vise à exclure les produits qui suivent d’une seule activité de reproduction</w:t>
      </w:r>
      <w:r>
        <w:rPr>
          <w:lang w:val="fr-FR" w:eastAsia="fr-FR" w:bidi="fr-FR"/>
        </w:rPr>
        <w:t> :</w:t>
      </w:r>
      <w:r w:rsidRPr="00511775">
        <w:rPr>
          <w:lang w:val="fr-FR" w:eastAsia="fr-FR" w:bidi="fr-FR"/>
        </w:rPr>
        <w:t xml:space="preserve"> par exe</w:t>
      </w:r>
      <w:r w:rsidRPr="00511775">
        <w:rPr>
          <w:lang w:val="fr-FR" w:eastAsia="fr-FR" w:bidi="fr-FR"/>
        </w:rPr>
        <w:t>m</w:t>
      </w:r>
      <w:r w:rsidRPr="00511775">
        <w:rPr>
          <w:lang w:val="fr-FR" w:eastAsia="fr-FR" w:bidi="fr-FR"/>
        </w:rPr>
        <w:t>ple les produits d’agriculture.</w:t>
      </w:r>
    </w:p>
  </w:footnote>
  <w:footnote w:id="8">
    <w:p w:rsidR="00A9729B" w:rsidRDefault="00A9729B" w:rsidP="00A9729B">
      <w:pPr>
        <w:pStyle w:val="Notedebasdepage"/>
      </w:pPr>
      <w:r>
        <w:rPr>
          <w:rStyle w:val="Appelnotedebasdep"/>
        </w:rPr>
        <w:footnoteRef/>
      </w:r>
      <w:r>
        <w:t xml:space="preserve"> </w:t>
      </w:r>
      <w:r>
        <w:tab/>
      </w:r>
      <w:r w:rsidRPr="00511775">
        <w:rPr>
          <w:lang w:val="fr-FR" w:eastAsia="fr-FR" w:bidi="fr-FR"/>
        </w:rPr>
        <w:t>Ce terme de texte est ici employé comme un générique qui subs</w:t>
      </w:r>
      <w:r w:rsidRPr="00511775">
        <w:rPr>
          <w:lang w:val="fr-FR" w:eastAsia="fr-FR" w:bidi="fr-FR"/>
        </w:rPr>
        <w:t>u</w:t>
      </w:r>
      <w:r w:rsidRPr="00511775">
        <w:rPr>
          <w:lang w:val="fr-FR" w:eastAsia="fr-FR" w:bidi="fr-FR"/>
        </w:rPr>
        <w:t>me tout ensemble structuré et auton</w:t>
      </w:r>
      <w:r w:rsidRPr="00511775">
        <w:rPr>
          <w:lang w:val="fr-FR" w:eastAsia="fr-FR" w:bidi="fr-FR"/>
        </w:rPr>
        <w:t>o</w:t>
      </w:r>
      <w:r w:rsidRPr="00511775">
        <w:rPr>
          <w:lang w:val="fr-FR" w:eastAsia="fr-FR" w:bidi="fr-FR"/>
        </w:rPr>
        <w:t>me de marques (substance et forme d’expression). Une toile ou une sculpture constituent en ce sens élargi des textes culturels d’un t</w:t>
      </w:r>
      <w:r w:rsidRPr="00511775">
        <w:rPr>
          <w:lang w:val="fr-FR" w:eastAsia="fr-FR" w:bidi="fr-FR"/>
        </w:rPr>
        <w:t>y</w:t>
      </w:r>
      <w:r w:rsidRPr="00511775">
        <w:rPr>
          <w:lang w:val="fr-FR" w:eastAsia="fr-FR" w:bidi="fr-FR"/>
        </w:rPr>
        <w:t>pe déterminé.</w:t>
      </w:r>
    </w:p>
  </w:footnote>
  <w:footnote w:id="9">
    <w:p w:rsidR="00A9729B" w:rsidRDefault="00A9729B" w:rsidP="00A9729B">
      <w:pPr>
        <w:pStyle w:val="Notedebasdepage"/>
      </w:pPr>
      <w:r>
        <w:rPr>
          <w:rStyle w:val="Appelnotedebasdep"/>
        </w:rPr>
        <w:footnoteRef/>
      </w:r>
      <w:r>
        <w:t xml:space="preserve"> </w:t>
      </w:r>
      <w:r>
        <w:tab/>
      </w:r>
      <w:r w:rsidRPr="00511775">
        <w:rPr>
          <w:lang w:val="fr-FR" w:eastAsia="fr-FR" w:bidi="fr-FR"/>
        </w:rPr>
        <w:t xml:space="preserve">On pourrait, en gros, entendre par </w:t>
      </w:r>
      <w:r>
        <w:rPr>
          <w:lang w:val="fr-FR" w:eastAsia="fr-FR" w:bidi="fr-FR"/>
        </w:rPr>
        <w:t>« </w:t>
      </w:r>
      <w:r w:rsidRPr="00511775">
        <w:rPr>
          <w:lang w:val="fr-FR" w:eastAsia="fr-FR" w:bidi="fr-FR"/>
        </w:rPr>
        <w:t>fait subjectif</w:t>
      </w:r>
      <w:r>
        <w:rPr>
          <w:lang w:val="fr-FR" w:eastAsia="fr-FR" w:bidi="fr-FR"/>
        </w:rPr>
        <w:t> »</w:t>
      </w:r>
      <w:r w:rsidRPr="00511775">
        <w:rPr>
          <w:lang w:val="fr-FR" w:eastAsia="fr-FR" w:bidi="fr-FR"/>
        </w:rPr>
        <w:t xml:space="preserve"> un fait dont il serait contradictoire d’affirmer qu’il existe, sans qu’au moins un sujet h</w:t>
      </w:r>
      <w:r w:rsidRPr="00511775">
        <w:rPr>
          <w:lang w:val="fr-FR" w:eastAsia="fr-FR" w:bidi="fr-FR"/>
        </w:rPr>
        <w:t>u</w:t>
      </w:r>
      <w:r w:rsidRPr="00511775">
        <w:rPr>
          <w:lang w:val="fr-FR" w:eastAsia="fr-FR" w:bidi="fr-FR"/>
        </w:rPr>
        <w:t>main n’en fasse simultanément l’expérience. Par exemple</w:t>
      </w:r>
      <w:r>
        <w:rPr>
          <w:lang w:val="fr-FR" w:eastAsia="fr-FR" w:bidi="fr-FR"/>
        </w:rPr>
        <w:t> :</w:t>
      </w:r>
      <w:r w:rsidRPr="00511775">
        <w:rPr>
          <w:lang w:val="fr-FR" w:eastAsia="fr-FR" w:bidi="fr-FR"/>
        </w:rPr>
        <w:t xml:space="preserve"> </w:t>
      </w:r>
      <w:r>
        <w:rPr>
          <w:lang w:val="fr-FR" w:eastAsia="fr-FR" w:bidi="fr-FR"/>
        </w:rPr>
        <w:t>« </w:t>
      </w:r>
      <w:r w:rsidRPr="00511775">
        <w:rPr>
          <w:lang w:val="fr-FR" w:eastAsia="fr-FR" w:bidi="fr-FR"/>
        </w:rPr>
        <w:t>telle représentation me</w:t>
      </w:r>
      <w:r w:rsidRPr="00511775">
        <w:rPr>
          <w:lang w:val="fr-FR" w:eastAsia="fr-FR" w:bidi="fr-FR"/>
        </w:rPr>
        <w:t>n</w:t>
      </w:r>
      <w:r w:rsidRPr="00511775">
        <w:rPr>
          <w:lang w:val="fr-FR" w:eastAsia="fr-FR" w:bidi="fr-FR"/>
        </w:rPr>
        <w:t>tale existe mais personne — ni même moi — ne la possède</w:t>
      </w:r>
      <w:r>
        <w:rPr>
          <w:lang w:val="fr-FR" w:eastAsia="fr-FR" w:bidi="fr-FR"/>
        </w:rPr>
        <w:t> »</w:t>
      </w:r>
      <w:r w:rsidRPr="00511775">
        <w:rPr>
          <w:lang w:val="fr-FR" w:eastAsia="fr-FR" w:bidi="fr-FR"/>
        </w:rPr>
        <w:t xml:space="preserve"> (contradicto</w:t>
      </w:r>
      <w:r w:rsidRPr="00511775">
        <w:rPr>
          <w:lang w:val="fr-FR" w:eastAsia="fr-FR" w:bidi="fr-FR"/>
        </w:rPr>
        <w:t>i</w:t>
      </w:r>
      <w:r w:rsidRPr="00511775">
        <w:rPr>
          <w:lang w:val="fr-FR" w:eastAsia="fr-FR" w:bidi="fr-FR"/>
        </w:rPr>
        <w:t>re).</w:t>
      </w:r>
    </w:p>
  </w:footnote>
  <w:footnote w:id="10">
    <w:p w:rsidR="00A9729B" w:rsidRDefault="00A9729B" w:rsidP="00A9729B">
      <w:pPr>
        <w:pStyle w:val="Notedebasdepage"/>
      </w:pPr>
      <w:r>
        <w:rPr>
          <w:rStyle w:val="Appelnotedebasdep"/>
        </w:rPr>
        <w:footnoteRef/>
      </w:r>
      <w:r>
        <w:t xml:space="preserve"> </w:t>
      </w:r>
      <w:r>
        <w:tab/>
      </w:r>
      <w:r w:rsidRPr="00511775">
        <w:rPr>
          <w:lang w:val="fr-FR" w:eastAsia="fr-FR" w:bidi="fr-FR"/>
        </w:rPr>
        <w:t>Dans l’état actuel de la reche</w:t>
      </w:r>
      <w:r w:rsidRPr="00511775">
        <w:rPr>
          <w:lang w:val="fr-FR" w:eastAsia="fr-FR" w:bidi="fr-FR"/>
        </w:rPr>
        <w:t>r</w:t>
      </w:r>
      <w:r w:rsidRPr="00511775">
        <w:rPr>
          <w:lang w:val="fr-FR" w:eastAsia="fr-FR" w:bidi="fr-FR"/>
        </w:rPr>
        <w:t>che, il est douteux que l’application de l’informatique à des textes produise autre chose que des dénombr</w:t>
      </w:r>
      <w:r w:rsidRPr="00511775">
        <w:rPr>
          <w:lang w:val="fr-FR" w:eastAsia="fr-FR" w:bidi="fr-FR"/>
        </w:rPr>
        <w:t>e</w:t>
      </w:r>
      <w:r w:rsidRPr="00511775">
        <w:rPr>
          <w:lang w:val="fr-FR" w:eastAsia="fr-FR" w:bidi="fr-FR"/>
        </w:rPr>
        <w:t>ments ou des inventaires.</w:t>
      </w:r>
    </w:p>
  </w:footnote>
  <w:footnote w:id="11">
    <w:p w:rsidR="00A9729B" w:rsidRDefault="00A9729B" w:rsidP="00A9729B">
      <w:pPr>
        <w:pStyle w:val="Notedebasdepage"/>
      </w:pPr>
      <w:r>
        <w:rPr>
          <w:rStyle w:val="Appelnotedebasdep"/>
        </w:rPr>
        <w:t>E</w:t>
      </w:r>
      <w:r>
        <w:t xml:space="preserve"> </w:t>
      </w:r>
      <w:r>
        <w:tab/>
      </w:r>
      <w:r>
        <w:rPr>
          <w:lang w:eastAsia="fr-FR" w:bidi="fr-FR"/>
        </w:rPr>
        <w:t>« Le signe, l'image servant au signe, possède une éte</w:t>
      </w:r>
      <w:r>
        <w:rPr>
          <w:lang w:eastAsia="fr-FR" w:bidi="fr-FR"/>
        </w:rPr>
        <w:t>n</w:t>
      </w:r>
      <w:r>
        <w:rPr>
          <w:lang w:eastAsia="fr-FR" w:bidi="fr-FR"/>
        </w:rPr>
        <w:t>due qui se déroule dans une seule dimension, celle du temps, qui est linéaire. » C'est là le s</w:t>
      </w:r>
      <w:r>
        <w:rPr>
          <w:lang w:eastAsia="fr-FR" w:bidi="fr-FR"/>
        </w:rPr>
        <w:t>e</w:t>
      </w:r>
      <w:r>
        <w:rPr>
          <w:lang w:eastAsia="fr-FR" w:bidi="fr-FR"/>
        </w:rPr>
        <w:t>cond principe de la théorie saussurienne du signe (le premier de ces princ</w:t>
      </w:r>
      <w:r>
        <w:rPr>
          <w:lang w:eastAsia="fr-FR" w:bidi="fr-FR"/>
        </w:rPr>
        <w:t>i</w:t>
      </w:r>
      <w:r>
        <w:rPr>
          <w:lang w:eastAsia="fr-FR" w:bidi="fr-FR"/>
        </w:rPr>
        <w:t>pes est évidemment celui de l'arbitraire du signe). Pour n</w:t>
      </w:r>
      <w:r>
        <w:rPr>
          <w:lang w:eastAsia="fr-FR" w:bidi="fr-FR"/>
        </w:rPr>
        <w:t>o</w:t>
      </w:r>
      <w:r>
        <w:rPr>
          <w:lang w:eastAsia="fr-FR" w:bidi="fr-FR"/>
        </w:rPr>
        <w:t xml:space="preserve">tre citation, voir Godel, Robert, Les sources manuscrites du </w:t>
      </w:r>
      <w:r w:rsidRPr="009F0B0D">
        <w:rPr>
          <w:i/>
          <w:lang w:eastAsia="fr-FR" w:bidi="fr-FR"/>
        </w:rPr>
        <w:t>Cours de Linguistique générale</w:t>
      </w:r>
      <w:r>
        <w:rPr>
          <w:lang w:eastAsia="fr-FR" w:bidi="fr-FR"/>
        </w:rPr>
        <w:t xml:space="preserve"> de Ferdinand de Saussure, Genève, Librairie Droz et Paris, L</w:t>
      </w:r>
      <w:r>
        <w:rPr>
          <w:lang w:eastAsia="fr-FR" w:bidi="fr-FR"/>
        </w:rPr>
        <w:t>i</w:t>
      </w:r>
      <w:r>
        <w:rPr>
          <w:lang w:eastAsia="fr-FR" w:bidi="fr-FR"/>
        </w:rPr>
        <w:t>brairie Minard, 1957. p. 83.</w:t>
      </w:r>
    </w:p>
  </w:footnote>
  <w:footnote w:id="12">
    <w:p w:rsidR="00A9729B" w:rsidRDefault="00A9729B" w:rsidP="00A9729B">
      <w:pPr>
        <w:pStyle w:val="Notedebasdepage"/>
      </w:pPr>
      <w:r>
        <w:rPr>
          <w:rStyle w:val="Appelnotedebasdep"/>
        </w:rPr>
        <w:t>F</w:t>
      </w:r>
      <w:r>
        <w:t xml:space="preserve"> </w:t>
      </w:r>
      <w:r>
        <w:tab/>
      </w:r>
      <w:r>
        <w:rPr>
          <w:lang w:eastAsia="fr-FR" w:bidi="fr-FR"/>
        </w:rPr>
        <w:t xml:space="preserve">Kristeva, Julia, Semeiotikè, </w:t>
      </w:r>
      <w:r w:rsidRPr="009F0B0D">
        <w:rPr>
          <w:i/>
          <w:lang w:eastAsia="fr-FR" w:bidi="fr-FR"/>
        </w:rPr>
        <w:t>Recherches pour une sém</w:t>
      </w:r>
      <w:r w:rsidRPr="009F0B0D">
        <w:rPr>
          <w:i/>
          <w:lang w:eastAsia="fr-FR" w:bidi="fr-FR"/>
        </w:rPr>
        <w:t>a</w:t>
      </w:r>
      <w:r w:rsidRPr="009F0B0D">
        <w:rPr>
          <w:i/>
          <w:lang w:eastAsia="fr-FR" w:bidi="fr-FR"/>
        </w:rPr>
        <w:t>nalyse</w:t>
      </w:r>
      <w:r>
        <w:rPr>
          <w:lang w:eastAsia="fr-FR" w:bidi="fr-FR"/>
        </w:rPr>
        <w:t>, Paris, Seuil, 1969.</w:t>
      </w:r>
    </w:p>
  </w:footnote>
  <w:footnote w:id="13">
    <w:p w:rsidR="00A9729B" w:rsidRDefault="00A9729B">
      <w:pPr>
        <w:pStyle w:val="Notedebasdepage"/>
      </w:pPr>
      <w:r>
        <w:rPr>
          <w:rStyle w:val="Appelnotedebasdep"/>
        </w:rPr>
        <w:footnoteRef/>
      </w:r>
      <w:r>
        <w:t xml:space="preserve"> </w:t>
      </w:r>
      <w:r>
        <w:tab/>
      </w:r>
      <w:r w:rsidRPr="00AB71A5">
        <w:rPr>
          <w:lang w:eastAsia="fr-FR" w:bidi="fr-FR"/>
        </w:rPr>
        <w:t>Nous devons noter que pl</w:t>
      </w:r>
      <w:r w:rsidRPr="00AB71A5">
        <w:rPr>
          <w:lang w:eastAsia="fr-FR" w:bidi="fr-FR"/>
        </w:rPr>
        <w:t>u</w:t>
      </w:r>
      <w:r w:rsidRPr="00AB71A5">
        <w:rPr>
          <w:lang w:eastAsia="fr-FR" w:bidi="fr-FR"/>
        </w:rPr>
        <w:t>sieurs des thèses de Kristeva — celles qui portent sur l’intertextualité, par ex. — sont assez rapprochées des nôtres. Essentie</w:t>
      </w:r>
      <w:r w:rsidRPr="00AB71A5">
        <w:rPr>
          <w:lang w:eastAsia="fr-FR" w:bidi="fr-FR"/>
        </w:rPr>
        <w:t>l</w:t>
      </w:r>
      <w:r w:rsidRPr="00AB71A5">
        <w:rPr>
          <w:lang w:eastAsia="fr-FR" w:bidi="fr-FR"/>
        </w:rPr>
        <w:t xml:space="preserve">lement, la différence résiderait en ceci : l’intervention de considération d’ordre quantitatif nous conduit à voir un </w:t>
      </w:r>
      <w:r w:rsidRPr="00AB71A5">
        <w:t>pr</w:t>
      </w:r>
      <w:r w:rsidRPr="00AB71A5">
        <w:t>o</w:t>
      </w:r>
      <w:r w:rsidRPr="00AB71A5">
        <w:t>blème</w:t>
      </w:r>
      <w:r w:rsidRPr="00AB71A5">
        <w:rPr>
          <w:lang w:eastAsia="fr-FR" w:bidi="fr-FR"/>
        </w:rPr>
        <w:t xml:space="preserve"> culturel de grande conséquence dans ce que Kristeva se borne à décr</w:t>
      </w:r>
      <w:r w:rsidRPr="00AB71A5">
        <w:rPr>
          <w:lang w:eastAsia="fr-FR" w:bidi="fr-FR"/>
        </w:rPr>
        <w:t>i</w:t>
      </w:r>
      <w:r w:rsidRPr="00AB71A5">
        <w:rPr>
          <w:lang w:eastAsia="fr-FR" w:bidi="fr-FR"/>
        </w:rPr>
        <w:t xml:space="preserve">re comme un </w:t>
      </w:r>
      <w:r w:rsidRPr="00AB71A5">
        <w:t>fait.</w:t>
      </w:r>
    </w:p>
  </w:footnote>
  <w:footnote w:id="14">
    <w:p w:rsidR="00A9729B" w:rsidRDefault="00A9729B" w:rsidP="00A9729B">
      <w:pPr>
        <w:pStyle w:val="Notedebasdepage"/>
      </w:pPr>
      <w:r>
        <w:rPr>
          <w:rStyle w:val="Appelnotedebasdep"/>
        </w:rPr>
        <w:footnoteRef/>
      </w:r>
      <w:r>
        <w:t xml:space="preserve"> </w:t>
      </w:r>
      <w:r>
        <w:tab/>
      </w:r>
      <w:r w:rsidRPr="009079EE">
        <w:t>Ceci est assez consternant</w:t>
      </w:r>
      <w:r>
        <w:t> </w:t>
      </w:r>
      <w:r w:rsidRPr="009079EE">
        <w:t>: Wittgenstein écrit en allemand.</w:t>
      </w:r>
    </w:p>
  </w:footnote>
  <w:footnote w:id="15">
    <w:p w:rsidR="00A9729B" w:rsidRDefault="00A9729B" w:rsidP="00A9729B">
      <w:pPr>
        <w:pStyle w:val="Notedebasdepage"/>
      </w:pPr>
      <w:r>
        <w:rPr>
          <w:rStyle w:val="Appelnotedebasdep"/>
        </w:rPr>
        <w:footnoteRef/>
      </w:r>
      <w:r>
        <w:t xml:space="preserve"> </w:t>
      </w:r>
      <w:r>
        <w:tab/>
      </w:r>
      <w:r w:rsidRPr="00511775">
        <w:rPr>
          <w:lang w:val="fr-FR" w:eastAsia="fr-FR" w:bidi="fr-FR"/>
        </w:rPr>
        <w:t xml:space="preserve">Et encore, il s’agit d’un nom propre en passe de devenir commun </w:t>
      </w:r>
      <w:r w:rsidRPr="00FB4CB3">
        <w:rPr>
          <w:lang w:val="fr-FR" w:eastAsia="fr-FR" w:bidi="fr-FR"/>
        </w:rPr>
        <w:t>« </w:t>
      </w:r>
      <w:r w:rsidRPr="00FB4CB3">
        <w:rPr>
          <w:i/>
          <w:iCs/>
        </w:rPr>
        <w:t>Markov-process</w:t>
      </w:r>
      <w:r w:rsidRPr="00FB4CB3">
        <w:rPr>
          <w:lang w:val="fr-FR" w:eastAsia="fr-FR" w:bidi="fr-FR"/>
        </w:rPr>
        <w:t> ».</w:t>
      </w:r>
    </w:p>
  </w:footnote>
  <w:footnote w:id="16">
    <w:p w:rsidR="00A9729B" w:rsidRDefault="00A9729B" w:rsidP="00A9729B">
      <w:pPr>
        <w:pStyle w:val="Notedebasdepage"/>
      </w:pPr>
      <w:r>
        <w:rPr>
          <w:rStyle w:val="Appelnotedebasdep"/>
        </w:rPr>
        <w:footnoteRef/>
      </w:r>
      <w:r>
        <w:t xml:space="preserve"> </w:t>
      </w:r>
      <w:r>
        <w:tab/>
      </w:r>
      <w:r w:rsidRPr="00511775">
        <w:rPr>
          <w:lang w:val="fr-FR" w:eastAsia="fr-FR" w:bidi="fr-FR"/>
        </w:rPr>
        <w:t xml:space="preserve">Nous sommes cependant loin de penser que les </w:t>
      </w:r>
      <w:r w:rsidRPr="00FB4CB3">
        <w:rPr>
          <w:i/>
          <w:iCs/>
        </w:rPr>
        <w:t>concepts</w:t>
      </w:r>
      <w:r w:rsidRPr="00511775">
        <w:rPr>
          <w:lang w:val="fr-FR" w:eastAsia="fr-FR" w:bidi="fr-FR"/>
        </w:rPr>
        <w:t xml:space="preserve"> utilisés par Chomsky ne sont pas sédime</w:t>
      </w:r>
      <w:r w:rsidRPr="00511775">
        <w:rPr>
          <w:lang w:val="fr-FR" w:eastAsia="fr-FR" w:bidi="fr-FR"/>
        </w:rPr>
        <w:t>n</w:t>
      </w:r>
      <w:r w:rsidRPr="00511775">
        <w:rPr>
          <w:lang w:val="fr-FR" w:eastAsia="fr-FR" w:bidi="fr-FR"/>
        </w:rPr>
        <w:t>tés.</w:t>
      </w:r>
    </w:p>
  </w:footnote>
  <w:footnote w:id="17">
    <w:p w:rsidR="00A9729B" w:rsidRDefault="00A9729B" w:rsidP="00A9729B">
      <w:pPr>
        <w:pStyle w:val="Notedebasdepage"/>
      </w:pPr>
      <w:r>
        <w:rPr>
          <w:rStyle w:val="Appelnotedebasdep"/>
        </w:rPr>
        <w:t>G</w:t>
      </w:r>
      <w:r>
        <w:t xml:space="preserve"> </w:t>
      </w:r>
      <w:r>
        <w:tab/>
      </w:r>
      <w:r>
        <w:rPr>
          <w:lang w:eastAsia="fr-FR" w:bidi="fr-FR"/>
        </w:rPr>
        <w:t>Robinet, André, Courte introduction aux relations de la phil</w:t>
      </w:r>
      <w:r>
        <w:rPr>
          <w:lang w:eastAsia="fr-FR" w:bidi="fr-FR"/>
        </w:rPr>
        <w:t>o</w:t>
      </w:r>
      <w:r>
        <w:rPr>
          <w:lang w:eastAsia="fr-FR" w:bidi="fr-FR"/>
        </w:rPr>
        <w:t xml:space="preserve">sophie avec l'informatique, </w:t>
      </w:r>
      <w:r w:rsidRPr="009F0B0D">
        <w:rPr>
          <w:i/>
          <w:lang w:eastAsia="fr-FR" w:bidi="fr-FR"/>
        </w:rPr>
        <w:t>Dialectica</w:t>
      </w:r>
      <w:r>
        <w:rPr>
          <w:lang w:eastAsia="fr-FR" w:bidi="fr-FR"/>
        </w:rPr>
        <w:t>, vol. 25, fasc.  3-4,  1971.</w:t>
      </w:r>
    </w:p>
  </w:footnote>
  <w:footnote w:id="18">
    <w:p w:rsidR="00A9729B" w:rsidRDefault="00A9729B" w:rsidP="00A9729B">
      <w:pPr>
        <w:pStyle w:val="Notedebasdepage"/>
      </w:pPr>
      <w:r>
        <w:rPr>
          <w:rStyle w:val="Appelnotedebasdep"/>
        </w:rPr>
        <w:footnoteRef/>
      </w:r>
      <w:r>
        <w:t xml:space="preserve"> </w:t>
      </w:r>
      <w:r>
        <w:tab/>
      </w:r>
      <w:r w:rsidRPr="00511775">
        <w:rPr>
          <w:lang w:val="fr-FR" w:eastAsia="fr-FR" w:bidi="fr-FR"/>
        </w:rPr>
        <w:t xml:space="preserve">La parenthèse </w:t>
      </w:r>
      <w:r>
        <w:rPr>
          <w:lang w:val="fr-FR" w:eastAsia="fr-FR" w:bidi="fr-FR"/>
        </w:rPr>
        <w:t>« </w:t>
      </w:r>
      <w:r w:rsidRPr="00511775">
        <w:rPr>
          <w:lang w:val="fr-FR" w:eastAsia="fr-FR" w:bidi="fr-FR"/>
        </w:rPr>
        <w:t>(de l’interdit majeur)</w:t>
      </w:r>
      <w:r>
        <w:rPr>
          <w:lang w:val="fr-FR" w:eastAsia="fr-FR" w:bidi="fr-FR"/>
        </w:rPr>
        <w:t> »</w:t>
      </w:r>
      <w:r w:rsidRPr="00511775">
        <w:rPr>
          <w:lang w:val="fr-FR" w:eastAsia="fr-FR" w:bidi="fr-FR"/>
        </w:rPr>
        <w:t xml:space="preserve"> semblerait nous autoriser à co</w:t>
      </w:r>
      <w:r w:rsidRPr="00511775">
        <w:rPr>
          <w:lang w:val="fr-FR" w:eastAsia="fr-FR" w:bidi="fr-FR"/>
        </w:rPr>
        <w:t>u</w:t>
      </w:r>
      <w:r w:rsidRPr="00511775">
        <w:rPr>
          <w:lang w:val="fr-FR" w:eastAsia="fr-FR" w:bidi="fr-FR"/>
        </w:rPr>
        <w:t>pler au nom de Freud, celui de Lévi-Strauss, dont les travaux sur la pr</w:t>
      </w:r>
      <w:r w:rsidRPr="00511775">
        <w:rPr>
          <w:lang w:val="fr-FR" w:eastAsia="fr-FR" w:bidi="fr-FR"/>
        </w:rPr>
        <w:t>o</w:t>
      </w:r>
      <w:r w:rsidRPr="00511775">
        <w:rPr>
          <w:lang w:val="fr-FR" w:eastAsia="fr-FR" w:bidi="fr-FR"/>
        </w:rPr>
        <w:t>hibition de l’inceste sont bien connus du public intellectuel français. Nous y reno</w:t>
      </w:r>
      <w:r w:rsidRPr="00511775">
        <w:rPr>
          <w:lang w:val="fr-FR" w:eastAsia="fr-FR" w:bidi="fr-FR"/>
        </w:rPr>
        <w:t>n</w:t>
      </w:r>
      <w:r w:rsidRPr="00511775">
        <w:rPr>
          <w:lang w:val="fr-FR" w:eastAsia="fr-FR" w:bidi="fr-FR"/>
        </w:rPr>
        <w:t>çons pour ne pas compliquer davantage notre r</w:t>
      </w:r>
      <w:r w:rsidRPr="00511775">
        <w:rPr>
          <w:lang w:val="fr-FR" w:eastAsia="fr-FR" w:bidi="fr-FR"/>
        </w:rPr>
        <w:t>e</w:t>
      </w:r>
      <w:r w:rsidRPr="00511775">
        <w:rPr>
          <w:lang w:val="fr-FR" w:eastAsia="fr-FR" w:bidi="fr-FR"/>
        </w:rPr>
        <w:t>formulation.</w:t>
      </w:r>
    </w:p>
  </w:footnote>
  <w:footnote w:id="19">
    <w:p w:rsidR="00A9729B" w:rsidRDefault="00A9729B" w:rsidP="00A9729B">
      <w:pPr>
        <w:pStyle w:val="Notedebasdepage"/>
      </w:pPr>
      <w:r>
        <w:rPr>
          <w:rStyle w:val="Appelnotedebasdep"/>
        </w:rPr>
        <w:footnoteRef/>
      </w:r>
      <w:r>
        <w:t xml:space="preserve"> </w:t>
      </w:r>
      <w:r>
        <w:tab/>
      </w:r>
      <w:r w:rsidRPr="00511775">
        <w:rPr>
          <w:lang w:val="fr-FR" w:eastAsia="fr-FR" w:bidi="fr-FR"/>
        </w:rPr>
        <w:t xml:space="preserve">Il doit être entendu que dans cette reformulation, nous employons les mots </w:t>
      </w:r>
      <w:r>
        <w:rPr>
          <w:lang w:val="fr-FR" w:eastAsia="fr-FR" w:bidi="fr-FR"/>
        </w:rPr>
        <w:t>« </w:t>
      </w:r>
      <w:r w:rsidRPr="00511775">
        <w:rPr>
          <w:lang w:val="fr-FR" w:eastAsia="fr-FR" w:bidi="fr-FR"/>
        </w:rPr>
        <w:t>Kristeva</w:t>
      </w:r>
      <w:r>
        <w:rPr>
          <w:lang w:val="fr-FR" w:eastAsia="fr-FR" w:bidi="fr-FR"/>
        </w:rPr>
        <w:t> »</w:t>
      </w:r>
      <w:r w:rsidRPr="00511775">
        <w:rPr>
          <w:lang w:val="fr-FR" w:eastAsia="fr-FR" w:bidi="fr-FR"/>
        </w:rPr>
        <w:t xml:space="preserve">, </w:t>
      </w:r>
      <w:r>
        <w:rPr>
          <w:lang w:val="fr-FR" w:eastAsia="fr-FR" w:bidi="fr-FR"/>
        </w:rPr>
        <w:t>« </w:t>
      </w:r>
      <w:r w:rsidRPr="00511775">
        <w:rPr>
          <w:lang w:val="fr-FR" w:eastAsia="fr-FR" w:bidi="fr-FR"/>
        </w:rPr>
        <w:t>Sollers</w:t>
      </w:r>
      <w:r>
        <w:rPr>
          <w:lang w:val="fr-FR" w:eastAsia="fr-FR" w:bidi="fr-FR"/>
        </w:rPr>
        <w:t> »</w:t>
      </w:r>
      <w:r w:rsidRPr="00511775">
        <w:rPr>
          <w:lang w:val="fr-FR" w:eastAsia="fr-FR" w:bidi="fr-FR"/>
        </w:rPr>
        <w:t xml:space="preserve">, </w:t>
      </w:r>
      <w:r>
        <w:rPr>
          <w:lang w:val="fr-FR" w:eastAsia="fr-FR" w:bidi="fr-FR"/>
        </w:rPr>
        <w:t>« </w:t>
      </w:r>
      <w:r w:rsidRPr="00511775">
        <w:rPr>
          <w:lang w:val="fr-FR" w:eastAsia="fr-FR" w:bidi="fr-FR"/>
        </w:rPr>
        <w:t>Dante</w:t>
      </w:r>
      <w:r>
        <w:rPr>
          <w:lang w:val="fr-FR" w:eastAsia="fr-FR" w:bidi="fr-FR"/>
        </w:rPr>
        <w:t> »</w:t>
      </w:r>
      <w:r w:rsidRPr="00511775">
        <w:rPr>
          <w:lang w:val="fr-FR" w:eastAsia="fr-FR" w:bidi="fr-FR"/>
        </w:rPr>
        <w:t>, pour faire court. Pour être véritablement correcte, notre reformulation devrait prendre la forme suivante</w:t>
      </w:r>
      <w:r>
        <w:rPr>
          <w:lang w:val="fr-FR" w:eastAsia="fr-FR" w:bidi="fr-FR"/>
        </w:rPr>
        <w:t> :</w:t>
      </w:r>
      <w:r w:rsidRPr="00511775">
        <w:rPr>
          <w:lang w:val="fr-FR" w:eastAsia="fr-FR" w:bidi="fr-FR"/>
        </w:rPr>
        <w:t xml:space="preserve"> </w:t>
      </w:r>
      <w:r>
        <w:rPr>
          <w:lang w:val="fr-FR" w:eastAsia="fr-FR" w:bidi="fr-FR"/>
        </w:rPr>
        <w:t>« </w:t>
      </w:r>
      <w:r w:rsidRPr="00511775">
        <w:rPr>
          <w:lang w:val="fr-FR" w:eastAsia="fr-FR" w:bidi="fr-FR"/>
        </w:rPr>
        <w:t>le di</w:t>
      </w:r>
      <w:r w:rsidRPr="00511775">
        <w:rPr>
          <w:lang w:val="fr-FR" w:eastAsia="fr-FR" w:bidi="fr-FR"/>
        </w:rPr>
        <w:t>s</w:t>
      </w:r>
      <w:r w:rsidRPr="00511775">
        <w:rPr>
          <w:lang w:val="fr-FR" w:eastAsia="fr-FR" w:bidi="fr-FR"/>
        </w:rPr>
        <w:t>cours de Kristeva a pour objet le discours de Sollers qui a pour objet le di</w:t>
      </w:r>
      <w:r w:rsidRPr="00511775">
        <w:rPr>
          <w:lang w:val="fr-FR" w:eastAsia="fr-FR" w:bidi="fr-FR"/>
        </w:rPr>
        <w:t>s</w:t>
      </w:r>
      <w:r w:rsidRPr="00511775">
        <w:rPr>
          <w:lang w:val="fr-FR" w:eastAsia="fr-FR" w:bidi="fr-FR"/>
        </w:rPr>
        <w:t>cours de Da</w:t>
      </w:r>
      <w:r w:rsidRPr="00511775">
        <w:rPr>
          <w:lang w:val="fr-FR" w:eastAsia="fr-FR" w:bidi="fr-FR"/>
        </w:rPr>
        <w:t>n</w:t>
      </w:r>
      <w:r w:rsidRPr="00511775">
        <w:rPr>
          <w:lang w:val="fr-FR" w:eastAsia="fr-FR" w:bidi="fr-FR"/>
        </w:rPr>
        <w:t>te...</w:t>
      </w:r>
      <w:r>
        <w:rPr>
          <w:lang w:val="fr-FR" w:eastAsia="fr-FR" w:bidi="fr-FR"/>
        </w:rPr>
        <w:t> »</w:t>
      </w:r>
      <w:r w:rsidRPr="00511775">
        <w:rPr>
          <w:lang w:val="fr-FR" w:eastAsia="fr-FR" w:bidi="fr-FR"/>
        </w:rPr>
        <w:t xml:space="preserve"> où, par le moyen de l’équivalent (ambiguë) </w:t>
      </w:r>
      <w:r>
        <w:rPr>
          <w:lang w:val="fr-FR" w:eastAsia="fr-FR" w:bidi="fr-FR"/>
        </w:rPr>
        <w:t>« </w:t>
      </w:r>
      <w:r w:rsidRPr="00511775">
        <w:rPr>
          <w:lang w:val="fr-FR" w:eastAsia="fr-FR" w:bidi="fr-FR"/>
        </w:rPr>
        <w:t>avoir pour objet avoir = pour contenu</w:t>
      </w:r>
      <w:r>
        <w:rPr>
          <w:lang w:val="fr-FR" w:eastAsia="fr-FR" w:bidi="fr-FR"/>
        </w:rPr>
        <w:t> »</w:t>
      </w:r>
      <w:r w:rsidRPr="00511775">
        <w:rPr>
          <w:lang w:val="fr-FR" w:eastAsia="fr-FR" w:bidi="fr-FR"/>
        </w:rPr>
        <w:t xml:space="preserve">, on peut tirer la forme problématique </w:t>
      </w:r>
      <w:r>
        <w:rPr>
          <w:lang w:val="fr-FR" w:eastAsia="fr-FR" w:bidi="fr-FR"/>
        </w:rPr>
        <w:t>« </w:t>
      </w:r>
      <w:r w:rsidRPr="00511775">
        <w:rPr>
          <w:lang w:val="fr-FR" w:eastAsia="fr-FR" w:bidi="fr-FR"/>
        </w:rPr>
        <w:t>le di</w:t>
      </w:r>
      <w:r w:rsidRPr="00511775">
        <w:rPr>
          <w:lang w:val="fr-FR" w:eastAsia="fr-FR" w:bidi="fr-FR"/>
        </w:rPr>
        <w:t>s</w:t>
      </w:r>
      <w:r w:rsidRPr="00511775">
        <w:rPr>
          <w:lang w:val="fr-FR" w:eastAsia="fr-FR" w:bidi="fr-FR"/>
        </w:rPr>
        <w:t>cours de Kristeva a pour contenu le discours de Sollers qui a pour contenu le discours de Dante...</w:t>
      </w:r>
      <w:r>
        <w:rPr>
          <w:lang w:val="fr-FR" w:eastAsia="fr-FR" w:bidi="fr-FR"/>
        </w:rPr>
        <w:t> »</w:t>
      </w:r>
      <w:r w:rsidRPr="00511775">
        <w:rPr>
          <w:lang w:val="fr-FR" w:eastAsia="fr-FR" w:bidi="fr-FR"/>
        </w:rPr>
        <w:t>. Cette note est de la plus grande impo</w:t>
      </w:r>
      <w:r w:rsidRPr="00511775">
        <w:rPr>
          <w:lang w:val="fr-FR" w:eastAsia="fr-FR" w:bidi="fr-FR"/>
        </w:rPr>
        <w:t>r</w:t>
      </w:r>
      <w:r w:rsidRPr="00511775">
        <w:rPr>
          <w:lang w:val="fr-FR" w:eastAsia="fr-FR" w:bidi="fr-FR"/>
        </w:rPr>
        <w:t>tance.</w:t>
      </w:r>
    </w:p>
  </w:footnote>
  <w:footnote w:id="20">
    <w:p w:rsidR="00A9729B" w:rsidRDefault="00A9729B">
      <w:pPr>
        <w:pStyle w:val="Notedebasdepage"/>
      </w:pPr>
      <w:r>
        <w:rPr>
          <w:rStyle w:val="Appelnotedebasdep"/>
        </w:rPr>
        <w:footnoteRef/>
      </w:r>
      <w:r>
        <w:t xml:space="preserve"> </w:t>
      </w:r>
      <w:r>
        <w:tab/>
      </w:r>
      <w:r w:rsidRPr="00AB71A5">
        <w:rPr>
          <w:lang w:eastAsia="fr-FR" w:bidi="fr-FR"/>
        </w:rPr>
        <w:t>"Le caractère spécial des désinences du parfait a été noté par les gramma</w:t>
      </w:r>
      <w:r w:rsidRPr="00AB71A5">
        <w:rPr>
          <w:lang w:eastAsia="fr-FR" w:bidi="fr-FR"/>
        </w:rPr>
        <w:t>i</w:t>
      </w:r>
      <w:r w:rsidRPr="00AB71A5">
        <w:rPr>
          <w:lang w:eastAsia="fr-FR" w:bidi="fr-FR"/>
        </w:rPr>
        <w:t>riens indiens : tandis que les autres désinences sont groupées sous le terme g</w:t>
      </w:r>
      <w:r w:rsidRPr="00AB71A5">
        <w:rPr>
          <w:lang w:eastAsia="fr-FR" w:bidi="fr-FR"/>
        </w:rPr>
        <w:t>é</w:t>
      </w:r>
      <w:r w:rsidRPr="00AB71A5">
        <w:rPr>
          <w:lang w:eastAsia="fr-FR" w:bidi="fr-FR"/>
        </w:rPr>
        <w:t xml:space="preserve">nérique de </w:t>
      </w:r>
      <w:r w:rsidRPr="00DC7B43">
        <w:rPr>
          <w:i/>
        </w:rPr>
        <w:t>sarvadhatuka</w:t>
      </w:r>
      <w:r w:rsidRPr="00AB71A5">
        <w:t>,</w:t>
      </w:r>
      <w:r w:rsidRPr="00AB71A5">
        <w:rPr>
          <w:lang w:eastAsia="fr-FR" w:bidi="fr-FR"/>
        </w:rPr>
        <w:t xml:space="preserve"> celles du parfait (et du précatif) sont nommées </w:t>
      </w:r>
      <w:r w:rsidRPr="00DC7B43">
        <w:rPr>
          <w:i/>
        </w:rPr>
        <w:t>ardhadloatuka</w:t>
      </w:r>
      <w:r w:rsidRPr="00AB71A5">
        <w:rPr>
          <w:lang w:eastAsia="fr-FR" w:bidi="fr-FR"/>
        </w:rPr>
        <w:t xml:space="preserve"> avec une série de suffixes n</w:t>
      </w:r>
      <w:r w:rsidRPr="00AB71A5">
        <w:rPr>
          <w:lang w:eastAsia="fr-FR" w:bidi="fr-FR"/>
        </w:rPr>
        <w:t>o</w:t>
      </w:r>
      <w:r w:rsidRPr="00AB71A5">
        <w:rPr>
          <w:lang w:eastAsia="fr-FR" w:bidi="fr-FR"/>
        </w:rPr>
        <w:t>minaux ; cf. Pan. III, 4 IIV,</w:t>
      </w:r>
      <w:r>
        <w:rPr>
          <w:lang w:eastAsia="fr-FR" w:bidi="fr-FR"/>
        </w:rPr>
        <w:t xml:space="preserve"> </w:t>
      </w:r>
      <w:r w:rsidRPr="00AB71A5">
        <w:rPr>
          <w:lang w:eastAsia="fr-FR" w:bidi="fr-FR"/>
        </w:rPr>
        <w:t xml:space="preserve">115. Sur l’origine nominale possible des désinences propres au parfait, voir Hirt, </w:t>
      </w:r>
      <w:r w:rsidRPr="00DC7B43">
        <w:rPr>
          <w:i/>
        </w:rPr>
        <w:t>Der indogerm. Vok</w:t>
      </w:r>
      <w:r w:rsidRPr="00DC7B43">
        <w:rPr>
          <w:i/>
        </w:rPr>
        <w:t>a</w:t>
      </w:r>
      <w:r w:rsidRPr="00DC7B43">
        <w:rPr>
          <w:i/>
        </w:rPr>
        <w:t>lismus</w:t>
      </w:r>
      <w:r w:rsidRPr="00AB71A5">
        <w:t>,</w:t>
      </w:r>
      <w:r w:rsidRPr="00AB71A5">
        <w:rPr>
          <w:lang w:eastAsia="fr-FR" w:bidi="fr-FR"/>
        </w:rPr>
        <w:t xml:space="preserve"> p. 223 (in L. Renou, </w:t>
      </w:r>
      <w:r w:rsidRPr="00DC7B43">
        <w:rPr>
          <w:i/>
        </w:rPr>
        <w:t>La valeur du parfait dans les hymnes védiques</w:t>
      </w:r>
      <w:r w:rsidRPr="00AB71A5">
        <w:t>,</w:t>
      </w:r>
      <w:r w:rsidRPr="00AB71A5">
        <w:rPr>
          <w:lang w:eastAsia="fr-FR" w:bidi="fr-FR"/>
        </w:rPr>
        <w:t xml:space="preserve"> P</w:t>
      </w:r>
      <w:r w:rsidRPr="00AB71A5">
        <w:rPr>
          <w:lang w:eastAsia="fr-FR" w:bidi="fr-FR"/>
        </w:rPr>
        <w:t>a</w:t>
      </w:r>
      <w:r w:rsidRPr="00AB71A5">
        <w:rPr>
          <w:lang w:eastAsia="fr-FR" w:bidi="fr-FR"/>
        </w:rPr>
        <w:t>ris, 1925).”</w:t>
      </w:r>
    </w:p>
  </w:footnote>
  <w:footnote w:id="21">
    <w:p w:rsidR="00A9729B" w:rsidRDefault="00A9729B" w:rsidP="00A9729B">
      <w:pPr>
        <w:pStyle w:val="Notedebasdepage"/>
      </w:pPr>
      <w:r>
        <w:rPr>
          <w:rStyle w:val="Appelnotedebasdep"/>
        </w:rPr>
        <w:footnoteRef/>
      </w:r>
      <w:r>
        <w:t xml:space="preserve"> </w:t>
      </w:r>
      <w:r>
        <w:tab/>
      </w:r>
      <w:r w:rsidRPr="00511775">
        <w:rPr>
          <w:lang w:val="fr-FR" w:eastAsia="fr-FR" w:bidi="fr-FR"/>
        </w:rPr>
        <w:t xml:space="preserve">Il ne fait aucun doute que le travail qui serait strictement </w:t>
      </w:r>
      <w:r>
        <w:rPr>
          <w:lang w:val="fr-FR" w:eastAsia="fr-FR" w:bidi="fr-FR"/>
        </w:rPr>
        <w:t>« </w:t>
      </w:r>
      <w:r w:rsidRPr="00511775">
        <w:rPr>
          <w:lang w:val="fr-FR" w:eastAsia="fr-FR" w:bidi="fr-FR"/>
        </w:rPr>
        <w:t>de premi</w:t>
      </w:r>
      <w:r w:rsidRPr="00511775">
        <w:rPr>
          <w:lang w:val="fr-FR" w:eastAsia="fr-FR" w:bidi="fr-FR"/>
        </w:rPr>
        <w:t>è</w:t>
      </w:r>
      <w:r w:rsidRPr="00511775">
        <w:rPr>
          <w:lang w:val="fr-FR" w:eastAsia="fr-FR" w:bidi="fr-FR"/>
        </w:rPr>
        <w:t>re</w:t>
      </w:r>
      <w:r>
        <w:rPr>
          <w:lang w:val="fr-FR" w:eastAsia="fr-FR" w:bidi="fr-FR"/>
        </w:rPr>
        <w:t xml:space="preserve"> </w:t>
      </w:r>
      <w:r w:rsidRPr="00511775">
        <w:rPr>
          <w:lang w:val="fr-FR" w:eastAsia="fr-FR" w:bidi="fr-FR"/>
        </w:rPr>
        <w:t>main</w:t>
      </w:r>
      <w:r>
        <w:rPr>
          <w:lang w:val="fr-FR" w:eastAsia="fr-FR" w:bidi="fr-FR"/>
        </w:rPr>
        <w:t> »</w:t>
      </w:r>
      <w:r w:rsidRPr="00511775">
        <w:rPr>
          <w:lang w:val="fr-FR" w:eastAsia="fr-FR" w:bidi="fr-FR"/>
        </w:rPr>
        <w:t xml:space="preserve"> ne constitue qu’un cas lim</w:t>
      </w:r>
      <w:r w:rsidRPr="00511775">
        <w:rPr>
          <w:lang w:val="fr-FR" w:eastAsia="fr-FR" w:bidi="fr-FR"/>
        </w:rPr>
        <w:t>i</w:t>
      </w:r>
      <w:r w:rsidRPr="00511775">
        <w:rPr>
          <w:lang w:val="fr-FR" w:eastAsia="fr-FR" w:bidi="fr-FR"/>
        </w:rPr>
        <w:t>te, jamais effectivement atteint.</w:t>
      </w:r>
    </w:p>
  </w:footnote>
  <w:footnote w:id="22">
    <w:p w:rsidR="00A9729B" w:rsidRDefault="00A9729B" w:rsidP="00A9729B">
      <w:pPr>
        <w:pStyle w:val="Notedebasdepage"/>
      </w:pPr>
      <w:r>
        <w:rPr>
          <w:rStyle w:val="Appelnotedebasdep"/>
        </w:rPr>
        <w:t>H</w:t>
      </w:r>
      <w:r>
        <w:t xml:space="preserve"> </w:t>
      </w:r>
      <w:r>
        <w:tab/>
      </w:r>
      <w:r>
        <w:rPr>
          <w:lang w:eastAsia="fr-FR" w:bidi="fr-FR"/>
        </w:rPr>
        <w:t>Le cas de Kristeva n'est, à cet égard, nullement exceptionnel. Quelques n</w:t>
      </w:r>
      <w:r>
        <w:rPr>
          <w:lang w:eastAsia="fr-FR" w:bidi="fr-FR"/>
        </w:rPr>
        <w:t>o</w:t>
      </w:r>
      <w:r>
        <w:rPr>
          <w:lang w:eastAsia="fr-FR" w:bidi="fr-FR"/>
        </w:rPr>
        <w:t>tes que Roland Houde a publiées, et sa pratique générale des textes te</w:t>
      </w:r>
      <w:r>
        <w:rPr>
          <w:lang w:eastAsia="fr-FR" w:bidi="fr-FR"/>
        </w:rPr>
        <w:t>n</w:t>
      </w:r>
      <w:r>
        <w:rPr>
          <w:lang w:eastAsia="fr-FR" w:bidi="fr-FR"/>
        </w:rPr>
        <w:t>draient à montrer que les cas de mal-citation constituent plutôt la règle que l'exception. Voir, par exemple, Houde, Roland, Lire et dél</w:t>
      </w:r>
      <w:r>
        <w:rPr>
          <w:lang w:eastAsia="fr-FR" w:bidi="fr-FR"/>
        </w:rPr>
        <w:t>i</w:t>
      </w:r>
      <w:r>
        <w:rPr>
          <w:lang w:eastAsia="fr-FR" w:bidi="fr-FR"/>
        </w:rPr>
        <w:t xml:space="preserve">re, </w:t>
      </w:r>
      <w:r w:rsidRPr="009F0B0D">
        <w:rPr>
          <w:i/>
          <w:lang w:eastAsia="fr-FR" w:bidi="fr-FR"/>
        </w:rPr>
        <w:t>Dialogue</w:t>
      </w:r>
      <w:r>
        <w:rPr>
          <w:lang w:eastAsia="fr-FR" w:bidi="fr-FR"/>
        </w:rPr>
        <w:t>, vol. II,  1972, pp.  78-85.</w:t>
      </w:r>
    </w:p>
  </w:footnote>
  <w:footnote w:id="23">
    <w:p w:rsidR="00A9729B" w:rsidRDefault="00A9729B" w:rsidP="00A9729B">
      <w:pPr>
        <w:pStyle w:val="Notedebasdepage"/>
      </w:pPr>
      <w:r>
        <w:rPr>
          <w:rStyle w:val="Appelnotedebasdep"/>
        </w:rPr>
        <w:t>I</w:t>
      </w:r>
      <w:r>
        <w:t xml:space="preserve"> </w:t>
      </w:r>
      <w:r>
        <w:tab/>
      </w:r>
      <w:r>
        <w:rPr>
          <w:lang w:eastAsia="fr-FR" w:bidi="fr-FR"/>
        </w:rPr>
        <w:t xml:space="preserve">Nous paraphrasons ici Chomsky. Voir Chomsky, Noam, </w:t>
      </w:r>
      <w:r w:rsidRPr="009F0B0D">
        <w:rPr>
          <w:i/>
          <w:lang w:eastAsia="fr-FR" w:bidi="fr-FR"/>
        </w:rPr>
        <w:t>A</w:t>
      </w:r>
      <w:r w:rsidRPr="009F0B0D">
        <w:rPr>
          <w:i/>
          <w:lang w:eastAsia="fr-FR" w:bidi="fr-FR"/>
        </w:rPr>
        <w:t>s</w:t>
      </w:r>
      <w:r w:rsidRPr="009F0B0D">
        <w:rPr>
          <w:i/>
          <w:lang w:eastAsia="fr-FR" w:bidi="fr-FR"/>
        </w:rPr>
        <w:t>pects of the Theory of Syntax</w:t>
      </w:r>
      <w:r>
        <w:rPr>
          <w:lang w:eastAsia="fr-FR" w:bidi="fr-FR"/>
        </w:rPr>
        <w:t>, Cambridge (Mass.), M.I.T. Press,  1965.</w:t>
      </w:r>
    </w:p>
  </w:footnote>
  <w:footnote w:id="24">
    <w:p w:rsidR="00A9729B" w:rsidRDefault="00A9729B" w:rsidP="00A9729B">
      <w:pPr>
        <w:pStyle w:val="Notedebasdepage"/>
      </w:pPr>
      <w:r>
        <w:rPr>
          <w:rStyle w:val="Appelnotedebasdep"/>
        </w:rPr>
        <w:footnoteRef/>
      </w:r>
      <w:r>
        <w:t xml:space="preserve"> </w:t>
      </w:r>
      <w:r>
        <w:tab/>
      </w:r>
      <w:r w:rsidRPr="00511775">
        <w:rPr>
          <w:lang w:val="fr-FR" w:eastAsia="fr-FR" w:bidi="fr-FR"/>
        </w:rPr>
        <w:t xml:space="preserve">En anglais, </w:t>
      </w:r>
      <w:r>
        <w:rPr>
          <w:lang w:val="fr-FR" w:eastAsia="fr-FR" w:bidi="fr-FR"/>
        </w:rPr>
        <w:t>« </w:t>
      </w:r>
      <w:r w:rsidRPr="00511775">
        <w:rPr>
          <w:lang w:val="fr-FR" w:eastAsia="fr-FR" w:bidi="fr-FR"/>
        </w:rPr>
        <w:t>phrases</w:t>
      </w:r>
      <w:r>
        <w:rPr>
          <w:lang w:val="fr-FR" w:eastAsia="fr-FR" w:bidi="fr-FR"/>
        </w:rPr>
        <w:t> »</w:t>
      </w:r>
      <w:r w:rsidRPr="00511775">
        <w:rPr>
          <w:lang w:val="fr-FR" w:eastAsia="fr-FR" w:bidi="fr-FR"/>
        </w:rPr>
        <w:t xml:space="preserve">, qui n’est pas équivalent au français </w:t>
      </w:r>
      <w:r>
        <w:rPr>
          <w:lang w:val="fr-FR" w:eastAsia="fr-FR" w:bidi="fr-FR"/>
        </w:rPr>
        <w:t>« </w:t>
      </w:r>
      <w:r w:rsidRPr="00511775">
        <w:rPr>
          <w:lang w:val="fr-FR" w:eastAsia="fr-FR" w:bidi="fr-FR"/>
        </w:rPr>
        <w:t>phrase</w:t>
      </w:r>
      <w:r>
        <w:rPr>
          <w:lang w:val="fr-FR" w:eastAsia="fr-FR" w:bidi="fr-FR"/>
        </w:rPr>
        <w:t> »</w:t>
      </w:r>
      <w:r w:rsidRPr="00511775">
        <w:rPr>
          <w:lang w:val="fr-FR" w:eastAsia="fr-FR" w:bidi="fr-FR"/>
        </w:rPr>
        <w:t>.</w:t>
      </w:r>
    </w:p>
  </w:footnote>
  <w:footnote w:id="25">
    <w:p w:rsidR="00A9729B" w:rsidRDefault="00A9729B" w:rsidP="00A9729B">
      <w:pPr>
        <w:pStyle w:val="Notedebasdepage"/>
      </w:pPr>
      <w:r>
        <w:rPr>
          <w:rStyle w:val="Appelnotedebasdep"/>
        </w:rPr>
        <w:t>J</w:t>
      </w:r>
      <w:r>
        <w:tab/>
      </w:r>
      <w:r>
        <w:rPr>
          <w:lang w:eastAsia="fr-FR" w:bidi="fr-FR"/>
        </w:rPr>
        <w:t>Price, Derek John de So</w:t>
      </w:r>
      <w:r>
        <w:rPr>
          <w:lang w:eastAsia="fr-FR" w:bidi="fr-FR"/>
        </w:rPr>
        <w:t>l</w:t>
      </w:r>
      <w:r>
        <w:rPr>
          <w:lang w:eastAsia="fr-FR" w:bidi="fr-FR"/>
        </w:rPr>
        <w:t xml:space="preserve">la, </w:t>
      </w:r>
      <w:r w:rsidRPr="009F0B0D">
        <w:rPr>
          <w:i/>
          <w:lang w:eastAsia="fr-FR" w:bidi="fr-FR"/>
        </w:rPr>
        <w:t>Science since Babylon</w:t>
      </w:r>
      <w:r>
        <w:rPr>
          <w:lang w:eastAsia="fr-FR" w:bidi="fr-FR"/>
        </w:rPr>
        <w:t>, Yale Univ. Press, New York, 1962.</w:t>
      </w:r>
    </w:p>
  </w:footnote>
  <w:footnote w:id="26">
    <w:p w:rsidR="00A9729B" w:rsidRDefault="00A9729B" w:rsidP="00A9729B">
      <w:pPr>
        <w:pStyle w:val="Notedebasdepage"/>
      </w:pPr>
      <w:r>
        <w:rPr>
          <w:rStyle w:val="Appelnotedebasdep"/>
        </w:rPr>
        <w:t>K</w:t>
      </w:r>
      <w:r>
        <w:t xml:space="preserve"> </w:t>
      </w:r>
      <w:r>
        <w:tab/>
      </w:r>
      <w:r>
        <w:rPr>
          <w:lang w:eastAsia="fr-FR" w:bidi="fr-FR"/>
        </w:rPr>
        <w:t xml:space="preserve">cf. Eco, U., </w:t>
      </w:r>
      <w:r w:rsidRPr="009F0B0D">
        <w:rPr>
          <w:i/>
          <w:lang w:eastAsia="fr-FR" w:bidi="fr-FR"/>
        </w:rPr>
        <w:t>op. cit.</w:t>
      </w:r>
      <w:r>
        <w:rPr>
          <w:lang w:eastAsia="fr-FR" w:bidi="fr-FR"/>
        </w:rPr>
        <w:t xml:space="preserve"> (se reporter à la note B).</w:t>
      </w:r>
    </w:p>
  </w:footnote>
  <w:footnote w:id="27">
    <w:p w:rsidR="00A9729B" w:rsidRDefault="00A9729B" w:rsidP="00A9729B">
      <w:pPr>
        <w:pStyle w:val="Notedebasdepage"/>
      </w:pPr>
      <w:r>
        <w:rPr>
          <w:rStyle w:val="Appelnotedebasdep"/>
        </w:rPr>
        <w:t>L</w:t>
      </w:r>
      <w:r>
        <w:t xml:space="preserve"> </w:t>
      </w:r>
      <w:r>
        <w:tab/>
      </w:r>
      <w:r>
        <w:rPr>
          <w:lang w:eastAsia="fr-FR" w:bidi="fr-FR"/>
        </w:rPr>
        <w:t xml:space="preserve">Eco, U., </w:t>
      </w:r>
      <w:r w:rsidRPr="009F0B0D">
        <w:rPr>
          <w:i/>
          <w:lang w:eastAsia="fr-FR" w:bidi="fr-FR"/>
        </w:rPr>
        <w:t>ibid</w:t>
      </w:r>
      <w:r>
        <w:rPr>
          <w:lang w:eastAsia="fr-FR" w:bidi="fr-FR"/>
        </w:rPr>
        <w:t>., p. 17.</w:t>
      </w:r>
    </w:p>
  </w:footnote>
  <w:footnote w:id="28">
    <w:p w:rsidR="00A9729B" w:rsidRDefault="00A9729B" w:rsidP="00A9729B">
      <w:pPr>
        <w:pStyle w:val="Notedebasdepage"/>
      </w:pPr>
      <w:r>
        <w:rPr>
          <w:rStyle w:val="Appelnotedebasdep"/>
        </w:rPr>
        <w:footnoteRef/>
      </w:r>
      <w:r>
        <w:t xml:space="preserve"> </w:t>
      </w:r>
      <w:r>
        <w:tab/>
      </w:r>
      <w:r w:rsidRPr="00511775">
        <w:rPr>
          <w:lang w:val="fr-FR" w:eastAsia="fr-FR" w:bidi="fr-FR"/>
        </w:rPr>
        <w:t>On pourrait nous objecter de la séparation des propriétés formelles (d’expressions) et matérielles (de contenu) d’un discours est parfaitement arbitra</w:t>
      </w:r>
      <w:r w:rsidRPr="00511775">
        <w:rPr>
          <w:lang w:val="fr-FR" w:eastAsia="fr-FR" w:bidi="fr-FR"/>
        </w:rPr>
        <w:t>i</w:t>
      </w:r>
      <w:r w:rsidRPr="00511775">
        <w:rPr>
          <w:lang w:val="fr-FR" w:eastAsia="fr-FR" w:bidi="fr-FR"/>
        </w:rPr>
        <w:t>re.</w:t>
      </w:r>
    </w:p>
  </w:footnote>
  <w:footnote w:id="29">
    <w:p w:rsidR="00A9729B" w:rsidRDefault="00A9729B" w:rsidP="00A9729B">
      <w:pPr>
        <w:pStyle w:val="Notedebasdepage"/>
      </w:pPr>
      <w:r>
        <w:rPr>
          <w:rStyle w:val="Appelnotedebasdep"/>
        </w:rPr>
        <w:footnoteRef/>
      </w:r>
      <w:r>
        <w:t xml:space="preserve"> </w:t>
      </w:r>
      <w:r>
        <w:tab/>
      </w:r>
      <w:r w:rsidRPr="00511775">
        <w:rPr>
          <w:lang w:val="fr-FR" w:eastAsia="fr-FR" w:bidi="fr-FR"/>
        </w:rPr>
        <w:t xml:space="preserve">Nous ne disons rien ici que de très concret. Les Mass-Média, comme leur </w:t>
      </w:r>
      <w:r w:rsidRPr="004F41A9">
        <w:rPr>
          <w:lang w:val="fr-FR" w:eastAsia="fr-FR" w:bidi="fr-FR"/>
        </w:rPr>
        <w:t>nom l’indique, entrent bien dans la catégorie que nous dénommons « le m</w:t>
      </w:r>
      <w:r w:rsidRPr="004F41A9">
        <w:rPr>
          <w:lang w:val="fr-FR" w:eastAsia="fr-FR" w:bidi="fr-FR"/>
        </w:rPr>
        <w:t>é</w:t>
      </w:r>
      <w:r w:rsidRPr="004F41A9">
        <w:rPr>
          <w:lang w:val="fr-FR" w:eastAsia="fr-FR" w:bidi="fr-FR"/>
        </w:rPr>
        <w:t xml:space="preserve">diat » et qui n’est rien d’autre que la classe des entités dont on peut dire qu’elles servent de joint </w:t>
      </w:r>
      <w:r w:rsidRPr="004F41A9">
        <w:rPr>
          <w:i/>
          <w:iCs/>
        </w:rPr>
        <w:t>entre</w:t>
      </w:r>
      <w:r w:rsidRPr="004F41A9">
        <w:rPr>
          <w:lang w:val="fr-FR" w:eastAsia="fr-FR" w:bidi="fr-FR"/>
        </w:rPr>
        <w:t xml:space="preserve"> un X et un Y. Le grand journal qu</w:t>
      </w:r>
      <w:r w:rsidRPr="004F41A9">
        <w:rPr>
          <w:lang w:val="fr-FR" w:eastAsia="fr-FR" w:bidi="fr-FR"/>
        </w:rPr>
        <w:t>o</w:t>
      </w:r>
      <w:r w:rsidRPr="004F41A9">
        <w:rPr>
          <w:lang w:val="fr-FR" w:eastAsia="fr-FR" w:bidi="fr-FR"/>
        </w:rPr>
        <w:t>tidien par exemple sert de joint entre ses lecteurs et une masse d’informations qu’il veut leur tran</w:t>
      </w:r>
      <w:r w:rsidRPr="004F41A9">
        <w:rPr>
          <w:lang w:val="fr-FR" w:eastAsia="fr-FR" w:bidi="fr-FR"/>
        </w:rPr>
        <w:t>s</w:t>
      </w:r>
      <w:r w:rsidRPr="004F41A9">
        <w:rPr>
          <w:lang w:val="fr-FR" w:eastAsia="fr-FR" w:bidi="fr-FR"/>
        </w:rPr>
        <w:t>mettre. Or peu de gens nieront que notre rapport à un grand quotidien soit di</w:t>
      </w:r>
      <w:r w:rsidRPr="004F41A9">
        <w:rPr>
          <w:lang w:val="fr-FR" w:eastAsia="fr-FR" w:bidi="fr-FR"/>
        </w:rPr>
        <w:t>f</w:t>
      </w:r>
      <w:r w:rsidRPr="004F41A9">
        <w:rPr>
          <w:lang w:val="fr-FR" w:eastAsia="fr-FR" w:bidi="fr-FR"/>
        </w:rPr>
        <w:t>férent de celui que nous venons de décrire : le journal nous apprend les no</w:t>
      </w:r>
      <w:r w:rsidRPr="004F41A9">
        <w:rPr>
          <w:lang w:val="fr-FR" w:eastAsia="fr-FR" w:bidi="fr-FR"/>
        </w:rPr>
        <w:t>u</w:t>
      </w:r>
      <w:r w:rsidRPr="004F41A9">
        <w:rPr>
          <w:lang w:val="fr-FR" w:eastAsia="fr-FR" w:bidi="fr-FR"/>
        </w:rPr>
        <w:t>velles — la médiation s’exerce — et l’on s’en débarrasse une fois qu’on l’a lu — la médiation s’abroge (est abrogée). C’aura été le grand mérite de McL</w:t>
      </w:r>
      <w:r w:rsidRPr="004F41A9">
        <w:rPr>
          <w:lang w:val="fr-FR" w:eastAsia="fr-FR" w:bidi="fr-FR"/>
        </w:rPr>
        <w:t>u</w:t>
      </w:r>
      <w:r w:rsidRPr="004F41A9">
        <w:rPr>
          <w:lang w:val="fr-FR" w:eastAsia="fr-FR" w:bidi="fr-FR"/>
        </w:rPr>
        <w:t>han de nous révéler à quel point est naïve la croyance sur laquelle repose cette pr</w:t>
      </w:r>
      <w:r w:rsidRPr="004F41A9">
        <w:rPr>
          <w:lang w:val="fr-FR" w:eastAsia="fr-FR" w:bidi="fr-FR"/>
        </w:rPr>
        <w:t>a</w:t>
      </w:r>
      <w:r w:rsidRPr="004F41A9">
        <w:rPr>
          <w:lang w:val="fr-FR" w:eastAsia="fr-FR" w:bidi="fr-FR"/>
        </w:rPr>
        <w:t>tique, en nous montrant que ce ne sont d’aucune façon les média qui existent pour les messages qu’ils transme</w:t>
      </w:r>
      <w:r w:rsidRPr="004F41A9">
        <w:rPr>
          <w:lang w:val="fr-FR" w:eastAsia="fr-FR" w:bidi="fr-FR"/>
        </w:rPr>
        <w:t>t</w:t>
      </w:r>
      <w:r w:rsidRPr="004F41A9">
        <w:rPr>
          <w:lang w:val="fr-FR" w:eastAsia="fr-FR" w:bidi="fr-FR"/>
        </w:rPr>
        <w:t>tent mais bien les messages qui existent d’une certaine façon pour les média. C’est la fo</w:t>
      </w:r>
      <w:r w:rsidRPr="004F41A9">
        <w:rPr>
          <w:lang w:val="fr-FR" w:eastAsia="fr-FR" w:bidi="fr-FR"/>
        </w:rPr>
        <w:t>r</w:t>
      </w:r>
      <w:r w:rsidRPr="004F41A9">
        <w:rPr>
          <w:lang w:val="fr-FR" w:eastAsia="fr-FR" w:bidi="fr-FR"/>
        </w:rPr>
        <w:t>me générale d’une telle ill</w:t>
      </w:r>
      <w:r w:rsidRPr="004F41A9">
        <w:rPr>
          <w:lang w:val="fr-FR" w:eastAsia="fr-FR" w:bidi="fr-FR"/>
        </w:rPr>
        <w:t>u</w:t>
      </w:r>
      <w:r w:rsidRPr="004F41A9">
        <w:rPr>
          <w:lang w:val="fr-FR" w:eastAsia="fr-FR" w:bidi="fr-FR"/>
        </w:rPr>
        <w:t xml:space="preserve">sion que nous tentons de fixer </w:t>
      </w:r>
      <w:r w:rsidRPr="004F41A9">
        <w:t>ici.</w:t>
      </w:r>
    </w:p>
  </w:footnote>
  <w:footnote w:id="30">
    <w:p w:rsidR="00A9729B" w:rsidRDefault="00A9729B" w:rsidP="00A9729B">
      <w:pPr>
        <w:pStyle w:val="Notedebasdepage"/>
      </w:pPr>
      <w:r>
        <w:rPr>
          <w:rStyle w:val="Appelnotedebasdep"/>
        </w:rPr>
        <w:t>M</w:t>
      </w:r>
      <w:r>
        <w:t xml:space="preserve"> </w:t>
      </w:r>
      <w:r>
        <w:tab/>
      </w:r>
      <w:r>
        <w:rPr>
          <w:lang w:eastAsia="fr-FR" w:bidi="fr-FR"/>
        </w:rPr>
        <w:t>On pourrait, à titre d'exemple, citer le mot de Hilbert « Au commencement ... était le signe ».</w:t>
      </w:r>
    </w:p>
  </w:footnote>
  <w:footnote w:id="31">
    <w:p w:rsidR="00A9729B" w:rsidRDefault="00A9729B" w:rsidP="00A9729B">
      <w:pPr>
        <w:pStyle w:val="Notedebasdepage"/>
      </w:pPr>
      <w:r>
        <w:rPr>
          <w:rStyle w:val="Appelnotedebasdep"/>
        </w:rPr>
        <w:t>N</w:t>
      </w:r>
      <w:r>
        <w:t xml:space="preserve"> </w:t>
      </w:r>
      <w:r>
        <w:tab/>
      </w:r>
      <w:r>
        <w:rPr>
          <w:lang w:eastAsia="fr-FR" w:bidi="fr-FR"/>
        </w:rPr>
        <w:t>On devrait, à cet égard, citer tous les livres de Roland Barthes, en comme</w:t>
      </w:r>
      <w:r>
        <w:rPr>
          <w:lang w:eastAsia="fr-FR" w:bidi="fr-FR"/>
        </w:rPr>
        <w:t>n</w:t>
      </w:r>
      <w:r>
        <w:rPr>
          <w:lang w:eastAsia="fr-FR" w:bidi="fr-FR"/>
        </w:rPr>
        <w:t xml:space="preserve">çant par </w:t>
      </w:r>
      <w:r w:rsidRPr="009F0B0D">
        <w:rPr>
          <w:i/>
          <w:lang w:eastAsia="fr-FR" w:bidi="fr-FR"/>
        </w:rPr>
        <w:t>Le degré zéro de l'écriture</w:t>
      </w:r>
      <w:r>
        <w:rPr>
          <w:lang w:eastAsia="fr-FR" w:bidi="fr-FR"/>
        </w:rPr>
        <w:t xml:space="preserve"> (Paris, Seuil, 1953) et par les </w:t>
      </w:r>
      <w:r w:rsidRPr="009F0B0D">
        <w:rPr>
          <w:i/>
          <w:lang w:eastAsia="fr-FR" w:bidi="fr-FR"/>
        </w:rPr>
        <w:t>Essais cr</w:t>
      </w:r>
      <w:r w:rsidRPr="009F0B0D">
        <w:rPr>
          <w:i/>
          <w:lang w:eastAsia="fr-FR" w:bidi="fr-FR"/>
        </w:rPr>
        <w:t>i</w:t>
      </w:r>
      <w:r w:rsidRPr="009F0B0D">
        <w:rPr>
          <w:i/>
          <w:lang w:eastAsia="fr-FR" w:bidi="fr-FR"/>
        </w:rPr>
        <w:t>tiques</w:t>
      </w:r>
      <w:r>
        <w:rPr>
          <w:lang w:eastAsia="fr-FR" w:bidi="fr-FR"/>
        </w:rPr>
        <w:t xml:space="preserve"> (Paris, Seuil,  1964).</w:t>
      </w:r>
    </w:p>
  </w:footnote>
  <w:footnote w:id="32">
    <w:p w:rsidR="00A9729B" w:rsidRDefault="00A9729B" w:rsidP="00A9729B">
      <w:pPr>
        <w:pStyle w:val="Notedebasdepage"/>
      </w:pPr>
      <w:r>
        <w:rPr>
          <w:rStyle w:val="Appelnotedebasdep"/>
        </w:rPr>
        <w:t>O</w:t>
      </w:r>
      <w:r>
        <w:t xml:space="preserve"> </w:t>
      </w:r>
      <w:r>
        <w:tab/>
      </w:r>
      <w:r>
        <w:rPr>
          <w:lang w:eastAsia="fr-FR" w:bidi="fr-FR"/>
        </w:rPr>
        <w:t>Des exemples : les « </w:t>
      </w:r>
      <w:r w:rsidRPr="009F0B0D">
        <w:rPr>
          <w:i/>
          <w:lang w:eastAsia="fr-FR" w:bidi="fr-FR"/>
        </w:rPr>
        <w:t>Six personnages en quête d'auteur </w:t>
      </w:r>
      <w:r>
        <w:rPr>
          <w:lang w:eastAsia="fr-FR" w:bidi="fr-FR"/>
        </w:rPr>
        <w:t>» de Pirandello, le « </w:t>
      </w:r>
      <w:r w:rsidRPr="009F0B0D">
        <w:rPr>
          <w:i/>
          <w:lang w:eastAsia="fr-FR" w:bidi="fr-FR"/>
        </w:rPr>
        <w:t>Marat-Sade </w:t>
      </w:r>
      <w:r>
        <w:rPr>
          <w:lang w:eastAsia="fr-FR" w:bidi="fr-FR"/>
        </w:rPr>
        <w:t>» de Peter Weiss, « </w:t>
      </w:r>
      <w:r w:rsidRPr="009F0B0D">
        <w:rPr>
          <w:i/>
          <w:lang w:eastAsia="fr-FR" w:bidi="fr-FR"/>
        </w:rPr>
        <w:t>Rosenkranz et Gui</w:t>
      </w:r>
      <w:r w:rsidRPr="009F0B0D">
        <w:rPr>
          <w:i/>
          <w:lang w:eastAsia="fr-FR" w:bidi="fr-FR"/>
        </w:rPr>
        <w:t>l</w:t>
      </w:r>
      <w:r w:rsidRPr="009F0B0D">
        <w:rPr>
          <w:i/>
          <w:lang w:eastAsia="fr-FR" w:bidi="fr-FR"/>
        </w:rPr>
        <w:t>denstern sont morts</w:t>
      </w:r>
      <w:r>
        <w:rPr>
          <w:lang w:eastAsia="fr-FR" w:bidi="fr-FR"/>
        </w:rPr>
        <w:t xml:space="preserve">  » de Tom Stoppard (à partir de Sh</w:t>
      </w:r>
      <w:r>
        <w:rPr>
          <w:lang w:eastAsia="fr-FR" w:bidi="fr-FR"/>
        </w:rPr>
        <w:t>a</w:t>
      </w:r>
      <w:r>
        <w:rPr>
          <w:lang w:eastAsia="fr-FR" w:bidi="fr-FR"/>
        </w:rPr>
        <w:t>kespeare,) les dernières pièces d'Anouilh, etc....</w:t>
      </w:r>
    </w:p>
  </w:footnote>
  <w:footnote w:id="33">
    <w:p w:rsidR="00A9729B" w:rsidRDefault="00A9729B" w:rsidP="00A9729B">
      <w:pPr>
        <w:pStyle w:val="Notedebasdepage"/>
      </w:pPr>
      <w:r>
        <w:rPr>
          <w:rStyle w:val="Appelnotedebasdep"/>
        </w:rPr>
        <w:footnoteRef/>
      </w:r>
      <w:r>
        <w:t xml:space="preserve"> </w:t>
      </w:r>
      <w:r>
        <w:tab/>
      </w:r>
      <w:r w:rsidRPr="00511775">
        <w:rPr>
          <w:lang w:val="fr-FR" w:eastAsia="fr-FR" w:bidi="fr-FR"/>
        </w:rPr>
        <w:t>Ces dissociations sont souvent, comme chez Stockhausen, de nature phys</w:t>
      </w:r>
      <w:r w:rsidRPr="00511775">
        <w:rPr>
          <w:lang w:val="fr-FR" w:eastAsia="fr-FR" w:bidi="fr-FR"/>
        </w:rPr>
        <w:t>i</w:t>
      </w:r>
      <w:r w:rsidRPr="00511775">
        <w:rPr>
          <w:lang w:val="fr-FR" w:eastAsia="fr-FR" w:bidi="fr-FR"/>
        </w:rPr>
        <w:t>que</w:t>
      </w:r>
      <w:r>
        <w:rPr>
          <w:lang w:val="fr-FR" w:eastAsia="fr-FR" w:bidi="fr-FR"/>
        </w:rPr>
        <w:t> :</w:t>
      </w:r>
      <w:r w:rsidRPr="00511775">
        <w:rPr>
          <w:lang w:val="fr-FR" w:eastAsia="fr-FR" w:bidi="fr-FR"/>
        </w:rPr>
        <w:t xml:space="preserve"> on rendra le son inaudible, par exemple, ou on brisera implac</w:t>
      </w:r>
      <w:r w:rsidRPr="00511775">
        <w:rPr>
          <w:lang w:val="fr-FR" w:eastAsia="fr-FR" w:bidi="fr-FR"/>
        </w:rPr>
        <w:t>a</w:t>
      </w:r>
      <w:r w:rsidRPr="00511775">
        <w:rPr>
          <w:lang w:val="fr-FR" w:eastAsia="fr-FR" w:bidi="fr-FR"/>
        </w:rPr>
        <w:t>blement le contrepoint son-image.</w:t>
      </w:r>
    </w:p>
  </w:footnote>
  <w:footnote w:id="34">
    <w:p w:rsidR="00A9729B" w:rsidRDefault="00A9729B" w:rsidP="00A9729B">
      <w:pPr>
        <w:pStyle w:val="Notedebasdepage"/>
      </w:pPr>
      <w:r>
        <w:rPr>
          <w:rStyle w:val="Appelnotedebasdep"/>
        </w:rPr>
        <w:footnoteRef/>
      </w:r>
      <w:r>
        <w:t xml:space="preserve"> </w:t>
      </w:r>
      <w:r>
        <w:tab/>
      </w:r>
      <w:r w:rsidRPr="00511775">
        <w:rPr>
          <w:lang w:val="fr-FR" w:eastAsia="fr-FR" w:bidi="fr-FR"/>
        </w:rPr>
        <w:t>L’écart entre les principes de plaisir et de réalité est beaucoup plus consid</w:t>
      </w:r>
      <w:r w:rsidRPr="00511775">
        <w:rPr>
          <w:lang w:val="fr-FR" w:eastAsia="fr-FR" w:bidi="fr-FR"/>
        </w:rPr>
        <w:t>é</w:t>
      </w:r>
      <w:r w:rsidRPr="00511775">
        <w:rPr>
          <w:lang w:val="fr-FR" w:eastAsia="fr-FR" w:bidi="fr-FR"/>
        </w:rPr>
        <w:t>rable lorsqu’on ambitionne d’être Clint Eastwood que lorsqu’on rêve, plus humbl</w:t>
      </w:r>
      <w:r w:rsidRPr="00511775">
        <w:rPr>
          <w:lang w:val="fr-FR" w:eastAsia="fr-FR" w:bidi="fr-FR"/>
        </w:rPr>
        <w:t>e</w:t>
      </w:r>
      <w:r w:rsidRPr="00511775">
        <w:rPr>
          <w:lang w:val="fr-FR" w:eastAsia="fr-FR" w:bidi="fr-FR"/>
        </w:rPr>
        <w:t>ment, à John Wayne.</w:t>
      </w:r>
    </w:p>
  </w:footnote>
  <w:footnote w:id="35">
    <w:p w:rsidR="00A9729B" w:rsidRDefault="00A9729B" w:rsidP="00A9729B">
      <w:pPr>
        <w:pStyle w:val="Notedebasdepage"/>
      </w:pPr>
      <w:r>
        <w:rPr>
          <w:rStyle w:val="Appelnotedebasdep"/>
        </w:rPr>
        <w:t>P</w:t>
      </w:r>
      <w:r>
        <w:t xml:space="preserve"> </w:t>
      </w:r>
      <w:r>
        <w:tab/>
      </w:r>
      <w:r>
        <w:rPr>
          <w:lang w:eastAsia="fr-FR" w:bidi="fr-FR"/>
        </w:rPr>
        <w:t>Aux premier et second siècles de notre ère, pour la civilis</w:t>
      </w:r>
      <w:r>
        <w:rPr>
          <w:lang w:eastAsia="fr-FR" w:bidi="fr-FR"/>
        </w:rPr>
        <w:t>a</w:t>
      </w:r>
      <w:r>
        <w:rPr>
          <w:lang w:eastAsia="fr-FR" w:bidi="fr-FR"/>
        </w:rPr>
        <w:t>tion grecque, et au quato</w:t>
      </w:r>
      <w:r>
        <w:rPr>
          <w:lang w:eastAsia="fr-FR" w:bidi="fr-FR"/>
        </w:rPr>
        <w:t>r</w:t>
      </w:r>
      <w:r>
        <w:rPr>
          <w:lang w:eastAsia="fr-FR" w:bidi="fr-FR"/>
        </w:rPr>
        <w:t xml:space="preserve">zième siècle, pour l'Occident médiéval. Au sujet des Grecs, voir </w:t>
      </w:r>
      <w:r w:rsidRPr="009F0B0D">
        <w:rPr>
          <w:i/>
          <w:lang w:eastAsia="fr-FR" w:bidi="fr-FR"/>
        </w:rPr>
        <w:t>La révélation d'Hermès Trismégiste</w:t>
      </w:r>
      <w:r>
        <w:rPr>
          <w:lang w:eastAsia="fr-FR" w:bidi="fr-FR"/>
        </w:rPr>
        <w:t xml:space="preserve"> du Père Festugière (Paris, Librairie Leco</w:t>
      </w:r>
      <w:r>
        <w:rPr>
          <w:lang w:eastAsia="fr-FR" w:bidi="fr-FR"/>
        </w:rPr>
        <w:t>f</w:t>
      </w:r>
      <w:r>
        <w:rPr>
          <w:lang w:eastAsia="fr-FR" w:bidi="fr-FR"/>
        </w:rPr>
        <w:t>fre, J. G</w:t>
      </w:r>
      <w:r>
        <w:rPr>
          <w:lang w:eastAsia="fr-FR" w:bidi="fr-FR"/>
        </w:rPr>
        <w:t>a</w:t>
      </w:r>
      <w:r>
        <w:rPr>
          <w:lang w:eastAsia="fr-FR" w:bidi="fr-FR"/>
        </w:rPr>
        <w:t>balda et Cie),  1959.</w:t>
      </w:r>
    </w:p>
  </w:footnote>
  <w:footnote w:id="36">
    <w:p w:rsidR="00A9729B" w:rsidRDefault="00A9729B" w:rsidP="00A9729B">
      <w:pPr>
        <w:pStyle w:val="Notedebasdepage"/>
      </w:pPr>
      <w:r>
        <w:rPr>
          <w:rStyle w:val="Appelnotedebasdep"/>
        </w:rPr>
        <w:t>Q</w:t>
      </w:r>
      <w:r>
        <w:t xml:space="preserve"> </w:t>
      </w:r>
      <w:r>
        <w:tab/>
      </w:r>
      <w:r w:rsidRPr="00AB71A5">
        <w:rPr>
          <w:lang w:eastAsia="fr-FR" w:bidi="fr-FR"/>
        </w:rPr>
        <w:t>Sur les rhétoriciens du seizième siècle, voir Ong, Wa</w:t>
      </w:r>
      <w:r w:rsidRPr="00AB71A5">
        <w:rPr>
          <w:lang w:eastAsia="fr-FR" w:bidi="fr-FR"/>
        </w:rPr>
        <w:t>l</w:t>
      </w:r>
      <w:r w:rsidRPr="00AB71A5">
        <w:rPr>
          <w:lang w:eastAsia="fr-FR" w:bidi="fr-FR"/>
        </w:rPr>
        <w:t xml:space="preserve">ter, </w:t>
      </w:r>
      <w:r w:rsidRPr="00AB71A5">
        <w:t xml:space="preserve">Ramus, </w:t>
      </w:r>
      <w:r w:rsidRPr="00F224FA">
        <w:rPr>
          <w:i/>
        </w:rPr>
        <w:t>Method, and the Decay of Di</w:t>
      </w:r>
      <w:r w:rsidRPr="00F224FA">
        <w:rPr>
          <w:i/>
        </w:rPr>
        <w:t>a</w:t>
      </w:r>
      <w:r w:rsidRPr="00F224FA">
        <w:rPr>
          <w:i/>
        </w:rPr>
        <w:t>logue</w:t>
      </w:r>
      <w:r w:rsidRPr="00AB71A5">
        <w:t>,</w:t>
      </w:r>
      <w:r w:rsidRPr="00AB71A5">
        <w:rPr>
          <w:lang w:eastAsia="fr-FR" w:bidi="fr-FR"/>
        </w:rPr>
        <w:t xml:space="preserve"> Cambridge, Harvard Univ. Press, 1958.</w:t>
      </w:r>
    </w:p>
  </w:footnote>
  <w:footnote w:id="37">
    <w:p w:rsidR="00A9729B" w:rsidRDefault="00A9729B" w:rsidP="00A9729B">
      <w:pPr>
        <w:pStyle w:val="Notedebasdepage"/>
      </w:pPr>
      <w:r>
        <w:rPr>
          <w:rStyle w:val="Appelnotedebasdep"/>
        </w:rPr>
        <w:t>R</w:t>
      </w:r>
      <w:r>
        <w:t xml:space="preserve"> </w:t>
      </w:r>
      <w:r>
        <w:tab/>
      </w:r>
      <w:r w:rsidRPr="00AB71A5">
        <w:rPr>
          <w:lang w:eastAsia="fr-FR" w:bidi="fr-FR"/>
        </w:rPr>
        <w:t>On doit ici apporter des précisions car le ri</w:t>
      </w:r>
      <w:r w:rsidRPr="00AB71A5">
        <w:rPr>
          <w:lang w:eastAsia="fr-FR" w:bidi="fr-FR"/>
        </w:rPr>
        <w:t>s</w:t>
      </w:r>
      <w:r w:rsidRPr="00AB71A5">
        <w:rPr>
          <w:lang w:eastAsia="fr-FR" w:bidi="fr-FR"/>
        </w:rPr>
        <w:t>que est grand, de s’égarer. (I) L’exemple que nous avons donné peut être, en effet, aussi trompeur qu’il est efficace. Il est efficace en ce qu’il illustre de façon crue, en la poussant à bout, la différence entre</w:t>
      </w:r>
      <w:r>
        <w:rPr>
          <w:lang w:eastAsia="fr-FR" w:bidi="fr-FR"/>
        </w:rPr>
        <w:t xml:space="preserve"> </w:t>
      </w:r>
      <w:r w:rsidRPr="00AB71A5">
        <w:rPr>
          <w:lang w:eastAsia="fr-FR" w:bidi="fr-FR"/>
        </w:rPr>
        <w:t>une</w:t>
      </w:r>
      <w:r>
        <w:rPr>
          <w:lang w:eastAsia="fr-FR" w:bidi="fr-FR"/>
        </w:rPr>
        <w:t xml:space="preserve"> </w:t>
      </w:r>
      <w:r w:rsidRPr="00AB71A5">
        <w:rPr>
          <w:lang w:eastAsia="fr-FR" w:bidi="fr-FR"/>
        </w:rPr>
        <w:t>proposition</w:t>
      </w:r>
      <w:r>
        <w:rPr>
          <w:lang w:eastAsia="fr-FR" w:bidi="fr-FR"/>
        </w:rPr>
        <w:t xml:space="preserve"> </w:t>
      </w:r>
      <w:r w:rsidRPr="00AB71A5">
        <w:rPr>
          <w:lang w:eastAsia="fr-FR" w:bidi="fr-FR"/>
        </w:rPr>
        <w:t>qui est su</w:t>
      </w:r>
      <w:r w:rsidRPr="00AB71A5">
        <w:rPr>
          <w:lang w:eastAsia="fr-FR" w:bidi="fr-FR"/>
        </w:rPr>
        <w:t>s</w:t>
      </w:r>
      <w:r w:rsidRPr="00AB71A5">
        <w:rPr>
          <w:lang w:eastAsia="fr-FR" w:bidi="fr-FR"/>
        </w:rPr>
        <w:t>ceptible</w:t>
      </w:r>
      <w:r>
        <w:rPr>
          <w:lang w:eastAsia="fr-FR" w:bidi="fr-FR"/>
        </w:rPr>
        <w:t xml:space="preserve"> </w:t>
      </w:r>
      <w:r w:rsidRPr="00AB71A5">
        <w:rPr>
          <w:lang w:eastAsia="fr-FR" w:bidi="fr-FR"/>
        </w:rPr>
        <w:t>d’être démontrée et une autre</w:t>
      </w:r>
      <w:r>
        <w:rPr>
          <w:lang w:eastAsia="fr-FR" w:bidi="fr-FR"/>
        </w:rPr>
        <w:t xml:space="preserve"> </w:t>
      </w:r>
      <w:r w:rsidRPr="00AB71A5">
        <w:rPr>
          <w:lang w:eastAsia="fr-FR" w:bidi="fr-FR"/>
        </w:rPr>
        <w:t>qui ne</w:t>
      </w:r>
      <w:r>
        <w:rPr>
          <w:lang w:eastAsia="fr-FR" w:bidi="fr-FR"/>
        </w:rPr>
        <w:t xml:space="preserve"> </w:t>
      </w:r>
      <w:r w:rsidRPr="00AB71A5">
        <w:rPr>
          <w:lang w:eastAsia="fr-FR" w:bidi="fr-FR"/>
        </w:rPr>
        <w:t>l’est</w:t>
      </w:r>
      <w:r>
        <w:rPr>
          <w:lang w:eastAsia="fr-FR" w:bidi="fr-FR"/>
        </w:rPr>
        <w:t xml:space="preserve"> </w:t>
      </w:r>
      <w:r w:rsidRPr="00AB71A5">
        <w:rPr>
          <w:lang w:eastAsia="fr-FR" w:bidi="fr-FR"/>
        </w:rPr>
        <w:t>pas. (2) Mais il deviendrait</w:t>
      </w:r>
      <w:r>
        <w:rPr>
          <w:lang w:eastAsia="fr-FR" w:bidi="fr-FR"/>
        </w:rPr>
        <w:t xml:space="preserve"> </w:t>
      </w:r>
      <w:r w:rsidRPr="00AB71A5">
        <w:rPr>
          <w:lang w:eastAsia="fr-FR" w:bidi="fr-FR"/>
        </w:rPr>
        <w:t>trompeur, cependant, s’il suggérait que tout discours qui ne peut faire l’objet d’une vérification emp</w:t>
      </w:r>
      <w:r w:rsidRPr="00AB71A5">
        <w:rPr>
          <w:lang w:eastAsia="fr-FR" w:bidi="fr-FR"/>
        </w:rPr>
        <w:t>i</w:t>
      </w:r>
      <w:r w:rsidRPr="00AB71A5">
        <w:rPr>
          <w:lang w:eastAsia="fr-FR" w:bidi="fr-FR"/>
        </w:rPr>
        <w:t>rique ou d’une démonstr</w:t>
      </w:r>
      <w:r w:rsidRPr="00AB71A5">
        <w:rPr>
          <w:lang w:eastAsia="fr-FR" w:bidi="fr-FR"/>
        </w:rPr>
        <w:t>a</w:t>
      </w:r>
      <w:r w:rsidRPr="00AB71A5">
        <w:rPr>
          <w:lang w:eastAsia="fr-FR" w:bidi="fr-FR"/>
        </w:rPr>
        <w:t>tion, au sens strict de ces derniers termes, est du type limite de l’énoncé si</w:t>
      </w:r>
      <w:r w:rsidRPr="00AB71A5">
        <w:rPr>
          <w:lang w:eastAsia="fr-FR" w:bidi="fr-FR"/>
        </w:rPr>
        <w:t>m</w:t>
      </w:r>
      <w:r w:rsidRPr="00AB71A5">
        <w:rPr>
          <w:lang w:eastAsia="fr-FR" w:bidi="fr-FR"/>
        </w:rPr>
        <w:t>ple d’une préférence, qui ne s’autorise de rien d’autre que de l’humeur ou du goût de celui qui l’exprime. Il faut là-dessus être très clair : il est beaucoup d’autres discours que celui de la simple préf</w:t>
      </w:r>
      <w:r w:rsidRPr="00AB71A5">
        <w:rPr>
          <w:lang w:eastAsia="fr-FR" w:bidi="fr-FR"/>
        </w:rPr>
        <w:t>é</w:t>
      </w:r>
      <w:r w:rsidRPr="00AB71A5">
        <w:rPr>
          <w:lang w:eastAsia="fr-FR" w:bidi="fr-FR"/>
        </w:rPr>
        <w:t>rence qui ne sont pas, au sens strict, susceptibles de démonstration ou de v</w:t>
      </w:r>
      <w:r w:rsidRPr="00AB71A5">
        <w:rPr>
          <w:lang w:eastAsia="fr-FR" w:bidi="fr-FR"/>
        </w:rPr>
        <w:t>é</w:t>
      </w:r>
      <w:r w:rsidRPr="00AB71A5">
        <w:rPr>
          <w:lang w:eastAsia="fr-FR" w:bidi="fr-FR"/>
        </w:rPr>
        <w:t>rification. Par exemple, le discours moral ou encore le di</w:t>
      </w:r>
      <w:r w:rsidRPr="00AB71A5">
        <w:rPr>
          <w:lang w:eastAsia="fr-FR" w:bidi="fr-FR"/>
        </w:rPr>
        <w:t>s</w:t>
      </w:r>
      <w:r w:rsidRPr="00AB71A5">
        <w:rPr>
          <w:lang w:eastAsia="fr-FR" w:bidi="fr-FR"/>
        </w:rPr>
        <w:t>cours politique, et, de façon g</w:t>
      </w:r>
      <w:r w:rsidRPr="00AB71A5">
        <w:rPr>
          <w:lang w:eastAsia="fr-FR" w:bidi="fr-FR"/>
        </w:rPr>
        <w:t>é</w:t>
      </w:r>
      <w:r w:rsidRPr="00AB71A5">
        <w:rPr>
          <w:lang w:eastAsia="fr-FR" w:bidi="fr-FR"/>
        </w:rPr>
        <w:t>nérale, tout discours qui a pour objet de déterminer, dans un contexte particulier, le cours pr</w:t>
      </w:r>
      <w:r w:rsidRPr="00AB71A5">
        <w:rPr>
          <w:lang w:eastAsia="fr-FR" w:bidi="fr-FR"/>
        </w:rPr>
        <w:t>a</w:t>
      </w:r>
      <w:r w:rsidRPr="00AB71A5">
        <w:rPr>
          <w:lang w:eastAsia="fr-FR" w:bidi="fr-FR"/>
        </w:rPr>
        <w:t>tique qui est à suivre. Bien, encore une fois, que l’on ne saurait requérir de ces di</w:t>
      </w:r>
      <w:r w:rsidRPr="00AB71A5">
        <w:rPr>
          <w:lang w:eastAsia="fr-FR" w:bidi="fr-FR"/>
        </w:rPr>
        <w:t>s</w:t>
      </w:r>
      <w:r w:rsidRPr="00AB71A5">
        <w:rPr>
          <w:lang w:eastAsia="fr-FR" w:bidi="fr-FR"/>
        </w:rPr>
        <w:t>cours une démonstration en règle, ce serait faire une erreur grossière que de croire que l’on ne peut pas les a</w:t>
      </w:r>
      <w:r w:rsidRPr="00AB71A5">
        <w:rPr>
          <w:lang w:eastAsia="fr-FR" w:bidi="fr-FR"/>
        </w:rPr>
        <w:t>p</w:t>
      </w:r>
      <w:r w:rsidRPr="00AB71A5">
        <w:rPr>
          <w:lang w:eastAsia="fr-FR" w:bidi="fr-FR"/>
        </w:rPr>
        <w:t>puyer sur un ensemble de</w:t>
      </w:r>
      <w:r>
        <w:rPr>
          <w:lang w:eastAsia="fr-FR" w:bidi="fr-FR"/>
        </w:rPr>
        <w:t xml:space="preserve"> </w:t>
      </w:r>
      <w:r w:rsidRPr="00AB71A5">
        <w:t>ra</w:t>
      </w:r>
      <w:r w:rsidRPr="00AB71A5">
        <w:t>i</w:t>
      </w:r>
      <w:r w:rsidRPr="00AB71A5">
        <w:t>sons</w:t>
      </w:r>
      <w:r>
        <w:rPr>
          <w:lang w:eastAsia="fr-FR" w:bidi="fr-FR"/>
        </w:rPr>
        <w:t xml:space="preserve"> </w:t>
      </w:r>
      <w:r w:rsidRPr="00AB71A5">
        <w:rPr>
          <w:lang w:eastAsia="fr-FR" w:bidi="fr-FR"/>
        </w:rPr>
        <w:t>qui,</w:t>
      </w:r>
      <w:r>
        <w:rPr>
          <w:lang w:eastAsia="fr-FR" w:bidi="fr-FR"/>
        </w:rPr>
        <w:t xml:space="preserve"> </w:t>
      </w:r>
      <w:r w:rsidRPr="00AB71A5">
        <w:rPr>
          <w:lang w:eastAsia="fr-FR" w:bidi="fr-FR"/>
        </w:rPr>
        <w:t>pour être</w:t>
      </w:r>
      <w:r>
        <w:rPr>
          <w:lang w:eastAsia="fr-FR" w:bidi="fr-FR"/>
        </w:rPr>
        <w:t xml:space="preserve"> </w:t>
      </w:r>
      <w:r w:rsidRPr="00AB71A5">
        <w:rPr>
          <w:lang w:eastAsia="fr-FR" w:bidi="fr-FR"/>
        </w:rPr>
        <w:t>circonstanciées, ne</w:t>
      </w:r>
      <w:r>
        <w:rPr>
          <w:lang w:eastAsia="fr-FR" w:bidi="fr-FR"/>
        </w:rPr>
        <w:t xml:space="preserve"> </w:t>
      </w:r>
      <w:r w:rsidRPr="00AB71A5">
        <w:rPr>
          <w:lang w:eastAsia="fr-FR" w:bidi="fr-FR"/>
        </w:rPr>
        <w:t>laissent pas d’être objectives,</w:t>
      </w:r>
      <w:r>
        <w:rPr>
          <w:lang w:eastAsia="fr-FR" w:bidi="fr-FR"/>
        </w:rPr>
        <w:t xml:space="preserve"> </w:t>
      </w:r>
      <w:r w:rsidRPr="00AB71A5">
        <w:rPr>
          <w:lang w:eastAsia="fr-FR" w:bidi="fr-FR"/>
        </w:rPr>
        <w:t>et qui</w:t>
      </w:r>
      <w:r>
        <w:rPr>
          <w:lang w:eastAsia="fr-FR" w:bidi="fr-FR"/>
        </w:rPr>
        <w:t xml:space="preserve"> </w:t>
      </w:r>
      <w:r w:rsidRPr="00AB71A5">
        <w:rPr>
          <w:lang w:eastAsia="fr-FR" w:bidi="fr-FR"/>
        </w:rPr>
        <w:t>peuvent même,</w:t>
      </w:r>
      <w:r>
        <w:rPr>
          <w:lang w:eastAsia="fr-FR" w:bidi="fr-FR"/>
        </w:rPr>
        <w:t xml:space="preserve"> </w:t>
      </w:r>
      <w:r w:rsidRPr="00AB71A5">
        <w:rPr>
          <w:lang w:eastAsia="fr-FR" w:bidi="fr-FR"/>
        </w:rPr>
        <w:t>selon certains auteurs, conf</w:t>
      </w:r>
      <w:r w:rsidRPr="00AB71A5">
        <w:rPr>
          <w:lang w:eastAsia="fr-FR" w:bidi="fr-FR"/>
        </w:rPr>
        <w:t>é</w:t>
      </w:r>
      <w:r w:rsidRPr="00AB71A5">
        <w:rPr>
          <w:lang w:eastAsia="fr-FR" w:bidi="fr-FR"/>
        </w:rPr>
        <w:t xml:space="preserve">rer à ces discours une </w:t>
      </w:r>
      <w:r w:rsidRPr="00AB71A5">
        <w:t>quasi universalité</w:t>
      </w:r>
      <w:r w:rsidRPr="00AB71A5">
        <w:rPr>
          <w:lang w:eastAsia="fr-FR" w:bidi="fr-FR"/>
        </w:rPr>
        <w:t xml:space="preserve"> pratique. Il est cependant i</w:t>
      </w:r>
      <w:r w:rsidRPr="00AB71A5">
        <w:rPr>
          <w:lang w:eastAsia="fr-FR" w:bidi="fr-FR"/>
        </w:rPr>
        <w:t>m</w:t>
      </w:r>
      <w:r w:rsidRPr="00AB71A5">
        <w:rPr>
          <w:lang w:eastAsia="fr-FR" w:bidi="fr-FR"/>
        </w:rPr>
        <w:t>portant d’apercevoir que les raisons qui sont apportées pour justifier un choix moral ou p</w:t>
      </w:r>
      <w:r w:rsidRPr="00AB71A5">
        <w:rPr>
          <w:lang w:eastAsia="fr-FR" w:bidi="fr-FR"/>
        </w:rPr>
        <w:t>o</w:t>
      </w:r>
      <w:r w:rsidRPr="00AB71A5">
        <w:rPr>
          <w:lang w:eastAsia="fr-FR" w:bidi="fr-FR"/>
        </w:rPr>
        <w:t>litique n’ont pas avec ce choix le même rapport qu’entretient, par exemple, un ensemble de faits avec la théorie qu’il vérifie. Sur ce s</w:t>
      </w:r>
      <w:r w:rsidRPr="00AB71A5">
        <w:rPr>
          <w:lang w:eastAsia="fr-FR" w:bidi="fr-FR"/>
        </w:rPr>
        <w:t>u</w:t>
      </w:r>
      <w:r w:rsidRPr="00AB71A5">
        <w:rPr>
          <w:lang w:eastAsia="fr-FR" w:bidi="fr-FR"/>
        </w:rPr>
        <w:t xml:space="preserve">jet, voir Hare, R.M., </w:t>
      </w:r>
      <w:r w:rsidRPr="009F0B0D">
        <w:rPr>
          <w:i/>
        </w:rPr>
        <w:t>The Language of Morals</w:t>
      </w:r>
      <w:r w:rsidRPr="00AB71A5">
        <w:t xml:space="preserve">, </w:t>
      </w:r>
      <w:r w:rsidRPr="00AB71A5">
        <w:rPr>
          <w:lang w:eastAsia="fr-FR" w:bidi="fr-FR"/>
        </w:rPr>
        <w:t>O</w:t>
      </w:r>
      <w:r w:rsidRPr="00AB71A5">
        <w:rPr>
          <w:lang w:eastAsia="fr-FR" w:bidi="fr-FR"/>
        </w:rPr>
        <w:t>x</w:t>
      </w:r>
      <w:r w:rsidRPr="00AB71A5">
        <w:rPr>
          <w:lang w:eastAsia="fr-FR" w:bidi="fr-FR"/>
        </w:rPr>
        <w:t xml:space="preserve">ford, 1952 et du même auteur </w:t>
      </w:r>
      <w:r w:rsidRPr="009F0B0D">
        <w:rPr>
          <w:i/>
        </w:rPr>
        <w:t>Freedom and Reason</w:t>
      </w:r>
      <w:r w:rsidRPr="00AB71A5">
        <w:t>,</w:t>
      </w:r>
      <w:r w:rsidRPr="00AB71A5">
        <w:rPr>
          <w:lang w:eastAsia="fr-FR" w:bidi="fr-FR"/>
        </w:rPr>
        <w:t xml:space="preserve"> O</w:t>
      </w:r>
      <w:r w:rsidRPr="00AB71A5">
        <w:rPr>
          <w:lang w:eastAsia="fr-FR" w:bidi="fr-FR"/>
        </w:rPr>
        <w:t>x</w:t>
      </w:r>
      <w:r w:rsidRPr="00AB71A5">
        <w:rPr>
          <w:lang w:eastAsia="fr-FR" w:bidi="fr-FR"/>
        </w:rPr>
        <w:t>ford 1963.</w:t>
      </w:r>
    </w:p>
  </w:footnote>
  <w:footnote w:id="38">
    <w:p w:rsidR="00A9729B" w:rsidRDefault="00A9729B" w:rsidP="00A9729B">
      <w:pPr>
        <w:pStyle w:val="Notedebasdepage"/>
      </w:pPr>
      <w:r>
        <w:rPr>
          <w:rStyle w:val="Appelnotedebasdep"/>
        </w:rPr>
        <w:footnoteRef/>
      </w:r>
      <w:r>
        <w:t xml:space="preserve"> </w:t>
      </w:r>
      <w:r>
        <w:tab/>
      </w:r>
      <w:r w:rsidRPr="004F41A9">
        <w:rPr>
          <w:lang w:val="fr-FR" w:eastAsia="fr-FR" w:bidi="fr-FR"/>
        </w:rPr>
        <w:t>La logique de l’assimilation est en effet profondément di</w:t>
      </w:r>
      <w:r w:rsidRPr="004F41A9">
        <w:rPr>
          <w:lang w:val="fr-FR" w:eastAsia="fr-FR" w:bidi="fr-FR"/>
        </w:rPr>
        <w:t>f</w:t>
      </w:r>
      <w:r w:rsidRPr="004F41A9">
        <w:rPr>
          <w:lang w:val="fr-FR" w:eastAsia="fr-FR" w:bidi="fr-FR"/>
        </w:rPr>
        <w:t xml:space="preserve">férente de celle de la production. La différence réside en ceci que l’on peut </w:t>
      </w:r>
      <w:r w:rsidRPr="004F41A9">
        <w:rPr>
          <w:i/>
          <w:iCs/>
        </w:rPr>
        <w:t xml:space="preserve">additionner </w:t>
      </w:r>
      <w:r w:rsidRPr="004F41A9">
        <w:rPr>
          <w:lang w:val="fr-FR" w:eastAsia="fr-FR" w:bidi="fr-FR"/>
        </w:rPr>
        <w:t>des pr</w:t>
      </w:r>
      <w:r w:rsidRPr="004F41A9">
        <w:rPr>
          <w:lang w:val="fr-FR" w:eastAsia="fr-FR" w:bidi="fr-FR"/>
        </w:rPr>
        <w:t>o</w:t>
      </w:r>
      <w:r w:rsidRPr="004F41A9">
        <w:rPr>
          <w:lang w:val="fr-FR" w:eastAsia="fr-FR" w:bidi="fr-FR"/>
        </w:rPr>
        <w:t>duits — si je m’empare d’un produit appartenant à P et que je l’ajoute au mien, je possède maintenant deux produits et suis conséque</w:t>
      </w:r>
      <w:r w:rsidRPr="004F41A9">
        <w:rPr>
          <w:lang w:val="fr-FR" w:eastAsia="fr-FR" w:bidi="fr-FR"/>
        </w:rPr>
        <w:t>m</w:t>
      </w:r>
      <w:r w:rsidRPr="004F41A9">
        <w:rPr>
          <w:lang w:val="fr-FR" w:eastAsia="fr-FR" w:bidi="fr-FR"/>
        </w:rPr>
        <w:t>ment plus « riche ». — alors que le concept de so</w:t>
      </w:r>
      <w:r w:rsidRPr="004F41A9">
        <w:rPr>
          <w:lang w:val="fr-FR" w:eastAsia="fr-FR" w:bidi="fr-FR"/>
        </w:rPr>
        <w:t>m</w:t>
      </w:r>
      <w:r w:rsidRPr="004F41A9">
        <w:rPr>
          <w:lang w:val="fr-FR" w:eastAsia="fr-FR" w:bidi="fr-FR"/>
        </w:rPr>
        <w:t>me ne s’applique pas au résultat d’une assimilation — si, par hypothèse, je pouvais m’emparer de l’assimilation r</w:t>
      </w:r>
      <w:r w:rsidRPr="004F41A9">
        <w:rPr>
          <w:lang w:val="fr-FR" w:eastAsia="fr-FR" w:bidi="fr-FR"/>
        </w:rPr>
        <w:t>é</w:t>
      </w:r>
      <w:r w:rsidRPr="004F41A9">
        <w:rPr>
          <w:lang w:val="fr-FR" w:eastAsia="fr-FR" w:bidi="fr-FR"/>
        </w:rPr>
        <w:t>ussie que fait P d’un théorème de géométrie, par exemple, et que j’aie pour ma part aussi réu</w:t>
      </w:r>
      <w:r w:rsidRPr="004F41A9">
        <w:rPr>
          <w:lang w:val="fr-FR" w:eastAsia="fr-FR" w:bidi="fr-FR"/>
        </w:rPr>
        <w:t>s</w:t>
      </w:r>
      <w:r w:rsidRPr="004F41A9">
        <w:rPr>
          <w:lang w:val="fr-FR" w:eastAsia="fr-FR" w:bidi="fr-FR"/>
        </w:rPr>
        <w:t xml:space="preserve">si à faire l’assimilation de ce théorème, l’assimilation de P ne s’ajoutera pas à la mienne mais ne pourra que s’y </w:t>
      </w:r>
      <w:r w:rsidRPr="004F41A9">
        <w:rPr>
          <w:i/>
          <w:iCs/>
        </w:rPr>
        <w:t>identifier.</w:t>
      </w:r>
    </w:p>
  </w:footnote>
  <w:footnote w:id="39">
    <w:p w:rsidR="00A9729B" w:rsidRDefault="00A9729B" w:rsidP="00A9729B">
      <w:pPr>
        <w:pStyle w:val="Notedebasdepage"/>
      </w:pPr>
      <w:r>
        <w:rPr>
          <w:rStyle w:val="Appelnotedebasdep"/>
        </w:rPr>
        <w:footnoteRef/>
      </w:r>
      <w:r>
        <w:t xml:space="preserve"> </w:t>
      </w:r>
      <w:r>
        <w:tab/>
      </w:r>
      <w:r w:rsidRPr="00511775">
        <w:rPr>
          <w:lang w:val="fr-FR" w:eastAsia="fr-FR" w:bidi="fr-FR"/>
        </w:rPr>
        <w:t>Nous excluons ici ces cas où une crise revêt une telle ampleur qu’elle a</w:t>
      </w:r>
      <w:r w:rsidRPr="00511775">
        <w:rPr>
          <w:lang w:val="fr-FR" w:eastAsia="fr-FR" w:bidi="fr-FR"/>
        </w:rPr>
        <w:t>s</w:t>
      </w:r>
      <w:r w:rsidRPr="00511775">
        <w:rPr>
          <w:lang w:val="fr-FR" w:eastAsia="fr-FR" w:bidi="fr-FR"/>
        </w:rPr>
        <w:t>sure de façon quasi-automatique un soutien aux mesures, parfois évidentes, qui permettent de la résoudre. Il n’est pas de programme qui vaille un menu en période de fam</w:t>
      </w:r>
      <w:r w:rsidRPr="00511775">
        <w:rPr>
          <w:lang w:val="fr-FR" w:eastAsia="fr-FR" w:bidi="fr-FR"/>
        </w:rPr>
        <w:t>i</w:t>
      </w:r>
      <w:r w:rsidRPr="00511775">
        <w:rPr>
          <w:lang w:val="fr-FR" w:eastAsia="fr-FR" w:bidi="fr-FR"/>
        </w:rPr>
        <w:t>ne, par exemple.</w:t>
      </w:r>
    </w:p>
  </w:footnote>
  <w:footnote w:id="40">
    <w:p w:rsidR="00A9729B" w:rsidRDefault="00A9729B" w:rsidP="00A9729B">
      <w:pPr>
        <w:pStyle w:val="Notedebasdepage"/>
      </w:pPr>
      <w:r>
        <w:rPr>
          <w:rStyle w:val="Appelnotedebasdep"/>
        </w:rPr>
        <w:footnoteRef/>
      </w:r>
      <w:r>
        <w:t xml:space="preserve"> </w:t>
      </w:r>
      <w:r>
        <w:tab/>
      </w:r>
      <w:r w:rsidRPr="00511775">
        <w:rPr>
          <w:lang w:val="fr-FR" w:eastAsia="fr-FR" w:bidi="fr-FR"/>
        </w:rPr>
        <w:t>Ce qui n’exclut pas que cette rationalité soit au service d’intérêts partic</w:t>
      </w:r>
      <w:r w:rsidRPr="00511775">
        <w:rPr>
          <w:lang w:val="fr-FR" w:eastAsia="fr-FR" w:bidi="fr-FR"/>
        </w:rPr>
        <w:t>u</w:t>
      </w:r>
      <w:r w:rsidRPr="00511775">
        <w:rPr>
          <w:lang w:val="fr-FR" w:eastAsia="fr-FR" w:bidi="fr-FR"/>
        </w:rPr>
        <w:t>liers. La scientificité ne garantit en rien l’innocence politique.</w:t>
      </w:r>
    </w:p>
  </w:footnote>
  <w:footnote w:id="41">
    <w:p w:rsidR="00A9729B" w:rsidRDefault="00A9729B" w:rsidP="00A9729B">
      <w:pPr>
        <w:pStyle w:val="Notedebasdepage"/>
      </w:pPr>
      <w:r>
        <w:rPr>
          <w:rStyle w:val="Appelnotedebasdep"/>
        </w:rPr>
        <w:footnoteRef/>
      </w:r>
      <w:r>
        <w:t xml:space="preserve"> </w:t>
      </w:r>
      <w:r>
        <w:tab/>
      </w:r>
      <w:r w:rsidRPr="00511775">
        <w:rPr>
          <w:lang w:val="fr-FR" w:eastAsia="fr-FR" w:bidi="fr-FR"/>
        </w:rPr>
        <w:t>Par forces d’opposition, nous n’entendons évidemment pas ces partis po</w:t>
      </w:r>
      <w:r w:rsidRPr="004F41A9">
        <w:rPr>
          <w:lang w:val="fr-FR" w:eastAsia="fr-FR" w:bidi="fr-FR"/>
        </w:rPr>
        <w:t>lit</w:t>
      </w:r>
      <w:r w:rsidRPr="004F41A9">
        <w:rPr>
          <w:lang w:val="fr-FR" w:eastAsia="fr-FR" w:bidi="fr-FR"/>
        </w:rPr>
        <w:t>i</w:t>
      </w:r>
      <w:r w:rsidRPr="004F41A9">
        <w:rPr>
          <w:lang w:val="fr-FR" w:eastAsia="fr-FR" w:bidi="fr-FR"/>
        </w:rPr>
        <w:t>ques qui attendent leur tour de revenir au pouvoir selon un rituel électoral absol</w:t>
      </w:r>
      <w:r w:rsidRPr="004F41A9">
        <w:rPr>
          <w:lang w:val="fr-FR" w:eastAsia="fr-FR" w:bidi="fr-FR"/>
        </w:rPr>
        <w:t>u</w:t>
      </w:r>
      <w:r w:rsidRPr="004F41A9">
        <w:rPr>
          <w:lang w:val="fr-FR" w:eastAsia="fr-FR" w:bidi="fr-FR"/>
        </w:rPr>
        <w:t>ment pétrifié. Le parti conservateur, par exemple, n’est pas un parti qui s’oppose au parti libéral : sa fonction est de le relayer. Il est important de rema</w:t>
      </w:r>
      <w:r w:rsidRPr="004F41A9">
        <w:rPr>
          <w:lang w:val="fr-FR" w:eastAsia="fr-FR" w:bidi="fr-FR"/>
        </w:rPr>
        <w:t>r</w:t>
      </w:r>
      <w:r w:rsidRPr="004F41A9">
        <w:rPr>
          <w:lang w:val="fr-FR" w:eastAsia="fr-FR" w:bidi="fr-FR"/>
        </w:rPr>
        <w:t xml:space="preserve">quer que dans nos démocraties occidentales, il n’y a </w:t>
      </w:r>
      <w:r w:rsidRPr="004F41A9">
        <w:rPr>
          <w:i/>
          <w:iCs/>
        </w:rPr>
        <w:t>jamais</w:t>
      </w:r>
      <w:r w:rsidRPr="004F41A9">
        <w:rPr>
          <w:lang w:val="fr-FR" w:eastAsia="fr-FR" w:bidi="fr-FR"/>
        </w:rPr>
        <w:t xml:space="preserve"> un seul parti au po</w:t>
      </w:r>
      <w:r w:rsidRPr="004F41A9">
        <w:rPr>
          <w:lang w:val="fr-FR" w:eastAsia="fr-FR" w:bidi="fr-FR"/>
        </w:rPr>
        <w:t>u</w:t>
      </w:r>
      <w:r w:rsidRPr="004F41A9">
        <w:rPr>
          <w:lang w:val="fr-FR" w:eastAsia="fr-FR" w:bidi="fr-FR"/>
        </w:rPr>
        <w:t>voir, à la fois.</w:t>
      </w:r>
    </w:p>
  </w:footnote>
  <w:footnote w:id="42">
    <w:p w:rsidR="00A9729B" w:rsidRDefault="00A9729B" w:rsidP="00A9729B">
      <w:pPr>
        <w:pStyle w:val="Notedebasdepage"/>
      </w:pPr>
      <w:r>
        <w:rPr>
          <w:rStyle w:val="Appelnotedebasdep"/>
        </w:rPr>
        <w:footnoteRef/>
      </w:r>
      <w:r>
        <w:t xml:space="preserve"> </w:t>
      </w:r>
      <w:r>
        <w:tab/>
      </w:r>
      <w:r w:rsidRPr="00511775">
        <w:rPr>
          <w:lang w:val="fr-FR" w:eastAsia="fr-FR" w:bidi="fr-FR"/>
        </w:rPr>
        <w:t>Il n’y a qu’à lire les textes p</w:t>
      </w:r>
      <w:r w:rsidRPr="00511775">
        <w:rPr>
          <w:lang w:val="fr-FR" w:eastAsia="fr-FR" w:bidi="fr-FR"/>
        </w:rPr>
        <w:t>o</w:t>
      </w:r>
      <w:r w:rsidRPr="00511775">
        <w:rPr>
          <w:lang w:val="fr-FR" w:eastAsia="fr-FR" w:bidi="fr-FR"/>
        </w:rPr>
        <w:t>litiques produits par la gauche pour constater combien il en est peu qui ne sont pas victimes de leur sédiment</w:t>
      </w:r>
      <w:r w:rsidRPr="00511775">
        <w:rPr>
          <w:lang w:val="fr-FR" w:eastAsia="fr-FR" w:bidi="fr-FR"/>
        </w:rPr>
        <w:t>a</w:t>
      </w:r>
      <w:r w:rsidRPr="00511775">
        <w:rPr>
          <w:lang w:val="fr-FR" w:eastAsia="fr-FR" w:bidi="fr-FR"/>
        </w:rPr>
        <w:t>tion. On est par ailleurs consterné de voir combien est bas le seuil d’acceptabilité du di</w:t>
      </w:r>
      <w:r w:rsidRPr="00511775">
        <w:rPr>
          <w:lang w:val="fr-FR" w:eastAsia="fr-FR" w:bidi="fr-FR"/>
        </w:rPr>
        <w:t>s</w:t>
      </w:r>
      <w:r w:rsidRPr="00511775">
        <w:rPr>
          <w:lang w:val="fr-FR" w:eastAsia="fr-FR" w:bidi="fr-FR"/>
        </w:rPr>
        <w:t>cours pol</w:t>
      </w:r>
      <w:r w:rsidRPr="00511775">
        <w:rPr>
          <w:lang w:val="fr-FR" w:eastAsia="fr-FR" w:bidi="fr-FR"/>
        </w:rPr>
        <w:t>i</w:t>
      </w:r>
      <w:r w:rsidRPr="00511775">
        <w:rPr>
          <w:lang w:val="fr-FR" w:eastAsia="fr-FR" w:bidi="fr-FR"/>
        </w:rPr>
        <w:t>tique pour la masse des électeurs.</w:t>
      </w:r>
    </w:p>
  </w:footnote>
  <w:footnote w:id="43">
    <w:p w:rsidR="00A9729B" w:rsidRDefault="00A9729B" w:rsidP="00A9729B">
      <w:pPr>
        <w:pStyle w:val="Notedebasdepage"/>
      </w:pPr>
      <w:r>
        <w:rPr>
          <w:rStyle w:val="Appelnotedebasdep"/>
        </w:rPr>
        <w:footnoteRef/>
      </w:r>
      <w:r>
        <w:t xml:space="preserve"> </w:t>
      </w:r>
      <w:r>
        <w:tab/>
      </w:r>
      <w:r w:rsidRPr="00511775">
        <w:rPr>
          <w:lang w:val="fr-FR" w:eastAsia="fr-FR" w:bidi="fr-FR"/>
        </w:rPr>
        <w:t>Il faut ici souligner ce par</w:t>
      </w:r>
      <w:r w:rsidRPr="00511775">
        <w:rPr>
          <w:lang w:val="fr-FR" w:eastAsia="fr-FR" w:bidi="fr-FR"/>
        </w:rPr>
        <w:t>a</w:t>
      </w:r>
      <w:r w:rsidRPr="00511775">
        <w:rPr>
          <w:lang w:val="fr-FR" w:eastAsia="fr-FR" w:bidi="fr-FR"/>
        </w:rPr>
        <w:t>doxe culturel que constitue l’existence d’une masse d’énoncés critiques, de caractère politique et qui, parce qu’ils n’ont pas réussi à informer une pratique, sont en voie de former une région cult</w:t>
      </w:r>
      <w:r w:rsidRPr="00511775">
        <w:rPr>
          <w:lang w:val="fr-FR" w:eastAsia="fr-FR" w:bidi="fr-FR"/>
        </w:rPr>
        <w:t>u</w:t>
      </w:r>
      <w:r w:rsidRPr="00511775">
        <w:rPr>
          <w:lang w:val="fr-FR" w:eastAsia="fr-FR" w:bidi="fr-FR"/>
        </w:rPr>
        <w:t>relle originale</w:t>
      </w:r>
      <w:r>
        <w:rPr>
          <w:lang w:val="fr-FR" w:eastAsia="fr-FR" w:bidi="fr-FR"/>
        </w:rPr>
        <w:t> :</w:t>
      </w:r>
      <w:r w:rsidRPr="00511775">
        <w:rPr>
          <w:lang w:val="fr-FR" w:eastAsia="fr-FR" w:bidi="fr-FR"/>
        </w:rPr>
        <w:t xml:space="preserve"> la critique spéc</w:t>
      </w:r>
      <w:r w:rsidRPr="00511775">
        <w:rPr>
          <w:lang w:val="fr-FR" w:eastAsia="fr-FR" w:bidi="fr-FR"/>
        </w:rPr>
        <w:t>u</w:t>
      </w:r>
      <w:r w:rsidRPr="00511775">
        <w:rPr>
          <w:lang w:val="fr-FR" w:eastAsia="fr-FR" w:bidi="fr-FR"/>
        </w:rPr>
        <w:t>lative.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9B" w:rsidRDefault="00A9729B" w:rsidP="00A9729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Jean-Paul Brodeur, “Culture et saturation</w:t>
    </w:r>
    <w:r w:rsidRPr="00567B6C">
      <w:rPr>
        <w:rFonts w:ascii="Times New Roman" w:hAnsi="Times New Roman"/>
      </w:rPr>
      <w:t>.</w:t>
    </w:r>
    <w:r>
      <w:rPr>
        <w:rFonts w:ascii="Times New Roman" w:hAnsi="Times New Roman"/>
      </w:rPr>
      <w:t>”</w:t>
    </w:r>
    <w:r w:rsidRPr="00C90835">
      <w:rPr>
        <w:rFonts w:ascii="Times New Roman" w:hAnsi="Times New Roman"/>
      </w:rPr>
      <w:t xml:space="preserve"> </w:t>
    </w:r>
    <w:r>
      <w:rPr>
        <w:rFonts w:ascii="Times New Roman" w:hAnsi="Times New Roman"/>
      </w:rPr>
      <w:t>(1973)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56DA8">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A9729B" w:rsidRDefault="00A9729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9729B"/>
    <w:rsid w:val="00AA2662"/>
    <w:rsid w:val="00C56DA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6BC0053-6B88-A54D-B82F-C129E417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194131"/>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BD6D79"/>
    <w:pPr>
      <w:pBdr>
        <w:bottom w:val="single" w:sz="4" w:space="1" w:color="auto"/>
      </w:pBdr>
      <w:spacing w:after="120"/>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48333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74C7C"/>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194131"/>
    <w:pPr>
      <w:ind w:firstLine="0"/>
      <w:jc w:val="left"/>
    </w:pPr>
    <w:rPr>
      <w:b/>
      <w:i/>
      <w:iCs/>
      <w:cap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275ptPetitesmajuscules">
    <w:name w:val="Corps du texte (2) + 7.5 pt;Petites majuscules"/>
    <w:basedOn w:val="Policepardfaut"/>
    <w:rsid w:val="005D5396"/>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En-tte122ptEspacement7pt">
    <w:name w:val="En-tête #1 + 22 pt;Espacement 7 pt"/>
    <w:basedOn w:val="Policepardfaut"/>
    <w:rsid w:val="005D5396"/>
    <w:rPr>
      <w:rFonts w:ascii="Times New Roman" w:eastAsia="Times New Roman" w:hAnsi="Times New Roman" w:cs="Times New Roman"/>
      <w:b/>
      <w:bCs/>
      <w:i w:val="0"/>
      <w:iCs w:val="0"/>
      <w:smallCaps w:val="0"/>
      <w:strike w:val="0"/>
      <w:color w:val="000000"/>
      <w:spacing w:val="150"/>
      <w:w w:val="100"/>
      <w:position w:val="0"/>
      <w:sz w:val="44"/>
      <w:szCs w:val="44"/>
      <w:u w:val="none"/>
      <w:lang w:val="fr-FR" w:eastAsia="fr-FR" w:bidi="fr-FR"/>
    </w:rPr>
  </w:style>
  <w:style w:type="character" w:customStyle="1" w:styleId="Notedebasdepage2">
    <w:name w:val="Note de bas de page (2)_"/>
    <w:basedOn w:val="Policepardfaut"/>
    <w:link w:val="Notedebasdepage20"/>
    <w:rsid w:val="005D5396"/>
    <w:rPr>
      <w:rFonts w:ascii="Times New Roman" w:eastAsia="Times New Roman" w:hAnsi="Times New Roman"/>
      <w:sz w:val="17"/>
      <w:szCs w:val="17"/>
      <w:shd w:val="clear" w:color="auto" w:fill="FFFFFF"/>
    </w:rPr>
  </w:style>
  <w:style w:type="character" w:customStyle="1" w:styleId="Notedebasdepage2Italique">
    <w:name w:val="Note de bas de page (2) + Italique"/>
    <w:basedOn w:val="Notedebasdepage2"/>
    <w:rsid w:val="005D5396"/>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Notedebasdepage0">
    <w:name w:val="Note de bas de page_"/>
    <w:basedOn w:val="Policepardfaut"/>
    <w:link w:val="Notedebasdepage1"/>
    <w:rsid w:val="005D5396"/>
    <w:rPr>
      <w:rFonts w:ascii="Times New Roman" w:eastAsia="Times New Roman" w:hAnsi="Times New Roman"/>
      <w:shd w:val="clear" w:color="auto" w:fill="FFFFFF"/>
    </w:rPr>
  </w:style>
  <w:style w:type="character" w:customStyle="1" w:styleId="Notedebasdepage3">
    <w:name w:val="Note de bas de page (3)_"/>
    <w:basedOn w:val="Policepardfaut"/>
    <w:link w:val="Notedebasdepage30"/>
    <w:rsid w:val="005D5396"/>
    <w:rPr>
      <w:rFonts w:ascii="Times New Roman" w:eastAsia="Times New Roman" w:hAnsi="Times New Roman"/>
      <w:i/>
      <w:iCs/>
      <w:sz w:val="17"/>
      <w:szCs w:val="17"/>
      <w:shd w:val="clear" w:color="auto" w:fill="FFFFFF"/>
    </w:rPr>
  </w:style>
  <w:style w:type="character" w:customStyle="1" w:styleId="Notedebasdepage3NonItalique">
    <w:name w:val="Note de bas de page (3) + Non Italique"/>
    <w:basedOn w:val="Notedebasdepage3"/>
    <w:rsid w:val="005D5396"/>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Notedebasdepage210pt">
    <w:name w:val="Note de bas de page (2) + 10 pt"/>
    <w:basedOn w:val="Notedebasdepage2"/>
    <w:rsid w:val="005D5396"/>
    <w:rPr>
      <w:rFonts w:ascii="Times New Roman" w:eastAsia="Times New Roman" w:hAnsi="Times New Roman"/>
      <w:color w:val="000000"/>
      <w:spacing w:val="0"/>
      <w:w w:val="100"/>
      <w:position w:val="0"/>
      <w:sz w:val="20"/>
      <w:szCs w:val="20"/>
      <w:shd w:val="clear" w:color="auto" w:fill="FFFFFF"/>
      <w:lang w:val="fr-FR" w:eastAsia="fr-FR" w:bidi="fr-FR"/>
    </w:rPr>
  </w:style>
  <w:style w:type="character" w:customStyle="1" w:styleId="Notedebasdepage4">
    <w:name w:val="Note de bas de page (4)_"/>
    <w:basedOn w:val="Policepardfaut"/>
    <w:link w:val="Notedebasdepage40"/>
    <w:rsid w:val="005D5396"/>
    <w:rPr>
      <w:rFonts w:ascii="Times New Roman" w:eastAsia="Times New Roman" w:hAnsi="Times New Roman"/>
      <w:i/>
      <w:iCs/>
      <w:sz w:val="17"/>
      <w:szCs w:val="17"/>
      <w:shd w:val="clear" w:color="auto" w:fill="FFFFFF"/>
    </w:rPr>
  </w:style>
  <w:style w:type="character" w:customStyle="1" w:styleId="Notedebasdepage4NonItalique">
    <w:name w:val="Note de bas de page (4) + Non Italique"/>
    <w:basedOn w:val="Notedebasdepage4"/>
    <w:rsid w:val="005D5396"/>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En-tte12">
    <w:name w:val="En-tête #1 (2)_"/>
    <w:basedOn w:val="Policepardfaut"/>
    <w:rsid w:val="005D5396"/>
    <w:rPr>
      <w:rFonts w:ascii="Arial" w:eastAsia="Arial" w:hAnsi="Arial" w:cs="Arial"/>
      <w:b/>
      <w:bCs/>
      <w:i w:val="0"/>
      <w:iCs w:val="0"/>
      <w:smallCaps w:val="0"/>
      <w:strike w:val="0"/>
      <w:spacing w:val="-20"/>
      <w:sz w:val="76"/>
      <w:szCs w:val="76"/>
      <w:u w:val="none"/>
    </w:rPr>
  </w:style>
  <w:style w:type="character" w:customStyle="1" w:styleId="En-tte120">
    <w:name w:val="En-tête #1 (2)"/>
    <w:basedOn w:val="En-tte12"/>
    <w:rsid w:val="005D5396"/>
    <w:rPr>
      <w:rFonts w:ascii="Arial" w:eastAsia="Arial" w:hAnsi="Arial" w:cs="Arial"/>
      <w:b/>
      <w:bCs/>
      <w:i w:val="0"/>
      <w:iCs w:val="0"/>
      <w:smallCaps w:val="0"/>
      <w:strike w:val="0"/>
      <w:color w:val="FFFFFF"/>
      <w:spacing w:val="-20"/>
      <w:w w:val="100"/>
      <w:position w:val="0"/>
      <w:sz w:val="76"/>
      <w:szCs w:val="76"/>
      <w:u w:val="none"/>
      <w:lang w:val="fr-FR" w:eastAsia="fr-FR" w:bidi="fr-FR"/>
    </w:rPr>
  </w:style>
  <w:style w:type="character" w:customStyle="1" w:styleId="Corpsdutexte266ptEspacement0pt">
    <w:name w:val="Corps du texte (26) + 6 pt;Espacement 0 pt"/>
    <w:basedOn w:val="Policepardfaut"/>
    <w:rsid w:val="005D5396"/>
    <w:rPr>
      <w:rFonts w:ascii="Courier New" w:eastAsia="Courier New" w:hAnsi="Courier New" w:cs="Courier New"/>
      <w:b w:val="0"/>
      <w:bCs w:val="0"/>
      <w:i w:val="0"/>
      <w:iCs w:val="0"/>
      <w:smallCaps w:val="0"/>
      <w:strike w:val="0"/>
      <w:color w:val="FFFFFF"/>
      <w:spacing w:val="0"/>
      <w:w w:val="100"/>
      <w:position w:val="0"/>
      <w:sz w:val="12"/>
      <w:szCs w:val="12"/>
      <w:u w:val="none"/>
      <w:lang w:val="fr-FR" w:eastAsia="fr-FR" w:bidi="fr-FR"/>
    </w:rPr>
  </w:style>
  <w:style w:type="paragraph" w:customStyle="1" w:styleId="aa">
    <w:name w:val="aa"/>
    <w:basedOn w:val="Normal"/>
    <w:autoRedefine/>
    <w:rsid w:val="005D5396"/>
    <w:pPr>
      <w:spacing w:before="120" w:after="120"/>
      <w:jc w:val="both"/>
    </w:pPr>
    <w:rPr>
      <w:b/>
      <w:i/>
      <w:color w:val="FF0000"/>
      <w:sz w:val="32"/>
    </w:rPr>
  </w:style>
  <w:style w:type="paragraph" w:customStyle="1" w:styleId="b">
    <w:name w:val="b"/>
    <w:basedOn w:val="Normal"/>
    <w:autoRedefine/>
    <w:rsid w:val="00A44D6A"/>
    <w:pPr>
      <w:spacing w:before="120" w:after="120"/>
      <w:ind w:left="720" w:firstLine="0"/>
    </w:pPr>
    <w:rPr>
      <w:i/>
      <w:color w:val="0000FF"/>
    </w:rPr>
  </w:style>
  <w:style w:type="paragraph" w:customStyle="1" w:styleId="bb">
    <w:name w:val="bb"/>
    <w:basedOn w:val="Normal"/>
    <w:rsid w:val="005D5396"/>
    <w:pPr>
      <w:spacing w:before="120" w:after="120"/>
      <w:ind w:left="540"/>
    </w:pPr>
    <w:rPr>
      <w:i/>
      <w:color w:val="0000FF"/>
    </w:rPr>
  </w:style>
  <w:style w:type="character" w:customStyle="1" w:styleId="Corpsdutexte710ptItaliqueExact">
    <w:name w:val="Corps du texte (7) + 10 pt;Italique Exact"/>
    <w:basedOn w:val="Policepardfaut"/>
    <w:rsid w:val="005D5396"/>
    <w:rPr>
      <w:rFonts w:ascii="Times New Roman" w:eastAsia="Times New Roman" w:hAnsi="Times New Roman" w:cs="Times New Roman"/>
      <w:b w:val="0"/>
      <w:bCs w:val="0"/>
      <w:i/>
      <w:iCs/>
      <w:smallCaps w:val="0"/>
      <w:strike w:val="0"/>
      <w:sz w:val="20"/>
      <w:szCs w:val="20"/>
      <w:u w:val="none"/>
    </w:rPr>
  </w:style>
  <w:style w:type="character" w:customStyle="1" w:styleId="En-tte4">
    <w:name w:val="En-tête #4_"/>
    <w:basedOn w:val="Policepardfaut"/>
    <w:link w:val="En-tte40"/>
    <w:rsid w:val="005D5396"/>
    <w:rPr>
      <w:rFonts w:ascii="Times New Roman" w:eastAsia="Times New Roman" w:hAnsi="Times New Roman"/>
      <w:b/>
      <w:bCs/>
      <w:shd w:val="clear" w:color="auto" w:fill="FFFFFF"/>
    </w:rPr>
  </w:style>
  <w:style w:type="character" w:customStyle="1" w:styleId="Grillecouleur-Accent1Car">
    <w:name w:val="Grille couleur - Accent 1 Car"/>
    <w:basedOn w:val="Policepardfaut"/>
    <w:link w:val="Grillecouleur-Accent1"/>
    <w:rsid w:val="00194131"/>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D5396"/>
    <w:rPr>
      <w:rFonts w:ascii="Times New Roman" w:eastAsia="Times New Roman" w:hAnsi="Times New Roman"/>
      <w:sz w:val="72"/>
      <w:lang w:val="fr-CA" w:eastAsia="en-US"/>
    </w:rPr>
  </w:style>
  <w:style w:type="paragraph" w:styleId="Corpsdetexte2">
    <w:name w:val="Body Text 2"/>
    <w:basedOn w:val="Normal"/>
    <w:link w:val="Corpsdetexte2Car"/>
    <w:rsid w:val="005D5396"/>
    <w:pPr>
      <w:jc w:val="both"/>
    </w:pPr>
    <w:rPr>
      <w:rFonts w:ascii="Arial" w:hAnsi="Arial"/>
    </w:rPr>
  </w:style>
  <w:style w:type="character" w:customStyle="1" w:styleId="Corpsdetexte2Car">
    <w:name w:val="Corps de texte 2 Car"/>
    <w:basedOn w:val="Policepardfaut"/>
    <w:link w:val="Corpsdetexte2"/>
    <w:rsid w:val="005D5396"/>
    <w:rPr>
      <w:rFonts w:ascii="Arial" w:eastAsia="Times New Roman" w:hAnsi="Arial"/>
      <w:sz w:val="28"/>
      <w:lang w:val="fr-CA" w:eastAsia="en-US"/>
    </w:rPr>
  </w:style>
  <w:style w:type="character" w:customStyle="1" w:styleId="En-tte1">
    <w:name w:val="En-tête #1_"/>
    <w:basedOn w:val="Policepardfaut"/>
    <w:link w:val="En-tte10"/>
    <w:rsid w:val="005D5396"/>
    <w:rPr>
      <w:rFonts w:ascii="Times New Roman" w:eastAsia="Times New Roman" w:hAnsi="Times New Roman"/>
      <w:b/>
      <w:bCs/>
      <w:spacing w:val="-10"/>
      <w:sz w:val="42"/>
      <w:szCs w:val="42"/>
      <w:shd w:val="clear" w:color="auto" w:fill="FFFFFF"/>
    </w:rPr>
  </w:style>
  <w:style w:type="character" w:customStyle="1" w:styleId="En-tte22">
    <w:name w:val="En-tête #2 (2)_"/>
    <w:basedOn w:val="Policepardfaut"/>
    <w:link w:val="En-tte220"/>
    <w:rsid w:val="005D5396"/>
    <w:rPr>
      <w:rFonts w:ascii="Times New Roman" w:eastAsia="Times New Roman" w:hAnsi="Times New Roman"/>
      <w:shd w:val="clear" w:color="auto" w:fill="FFFFFF"/>
    </w:rPr>
  </w:style>
  <w:style w:type="character" w:customStyle="1" w:styleId="En-tte410ptNonGras">
    <w:name w:val="En-tête #4 + 10 pt;Non Gras"/>
    <w:basedOn w:val="En-tte4"/>
    <w:rsid w:val="005D5396"/>
    <w:rPr>
      <w:rFonts w:ascii="Times New Roman" w:eastAsia="Times New Roman" w:hAnsi="Times New Roman"/>
      <w:b/>
      <w:bCs/>
      <w:color w:val="000000"/>
      <w:spacing w:val="0"/>
      <w:w w:val="100"/>
      <w:position w:val="0"/>
      <w:sz w:val="20"/>
      <w:szCs w:val="20"/>
      <w:shd w:val="clear" w:color="auto" w:fill="FFFFFF"/>
      <w:lang w:val="fr-FR" w:eastAsia="fr-FR" w:bidi="fr-FR"/>
    </w:rPr>
  </w:style>
  <w:style w:type="paragraph" w:styleId="Corpsdetexte3">
    <w:name w:val="Body Text 3"/>
    <w:basedOn w:val="Normal"/>
    <w:link w:val="Corpsdetexte3Car"/>
    <w:rsid w:val="005D5396"/>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D5396"/>
    <w:rPr>
      <w:rFonts w:ascii="Arial" w:eastAsia="Times New Roman" w:hAnsi="Arial"/>
      <w:lang w:val="fr-CA" w:eastAsia="en-US"/>
    </w:rPr>
  </w:style>
  <w:style w:type="character" w:customStyle="1" w:styleId="Tabledesmatires">
    <w:name w:val="Table des matières_"/>
    <w:basedOn w:val="Policepardfaut"/>
    <w:link w:val="Tabledesmatires0"/>
    <w:rsid w:val="005D5396"/>
    <w:rPr>
      <w:rFonts w:ascii="Times New Roman" w:eastAsia="Times New Roman" w:hAnsi="Times New Roman"/>
      <w:shd w:val="clear" w:color="auto" w:fill="FFFFFF"/>
    </w:rPr>
  </w:style>
  <w:style w:type="character" w:customStyle="1" w:styleId="TabledesmatiresItalique">
    <w:name w:val="Table des matières + Italique"/>
    <w:basedOn w:val="Tabledesmatires"/>
    <w:rsid w:val="005D5396"/>
    <w:rPr>
      <w:rFonts w:ascii="Times New Roman" w:eastAsia="Times New Roman" w:hAnsi="Times New Roman"/>
      <w:i/>
      <w:iCs/>
      <w:color w:val="000000"/>
      <w:spacing w:val="0"/>
      <w:w w:val="100"/>
      <w:position w:val="0"/>
      <w:shd w:val="clear" w:color="auto" w:fill="FFFFFF"/>
      <w:lang w:val="fr-FR" w:eastAsia="fr-FR" w:bidi="fr-FR"/>
    </w:rPr>
  </w:style>
  <w:style w:type="paragraph" w:customStyle="1" w:styleId="dd">
    <w:name w:val="dd"/>
    <w:basedOn w:val="Normal"/>
    <w:autoRedefine/>
    <w:rsid w:val="005D5396"/>
    <w:pPr>
      <w:spacing w:before="120" w:after="120"/>
      <w:ind w:left="1080"/>
    </w:pPr>
    <w:rPr>
      <w:i/>
      <w:color w:val="008000"/>
    </w:rPr>
  </w:style>
  <w:style w:type="character" w:customStyle="1" w:styleId="En-tteCar">
    <w:name w:val="En-tête Car"/>
    <w:basedOn w:val="Policepardfaut"/>
    <w:link w:val="En-tte"/>
    <w:uiPriority w:val="99"/>
    <w:rsid w:val="005D5396"/>
    <w:rPr>
      <w:rFonts w:ascii="GillSans" w:eastAsia="Times New Roman" w:hAnsi="GillSans"/>
      <w:lang w:val="fr-CA" w:eastAsia="en-US"/>
    </w:rPr>
  </w:style>
  <w:style w:type="character" w:customStyle="1" w:styleId="En-tte3">
    <w:name w:val="En-tête #3_"/>
    <w:basedOn w:val="Policepardfaut"/>
    <w:link w:val="En-tte30"/>
    <w:rsid w:val="005D5396"/>
    <w:rPr>
      <w:rFonts w:ascii="Times New Roman" w:eastAsia="Times New Roman" w:hAnsi="Times New Roman"/>
      <w:shd w:val="clear" w:color="auto" w:fill="FFFFFF"/>
    </w:rPr>
  </w:style>
  <w:style w:type="character" w:customStyle="1" w:styleId="En-tte42">
    <w:name w:val="En-tête #4 (2)_"/>
    <w:basedOn w:val="Policepardfaut"/>
    <w:link w:val="En-tte420"/>
    <w:rsid w:val="005D5396"/>
    <w:rPr>
      <w:rFonts w:ascii="Times New Roman" w:eastAsia="Times New Roman" w:hAnsi="Times New Roman"/>
      <w:b/>
      <w:bCs/>
      <w:spacing w:val="-10"/>
      <w:sz w:val="30"/>
      <w:szCs w:val="30"/>
      <w:shd w:val="clear" w:color="auto" w:fill="FFFFFF"/>
    </w:rPr>
  </w:style>
  <w:style w:type="character" w:customStyle="1" w:styleId="En-tte314ptGrasItaliqueEspacement0pt">
    <w:name w:val="En-tête #3 + 14 pt;Gras;Italique;Espacement 0 pt"/>
    <w:basedOn w:val="En-tte3"/>
    <w:rsid w:val="005D5396"/>
    <w:rPr>
      <w:rFonts w:ascii="Times New Roman" w:eastAsia="Times New Roman" w:hAnsi="Times New Roman"/>
      <w:b/>
      <w:bCs/>
      <w:i/>
      <w:iCs/>
      <w:color w:val="000000"/>
      <w:spacing w:val="-10"/>
      <w:w w:val="100"/>
      <w:position w:val="0"/>
      <w:sz w:val="28"/>
      <w:szCs w:val="28"/>
      <w:shd w:val="clear" w:color="auto" w:fill="FFFFFF"/>
      <w:lang w:val="fr-FR" w:eastAsia="fr-FR" w:bidi="fr-FR"/>
    </w:rPr>
  </w:style>
  <w:style w:type="character" w:customStyle="1" w:styleId="En-tteoupieddepage">
    <w:name w:val="En-tête ou pied de page_"/>
    <w:basedOn w:val="Policepardfaut"/>
    <w:rsid w:val="005D5396"/>
    <w:rPr>
      <w:rFonts w:ascii="Times New Roman" w:eastAsia="Times New Roman" w:hAnsi="Times New Roman" w:cs="Times New Roman"/>
      <w:b w:val="0"/>
      <w:bCs w:val="0"/>
      <w:i w:val="0"/>
      <w:iCs w:val="0"/>
      <w:smallCaps w:val="0"/>
      <w:strike w:val="0"/>
      <w:sz w:val="15"/>
      <w:szCs w:val="15"/>
      <w:u w:val="none"/>
    </w:rPr>
  </w:style>
  <w:style w:type="character" w:customStyle="1" w:styleId="En-tteoupieddepage95ptGras">
    <w:name w:val="En-tête ou pied de page + 9.5 pt;Gras"/>
    <w:basedOn w:val="En-tteoupieddepage"/>
    <w:rsid w:val="005D5396"/>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En-tteoupieddepage0">
    <w:name w:val="En-tête ou pied de page"/>
    <w:basedOn w:val="En-tteoupieddepage"/>
    <w:rsid w:val="005D539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paragraph" w:customStyle="1" w:styleId="figlgende">
    <w:name w:val="fig légende"/>
    <w:basedOn w:val="Normal0"/>
    <w:rsid w:val="005D5396"/>
    <w:rPr>
      <w:color w:val="000090"/>
      <w:sz w:val="24"/>
      <w:szCs w:val="16"/>
      <w:lang w:eastAsia="fr-FR"/>
    </w:rPr>
  </w:style>
  <w:style w:type="paragraph" w:customStyle="1" w:styleId="figst">
    <w:name w:val="fig st"/>
    <w:basedOn w:val="Normal"/>
    <w:autoRedefine/>
    <w:rsid w:val="00483332"/>
    <w:pPr>
      <w:spacing w:before="120" w:after="120"/>
      <w:jc w:val="center"/>
    </w:pPr>
    <w:rPr>
      <w:rFonts w:cs="Arial"/>
      <w:color w:val="000090"/>
      <w:sz w:val="24"/>
      <w:szCs w:val="16"/>
    </w:rPr>
  </w:style>
  <w:style w:type="paragraph" w:customStyle="1" w:styleId="figtitre">
    <w:name w:val="fig titre"/>
    <w:basedOn w:val="Normal"/>
    <w:autoRedefine/>
    <w:rsid w:val="005D5396"/>
    <w:pPr>
      <w:spacing w:before="120" w:after="120"/>
      <w:jc w:val="center"/>
    </w:pPr>
    <w:rPr>
      <w:rFonts w:cs="Arial"/>
      <w:b/>
      <w:bCs/>
      <w:szCs w:val="12"/>
    </w:rPr>
  </w:style>
  <w:style w:type="character" w:customStyle="1" w:styleId="En-tte2">
    <w:name w:val="En-tête #2_"/>
    <w:basedOn w:val="Policepardfaut"/>
    <w:link w:val="En-tte20"/>
    <w:rsid w:val="005D5396"/>
    <w:rPr>
      <w:rFonts w:ascii="Times New Roman" w:eastAsia="Times New Roman" w:hAnsi="Times New Roman"/>
      <w:sz w:val="32"/>
      <w:szCs w:val="32"/>
      <w:shd w:val="clear" w:color="auto" w:fill="FFFFFF"/>
    </w:rPr>
  </w:style>
  <w:style w:type="character" w:customStyle="1" w:styleId="En-tteoupieddepage2">
    <w:name w:val="En-tête ou pied de page (2)"/>
    <w:basedOn w:val="Policepardfaut"/>
    <w:rsid w:val="005D5396"/>
    <w:rPr>
      <w:rFonts w:ascii="Times New Roman" w:eastAsia="Times New Roman" w:hAnsi="Times New Roman" w:cs="Times New Roman"/>
      <w:b/>
      <w:bCs/>
      <w:i w:val="0"/>
      <w:iCs w:val="0"/>
      <w:smallCaps w:val="0"/>
      <w:strike w:val="0"/>
      <w:spacing w:val="0"/>
      <w:sz w:val="19"/>
      <w:szCs w:val="19"/>
      <w:u w:val="none"/>
    </w:rPr>
  </w:style>
  <w:style w:type="character" w:customStyle="1" w:styleId="Lgendedelimage2">
    <w:name w:val="Légende de l'image (2)_"/>
    <w:basedOn w:val="Policepardfaut"/>
    <w:link w:val="Lgendedelimage20"/>
    <w:rsid w:val="005D5396"/>
    <w:rPr>
      <w:rFonts w:ascii="Times New Roman" w:eastAsia="Times New Roman" w:hAnsi="Times New Roman"/>
      <w:shd w:val="clear" w:color="auto" w:fill="FFFFFF"/>
    </w:rPr>
  </w:style>
  <w:style w:type="character" w:customStyle="1" w:styleId="Numrodetitre4">
    <w:name w:val="Numéro de titre #4_"/>
    <w:basedOn w:val="Policepardfaut"/>
    <w:link w:val="Numrodetitre40"/>
    <w:rsid w:val="005D5396"/>
    <w:rPr>
      <w:rFonts w:ascii="Times New Roman" w:eastAsia="Times New Roman" w:hAnsi="Times New Roman"/>
      <w:i/>
      <w:iCs/>
      <w:spacing w:val="60"/>
      <w:shd w:val="clear" w:color="auto" w:fill="FFFFFF"/>
    </w:rPr>
  </w:style>
  <w:style w:type="character" w:customStyle="1" w:styleId="En-tteoupieddepage95ptItalique">
    <w:name w:val="En-tête ou pied de page + 9.5 pt;Italique"/>
    <w:basedOn w:val="En-tteoupieddepage"/>
    <w:rsid w:val="005D539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paragraph" w:customStyle="1" w:styleId="Notedebasdepage20">
    <w:name w:val="Note de bas de page (2)"/>
    <w:basedOn w:val="Normal"/>
    <w:link w:val="Notedebasdepage2"/>
    <w:rsid w:val="005D5396"/>
    <w:pPr>
      <w:widowControl w:val="0"/>
      <w:shd w:val="clear" w:color="auto" w:fill="FFFFFF"/>
      <w:spacing w:line="180" w:lineRule="exact"/>
      <w:ind w:hanging="228"/>
    </w:pPr>
    <w:rPr>
      <w:sz w:val="17"/>
      <w:szCs w:val="17"/>
      <w:lang w:val="fr-FR" w:eastAsia="fr-FR"/>
    </w:rPr>
  </w:style>
  <w:style w:type="paragraph" w:customStyle="1" w:styleId="Notedebasdepage1">
    <w:name w:val="Note de bas de page1"/>
    <w:basedOn w:val="Normal"/>
    <w:link w:val="Notedebasdepage0"/>
    <w:rsid w:val="005D5396"/>
    <w:pPr>
      <w:widowControl w:val="0"/>
      <w:shd w:val="clear" w:color="auto" w:fill="FFFFFF"/>
      <w:spacing w:line="223" w:lineRule="exact"/>
      <w:ind w:firstLine="234"/>
      <w:jc w:val="both"/>
    </w:pPr>
    <w:rPr>
      <w:sz w:val="20"/>
      <w:lang w:val="fr-FR" w:eastAsia="fr-FR"/>
    </w:rPr>
  </w:style>
  <w:style w:type="paragraph" w:customStyle="1" w:styleId="Notedebasdepage30">
    <w:name w:val="Note de bas de page (3)"/>
    <w:basedOn w:val="Normal"/>
    <w:link w:val="Notedebasdepage3"/>
    <w:rsid w:val="005D5396"/>
    <w:pPr>
      <w:widowControl w:val="0"/>
      <w:shd w:val="clear" w:color="auto" w:fill="FFFFFF"/>
      <w:spacing w:line="180" w:lineRule="exact"/>
      <w:ind w:firstLine="32"/>
      <w:jc w:val="both"/>
    </w:pPr>
    <w:rPr>
      <w:i/>
      <w:iCs/>
      <w:sz w:val="17"/>
      <w:szCs w:val="17"/>
      <w:lang w:val="fr-FR" w:eastAsia="fr-FR"/>
    </w:rPr>
  </w:style>
  <w:style w:type="paragraph" w:customStyle="1" w:styleId="Notedebasdepage40">
    <w:name w:val="Note de bas de page (4)"/>
    <w:basedOn w:val="Normal"/>
    <w:link w:val="Notedebasdepage4"/>
    <w:rsid w:val="005D5396"/>
    <w:pPr>
      <w:widowControl w:val="0"/>
      <w:shd w:val="clear" w:color="auto" w:fill="FFFFFF"/>
      <w:spacing w:line="0" w:lineRule="atLeast"/>
      <w:ind w:firstLine="122"/>
      <w:jc w:val="both"/>
    </w:pPr>
    <w:rPr>
      <w:i/>
      <w:iCs/>
      <w:sz w:val="17"/>
      <w:szCs w:val="17"/>
      <w:lang w:val="fr-FR" w:eastAsia="fr-FR"/>
    </w:rPr>
  </w:style>
  <w:style w:type="paragraph" w:customStyle="1" w:styleId="En-tte40">
    <w:name w:val="En-tête #4"/>
    <w:basedOn w:val="Normal"/>
    <w:link w:val="En-tte4"/>
    <w:rsid w:val="005D5396"/>
    <w:pPr>
      <w:widowControl w:val="0"/>
      <w:shd w:val="clear" w:color="auto" w:fill="FFFFFF"/>
      <w:spacing w:after="240" w:line="0" w:lineRule="atLeast"/>
      <w:jc w:val="both"/>
      <w:outlineLvl w:val="3"/>
    </w:pPr>
    <w:rPr>
      <w:b/>
      <w:bCs/>
      <w:sz w:val="20"/>
      <w:lang w:val="fr-FR" w:eastAsia="fr-FR"/>
    </w:rPr>
  </w:style>
  <w:style w:type="paragraph" w:customStyle="1" w:styleId="En-tte10">
    <w:name w:val="En-tête #1"/>
    <w:basedOn w:val="Normal"/>
    <w:link w:val="En-tte1"/>
    <w:rsid w:val="005D5396"/>
    <w:pPr>
      <w:widowControl w:val="0"/>
      <w:shd w:val="clear" w:color="auto" w:fill="FFFFFF"/>
      <w:spacing w:after="5400" w:line="605" w:lineRule="exact"/>
      <w:ind w:firstLine="32"/>
      <w:jc w:val="both"/>
      <w:outlineLvl w:val="0"/>
    </w:pPr>
    <w:rPr>
      <w:b/>
      <w:bCs/>
      <w:spacing w:val="-10"/>
      <w:sz w:val="42"/>
      <w:szCs w:val="42"/>
      <w:lang w:val="fr-FR" w:eastAsia="fr-FR"/>
    </w:rPr>
  </w:style>
  <w:style w:type="paragraph" w:customStyle="1" w:styleId="En-tte220">
    <w:name w:val="En-tête #2 (2)"/>
    <w:basedOn w:val="Normal"/>
    <w:link w:val="En-tte22"/>
    <w:rsid w:val="005D5396"/>
    <w:pPr>
      <w:widowControl w:val="0"/>
      <w:shd w:val="clear" w:color="auto" w:fill="FFFFFF"/>
      <w:spacing w:line="0" w:lineRule="atLeast"/>
      <w:ind w:firstLine="29"/>
      <w:outlineLvl w:val="1"/>
    </w:pPr>
    <w:rPr>
      <w:sz w:val="20"/>
      <w:lang w:val="fr-FR" w:eastAsia="fr-FR"/>
    </w:rPr>
  </w:style>
  <w:style w:type="paragraph" w:customStyle="1" w:styleId="Tabledesmatires0">
    <w:name w:val="Table des matières"/>
    <w:basedOn w:val="Normal"/>
    <w:link w:val="Tabledesmatires"/>
    <w:rsid w:val="005D5396"/>
    <w:pPr>
      <w:widowControl w:val="0"/>
      <w:shd w:val="clear" w:color="auto" w:fill="FFFFFF"/>
      <w:spacing w:before="480" w:after="420" w:line="0" w:lineRule="atLeast"/>
      <w:ind w:firstLine="8"/>
      <w:jc w:val="both"/>
    </w:pPr>
    <w:rPr>
      <w:sz w:val="20"/>
      <w:lang w:val="fr-FR" w:eastAsia="fr-FR"/>
    </w:rPr>
  </w:style>
  <w:style w:type="character" w:customStyle="1" w:styleId="NotedebasdepageCar">
    <w:name w:val="Note de bas de page Car"/>
    <w:basedOn w:val="Policepardfaut"/>
    <w:link w:val="Notedebasdepage"/>
    <w:rsid w:val="00483332"/>
    <w:rPr>
      <w:rFonts w:ascii="Times New Roman" w:eastAsia="Times New Roman" w:hAnsi="Times New Roman"/>
      <w:color w:val="000000"/>
      <w:sz w:val="24"/>
      <w:lang w:val="fr-CA" w:eastAsia="en-US"/>
    </w:rPr>
  </w:style>
  <w:style w:type="paragraph" w:customStyle="1" w:styleId="En-tte30">
    <w:name w:val="En-tête #3"/>
    <w:basedOn w:val="Normal"/>
    <w:link w:val="En-tte3"/>
    <w:rsid w:val="005D5396"/>
    <w:pPr>
      <w:widowControl w:val="0"/>
      <w:shd w:val="clear" w:color="auto" w:fill="FFFFFF"/>
      <w:spacing w:line="0" w:lineRule="atLeast"/>
      <w:outlineLvl w:val="2"/>
    </w:pPr>
    <w:rPr>
      <w:sz w:val="20"/>
      <w:lang w:val="fr-FR" w:eastAsia="fr-FR"/>
    </w:rPr>
  </w:style>
  <w:style w:type="character" w:customStyle="1" w:styleId="NotedefinCar">
    <w:name w:val="Note de fin Car"/>
    <w:basedOn w:val="Policepardfaut"/>
    <w:link w:val="Notedefin"/>
    <w:rsid w:val="005D5396"/>
    <w:rPr>
      <w:rFonts w:ascii="Times New Roman" w:eastAsia="Times New Roman" w:hAnsi="Times New Roman"/>
      <w:lang w:eastAsia="en-US"/>
    </w:rPr>
  </w:style>
  <w:style w:type="paragraph" w:customStyle="1" w:styleId="En-tte420">
    <w:name w:val="En-tête #4 (2)"/>
    <w:basedOn w:val="Normal"/>
    <w:link w:val="En-tte42"/>
    <w:rsid w:val="005D5396"/>
    <w:pPr>
      <w:widowControl w:val="0"/>
      <w:shd w:val="clear" w:color="auto" w:fill="FFFFFF"/>
      <w:spacing w:line="0" w:lineRule="atLeast"/>
      <w:ind w:firstLine="32"/>
      <w:outlineLvl w:val="3"/>
    </w:pPr>
    <w:rPr>
      <w:b/>
      <w:bCs/>
      <w:spacing w:val="-10"/>
      <w:sz w:val="30"/>
      <w:szCs w:val="30"/>
      <w:lang w:val="fr-FR" w:eastAsia="fr-FR"/>
    </w:rPr>
  </w:style>
  <w:style w:type="character" w:customStyle="1" w:styleId="PieddepageCar">
    <w:name w:val="Pied de page Car"/>
    <w:basedOn w:val="Policepardfaut"/>
    <w:link w:val="Pieddepage"/>
    <w:uiPriority w:val="99"/>
    <w:rsid w:val="005D5396"/>
    <w:rPr>
      <w:rFonts w:ascii="GillSans" w:eastAsia="Times New Roman" w:hAnsi="GillSans"/>
      <w:lang w:val="fr-CA" w:eastAsia="en-US"/>
    </w:rPr>
  </w:style>
  <w:style w:type="paragraph" w:customStyle="1" w:styleId="En-tte20">
    <w:name w:val="En-tête #2"/>
    <w:basedOn w:val="Normal"/>
    <w:link w:val="En-tte2"/>
    <w:rsid w:val="005D5396"/>
    <w:pPr>
      <w:widowControl w:val="0"/>
      <w:shd w:val="clear" w:color="auto" w:fill="FFFFFF"/>
      <w:spacing w:line="0" w:lineRule="atLeast"/>
      <w:ind w:firstLine="32"/>
      <w:outlineLvl w:val="1"/>
    </w:pPr>
    <w:rPr>
      <w:sz w:val="32"/>
      <w:szCs w:val="32"/>
      <w:lang w:val="fr-FR" w:eastAsia="fr-FR"/>
    </w:rPr>
  </w:style>
  <w:style w:type="paragraph" w:customStyle="1" w:styleId="Lgendedelimage20">
    <w:name w:val="Légende de l'image (2)"/>
    <w:basedOn w:val="Normal"/>
    <w:link w:val="Lgendedelimage2"/>
    <w:rsid w:val="005D5396"/>
    <w:pPr>
      <w:widowControl w:val="0"/>
      <w:shd w:val="clear" w:color="auto" w:fill="FFFFFF"/>
      <w:spacing w:line="0" w:lineRule="atLeast"/>
      <w:ind w:hanging="9"/>
      <w:jc w:val="both"/>
    </w:pPr>
    <w:rPr>
      <w:sz w:val="20"/>
      <w:lang w:val="fr-FR" w:eastAsia="fr-FR"/>
    </w:rPr>
  </w:style>
  <w:style w:type="character" w:customStyle="1" w:styleId="RetraitcorpsdetexteCar">
    <w:name w:val="Retrait corps de texte Car"/>
    <w:basedOn w:val="Policepardfaut"/>
    <w:link w:val="Retraitcorpsdetexte"/>
    <w:rsid w:val="005D5396"/>
    <w:rPr>
      <w:rFonts w:ascii="Arial" w:eastAsia="Times New Roman" w:hAnsi="Arial"/>
      <w:sz w:val="28"/>
      <w:lang w:val="fr-CA" w:eastAsia="en-US"/>
    </w:rPr>
  </w:style>
  <w:style w:type="paragraph" w:customStyle="1" w:styleId="Numrodetitre40">
    <w:name w:val="Numéro de titre #4"/>
    <w:basedOn w:val="Normal"/>
    <w:link w:val="Numrodetitre4"/>
    <w:rsid w:val="005D5396"/>
    <w:pPr>
      <w:widowControl w:val="0"/>
      <w:shd w:val="clear" w:color="auto" w:fill="FFFFFF"/>
      <w:spacing w:after="1020" w:line="0" w:lineRule="atLeast"/>
      <w:jc w:val="right"/>
    </w:pPr>
    <w:rPr>
      <w:i/>
      <w:iCs/>
      <w:spacing w:val="60"/>
      <w:sz w:val="20"/>
      <w:lang w:val="fr-FR" w:eastAsia="fr-FR"/>
    </w:rPr>
  </w:style>
  <w:style w:type="character" w:customStyle="1" w:styleId="Retraitcorpsdetexte2Car">
    <w:name w:val="Retrait corps de texte 2 Car"/>
    <w:basedOn w:val="Policepardfaut"/>
    <w:link w:val="Retraitcorpsdetexte2"/>
    <w:rsid w:val="005D5396"/>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D5396"/>
    <w:rPr>
      <w:rFonts w:ascii="Arial" w:eastAsia="Times New Roman" w:hAnsi="Arial"/>
      <w:sz w:val="28"/>
      <w:lang w:val="fr-CA" w:eastAsia="en-US"/>
    </w:rPr>
  </w:style>
  <w:style w:type="character" w:customStyle="1" w:styleId="TitreCar">
    <w:name w:val="Titre Car"/>
    <w:basedOn w:val="Policepardfaut"/>
    <w:link w:val="Titre"/>
    <w:rsid w:val="005D5396"/>
    <w:rPr>
      <w:rFonts w:ascii="Times New Roman" w:eastAsia="Times New Roman" w:hAnsi="Times New Roman"/>
      <w:b/>
      <w:sz w:val="48"/>
      <w:lang w:val="fr-CA" w:eastAsia="en-US"/>
    </w:rPr>
  </w:style>
  <w:style w:type="character" w:customStyle="1" w:styleId="Titre1Car">
    <w:name w:val="Titre 1 Car"/>
    <w:basedOn w:val="Policepardfaut"/>
    <w:link w:val="Titre1"/>
    <w:rsid w:val="005D5396"/>
    <w:rPr>
      <w:rFonts w:eastAsia="Times New Roman"/>
      <w:noProof/>
      <w:lang w:val="fr-CA" w:eastAsia="en-US" w:bidi="ar-SA"/>
    </w:rPr>
  </w:style>
  <w:style w:type="character" w:customStyle="1" w:styleId="Titre2Car">
    <w:name w:val="Titre 2 Car"/>
    <w:basedOn w:val="Policepardfaut"/>
    <w:link w:val="Titre2"/>
    <w:rsid w:val="005D5396"/>
    <w:rPr>
      <w:rFonts w:eastAsia="Times New Roman"/>
      <w:noProof/>
      <w:lang w:val="fr-CA" w:eastAsia="en-US" w:bidi="ar-SA"/>
    </w:rPr>
  </w:style>
  <w:style w:type="character" w:customStyle="1" w:styleId="Titre3Car">
    <w:name w:val="Titre 3 Car"/>
    <w:basedOn w:val="Policepardfaut"/>
    <w:link w:val="Titre3"/>
    <w:rsid w:val="005D5396"/>
    <w:rPr>
      <w:rFonts w:eastAsia="Times New Roman"/>
      <w:noProof/>
      <w:lang w:val="fr-CA" w:eastAsia="en-US" w:bidi="ar-SA"/>
    </w:rPr>
  </w:style>
  <w:style w:type="character" w:customStyle="1" w:styleId="Titre4Car">
    <w:name w:val="Titre 4 Car"/>
    <w:basedOn w:val="Policepardfaut"/>
    <w:link w:val="Titre4"/>
    <w:rsid w:val="005D5396"/>
    <w:rPr>
      <w:rFonts w:eastAsia="Times New Roman"/>
      <w:noProof/>
      <w:lang w:val="fr-CA" w:eastAsia="en-US" w:bidi="ar-SA"/>
    </w:rPr>
  </w:style>
  <w:style w:type="character" w:customStyle="1" w:styleId="Titre5Car">
    <w:name w:val="Titre 5 Car"/>
    <w:basedOn w:val="Policepardfaut"/>
    <w:link w:val="Titre5"/>
    <w:rsid w:val="005D5396"/>
    <w:rPr>
      <w:rFonts w:eastAsia="Times New Roman"/>
      <w:noProof/>
      <w:lang w:val="fr-CA" w:eastAsia="en-US" w:bidi="ar-SA"/>
    </w:rPr>
  </w:style>
  <w:style w:type="character" w:customStyle="1" w:styleId="Titre6Car">
    <w:name w:val="Titre 6 Car"/>
    <w:basedOn w:val="Policepardfaut"/>
    <w:link w:val="Titre6"/>
    <w:rsid w:val="005D5396"/>
    <w:rPr>
      <w:rFonts w:eastAsia="Times New Roman"/>
      <w:noProof/>
      <w:lang w:val="fr-CA" w:eastAsia="en-US" w:bidi="ar-SA"/>
    </w:rPr>
  </w:style>
  <w:style w:type="character" w:customStyle="1" w:styleId="Titre7Car">
    <w:name w:val="Titre 7 Car"/>
    <w:basedOn w:val="Policepardfaut"/>
    <w:link w:val="Titre7"/>
    <w:rsid w:val="005D5396"/>
    <w:rPr>
      <w:rFonts w:eastAsia="Times New Roman"/>
      <w:noProof/>
      <w:lang w:val="fr-CA" w:eastAsia="en-US" w:bidi="ar-SA"/>
    </w:rPr>
  </w:style>
  <w:style w:type="character" w:customStyle="1" w:styleId="Titre8Car">
    <w:name w:val="Titre 8 Car"/>
    <w:basedOn w:val="Policepardfaut"/>
    <w:link w:val="Titre8"/>
    <w:rsid w:val="005D5396"/>
    <w:rPr>
      <w:rFonts w:eastAsia="Times New Roman"/>
      <w:noProof/>
      <w:lang w:val="fr-CA" w:eastAsia="en-US" w:bidi="ar-SA"/>
    </w:rPr>
  </w:style>
  <w:style w:type="character" w:customStyle="1" w:styleId="Titre9Car">
    <w:name w:val="Titre 9 Car"/>
    <w:basedOn w:val="Policepardfaut"/>
    <w:link w:val="Titre9"/>
    <w:rsid w:val="005D5396"/>
    <w:rPr>
      <w:rFonts w:eastAsia="Times New Roman"/>
      <w:noProof/>
      <w:lang w:val="fr-CA" w:eastAsia="en-US" w:bidi="ar-SA"/>
    </w:rPr>
  </w:style>
  <w:style w:type="character" w:customStyle="1" w:styleId="NotedebasdepageItalique">
    <w:name w:val="Note de bas de page + Italique"/>
    <w:basedOn w:val="Notedebasdepage0"/>
    <w:rsid w:val="0032788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Notedebasdepage10pt">
    <w:name w:val="Note de bas de page + 10 pt"/>
    <w:basedOn w:val="Notedebasdepage0"/>
    <w:rsid w:val="0032788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NotedebasdepageEspacement1pt">
    <w:name w:val="Note de bas de page + Espacement 1 pt"/>
    <w:basedOn w:val="Notedebasdepage0"/>
    <w:rsid w:val="00327887"/>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fr-FR" w:eastAsia="fr-FR" w:bidi="fr-FR"/>
    </w:rPr>
  </w:style>
  <w:style w:type="character" w:customStyle="1" w:styleId="NotedebasdepageItaliqueEspacement2pt">
    <w:name w:val="Note de bas de page + Italique;Espacement 2 pt"/>
    <w:basedOn w:val="Notedebasdepage0"/>
    <w:rsid w:val="00327887"/>
    <w:rPr>
      <w:rFonts w:ascii="Times New Roman" w:eastAsia="Times New Roman" w:hAnsi="Times New Roman" w:cs="Times New Roman"/>
      <w:b w:val="0"/>
      <w:bCs w:val="0"/>
      <w:i/>
      <w:iCs/>
      <w:smallCaps w:val="0"/>
      <w:strike w:val="0"/>
      <w:color w:val="000000"/>
      <w:spacing w:val="40"/>
      <w:w w:val="100"/>
      <w:position w:val="0"/>
      <w:sz w:val="17"/>
      <w:szCs w:val="17"/>
      <w:u w:val="none"/>
      <w:shd w:val="clear" w:color="auto" w:fill="FFFFFF"/>
      <w:lang w:val="fr-FR" w:eastAsia="fr-FR" w:bidi="fr-FR"/>
    </w:rPr>
  </w:style>
  <w:style w:type="character" w:customStyle="1" w:styleId="En-tteoupieddepage10pt">
    <w:name w:val="En-tête ou pied de page + 10 pt"/>
    <w:basedOn w:val="En-tteoupieddepage"/>
    <w:rsid w:val="003278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Exact">
    <w:name w:val="En-tête ou pied de page Exact"/>
    <w:basedOn w:val="Policepardfaut"/>
    <w:rsid w:val="00327887"/>
    <w:rPr>
      <w:rFonts w:ascii="Times New Roman" w:eastAsia="Times New Roman" w:hAnsi="Times New Roman" w:cs="Times New Roman"/>
      <w:b w:val="0"/>
      <w:bCs w:val="0"/>
      <w:i w:val="0"/>
      <w:iCs w:val="0"/>
      <w:smallCaps w:val="0"/>
      <w:strike w:val="0"/>
      <w:sz w:val="16"/>
      <w:szCs w:val="16"/>
      <w:u w:val="none"/>
    </w:rPr>
  </w:style>
  <w:style w:type="character" w:customStyle="1" w:styleId="En-tte2115ptNonGrasNonItaliqueEspacement0pt">
    <w:name w:val="En-tête #2 + 11.5 pt;Non Gras;Non Italique;Espacement 0 pt"/>
    <w:basedOn w:val="En-tte2"/>
    <w:rsid w:val="0032788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fr-FR" w:eastAsia="fr-FR" w:bidi="fr-FR"/>
    </w:rPr>
  </w:style>
  <w:style w:type="character" w:customStyle="1" w:styleId="En-tte115ptItalique">
    <w:name w:val="En-tête #1 + 15 pt;Italique"/>
    <w:basedOn w:val="En-tte1"/>
    <w:rsid w:val="00327887"/>
    <w:rPr>
      <w:rFonts w:ascii="Times New Roman" w:eastAsia="Times New Roman" w:hAnsi="Times New Roman" w:cs="Times New Roman"/>
      <w:b w:val="0"/>
      <w:bCs w:val="0"/>
      <w:i/>
      <w:iCs/>
      <w:smallCaps w:val="0"/>
      <w:strike w:val="0"/>
      <w:color w:val="000000"/>
      <w:spacing w:val="-10"/>
      <w:w w:val="100"/>
      <w:position w:val="0"/>
      <w:sz w:val="30"/>
      <w:szCs w:val="30"/>
      <w:u w:val="none"/>
      <w:shd w:val="clear" w:color="auto" w:fill="FFFFFF"/>
      <w:lang w:val="fr-FR" w:eastAsia="fr-FR" w:bidi="fr-FR"/>
    </w:rPr>
  </w:style>
  <w:style w:type="character" w:customStyle="1" w:styleId="En-tte425ptGrasNonItalique">
    <w:name w:val="En-tête #4 + 25 pt;Gras;Non Italique"/>
    <w:basedOn w:val="En-tte4"/>
    <w:rsid w:val="00327887"/>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fr-FR" w:eastAsia="fr-FR" w:bidi="fr-FR"/>
    </w:rPr>
  </w:style>
  <w:style w:type="character" w:customStyle="1" w:styleId="Corpsdutexte2ItaliqueEspacement1pt">
    <w:name w:val="Corps du texte (2) + Italique;Espacement 1 pt"/>
    <w:basedOn w:val="Policepardfaut"/>
    <w:rsid w:val="00327887"/>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Notedebasdepage2NonItalique">
    <w:name w:val="Note de bas de page (2) + Non Italique"/>
    <w:basedOn w:val="Notedebasdepage2"/>
    <w:rsid w:val="00AD6A0D"/>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10ptNonGras">
    <w:name w:val="Note de bas de page + 10 pt;Non Gras"/>
    <w:basedOn w:val="Notedebasdepage0"/>
    <w:rsid w:val="00AD6A0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Notedebasdepage3Italique">
    <w:name w:val="Note de bas de page (3) + Italique"/>
    <w:basedOn w:val="Notedebasdepage3"/>
    <w:rsid w:val="00AD6A0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Notedebasdepage412ptNonItaliqueEspacement0pt">
    <w:name w:val="Note de bas de page (4) + 12 pt;Non Italique;Espacement 0 pt"/>
    <w:basedOn w:val="Notedebasdepage4"/>
    <w:rsid w:val="00AD6A0D"/>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fr-FR" w:eastAsia="fr-FR" w:bidi="fr-FR"/>
    </w:rPr>
  </w:style>
  <w:style w:type="character" w:customStyle="1" w:styleId="Notedebasdepage3Espacement1pt">
    <w:name w:val="Note de bas de page (3) + Espacement 1 pt"/>
    <w:basedOn w:val="Notedebasdepage3"/>
    <w:rsid w:val="00AD6A0D"/>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fr-FR" w:eastAsia="fr-FR" w:bidi="fr-FR"/>
    </w:rPr>
  </w:style>
  <w:style w:type="character" w:customStyle="1" w:styleId="Notedebasdepage5">
    <w:name w:val="Note de bas de page (5)_"/>
    <w:basedOn w:val="Policepardfaut"/>
    <w:link w:val="Notedebasdepage50"/>
    <w:rsid w:val="00AD6A0D"/>
    <w:rPr>
      <w:rFonts w:ascii="Times New Roman" w:eastAsia="Times New Roman" w:hAnsi="Times New Roman"/>
      <w:sz w:val="13"/>
      <w:szCs w:val="13"/>
      <w:shd w:val="clear" w:color="auto" w:fill="FFFFFF"/>
    </w:rPr>
  </w:style>
  <w:style w:type="character" w:customStyle="1" w:styleId="Corpsdutexte512ptNonItalique">
    <w:name w:val="Corps du texte (5) + 12 pt;Non Italique"/>
    <w:basedOn w:val="Policepardfaut"/>
    <w:rsid w:val="00AD6A0D"/>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Corpsdutexte285ptGras">
    <w:name w:val="Corps du texte (2) + 8.5 pt;Gras"/>
    <w:basedOn w:val="Policepardfaut"/>
    <w:rsid w:val="00AD6A0D"/>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8ptGras">
    <w:name w:val="Corps du texte (2) + 8 pt;Gras"/>
    <w:basedOn w:val="Policepardfaut"/>
    <w:rsid w:val="00AD6A0D"/>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Espacement0pt">
    <w:name w:val="En-tête ou pied de page + Espacement 0 pt"/>
    <w:basedOn w:val="En-tteoupieddepage"/>
    <w:rsid w:val="00AD6A0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oupieddepage7ptEspacement0pt">
    <w:name w:val="En-tête ou pied de page + 7 pt;Espacement 0 pt"/>
    <w:basedOn w:val="En-tteoupieddepage"/>
    <w:rsid w:val="00AD6A0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paragraph" w:customStyle="1" w:styleId="Notedebasdepage50">
    <w:name w:val="Note de bas de page (5)"/>
    <w:basedOn w:val="Normal"/>
    <w:link w:val="Notedebasdepage5"/>
    <w:rsid w:val="00AD6A0D"/>
    <w:pPr>
      <w:widowControl w:val="0"/>
      <w:shd w:val="clear" w:color="auto" w:fill="FFFFFF"/>
      <w:spacing w:line="0" w:lineRule="atLeast"/>
      <w:jc w:val="center"/>
    </w:pPr>
    <w:rPr>
      <w:sz w:val="13"/>
      <w:szCs w:val="13"/>
      <w:lang w:val="fr-FR" w:eastAsia="fr-FR"/>
    </w:rPr>
  </w:style>
  <w:style w:type="character" w:customStyle="1" w:styleId="En-tte32">
    <w:name w:val="En-tête #3 (2)_"/>
    <w:basedOn w:val="Policepardfaut"/>
    <w:link w:val="En-tte320"/>
    <w:rsid w:val="009D5030"/>
    <w:rPr>
      <w:rFonts w:ascii="Times New Roman" w:eastAsia="Times New Roman" w:hAnsi="Times New Roman"/>
      <w:spacing w:val="20"/>
      <w:sz w:val="23"/>
      <w:szCs w:val="23"/>
      <w:shd w:val="clear" w:color="auto" w:fill="FFFFFF"/>
    </w:rPr>
  </w:style>
  <w:style w:type="character" w:customStyle="1" w:styleId="LgendedelimageExact">
    <w:name w:val="Légende de l'image Exact"/>
    <w:basedOn w:val="Policepardfaut"/>
    <w:link w:val="Lgendedelimage"/>
    <w:rsid w:val="009D5030"/>
    <w:rPr>
      <w:rFonts w:ascii="Times New Roman" w:eastAsia="Times New Roman" w:hAnsi="Times New Roman"/>
      <w:i/>
      <w:iCs/>
      <w:shd w:val="clear" w:color="auto" w:fill="FFFFFF"/>
    </w:rPr>
  </w:style>
  <w:style w:type="character" w:customStyle="1" w:styleId="En-tte2Exact">
    <w:name w:val="En-tête #2 Exact"/>
    <w:basedOn w:val="Policepardfaut"/>
    <w:rsid w:val="009D5030"/>
    <w:rPr>
      <w:rFonts w:ascii="Times New Roman" w:eastAsia="Times New Roman" w:hAnsi="Times New Roman" w:cs="Times New Roman"/>
      <w:b w:val="0"/>
      <w:bCs w:val="0"/>
      <w:i/>
      <w:iCs/>
      <w:smallCaps w:val="0"/>
      <w:strike w:val="0"/>
      <w:sz w:val="28"/>
      <w:szCs w:val="28"/>
      <w:u w:val="none"/>
    </w:rPr>
  </w:style>
  <w:style w:type="character" w:customStyle="1" w:styleId="En-tte1Exact">
    <w:name w:val="En-tête #1 Exact"/>
    <w:basedOn w:val="Policepardfaut"/>
    <w:rsid w:val="009D503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Corpsdutexte147ptItaliqueEspacement0pt">
    <w:name w:val="Corps du texte (14) + 7 pt;Italique;Espacement 0 pt"/>
    <w:basedOn w:val="Policepardfaut"/>
    <w:rsid w:val="009D5030"/>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146ptGrasItalique">
    <w:name w:val="Corps du texte (14) + 6 pt;Gras;Italique"/>
    <w:basedOn w:val="Policepardfaut"/>
    <w:rsid w:val="009D5030"/>
    <w:rPr>
      <w:rFonts w:ascii="Times New Roman" w:eastAsia="Times New Roman" w:hAnsi="Times New Roman" w:cs="Times New Roman"/>
      <w:b/>
      <w:bCs/>
      <w:i/>
      <w:iCs/>
      <w:smallCaps w:val="0"/>
      <w:strike w:val="0"/>
      <w:color w:val="000000"/>
      <w:spacing w:val="0"/>
      <w:w w:val="100"/>
      <w:position w:val="0"/>
      <w:sz w:val="12"/>
      <w:szCs w:val="12"/>
      <w:u w:val="none"/>
      <w:lang w:val="fr-FR" w:eastAsia="fr-FR" w:bidi="fr-FR"/>
    </w:rPr>
  </w:style>
  <w:style w:type="paragraph" w:customStyle="1" w:styleId="En-tte320">
    <w:name w:val="En-tête #3 (2)"/>
    <w:basedOn w:val="Normal"/>
    <w:link w:val="En-tte32"/>
    <w:rsid w:val="009D5030"/>
    <w:pPr>
      <w:widowControl w:val="0"/>
      <w:shd w:val="clear" w:color="auto" w:fill="FFFFFF"/>
      <w:spacing w:after="780" w:line="0" w:lineRule="atLeast"/>
      <w:jc w:val="right"/>
      <w:outlineLvl w:val="2"/>
    </w:pPr>
    <w:rPr>
      <w:spacing w:val="20"/>
      <w:sz w:val="23"/>
      <w:szCs w:val="23"/>
      <w:lang w:val="fr-FR" w:eastAsia="fr-FR"/>
    </w:rPr>
  </w:style>
  <w:style w:type="paragraph" w:customStyle="1" w:styleId="Lgendedelimage">
    <w:name w:val="Légende de l'image"/>
    <w:basedOn w:val="Normal"/>
    <w:link w:val="LgendedelimageExact"/>
    <w:rsid w:val="009D5030"/>
    <w:pPr>
      <w:widowControl w:val="0"/>
      <w:shd w:val="clear" w:color="auto" w:fill="FFFFFF"/>
      <w:spacing w:line="0" w:lineRule="atLeast"/>
      <w:ind w:hanging="2"/>
    </w:pPr>
    <w:rPr>
      <w:i/>
      <w:iCs/>
      <w:sz w:val="20"/>
      <w:lang w:val="fr-FR" w:eastAsia="fr-FR"/>
    </w:rPr>
  </w:style>
  <w:style w:type="character" w:styleId="lev">
    <w:name w:val="Strong"/>
    <w:basedOn w:val="Policepardfaut"/>
    <w:uiPriority w:val="22"/>
    <w:qFormat/>
    <w:rsid w:val="00656D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eroux.georges@uqam.ca" TargetMode="Externa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18658</Words>
  <Characters>102622</Characters>
  <Application>Microsoft Office Word</Application>
  <DocSecurity>0</DocSecurity>
  <Lines>855</Lines>
  <Paragraphs>242</Paragraphs>
  <ScaleCrop>false</ScaleCrop>
  <HeadingPairs>
    <vt:vector size="2" baseType="variant">
      <vt:variant>
        <vt:lpstr>Title</vt:lpstr>
      </vt:variant>
      <vt:variant>
        <vt:i4>1</vt:i4>
      </vt:variant>
    </vt:vector>
  </HeadingPairs>
  <TitlesOfParts>
    <vt:vector size="1" baseType="lpstr">
      <vt:lpstr>“Culture et saturation.</vt:lpstr>
    </vt:vector>
  </TitlesOfParts>
  <Manager>Jean marie Tremblay, sociologue, bénévole, 2021</Manager>
  <Company>Les Classiques des sciences sociales</Company>
  <LinksUpToDate>false</LinksUpToDate>
  <CharactersWithSpaces>121038</CharactersWithSpaces>
  <SharedDoc>false</SharedDoc>
  <HyperlinkBase/>
  <HLinks>
    <vt:vector size="78" baseType="variant">
      <vt:variant>
        <vt:i4>6946943</vt:i4>
      </vt:variant>
      <vt:variant>
        <vt:i4>15</vt:i4>
      </vt:variant>
      <vt:variant>
        <vt:i4>0</vt:i4>
      </vt:variant>
      <vt:variant>
        <vt:i4>5</vt:i4>
      </vt:variant>
      <vt:variant>
        <vt:lpwstr>mailto:leroux.georges@uqam.ca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2255</vt:i4>
      </vt:variant>
      <vt:variant>
        <vt:i4>1025</vt:i4>
      </vt:variant>
      <vt:variant>
        <vt:i4>1</vt:i4>
      </vt:variant>
      <vt:variant>
        <vt:lpwstr>css_logo_gris</vt:lpwstr>
      </vt:variant>
      <vt:variant>
        <vt:lpwstr/>
      </vt:variant>
      <vt:variant>
        <vt:i4>5111880</vt:i4>
      </vt:variant>
      <vt:variant>
        <vt:i4>2544</vt:i4>
      </vt:variant>
      <vt:variant>
        <vt:i4>1026</vt:i4>
      </vt:variant>
      <vt:variant>
        <vt:i4>1</vt:i4>
      </vt:variant>
      <vt:variant>
        <vt:lpwstr>UQAC_logo_2018</vt:lpwstr>
      </vt:variant>
      <vt:variant>
        <vt:lpwstr/>
      </vt:variant>
      <vt:variant>
        <vt:i4>4194334</vt:i4>
      </vt:variant>
      <vt:variant>
        <vt:i4>4981</vt:i4>
      </vt:variant>
      <vt:variant>
        <vt:i4>1027</vt:i4>
      </vt:variant>
      <vt:variant>
        <vt:i4>1</vt:i4>
      </vt:variant>
      <vt:variant>
        <vt:lpwstr>Boite_aux_lettres_clair</vt:lpwstr>
      </vt:variant>
      <vt:variant>
        <vt:lpwstr/>
      </vt:variant>
      <vt:variant>
        <vt:i4>1703963</vt:i4>
      </vt:variant>
      <vt:variant>
        <vt:i4>5442</vt:i4>
      </vt:variant>
      <vt:variant>
        <vt:i4>1028</vt:i4>
      </vt:variant>
      <vt:variant>
        <vt:i4>1</vt:i4>
      </vt:variant>
      <vt:variant>
        <vt:lpwstr>fait_sur_mac</vt:lpwstr>
      </vt:variant>
      <vt:variant>
        <vt:lpwstr/>
      </vt:variant>
      <vt:variant>
        <vt:i4>458793</vt:i4>
      </vt:variant>
      <vt:variant>
        <vt:i4>5491</vt:i4>
      </vt:variant>
      <vt:variant>
        <vt:i4>1029</vt:i4>
      </vt:variant>
      <vt:variant>
        <vt:i4>1</vt:i4>
      </vt:variant>
      <vt:variant>
        <vt:lpwstr>Culture_et_langage_L25</vt:lpwstr>
      </vt:variant>
      <vt:variant>
        <vt:lpwstr/>
      </vt:variant>
      <vt:variant>
        <vt:i4>6881384</vt:i4>
      </vt:variant>
      <vt:variant>
        <vt:i4>54111</vt:i4>
      </vt:variant>
      <vt:variant>
        <vt:i4>1030</vt:i4>
      </vt:variant>
      <vt:variant>
        <vt:i4>1</vt:i4>
      </vt:variant>
      <vt:variant>
        <vt:lpwstr>fig_p_103_low</vt:lpwstr>
      </vt:variant>
      <vt:variant>
        <vt:lpwstr/>
      </vt:variant>
      <vt:variant>
        <vt:i4>6881390</vt:i4>
      </vt:variant>
      <vt:variant>
        <vt:i4>55168</vt:i4>
      </vt:variant>
      <vt:variant>
        <vt:i4>1031</vt:i4>
      </vt:variant>
      <vt:variant>
        <vt:i4>1</vt:i4>
      </vt:variant>
      <vt:variant>
        <vt:lpwstr>fig_p_105_low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et saturation.</dc:title>
  <dc:subject/>
  <dc:creator>par Jean-Paul Brodeur, 1973</dc:creator>
  <cp:keywords>classiques.sc.soc@gmail.com</cp:keywords>
  <dc:description>http://classiques.uqac.ca/</dc:description>
  <cp:lastModifiedBy>Microsoft Office User</cp:lastModifiedBy>
  <cp:revision>2</cp:revision>
  <cp:lastPrinted>2021-04-13T13:04:00Z</cp:lastPrinted>
  <dcterms:created xsi:type="dcterms:W3CDTF">2021-04-15T11:02:00Z</dcterms:created>
  <dcterms:modified xsi:type="dcterms:W3CDTF">2021-04-15T11:02:00Z</dcterms:modified>
  <cp:category>jean-marie tremblay, sociologue, fondateur, 1993.</cp:category>
</cp:coreProperties>
</file>