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F0755" w:rsidRPr="00D456E4">
        <w:tblPrEx>
          <w:tblCellMar>
            <w:top w:w="0" w:type="dxa"/>
            <w:bottom w:w="0" w:type="dxa"/>
          </w:tblCellMar>
        </w:tblPrEx>
        <w:tc>
          <w:tcPr>
            <w:tcW w:w="9160" w:type="dxa"/>
            <w:shd w:val="clear" w:color="auto" w:fill="DDD9C3"/>
          </w:tcPr>
          <w:p w:rsidR="002F0755" w:rsidRPr="00494898" w:rsidRDefault="002F0755">
            <w:pPr>
              <w:ind w:firstLine="0"/>
              <w:jc w:val="center"/>
              <w:rPr>
                <w:sz w:val="20"/>
                <w:lang w:val="en-CA" w:bidi="ar-SA"/>
              </w:rPr>
            </w:pPr>
            <w:bookmarkStart w:id="0" w:name="_GoBack"/>
            <w:bookmarkEnd w:id="0"/>
          </w:p>
          <w:p w:rsidR="002F0755" w:rsidRDefault="002F0755">
            <w:pPr>
              <w:ind w:firstLine="0"/>
              <w:jc w:val="center"/>
              <w:rPr>
                <w:color w:val="FF0000"/>
                <w:sz w:val="20"/>
                <w:lang w:bidi="ar-SA"/>
              </w:rPr>
            </w:pPr>
          </w:p>
          <w:p w:rsidR="002F0755" w:rsidRDefault="002F0755">
            <w:pPr>
              <w:ind w:firstLine="0"/>
              <w:jc w:val="center"/>
              <w:rPr>
                <w:color w:val="FF0000"/>
                <w:sz w:val="20"/>
                <w:lang w:bidi="ar-SA"/>
              </w:rPr>
            </w:pPr>
          </w:p>
          <w:p w:rsidR="002F0755" w:rsidRPr="00D456E4" w:rsidRDefault="002F0755">
            <w:pPr>
              <w:ind w:firstLine="0"/>
              <w:jc w:val="center"/>
              <w:rPr>
                <w:color w:val="FF0000"/>
                <w:sz w:val="20"/>
                <w:lang w:bidi="ar-SA"/>
              </w:rPr>
            </w:pPr>
          </w:p>
          <w:p w:rsidR="002F0755" w:rsidRPr="00D456E4" w:rsidRDefault="002F0755">
            <w:pPr>
              <w:ind w:firstLine="0"/>
              <w:jc w:val="center"/>
              <w:rPr>
                <w:color w:val="FF0000"/>
                <w:sz w:val="20"/>
                <w:lang w:bidi="ar-SA"/>
              </w:rPr>
            </w:pPr>
          </w:p>
          <w:p w:rsidR="002F0755" w:rsidRPr="00D456E4" w:rsidRDefault="002F0755">
            <w:pPr>
              <w:ind w:firstLine="0"/>
              <w:jc w:val="center"/>
              <w:rPr>
                <w:b/>
                <w:sz w:val="36"/>
                <w:lang w:bidi="ar-SA"/>
              </w:rPr>
            </w:pPr>
            <w:r>
              <w:rPr>
                <w:sz w:val="36"/>
                <w:lang w:bidi="ar-SA"/>
              </w:rPr>
              <w:t>Bernard ÉLIE</w:t>
            </w:r>
          </w:p>
          <w:p w:rsidR="002F0755" w:rsidRDefault="002F0755">
            <w:pPr>
              <w:ind w:firstLine="0"/>
              <w:jc w:val="center"/>
              <w:rPr>
                <w:sz w:val="20"/>
                <w:lang w:bidi="ar-SA"/>
              </w:rPr>
            </w:pPr>
            <w:r>
              <w:rPr>
                <w:sz w:val="20"/>
                <w:lang w:bidi="ar-SA"/>
              </w:rPr>
              <w:t>Professeur, département de science économique</w:t>
            </w:r>
            <w:r w:rsidRPr="00D456E4">
              <w:rPr>
                <w:sz w:val="20"/>
                <w:lang w:bidi="ar-SA"/>
              </w:rPr>
              <w:t>,</w:t>
            </w:r>
            <w:r>
              <w:rPr>
                <w:sz w:val="20"/>
                <w:lang w:bidi="ar-SA"/>
              </w:rPr>
              <w:t xml:space="preserve"> UQÀ</w:t>
            </w:r>
            <w:r w:rsidRPr="00D456E4">
              <w:rPr>
                <w:sz w:val="20"/>
                <w:lang w:bidi="ar-SA"/>
              </w:rPr>
              <w:t>M</w:t>
            </w:r>
          </w:p>
          <w:p w:rsidR="002F0755" w:rsidRPr="00D456E4" w:rsidRDefault="002F0755">
            <w:pPr>
              <w:ind w:firstLine="0"/>
              <w:jc w:val="center"/>
              <w:rPr>
                <w:sz w:val="20"/>
                <w:lang w:bidi="ar-SA"/>
              </w:rPr>
            </w:pPr>
          </w:p>
          <w:p w:rsidR="002F0755" w:rsidRPr="00D456E4" w:rsidRDefault="002F0755" w:rsidP="002F0755">
            <w:pPr>
              <w:ind w:firstLine="0"/>
              <w:jc w:val="center"/>
              <w:rPr>
                <w:color w:val="FF0000"/>
                <w:sz w:val="36"/>
                <w:lang w:bidi="ar-SA"/>
              </w:rPr>
            </w:pPr>
            <w:r w:rsidRPr="00503E85">
              <w:rPr>
                <w:sz w:val="36"/>
                <w:lang w:bidi="ar-SA"/>
              </w:rPr>
              <w:t>(</w:t>
            </w:r>
            <w:r>
              <w:rPr>
                <w:sz w:val="36"/>
                <w:lang w:bidi="ar-SA"/>
              </w:rPr>
              <w:t>1992</w:t>
            </w:r>
            <w:r w:rsidRPr="00503E85">
              <w:rPr>
                <w:sz w:val="36"/>
                <w:lang w:bidi="ar-SA"/>
              </w:rPr>
              <w:t>)</w:t>
            </w:r>
          </w:p>
          <w:p w:rsidR="002F0755" w:rsidRDefault="002F0755">
            <w:pPr>
              <w:pStyle w:val="Corpsdetexte"/>
              <w:widowControl w:val="0"/>
              <w:spacing w:before="0" w:after="0"/>
              <w:rPr>
                <w:color w:val="FF0000"/>
                <w:sz w:val="24"/>
                <w:lang w:bidi="ar-SA"/>
              </w:rPr>
            </w:pPr>
          </w:p>
          <w:p w:rsidR="002F0755" w:rsidRDefault="002F0755">
            <w:pPr>
              <w:pStyle w:val="Corpsdetexte"/>
              <w:widowControl w:val="0"/>
              <w:spacing w:before="0" w:after="0"/>
              <w:rPr>
                <w:color w:val="FF0000"/>
                <w:sz w:val="24"/>
                <w:lang w:bidi="ar-SA"/>
              </w:rPr>
            </w:pPr>
          </w:p>
          <w:p w:rsidR="002F0755" w:rsidRPr="00D456E4" w:rsidRDefault="002F0755">
            <w:pPr>
              <w:pStyle w:val="Corpsdetexte"/>
              <w:widowControl w:val="0"/>
              <w:spacing w:before="0" w:after="0"/>
              <w:rPr>
                <w:color w:val="FF0000"/>
                <w:sz w:val="24"/>
                <w:lang w:bidi="ar-SA"/>
              </w:rPr>
            </w:pPr>
          </w:p>
          <w:p w:rsidR="002F0755" w:rsidRPr="003026C1" w:rsidRDefault="002F0755">
            <w:pPr>
              <w:widowControl w:val="0"/>
              <w:ind w:firstLine="0"/>
              <w:jc w:val="center"/>
              <w:rPr>
                <w:sz w:val="64"/>
                <w:lang w:bidi="ar-SA"/>
              </w:rPr>
            </w:pPr>
            <w:r w:rsidRPr="003026C1">
              <w:rPr>
                <w:sz w:val="64"/>
                <w:lang w:bidi="ar-SA"/>
              </w:rPr>
              <w:t>“</w:t>
            </w:r>
            <w:r>
              <w:rPr>
                <w:sz w:val="64"/>
                <w:lang w:bidi="ar-SA"/>
              </w:rPr>
              <w:t>L’évolution du système</w:t>
            </w:r>
            <w:r>
              <w:rPr>
                <w:sz w:val="64"/>
                <w:lang w:bidi="ar-SA"/>
              </w:rPr>
              <w:br/>
              <w:t>financier international</w:t>
            </w:r>
            <w:r>
              <w:rPr>
                <w:sz w:val="64"/>
                <w:lang w:bidi="ar-SA"/>
              </w:rPr>
              <w:br/>
              <w:t>et son impact</w:t>
            </w:r>
            <w:r>
              <w:rPr>
                <w:sz w:val="64"/>
                <w:lang w:bidi="ar-SA"/>
              </w:rPr>
              <w:br/>
              <w:t>dans les années ‘90</w:t>
            </w:r>
            <w:r w:rsidRPr="003026C1">
              <w:rPr>
                <w:sz w:val="64"/>
                <w:lang w:bidi="ar-SA"/>
              </w:rPr>
              <w:t>.”</w:t>
            </w:r>
          </w:p>
          <w:p w:rsidR="002F0755" w:rsidRPr="00D456E4" w:rsidRDefault="002F0755">
            <w:pPr>
              <w:widowControl w:val="0"/>
              <w:ind w:firstLine="0"/>
              <w:jc w:val="both"/>
              <w:rPr>
                <w:sz w:val="20"/>
                <w:lang w:bidi="ar-SA"/>
              </w:rPr>
            </w:pPr>
          </w:p>
          <w:p w:rsidR="002F0755" w:rsidRDefault="002F0755" w:rsidP="002F0755">
            <w:pPr>
              <w:widowControl w:val="0"/>
              <w:ind w:firstLine="0"/>
              <w:jc w:val="center"/>
              <w:rPr>
                <w:lang w:bidi="ar-SA"/>
              </w:rPr>
            </w:pPr>
          </w:p>
          <w:p w:rsidR="002F0755" w:rsidRDefault="002F0755" w:rsidP="002F0755">
            <w:pPr>
              <w:widowControl w:val="0"/>
              <w:ind w:firstLine="0"/>
              <w:jc w:val="center"/>
              <w:rPr>
                <w:sz w:val="20"/>
                <w:lang w:bidi="ar-SA"/>
              </w:rPr>
            </w:pPr>
          </w:p>
          <w:p w:rsidR="002F0755" w:rsidRPr="00384B20" w:rsidRDefault="002F0755" w:rsidP="002F0755">
            <w:pPr>
              <w:widowControl w:val="0"/>
              <w:ind w:firstLine="0"/>
              <w:jc w:val="center"/>
              <w:rPr>
                <w:sz w:val="20"/>
                <w:lang w:bidi="ar-SA"/>
              </w:rPr>
            </w:pPr>
          </w:p>
          <w:p w:rsidR="002F0755" w:rsidRPr="00384B20" w:rsidRDefault="002F0755" w:rsidP="002F075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F0755" w:rsidRPr="00E07116" w:rsidRDefault="002F0755" w:rsidP="002F0755">
            <w:pPr>
              <w:widowControl w:val="0"/>
              <w:ind w:firstLine="0"/>
              <w:jc w:val="both"/>
              <w:rPr>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Default="002F0755">
            <w:pPr>
              <w:widowControl w:val="0"/>
              <w:ind w:firstLine="0"/>
              <w:jc w:val="both"/>
              <w:rPr>
                <w:sz w:val="20"/>
                <w:lang w:bidi="ar-SA"/>
              </w:rPr>
            </w:pPr>
          </w:p>
          <w:p w:rsidR="002F0755" w:rsidRPr="00D456E4" w:rsidRDefault="002F0755">
            <w:pPr>
              <w:widowControl w:val="0"/>
              <w:ind w:firstLine="0"/>
              <w:jc w:val="both"/>
              <w:rPr>
                <w:sz w:val="20"/>
                <w:lang w:bidi="ar-SA"/>
              </w:rPr>
            </w:pPr>
          </w:p>
          <w:p w:rsidR="002F0755" w:rsidRPr="00D456E4" w:rsidRDefault="002F0755">
            <w:pPr>
              <w:widowControl w:val="0"/>
              <w:ind w:firstLine="0"/>
              <w:jc w:val="both"/>
              <w:rPr>
                <w:sz w:val="20"/>
                <w:lang w:bidi="ar-SA"/>
              </w:rPr>
            </w:pPr>
          </w:p>
          <w:p w:rsidR="002F0755" w:rsidRPr="00D456E4" w:rsidRDefault="002F0755">
            <w:pPr>
              <w:ind w:firstLine="0"/>
              <w:jc w:val="both"/>
              <w:rPr>
                <w:lang w:bidi="ar-SA"/>
              </w:rPr>
            </w:pPr>
          </w:p>
        </w:tc>
      </w:tr>
    </w:tbl>
    <w:p w:rsidR="002F0755" w:rsidRDefault="002F0755" w:rsidP="002F0755">
      <w:pPr>
        <w:ind w:firstLine="0"/>
        <w:jc w:val="both"/>
      </w:pPr>
      <w:r w:rsidRPr="00D456E4">
        <w:br w:type="page"/>
      </w:r>
    </w:p>
    <w:p w:rsidR="002F0755" w:rsidRDefault="002F0755" w:rsidP="002F0755">
      <w:pPr>
        <w:ind w:firstLine="0"/>
        <w:jc w:val="both"/>
      </w:pPr>
    </w:p>
    <w:p w:rsidR="002F0755" w:rsidRDefault="002F0755" w:rsidP="002F0755">
      <w:pPr>
        <w:ind w:firstLine="0"/>
        <w:jc w:val="both"/>
      </w:pPr>
    </w:p>
    <w:p w:rsidR="002F0755" w:rsidRDefault="002F0755" w:rsidP="002F0755">
      <w:pPr>
        <w:ind w:firstLine="0"/>
        <w:jc w:val="both"/>
      </w:pPr>
    </w:p>
    <w:p w:rsidR="002F0755" w:rsidRDefault="001973DE" w:rsidP="002F075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2F0755" w:rsidRDefault="002F0755" w:rsidP="002F0755">
      <w:pPr>
        <w:ind w:firstLine="0"/>
        <w:jc w:val="right"/>
      </w:pPr>
      <w:hyperlink r:id="rId9" w:history="1">
        <w:r w:rsidRPr="00302466">
          <w:rPr>
            <w:rStyle w:val="Lienhypertexte"/>
          </w:rPr>
          <w:t>http://classiques.uqac.ca/</w:t>
        </w:r>
      </w:hyperlink>
      <w:r>
        <w:t xml:space="preserve"> </w:t>
      </w:r>
    </w:p>
    <w:p w:rsidR="002F0755" w:rsidRDefault="002F0755" w:rsidP="002F0755">
      <w:pPr>
        <w:ind w:firstLine="0"/>
        <w:jc w:val="both"/>
      </w:pPr>
    </w:p>
    <w:p w:rsidR="002F0755" w:rsidRDefault="002F0755" w:rsidP="002F075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F0755" w:rsidRDefault="002F0755" w:rsidP="002F0755">
      <w:pPr>
        <w:ind w:firstLine="0"/>
        <w:jc w:val="both"/>
      </w:pPr>
    </w:p>
    <w:p w:rsidR="002F0755" w:rsidRDefault="002F0755" w:rsidP="002F0755">
      <w:pPr>
        <w:ind w:firstLine="0"/>
        <w:jc w:val="both"/>
      </w:pPr>
    </w:p>
    <w:p w:rsidR="002F0755" w:rsidRDefault="001973DE" w:rsidP="002F075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2F0755" w:rsidRDefault="002F0755" w:rsidP="002F0755">
      <w:pPr>
        <w:ind w:firstLine="0"/>
        <w:jc w:val="both"/>
      </w:pPr>
      <w:hyperlink r:id="rId11" w:history="1">
        <w:r w:rsidRPr="00302466">
          <w:rPr>
            <w:rStyle w:val="Lienhypertexte"/>
          </w:rPr>
          <w:t>http://bibliotheque.uqac.ca/</w:t>
        </w:r>
      </w:hyperlink>
      <w:r>
        <w:t xml:space="preserve"> </w:t>
      </w:r>
    </w:p>
    <w:p w:rsidR="002F0755" w:rsidRDefault="002F0755" w:rsidP="002F0755">
      <w:pPr>
        <w:ind w:firstLine="0"/>
        <w:jc w:val="both"/>
      </w:pPr>
    </w:p>
    <w:p w:rsidR="002F0755" w:rsidRDefault="002F0755" w:rsidP="002F0755">
      <w:pPr>
        <w:ind w:firstLine="0"/>
        <w:jc w:val="both"/>
      </w:pPr>
    </w:p>
    <w:p w:rsidR="002F0755" w:rsidRDefault="002F0755" w:rsidP="002F0755">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2F0755" w:rsidRPr="00D456E4" w:rsidRDefault="002F0755" w:rsidP="002F0755">
      <w:pPr>
        <w:widowControl w:val="0"/>
        <w:autoSpaceDE w:val="0"/>
        <w:autoSpaceDN w:val="0"/>
        <w:adjustRightInd w:val="0"/>
        <w:rPr>
          <w:rFonts w:ascii="Arial" w:hAnsi="Arial"/>
          <w:sz w:val="32"/>
          <w:szCs w:val="32"/>
        </w:rPr>
      </w:pPr>
      <w:r w:rsidRPr="00E07116">
        <w:br w:type="page"/>
      </w:r>
    </w:p>
    <w:p w:rsidR="002F0755" w:rsidRPr="00D456E4" w:rsidRDefault="002F0755">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2F0755" w:rsidRPr="00D456E4" w:rsidRDefault="002F0755">
      <w:pPr>
        <w:widowControl w:val="0"/>
        <w:autoSpaceDE w:val="0"/>
        <w:autoSpaceDN w:val="0"/>
        <w:adjustRightInd w:val="0"/>
        <w:rPr>
          <w:rFonts w:ascii="Arial" w:hAnsi="Arial"/>
          <w:sz w:val="32"/>
          <w:szCs w:val="32"/>
        </w:rPr>
      </w:pPr>
    </w:p>
    <w:p w:rsidR="002F0755" w:rsidRPr="00D456E4" w:rsidRDefault="002F0755">
      <w:pPr>
        <w:widowControl w:val="0"/>
        <w:autoSpaceDE w:val="0"/>
        <w:autoSpaceDN w:val="0"/>
        <w:adjustRightInd w:val="0"/>
        <w:jc w:val="both"/>
        <w:rPr>
          <w:rFonts w:ascii="Arial" w:hAnsi="Arial"/>
          <w:color w:val="1C1C1C"/>
          <w:sz w:val="26"/>
          <w:szCs w:val="26"/>
        </w:rPr>
      </w:pPr>
    </w:p>
    <w:p w:rsidR="002F0755" w:rsidRPr="00D456E4" w:rsidRDefault="002F0755">
      <w:pPr>
        <w:widowControl w:val="0"/>
        <w:autoSpaceDE w:val="0"/>
        <w:autoSpaceDN w:val="0"/>
        <w:adjustRightInd w:val="0"/>
        <w:jc w:val="both"/>
        <w:rPr>
          <w:rFonts w:ascii="Arial" w:hAnsi="Arial"/>
          <w:color w:val="1C1C1C"/>
          <w:sz w:val="26"/>
          <w:szCs w:val="26"/>
        </w:rPr>
      </w:pPr>
    </w:p>
    <w:p w:rsidR="002F0755" w:rsidRPr="00D456E4" w:rsidRDefault="002F0755">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2F0755" w:rsidRPr="00D456E4" w:rsidRDefault="002F0755">
      <w:pPr>
        <w:widowControl w:val="0"/>
        <w:autoSpaceDE w:val="0"/>
        <w:autoSpaceDN w:val="0"/>
        <w:adjustRightInd w:val="0"/>
        <w:jc w:val="both"/>
        <w:rPr>
          <w:rFonts w:ascii="Arial" w:hAnsi="Arial"/>
          <w:color w:val="1C1C1C"/>
          <w:sz w:val="26"/>
          <w:szCs w:val="26"/>
        </w:rPr>
      </w:pPr>
    </w:p>
    <w:p w:rsidR="002F0755" w:rsidRPr="00D456E4" w:rsidRDefault="002F0755" w:rsidP="002F0755">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2F0755" w:rsidRPr="00D456E4" w:rsidRDefault="002F0755" w:rsidP="002F0755">
      <w:pPr>
        <w:widowControl w:val="0"/>
        <w:autoSpaceDE w:val="0"/>
        <w:autoSpaceDN w:val="0"/>
        <w:adjustRightInd w:val="0"/>
        <w:jc w:val="both"/>
        <w:rPr>
          <w:rFonts w:ascii="Arial" w:hAnsi="Arial"/>
          <w:color w:val="1C1C1C"/>
          <w:sz w:val="26"/>
          <w:szCs w:val="26"/>
        </w:rPr>
      </w:pPr>
    </w:p>
    <w:p w:rsidR="002F0755" w:rsidRPr="00D456E4" w:rsidRDefault="002F0755" w:rsidP="002F0755">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2F0755" w:rsidRPr="00D456E4" w:rsidRDefault="002F0755" w:rsidP="002F0755">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2F0755" w:rsidRPr="00D456E4" w:rsidRDefault="002F0755" w:rsidP="002F0755">
      <w:pPr>
        <w:widowControl w:val="0"/>
        <w:autoSpaceDE w:val="0"/>
        <w:autoSpaceDN w:val="0"/>
        <w:adjustRightInd w:val="0"/>
        <w:jc w:val="both"/>
        <w:rPr>
          <w:rFonts w:ascii="Arial" w:hAnsi="Arial"/>
          <w:color w:val="1C1C1C"/>
          <w:sz w:val="26"/>
          <w:szCs w:val="26"/>
        </w:rPr>
      </w:pPr>
    </w:p>
    <w:p w:rsidR="002F0755" w:rsidRPr="00D456E4" w:rsidRDefault="002F0755">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2F0755" w:rsidRPr="00D456E4" w:rsidRDefault="002F0755">
      <w:pPr>
        <w:widowControl w:val="0"/>
        <w:autoSpaceDE w:val="0"/>
        <w:autoSpaceDN w:val="0"/>
        <w:adjustRightInd w:val="0"/>
        <w:jc w:val="both"/>
        <w:rPr>
          <w:rFonts w:ascii="Arial" w:hAnsi="Arial"/>
          <w:color w:val="1C1C1C"/>
          <w:sz w:val="26"/>
          <w:szCs w:val="26"/>
        </w:rPr>
      </w:pPr>
    </w:p>
    <w:p w:rsidR="002F0755" w:rsidRPr="00D456E4" w:rsidRDefault="002F0755">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2F0755" w:rsidRPr="00D456E4" w:rsidRDefault="002F0755">
      <w:pPr>
        <w:rPr>
          <w:rFonts w:ascii="Arial" w:hAnsi="Arial"/>
          <w:b/>
          <w:color w:val="1C1C1C"/>
          <w:sz w:val="26"/>
          <w:szCs w:val="26"/>
        </w:rPr>
      </w:pPr>
    </w:p>
    <w:p w:rsidR="002F0755" w:rsidRPr="00D456E4" w:rsidRDefault="002F0755">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2F0755" w:rsidRPr="00D456E4" w:rsidRDefault="002F0755">
      <w:pPr>
        <w:rPr>
          <w:rFonts w:ascii="Arial" w:hAnsi="Arial"/>
          <w:b/>
          <w:color w:val="1C1C1C"/>
          <w:sz w:val="26"/>
          <w:szCs w:val="26"/>
        </w:rPr>
      </w:pPr>
    </w:p>
    <w:p w:rsidR="002F0755" w:rsidRPr="00D456E4" w:rsidRDefault="002F0755">
      <w:pPr>
        <w:rPr>
          <w:rFonts w:ascii="Arial" w:hAnsi="Arial"/>
          <w:color w:val="1C1C1C"/>
          <w:sz w:val="26"/>
          <w:szCs w:val="26"/>
        </w:rPr>
      </w:pPr>
      <w:r w:rsidRPr="00D456E4">
        <w:rPr>
          <w:rFonts w:ascii="Arial" w:hAnsi="Arial"/>
          <w:color w:val="1C1C1C"/>
          <w:sz w:val="26"/>
          <w:szCs w:val="26"/>
        </w:rPr>
        <w:t>Jean-Marie Tremblay, sociologue</w:t>
      </w:r>
    </w:p>
    <w:p w:rsidR="002F0755" w:rsidRPr="00D456E4" w:rsidRDefault="002F0755">
      <w:pPr>
        <w:rPr>
          <w:rFonts w:ascii="Arial" w:hAnsi="Arial"/>
          <w:color w:val="1C1C1C"/>
          <w:sz w:val="26"/>
          <w:szCs w:val="26"/>
        </w:rPr>
      </w:pPr>
      <w:r w:rsidRPr="00D456E4">
        <w:rPr>
          <w:rFonts w:ascii="Arial" w:hAnsi="Arial"/>
          <w:color w:val="1C1C1C"/>
          <w:sz w:val="26"/>
          <w:szCs w:val="26"/>
        </w:rPr>
        <w:t>Fondateur et Président-directeur général,</w:t>
      </w:r>
    </w:p>
    <w:p w:rsidR="002F0755" w:rsidRPr="00D456E4" w:rsidRDefault="002F0755">
      <w:pPr>
        <w:rPr>
          <w:rFonts w:ascii="Arial" w:hAnsi="Arial"/>
          <w:color w:val="000080"/>
        </w:rPr>
      </w:pPr>
      <w:r w:rsidRPr="00D456E4">
        <w:rPr>
          <w:rFonts w:ascii="Arial" w:hAnsi="Arial"/>
          <w:color w:val="000080"/>
          <w:sz w:val="26"/>
          <w:szCs w:val="26"/>
        </w:rPr>
        <w:t>LES CLASSIQUES DES SCIENCES SOCIALES.</w:t>
      </w:r>
    </w:p>
    <w:p w:rsidR="002F0755" w:rsidRDefault="002F0755" w:rsidP="002F0755">
      <w:pPr>
        <w:ind w:firstLine="0"/>
        <w:rPr>
          <w:sz w:val="24"/>
        </w:rPr>
      </w:pPr>
      <w:r w:rsidRPr="00D456E4">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2F0755" w:rsidRPr="00E026FA" w:rsidRDefault="002F0755" w:rsidP="002F0755">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2F0755" w:rsidRPr="00E026FA" w:rsidRDefault="002F0755" w:rsidP="002F0755">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2F0755" w:rsidRDefault="002F0755" w:rsidP="002F0755">
      <w:pPr>
        <w:ind w:firstLine="0"/>
        <w:jc w:val="both"/>
        <w:rPr>
          <w:sz w:val="24"/>
        </w:rPr>
      </w:pPr>
    </w:p>
    <w:p w:rsidR="002F0755" w:rsidRPr="00CF4C8E" w:rsidRDefault="002F0755" w:rsidP="002F0755">
      <w:pPr>
        <w:ind w:firstLine="0"/>
        <w:jc w:val="both"/>
        <w:rPr>
          <w:sz w:val="24"/>
        </w:rPr>
      </w:pPr>
      <w:r w:rsidRPr="00CF4C8E">
        <w:rPr>
          <w:sz w:val="24"/>
        </w:rPr>
        <w:t>à partir du texte de :</w:t>
      </w:r>
    </w:p>
    <w:p w:rsidR="002F0755" w:rsidRDefault="002F0755" w:rsidP="002F0755">
      <w:pPr>
        <w:ind w:left="20"/>
        <w:jc w:val="both"/>
        <w:rPr>
          <w:sz w:val="24"/>
        </w:rPr>
      </w:pPr>
    </w:p>
    <w:p w:rsidR="002F0755" w:rsidRPr="003026C1" w:rsidRDefault="002F0755" w:rsidP="002F0755">
      <w:pPr>
        <w:ind w:left="20" w:hanging="20"/>
        <w:jc w:val="both"/>
      </w:pPr>
      <w:r>
        <w:t>Bernard ÉLIE</w:t>
      </w:r>
    </w:p>
    <w:p w:rsidR="002F0755" w:rsidRPr="003026C1" w:rsidRDefault="002F0755" w:rsidP="002F0755">
      <w:pPr>
        <w:ind w:left="20"/>
        <w:jc w:val="both"/>
      </w:pPr>
    </w:p>
    <w:p w:rsidR="002F0755" w:rsidRPr="003026C1" w:rsidRDefault="002F0755" w:rsidP="002F0755">
      <w:pPr>
        <w:ind w:left="20"/>
        <w:jc w:val="both"/>
        <w:rPr>
          <w:b/>
        </w:rPr>
      </w:pPr>
      <w:r w:rsidRPr="00036A44">
        <w:rPr>
          <w:b/>
        </w:rPr>
        <w:t>“L’évolution du système financier international et son impact dans les années ‘90.”</w:t>
      </w:r>
    </w:p>
    <w:p w:rsidR="002F0755" w:rsidRPr="003026C1" w:rsidRDefault="002F0755" w:rsidP="002F0755">
      <w:pPr>
        <w:ind w:left="20"/>
        <w:jc w:val="both"/>
        <w:rPr>
          <w:b/>
        </w:rPr>
      </w:pPr>
    </w:p>
    <w:p w:rsidR="002F0755" w:rsidRPr="00C72EAE" w:rsidRDefault="002F0755" w:rsidP="002F0755">
      <w:pPr>
        <w:ind w:left="20" w:hanging="20"/>
        <w:jc w:val="both"/>
      </w:pPr>
      <w:r>
        <w:t>Un texte publié dans un ouvrage sous la direction de Christian D</w:t>
      </w:r>
      <w:r>
        <w:t>e</w:t>
      </w:r>
      <w:r>
        <w:t xml:space="preserve">block et Diane Éthier, </w:t>
      </w:r>
      <w:r w:rsidRPr="003026C1">
        <w:rPr>
          <w:b/>
          <w:color w:val="FF0000"/>
        </w:rPr>
        <w:t>Mondialisation et régionalisation La coop</w:t>
      </w:r>
      <w:r w:rsidRPr="003026C1">
        <w:rPr>
          <w:b/>
          <w:color w:val="FF0000"/>
        </w:rPr>
        <w:t>é</w:t>
      </w:r>
      <w:r w:rsidRPr="003026C1">
        <w:rPr>
          <w:b/>
          <w:color w:val="FF0000"/>
        </w:rPr>
        <w:t>ration économique i</w:t>
      </w:r>
      <w:r w:rsidRPr="003026C1">
        <w:rPr>
          <w:b/>
          <w:color w:val="FF0000"/>
        </w:rPr>
        <w:t>n</w:t>
      </w:r>
      <w:r w:rsidRPr="003026C1">
        <w:rPr>
          <w:b/>
          <w:color w:val="FF0000"/>
        </w:rPr>
        <w:t>ternationale est-elle encore possible ?</w:t>
      </w:r>
      <w:r>
        <w:t>, pp. 221-240. Québec</w:t>
      </w:r>
      <w:r w:rsidRPr="00C72EAE">
        <w:t xml:space="preserve">: Les </w:t>
      </w:r>
      <w:r>
        <w:t>Presses de l’Université du Québec, 1992, 386 pp.</w:t>
      </w:r>
    </w:p>
    <w:p w:rsidR="002F0755" w:rsidRPr="00C72EAE" w:rsidRDefault="002F0755">
      <w:pPr>
        <w:jc w:val="both"/>
      </w:pPr>
    </w:p>
    <w:p w:rsidR="002F0755" w:rsidRPr="00D456E4" w:rsidRDefault="002F0755">
      <w:pPr>
        <w:ind w:left="20"/>
        <w:jc w:val="both"/>
        <w:rPr>
          <w:sz w:val="24"/>
        </w:rPr>
      </w:pPr>
      <w:r>
        <w:rPr>
          <w:sz w:val="24"/>
        </w:rPr>
        <w:t>M. Deblock</w:t>
      </w:r>
      <w:r w:rsidRPr="00D456E4">
        <w:rPr>
          <w:sz w:val="24"/>
        </w:rPr>
        <w:t xml:space="preserve"> nous a accordé</w:t>
      </w:r>
      <w:r>
        <w:rPr>
          <w:sz w:val="24"/>
        </w:rPr>
        <w:t xml:space="preserve"> le 26 septembre 2020, l’autorisation de di</w:t>
      </w:r>
      <w:r>
        <w:rPr>
          <w:sz w:val="24"/>
        </w:rPr>
        <w:t>f</w:t>
      </w:r>
      <w:r>
        <w:rPr>
          <w:sz w:val="24"/>
        </w:rPr>
        <w:t xml:space="preserve">fuser </w:t>
      </w:r>
      <w:r w:rsidRPr="00D456E4">
        <w:rPr>
          <w:sz w:val="24"/>
        </w:rPr>
        <w:t>ce livre</w:t>
      </w:r>
      <w:r>
        <w:rPr>
          <w:sz w:val="24"/>
        </w:rPr>
        <w:t>, en texte intégral et en libre accès à tous,</w:t>
      </w:r>
      <w:r w:rsidRPr="00D456E4">
        <w:rPr>
          <w:sz w:val="24"/>
        </w:rPr>
        <w:t xml:space="preserve"> dans Les Classiques des sciences s</w:t>
      </w:r>
      <w:r w:rsidRPr="00D456E4">
        <w:rPr>
          <w:sz w:val="24"/>
        </w:rPr>
        <w:t>o</w:t>
      </w:r>
      <w:r w:rsidRPr="00D456E4">
        <w:rPr>
          <w:sz w:val="24"/>
        </w:rPr>
        <w:t>ciales.</w:t>
      </w:r>
    </w:p>
    <w:p w:rsidR="002F0755" w:rsidRPr="00D456E4" w:rsidRDefault="002F0755">
      <w:pPr>
        <w:jc w:val="both"/>
        <w:rPr>
          <w:sz w:val="24"/>
        </w:rPr>
      </w:pPr>
    </w:p>
    <w:p w:rsidR="002F0755" w:rsidRDefault="001973DE" w:rsidP="002F0755">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F0755" w:rsidRPr="00D456E4">
        <w:rPr>
          <w:sz w:val="24"/>
        </w:rPr>
        <w:t xml:space="preserve"> Courriel</w:t>
      </w:r>
      <w:r w:rsidR="002F0755">
        <w:rPr>
          <w:sz w:val="24"/>
        </w:rPr>
        <w:t>s</w:t>
      </w:r>
      <w:r w:rsidR="002F0755" w:rsidRPr="00D456E4">
        <w:rPr>
          <w:sz w:val="24"/>
        </w:rPr>
        <w:t> :</w:t>
      </w:r>
      <w:r w:rsidR="002F0755">
        <w:rPr>
          <w:sz w:val="24"/>
        </w:rPr>
        <w:t xml:space="preserve"> </w:t>
      </w:r>
      <w:r w:rsidR="002F0755" w:rsidRPr="00503E85">
        <w:rPr>
          <w:sz w:val="24"/>
        </w:rPr>
        <w:t>Christian Deblock</w:t>
      </w:r>
      <w:r w:rsidR="002F0755">
        <w:rPr>
          <w:sz w:val="24"/>
        </w:rPr>
        <w:t xml:space="preserve"> : </w:t>
      </w:r>
      <w:hyperlink r:id="rId15" w:history="1">
        <w:r w:rsidR="002F0755" w:rsidRPr="006C454A">
          <w:rPr>
            <w:rStyle w:val="Lienhypertexte"/>
            <w:sz w:val="24"/>
          </w:rPr>
          <w:t>deblock.christian@uqam.ca</w:t>
        </w:r>
      </w:hyperlink>
      <w:r w:rsidR="002F0755">
        <w:rPr>
          <w:sz w:val="24"/>
        </w:rPr>
        <w:t xml:space="preserve"> </w:t>
      </w:r>
    </w:p>
    <w:p w:rsidR="002F0755" w:rsidRDefault="002F0755" w:rsidP="002F0755">
      <w:pPr>
        <w:ind w:firstLine="0"/>
        <w:rPr>
          <w:sz w:val="24"/>
        </w:rPr>
      </w:pPr>
      <w:r>
        <w:rPr>
          <w:sz w:val="24"/>
        </w:rPr>
        <w:t xml:space="preserve">Diane Éthier : </w:t>
      </w:r>
      <w:hyperlink r:id="rId16" w:history="1">
        <w:r w:rsidRPr="00917533">
          <w:rPr>
            <w:rStyle w:val="Lienhypertexte"/>
            <w:sz w:val="24"/>
          </w:rPr>
          <w:t>Diane.Ethier@umontreal.ca</w:t>
        </w:r>
      </w:hyperlink>
      <w:r>
        <w:rPr>
          <w:sz w:val="24"/>
        </w:rPr>
        <w:t xml:space="preserve"> </w:t>
      </w:r>
    </w:p>
    <w:p w:rsidR="002F0755" w:rsidRPr="00D456E4" w:rsidRDefault="002F0755" w:rsidP="002F0755">
      <w:pPr>
        <w:ind w:right="1800" w:firstLine="0"/>
        <w:jc w:val="both"/>
        <w:rPr>
          <w:sz w:val="24"/>
        </w:rPr>
      </w:pPr>
    </w:p>
    <w:p w:rsidR="002F0755" w:rsidRPr="00D456E4" w:rsidRDefault="002F0755">
      <w:pPr>
        <w:ind w:right="1800" w:firstLine="0"/>
        <w:jc w:val="both"/>
        <w:rPr>
          <w:sz w:val="24"/>
        </w:rPr>
      </w:pPr>
      <w:r w:rsidRPr="00D456E4">
        <w:rPr>
          <w:sz w:val="24"/>
        </w:rPr>
        <w:t>Police de caractères utilisé</w:t>
      </w:r>
      <w:r>
        <w:rPr>
          <w:sz w:val="24"/>
        </w:rPr>
        <w:t>s</w:t>
      </w:r>
      <w:r w:rsidRPr="00D456E4">
        <w:rPr>
          <w:sz w:val="24"/>
        </w:rPr>
        <w:t> :</w:t>
      </w:r>
    </w:p>
    <w:p w:rsidR="002F0755" w:rsidRPr="00D456E4" w:rsidRDefault="002F0755">
      <w:pPr>
        <w:ind w:right="1800" w:firstLine="0"/>
        <w:jc w:val="both"/>
        <w:rPr>
          <w:sz w:val="24"/>
        </w:rPr>
      </w:pPr>
    </w:p>
    <w:p w:rsidR="002F0755" w:rsidRPr="00D456E4" w:rsidRDefault="002F0755" w:rsidP="002F0755">
      <w:pPr>
        <w:ind w:left="360" w:right="360" w:firstLine="0"/>
        <w:jc w:val="both"/>
        <w:rPr>
          <w:sz w:val="24"/>
        </w:rPr>
      </w:pPr>
      <w:r w:rsidRPr="00D456E4">
        <w:rPr>
          <w:sz w:val="24"/>
        </w:rPr>
        <w:t>Pour le texte: Times New Roman, 14 points.</w:t>
      </w:r>
    </w:p>
    <w:p w:rsidR="002F0755" w:rsidRPr="00D456E4" w:rsidRDefault="002F0755" w:rsidP="002F0755">
      <w:pPr>
        <w:ind w:left="360" w:right="360" w:firstLine="0"/>
        <w:jc w:val="both"/>
        <w:rPr>
          <w:sz w:val="24"/>
        </w:rPr>
      </w:pPr>
      <w:r w:rsidRPr="00D456E4">
        <w:rPr>
          <w:sz w:val="24"/>
        </w:rPr>
        <w:t>Pour les citations: Times New Roman, 12 points.</w:t>
      </w:r>
    </w:p>
    <w:p w:rsidR="002F0755" w:rsidRPr="00D456E4" w:rsidRDefault="002F0755" w:rsidP="002F0755">
      <w:pPr>
        <w:ind w:left="360" w:right="360" w:firstLine="0"/>
        <w:jc w:val="both"/>
        <w:rPr>
          <w:sz w:val="24"/>
        </w:rPr>
      </w:pPr>
      <w:r w:rsidRPr="00D456E4">
        <w:rPr>
          <w:sz w:val="24"/>
        </w:rPr>
        <w:t>Pour les notes de bas de page: Times New Roman, 12 points.</w:t>
      </w:r>
    </w:p>
    <w:p w:rsidR="002F0755" w:rsidRPr="00D456E4" w:rsidRDefault="002F0755">
      <w:pPr>
        <w:ind w:left="360" w:right="1800" w:firstLine="0"/>
        <w:jc w:val="both"/>
        <w:rPr>
          <w:sz w:val="24"/>
        </w:rPr>
      </w:pPr>
    </w:p>
    <w:p w:rsidR="002F0755" w:rsidRPr="00D456E4" w:rsidRDefault="002F0755">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2F0755" w:rsidRPr="00D456E4" w:rsidRDefault="002F0755" w:rsidP="002F0755">
      <w:pPr>
        <w:ind w:right="630" w:firstLine="0"/>
        <w:jc w:val="both"/>
        <w:rPr>
          <w:sz w:val="24"/>
        </w:rPr>
      </w:pPr>
      <w:r w:rsidRPr="00D456E4">
        <w:rPr>
          <w:sz w:val="24"/>
        </w:rPr>
        <w:t>Mise en page sur papier format : LETTRE US, 8.5’’ x 11’’.</w:t>
      </w:r>
    </w:p>
    <w:p w:rsidR="002F0755" w:rsidRPr="00D456E4" w:rsidRDefault="002F0755">
      <w:pPr>
        <w:ind w:right="1800" w:firstLine="0"/>
        <w:jc w:val="both"/>
        <w:rPr>
          <w:sz w:val="24"/>
        </w:rPr>
      </w:pPr>
    </w:p>
    <w:p w:rsidR="002F0755" w:rsidRPr="00D456E4" w:rsidRDefault="002F0755" w:rsidP="002F0755">
      <w:pPr>
        <w:ind w:firstLine="0"/>
        <w:jc w:val="both"/>
        <w:rPr>
          <w:sz w:val="24"/>
        </w:rPr>
      </w:pPr>
      <w:r w:rsidRPr="00D456E4">
        <w:rPr>
          <w:sz w:val="24"/>
        </w:rPr>
        <w:t xml:space="preserve">Édition numérique réalisée le </w:t>
      </w:r>
      <w:r>
        <w:rPr>
          <w:sz w:val="24"/>
        </w:rPr>
        <w:t>18 janvier 2021 à Chicoutimi</w:t>
      </w:r>
      <w:r w:rsidRPr="00D456E4">
        <w:rPr>
          <w:sz w:val="24"/>
        </w:rPr>
        <w:t>, Québec.</w:t>
      </w:r>
    </w:p>
    <w:p w:rsidR="002F0755" w:rsidRPr="00D456E4" w:rsidRDefault="002F0755">
      <w:pPr>
        <w:ind w:right="1800" w:firstLine="0"/>
        <w:jc w:val="both"/>
        <w:rPr>
          <w:sz w:val="22"/>
        </w:rPr>
      </w:pPr>
    </w:p>
    <w:p w:rsidR="002F0755" w:rsidRPr="00D456E4" w:rsidRDefault="001973DE">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F0755" w:rsidRPr="00D456E4" w:rsidRDefault="002F0755">
      <w:pPr>
        <w:ind w:left="20"/>
        <w:jc w:val="both"/>
      </w:pPr>
      <w:r w:rsidRPr="00D456E4">
        <w:br w:type="page"/>
      </w:r>
    </w:p>
    <w:p w:rsidR="002F0755" w:rsidRPr="00D456E4" w:rsidRDefault="002F0755" w:rsidP="002F0755">
      <w:pPr>
        <w:ind w:firstLine="0"/>
        <w:jc w:val="center"/>
        <w:rPr>
          <w:b/>
          <w:sz w:val="36"/>
          <w:lang w:bidi="ar-SA"/>
        </w:rPr>
      </w:pPr>
      <w:r>
        <w:rPr>
          <w:sz w:val="36"/>
          <w:lang w:bidi="ar-SA"/>
        </w:rPr>
        <w:t>Bernard ÉLIE</w:t>
      </w:r>
    </w:p>
    <w:p w:rsidR="002F0755" w:rsidRDefault="002F0755" w:rsidP="002F0755">
      <w:pPr>
        <w:ind w:firstLine="0"/>
        <w:jc w:val="center"/>
        <w:rPr>
          <w:sz w:val="20"/>
          <w:lang w:bidi="ar-SA"/>
        </w:rPr>
      </w:pPr>
      <w:r>
        <w:rPr>
          <w:sz w:val="20"/>
          <w:lang w:bidi="ar-SA"/>
        </w:rPr>
        <w:t>Professeur, département de science économique</w:t>
      </w:r>
      <w:r w:rsidRPr="00D456E4">
        <w:rPr>
          <w:sz w:val="20"/>
          <w:lang w:bidi="ar-SA"/>
        </w:rPr>
        <w:t>,</w:t>
      </w:r>
      <w:r>
        <w:rPr>
          <w:sz w:val="20"/>
          <w:lang w:bidi="ar-SA"/>
        </w:rPr>
        <w:t xml:space="preserve"> UQÀ</w:t>
      </w:r>
      <w:r w:rsidRPr="00D456E4">
        <w:rPr>
          <w:sz w:val="20"/>
          <w:lang w:bidi="ar-SA"/>
        </w:rPr>
        <w:t>M</w:t>
      </w:r>
    </w:p>
    <w:p w:rsidR="002F0755" w:rsidRPr="00D456E4" w:rsidRDefault="002F0755" w:rsidP="002F0755">
      <w:pPr>
        <w:ind w:firstLine="0"/>
        <w:jc w:val="center"/>
      </w:pPr>
    </w:p>
    <w:p w:rsidR="002F0755" w:rsidRDefault="002F0755" w:rsidP="002F0755">
      <w:pPr>
        <w:ind w:firstLine="0"/>
        <w:jc w:val="center"/>
        <w:rPr>
          <w:color w:val="000080"/>
          <w:sz w:val="36"/>
        </w:rPr>
      </w:pPr>
      <w:r w:rsidRPr="00036A44">
        <w:rPr>
          <w:color w:val="000080"/>
          <w:sz w:val="36"/>
        </w:rPr>
        <w:t xml:space="preserve">“L’évolution du </w:t>
      </w:r>
      <w:r>
        <w:rPr>
          <w:color w:val="000080"/>
          <w:sz w:val="36"/>
        </w:rPr>
        <w:t>système financier international</w:t>
      </w:r>
      <w:r>
        <w:rPr>
          <w:color w:val="000080"/>
          <w:sz w:val="36"/>
        </w:rPr>
        <w:br/>
      </w:r>
      <w:r w:rsidRPr="00036A44">
        <w:rPr>
          <w:color w:val="000080"/>
          <w:sz w:val="36"/>
        </w:rPr>
        <w:t>et son impact dans les années ‘90.”</w:t>
      </w:r>
    </w:p>
    <w:p w:rsidR="002F0755" w:rsidRPr="00D456E4" w:rsidRDefault="002F0755" w:rsidP="002F0755">
      <w:pPr>
        <w:ind w:firstLine="0"/>
        <w:jc w:val="center"/>
      </w:pPr>
    </w:p>
    <w:p w:rsidR="002F0755" w:rsidRPr="00D456E4" w:rsidRDefault="001973DE" w:rsidP="002F0755">
      <w:pPr>
        <w:ind w:firstLine="0"/>
        <w:jc w:val="center"/>
      </w:pPr>
      <w:r>
        <w:rPr>
          <w:noProof/>
        </w:rPr>
        <w:drawing>
          <wp:inline distT="0" distB="0" distL="0" distR="0">
            <wp:extent cx="3124200" cy="4724400"/>
            <wp:effectExtent l="25400" t="25400" r="12700" b="12700"/>
            <wp:docPr id="5" name="Image 5" descr="Mondialisation_et_regionalisatio_L25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ndialisation_et_regionalisatio_L25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4724400"/>
                    </a:xfrm>
                    <a:prstGeom prst="rect">
                      <a:avLst/>
                    </a:prstGeom>
                    <a:noFill/>
                    <a:ln w="19050" cmpd="sng">
                      <a:solidFill>
                        <a:srgbClr val="000000"/>
                      </a:solidFill>
                      <a:miter lim="800000"/>
                      <a:headEnd/>
                      <a:tailEnd/>
                    </a:ln>
                    <a:effectLst/>
                  </pic:spPr>
                </pic:pic>
              </a:graphicData>
            </a:graphic>
          </wp:inline>
        </w:drawing>
      </w:r>
    </w:p>
    <w:p w:rsidR="002F0755" w:rsidRPr="00D456E4" w:rsidRDefault="002F0755" w:rsidP="002F0755">
      <w:pPr>
        <w:ind w:firstLine="0"/>
        <w:jc w:val="center"/>
      </w:pPr>
    </w:p>
    <w:p w:rsidR="002F0755" w:rsidRPr="00C72EAE" w:rsidRDefault="002F0755" w:rsidP="002F0755">
      <w:pPr>
        <w:ind w:left="20" w:hanging="20"/>
        <w:jc w:val="both"/>
      </w:pPr>
      <w:r>
        <w:t>Un texte publié dans un ouvrage sous la direction de Christian D</w:t>
      </w:r>
      <w:r>
        <w:t>e</w:t>
      </w:r>
      <w:r>
        <w:t xml:space="preserve">block et Diane Éthier, </w:t>
      </w:r>
      <w:r w:rsidRPr="003026C1">
        <w:rPr>
          <w:b/>
          <w:color w:val="FF0000"/>
        </w:rPr>
        <w:t>Mondialisation et régionalisation La coop</w:t>
      </w:r>
      <w:r w:rsidRPr="003026C1">
        <w:rPr>
          <w:b/>
          <w:color w:val="FF0000"/>
        </w:rPr>
        <w:t>é</w:t>
      </w:r>
      <w:r w:rsidRPr="003026C1">
        <w:rPr>
          <w:b/>
          <w:color w:val="FF0000"/>
        </w:rPr>
        <w:t>ration économique i</w:t>
      </w:r>
      <w:r w:rsidRPr="003026C1">
        <w:rPr>
          <w:b/>
          <w:color w:val="FF0000"/>
        </w:rPr>
        <w:t>n</w:t>
      </w:r>
      <w:r w:rsidRPr="003026C1">
        <w:rPr>
          <w:b/>
          <w:color w:val="FF0000"/>
        </w:rPr>
        <w:t>ternationale est-elle encore possible ?</w:t>
      </w:r>
      <w:r>
        <w:t>, pp. 221-240. Québec</w:t>
      </w:r>
      <w:r w:rsidRPr="00C72EAE">
        <w:t xml:space="preserve">: Les </w:t>
      </w:r>
      <w:r>
        <w:t>Presses de l’Université du Québec, 1992, 386 pp.</w:t>
      </w:r>
    </w:p>
    <w:p w:rsidR="002F0755" w:rsidRPr="00E07116" w:rsidRDefault="002F0755" w:rsidP="002F0755">
      <w:pPr>
        <w:pStyle w:val="p"/>
      </w:pPr>
      <w:r>
        <w:br w:type="page"/>
      </w:r>
    </w:p>
    <w:p w:rsidR="002F0755" w:rsidRPr="00E07116" w:rsidRDefault="002F0755" w:rsidP="002F0755">
      <w:pPr>
        <w:jc w:val="both"/>
      </w:pPr>
    </w:p>
    <w:p w:rsidR="002F0755" w:rsidRPr="00E07116" w:rsidRDefault="002F0755" w:rsidP="002F0755">
      <w:pPr>
        <w:jc w:val="both"/>
      </w:pPr>
      <w:r>
        <w:t xml:space="preserve"> </w:t>
      </w:r>
    </w:p>
    <w:p w:rsidR="002F0755" w:rsidRPr="00E07116" w:rsidRDefault="002F0755" w:rsidP="002F0755">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2F0755" w:rsidRPr="00E07116" w:rsidRDefault="002F0755" w:rsidP="002F0755">
      <w:pPr>
        <w:pStyle w:val="NormalWeb"/>
        <w:spacing w:before="2" w:after="2"/>
        <w:rPr>
          <w:sz w:val="28"/>
        </w:rPr>
      </w:pPr>
      <w:r w:rsidRPr="00E07116">
        <w:rPr>
          <w:sz w:val="28"/>
        </w:rPr>
        <w:t>Par exemple, [1] correspond au début de la page 1 de l’édition papier numérisée.</w:t>
      </w:r>
    </w:p>
    <w:p w:rsidR="002F0755" w:rsidRPr="00E07116" w:rsidRDefault="002F0755" w:rsidP="002F0755">
      <w:pPr>
        <w:jc w:val="both"/>
        <w:rPr>
          <w:szCs w:val="19"/>
        </w:rPr>
      </w:pPr>
    </w:p>
    <w:p w:rsidR="002F0755" w:rsidRPr="00E07116" w:rsidRDefault="002F0755" w:rsidP="002F0755">
      <w:pPr>
        <w:jc w:val="both"/>
        <w:rPr>
          <w:szCs w:val="19"/>
        </w:rPr>
      </w:pPr>
    </w:p>
    <w:p w:rsidR="002F0755" w:rsidRPr="00AD1D78" w:rsidRDefault="002F0755" w:rsidP="002F0755">
      <w:pPr>
        <w:spacing w:before="120" w:after="120"/>
        <w:ind w:firstLine="0"/>
        <w:jc w:val="both"/>
        <w:rPr>
          <w:lang w:eastAsia="fr-FR" w:bidi="fr-FR"/>
        </w:rPr>
      </w:pPr>
      <w:r>
        <w:br w:type="page"/>
      </w:r>
      <w:r w:rsidRPr="00AD1D78">
        <w:rPr>
          <w:lang w:eastAsia="fr-FR" w:bidi="fr-FR"/>
        </w:rPr>
        <w:lastRenderedPageBreak/>
        <w:t>[221]</w:t>
      </w:r>
    </w:p>
    <w:p w:rsidR="002F0755" w:rsidRDefault="002F0755" w:rsidP="002F0755">
      <w:pPr>
        <w:jc w:val="both"/>
      </w:pPr>
    </w:p>
    <w:p w:rsidR="002F0755" w:rsidRPr="00D456E4" w:rsidRDefault="002F0755" w:rsidP="002F0755">
      <w:pPr>
        <w:jc w:val="both"/>
      </w:pPr>
    </w:p>
    <w:p w:rsidR="002F0755" w:rsidRPr="00D456E4" w:rsidRDefault="002F0755" w:rsidP="002F0755">
      <w:pPr>
        <w:ind w:firstLine="0"/>
        <w:jc w:val="center"/>
        <w:rPr>
          <w:b/>
          <w:color w:val="008000"/>
          <w:sz w:val="24"/>
        </w:rPr>
      </w:pPr>
      <w:bookmarkStart w:id="1" w:name="Mondialisation_pt_2_texte_08"/>
      <w:r>
        <w:rPr>
          <w:b/>
          <w:color w:val="008000"/>
          <w:sz w:val="24"/>
        </w:rPr>
        <w:t>Deuxième partie</w:t>
      </w:r>
    </w:p>
    <w:p w:rsidR="002F0755" w:rsidRPr="00AA5429" w:rsidRDefault="002F0755" w:rsidP="002F0755">
      <w:pPr>
        <w:ind w:firstLine="0"/>
        <w:jc w:val="center"/>
        <w:rPr>
          <w:b/>
        </w:rPr>
      </w:pPr>
      <w:r>
        <w:rPr>
          <w:b/>
        </w:rPr>
        <w:t>La mondialisation des marchés</w:t>
      </w:r>
      <w:r>
        <w:rPr>
          <w:b/>
        </w:rPr>
        <w:br/>
        <w:t>et la tentation du laissez-faire</w:t>
      </w:r>
    </w:p>
    <w:p w:rsidR="002F0755" w:rsidRPr="00D456E4" w:rsidRDefault="002F0755" w:rsidP="002F0755">
      <w:pPr>
        <w:jc w:val="both"/>
        <w:rPr>
          <w:szCs w:val="36"/>
        </w:rPr>
      </w:pPr>
    </w:p>
    <w:p w:rsidR="002F0755" w:rsidRPr="00D456E4" w:rsidRDefault="002F0755" w:rsidP="002F0755">
      <w:pPr>
        <w:pStyle w:val="Titreniveau1"/>
      </w:pPr>
      <w:r>
        <w:t>8</w:t>
      </w:r>
    </w:p>
    <w:p w:rsidR="002F0755" w:rsidRPr="00D456E4" w:rsidRDefault="002F0755" w:rsidP="002F0755">
      <w:pPr>
        <w:pStyle w:val="Titreniveau2"/>
      </w:pPr>
      <w:r w:rsidRPr="00D456E4">
        <w:t>“</w:t>
      </w:r>
      <w:r>
        <w:t>L’évolution du système financier</w:t>
      </w:r>
      <w:r>
        <w:br/>
        <w:t>international et son impact</w:t>
      </w:r>
      <w:r>
        <w:br/>
        <w:t>dans les années ’90.</w:t>
      </w:r>
      <w:r w:rsidRPr="00D456E4">
        <w:t>”</w:t>
      </w:r>
    </w:p>
    <w:bookmarkEnd w:id="1"/>
    <w:p w:rsidR="002F0755" w:rsidRPr="00D456E4" w:rsidRDefault="002F0755" w:rsidP="002F0755">
      <w:pPr>
        <w:jc w:val="both"/>
        <w:rPr>
          <w:szCs w:val="36"/>
        </w:rPr>
      </w:pPr>
    </w:p>
    <w:p w:rsidR="002F0755" w:rsidRPr="00F96528" w:rsidRDefault="002F0755" w:rsidP="002F0755">
      <w:pPr>
        <w:pStyle w:val="suite"/>
        <w:rPr>
          <w:i/>
        </w:rPr>
      </w:pPr>
      <w:r>
        <w:t>Bernard ÉLIE</w:t>
      </w:r>
    </w:p>
    <w:p w:rsidR="002F0755" w:rsidRPr="00D456E4" w:rsidRDefault="002F0755" w:rsidP="002F0755">
      <w:pPr>
        <w:jc w:val="both"/>
      </w:pPr>
    </w:p>
    <w:p w:rsidR="002F0755" w:rsidRPr="00D456E4" w:rsidRDefault="002F0755" w:rsidP="002F0755">
      <w:pPr>
        <w:jc w:val="both"/>
      </w:pPr>
    </w:p>
    <w:p w:rsidR="002F0755" w:rsidRPr="00AD1D78" w:rsidRDefault="002F0755" w:rsidP="002F0755">
      <w:pPr>
        <w:spacing w:before="120" w:after="120"/>
        <w:jc w:val="both"/>
      </w:pPr>
      <w:r w:rsidRPr="00AD1D78">
        <w:rPr>
          <w:lang w:eastAsia="fr-FR" w:bidi="fr-FR"/>
        </w:rPr>
        <w:t>Bulles financières, endettement généralisé, krach boursier, les év</w:t>
      </w:r>
      <w:r w:rsidRPr="00AD1D78">
        <w:rPr>
          <w:lang w:eastAsia="fr-FR" w:bidi="fr-FR"/>
        </w:rPr>
        <w:t>é</w:t>
      </w:r>
      <w:r w:rsidRPr="00AD1D78">
        <w:rPr>
          <w:lang w:eastAsia="fr-FR" w:bidi="fr-FR"/>
        </w:rPr>
        <w:t>nements du monde financier sont de plus en plus au-devant de la sc</w:t>
      </w:r>
      <w:r w:rsidRPr="00AD1D78">
        <w:rPr>
          <w:lang w:eastAsia="fr-FR" w:bidi="fr-FR"/>
        </w:rPr>
        <w:t>è</w:t>
      </w:r>
      <w:r w:rsidRPr="00AD1D78">
        <w:rPr>
          <w:lang w:eastAsia="fr-FR" w:bidi="fr-FR"/>
        </w:rPr>
        <w:t>ne économique. L'influence de ce monde sur notre quotidien est mai</w:t>
      </w:r>
      <w:r w:rsidRPr="00AD1D78">
        <w:rPr>
          <w:lang w:eastAsia="fr-FR" w:bidi="fr-FR"/>
        </w:rPr>
        <w:t>n</w:t>
      </w:r>
      <w:r w:rsidRPr="00AD1D78">
        <w:rPr>
          <w:lang w:eastAsia="fr-FR" w:bidi="fr-FR"/>
        </w:rPr>
        <w:t>tenant très évidente, compte tenu du lourd tribut que l’on doit lui ve</w:t>
      </w:r>
      <w:r w:rsidRPr="00AD1D78">
        <w:rPr>
          <w:lang w:eastAsia="fr-FR" w:bidi="fr-FR"/>
        </w:rPr>
        <w:t>r</w:t>
      </w:r>
      <w:r w:rsidRPr="00AD1D78">
        <w:rPr>
          <w:lang w:eastAsia="fr-FR" w:bidi="fr-FR"/>
        </w:rPr>
        <w:t>ser. L'énorme ponction de richesses faite par le secteur financier con</w:t>
      </w:r>
      <w:r w:rsidRPr="00AD1D78">
        <w:rPr>
          <w:lang w:eastAsia="fr-FR" w:bidi="fr-FR"/>
        </w:rPr>
        <w:t>s</w:t>
      </w:r>
      <w:r w:rsidRPr="00AD1D78">
        <w:rPr>
          <w:lang w:eastAsia="fr-FR" w:bidi="fr-FR"/>
        </w:rPr>
        <w:t>titue une épargne forcée détournée d'activités productives ou de la consommation. Mais au-delà de ces constatations générales, il n'existe pas d'analyse qualitative de l'évolution du système financier intern</w:t>
      </w:r>
      <w:r w:rsidRPr="00AD1D78">
        <w:rPr>
          <w:lang w:eastAsia="fr-FR" w:bidi="fr-FR"/>
        </w:rPr>
        <w:t>a</w:t>
      </w:r>
      <w:r w:rsidRPr="00AD1D78">
        <w:rPr>
          <w:lang w:eastAsia="fr-FR" w:bidi="fr-FR"/>
        </w:rPr>
        <w:t>tional.</w:t>
      </w:r>
    </w:p>
    <w:p w:rsidR="002F0755" w:rsidRPr="00AD1D78" w:rsidRDefault="002F0755" w:rsidP="002F0755">
      <w:pPr>
        <w:spacing w:before="120" w:after="120"/>
        <w:jc w:val="both"/>
      </w:pPr>
      <w:r w:rsidRPr="00AD1D78">
        <w:rPr>
          <w:lang w:eastAsia="fr-FR" w:bidi="fr-FR"/>
        </w:rPr>
        <w:t>Ce texte propose une périodisation de l'évolution du système f</w:t>
      </w:r>
      <w:r w:rsidRPr="00AD1D78">
        <w:rPr>
          <w:lang w:eastAsia="fr-FR" w:bidi="fr-FR"/>
        </w:rPr>
        <w:t>i</w:t>
      </w:r>
      <w:r w:rsidRPr="00AD1D78">
        <w:rPr>
          <w:lang w:eastAsia="fr-FR" w:bidi="fr-FR"/>
        </w:rPr>
        <w:t>nancier international depuis 30 ans. Cette périodisation repose sur l'observation des méthodes utilisées par les institutions financières pour ajuster leurs activités en fonction de l'évolution du risque sur les marchés. Par affinité avec la comptabilité, les ajustements observés se sont traduits directement sur le bilan des entreprises financières</w:t>
      </w:r>
      <w:r w:rsidRPr="00AD1D78">
        <w:t> ;</w:t>
      </w:r>
      <w:r w:rsidRPr="00AD1D78">
        <w:rPr>
          <w:lang w:eastAsia="fr-FR" w:bidi="fr-FR"/>
        </w:rPr>
        <w:t xml:space="preserve"> dans un premier temps à l'actif, puis au passif. Il distingue trois phases d'évolution marquées par des changements qualitatifs très significatifs, en insistant particulièrement sur les événements récents. Puis, il an</w:t>
      </w:r>
      <w:r w:rsidRPr="00AD1D78">
        <w:rPr>
          <w:lang w:eastAsia="fr-FR" w:bidi="fr-FR"/>
        </w:rPr>
        <w:t>a</w:t>
      </w:r>
      <w:r w:rsidRPr="00AD1D78">
        <w:rPr>
          <w:lang w:eastAsia="fr-FR" w:bidi="fr-FR"/>
        </w:rPr>
        <w:lastRenderedPageBreak/>
        <w:t>lyse les effets de cette évolution des marchés financiers sur l'efficacité des politiques monétaires et financières. Mais, auparavant, un rappel du contexte des événements s'impose.</w:t>
      </w:r>
    </w:p>
    <w:p w:rsidR="002F0755" w:rsidRPr="00AD1D78" w:rsidRDefault="002F0755" w:rsidP="002F0755">
      <w:pPr>
        <w:spacing w:before="120" w:after="120"/>
        <w:jc w:val="both"/>
        <w:rPr>
          <w:szCs w:val="24"/>
          <w:lang w:eastAsia="fr-FR" w:bidi="fr-FR"/>
        </w:rPr>
      </w:pPr>
    </w:p>
    <w:p w:rsidR="002F0755" w:rsidRPr="00AD1D78" w:rsidRDefault="002F0755" w:rsidP="002F0755">
      <w:pPr>
        <w:pStyle w:val="aa"/>
      </w:pPr>
      <w:r w:rsidRPr="00AD1D78">
        <w:t>Les liquidités internationales :</w:t>
      </w:r>
      <w:r>
        <w:br/>
      </w:r>
      <w:r w:rsidRPr="00AD1D78">
        <w:t>la privatisation de la détention</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La privatisation de la détention des liquidités internationales est liée à la création, il y a 30 ans, d'un marché financier international pr</w:t>
      </w:r>
      <w:r w:rsidRPr="00AD1D78">
        <w:rPr>
          <w:lang w:eastAsia="fr-FR" w:bidi="fr-FR"/>
        </w:rPr>
        <w:t>i</w:t>
      </w:r>
      <w:r w:rsidRPr="00AD1D78">
        <w:rPr>
          <w:lang w:eastAsia="fr-FR" w:bidi="fr-FR"/>
        </w:rPr>
        <w:t>vé</w:t>
      </w:r>
      <w:r w:rsidRPr="00AD1D78">
        <w:t> :</w:t>
      </w:r>
      <w:r>
        <w:t xml:space="preserve"> </w:t>
      </w:r>
      <w:r w:rsidRPr="00AD1D78">
        <w:t>[222]</w:t>
      </w:r>
      <w:r>
        <w:t xml:space="preserve"> </w:t>
      </w:r>
      <w:r w:rsidRPr="00AD1D78">
        <w:rPr>
          <w:lang w:eastAsia="fr-FR" w:bidi="fr-FR"/>
        </w:rPr>
        <w:t>l'euromarché. Traditionnellement, jusqu'aux années 60, les termes liquidités internationales correspondaient à l'ensemble des moyens financiers détenus par les autorités monétaires de chaque pays pour régler les soldes des échanges internationaux de ses résidents. Liquid</w:t>
      </w:r>
      <w:r w:rsidRPr="00AD1D78">
        <w:rPr>
          <w:lang w:eastAsia="fr-FR" w:bidi="fr-FR"/>
        </w:rPr>
        <w:t>i</w:t>
      </w:r>
      <w:r w:rsidRPr="00AD1D78">
        <w:rPr>
          <w:lang w:eastAsia="fr-FR" w:bidi="fr-FR"/>
        </w:rPr>
        <w:t>tés internationales et réserves officielles se confondaient alors. Dans tous les pays, les autorités monétaires, comme gardiennes de la valeur de la monnaie nationale, conservaient ainsi les moyens de paiements devant être utilisés au besoin dans les relations du pays avec le reste du monde, conformément à la vision de Bretton Woods. Avant l'av</w:t>
      </w:r>
      <w:r w:rsidRPr="00AD1D78">
        <w:rPr>
          <w:lang w:eastAsia="fr-FR" w:bidi="fr-FR"/>
        </w:rPr>
        <w:t>è</w:t>
      </w:r>
      <w:r w:rsidRPr="00AD1D78">
        <w:rPr>
          <w:lang w:eastAsia="fr-FR" w:bidi="fr-FR"/>
        </w:rPr>
        <w:t>nement de l'euromarché, les autorités monétaires avaient donc un certain nombre de responsabilités précises. Tout d’abord, e</w:t>
      </w:r>
      <w:r w:rsidRPr="00AD1D78">
        <w:rPr>
          <w:lang w:eastAsia="fr-FR" w:bidi="fr-FR"/>
        </w:rPr>
        <w:t>l</w:t>
      </w:r>
      <w:r w:rsidRPr="00AD1D78">
        <w:rPr>
          <w:lang w:eastAsia="fr-FR" w:bidi="fr-FR"/>
        </w:rPr>
        <w:t>les étaient les uniques détentrices des liquidités internationales. R</w:t>
      </w:r>
      <w:r w:rsidRPr="00AD1D78">
        <w:rPr>
          <w:lang w:eastAsia="fr-FR" w:bidi="fr-FR"/>
        </w:rPr>
        <w:t>é</w:t>
      </w:r>
      <w:r w:rsidRPr="00AD1D78">
        <w:rPr>
          <w:lang w:eastAsia="fr-FR" w:bidi="fr-FR"/>
        </w:rPr>
        <w:t>pondant aux transactions commerciales, elles alimentaient en liquid</w:t>
      </w:r>
      <w:r w:rsidRPr="00AD1D78">
        <w:rPr>
          <w:lang w:eastAsia="fr-FR" w:bidi="fr-FR"/>
        </w:rPr>
        <w:t>i</w:t>
      </w:r>
      <w:r w:rsidRPr="00AD1D78">
        <w:rPr>
          <w:lang w:eastAsia="fr-FR" w:bidi="fr-FR"/>
        </w:rPr>
        <w:t>tés, c'est-à-dire en devises étrangères, le marché des changes. Cette prérogative leur a</w:t>
      </w:r>
      <w:r w:rsidRPr="00AD1D78">
        <w:rPr>
          <w:lang w:eastAsia="fr-FR" w:bidi="fr-FR"/>
        </w:rPr>
        <w:t>c</w:t>
      </w:r>
      <w:r w:rsidRPr="00AD1D78">
        <w:rPr>
          <w:lang w:eastAsia="fr-FR" w:bidi="fr-FR"/>
        </w:rPr>
        <w:t>cordait, d'autre part, le pouvoir et la responsabilité de déterminer le taux de change et de financer le solde de la balance des paiements. Le développement de l'euromarché comme marché autonome de devises, et en particulier de dollars, bouleversera l'ordre établi.</w:t>
      </w:r>
    </w:p>
    <w:p w:rsidR="002F0755" w:rsidRPr="00AD1D78" w:rsidRDefault="002F0755" w:rsidP="002F0755">
      <w:pPr>
        <w:spacing w:before="120" w:after="120"/>
        <w:jc w:val="both"/>
      </w:pPr>
      <w:r w:rsidRPr="00AD1D78">
        <w:rPr>
          <w:lang w:eastAsia="fr-FR" w:bidi="fr-FR"/>
        </w:rPr>
        <w:t>La création d'un marché financier international, ou plutôt d'un marché transnational, allait en effet sanctionner la mise sur pied d'un circuit financier hors du contrôle des autorités monétaires et remettre en cause les responsabilités exclusives de ces dernières. Parallèlement allait se mettre en place un ensemble d'institutions qui, peu à peu, aura une telle autonomie que sa propre reproduction en sera la principale raison d'être.</w:t>
      </w:r>
    </w:p>
    <w:p w:rsidR="002F0755" w:rsidRPr="00AD1D78" w:rsidRDefault="002F0755" w:rsidP="002F0755">
      <w:pPr>
        <w:spacing w:before="120" w:after="120"/>
        <w:jc w:val="both"/>
      </w:pPr>
      <w:r w:rsidRPr="00AD1D78">
        <w:rPr>
          <w:lang w:eastAsia="fr-FR" w:bidi="fr-FR"/>
        </w:rPr>
        <w:lastRenderedPageBreak/>
        <w:t>Certes, de tout temps un marché financier international a existé mais l'originalité de sa renaissance, 15 ans après la guerre, sous le nom d’euromarché, réside dans sa confrontation avec le système m</w:t>
      </w:r>
      <w:r w:rsidRPr="00AD1D78">
        <w:rPr>
          <w:lang w:eastAsia="fr-FR" w:bidi="fr-FR"/>
        </w:rPr>
        <w:t>o</w:t>
      </w:r>
      <w:r w:rsidRPr="00AD1D78">
        <w:rPr>
          <w:lang w:eastAsia="fr-FR" w:bidi="fr-FR"/>
        </w:rPr>
        <w:t>nétaire officiel, rigide, basé sur un étalon de change-or. Ce nouveau système financier s'oppose à la conception habituelle du rôle des États et à la vision strictement nationale des rapports internationaux, réduits à la simple sommation des activités nationales. Avec la création de l'euromarché, c'est un nouvel espace international qui vient s'ajouter aux espaces nationaux.</w:t>
      </w:r>
    </w:p>
    <w:p w:rsidR="002F0755" w:rsidRPr="00AD1D78" w:rsidRDefault="002F0755" w:rsidP="002F0755">
      <w:pPr>
        <w:spacing w:before="120" w:after="120"/>
        <w:jc w:val="both"/>
      </w:pPr>
      <w:r w:rsidRPr="00AD1D78">
        <w:rPr>
          <w:lang w:eastAsia="fr-FR" w:bidi="fr-FR"/>
        </w:rPr>
        <w:t>L'euromarché a pris naissance au tournant des années 50 et répo</w:t>
      </w:r>
      <w:r w:rsidRPr="00AD1D78">
        <w:rPr>
          <w:lang w:eastAsia="fr-FR" w:bidi="fr-FR"/>
        </w:rPr>
        <w:t>n</w:t>
      </w:r>
      <w:r w:rsidRPr="00AD1D78">
        <w:rPr>
          <w:lang w:eastAsia="fr-FR" w:bidi="fr-FR"/>
        </w:rPr>
        <w:t>dait alors à deux types d'impératif</w:t>
      </w:r>
      <w:r>
        <w:rPr>
          <w:lang w:eastAsia="fr-FR" w:bidi="fr-FR"/>
        </w:rPr>
        <w:t>s.</w:t>
      </w:r>
      <w:r w:rsidRPr="00AD1D78">
        <w:rPr>
          <w:lang w:eastAsia="fr-FR" w:bidi="fr-FR"/>
        </w:rPr>
        <w:t xml:space="preserve"> Le premier tenait au développ</w:t>
      </w:r>
      <w:r w:rsidRPr="00AD1D78">
        <w:rPr>
          <w:lang w:eastAsia="fr-FR" w:bidi="fr-FR"/>
        </w:rPr>
        <w:t>e</w:t>
      </w:r>
      <w:r w:rsidRPr="00AD1D78">
        <w:rPr>
          <w:lang w:eastAsia="fr-FR" w:bidi="fr-FR"/>
        </w:rPr>
        <w:t>ment du commerce des firmes multinationales. Ce commerce entra</w:t>
      </w:r>
      <w:r w:rsidRPr="00AD1D78">
        <w:rPr>
          <w:lang w:eastAsia="fr-FR" w:bidi="fr-FR"/>
        </w:rPr>
        <w:t>î</w:t>
      </w:r>
      <w:r w:rsidRPr="00AD1D78">
        <w:rPr>
          <w:lang w:eastAsia="fr-FR" w:bidi="fr-FR"/>
        </w:rPr>
        <w:t>nera une demande de liquidités fondée sur des critères autres que ceux des autorités monétaires. Il ne s'agissait plus alors d'assurer la stabilité des taux de change et l'équilibre des paiements, mais de</w:t>
      </w:r>
      <w:r>
        <w:rPr>
          <w:lang w:eastAsia="fr-FR" w:bidi="fr-FR"/>
        </w:rPr>
        <w:t xml:space="preserve"> </w:t>
      </w:r>
      <w:r w:rsidRPr="00AD1D78">
        <w:t>[223]</w:t>
      </w:r>
      <w:r>
        <w:t xml:space="preserve"> </w:t>
      </w:r>
      <w:r w:rsidRPr="00AD1D78">
        <w:rPr>
          <w:lang w:eastAsia="fr-FR" w:bidi="fr-FR"/>
        </w:rPr>
        <w:t>soutenir des opérations commerciales et financières privées. Le deuxième e</w:t>
      </w:r>
      <w:r w:rsidRPr="00AD1D78">
        <w:rPr>
          <w:lang w:eastAsia="fr-FR" w:bidi="fr-FR"/>
        </w:rPr>
        <w:t>n</w:t>
      </w:r>
      <w:r w:rsidRPr="00AD1D78">
        <w:rPr>
          <w:lang w:eastAsia="fr-FR" w:bidi="fr-FR"/>
        </w:rPr>
        <w:t>semble, lié au premier, tient à la remise en cause de l'o</w:t>
      </w:r>
      <w:r w:rsidRPr="00AD1D78">
        <w:rPr>
          <w:lang w:eastAsia="fr-FR" w:bidi="fr-FR"/>
        </w:rPr>
        <w:t>r</w:t>
      </w:r>
      <w:r w:rsidRPr="00AD1D78">
        <w:rPr>
          <w:lang w:eastAsia="fr-FR" w:bidi="fr-FR"/>
        </w:rPr>
        <w:t>dre établi à Bretton Woods sur lequel les États-Unis exerçaient jusque-là une d</w:t>
      </w:r>
      <w:r w:rsidRPr="00AD1D78">
        <w:rPr>
          <w:lang w:eastAsia="fr-FR" w:bidi="fr-FR"/>
        </w:rPr>
        <w:t>o</w:t>
      </w:r>
      <w:r w:rsidRPr="00AD1D78">
        <w:rPr>
          <w:lang w:eastAsia="fr-FR" w:bidi="fr-FR"/>
        </w:rPr>
        <w:t>mination incontestée. La contestation de l'hégémonie américaine rév</w:t>
      </w:r>
      <w:r w:rsidRPr="00AD1D78">
        <w:rPr>
          <w:lang w:eastAsia="fr-FR" w:bidi="fr-FR"/>
        </w:rPr>
        <w:t>é</w:t>
      </w:r>
      <w:r w:rsidRPr="00AD1D78">
        <w:rPr>
          <w:lang w:eastAsia="fr-FR" w:bidi="fr-FR"/>
        </w:rPr>
        <w:t>lait l'essor de la puissance économique de l'Europe et du Japon et le début de la guerre entre ces trois puissances pour conserver ou o</w:t>
      </w:r>
      <w:r w:rsidRPr="00AD1D78">
        <w:rPr>
          <w:lang w:eastAsia="fr-FR" w:bidi="fr-FR"/>
        </w:rPr>
        <w:t>c</w:t>
      </w:r>
      <w:r w:rsidRPr="00AD1D78">
        <w:rPr>
          <w:lang w:eastAsia="fr-FR" w:bidi="fr-FR"/>
        </w:rPr>
        <w:t>cuper une place dominante dans l'économie mondiale. Cette crise de restructuration connut des phases diverses et des rebo</w:t>
      </w:r>
      <w:r w:rsidRPr="00AD1D78">
        <w:rPr>
          <w:lang w:eastAsia="fr-FR" w:bidi="fr-FR"/>
        </w:rPr>
        <w:t>n</w:t>
      </w:r>
      <w:r w:rsidRPr="00AD1D78">
        <w:rPr>
          <w:lang w:eastAsia="fr-FR" w:bidi="fr-FR"/>
        </w:rPr>
        <w:t>dissements auxquels le système financier privé répondit, soit en a</w:t>
      </w:r>
      <w:r w:rsidRPr="00AD1D78">
        <w:rPr>
          <w:lang w:eastAsia="fr-FR" w:bidi="fr-FR"/>
        </w:rPr>
        <w:t>m</w:t>
      </w:r>
      <w:r w:rsidRPr="00AD1D78">
        <w:rPr>
          <w:lang w:eastAsia="fr-FR" w:bidi="fr-FR"/>
        </w:rPr>
        <w:t>plifiant les cycles, soit en profitant de la situation pour s'en nourrir et se dévelo</w:t>
      </w:r>
      <w:r w:rsidRPr="00AD1D78">
        <w:rPr>
          <w:lang w:eastAsia="fr-FR" w:bidi="fr-FR"/>
        </w:rPr>
        <w:t>p</w:t>
      </w:r>
      <w:r w:rsidRPr="00AD1D78">
        <w:rPr>
          <w:lang w:eastAsia="fr-FR" w:bidi="fr-FR"/>
        </w:rPr>
        <w:t>per. La plus remarquable adaptation fut celle des banques. Comme nous le verrons, la nature des opérations bancaires et leur p</w:t>
      </w:r>
      <w:r w:rsidRPr="00AD1D78">
        <w:rPr>
          <w:lang w:eastAsia="fr-FR" w:bidi="fr-FR"/>
        </w:rPr>
        <w:t>o</w:t>
      </w:r>
      <w:r w:rsidRPr="00AD1D78">
        <w:rPr>
          <w:lang w:eastAsia="fr-FR" w:bidi="fr-FR"/>
        </w:rPr>
        <w:t>sition dans le système financier ont évolué en fonction des besoins des e</w:t>
      </w:r>
      <w:r w:rsidRPr="00AD1D78">
        <w:rPr>
          <w:lang w:eastAsia="fr-FR" w:bidi="fr-FR"/>
        </w:rPr>
        <w:t>m</w:t>
      </w:r>
      <w:r w:rsidRPr="00AD1D78">
        <w:rPr>
          <w:lang w:eastAsia="fr-FR" w:bidi="fr-FR"/>
        </w:rPr>
        <w:t>prunteurs et de la situation économique générale dans un contexte global de déréglementation progressive des marchés. C'est un point qu'il convient de souligner dès à présent, cette déréglementation d</w:t>
      </w:r>
      <w:r w:rsidRPr="00AD1D78">
        <w:rPr>
          <w:lang w:eastAsia="fr-FR" w:bidi="fr-FR"/>
        </w:rPr>
        <w:t>e</w:t>
      </w:r>
      <w:r w:rsidRPr="00AD1D78">
        <w:rPr>
          <w:lang w:eastAsia="fr-FR" w:bidi="fr-FR"/>
        </w:rPr>
        <w:t>vant être perçue comme un effet et non comme une cause de l'évol</w:t>
      </w:r>
      <w:r w:rsidRPr="00AD1D78">
        <w:rPr>
          <w:lang w:eastAsia="fr-FR" w:bidi="fr-FR"/>
        </w:rPr>
        <w:t>u</w:t>
      </w:r>
      <w:r w:rsidRPr="00AD1D78">
        <w:rPr>
          <w:lang w:eastAsia="fr-FR" w:bidi="fr-FR"/>
        </w:rPr>
        <w:t>tion du système financier international.</w:t>
      </w:r>
    </w:p>
    <w:p w:rsidR="002F0755" w:rsidRPr="00AD1D78" w:rsidRDefault="002F0755" w:rsidP="002F0755">
      <w:pPr>
        <w:spacing w:before="120" w:after="120"/>
        <w:jc w:val="both"/>
      </w:pPr>
      <w:r w:rsidRPr="00AD1D78">
        <w:rPr>
          <w:lang w:eastAsia="fr-FR" w:bidi="fr-FR"/>
        </w:rPr>
        <w:t>Essayons de préciser comment a évolué le système financier inte</w:t>
      </w:r>
      <w:r w:rsidRPr="00AD1D78">
        <w:rPr>
          <w:lang w:eastAsia="fr-FR" w:bidi="fr-FR"/>
        </w:rPr>
        <w:t>r</w:t>
      </w:r>
      <w:r w:rsidRPr="00AD1D78">
        <w:rPr>
          <w:lang w:eastAsia="fr-FR" w:bidi="fr-FR"/>
        </w:rPr>
        <w:t xml:space="preserve">national depuis 30 ans. Pour ce faire, nous pouvons distinguer trois phases. Chacune d'elles révèle un mode de fonctionnement spécifique du système et des formes particulières d'adaptation aux situations nouvelles et aux risques nouveaux. Chacune correspond aussi à des </w:t>
      </w:r>
      <w:r w:rsidRPr="00AD1D78">
        <w:rPr>
          <w:lang w:eastAsia="fr-FR" w:bidi="fr-FR"/>
        </w:rPr>
        <w:lastRenderedPageBreak/>
        <w:t>accélérations précises du processus de privatisation de la détention des liquidités internationales et donc de l'endettement qui l'accompagne. Chacune enlève enfin aux politiques monétaires et financières une part toujours plus grande de leur efficacité. La première phase va de 1958 à 1972</w:t>
      </w:r>
      <w:r w:rsidRPr="00AD1D78">
        <w:t> ;</w:t>
      </w:r>
      <w:r w:rsidRPr="00AD1D78">
        <w:rPr>
          <w:lang w:eastAsia="fr-FR" w:bidi="fr-FR"/>
        </w:rPr>
        <w:t xml:space="preserve"> la seconde, de 1973 à 1981</w:t>
      </w:r>
      <w:r w:rsidRPr="00AD1D78">
        <w:t> ;</w:t>
      </w:r>
      <w:r w:rsidRPr="00AD1D78">
        <w:rPr>
          <w:lang w:eastAsia="fr-FR" w:bidi="fr-FR"/>
        </w:rPr>
        <w:t xml:space="preserve"> la troisième, de 1982 à a</w:t>
      </w:r>
      <w:r w:rsidRPr="00AD1D78">
        <w:rPr>
          <w:lang w:eastAsia="fr-FR" w:bidi="fr-FR"/>
        </w:rPr>
        <w:t>u</w:t>
      </w:r>
      <w:r w:rsidRPr="00AD1D78">
        <w:rPr>
          <w:lang w:eastAsia="fr-FR" w:bidi="fr-FR"/>
        </w:rPr>
        <w:t>jourd'hui.</w:t>
      </w:r>
    </w:p>
    <w:p w:rsidR="002F0755" w:rsidRPr="00AD1D78" w:rsidRDefault="002F0755" w:rsidP="002F0755">
      <w:pPr>
        <w:spacing w:before="120" w:after="120"/>
        <w:jc w:val="both"/>
        <w:rPr>
          <w:lang w:eastAsia="fr-FR" w:bidi="fr-FR"/>
        </w:rPr>
      </w:pPr>
    </w:p>
    <w:p w:rsidR="002F0755" w:rsidRPr="00AD1D78" w:rsidRDefault="002F0755" w:rsidP="002F0755">
      <w:pPr>
        <w:pStyle w:val="b"/>
      </w:pPr>
      <w:r w:rsidRPr="00AD1D78">
        <w:rPr>
          <w:lang w:eastAsia="fr-FR" w:bidi="fr-FR"/>
        </w:rPr>
        <w:t>La mise en place de l'offre primitive</w:t>
      </w:r>
      <w:r>
        <w:rPr>
          <w:lang w:eastAsia="fr-FR" w:bidi="fr-FR"/>
        </w:rPr>
        <w:br/>
      </w:r>
      <w:r w:rsidRPr="00AD1D78">
        <w:rPr>
          <w:lang w:eastAsia="fr-FR" w:bidi="fr-FR"/>
        </w:rPr>
        <w:t>de liquidités (1958-1972)</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La première phase correspond au développement des activités de l’euromarché sous l’impulsion de firmes multinationales et d’une éc</w:t>
      </w:r>
      <w:r w:rsidRPr="00AD1D78">
        <w:rPr>
          <w:lang w:eastAsia="fr-FR" w:bidi="fr-FR"/>
        </w:rPr>
        <w:t>o</w:t>
      </w:r>
      <w:r w:rsidRPr="00AD1D78">
        <w:rPr>
          <w:lang w:eastAsia="fr-FR" w:bidi="fr-FR"/>
        </w:rPr>
        <w:t>nomie américaine à la recherche de nouveaux modes de financement et de voies de contournement des politiques monétaires restrictives de la Réserve fédérale.</w:t>
      </w:r>
    </w:p>
    <w:p w:rsidR="002F0755" w:rsidRPr="00AD1D78" w:rsidRDefault="002F0755" w:rsidP="002F0755">
      <w:pPr>
        <w:spacing w:before="120" w:after="120"/>
        <w:jc w:val="both"/>
      </w:pPr>
      <w:r w:rsidRPr="00AD1D78">
        <w:rPr>
          <w:lang w:eastAsia="fr-FR" w:bidi="fr-FR"/>
        </w:rPr>
        <w:t>La création de l'euromarché et son développement ont en effet d'abord constitué une réponse du secteur privé à la gestion publique des liquidités internationales. Compte tenu du développement des</w:t>
      </w:r>
      <w:r>
        <w:rPr>
          <w:lang w:eastAsia="fr-FR" w:bidi="fr-FR"/>
        </w:rPr>
        <w:t xml:space="preserve"> </w:t>
      </w:r>
      <w:r w:rsidRPr="00AD1D78">
        <w:t>[224]</w:t>
      </w:r>
      <w:r>
        <w:t xml:space="preserve"> </w:t>
      </w:r>
      <w:r w:rsidRPr="00AD1D78">
        <w:rPr>
          <w:lang w:eastAsia="fr-FR" w:bidi="fr-FR"/>
        </w:rPr>
        <w:t>activités internationales, le secteur privé devait s'assurer d'une alimentation autonome en liquidités par de nouveaux circuits fina</w:t>
      </w:r>
      <w:r w:rsidRPr="00AD1D78">
        <w:rPr>
          <w:lang w:eastAsia="fr-FR" w:bidi="fr-FR"/>
        </w:rPr>
        <w:t>n</w:t>
      </w:r>
      <w:r w:rsidRPr="00AD1D78">
        <w:rPr>
          <w:lang w:eastAsia="fr-FR" w:bidi="fr-FR"/>
        </w:rPr>
        <w:t>ciers, ce que lui permettaient difficilement les structures et les instit</w:t>
      </w:r>
      <w:r w:rsidRPr="00AD1D78">
        <w:rPr>
          <w:lang w:eastAsia="fr-FR" w:bidi="fr-FR"/>
        </w:rPr>
        <w:t>u</w:t>
      </w:r>
      <w:r w:rsidRPr="00AD1D78">
        <w:rPr>
          <w:lang w:eastAsia="fr-FR" w:bidi="fr-FR"/>
        </w:rPr>
        <w:t>tions monétaires officielles héritées de Bretton Woods.</w:t>
      </w:r>
    </w:p>
    <w:p w:rsidR="002F0755" w:rsidRPr="00AD1D78" w:rsidRDefault="002F0755" w:rsidP="002F0755">
      <w:pPr>
        <w:spacing w:before="120" w:after="120"/>
        <w:jc w:val="both"/>
      </w:pPr>
      <w:r w:rsidRPr="00AD1D78">
        <w:rPr>
          <w:lang w:eastAsia="fr-FR" w:bidi="fr-FR"/>
        </w:rPr>
        <w:t>Dès les années 50 et jusqu'au début des années 70, la croissance de l'euromarché répondra essentiellement aux besoins de financement du commerce international et au déploiement des firmes multinationales. Cette première période se distingue par la mise en place de crédits bancaires internationaux qui resteront somme toute assez classiques sauf peut-être sur le plan de la dimension de ces prêts. Il s'agissait alors de structurer une offre privée de liquidités parallèlement à celle du secteur officiel. Cela aura pour effet de saper l’un des fondements même du système monétaire international officiel</w:t>
      </w:r>
      <w:r w:rsidRPr="00AD1D78">
        <w:t> :</w:t>
      </w:r>
      <w:r w:rsidRPr="00AD1D78">
        <w:rPr>
          <w:lang w:eastAsia="fr-FR" w:bidi="fr-FR"/>
        </w:rPr>
        <w:t xml:space="preserve"> le contrôle de la liquidité. Les contraintes de Bretton Woods furent contournées et, f</w:t>
      </w:r>
      <w:r w:rsidRPr="00AD1D78">
        <w:rPr>
          <w:lang w:eastAsia="fr-FR" w:bidi="fr-FR"/>
        </w:rPr>
        <w:t>i</w:t>
      </w:r>
      <w:r w:rsidRPr="00AD1D78">
        <w:rPr>
          <w:lang w:eastAsia="fr-FR" w:bidi="fr-FR"/>
        </w:rPr>
        <w:t>nalement, le système d'étalon de change-or s'effondrera devant la montée du marché financier privé. Les autorités monétaires devaient perdre peu à peu le contrôle du stock et des flux financiers.</w:t>
      </w:r>
    </w:p>
    <w:p w:rsidR="002F0755" w:rsidRPr="00AD1D78" w:rsidRDefault="002F0755" w:rsidP="002F0755">
      <w:pPr>
        <w:spacing w:before="120" w:after="120"/>
        <w:jc w:val="both"/>
      </w:pPr>
      <w:r w:rsidRPr="00AD1D78">
        <w:rPr>
          <w:lang w:eastAsia="fr-FR" w:bidi="fr-FR"/>
        </w:rPr>
        <w:lastRenderedPageBreak/>
        <w:t>Ce que l'on appela dans les années 60 la crise du système monéta</w:t>
      </w:r>
      <w:r w:rsidRPr="00AD1D78">
        <w:rPr>
          <w:lang w:eastAsia="fr-FR" w:bidi="fr-FR"/>
        </w:rPr>
        <w:t>i</w:t>
      </w:r>
      <w:r w:rsidRPr="00AD1D78">
        <w:rPr>
          <w:lang w:eastAsia="fr-FR" w:bidi="fr-FR"/>
        </w:rPr>
        <w:t>re international tiendra justement à cette confrontation entre les déte</w:t>
      </w:r>
      <w:r w:rsidRPr="00AD1D78">
        <w:rPr>
          <w:lang w:eastAsia="fr-FR" w:bidi="fr-FR"/>
        </w:rPr>
        <w:t>n</w:t>
      </w:r>
      <w:r w:rsidRPr="00AD1D78">
        <w:rPr>
          <w:lang w:eastAsia="fr-FR" w:bidi="fr-FR"/>
        </w:rPr>
        <w:t>teurs privés et des détenteurs officiels de liquidités internationales (Élie, 1989, 89). La perte de contrôle du stock de liquidités par les a</w:t>
      </w:r>
      <w:r w:rsidRPr="00AD1D78">
        <w:rPr>
          <w:lang w:eastAsia="fr-FR" w:bidi="fr-FR"/>
        </w:rPr>
        <w:t>u</w:t>
      </w:r>
      <w:r w:rsidRPr="00AD1D78">
        <w:rPr>
          <w:lang w:eastAsia="fr-FR" w:bidi="fr-FR"/>
        </w:rPr>
        <w:t>torités minait leur capacité d'intervention sur les marchés des changes et remettait ainsi en cause le maintien des parités fixes de change te</w:t>
      </w:r>
      <w:r w:rsidRPr="00AD1D78">
        <w:rPr>
          <w:lang w:eastAsia="fr-FR" w:bidi="fr-FR"/>
        </w:rPr>
        <w:t>l</w:t>
      </w:r>
      <w:r w:rsidRPr="00AD1D78">
        <w:rPr>
          <w:lang w:eastAsia="fr-FR" w:bidi="fr-FR"/>
        </w:rPr>
        <w:t>les qu'elles étaient définies par les statuts du Fonds monétaire intern</w:t>
      </w:r>
      <w:r w:rsidRPr="00AD1D78">
        <w:rPr>
          <w:lang w:eastAsia="fr-FR" w:bidi="fr-FR"/>
        </w:rPr>
        <w:t>a</w:t>
      </w:r>
      <w:r w:rsidRPr="00AD1D78">
        <w:rPr>
          <w:lang w:eastAsia="fr-FR" w:bidi="fr-FR"/>
        </w:rPr>
        <w:t>tional. L’érosion des pouvoirs d'intervention des autorités monétaires sur les marchés des changes sonnera bientôt la fin des p</w:t>
      </w:r>
      <w:r w:rsidRPr="00AD1D78">
        <w:rPr>
          <w:lang w:eastAsia="fr-FR" w:bidi="fr-FR"/>
        </w:rPr>
        <w:t>a</w:t>
      </w:r>
      <w:r w:rsidRPr="00AD1D78">
        <w:rPr>
          <w:lang w:eastAsia="fr-FR" w:bidi="fr-FR"/>
        </w:rPr>
        <w:t xml:space="preserve">rités fixes. Dix ans suffirent pour détruire l'édifice construit à Bretton Woods. Pour contrer la spéculation contre le dollar américain, les autorités monétaires créèrent, dans un premier temps, un </w:t>
      </w:r>
      <w:r w:rsidRPr="00AD1D78">
        <w:t>« </w:t>
      </w:r>
      <w:r w:rsidRPr="00AD1D78">
        <w:rPr>
          <w:lang w:eastAsia="fr-FR" w:bidi="fr-FR"/>
        </w:rPr>
        <w:t>Pool</w:t>
      </w:r>
      <w:r w:rsidRPr="00AD1D78">
        <w:t> »</w:t>
      </w:r>
      <w:r w:rsidRPr="00AD1D78">
        <w:rPr>
          <w:lang w:eastAsia="fr-FR" w:bidi="fr-FR"/>
        </w:rPr>
        <w:t xml:space="preserve"> de l'or, puis, devant les insuffisances de cette mesure, elles instaurèrent un double marché de l'or (1968), un marché privé et un marché officiel. La cré</w:t>
      </w:r>
      <w:r w:rsidRPr="00AD1D78">
        <w:rPr>
          <w:lang w:eastAsia="fr-FR" w:bidi="fr-FR"/>
        </w:rPr>
        <w:t>a</w:t>
      </w:r>
      <w:r w:rsidRPr="00AD1D78">
        <w:rPr>
          <w:lang w:eastAsia="fr-FR" w:bidi="fr-FR"/>
        </w:rPr>
        <w:t>tion des droits de tirage spéciaux (1970) sera la dernière étape avant l'abandon définitif du système des taux de change fixes. Ce qui devait se confirmer le 15 août 1971, lorsque l'administration du président Nixon supprima la convertibilité du dollar américain en or, fondement de tout le système d'étalon de change-or.</w:t>
      </w:r>
    </w:p>
    <w:p w:rsidR="002F0755" w:rsidRPr="00AD1D78" w:rsidRDefault="002F0755" w:rsidP="002F0755">
      <w:pPr>
        <w:spacing w:before="120" w:after="120"/>
        <w:jc w:val="both"/>
      </w:pPr>
      <w:r w:rsidRPr="00AD1D78">
        <w:rPr>
          <w:lang w:eastAsia="fr-FR" w:bidi="fr-FR"/>
        </w:rPr>
        <w:t>En fait, il est important de voir que dans un marché de liquidités abondantes et très mobiles, les banques commerciales pouvaient fac</w:t>
      </w:r>
      <w:r w:rsidRPr="00AD1D78">
        <w:rPr>
          <w:lang w:eastAsia="fr-FR" w:bidi="fr-FR"/>
        </w:rPr>
        <w:t>i</w:t>
      </w:r>
      <w:r w:rsidRPr="00AD1D78">
        <w:rPr>
          <w:lang w:eastAsia="fr-FR" w:bidi="fr-FR"/>
        </w:rPr>
        <w:t>lement trouver des sources de financement et de refinancement sans passer pour cela par les autorités monétaires nationales. Les banques se retrouvaient à l'abri des politiques restrictives des banques</w:t>
      </w:r>
      <w:r>
        <w:rPr>
          <w:lang w:eastAsia="fr-FR" w:bidi="fr-FR"/>
        </w:rPr>
        <w:t xml:space="preserve"> </w:t>
      </w:r>
      <w:r w:rsidRPr="00AD1D78">
        <w:t>[225]</w:t>
      </w:r>
      <w:r>
        <w:t xml:space="preserve"> </w:t>
      </w:r>
      <w:r w:rsidRPr="00AD1D78">
        <w:rPr>
          <w:lang w:eastAsia="fr-FR" w:bidi="fr-FR"/>
        </w:rPr>
        <w:t>centrales et pouvaient de façon induite créer une offre monétaire sans affecter les réserves officielles. Les autorités officielles se tro</w:t>
      </w:r>
      <w:r w:rsidRPr="00AD1D78">
        <w:rPr>
          <w:lang w:eastAsia="fr-FR" w:bidi="fr-FR"/>
        </w:rPr>
        <w:t>u</w:t>
      </w:r>
      <w:r w:rsidRPr="00AD1D78">
        <w:rPr>
          <w:lang w:eastAsia="fr-FR" w:bidi="fr-FR"/>
        </w:rPr>
        <w:t>vaient ainsi à devoir partager leurs attributs de gestionnaire de la monnaie avec le marché, c'est-à-dire avec les grandes banques international</w:t>
      </w:r>
      <w:r w:rsidRPr="00AD1D78">
        <w:rPr>
          <w:lang w:eastAsia="fr-FR" w:bidi="fr-FR"/>
        </w:rPr>
        <w:t>i</w:t>
      </w:r>
      <w:r w:rsidRPr="00AD1D78">
        <w:rPr>
          <w:lang w:eastAsia="fr-FR" w:bidi="fr-FR"/>
        </w:rPr>
        <w:t>sées. N’étant plus les uniques détentrices des liquidités internation</w:t>
      </w:r>
      <w:r w:rsidRPr="00AD1D78">
        <w:rPr>
          <w:lang w:eastAsia="fr-FR" w:bidi="fr-FR"/>
        </w:rPr>
        <w:t>a</w:t>
      </w:r>
      <w:r w:rsidRPr="00AD1D78">
        <w:rPr>
          <w:lang w:eastAsia="fr-FR" w:bidi="fr-FR"/>
        </w:rPr>
        <w:t>les, les autorités officielles perdront ainsi la responsabilité de déterm</w:t>
      </w:r>
      <w:r w:rsidRPr="00AD1D78">
        <w:rPr>
          <w:lang w:eastAsia="fr-FR" w:bidi="fr-FR"/>
        </w:rPr>
        <w:t>i</w:t>
      </w:r>
      <w:r w:rsidRPr="00AD1D78">
        <w:rPr>
          <w:lang w:eastAsia="fr-FR" w:bidi="fr-FR"/>
        </w:rPr>
        <w:t>ner seules le taux de change et de financer ultimement le solde de la balance des paiements. Enfin, la transformation de ces liquidités i</w:t>
      </w:r>
      <w:r w:rsidRPr="00AD1D78">
        <w:rPr>
          <w:lang w:eastAsia="fr-FR" w:bidi="fr-FR"/>
        </w:rPr>
        <w:t>n</w:t>
      </w:r>
      <w:r w:rsidRPr="00AD1D78">
        <w:rPr>
          <w:lang w:eastAsia="fr-FR" w:bidi="fr-FR"/>
        </w:rPr>
        <w:t>ternationales en monnaie nationale viendra accroître la masse mon</w:t>
      </w:r>
      <w:r w:rsidRPr="00AD1D78">
        <w:rPr>
          <w:lang w:eastAsia="fr-FR" w:bidi="fr-FR"/>
        </w:rPr>
        <w:t>é</w:t>
      </w:r>
      <w:r w:rsidRPr="00AD1D78">
        <w:rPr>
          <w:lang w:eastAsia="fr-FR" w:bidi="fr-FR"/>
        </w:rPr>
        <w:t>taire en circulation dans les pays concernés, accroissement qui, en l'absence de mesures contraignantes, sera totalement hors du contrôle des banques centrales.</w:t>
      </w:r>
    </w:p>
    <w:p w:rsidR="002F0755" w:rsidRPr="00AD1D78" w:rsidRDefault="002F0755" w:rsidP="002F0755">
      <w:pPr>
        <w:spacing w:before="120" w:after="120"/>
        <w:jc w:val="both"/>
        <w:rPr>
          <w:lang w:eastAsia="fr-FR" w:bidi="fr-FR"/>
        </w:rPr>
      </w:pPr>
      <w:r>
        <w:rPr>
          <w:lang w:eastAsia="fr-FR" w:bidi="fr-FR"/>
        </w:rPr>
        <w:br w:type="page"/>
      </w:r>
    </w:p>
    <w:p w:rsidR="002F0755" w:rsidRPr="00AD1D78" w:rsidRDefault="002F0755" w:rsidP="002F0755">
      <w:pPr>
        <w:pStyle w:val="b"/>
      </w:pPr>
      <w:r w:rsidRPr="00AD1D78">
        <w:rPr>
          <w:lang w:eastAsia="fr-FR" w:bidi="fr-FR"/>
        </w:rPr>
        <w:t>L'endettement généralisé</w:t>
      </w:r>
      <w:r>
        <w:rPr>
          <w:lang w:eastAsia="fr-FR" w:bidi="fr-FR"/>
        </w:rPr>
        <w:br/>
      </w:r>
      <w:r w:rsidRPr="00AD1D78">
        <w:rPr>
          <w:lang w:eastAsia="fr-FR" w:bidi="fr-FR"/>
        </w:rPr>
        <w:t>(1973-1981)</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Les années 60 virent donc l’émergence de nouveaux circuits fina</w:t>
      </w:r>
      <w:r w:rsidRPr="00AD1D78">
        <w:rPr>
          <w:lang w:eastAsia="fr-FR" w:bidi="fr-FR"/>
        </w:rPr>
        <w:t>n</w:t>
      </w:r>
      <w:r w:rsidRPr="00AD1D78">
        <w:rPr>
          <w:lang w:eastAsia="fr-FR" w:bidi="fr-FR"/>
        </w:rPr>
        <w:t>ciers qui connurent une croissance considérable. Si l'on exclut les d</w:t>
      </w:r>
      <w:r w:rsidRPr="00AD1D78">
        <w:rPr>
          <w:lang w:eastAsia="fr-FR" w:bidi="fr-FR"/>
        </w:rPr>
        <w:t>é</w:t>
      </w:r>
      <w:r w:rsidRPr="00AD1D78">
        <w:rPr>
          <w:lang w:eastAsia="fr-FR" w:bidi="fr-FR"/>
        </w:rPr>
        <w:t>pôts interbancaires, les doubles écritures, le stock privé de devises d</w:t>
      </w:r>
      <w:r w:rsidRPr="00AD1D78">
        <w:rPr>
          <w:lang w:eastAsia="fr-FR" w:bidi="fr-FR"/>
        </w:rPr>
        <w:t>é</w:t>
      </w:r>
      <w:r w:rsidRPr="00AD1D78">
        <w:rPr>
          <w:lang w:eastAsia="fr-FR" w:bidi="fr-FR"/>
        </w:rPr>
        <w:t>passera le stock officiel dès 1970. La prépondérance du secteur privé était alors définitivement établie.</w:t>
      </w:r>
    </w:p>
    <w:p w:rsidR="002F0755" w:rsidRPr="00AD1D78" w:rsidRDefault="002F0755" w:rsidP="002F0755">
      <w:pPr>
        <w:spacing w:before="120" w:after="120"/>
        <w:jc w:val="both"/>
      </w:pPr>
      <w:r w:rsidRPr="00AD1D78">
        <w:rPr>
          <w:lang w:eastAsia="fr-FR" w:bidi="fr-FR"/>
        </w:rPr>
        <w:t>La deuxième phase que nous pouvons identifier est celle qui, de 1973 à 1981, verra les activités du système financier international s'étendre à de nouvelles sphères auxquelles même les autorités mon</w:t>
      </w:r>
      <w:r w:rsidRPr="00AD1D78">
        <w:rPr>
          <w:lang w:eastAsia="fr-FR" w:bidi="fr-FR"/>
        </w:rPr>
        <w:t>é</w:t>
      </w:r>
      <w:r w:rsidRPr="00AD1D78">
        <w:rPr>
          <w:lang w:eastAsia="fr-FR" w:bidi="fr-FR"/>
        </w:rPr>
        <w:t>taires auront recours</w:t>
      </w:r>
      <w:r w:rsidRPr="00AD1D78">
        <w:t> !</w:t>
      </w:r>
    </w:p>
    <w:p w:rsidR="002F0755" w:rsidRPr="00AD1D78" w:rsidRDefault="002F0755" w:rsidP="002F0755">
      <w:pPr>
        <w:spacing w:before="120" w:after="120"/>
        <w:jc w:val="both"/>
      </w:pPr>
      <w:r w:rsidRPr="00AD1D78">
        <w:rPr>
          <w:lang w:eastAsia="fr-FR" w:bidi="fr-FR"/>
        </w:rPr>
        <w:t>La disproportion du stock privé de liquidités internationales par rapport à celui des autorités monétaires et l'importance des flux fina</w:t>
      </w:r>
      <w:r w:rsidRPr="00AD1D78">
        <w:rPr>
          <w:lang w:eastAsia="fr-FR" w:bidi="fr-FR"/>
        </w:rPr>
        <w:t>n</w:t>
      </w:r>
      <w:r w:rsidRPr="00AD1D78">
        <w:rPr>
          <w:lang w:eastAsia="fr-FR" w:bidi="fr-FR"/>
        </w:rPr>
        <w:t>ciers ouvrent l'ère de l'instabilité des taux de change et d'intérêt. Cette période se caractérise, entre autres, par le recyclage des fameux pétr</w:t>
      </w:r>
      <w:r w:rsidRPr="00AD1D78">
        <w:rPr>
          <w:lang w:eastAsia="fr-FR" w:bidi="fr-FR"/>
        </w:rPr>
        <w:t>o</w:t>
      </w:r>
      <w:r w:rsidRPr="00AD1D78">
        <w:rPr>
          <w:lang w:eastAsia="fr-FR" w:bidi="fr-FR"/>
        </w:rPr>
        <w:t>dollars, par l'apparition de l’inflation et par la forte augmentation des taux d'intérêt. Cette situation se traduisit au bilan des institutions f</w:t>
      </w:r>
      <w:r w:rsidRPr="00AD1D78">
        <w:rPr>
          <w:lang w:eastAsia="fr-FR" w:bidi="fr-FR"/>
        </w:rPr>
        <w:t>i</w:t>
      </w:r>
      <w:r w:rsidRPr="00AD1D78">
        <w:rPr>
          <w:lang w:eastAsia="fr-FR" w:bidi="fr-FR"/>
        </w:rPr>
        <w:t>nancières par des actifs de plus en plus substituables et entraîna la pr</w:t>
      </w:r>
      <w:r w:rsidRPr="00AD1D78">
        <w:rPr>
          <w:lang w:eastAsia="fr-FR" w:bidi="fr-FR"/>
        </w:rPr>
        <w:t>a</w:t>
      </w:r>
      <w:r w:rsidRPr="00AD1D78">
        <w:rPr>
          <w:lang w:eastAsia="fr-FR" w:bidi="fr-FR"/>
        </w:rPr>
        <w:t>tique généralisée des taux d'intérêt variables grâce à laquelle on pourra dorénavant transférer le risque du créancier au débiteur. Nous assist</w:t>
      </w:r>
      <w:r w:rsidRPr="00AD1D78">
        <w:rPr>
          <w:lang w:eastAsia="fr-FR" w:bidi="fr-FR"/>
        </w:rPr>
        <w:t>e</w:t>
      </w:r>
      <w:r w:rsidRPr="00AD1D78">
        <w:rPr>
          <w:lang w:eastAsia="fr-FR" w:bidi="fr-FR"/>
        </w:rPr>
        <w:t>rons aussi au développement extrême des crédits bancaires classiques qui vont, au-delà des financements des années 60, s'étendre au fina</w:t>
      </w:r>
      <w:r w:rsidRPr="00AD1D78">
        <w:rPr>
          <w:lang w:eastAsia="fr-FR" w:bidi="fr-FR"/>
        </w:rPr>
        <w:t>n</w:t>
      </w:r>
      <w:r w:rsidRPr="00AD1D78">
        <w:rPr>
          <w:lang w:eastAsia="fr-FR" w:bidi="fr-FR"/>
        </w:rPr>
        <w:t>cement du développement. Quant aux autorités monétaires, elles s</w:t>
      </w:r>
      <w:r w:rsidRPr="00AD1D78">
        <w:rPr>
          <w:lang w:eastAsia="fr-FR" w:bidi="fr-FR"/>
        </w:rPr>
        <w:t>e</w:t>
      </w:r>
      <w:r w:rsidRPr="00AD1D78">
        <w:rPr>
          <w:lang w:eastAsia="fr-FR" w:bidi="fr-FR"/>
        </w:rPr>
        <w:t>ront de plus en plus contraintes d'emprunter aux banques commerci</w:t>
      </w:r>
      <w:r w:rsidRPr="00AD1D78">
        <w:rPr>
          <w:lang w:eastAsia="fr-FR" w:bidi="fr-FR"/>
        </w:rPr>
        <w:t>a</w:t>
      </w:r>
      <w:r w:rsidRPr="00AD1D78">
        <w:rPr>
          <w:lang w:eastAsia="fr-FR" w:bidi="fr-FR"/>
        </w:rPr>
        <w:t>les pour assurer une certaine stabilité des changes.</w:t>
      </w:r>
    </w:p>
    <w:p w:rsidR="002F0755" w:rsidRPr="00AD1D78" w:rsidRDefault="002F0755" w:rsidP="002F0755">
      <w:pPr>
        <w:spacing w:before="120" w:after="120"/>
        <w:jc w:val="both"/>
      </w:pPr>
      <w:r w:rsidRPr="00AD1D78">
        <w:t>[226]</w:t>
      </w:r>
    </w:p>
    <w:p w:rsidR="002F0755" w:rsidRPr="00AD1D78" w:rsidRDefault="002F0755" w:rsidP="002F0755">
      <w:pPr>
        <w:spacing w:before="120" w:after="120"/>
        <w:jc w:val="both"/>
      </w:pPr>
      <w:r w:rsidRPr="00AD1D78">
        <w:rPr>
          <w:lang w:eastAsia="fr-FR" w:bidi="fr-FR"/>
        </w:rPr>
        <w:t>Il faut noter par ailleurs que la structure des crédits devient de plus en plus interbancaire et qu'elle constituera ainsi une chaîne très dense propre ici à la transmission d'un risque croissant.</w:t>
      </w:r>
    </w:p>
    <w:p w:rsidR="002F0755" w:rsidRPr="00AD1D78" w:rsidRDefault="002F0755" w:rsidP="002F0755">
      <w:pPr>
        <w:spacing w:before="120" w:after="120"/>
        <w:jc w:val="both"/>
      </w:pPr>
      <w:r w:rsidRPr="00AD1D78">
        <w:rPr>
          <w:lang w:eastAsia="fr-FR" w:bidi="fr-FR"/>
        </w:rPr>
        <w:t>Le développement des mouvements interbancaires rend en effet les différents acteurs beaucoup plus dépendants les uns des autres. L'éla</w:t>
      </w:r>
      <w:r w:rsidRPr="00AD1D78">
        <w:rPr>
          <w:lang w:eastAsia="fr-FR" w:bidi="fr-FR"/>
        </w:rPr>
        <w:t>s</w:t>
      </w:r>
      <w:r w:rsidRPr="00AD1D78">
        <w:rPr>
          <w:lang w:eastAsia="fr-FR" w:bidi="fr-FR"/>
        </w:rPr>
        <w:t>ticité de l’offre de prêts apparaît ainsi comme très grande et contribu</w:t>
      </w:r>
      <w:r w:rsidRPr="00AD1D78">
        <w:rPr>
          <w:lang w:eastAsia="fr-FR" w:bidi="fr-FR"/>
        </w:rPr>
        <w:t>e</w:t>
      </w:r>
      <w:r w:rsidRPr="00AD1D78">
        <w:rPr>
          <w:lang w:eastAsia="fr-FR" w:bidi="fr-FR"/>
        </w:rPr>
        <w:t xml:space="preserve">ra à engendrer une économie internationale d'endettement généralisé. La privatisation de la détention des liquidités internationales montrait </w:t>
      </w:r>
      <w:r w:rsidRPr="00AD1D78">
        <w:rPr>
          <w:lang w:eastAsia="fr-FR" w:bidi="fr-FR"/>
        </w:rPr>
        <w:lastRenderedPageBreak/>
        <w:t>ainsi qu</w:t>
      </w:r>
      <w:r>
        <w:rPr>
          <w:lang w:eastAsia="fr-FR" w:bidi="fr-FR"/>
        </w:rPr>
        <w:t>’</w:t>
      </w:r>
      <w:r w:rsidRPr="00AD1D78">
        <w:rPr>
          <w:lang w:eastAsia="fr-FR" w:bidi="fr-FR"/>
        </w:rPr>
        <w:t>elle n’était pas là pour résoudre les déséquilibres financiers mais pour les financer. Les années 70 seront alors marquées par l'abandon de tous les mécanismes correcteurs et par l'illusion qu'il était possible de financer sans fin les déséquilibres extérieurs. Le sy</w:t>
      </w:r>
      <w:r w:rsidRPr="00AD1D78">
        <w:rPr>
          <w:lang w:eastAsia="fr-FR" w:bidi="fr-FR"/>
        </w:rPr>
        <w:t>s</w:t>
      </w:r>
      <w:r w:rsidRPr="00AD1D78">
        <w:rPr>
          <w:lang w:eastAsia="fr-FR" w:bidi="fr-FR"/>
        </w:rPr>
        <w:t>tème financier se concentre, éliminant les plus faibles par faillite, pa</w:t>
      </w:r>
      <w:r w:rsidRPr="00AD1D78">
        <w:rPr>
          <w:lang w:eastAsia="fr-FR" w:bidi="fr-FR"/>
        </w:rPr>
        <w:t>r</w:t>
      </w:r>
      <w:r w:rsidRPr="00AD1D78">
        <w:rPr>
          <w:lang w:eastAsia="fr-FR" w:bidi="fr-FR"/>
        </w:rPr>
        <w:t>ticulièrement entre 1973 et 1976, période qui marquera le début de l'ère des taux de change flottants et des taux d'intérêt variables se go</w:t>
      </w:r>
      <w:r w:rsidRPr="00AD1D78">
        <w:rPr>
          <w:lang w:eastAsia="fr-FR" w:bidi="fr-FR"/>
        </w:rPr>
        <w:t>n</w:t>
      </w:r>
      <w:r w:rsidRPr="00AD1D78">
        <w:rPr>
          <w:lang w:eastAsia="fr-FR" w:bidi="fr-FR"/>
        </w:rPr>
        <w:t>fle des pétrodollars qu'il déversera alors dans les pays du tiers-monde, expérience qui s'avérera désastreuse pour tous, plus particuli</w:t>
      </w:r>
      <w:r w:rsidRPr="00AD1D78">
        <w:rPr>
          <w:lang w:eastAsia="fr-FR" w:bidi="fr-FR"/>
        </w:rPr>
        <w:t>è</w:t>
      </w:r>
      <w:r w:rsidRPr="00AD1D78">
        <w:rPr>
          <w:lang w:eastAsia="fr-FR" w:bidi="fr-FR"/>
        </w:rPr>
        <w:t>rement pour les créanciers captifs.</w:t>
      </w:r>
    </w:p>
    <w:p w:rsidR="002F0755" w:rsidRPr="00AD1D78" w:rsidRDefault="002F0755" w:rsidP="002F0755">
      <w:pPr>
        <w:spacing w:before="120" w:after="120"/>
        <w:jc w:val="both"/>
      </w:pPr>
      <w:r w:rsidRPr="00AD1D78">
        <w:rPr>
          <w:lang w:eastAsia="fr-FR" w:bidi="fr-FR"/>
        </w:rPr>
        <w:t>Après les mesures Nixon, plusieurs tentatives de sauvetage du sy</w:t>
      </w:r>
      <w:r w:rsidRPr="00AD1D78">
        <w:rPr>
          <w:lang w:eastAsia="fr-FR" w:bidi="fr-FR"/>
        </w:rPr>
        <w:t>s</w:t>
      </w:r>
      <w:r w:rsidRPr="00AD1D78">
        <w:rPr>
          <w:lang w:eastAsia="fr-FR" w:bidi="fr-FR"/>
        </w:rPr>
        <w:t>tème de Bretton Woods furent faites, mais sans succès. Finalement, toutes les règles existantes furent abandonnées, en 1976, avec les a</w:t>
      </w:r>
      <w:r w:rsidRPr="00AD1D78">
        <w:rPr>
          <w:lang w:eastAsia="fr-FR" w:bidi="fr-FR"/>
        </w:rPr>
        <w:t>c</w:t>
      </w:r>
      <w:r w:rsidRPr="00AD1D78">
        <w:rPr>
          <w:lang w:eastAsia="fr-FR" w:bidi="fr-FR"/>
        </w:rPr>
        <w:t>cords de la Jamaïque et le deuxième amendement aux statuts du FMI. L'esprit et la lettre de Bretton Woods devenaient caducs.</w:t>
      </w:r>
    </w:p>
    <w:p w:rsidR="002F0755" w:rsidRPr="00AD1D78" w:rsidRDefault="002F0755" w:rsidP="002F0755">
      <w:pPr>
        <w:spacing w:before="120" w:after="120"/>
        <w:jc w:val="both"/>
        <w:rPr>
          <w:lang w:eastAsia="fr-FR" w:bidi="fr-FR"/>
        </w:rPr>
      </w:pPr>
      <w:r w:rsidRPr="00AD1D78">
        <w:rPr>
          <w:lang w:eastAsia="fr-FR" w:bidi="fr-FR"/>
        </w:rPr>
        <w:t xml:space="preserve">Pour résumer, l'originalité des années 70 tient à l'abandon des taux d'intérêt fixes pour les taux variables ce qui aura pour conséquences de transférer le risque des créanciers aux débiteurs et d'éliminer en fait la notion de long terme. La période se terminera par la </w:t>
      </w:r>
      <w:r w:rsidRPr="00AD1D78">
        <w:t>« </w:t>
      </w:r>
      <w:r w:rsidRPr="00AD1D78">
        <w:rPr>
          <w:lang w:eastAsia="fr-FR" w:bidi="fr-FR"/>
        </w:rPr>
        <w:t>fragilisation</w:t>
      </w:r>
      <w:r w:rsidRPr="00AD1D78">
        <w:t> »</w:t>
      </w:r>
      <w:r w:rsidRPr="00AD1D78">
        <w:rPr>
          <w:lang w:eastAsia="fr-FR" w:bidi="fr-FR"/>
        </w:rPr>
        <w:t xml:space="preserve"> des débiteurs mais aussi par celle des créanciers, l'a</w:t>
      </w:r>
      <w:r w:rsidRPr="00AD1D78">
        <w:rPr>
          <w:lang w:eastAsia="fr-FR" w:bidi="fr-FR"/>
        </w:rPr>
        <w:t>c</w:t>
      </w:r>
      <w:r w:rsidRPr="00AD1D78">
        <w:rPr>
          <w:lang w:eastAsia="fr-FR" w:bidi="fr-FR"/>
        </w:rPr>
        <w:t>tif des institutions financières (leurs avoirs) n’ayant plus la qualité d</w:t>
      </w:r>
      <w:r w:rsidRPr="00AD1D78">
        <w:rPr>
          <w:lang w:eastAsia="fr-FR" w:bidi="fr-FR"/>
        </w:rPr>
        <w:t>é</w:t>
      </w:r>
      <w:r w:rsidRPr="00AD1D78">
        <w:rPr>
          <w:lang w:eastAsia="fr-FR" w:bidi="fr-FR"/>
        </w:rPr>
        <w:t>sirée.</w:t>
      </w:r>
    </w:p>
    <w:p w:rsidR="002F0755" w:rsidRPr="00AD1D78" w:rsidRDefault="002F0755" w:rsidP="002F0755">
      <w:pPr>
        <w:spacing w:before="120" w:after="120"/>
        <w:jc w:val="both"/>
      </w:pPr>
    </w:p>
    <w:p w:rsidR="002F0755" w:rsidRPr="00AD1D78" w:rsidRDefault="002F0755" w:rsidP="002F0755">
      <w:pPr>
        <w:pStyle w:val="b"/>
      </w:pPr>
      <w:r w:rsidRPr="00AD1D78">
        <w:rPr>
          <w:lang w:eastAsia="fr-FR" w:bidi="fr-FR"/>
        </w:rPr>
        <w:t>La marchéisation</w:t>
      </w:r>
      <w:r>
        <w:rPr>
          <w:lang w:eastAsia="fr-FR" w:bidi="fr-FR"/>
        </w:rPr>
        <w:br/>
      </w:r>
      <w:r w:rsidRPr="00AD1D78">
        <w:rPr>
          <w:lang w:eastAsia="fr-FR" w:bidi="fr-FR"/>
        </w:rPr>
        <w:t>(depuis 1982)</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La troisième et plus récente phase d'évolution du système financier international se caractérise par la généralisation des politiques mon</w:t>
      </w:r>
      <w:r w:rsidRPr="00AD1D78">
        <w:rPr>
          <w:lang w:eastAsia="fr-FR" w:bidi="fr-FR"/>
        </w:rPr>
        <w:t>é</w:t>
      </w:r>
      <w:r w:rsidRPr="00AD1D78">
        <w:rPr>
          <w:lang w:eastAsia="fr-FR" w:bidi="fr-FR"/>
        </w:rPr>
        <w:t>taires axées essentiellement sur la lutte contre l'inflation et les vari</w:t>
      </w:r>
      <w:r w:rsidRPr="00AD1D78">
        <w:rPr>
          <w:lang w:eastAsia="fr-FR" w:bidi="fr-FR"/>
        </w:rPr>
        <w:t>a</w:t>
      </w:r>
      <w:r w:rsidRPr="00AD1D78">
        <w:rPr>
          <w:lang w:eastAsia="fr-FR" w:bidi="fr-FR"/>
        </w:rPr>
        <w:t>tions libres des taux d'intérêt et des taux de change à condition que les objectifs anti-inflationnistes soient respectés. On le comprendra, dans un monde dominé par la détention privée des liquidités</w:t>
      </w:r>
      <w:r>
        <w:rPr>
          <w:lang w:eastAsia="fr-FR" w:bidi="fr-FR"/>
        </w:rPr>
        <w:t xml:space="preserve"> </w:t>
      </w:r>
      <w:r w:rsidRPr="00AD1D78">
        <w:t>[227]</w:t>
      </w:r>
      <w:r>
        <w:t xml:space="preserve"> </w:t>
      </w:r>
      <w:r w:rsidRPr="00AD1D78">
        <w:rPr>
          <w:lang w:eastAsia="fr-FR" w:bidi="fr-FR"/>
        </w:rPr>
        <w:t>intern</w:t>
      </w:r>
      <w:r w:rsidRPr="00AD1D78">
        <w:rPr>
          <w:lang w:eastAsia="fr-FR" w:bidi="fr-FR"/>
        </w:rPr>
        <w:t>a</w:t>
      </w:r>
      <w:r w:rsidRPr="00AD1D78">
        <w:rPr>
          <w:lang w:eastAsia="fr-FR" w:bidi="fr-FR"/>
        </w:rPr>
        <w:t>tionales, le contrôle de ces taux est des plus illusoire. Le marché se verra donc attribuer les pleins pouvoirs sur les taux d'intérêt et les taux de change.</w:t>
      </w:r>
    </w:p>
    <w:p w:rsidR="002F0755" w:rsidRPr="00AD1D78" w:rsidRDefault="002F0755" w:rsidP="002F0755">
      <w:pPr>
        <w:spacing w:before="120" w:after="120"/>
        <w:jc w:val="both"/>
      </w:pPr>
      <w:r w:rsidRPr="00AD1D78">
        <w:rPr>
          <w:lang w:eastAsia="fr-FR" w:bidi="fr-FR"/>
        </w:rPr>
        <w:t xml:space="preserve">La </w:t>
      </w:r>
      <w:r w:rsidRPr="00AD1D78">
        <w:t>« </w:t>
      </w:r>
      <w:r w:rsidRPr="00AD1D78">
        <w:rPr>
          <w:lang w:eastAsia="fr-FR" w:bidi="fr-FR"/>
        </w:rPr>
        <w:t>fragilisation</w:t>
      </w:r>
      <w:r w:rsidRPr="00AD1D78">
        <w:t> »</w:t>
      </w:r>
      <w:r w:rsidRPr="00AD1D78">
        <w:rPr>
          <w:lang w:eastAsia="fr-FR" w:bidi="fr-FR"/>
        </w:rPr>
        <w:t xml:space="preserve"> du système se révèle dès le début de la période par ce qu'il est maintenant convenu d’appeler la crise d'endettement </w:t>
      </w:r>
      <w:r w:rsidRPr="00AD1D78">
        <w:rPr>
          <w:lang w:eastAsia="fr-FR" w:bidi="fr-FR"/>
        </w:rPr>
        <w:lastRenderedPageBreak/>
        <w:t>du tiers-monde. Les risques de rupture que faisait peser cette crise sur le système financier international incitèrent les banques à partager et à généraliser les risques de financement</w:t>
      </w:r>
      <w:r w:rsidRPr="00AD1D78">
        <w:t> :</w:t>
      </w:r>
      <w:r w:rsidRPr="00AD1D78">
        <w:rPr>
          <w:lang w:eastAsia="fr-FR" w:bidi="fr-FR"/>
        </w:rPr>
        <w:t xml:space="preserve"> ce sera la </w:t>
      </w:r>
      <w:r w:rsidRPr="00246A60">
        <w:rPr>
          <w:i/>
        </w:rPr>
        <w:t>marchéisation</w:t>
      </w:r>
      <w:r w:rsidRPr="00AD1D78">
        <w:t>,</w:t>
      </w:r>
      <w:r w:rsidRPr="00AD1D78">
        <w:rPr>
          <w:lang w:eastAsia="fr-FR" w:bidi="fr-FR"/>
        </w:rPr>
        <w:t xml:space="preserve"> a</w:t>
      </w:r>
      <w:r w:rsidRPr="00AD1D78">
        <w:rPr>
          <w:lang w:eastAsia="fr-FR" w:bidi="fr-FR"/>
        </w:rPr>
        <w:t>u</w:t>
      </w:r>
      <w:r w:rsidRPr="00AD1D78">
        <w:rPr>
          <w:lang w:eastAsia="fr-FR" w:bidi="fr-FR"/>
        </w:rPr>
        <w:t xml:space="preserve">trement dit, l'abandon du financement bancaire traditionnel et son remplacement par un financement par titres de plus en plus soumis aux conditions des marchés financiers. L'élasticité de l'offre de prêts deviendra alors quasi infinie. Ces marchés des </w:t>
      </w:r>
      <w:r w:rsidRPr="00AD1D78">
        <w:t>« </w:t>
      </w:r>
      <w:r w:rsidRPr="00AD1D78">
        <w:rPr>
          <w:lang w:eastAsia="fr-FR" w:bidi="fr-FR"/>
        </w:rPr>
        <w:t>instruments fina</w:t>
      </w:r>
      <w:r w:rsidRPr="00AD1D78">
        <w:rPr>
          <w:lang w:eastAsia="fr-FR" w:bidi="fr-FR"/>
        </w:rPr>
        <w:t>n</w:t>
      </w:r>
      <w:r w:rsidRPr="00AD1D78">
        <w:rPr>
          <w:lang w:eastAsia="fr-FR" w:bidi="fr-FR"/>
        </w:rPr>
        <w:t>ciers dérivés</w:t>
      </w:r>
      <w:r w:rsidRPr="00AD1D78">
        <w:t> »</w:t>
      </w:r>
      <w:r w:rsidRPr="00AD1D78">
        <w:rPr>
          <w:lang w:eastAsia="fr-FR" w:bidi="fr-FR"/>
        </w:rPr>
        <w:t>, pour reprendre l'expression de la Banque des règl</w:t>
      </w:r>
      <w:r w:rsidRPr="00AD1D78">
        <w:rPr>
          <w:lang w:eastAsia="fr-FR" w:bidi="fr-FR"/>
        </w:rPr>
        <w:t>e</w:t>
      </w:r>
      <w:r w:rsidRPr="00AD1D78">
        <w:rPr>
          <w:lang w:eastAsia="fr-FR" w:bidi="fr-FR"/>
        </w:rPr>
        <w:t xml:space="preserve">ments internationaux (BRI, 1990, 162), vont connaître une expansion remarquable dans les années 80. La fermeture des marchés au tiers-monde ne sera pas un obstacle à leur développement, une nouvelle demande </w:t>
      </w:r>
      <w:r w:rsidRPr="00AD1D78">
        <w:t>« </w:t>
      </w:r>
      <w:r w:rsidRPr="00AD1D78">
        <w:rPr>
          <w:lang w:eastAsia="fr-FR" w:bidi="fr-FR"/>
        </w:rPr>
        <w:t>solvable</w:t>
      </w:r>
      <w:r w:rsidRPr="00AD1D78">
        <w:t> »</w:t>
      </w:r>
      <w:r w:rsidRPr="00AD1D78">
        <w:rPr>
          <w:lang w:eastAsia="fr-FR" w:bidi="fr-FR"/>
        </w:rPr>
        <w:t xml:space="preserve"> prendra la relève avec le financement des déf</w:t>
      </w:r>
      <w:r w:rsidRPr="00AD1D78">
        <w:rPr>
          <w:lang w:eastAsia="fr-FR" w:bidi="fr-FR"/>
        </w:rPr>
        <w:t>i</w:t>
      </w:r>
      <w:r w:rsidRPr="00AD1D78">
        <w:rPr>
          <w:lang w:eastAsia="fr-FR" w:bidi="fr-FR"/>
        </w:rPr>
        <w:t>cits budgétaires et des déficits des comptes courants dans les pays i</w:t>
      </w:r>
      <w:r w:rsidRPr="00AD1D78">
        <w:rPr>
          <w:lang w:eastAsia="fr-FR" w:bidi="fr-FR"/>
        </w:rPr>
        <w:t>n</w:t>
      </w:r>
      <w:r w:rsidRPr="00AD1D78">
        <w:rPr>
          <w:lang w:eastAsia="fr-FR" w:bidi="fr-FR"/>
        </w:rPr>
        <w:t>dustrialisés. Dans le secteur privé, l'engagement des institutions fina</w:t>
      </w:r>
      <w:r w:rsidRPr="00AD1D78">
        <w:rPr>
          <w:lang w:eastAsia="fr-FR" w:bidi="fr-FR"/>
        </w:rPr>
        <w:t>n</w:t>
      </w:r>
      <w:r w:rsidRPr="00AD1D78">
        <w:rPr>
          <w:lang w:eastAsia="fr-FR" w:bidi="fr-FR"/>
        </w:rPr>
        <w:t>cières dans les opérations à effet de levier, c’est-à-dire dans des opér</w:t>
      </w:r>
      <w:r w:rsidRPr="00AD1D78">
        <w:rPr>
          <w:lang w:eastAsia="fr-FR" w:bidi="fr-FR"/>
        </w:rPr>
        <w:t>a</w:t>
      </w:r>
      <w:r w:rsidRPr="00AD1D78">
        <w:rPr>
          <w:lang w:eastAsia="fr-FR" w:bidi="fr-FR"/>
        </w:rPr>
        <w:t xml:space="preserve">tions de restructuration financière après acquisition par endettement, va accélérer cette nouvelle tendance que sera la </w:t>
      </w:r>
      <w:r w:rsidRPr="00246A60">
        <w:rPr>
          <w:i/>
        </w:rPr>
        <w:t>marchéisation</w:t>
      </w:r>
      <w:r w:rsidRPr="00AD1D78">
        <w:t>.</w:t>
      </w:r>
      <w:r w:rsidRPr="00AD1D78">
        <w:rPr>
          <w:lang w:eastAsia="fr-FR" w:bidi="fr-FR"/>
        </w:rPr>
        <w:t xml:space="preserve"> Voyons un peu plus précisément ce qu'il en est de ce nouveau phén</w:t>
      </w:r>
      <w:r w:rsidRPr="00AD1D78">
        <w:rPr>
          <w:lang w:eastAsia="fr-FR" w:bidi="fr-FR"/>
        </w:rPr>
        <w:t>o</w:t>
      </w:r>
      <w:r w:rsidRPr="00AD1D78">
        <w:rPr>
          <w:lang w:eastAsia="fr-FR" w:bidi="fr-FR"/>
        </w:rPr>
        <w:t>mène qui aura des conséquences considérables sur la stabilité et le fonctionnement des institutions et des marchés financiers internati</w:t>
      </w:r>
      <w:r w:rsidRPr="00AD1D78">
        <w:rPr>
          <w:lang w:eastAsia="fr-FR" w:bidi="fr-FR"/>
        </w:rPr>
        <w:t>o</w:t>
      </w:r>
      <w:r w:rsidRPr="00AD1D78">
        <w:rPr>
          <w:lang w:eastAsia="fr-FR" w:bidi="fr-FR"/>
        </w:rPr>
        <w:t>naux (OCDE, 1988</w:t>
      </w:r>
      <w:r w:rsidRPr="00AD1D78">
        <w:t> ;</w:t>
      </w:r>
      <w:r w:rsidRPr="00AD1D78">
        <w:rPr>
          <w:lang w:eastAsia="fr-FR" w:bidi="fr-FR"/>
        </w:rPr>
        <w:t xml:space="preserve"> BRI, 1986).</w:t>
      </w:r>
    </w:p>
    <w:p w:rsidR="002F0755" w:rsidRPr="00AD1D78" w:rsidRDefault="002F0755" w:rsidP="002F0755">
      <w:pPr>
        <w:spacing w:before="120" w:after="120"/>
        <w:jc w:val="both"/>
        <w:rPr>
          <w:szCs w:val="24"/>
          <w:lang w:eastAsia="fr-FR" w:bidi="fr-FR"/>
        </w:rPr>
      </w:pPr>
    </w:p>
    <w:p w:rsidR="002F0755" w:rsidRPr="00AD1D78" w:rsidRDefault="002F0755" w:rsidP="002F0755">
      <w:pPr>
        <w:pStyle w:val="aa"/>
      </w:pPr>
      <w:r w:rsidRPr="00E05797">
        <w:t>La marchéisation du financement</w:t>
      </w:r>
      <w:r w:rsidRPr="00AD1D78">
        <w:t> :</w:t>
      </w:r>
      <w:r>
        <w:br/>
      </w:r>
      <w:r w:rsidRPr="00E05797">
        <w:t>la dernière accélération</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L'un des phénomènes les plus marquants des 15 dernières années, la marchéisation de l'intermédiation financière, couvre deux éléments très interdépendants</w:t>
      </w:r>
      <w:r w:rsidRPr="00AD1D78">
        <w:t> :</w:t>
      </w:r>
      <w:r w:rsidRPr="00AD1D78">
        <w:rPr>
          <w:lang w:eastAsia="fr-FR" w:bidi="fr-FR"/>
        </w:rPr>
        <w:t xml:space="preserve"> 1) l'ampleur croissante de l'intermédiation f</w:t>
      </w:r>
      <w:r w:rsidRPr="00AD1D78">
        <w:rPr>
          <w:lang w:eastAsia="fr-FR" w:bidi="fr-FR"/>
        </w:rPr>
        <w:t>i</w:t>
      </w:r>
      <w:r w:rsidRPr="00AD1D78">
        <w:rPr>
          <w:lang w:eastAsia="fr-FR" w:bidi="fr-FR"/>
        </w:rPr>
        <w:t>nancière assurée par les banques à des conditions qui sont presque e</w:t>
      </w:r>
      <w:r w:rsidRPr="00AD1D78">
        <w:rPr>
          <w:lang w:eastAsia="fr-FR" w:bidi="fr-FR"/>
        </w:rPr>
        <w:t>n</w:t>
      </w:r>
      <w:r w:rsidRPr="00AD1D78">
        <w:rPr>
          <w:lang w:eastAsia="fr-FR" w:bidi="fr-FR"/>
        </w:rPr>
        <w:t>tièrement déterminées par le jeu des mécanismes du marché</w:t>
      </w:r>
      <w:r w:rsidRPr="00AD1D78">
        <w:t> ;</w:t>
      </w:r>
      <w:r w:rsidRPr="00AD1D78">
        <w:rPr>
          <w:lang w:eastAsia="fr-FR" w:bidi="fr-FR"/>
        </w:rPr>
        <w:t xml:space="preserve"> 2) l'a</w:t>
      </w:r>
      <w:r w:rsidRPr="00AD1D78">
        <w:rPr>
          <w:lang w:eastAsia="fr-FR" w:bidi="fr-FR"/>
        </w:rPr>
        <w:t>m</w:t>
      </w:r>
      <w:r w:rsidRPr="00AD1D78">
        <w:rPr>
          <w:lang w:eastAsia="fr-FR" w:bidi="fr-FR"/>
        </w:rPr>
        <w:t xml:space="preserve">pleur croissante de l'intermédiation financière qui s'opère sur les </w:t>
      </w:r>
      <w:r w:rsidRPr="00AD1D78">
        <w:t>« </w:t>
      </w:r>
      <w:r w:rsidRPr="00AD1D78">
        <w:rPr>
          <w:lang w:eastAsia="fr-FR" w:bidi="fr-FR"/>
        </w:rPr>
        <w:t>marchés</w:t>
      </w:r>
      <w:r w:rsidRPr="00AD1D78">
        <w:t> »</w:t>
      </w:r>
      <w:r w:rsidRPr="00AD1D78">
        <w:rPr>
          <w:lang w:eastAsia="fr-FR" w:bidi="fr-FR"/>
        </w:rPr>
        <w:t xml:space="preserve"> des capitaux, donc sans apparaître dans les bilans des banques et des institutions financières (OCDE, 1985, 28). La marché</w:t>
      </w:r>
      <w:r w:rsidRPr="00AD1D78">
        <w:rPr>
          <w:lang w:eastAsia="fr-FR" w:bidi="fr-FR"/>
        </w:rPr>
        <w:t>i</w:t>
      </w:r>
      <w:r w:rsidRPr="00AD1D78">
        <w:rPr>
          <w:lang w:eastAsia="fr-FR" w:bidi="fr-FR"/>
        </w:rPr>
        <w:t>sation, c'est donc ni plus ni moins la généralisation des financements aux prix du marché. Deux phénomènes lui sont liés</w:t>
      </w:r>
      <w:r w:rsidRPr="00AD1D78">
        <w:t> :</w:t>
      </w:r>
      <w:r w:rsidRPr="00AD1D78">
        <w:rPr>
          <w:lang w:eastAsia="fr-FR" w:bidi="fr-FR"/>
        </w:rPr>
        <w:t xml:space="preserve"> d'une part, les financements par émission de titres s'accroissent au détriment des f</w:t>
      </w:r>
      <w:r w:rsidRPr="00AD1D78">
        <w:rPr>
          <w:lang w:eastAsia="fr-FR" w:bidi="fr-FR"/>
        </w:rPr>
        <w:t>i</w:t>
      </w:r>
      <w:r w:rsidRPr="00AD1D78">
        <w:rPr>
          <w:lang w:eastAsia="fr-FR" w:bidi="fr-FR"/>
        </w:rPr>
        <w:t>nancements bancaires traditionnels</w:t>
      </w:r>
      <w:r w:rsidRPr="00AD1D78">
        <w:t> ;</w:t>
      </w:r>
      <w:r w:rsidRPr="00AD1D78">
        <w:rPr>
          <w:lang w:eastAsia="fr-FR" w:bidi="fr-FR"/>
        </w:rPr>
        <w:t xml:space="preserve"> d'autre part, ces derniers sont</w:t>
      </w:r>
      <w:r>
        <w:rPr>
          <w:lang w:eastAsia="fr-FR" w:bidi="fr-FR"/>
        </w:rPr>
        <w:t xml:space="preserve"> </w:t>
      </w:r>
      <w:r w:rsidRPr="00AD1D78">
        <w:lastRenderedPageBreak/>
        <w:t>[228]</w:t>
      </w:r>
      <w:r>
        <w:t xml:space="preserve"> </w:t>
      </w:r>
      <w:r w:rsidRPr="00AD1D78">
        <w:rPr>
          <w:lang w:eastAsia="fr-FR" w:bidi="fr-FR"/>
        </w:rPr>
        <w:t>de plus en plus affectés par les conditions des marchés fina</w:t>
      </w:r>
      <w:r w:rsidRPr="00AD1D78">
        <w:rPr>
          <w:lang w:eastAsia="fr-FR" w:bidi="fr-FR"/>
        </w:rPr>
        <w:t>n</w:t>
      </w:r>
      <w:r w:rsidRPr="00AD1D78">
        <w:rPr>
          <w:lang w:eastAsia="fr-FR" w:bidi="fr-FR"/>
        </w:rPr>
        <w:t>ciers (Régniez, 1989, 58).</w:t>
      </w:r>
    </w:p>
    <w:p w:rsidR="002F0755" w:rsidRPr="00AD1D78" w:rsidRDefault="002F0755" w:rsidP="002F0755">
      <w:pPr>
        <w:spacing w:before="120" w:after="120"/>
        <w:jc w:val="both"/>
        <w:rPr>
          <w:lang w:eastAsia="fr-FR" w:bidi="fr-FR"/>
        </w:rPr>
      </w:pPr>
    </w:p>
    <w:p w:rsidR="002F0755" w:rsidRPr="00AD1D78" w:rsidRDefault="002F0755" w:rsidP="002F0755">
      <w:pPr>
        <w:pStyle w:val="b"/>
      </w:pPr>
      <w:r w:rsidRPr="00AD1D78">
        <w:rPr>
          <w:lang w:eastAsia="fr-FR" w:bidi="fr-FR"/>
        </w:rPr>
        <w:t>Les instruments financiers dérivés</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Il importe de noter que la marchéisation ne veut pas dire une r</w:t>
      </w:r>
      <w:r w:rsidRPr="00AD1D78">
        <w:rPr>
          <w:lang w:eastAsia="fr-FR" w:bidi="fr-FR"/>
        </w:rPr>
        <w:t>é</w:t>
      </w:r>
      <w:r w:rsidRPr="00AD1D78">
        <w:rPr>
          <w:lang w:eastAsia="fr-FR" w:bidi="fr-FR"/>
        </w:rPr>
        <w:t>duction du rôle des banques, bien au contraire</w:t>
      </w:r>
      <w:r w:rsidRPr="00AD1D78">
        <w:t> ;</w:t>
      </w:r>
      <w:r w:rsidRPr="00AD1D78">
        <w:rPr>
          <w:lang w:eastAsia="fr-FR" w:bidi="fr-FR"/>
        </w:rPr>
        <w:t xml:space="preserve"> c'est plutôt à une m</w:t>
      </w:r>
      <w:r w:rsidRPr="00AD1D78">
        <w:rPr>
          <w:lang w:eastAsia="fr-FR" w:bidi="fr-FR"/>
        </w:rPr>
        <w:t>u</w:t>
      </w:r>
      <w:r w:rsidRPr="00AD1D78">
        <w:rPr>
          <w:lang w:eastAsia="fr-FR" w:bidi="fr-FR"/>
        </w:rPr>
        <w:t xml:space="preserve">tation de leur rôle à laquelle nous allons assister. Le développement très important des activités bancaires dites </w:t>
      </w:r>
      <w:r w:rsidRPr="00246A60">
        <w:rPr>
          <w:i/>
        </w:rPr>
        <w:t>hors bilan</w:t>
      </w:r>
      <w:r w:rsidRPr="00AD1D78">
        <w:rPr>
          <w:lang w:eastAsia="fr-FR" w:bidi="fr-FR"/>
        </w:rPr>
        <w:t xml:space="preserve"> est le signe le plus évident de cette transformation.</w:t>
      </w:r>
    </w:p>
    <w:p w:rsidR="002F0755" w:rsidRPr="00AD1D78" w:rsidRDefault="002F0755" w:rsidP="002F0755">
      <w:pPr>
        <w:spacing w:before="120" w:after="120"/>
        <w:jc w:val="both"/>
      </w:pPr>
      <w:r w:rsidRPr="00AD1D78">
        <w:rPr>
          <w:lang w:eastAsia="fr-FR" w:bidi="fr-FR"/>
        </w:rPr>
        <w:t>Les activités hors bilan sont des opérations engagées mais non e</w:t>
      </w:r>
      <w:r w:rsidRPr="00AD1D78">
        <w:rPr>
          <w:lang w:eastAsia="fr-FR" w:bidi="fr-FR"/>
        </w:rPr>
        <w:t>n</w:t>
      </w:r>
      <w:r w:rsidRPr="00AD1D78">
        <w:rPr>
          <w:lang w:eastAsia="fr-FR" w:bidi="fr-FR"/>
        </w:rPr>
        <w:t>core réalisées en matière d'échéance qui peuvent avoir une incidence à terme sur le bilan de l'entreprise </w:t>
      </w:r>
      <w:r>
        <w:rPr>
          <w:rStyle w:val="Appelnotedebasdep"/>
          <w:lang w:eastAsia="fr-FR" w:bidi="fr-FR"/>
        </w:rPr>
        <w:footnoteReference w:id="1"/>
      </w:r>
      <w:r w:rsidRPr="00AD1D78">
        <w:rPr>
          <w:lang w:eastAsia="fr-FR" w:bidi="fr-FR"/>
        </w:rPr>
        <w:t>.</w:t>
      </w:r>
    </w:p>
    <w:p w:rsidR="002F0755" w:rsidRPr="00AD1D78" w:rsidRDefault="002F0755" w:rsidP="002F0755">
      <w:pPr>
        <w:spacing w:before="120" w:after="120"/>
        <w:jc w:val="both"/>
      </w:pPr>
      <w:r w:rsidRPr="00AD1D78">
        <w:rPr>
          <w:lang w:eastAsia="fr-FR" w:bidi="fr-FR"/>
        </w:rPr>
        <w:t>Un bilan présente la situation financière d'une entreprise et l'état de son patrimoine, incluant à l'actif tous les biens et les créances dont elle est propriétaire et, au passif, l’ensemble de ses dettes ou engagements. Le bilan est donc le résultat d'opérations déjà réalisées. Par nature, les activités hors bilan ne figurent pas au bilan, mais la défaillance de tiers pour qui une banque s'est engagée peut entraîner des difficultés financières et ainsi modifier son bilan à terme. C'est le cas, par exe</w:t>
      </w:r>
      <w:r w:rsidRPr="00AD1D78">
        <w:rPr>
          <w:lang w:eastAsia="fr-FR" w:bidi="fr-FR"/>
        </w:rPr>
        <w:t>m</w:t>
      </w:r>
      <w:r w:rsidRPr="00AD1D78">
        <w:rPr>
          <w:lang w:eastAsia="fr-FR" w:bidi="fr-FR"/>
        </w:rPr>
        <w:t>ple, quand une banque se porte garante d'une entreprise. Cet engag</w:t>
      </w:r>
      <w:r w:rsidRPr="00AD1D78">
        <w:rPr>
          <w:lang w:eastAsia="fr-FR" w:bidi="fr-FR"/>
        </w:rPr>
        <w:t>e</w:t>
      </w:r>
      <w:r w:rsidRPr="00AD1D78">
        <w:rPr>
          <w:lang w:eastAsia="fr-FR" w:bidi="fr-FR"/>
        </w:rPr>
        <w:t>ment ne figurera pas à son bilan mais la défaillance possible de l'e</w:t>
      </w:r>
      <w:r w:rsidRPr="00AD1D78">
        <w:rPr>
          <w:lang w:eastAsia="fr-FR" w:bidi="fr-FR"/>
        </w:rPr>
        <w:t>n</w:t>
      </w:r>
      <w:r w:rsidRPr="00AD1D78">
        <w:rPr>
          <w:lang w:eastAsia="fr-FR" w:bidi="fr-FR"/>
        </w:rPr>
        <w:t>treprise fera apparaître par contre une perte qui, elle, sera enregi</w:t>
      </w:r>
      <w:r w:rsidRPr="00AD1D78">
        <w:rPr>
          <w:lang w:eastAsia="fr-FR" w:bidi="fr-FR"/>
        </w:rPr>
        <w:t>s</w:t>
      </w:r>
      <w:r w:rsidRPr="00AD1D78">
        <w:rPr>
          <w:lang w:eastAsia="fr-FR" w:bidi="fr-FR"/>
        </w:rPr>
        <w:t>trée au bilan.</w:t>
      </w:r>
    </w:p>
    <w:p w:rsidR="002F0755" w:rsidRPr="00AD1D78" w:rsidRDefault="002F0755" w:rsidP="002F0755">
      <w:pPr>
        <w:spacing w:before="120" w:after="120"/>
        <w:jc w:val="both"/>
      </w:pPr>
      <w:r w:rsidRPr="00AD1D78">
        <w:rPr>
          <w:lang w:eastAsia="fr-FR" w:bidi="fr-FR"/>
        </w:rPr>
        <w:t xml:space="preserve">La grande volatilité des taux d'intérêt et des taux de change qu'a connue ces dernières années le système financier international va créer une demande pour des </w:t>
      </w:r>
      <w:r w:rsidRPr="00AD1D78">
        <w:t>« </w:t>
      </w:r>
      <w:r w:rsidRPr="00AD1D78">
        <w:rPr>
          <w:lang w:eastAsia="fr-FR" w:bidi="fr-FR"/>
        </w:rPr>
        <w:t>instruments financiers dérivés</w:t>
      </w:r>
      <w:r w:rsidRPr="00AD1D78">
        <w:t> »</w:t>
      </w:r>
      <w:r w:rsidRPr="00AD1D78">
        <w:rPr>
          <w:lang w:eastAsia="fr-FR" w:bidi="fr-FR"/>
        </w:rPr>
        <w:t xml:space="preserve"> et a</w:t>
      </w:r>
      <w:r w:rsidRPr="00AD1D78">
        <w:rPr>
          <w:lang w:eastAsia="fr-FR" w:bidi="fr-FR"/>
        </w:rPr>
        <w:t>p</w:t>
      </w:r>
      <w:r w:rsidRPr="00AD1D78">
        <w:rPr>
          <w:lang w:eastAsia="fr-FR" w:bidi="fr-FR"/>
        </w:rPr>
        <w:t xml:space="preserve">peler des stratégies de couverture plus efficaces. On assistera aussi à </w:t>
      </w:r>
      <w:r w:rsidRPr="00AD1D78">
        <w:rPr>
          <w:lang w:eastAsia="fr-FR" w:bidi="fr-FR"/>
        </w:rPr>
        <w:lastRenderedPageBreak/>
        <w:t>une autre tendance</w:t>
      </w:r>
      <w:r w:rsidRPr="00AD1D78">
        <w:t> :</w:t>
      </w:r>
      <w:r w:rsidRPr="00AD1D78">
        <w:rPr>
          <w:lang w:eastAsia="fr-FR" w:bidi="fr-FR"/>
        </w:rPr>
        <w:t xml:space="preserve"> la suppression des intermédiaires. Cela entraînera une concurrence croissante entre les banques, phénomène qui prov</w:t>
      </w:r>
      <w:r w:rsidRPr="00AD1D78">
        <w:rPr>
          <w:lang w:eastAsia="fr-FR" w:bidi="fr-FR"/>
        </w:rPr>
        <w:t>o</w:t>
      </w:r>
      <w:r w:rsidRPr="00AD1D78">
        <w:rPr>
          <w:lang w:eastAsia="fr-FR" w:bidi="fr-FR"/>
        </w:rPr>
        <w:t>quera la réduction des marges bénéficiaires sur les opérations trad</w:t>
      </w:r>
      <w:r w:rsidRPr="00AD1D78">
        <w:rPr>
          <w:lang w:eastAsia="fr-FR" w:bidi="fr-FR"/>
        </w:rPr>
        <w:t>i</w:t>
      </w:r>
      <w:r w:rsidRPr="00AD1D78">
        <w:rPr>
          <w:lang w:eastAsia="fr-FR" w:bidi="fr-FR"/>
        </w:rPr>
        <w:t>tionnelles et la nécessité de sources nouvelles de revenus. Enfin, les modifications importantes dans la distribution géographique des flux nets d'épargne et d'investissement au niveau international et les</w:t>
      </w:r>
      <w:r>
        <w:rPr>
          <w:lang w:eastAsia="fr-FR" w:bidi="fr-FR"/>
        </w:rPr>
        <w:t xml:space="preserve"> </w:t>
      </w:r>
      <w:r w:rsidRPr="00AD1D78">
        <w:t>[229]</w:t>
      </w:r>
      <w:r>
        <w:t xml:space="preserve"> </w:t>
      </w:r>
      <w:r w:rsidRPr="00AD1D78">
        <w:rPr>
          <w:lang w:eastAsia="fr-FR" w:bidi="fr-FR"/>
        </w:rPr>
        <w:t>changements dans le cadre réglementaire financier vont également contribuer grandement à l'innovation financière.</w:t>
      </w:r>
    </w:p>
    <w:p w:rsidR="002F0755" w:rsidRPr="00AD1D78" w:rsidRDefault="002F0755" w:rsidP="002F0755">
      <w:pPr>
        <w:spacing w:before="120" w:after="120"/>
        <w:jc w:val="both"/>
      </w:pPr>
      <w:r w:rsidRPr="00AD1D78">
        <w:rPr>
          <w:lang w:eastAsia="fr-FR" w:bidi="fr-FR"/>
        </w:rPr>
        <w:t xml:space="preserve">Ces éléments, combinés au développement de l'informatique et des télécommunications, ont stimulé et accéléré l’essor des nouveaux </w:t>
      </w:r>
      <w:r w:rsidRPr="00AD1D78">
        <w:t>« </w:t>
      </w:r>
      <w:r w:rsidRPr="00AD1D78">
        <w:rPr>
          <w:lang w:eastAsia="fr-FR" w:bidi="fr-FR"/>
        </w:rPr>
        <w:t>instruments financiers dérivés</w:t>
      </w:r>
      <w:r w:rsidRPr="00AD1D78">
        <w:t> »</w:t>
      </w:r>
      <w:r w:rsidRPr="00AD1D78">
        <w:rPr>
          <w:lang w:eastAsia="fr-FR" w:bidi="fr-FR"/>
        </w:rPr>
        <w:t>, ceux-ci permettant aux entreprises de transférer le risque, d'augmenter globalement la liquidité intern</w:t>
      </w:r>
      <w:r w:rsidRPr="00AD1D78">
        <w:rPr>
          <w:lang w:eastAsia="fr-FR" w:bidi="fr-FR"/>
        </w:rPr>
        <w:t>a</w:t>
      </w:r>
      <w:r w:rsidRPr="00AD1D78">
        <w:rPr>
          <w:lang w:eastAsia="fr-FR" w:bidi="fr-FR"/>
        </w:rPr>
        <w:t>tionale et de créer de nouvelles ouvertures aux prêteurs et aux e</w:t>
      </w:r>
      <w:r w:rsidRPr="00AD1D78">
        <w:rPr>
          <w:lang w:eastAsia="fr-FR" w:bidi="fr-FR"/>
        </w:rPr>
        <w:t>m</w:t>
      </w:r>
      <w:r w:rsidRPr="00AD1D78">
        <w:rPr>
          <w:lang w:eastAsia="fr-FR" w:bidi="fr-FR"/>
        </w:rPr>
        <w:t>prunteurs tout en assurant des sources de revenus diversifiées aux e</w:t>
      </w:r>
      <w:r w:rsidRPr="00AD1D78">
        <w:rPr>
          <w:lang w:eastAsia="fr-FR" w:bidi="fr-FR"/>
        </w:rPr>
        <w:t>n</w:t>
      </w:r>
      <w:r w:rsidRPr="00AD1D78">
        <w:rPr>
          <w:lang w:eastAsia="fr-FR" w:bidi="fr-FR"/>
        </w:rPr>
        <w:t>treprises financières.</w:t>
      </w:r>
    </w:p>
    <w:p w:rsidR="002F0755" w:rsidRPr="00AD1D78" w:rsidRDefault="002F0755" w:rsidP="002F0755">
      <w:pPr>
        <w:spacing w:before="120" w:after="120"/>
        <w:jc w:val="both"/>
      </w:pPr>
      <w:r w:rsidRPr="00AD1D78">
        <w:rPr>
          <w:lang w:eastAsia="fr-FR" w:bidi="fr-FR"/>
        </w:rPr>
        <w:t xml:space="preserve">Les principaux </w:t>
      </w:r>
      <w:r w:rsidRPr="00AD1D78">
        <w:t>« </w:t>
      </w:r>
      <w:r w:rsidRPr="00AD1D78">
        <w:rPr>
          <w:lang w:eastAsia="fr-FR" w:bidi="fr-FR"/>
        </w:rPr>
        <w:t>instruments financiers dérivés</w:t>
      </w:r>
      <w:r w:rsidRPr="00AD1D78">
        <w:t> »</w:t>
      </w:r>
      <w:r w:rsidRPr="00AD1D78">
        <w:rPr>
          <w:lang w:eastAsia="fr-FR" w:bidi="fr-FR"/>
        </w:rPr>
        <w:t>, c'est-à-dire ceux que l'on peut qualifier d'activités hors bilan, sont les suivants</w:t>
      </w:r>
      <w:r w:rsidRPr="00AD1D78">
        <w:t> :</w:t>
      </w:r>
    </w:p>
    <w:p w:rsidR="002F0755" w:rsidRPr="00AD1D78" w:rsidRDefault="002F0755" w:rsidP="002F0755">
      <w:pPr>
        <w:ind w:left="1080" w:hanging="360"/>
        <w:jc w:val="both"/>
        <w:rPr>
          <w:lang w:eastAsia="fr-FR" w:bidi="fr-FR"/>
        </w:rPr>
      </w:pPr>
    </w:p>
    <w:p w:rsidR="002F0755" w:rsidRPr="00AD1D78" w:rsidRDefault="002F0755" w:rsidP="002F0755">
      <w:pPr>
        <w:ind w:left="1080" w:hanging="360"/>
        <w:jc w:val="both"/>
      </w:pPr>
      <w:r w:rsidRPr="00AD1D78">
        <w:rPr>
          <w:lang w:eastAsia="fr-FR" w:bidi="fr-FR"/>
        </w:rPr>
        <w:t>-</w:t>
      </w:r>
      <w:r w:rsidRPr="00AD1D78">
        <w:rPr>
          <w:lang w:eastAsia="fr-FR" w:bidi="fr-FR"/>
        </w:rPr>
        <w:tab/>
        <w:t>les garanties et lettres de crédit,</w:t>
      </w:r>
    </w:p>
    <w:p w:rsidR="002F0755" w:rsidRPr="00AD1D78" w:rsidRDefault="002F0755" w:rsidP="002F0755">
      <w:pPr>
        <w:ind w:left="1080" w:hanging="360"/>
        <w:jc w:val="both"/>
      </w:pPr>
      <w:r w:rsidRPr="00AD1D78">
        <w:rPr>
          <w:lang w:eastAsia="fr-FR" w:bidi="fr-FR"/>
        </w:rPr>
        <w:t>-</w:t>
      </w:r>
      <w:r w:rsidRPr="00AD1D78">
        <w:rPr>
          <w:lang w:eastAsia="fr-FR" w:bidi="fr-FR"/>
        </w:rPr>
        <w:tab/>
        <w:t>les engagements de crédits,</w:t>
      </w:r>
    </w:p>
    <w:p w:rsidR="002F0755" w:rsidRPr="00AD1D78" w:rsidRDefault="002F0755" w:rsidP="002F0755">
      <w:pPr>
        <w:ind w:left="1080" w:hanging="360"/>
        <w:jc w:val="both"/>
      </w:pPr>
      <w:r w:rsidRPr="00AD1D78">
        <w:rPr>
          <w:lang w:eastAsia="fr-FR" w:bidi="fr-FR"/>
        </w:rPr>
        <w:t>-</w:t>
      </w:r>
      <w:r w:rsidRPr="00AD1D78">
        <w:rPr>
          <w:lang w:eastAsia="fr-FR" w:bidi="fr-FR"/>
        </w:rPr>
        <w:tab/>
        <w:t>les contrats de change à terme,</w:t>
      </w:r>
    </w:p>
    <w:p w:rsidR="002F0755" w:rsidRPr="00AD1D78" w:rsidRDefault="002F0755" w:rsidP="002F0755">
      <w:pPr>
        <w:ind w:left="1080" w:hanging="360"/>
        <w:jc w:val="both"/>
      </w:pPr>
      <w:r w:rsidRPr="00AD1D78">
        <w:rPr>
          <w:lang w:eastAsia="fr-FR" w:bidi="fr-FR"/>
        </w:rPr>
        <w:t>-</w:t>
      </w:r>
      <w:r w:rsidRPr="00AD1D78">
        <w:rPr>
          <w:lang w:eastAsia="fr-FR" w:bidi="fr-FR"/>
        </w:rPr>
        <w:tab/>
        <w:t xml:space="preserve">les </w:t>
      </w:r>
      <w:r w:rsidRPr="00246A60">
        <w:rPr>
          <w:i/>
        </w:rPr>
        <w:t>swaps</w:t>
      </w:r>
      <w:r w:rsidRPr="00AD1D78">
        <w:rPr>
          <w:lang w:eastAsia="fr-FR" w:bidi="fr-FR"/>
        </w:rPr>
        <w:t xml:space="preserve"> de taux d'intérêt et de monnaies étrangères,</w:t>
      </w:r>
    </w:p>
    <w:p w:rsidR="002F0755" w:rsidRPr="00AD1D78" w:rsidRDefault="002F0755" w:rsidP="002F0755">
      <w:pPr>
        <w:ind w:left="1080" w:hanging="360"/>
        <w:jc w:val="both"/>
      </w:pPr>
      <w:r w:rsidRPr="00AD1D78">
        <w:rPr>
          <w:lang w:eastAsia="fr-FR" w:bidi="fr-FR"/>
        </w:rPr>
        <w:t>-</w:t>
      </w:r>
      <w:r w:rsidRPr="00AD1D78">
        <w:rPr>
          <w:lang w:eastAsia="fr-FR" w:bidi="fr-FR"/>
        </w:rPr>
        <w:tab/>
        <w:t xml:space="preserve">les ententes relatives aux taux d’intérêt futurs (FRA pour </w:t>
      </w:r>
      <w:r w:rsidRPr="00246A60">
        <w:rPr>
          <w:i/>
        </w:rPr>
        <w:t>Fo</w:t>
      </w:r>
      <w:r w:rsidRPr="00246A60">
        <w:rPr>
          <w:i/>
        </w:rPr>
        <w:t>r</w:t>
      </w:r>
      <w:r w:rsidRPr="00246A60">
        <w:rPr>
          <w:i/>
        </w:rPr>
        <w:t>ward rate agreement</w:t>
      </w:r>
      <w:r w:rsidRPr="00AD1D78">
        <w:rPr>
          <w:lang w:eastAsia="fr-FR" w:bidi="fr-FR"/>
        </w:rPr>
        <w:t>),</w:t>
      </w:r>
    </w:p>
    <w:p w:rsidR="002F0755" w:rsidRPr="00AD1D78" w:rsidRDefault="002F0755" w:rsidP="002F0755">
      <w:pPr>
        <w:ind w:left="1080" w:hanging="360"/>
        <w:jc w:val="both"/>
      </w:pPr>
      <w:r w:rsidRPr="00AD1D78">
        <w:rPr>
          <w:lang w:eastAsia="fr-FR" w:bidi="fr-FR"/>
        </w:rPr>
        <w:t>-</w:t>
      </w:r>
      <w:r w:rsidRPr="00AD1D78">
        <w:rPr>
          <w:lang w:eastAsia="fr-FR" w:bidi="fr-FR"/>
        </w:rPr>
        <w:tab/>
        <w:t>les options sur monnaies étrangères et taux d'intérêt,</w:t>
      </w:r>
    </w:p>
    <w:p w:rsidR="002F0755" w:rsidRPr="00AD1D78" w:rsidRDefault="002F0755" w:rsidP="002F0755">
      <w:pPr>
        <w:ind w:left="1080" w:hanging="360"/>
        <w:jc w:val="both"/>
      </w:pPr>
      <w:r w:rsidRPr="00AD1D78">
        <w:rPr>
          <w:lang w:eastAsia="fr-FR" w:bidi="fr-FR"/>
        </w:rPr>
        <w:t>-</w:t>
      </w:r>
      <w:r w:rsidRPr="00AD1D78">
        <w:rPr>
          <w:lang w:eastAsia="fr-FR" w:bidi="fr-FR"/>
        </w:rPr>
        <w:tab/>
        <w:t xml:space="preserve">les facilités d'émission de titres de créances (FEE ou NIF pour </w:t>
      </w:r>
      <w:r w:rsidRPr="00246A60">
        <w:rPr>
          <w:i/>
        </w:rPr>
        <w:t>N</w:t>
      </w:r>
      <w:r w:rsidRPr="00246A60">
        <w:rPr>
          <w:i/>
        </w:rPr>
        <w:t>o</w:t>
      </w:r>
      <w:r w:rsidRPr="00246A60">
        <w:rPr>
          <w:i/>
        </w:rPr>
        <w:t>te Insurance Facilities</w:t>
      </w:r>
      <w:r w:rsidRPr="00AD1D78">
        <w:rPr>
          <w:lang w:eastAsia="fr-FR" w:bidi="fr-FR"/>
        </w:rPr>
        <w:t xml:space="preserve">) et les facilités renouvelables à prise ferme (FRPF ou RUF pour </w:t>
      </w:r>
      <w:r w:rsidRPr="00246A60">
        <w:rPr>
          <w:i/>
        </w:rPr>
        <w:t>Revolving Underwriting Facilities</w:t>
      </w:r>
      <w:r w:rsidRPr="00AD1D78">
        <w:t>).</w:t>
      </w:r>
    </w:p>
    <w:p w:rsidR="002F0755" w:rsidRPr="00AD1D78" w:rsidRDefault="002F0755" w:rsidP="002F0755">
      <w:pPr>
        <w:ind w:left="1080" w:hanging="360"/>
        <w:jc w:val="both"/>
        <w:rPr>
          <w:lang w:eastAsia="fr-FR" w:bidi="fr-FR"/>
        </w:rPr>
      </w:pPr>
    </w:p>
    <w:p w:rsidR="002F0755" w:rsidRPr="00AD1D78" w:rsidRDefault="002F0755" w:rsidP="002F0755">
      <w:pPr>
        <w:spacing w:before="120" w:after="120"/>
        <w:jc w:val="both"/>
      </w:pPr>
      <w:r w:rsidRPr="00AD1D78">
        <w:rPr>
          <w:lang w:eastAsia="fr-FR" w:bidi="fr-FR"/>
        </w:rPr>
        <w:t>L'intérêt pour les institutions financières d'utiliser ces instruments réside dans la possibilité qu'ils offrent de segmenter les différents ri</w:t>
      </w:r>
      <w:r w:rsidRPr="00AD1D78">
        <w:rPr>
          <w:lang w:eastAsia="fr-FR" w:bidi="fr-FR"/>
        </w:rPr>
        <w:t>s</w:t>
      </w:r>
      <w:r w:rsidRPr="00AD1D78">
        <w:rPr>
          <w:lang w:eastAsia="fr-FR" w:bidi="fr-FR"/>
        </w:rPr>
        <w:t>ques des opérations financières et de les transférer à d'autres. Ces po</w:t>
      </w:r>
      <w:r w:rsidRPr="00AD1D78">
        <w:rPr>
          <w:lang w:eastAsia="fr-FR" w:bidi="fr-FR"/>
        </w:rPr>
        <w:t>s</w:t>
      </w:r>
      <w:r w:rsidRPr="00AD1D78">
        <w:rPr>
          <w:lang w:eastAsia="fr-FR" w:bidi="fr-FR"/>
        </w:rPr>
        <w:t>sibilités d'échanges de créances ont entraîné l'homogénéisation des conditions offertes et l’interpénétration des marchés.</w:t>
      </w:r>
    </w:p>
    <w:p w:rsidR="002F0755" w:rsidRPr="00AD1D78" w:rsidRDefault="002F0755" w:rsidP="002F0755">
      <w:pPr>
        <w:spacing w:before="120" w:after="120"/>
        <w:jc w:val="both"/>
      </w:pPr>
      <w:r w:rsidRPr="00AD1D78">
        <w:rPr>
          <w:lang w:eastAsia="fr-FR" w:bidi="fr-FR"/>
        </w:rPr>
        <w:t xml:space="preserve">La taille du marché pour ces nouveaux instruments financiers ne doit pas être sous-estimée. Ainsi, selon la BRI, le volume moyen des </w:t>
      </w:r>
      <w:r w:rsidRPr="00AD1D78">
        <w:rPr>
          <w:lang w:eastAsia="fr-FR" w:bidi="fr-FR"/>
        </w:rPr>
        <w:lastRenderedPageBreak/>
        <w:t>opérations quotidiennes sur les contrats sur le dépôt à trois mois en eurodollars atteigna</w:t>
      </w:r>
      <w:r>
        <w:rPr>
          <w:lang w:eastAsia="fr-FR" w:bidi="fr-FR"/>
        </w:rPr>
        <w:t>it, en 1989, 185 milliards de $ </w:t>
      </w:r>
      <w:r w:rsidRPr="00AD1D78">
        <w:rPr>
          <w:lang w:eastAsia="fr-FR" w:bidi="fr-FR"/>
        </w:rPr>
        <w:t xml:space="preserve">US, dont 160 aux </w:t>
      </w:r>
      <w:r>
        <w:rPr>
          <w:lang w:eastAsia="fr-FR" w:bidi="fr-FR"/>
        </w:rPr>
        <w:t>Ét</w:t>
      </w:r>
      <w:r w:rsidRPr="00AD1D78">
        <w:rPr>
          <w:lang w:eastAsia="fr-FR" w:bidi="fr-FR"/>
        </w:rPr>
        <w:t>ats-Unis même. Le contrat euro-yen a enregistré un volume journ</w:t>
      </w:r>
      <w:r w:rsidRPr="00AD1D78">
        <w:rPr>
          <w:lang w:eastAsia="fr-FR" w:bidi="fr-FR"/>
        </w:rPr>
        <w:t>a</w:t>
      </w:r>
      <w:r w:rsidRPr="00AD1D78">
        <w:rPr>
          <w:lang w:eastAsia="fr-FR" w:bidi="fr-FR"/>
        </w:rPr>
        <w:t>lier moyen équival</w:t>
      </w:r>
      <w:r>
        <w:rPr>
          <w:lang w:eastAsia="fr-FR" w:bidi="fr-FR"/>
        </w:rPr>
        <w:t>ent à plus de 25 milliards de $ </w:t>
      </w:r>
      <w:r w:rsidRPr="00AD1D78">
        <w:rPr>
          <w:lang w:eastAsia="fr-FR" w:bidi="fr-FR"/>
        </w:rPr>
        <w:t>U.S. pour les deux premiers mois de 1990. Les contrats d’échange de taux d’intérêt et de devises avaient, respectivement, un encours de plus de 1 000 mil</w:t>
      </w:r>
      <w:r>
        <w:rPr>
          <w:lang w:eastAsia="fr-FR" w:bidi="fr-FR"/>
        </w:rPr>
        <w:t>liards et de 300 milliards de $ </w:t>
      </w:r>
      <w:r w:rsidRPr="00AD1D78">
        <w:rPr>
          <w:lang w:eastAsia="fr-FR" w:bidi="fr-FR"/>
        </w:rPr>
        <w:t xml:space="preserve">US à la fin de 1988. Les options de devises en avril 1989 produisaient un volume </w:t>
      </w:r>
      <w:r>
        <w:rPr>
          <w:lang w:eastAsia="fr-FR" w:bidi="fr-FR"/>
        </w:rPr>
        <w:t>journalier de 22 milliards de $ </w:t>
      </w:r>
      <w:r w:rsidRPr="00AD1D78">
        <w:rPr>
          <w:lang w:eastAsia="fr-FR" w:bidi="fr-FR"/>
        </w:rPr>
        <w:t>US (BRI, 1990, 163-169). Les banques ont donc dû s'adapter à des cha</w:t>
      </w:r>
      <w:r w:rsidRPr="00AD1D78">
        <w:rPr>
          <w:lang w:eastAsia="fr-FR" w:bidi="fr-FR"/>
        </w:rPr>
        <w:t>n</w:t>
      </w:r>
      <w:r w:rsidRPr="00AD1D78">
        <w:rPr>
          <w:lang w:eastAsia="fr-FR" w:bidi="fr-FR"/>
        </w:rPr>
        <w:t>gements profonds, aussi bien dans la forme que dans la qualité des instruments financiers mis à la disposition des acteurs sur le marché.</w:t>
      </w:r>
    </w:p>
    <w:p w:rsidR="002F0755" w:rsidRPr="00AD1D78" w:rsidRDefault="002F0755" w:rsidP="002F0755">
      <w:pPr>
        <w:spacing w:before="120" w:after="120"/>
        <w:jc w:val="both"/>
      </w:pPr>
      <w:r w:rsidRPr="00AD1D78">
        <w:t>[230]</w:t>
      </w:r>
    </w:p>
    <w:p w:rsidR="002F0755" w:rsidRPr="00AD1D78" w:rsidRDefault="002F0755" w:rsidP="002F0755">
      <w:pPr>
        <w:spacing w:before="120" w:after="120"/>
        <w:jc w:val="both"/>
      </w:pPr>
    </w:p>
    <w:p w:rsidR="002F0755" w:rsidRPr="00AD1D78" w:rsidRDefault="002F0755" w:rsidP="002F0755">
      <w:pPr>
        <w:pStyle w:val="b"/>
      </w:pPr>
      <w:r w:rsidRPr="00AD1D78">
        <w:rPr>
          <w:lang w:eastAsia="fr-FR" w:bidi="fr-FR"/>
        </w:rPr>
        <w:t>Les effets sur les banques</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La marchéisation de l'intermédiation financière a modifié la nature des opérations bancaires et leur position dans le système financier. Les banques ne sont plus autant qu'avant des établissements bien à part et uniques en leur genre. Comme le niveau des encaisses de tra</w:t>
      </w:r>
      <w:r w:rsidRPr="00AD1D78">
        <w:rPr>
          <w:lang w:eastAsia="fr-FR" w:bidi="fr-FR"/>
        </w:rPr>
        <w:t>n</w:t>
      </w:r>
      <w:r w:rsidRPr="00AD1D78">
        <w:rPr>
          <w:lang w:eastAsia="fr-FR" w:bidi="fr-FR"/>
        </w:rPr>
        <w:t>sactions et les dépôts d'épargne n'étaient pas très sensibles à de faibles variations des rendements, les banques disposaient en effet de re</w:t>
      </w:r>
      <w:r w:rsidRPr="00AD1D78">
        <w:rPr>
          <w:lang w:eastAsia="fr-FR" w:bidi="fr-FR"/>
        </w:rPr>
        <w:t>s</w:t>
      </w:r>
      <w:r w:rsidRPr="00AD1D78">
        <w:rPr>
          <w:lang w:eastAsia="fr-FR" w:bidi="fr-FR"/>
        </w:rPr>
        <w:t>sources assez stables et pouvaient prévoir l'importance des retraits de manière assez précise. À mesure que la marchéisation a progressé, elles ont dû s'employer activement à trouver des fonds et sont dev</w:t>
      </w:r>
      <w:r w:rsidRPr="00AD1D78">
        <w:rPr>
          <w:lang w:eastAsia="fr-FR" w:bidi="fr-FR"/>
        </w:rPr>
        <w:t>e</w:t>
      </w:r>
      <w:r w:rsidRPr="00AD1D78">
        <w:rPr>
          <w:lang w:eastAsia="fr-FR" w:bidi="fr-FR"/>
        </w:rPr>
        <w:t>nues plus intégrées au reste du système financier. Les coûts des re</w:t>
      </w:r>
      <w:r w:rsidRPr="00AD1D78">
        <w:rPr>
          <w:lang w:eastAsia="fr-FR" w:bidi="fr-FR"/>
        </w:rPr>
        <w:t>s</w:t>
      </w:r>
      <w:r w:rsidRPr="00AD1D78">
        <w:rPr>
          <w:lang w:eastAsia="fr-FR" w:bidi="fr-FR"/>
        </w:rPr>
        <w:t>sources des banques sont devenus aussi plus sensibles au marché et l’écart entre les prix de demande et les prix d'offre s'est réduit.</w:t>
      </w:r>
    </w:p>
    <w:p w:rsidR="002F0755" w:rsidRPr="00AD1D78" w:rsidRDefault="002F0755" w:rsidP="002F0755">
      <w:pPr>
        <w:spacing w:before="120" w:after="120"/>
        <w:jc w:val="both"/>
      </w:pPr>
      <w:r w:rsidRPr="00AD1D78">
        <w:rPr>
          <w:lang w:eastAsia="fr-FR" w:bidi="fr-FR"/>
        </w:rPr>
        <w:t>Avant la marchéisation des activités bancaires, la liquidité était fondée sur la non-synchronisation des paiements entre les dépôts et les crédits. L'évaluation par les banques des échéances et des coûts était relativement prévisible, donc à risque réduit. Avec la marchéisation, les coûts des ressources des banques sont devenus plus sensibles au marché, plus aléatoires, alors que les revenus de placements, soumis à des taux d'intérêt variables, sont eux aussi moins certains. Nous assi</w:t>
      </w:r>
      <w:r w:rsidRPr="00AD1D78">
        <w:rPr>
          <w:lang w:eastAsia="fr-FR" w:bidi="fr-FR"/>
        </w:rPr>
        <w:t>s</w:t>
      </w:r>
      <w:r w:rsidRPr="00AD1D78">
        <w:rPr>
          <w:lang w:eastAsia="fr-FR" w:bidi="fr-FR"/>
        </w:rPr>
        <w:t>tons dorénavant à une globalisation et à un décloisonnement de l'act</w:t>
      </w:r>
      <w:r w:rsidRPr="00AD1D78">
        <w:rPr>
          <w:lang w:eastAsia="fr-FR" w:bidi="fr-FR"/>
        </w:rPr>
        <w:t>i</w:t>
      </w:r>
      <w:r w:rsidRPr="00AD1D78">
        <w:rPr>
          <w:lang w:eastAsia="fr-FR" w:bidi="fr-FR"/>
        </w:rPr>
        <w:t xml:space="preserve">vité financière. Cette situation entraîne une plus grande concurrence </w:t>
      </w:r>
      <w:r w:rsidRPr="00AD1D78">
        <w:rPr>
          <w:lang w:eastAsia="fr-FR" w:bidi="fr-FR"/>
        </w:rPr>
        <w:lastRenderedPageBreak/>
        <w:t>sur les marchés, ce qui se traduit par une liquidité accrue des actifs, mais aussi, dans le cadre du système de taux d'intérêt variables, par des changements dans les conditions des contrats chaque fois que les taux d'intérêt se modifient. En fait, c'est la trésorerie de tous les agents, et non pas simplement celles des nouveaux emprunteurs ou prêteurs, qui se trouve aussi affectée, directement et immédiatement. Les moindres mouvements affectent la stabilité des marchés.</w:t>
      </w:r>
    </w:p>
    <w:p w:rsidR="002F0755" w:rsidRPr="00AD1D78" w:rsidRDefault="002F0755" w:rsidP="002F0755">
      <w:pPr>
        <w:spacing w:before="120" w:after="120"/>
        <w:jc w:val="both"/>
        <w:rPr>
          <w:lang w:eastAsia="fr-FR" w:bidi="fr-FR"/>
        </w:rPr>
      </w:pPr>
    </w:p>
    <w:p w:rsidR="002F0755" w:rsidRPr="00AD1D78" w:rsidRDefault="002F0755" w:rsidP="002F0755">
      <w:pPr>
        <w:pStyle w:val="b"/>
      </w:pPr>
      <w:r w:rsidRPr="00AD1D78">
        <w:rPr>
          <w:lang w:eastAsia="fr-FR" w:bidi="fr-FR"/>
        </w:rPr>
        <w:t>Un risque généralisé croissant</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Les années 60 ont vu, comme nous l'avons dit, se développer un marché financier international de type classique</w:t>
      </w:r>
      <w:r w:rsidRPr="00AD1D78">
        <w:t> ;</w:t>
      </w:r>
      <w:r w:rsidRPr="00AD1D78">
        <w:rPr>
          <w:lang w:eastAsia="fr-FR" w:bidi="fr-FR"/>
        </w:rPr>
        <w:t xml:space="preserve"> les années 70 ont été marquées par le transfert du risque des créditeurs aux débiteurs, donc par la vulnérabilité des emprunteurs face aux conditions du marché</w:t>
      </w:r>
      <w:r w:rsidRPr="00AD1D78">
        <w:t> ;</w:t>
      </w:r>
      <w:r w:rsidRPr="00AD1D78">
        <w:rPr>
          <w:lang w:eastAsia="fr-FR" w:bidi="fr-FR"/>
        </w:rPr>
        <w:t xml:space="preserve"> les années 80, elles, ont été marquées par la grande fluidité des sou</w:t>
      </w:r>
      <w:r w:rsidRPr="00AD1D78">
        <w:rPr>
          <w:lang w:eastAsia="fr-FR" w:bidi="fr-FR"/>
        </w:rPr>
        <w:t>r</w:t>
      </w:r>
      <w:r w:rsidRPr="00AD1D78">
        <w:rPr>
          <w:lang w:eastAsia="fr-FR" w:bidi="fr-FR"/>
        </w:rPr>
        <w:t>ces de liquidités. Cette fois, la vulnérabilité n'est pas du côté de l'e</w:t>
      </w:r>
      <w:r w:rsidRPr="00AD1D78">
        <w:rPr>
          <w:lang w:eastAsia="fr-FR" w:bidi="fr-FR"/>
        </w:rPr>
        <w:t>m</w:t>
      </w:r>
      <w:r w:rsidRPr="00AD1D78">
        <w:rPr>
          <w:lang w:eastAsia="fr-FR" w:bidi="fr-FR"/>
        </w:rPr>
        <w:t>prunteur mais du côté des institutions financières.</w:t>
      </w:r>
    </w:p>
    <w:p w:rsidR="002F0755" w:rsidRPr="00AD1D78" w:rsidRDefault="002F0755" w:rsidP="002F0755">
      <w:pPr>
        <w:spacing w:before="120" w:after="120"/>
        <w:jc w:val="both"/>
      </w:pPr>
      <w:r w:rsidRPr="00AD1D78">
        <w:t>[231]</w:t>
      </w:r>
    </w:p>
    <w:p w:rsidR="002F0755" w:rsidRPr="00AD1D78" w:rsidRDefault="002F0755" w:rsidP="002F0755">
      <w:pPr>
        <w:spacing w:before="120" w:after="120"/>
        <w:jc w:val="both"/>
      </w:pPr>
      <w:r w:rsidRPr="00AD1D78">
        <w:rPr>
          <w:lang w:eastAsia="fr-FR" w:bidi="fr-FR"/>
        </w:rPr>
        <w:t>Après que les sources de liquidité des emprunteurs se soient av</w:t>
      </w:r>
      <w:r w:rsidRPr="00AD1D78">
        <w:rPr>
          <w:lang w:eastAsia="fr-FR" w:bidi="fr-FR"/>
        </w:rPr>
        <w:t>é</w:t>
      </w:r>
      <w:r w:rsidRPr="00AD1D78">
        <w:rPr>
          <w:lang w:eastAsia="fr-FR" w:bidi="fr-FR"/>
        </w:rPr>
        <w:t>rées plus difficiles, c’est maintenant celles des prêteurs qui deviennent moins prévisibles. Globalement, les bilans se fragilisent. Comme l'écrira Jean-Claude Paye, secrétaire général de l'OCDE, dans sa pr</w:t>
      </w:r>
      <w:r w:rsidRPr="00AD1D78">
        <w:rPr>
          <w:lang w:eastAsia="fr-FR" w:bidi="fr-FR"/>
        </w:rPr>
        <w:t>é</w:t>
      </w:r>
      <w:r w:rsidRPr="00AD1D78">
        <w:rPr>
          <w:lang w:eastAsia="fr-FR" w:bidi="fr-FR"/>
        </w:rPr>
        <w:t>face à une étude sur les nouveaux instruments financiers</w:t>
      </w:r>
      <w:r w:rsidRPr="00AD1D78">
        <w:t> :</w:t>
      </w:r>
    </w:p>
    <w:p w:rsidR="002F0755" w:rsidRDefault="002F0755" w:rsidP="002F0755">
      <w:pPr>
        <w:pStyle w:val="Grillecouleur-Accent1"/>
        <w:rPr>
          <w:lang w:eastAsia="fr-FR" w:bidi="fr-FR"/>
        </w:rPr>
      </w:pPr>
    </w:p>
    <w:p w:rsidR="002F0755" w:rsidRDefault="002F0755" w:rsidP="002F0755">
      <w:pPr>
        <w:pStyle w:val="Grillecouleur-Accent1"/>
        <w:rPr>
          <w:lang w:eastAsia="fr-FR" w:bidi="fr-FR"/>
        </w:rPr>
      </w:pPr>
      <w:r w:rsidRPr="00AD1D78">
        <w:rPr>
          <w:lang w:eastAsia="fr-FR" w:bidi="fr-FR"/>
        </w:rPr>
        <w:t>Les nouveaux instruments financiers [...] présentent de nombreux avantages pour les opérateurs [...] Mais, en même temps, ces instr</w:t>
      </w:r>
      <w:r w:rsidRPr="00AD1D78">
        <w:rPr>
          <w:lang w:eastAsia="fr-FR" w:bidi="fr-FR"/>
        </w:rPr>
        <w:t>u</w:t>
      </w:r>
      <w:r w:rsidRPr="00AD1D78">
        <w:rPr>
          <w:lang w:eastAsia="fr-FR" w:bidi="fr-FR"/>
        </w:rPr>
        <w:t>ments sont eux-mêmes porteurs de risques</w:t>
      </w:r>
      <w:r w:rsidRPr="00AD1D78">
        <w:t> :</w:t>
      </w:r>
      <w:r w:rsidRPr="00AD1D78">
        <w:rPr>
          <w:lang w:eastAsia="fr-FR" w:bidi="fr-FR"/>
        </w:rPr>
        <w:t xml:space="preserve"> risque de défaillance de la contrepa</w:t>
      </w:r>
      <w:r w:rsidRPr="00AD1D78">
        <w:rPr>
          <w:lang w:eastAsia="fr-FR" w:bidi="fr-FR"/>
        </w:rPr>
        <w:t>r</w:t>
      </w:r>
      <w:r w:rsidRPr="00AD1D78">
        <w:rPr>
          <w:lang w:eastAsia="fr-FR" w:bidi="fr-FR"/>
        </w:rPr>
        <w:t>tie, risque de liquidité et risques liés aux taux d'intérêt et de change. Ces risques, bien qu'ils puissent avoir des répercussions importantes sur les r</w:t>
      </w:r>
      <w:r w:rsidRPr="00AD1D78">
        <w:rPr>
          <w:lang w:eastAsia="fr-FR" w:bidi="fr-FR"/>
        </w:rPr>
        <w:t>é</w:t>
      </w:r>
      <w:r w:rsidRPr="00AD1D78">
        <w:rPr>
          <w:lang w:eastAsia="fr-FR" w:bidi="fr-FR"/>
        </w:rPr>
        <w:t>sultats et la situation financière des entreprises, n'apparaissent souvent pas dans leurs états financiers. (OCDE, 1988, 3)</w:t>
      </w:r>
    </w:p>
    <w:p w:rsidR="002F0755" w:rsidRPr="00AD1D78" w:rsidRDefault="002F0755" w:rsidP="002F0755">
      <w:pPr>
        <w:pStyle w:val="Grillecouleur-Accent1"/>
      </w:pPr>
    </w:p>
    <w:p w:rsidR="002F0755" w:rsidRPr="00AD1D78" w:rsidRDefault="002F0755" w:rsidP="002F0755">
      <w:pPr>
        <w:spacing w:before="120" w:after="120"/>
        <w:jc w:val="both"/>
      </w:pPr>
      <w:r w:rsidRPr="00AD1D78">
        <w:rPr>
          <w:lang w:eastAsia="fr-FR" w:bidi="fr-FR"/>
        </w:rPr>
        <w:t>Tout se passe donc comme si la complexification des échéances réalisées avait entraîné une fragilité plus grande du système en lui fa</w:t>
      </w:r>
      <w:r w:rsidRPr="00AD1D78">
        <w:rPr>
          <w:lang w:eastAsia="fr-FR" w:bidi="fr-FR"/>
        </w:rPr>
        <w:t>i</w:t>
      </w:r>
      <w:r w:rsidRPr="00AD1D78">
        <w:rPr>
          <w:lang w:eastAsia="fr-FR" w:bidi="fr-FR"/>
        </w:rPr>
        <w:t>sant courir un risque croissant sans que l'on puisse percevoir clair</w:t>
      </w:r>
      <w:r w:rsidRPr="00AD1D78">
        <w:rPr>
          <w:lang w:eastAsia="fr-FR" w:bidi="fr-FR"/>
        </w:rPr>
        <w:t>e</w:t>
      </w:r>
      <w:r w:rsidRPr="00AD1D78">
        <w:rPr>
          <w:lang w:eastAsia="fr-FR" w:bidi="fr-FR"/>
        </w:rPr>
        <w:t>ment l'état de la situation au niveau des institutions financières elles-mêmes, vu qu</w:t>
      </w:r>
      <w:r>
        <w:rPr>
          <w:lang w:eastAsia="fr-FR" w:bidi="fr-FR"/>
        </w:rPr>
        <w:t>’e</w:t>
      </w:r>
      <w:r w:rsidRPr="00AD1D78">
        <w:rPr>
          <w:lang w:eastAsia="fr-FR" w:bidi="fr-FR"/>
        </w:rPr>
        <w:t>lles sont hors de contrôle.</w:t>
      </w:r>
    </w:p>
    <w:p w:rsidR="002F0755" w:rsidRPr="00AD1D78" w:rsidRDefault="002F0755" w:rsidP="002F0755">
      <w:pPr>
        <w:spacing w:before="120" w:after="120"/>
        <w:jc w:val="both"/>
      </w:pPr>
      <w:r w:rsidRPr="00AD1D78">
        <w:rPr>
          <w:lang w:eastAsia="fr-FR" w:bidi="fr-FR"/>
        </w:rPr>
        <w:t>Rousseau (1985) a tenté de définir la notion de risque croissant et de l'appliquer à l'activité bancaire. Cette notion de risque croissant avait déjà été élaborée par Kalecki (1937</w:t>
      </w:r>
      <w:r>
        <w:rPr>
          <w:lang w:eastAsia="fr-FR" w:bidi="fr-FR"/>
        </w:rPr>
        <w:t>) au niveau de la firme, celui-</w:t>
      </w:r>
      <w:r w:rsidRPr="00AD1D78">
        <w:rPr>
          <w:lang w:eastAsia="fr-FR" w:bidi="fr-FR"/>
        </w:rPr>
        <w:t>ci avançant l’hypothèse qu'il y aurait une liaison entre la taille d'un investissement et le risque relatif au rendement attendu</w:t>
      </w:r>
      <w:r w:rsidRPr="00AD1D78">
        <w:t> ;</w:t>
      </w:r>
      <w:r w:rsidRPr="00AD1D78">
        <w:rPr>
          <w:lang w:eastAsia="fr-FR" w:bidi="fr-FR"/>
        </w:rPr>
        <w:t xml:space="preserve"> le risque augmenterait avec la taille de l'investissement, plus précisément le risque marginal serait une fonction croissante de l'investissement. En remplaçant le mot investissement par variation de l'encours du crédit, ce principe peut s'étendre à l’activité bancaire.</w:t>
      </w:r>
    </w:p>
    <w:p w:rsidR="002F0755" w:rsidRPr="00AD1D78" w:rsidRDefault="002F0755" w:rsidP="002F0755">
      <w:pPr>
        <w:spacing w:before="120" w:after="120"/>
        <w:jc w:val="both"/>
      </w:pPr>
      <w:r w:rsidRPr="00AD1D78">
        <w:rPr>
          <w:lang w:eastAsia="fr-FR" w:bidi="fr-FR"/>
        </w:rPr>
        <w:t>Il apparaît en effet clairement que le développement du marché bancaire international a été réalisé sans que chaque institution ne s'i</w:t>
      </w:r>
      <w:r w:rsidRPr="00AD1D78">
        <w:rPr>
          <w:lang w:eastAsia="fr-FR" w:bidi="fr-FR"/>
        </w:rPr>
        <w:t>n</w:t>
      </w:r>
      <w:r w:rsidRPr="00AD1D78">
        <w:rPr>
          <w:lang w:eastAsia="fr-FR" w:bidi="fr-FR"/>
        </w:rPr>
        <w:t>quiète individuellement du risque que ses prêts pouvaient faire courir à l'ensemble du système. Il faut ajouter à cela que la longueur des chaînes de transaction ne facilite pas ce genre de prévision. Mais, s</w:t>
      </w:r>
      <w:r w:rsidRPr="00AD1D78">
        <w:rPr>
          <w:lang w:eastAsia="fr-FR" w:bidi="fr-FR"/>
        </w:rPr>
        <w:t>i</w:t>
      </w:r>
      <w:r w:rsidRPr="00AD1D78">
        <w:rPr>
          <w:lang w:eastAsia="fr-FR" w:bidi="fr-FR"/>
        </w:rPr>
        <w:t>multanément, la longueur de ces chaînes rend le système plus fr</w:t>
      </w:r>
      <w:r w:rsidRPr="00AD1D78">
        <w:rPr>
          <w:lang w:eastAsia="fr-FR" w:bidi="fr-FR"/>
        </w:rPr>
        <w:t>a</w:t>
      </w:r>
      <w:r w:rsidRPr="00AD1D78">
        <w:rPr>
          <w:lang w:eastAsia="fr-FR" w:bidi="fr-FR"/>
        </w:rPr>
        <w:t>gile, plus nombreuses étant alors les banques qui peuvent être affe</w:t>
      </w:r>
      <w:r w:rsidRPr="00AD1D78">
        <w:rPr>
          <w:lang w:eastAsia="fr-FR" w:bidi="fr-FR"/>
        </w:rPr>
        <w:t>c</w:t>
      </w:r>
      <w:r w:rsidRPr="00AD1D78">
        <w:rPr>
          <w:lang w:eastAsia="fr-FR" w:bidi="fr-FR"/>
        </w:rPr>
        <w:t>tées par la défaillance de l'une d'entre elles. Sans aller jusqu'au cas de faillite, une crise de liquidité peut voir ses conséquences amplifiées par l'i</w:t>
      </w:r>
      <w:r w:rsidRPr="00AD1D78">
        <w:rPr>
          <w:lang w:eastAsia="fr-FR" w:bidi="fr-FR"/>
        </w:rPr>
        <w:t>n</w:t>
      </w:r>
      <w:r w:rsidRPr="00AD1D78">
        <w:rPr>
          <w:lang w:eastAsia="fr-FR" w:bidi="fr-FR"/>
        </w:rPr>
        <w:t>terdépendance des institutions participant au système bancaire intern</w:t>
      </w:r>
      <w:r w:rsidRPr="00AD1D78">
        <w:rPr>
          <w:lang w:eastAsia="fr-FR" w:bidi="fr-FR"/>
        </w:rPr>
        <w:t>a</w:t>
      </w:r>
      <w:r w:rsidRPr="00AD1D78">
        <w:rPr>
          <w:lang w:eastAsia="fr-FR" w:bidi="fr-FR"/>
        </w:rPr>
        <w:t>tional (Rousseau, 1985, 54).</w:t>
      </w:r>
    </w:p>
    <w:p w:rsidR="002F0755" w:rsidRPr="00AD1D78" w:rsidRDefault="002F0755" w:rsidP="002F0755">
      <w:pPr>
        <w:spacing w:before="120" w:after="120"/>
        <w:jc w:val="both"/>
      </w:pPr>
      <w:r w:rsidRPr="00AD1D78">
        <w:rPr>
          <w:lang w:eastAsia="fr-FR" w:bidi="fr-FR"/>
        </w:rPr>
        <w:t>La stratégie consistant à multiplier le nombre de débiteurs pourrait paraître comme une défense contre le risque de défaillance. Mais la généralisation de ce phénomène, la marchéisation, produit l'effet</w:t>
      </w:r>
      <w:r>
        <w:rPr>
          <w:lang w:eastAsia="fr-FR" w:bidi="fr-FR"/>
        </w:rPr>
        <w:t xml:space="preserve"> </w:t>
      </w:r>
      <w:r w:rsidRPr="00AD1D78">
        <w:t>[232]</w:t>
      </w:r>
      <w:r>
        <w:t xml:space="preserve"> </w:t>
      </w:r>
      <w:r w:rsidRPr="00AD1D78">
        <w:rPr>
          <w:lang w:eastAsia="fr-FR" w:bidi="fr-FR"/>
        </w:rPr>
        <w:t>contraire en rendant permanent les risques d'illiquidité et d'insolvabil</w:t>
      </w:r>
      <w:r w:rsidRPr="00AD1D78">
        <w:rPr>
          <w:lang w:eastAsia="fr-FR" w:bidi="fr-FR"/>
        </w:rPr>
        <w:t>i</w:t>
      </w:r>
      <w:r w:rsidRPr="00AD1D78">
        <w:rPr>
          <w:lang w:eastAsia="fr-FR" w:bidi="fr-FR"/>
        </w:rPr>
        <w:t>té de l'ensemble du système. En effet, la mondialisation, ou la global</w:t>
      </w:r>
      <w:r w:rsidRPr="00AD1D78">
        <w:rPr>
          <w:lang w:eastAsia="fr-FR" w:bidi="fr-FR"/>
        </w:rPr>
        <w:t>i</w:t>
      </w:r>
      <w:r w:rsidRPr="00AD1D78">
        <w:rPr>
          <w:lang w:eastAsia="fr-FR" w:bidi="fr-FR"/>
        </w:rPr>
        <w:t>sation, des circuits monétaires et financiers permet certain</w:t>
      </w:r>
      <w:r w:rsidRPr="00AD1D78">
        <w:rPr>
          <w:lang w:eastAsia="fr-FR" w:bidi="fr-FR"/>
        </w:rPr>
        <w:t>e</w:t>
      </w:r>
      <w:r w:rsidRPr="00AD1D78">
        <w:rPr>
          <w:lang w:eastAsia="fr-FR" w:bidi="fr-FR"/>
        </w:rPr>
        <w:t>ment la transmission du risque et, à première vue, cela pourrait réduire le ri</w:t>
      </w:r>
      <w:r w:rsidRPr="00AD1D78">
        <w:rPr>
          <w:lang w:eastAsia="fr-FR" w:bidi="fr-FR"/>
        </w:rPr>
        <w:t>s</w:t>
      </w:r>
      <w:r w:rsidRPr="00AD1D78">
        <w:rPr>
          <w:lang w:eastAsia="fr-FR" w:bidi="fr-FR"/>
        </w:rPr>
        <w:t>que global en le diluant entre les différents acteurs. Le problème, c’est que la transformation qualitative des éléments du bilan, en a</w:t>
      </w:r>
      <w:r w:rsidRPr="00AD1D78">
        <w:rPr>
          <w:lang w:eastAsia="fr-FR" w:bidi="fr-FR"/>
        </w:rPr>
        <w:t>c</w:t>
      </w:r>
      <w:r w:rsidRPr="00AD1D78">
        <w:rPr>
          <w:lang w:eastAsia="fr-FR" w:bidi="fr-FR"/>
        </w:rPr>
        <w:t>croissant la variabilité du coût des ressources et du rendement des pl</w:t>
      </w:r>
      <w:r w:rsidRPr="00AD1D78">
        <w:rPr>
          <w:lang w:eastAsia="fr-FR" w:bidi="fr-FR"/>
        </w:rPr>
        <w:t>a</w:t>
      </w:r>
      <w:r w:rsidRPr="00AD1D78">
        <w:rPr>
          <w:lang w:eastAsia="fr-FR" w:bidi="fr-FR"/>
        </w:rPr>
        <w:t>cements au marché, la marchéisation, augmente le niveau de risque. De plus, comme ce processus s'accompagne également d'une croi</w:t>
      </w:r>
      <w:r w:rsidRPr="00AD1D78">
        <w:rPr>
          <w:lang w:eastAsia="fr-FR" w:bidi="fr-FR"/>
        </w:rPr>
        <w:t>s</w:t>
      </w:r>
      <w:r w:rsidRPr="00AD1D78">
        <w:rPr>
          <w:lang w:eastAsia="fr-FR" w:bidi="fr-FR"/>
        </w:rPr>
        <w:t>sance des transactions, le risque s’en trouve amplifié d'autant. Dans un contexte de taux d'intérêt variables, le risque n'est plus uniquement du côté des débiteurs, mais aussi du côté des prêteurs, comme effet r</w:t>
      </w:r>
      <w:r w:rsidRPr="00AD1D78">
        <w:rPr>
          <w:lang w:eastAsia="fr-FR" w:bidi="fr-FR"/>
        </w:rPr>
        <w:t>é</w:t>
      </w:r>
      <w:r w:rsidRPr="00AD1D78">
        <w:rPr>
          <w:lang w:eastAsia="fr-FR" w:bidi="fr-FR"/>
        </w:rPr>
        <w:t>troactif du risque des débiteurs.</w:t>
      </w:r>
    </w:p>
    <w:p w:rsidR="002F0755" w:rsidRPr="00AD1D78" w:rsidRDefault="002F0755" w:rsidP="002F0755">
      <w:pPr>
        <w:spacing w:before="120" w:after="120"/>
        <w:jc w:val="both"/>
      </w:pPr>
      <w:r w:rsidRPr="00AD1D78">
        <w:rPr>
          <w:lang w:eastAsia="fr-FR" w:bidi="fr-FR"/>
        </w:rPr>
        <w:t>La croissance phénoménale de l'activité de prêts sur les marchés internationaux nous donne un bon exemple de ce processus d'amplif</w:t>
      </w:r>
      <w:r w:rsidRPr="00AD1D78">
        <w:rPr>
          <w:lang w:eastAsia="fr-FR" w:bidi="fr-FR"/>
        </w:rPr>
        <w:t>i</w:t>
      </w:r>
      <w:r w:rsidRPr="00AD1D78">
        <w:rPr>
          <w:lang w:eastAsia="fr-FR" w:bidi="fr-FR"/>
        </w:rPr>
        <w:t>cation du risque. Les prêts ont presque quintuplé dans la dernière d</w:t>
      </w:r>
      <w:r w:rsidRPr="00AD1D78">
        <w:rPr>
          <w:lang w:eastAsia="fr-FR" w:bidi="fr-FR"/>
        </w:rPr>
        <w:t>é</w:t>
      </w:r>
      <w:r>
        <w:rPr>
          <w:lang w:eastAsia="fr-FR" w:bidi="fr-FR"/>
        </w:rPr>
        <w:t>cennie passant de 1 274,4 à 6 163,6 milliards de $ </w:t>
      </w:r>
      <w:r w:rsidRPr="00AD1D78">
        <w:rPr>
          <w:lang w:eastAsia="fr-FR" w:bidi="fr-FR"/>
        </w:rPr>
        <w:t>US, mais les opér</w:t>
      </w:r>
      <w:r w:rsidRPr="00AD1D78">
        <w:rPr>
          <w:lang w:eastAsia="fr-FR" w:bidi="fr-FR"/>
        </w:rPr>
        <w:t>a</w:t>
      </w:r>
      <w:r w:rsidRPr="00AD1D78">
        <w:rPr>
          <w:lang w:eastAsia="fr-FR" w:bidi="fr-FR"/>
        </w:rPr>
        <w:t>tions interbancaires sont les principales responsables de cette croi</w:t>
      </w:r>
      <w:r w:rsidRPr="00AD1D78">
        <w:rPr>
          <w:lang w:eastAsia="fr-FR" w:bidi="fr-FR"/>
        </w:rPr>
        <w:t>s</w:t>
      </w:r>
      <w:r w:rsidRPr="00AD1D78">
        <w:rPr>
          <w:lang w:eastAsia="fr-FR" w:bidi="fr-FR"/>
        </w:rPr>
        <w:t>sance. Elles ont été multipliées par plus de sept en 10 ans contre près de trois fois et demi</w:t>
      </w:r>
      <w:r>
        <w:rPr>
          <w:lang w:eastAsia="fr-FR" w:bidi="fr-FR"/>
        </w:rPr>
        <w:t xml:space="preserve">e </w:t>
      </w:r>
      <w:r w:rsidRPr="00AD1D78">
        <w:rPr>
          <w:lang w:eastAsia="fr-FR" w:bidi="fr-FR"/>
        </w:rPr>
        <w:t>pour les prêts nets accordés aux autres instit</w:t>
      </w:r>
      <w:r w:rsidRPr="00AD1D78">
        <w:rPr>
          <w:lang w:eastAsia="fr-FR" w:bidi="fr-FR"/>
        </w:rPr>
        <w:t>u</w:t>
      </w:r>
      <w:r w:rsidRPr="00AD1D78">
        <w:rPr>
          <w:lang w:eastAsia="fr-FR" w:bidi="fr-FR"/>
        </w:rPr>
        <w:t>tions. Aujourd'hui, sur les marchés internationaux de prêt, la grande majorité des activités sont réalisées par et pour les banques, à environ 60</w:t>
      </w:r>
      <w:r>
        <w:rPr>
          <w:lang w:eastAsia="fr-FR" w:bidi="fr-FR"/>
        </w:rPr>
        <w:t> %</w:t>
      </w:r>
      <w:r w:rsidRPr="00AD1D78">
        <w:rPr>
          <w:lang w:eastAsia="fr-FR" w:bidi="fr-FR"/>
        </w:rPr>
        <w:t>. L'imbrication des institutions prêteuses les rend de plus en plus solidaires.</w:t>
      </w:r>
    </w:p>
    <w:p w:rsidR="002F0755" w:rsidRPr="00AD1D78" w:rsidRDefault="002F0755" w:rsidP="002F0755">
      <w:pPr>
        <w:spacing w:before="120" w:after="120"/>
        <w:jc w:val="both"/>
        <w:rPr>
          <w:szCs w:val="24"/>
          <w:lang w:eastAsia="fr-FR" w:bidi="fr-FR"/>
        </w:rPr>
      </w:pPr>
    </w:p>
    <w:p w:rsidR="002F0755" w:rsidRPr="00AD1D78" w:rsidRDefault="002F0755" w:rsidP="002F0755">
      <w:pPr>
        <w:pStyle w:val="aa"/>
      </w:pPr>
      <w:r>
        <w:t>La politique monétaire</w:t>
      </w:r>
      <w:r>
        <w:br/>
      </w:r>
      <w:r w:rsidRPr="00AD1D78">
        <w:t>devant la marchéisation</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Devant la globalisation des marchés et l'importance da la transmi</w:t>
      </w:r>
      <w:r w:rsidRPr="00AD1D78">
        <w:rPr>
          <w:lang w:eastAsia="fr-FR" w:bidi="fr-FR"/>
        </w:rPr>
        <w:t>s</w:t>
      </w:r>
      <w:r w:rsidRPr="00AD1D78">
        <w:rPr>
          <w:lang w:eastAsia="fr-FR" w:bidi="fr-FR"/>
        </w:rPr>
        <w:t>sion de ces effets sur les différents pays, la politique monétaire subit des contraintes nouvelles. En effet, compte tenu de la fragilité des marges bénéficiaires des institutions financières, la fluidité des actifs et des engagements, les banques ont développé une gestion de leur portefeuille qui entraîne des flux de liquidités de plus en plus consid</w:t>
      </w:r>
      <w:r w:rsidRPr="00AD1D78">
        <w:rPr>
          <w:lang w:eastAsia="fr-FR" w:bidi="fr-FR"/>
        </w:rPr>
        <w:t>é</w:t>
      </w:r>
      <w:r w:rsidRPr="00AD1D78">
        <w:rPr>
          <w:lang w:eastAsia="fr-FR" w:bidi="fr-FR"/>
        </w:rPr>
        <w:t>rables. Pour les institutions financières, chaque titre doit donner un rendement optimal en fonction de leurs propres contraintes de liquid</w:t>
      </w:r>
      <w:r w:rsidRPr="00AD1D78">
        <w:rPr>
          <w:lang w:eastAsia="fr-FR" w:bidi="fr-FR"/>
        </w:rPr>
        <w:t>i</w:t>
      </w:r>
      <w:r w:rsidRPr="00AD1D78">
        <w:rPr>
          <w:lang w:eastAsia="fr-FR" w:bidi="fr-FR"/>
        </w:rPr>
        <w:t>tés à court terme. À court terme — le long terme n'existe plus en éc</w:t>
      </w:r>
      <w:r w:rsidRPr="00AD1D78">
        <w:rPr>
          <w:lang w:eastAsia="fr-FR" w:bidi="fr-FR"/>
        </w:rPr>
        <w:t>o</w:t>
      </w:r>
      <w:r w:rsidRPr="00AD1D78">
        <w:rPr>
          <w:lang w:eastAsia="fr-FR" w:bidi="fr-FR"/>
        </w:rPr>
        <w:t>nomie financière —, nous savons que le rendement recherché par l’investisseur international est fonction, d'une part, de l’écart entre les taux de change au comptant et les taux à terme et, d'autre part, de l'écart entre les taux d'intérêt nationaux et ceux du reste du monde. La moindre variation du rendement anticipé, par variation des taux</w:t>
      </w:r>
      <w:r>
        <w:rPr>
          <w:lang w:eastAsia="fr-FR" w:bidi="fr-FR"/>
        </w:rPr>
        <w:t xml:space="preserve"> </w:t>
      </w:r>
      <w:r w:rsidRPr="00AD1D78">
        <w:t>[233]</w:t>
      </w:r>
      <w:r>
        <w:t xml:space="preserve"> </w:t>
      </w:r>
      <w:r w:rsidRPr="00AD1D78">
        <w:rPr>
          <w:lang w:eastAsia="fr-FR" w:bidi="fr-FR"/>
        </w:rPr>
        <w:t>de change ou d'intérêt, entraîne des ajustements de portefeuille et donc des mouvements de capitaux et des opérations de change qui peuvent amener des fluctuations importantes du taux de change. D'a</w:t>
      </w:r>
      <w:r w:rsidRPr="00AD1D78">
        <w:rPr>
          <w:lang w:eastAsia="fr-FR" w:bidi="fr-FR"/>
        </w:rPr>
        <w:t>u</w:t>
      </w:r>
      <w:r w:rsidRPr="00AD1D78">
        <w:rPr>
          <w:lang w:eastAsia="fr-FR" w:bidi="fr-FR"/>
        </w:rPr>
        <w:t>tre part, compte tenu de la priorité accordée à la lutte contre l'inflation par les autorités monétaires, la stabilisation du taux de change se fera par le taux d'intérêt, celui-ci n'est plus un objectif mais un instrument de la politique monétaire utilisé pour assurer la stabilité du taux de change, gage d'un niveau des prix plus assuré. Les autres instruments class</w:t>
      </w:r>
      <w:r w:rsidRPr="00AD1D78">
        <w:rPr>
          <w:lang w:eastAsia="fr-FR" w:bidi="fr-FR"/>
        </w:rPr>
        <w:t>i</w:t>
      </w:r>
      <w:r w:rsidRPr="00AD1D78">
        <w:rPr>
          <w:lang w:eastAsia="fr-FR" w:bidi="fr-FR"/>
        </w:rPr>
        <w:t>ques sont inefficaces par rapport aux marchés fina</w:t>
      </w:r>
      <w:r w:rsidRPr="00AD1D78">
        <w:rPr>
          <w:lang w:eastAsia="fr-FR" w:bidi="fr-FR"/>
        </w:rPr>
        <w:t>n</w:t>
      </w:r>
      <w:r w:rsidRPr="00AD1D78">
        <w:rPr>
          <w:lang w:eastAsia="fr-FR" w:bidi="fr-FR"/>
        </w:rPr>
        <w:t>cier</w:t>
      </w:r>
      <w:r>
        <w:rPr>
          <w:lang w:eastAsia="fr-FR" w:bidi="fr-FR"/>
        </w:rPr>
        <w:t>s.</w:t>
      </w:r>
    </w:p>
    <w:p w:rsidR="002F0755" w:rsidRPr="00AD1D78" w:rsidRDefault="002F0755" w:rsidP="002F0755">
      <w:pPr>
        <w:spacing w:before="120" w:after="120"/>
        <w:jc w:val="both"/>
      </w:pPr>
      <w:r w:rsidRPr="00AD1D78">
        <w:rPr>
          <w:lang w:eastAsia="fr-FR" w:bidi="fr-FR"/>
        </w:rPr>
        <w:t>Dans une petite économie comme celle du Canada, cette nouvelle approche a eu pour effet d’entraîner un relèvement permanent des taux d'intérêt. Les événements des deux premiers trimestres de 1990 sont à ce sujet des plus révélateurs. Ainsi, les 11 et 18 janvier 1990, la baisse totale de 0,30</w:t>
      </w:r>
      <w:r>
        <w:rPr>
          <w:lang w:eastAsia="fr-FR" w:bidi="fr-FR"/>
        </w:rPr>
        <w:t> %</w:t>
      </w:r>
      <w:r w:rsidRPr="00AD1D78">
        <w:rPr>
          <w:lang w:eastAsia="fr-FR" w:bidi="fr-FR"/>
        </w:rPr>
        <w:t xml:space="preserve"> du taux d’escompte par rapport à celui de la semaine précédente, de 12,44</w:t>
      </w:r>
      <w:r>
        <w:rPr>
          <w:lang w:eastAsia="fr-FR" w:bidi="fr-FR"/>
        </w:rPr>
        <w:t> %</w:t>
      </w:r>
      <w:r w:rsidRPr="00AD1D78">
        <w:rPr>
          <w:lang w:eastAsia="fr-FR" w:bidi="fr-FR"/>
        </w:rPr>
        <w:t xml:space="preserve"> à 12,14</w:t>
      </w:r>
      <w:r>
        <w:rPr>
          <w:lang w:eastAsia="fr-FR" w:bidi="fr-FR"/>
        </w:rPr>
        <w:t> %</w:t>
      </w:r>
      <w:r w:rsidRPr="00AD1D78">
        <w:rPr>
          <w:lang w:eastAsia="fr-FR" w:bidi="fr-FR"/>
        </w:rPr>
        <w:t>, a entraîné une chute i</w:t>
      </w:r>
      <w:r w:rsidRPr="00AD1D78">
        <w:rPr>
          <w:lang w:eastAsia="fr-FR" w:bidi="fr-FR"/>
        </w:rPr>
        <w:t>m</w:t>
      </w:r>
      <w:r w:rsidRPr="00AD1D78">
        <w:rPr>
          <w:lang w:eastAsia="fr-FR" w:bidi="fr-FR"/>
        </w:rPr>
        <w:t>portante du taux de change du dollar canadien par rapport au dollar américain. Pour revenir, le 25 avril, à la valeur du 10 janvier, la Ba</w:t>
      </w:r>
      <w:r w:rsidRPr="00AD1D78">
        <w:rPr>
          <w:lang w:eastAsia="fr-FR" w:bidi="fr-FR"/>
        </w:rPr>
        <w:t>n</w:t>
      </w:r>
      <w:r w:rsidRPr="00AD1D78">
        <w:rPr>
          <w:lang w:eastAsia="fr-FR" w:bidi="fr-FR"/>
        </w:rPr>
        <w:t>que du Canada dû augmenter le taux d'escompte de 1,63 point à 13,77</w:t>
      </w:r>
      <w:r>
        <w:rPr>
          <w:lang w:eastAsia="fr-FR" w:bidi="fr-FR"/>
        </w:rPr>
        <w:t> %</w:t>
      </w:r>
      <w:r w:rsidRPr="00AD1D78">
        <w:rPr>
          <w:lang w:eastAsia="fr-FR" w:bidi="fr-FR"/>
        </w:rPr>
        <w:t>. Les petites économies sont beaucoup plus sensibles aux b</w:t>
      </w:r>
      <w:r w:rsidRPr="00AD1D78">
        <w:rPr>
          <w:lang w:eastAsia="fr-FR" w:bidi="fr-FR"/>
        </w:rPr>
        <w:t>e</w:t>
      </w:r>
      <w:r w:rsidRPr="00AD1D78">
        <w:rPr>
          <w:lang w:eastAsia="fr-FR" w:bidi="fr-FR"/>
        </w:rPr>
        <w:t>soins de rent</w:t>
      </w:r>
      <w:r w:rsidRPr="00AD1D78">
        <w:rPr>
          <w:lang w:eastAsia="fr-FR" w:bidi="fr-FR"/>
        </w:rPr>
        <w:t>a</w:t>
      </w:r>
      <w:r w:rsidRPr="00AD1D78">
        <w:rPr>
          <w:lang w:eastAsia="fr-FR" w:bidi="fr-FR"/>
        </w:rPr>
        <w:t>bilité engendré par le</w:t>
      </w:r>
      <w:r>
        <w:rPr>
          <w:lang w:eastAsia="fr-FR" w:bidi="fr-FR"/>
        </w:rPr>
        <w:t xml:space="preserve"> marchéisation de l'intermédia</w:t>
      </w:r>
      <w:r w:rsidRPr="00AD1D78">
        <w:rPr>
          <w:lang w:eastAsia="fr-FR" w:bidi="fr-FR"/>
        </w:rPr>
        <w:t>tion fina</w:t>
      </w:r>
      <w:r w:rsidRPr="00AD1D78">
        <w:rPr>
          <w:lang w:eastAsia="fr-FR" w:bidi="fr-FR"/>
        </w:rPr>
        <w:t>n</w:t>
      </w:r>
      <w:r w:rsidRPr="00AD1D78">
        <w:rPr>
          <w:lang w:eastAsia="fr-FR" w:bidi="fr-FR"/>
        </w:rPr>
        <w:t>cière. Ce qui nous est confirmé par la Banque du Canada elle-même</w:t>
      </w:r>
      <w:r w:rsidRPr="00AD1D78">
        <w:t> :</w:t>
      </w:r>
    </w:p>
    <w:p w:rsidR="002F0755" w:rsidRDefault="002F0755" w:rsidP="002F0755">
      <w:pPr>
        <w:pStyle w:val="Grillecouleur-Accent1"/>
        <w:rPr>
          <w:lang w:eastAsia="fr-FR" w:bidi="fr-FR"/>
        </w:rPr>
      </w:pPr>
    </w:p>
    <w:p w:rsidR="002F0755" w:rsidRDefault="002F0755" w:rsidP="002F0755">
      <w:pPr>
        <w:pStyle w:val="Grillecouleur-Accent1"/>
        <w:rPr>
          <w:lang w:eastAsia="fr-FR" w:bidi="fr-FR"/>
        </w:rPr>
      </w:pPr>
      <w:r w:rsidRPr="00AD1D78">
        <w:rPr>
          <w:lang w:eastAsia="fr-FR" w:bidi="fr-FR"/>
        </w:rPr>
        <w:t>Je ne vous apprendrai rien en vous disant que les taux d'intérêt à court terme se sont réinscrits en hausse au Canada. Ce renversement de la situ</w:t>
      </w:r>
      <w:r w:rsidRPr="00AD1D78">
        <w:rPr>
          <w:lang w:eastAsia="fr-FR" w:bidi="fr-FR"/>
        </w:rPr>
        <w:t>a</w:t>
      </w:r>
      <w:r w:rsidRPr="00AD1D78">
        <w:rPr>
          <w:lang w:eastAsia="fr-FR" w:bidi="fr-FR"/>
        </w:rPr>
        <w:t>tion est en partie imputable à la façon dont ont réagi les pa</w:t>
      </w:r>
      <w:r w:rsidRPr="00AD1D78">
        <w:rPr>
          <w:lang w:eastAsia="fr-FR" w:bidi="fr-FR"/>
        </w:rPr>
        <w:t>r</w:t>
      </w:r>
      <w:r w:rsidRPr="00AD1D78">
        <w:rPr>
          <w:lang w:eastAsia="fr-FR" w:bidi="fr-FR"/>
        </w:rPr>
        <w:t>ticipants au marché monétaire [...]. Comme on pouvait s'y attendre, étant donné l'ince</w:t>
      </w:r>
      <w:r w:rsidRPr="00AD1D78">
        <w:rPr>
          <w:lang w:eastAsia="fr-FR" w:bidi="fr-FR"/>
        </w:rPr>
        <w:t>r</w:t>
      </w:r>
      <w:r w:rsidRPr="00AD1D78">
        <w:rPr>
          <w:lang w:eastAsia="fr-FR" w:bidi="fr-FR"/>
        </w:rPr>
        <w:t>titude qui entourait l'évolution du taux de change, autrement dit la valeur future des investissements en dollars canadiens, les participants aux ma</w:t>
      </w:r>
      <w:r w:rsidRPr="00AD1D78">
        <w:rPr>
          <w:lang w:eastAsia="fr-FR" w:bidi="fr-FR"/>
        </w:rPr>
        <w:t>r</w:t>
      </w:r>
      <w:r w:rsidRPr="00AD1D78">
        <w:rPr>
          <w:lang w:eastAsia="fr-FR" w:bidi="fr-FR"/>
        </w:rPr>
        <w:t>chés monétaires se sont mis en quête de placements assortis de rendements plus élevés en guise de compens</w:t>
      </w:r>
      <w:r w:rsidRPr="00AD1D78">
        <w:rPr>
          <w:lang w:eastAsia="fr-FR" w:bidi="fr-FR"/>
        </w:rPr>
        <w:t>a</w:t>
      </w:r>
      <w:r w:rsidRPr="00AD1D78">
        <w:rPr>
          <w:lang w:eastAsia="fr-FR" w:bidi="fr-FR"/>
        </w:rPr>
        <w:t>tion pour le risque de change accru qu'ils entrevoyaient. Ce faisant, ils ont poussé à la hausse les taux d'intérêt à court terme. [...] Depuis, les taux d'intérêt sont relativement stables et le dollar canadien a regagné une bonne partie du terrain perdu. Les taux à court terme étant plus élevés qu'au début janvier, les conditions monétaires se sont légèr</w:t>
      </w:r>
      <w:r w:rsidRPr="00AD1D78">
        <w:rPr>
          <w:lang w:eastAsia="fr-FR" w:bidi="fr-FR"/>
        </w:rPr>
        <w:t>e</w:t>
      </w:r>
      <w:r w:rsidRPr="00AD1D78">
        <w:rPr>
          <w:lang w:eastAsia="fr-FR" w:bidi="fr-FR"/>
        </w:rPr>
        <w:t>ment resserrées depuis. (Banque du Canada, 1990c, 35-36)</w:t>
      </w:r>
    </w:p>
    <w:p w:rsidR="002F0755" w:rsidRPr="00AD1D78" w:rsidRDefault="002F0755" w:rsidP="002F0755">
      <w:pPr>
        <w:pStyle w:val="Grillecouleur-Accent1"/>
      </w:pPr>
    </w:p>
    <w:p w:rsidR="002F0755" w:rsidRPr="00AD1D78" w:rsidRDefault="002F0755" w:rsidP="002F0755">
      <w:pPr>
        <w:spacing w:before="120" w:after="120"/>
        <w:jc w:val="both"/>
      </w:pPr>
      <w:r w:rsidRPr="00AD1D78">
        <w:rPr>
          <w:lang w:eastAsia="fr-FR" w:bidi="fr-FR"/>
        </w:rPr>
        <w:t>Devant les signes d'atténuation des pressions de la demande, la Banque du Canada a permis, au milieu de janvier 1990, une certaine réduction des taux d’intérêt à court terme afin d'assouplir légèrement les conditions monétaires. Au même moment, le dollar canadien a</w:t>
      </w:r>
      <w:r>
        <w:rPr>
          <w:lang w:eastAsia="fr-FR" w:bidi="fr-FR"/>
        </w:rPr>
        <w:t xml:space="preserve"> </w:t>
      </w:r>
      <w:r w:rsidRPr="00AD1D78">
        <w:t>[234]</w:t>
      </w:r>
      <w:r>
        <w:t xml:space="preserve"> </w:t>
      </w:r>
      <w:r w:rsidRPr="00AD1D78">
        <w:rPr>
          <w:lang w:eastAsia="fr-FR" w:bidi="fr-FR"/>
        </w:rPr>
        <w:t>amorcé une chute d'une telle ampleur que la Banque a dû inve</w:t>
      </w:r>
      <w:r w:rsidRPr="00AD1D78">
        <w:rPr>
          <w:lang w:eastAsia="fr-FR" w:bidi="fr-FR"/>
        </w:rPr>
        <w:t>r</w:t>
      </w:r>
      <w:r w:rsidRPr="00AD1D78">
        <w:rPr>
          <w:lang w:eastAsia="fr-FR" w:bidi="fr-FR"/>
        </w:rPr>
        <w:t>ser le mouvement à la baisse des taux d’intérêt</w:t>
      </w:r>
      <w:r w:rsidRPr="00AD1D78">
        <w:t> !</w:t>
      </w:r>
      <w:r w:rsidRPr="00AD1D78">
        <w:rPr>
          <w:lang w:eastAsia="fr-FR" w:bidi="fr-FR"/>
        </w:rPr>
        <w:t xml:space="preserve"> (Banque du Canada, 1990a, 31)</w:t>
      </w:r>
    </w:p>
    <w:p w:rsidR="002F0755" w:rsidRPr="00AD1D78" w:rsidRDefault="002F0755" w:rsidP="002F0755">
      <w:pPr>
        <w:spacing w:before="120" w:after="120"/>
        <w:jc w:val="both"/>
      </w:pPr>
      <w:r w:rsidRPr="00AD1D78">
        <w:rPr>
          <w:lang w:eastAsia="fr-FR" w:bidi="fr-FR"/>
        </w:rPr>
        <w:t>Il se produit donc une sorte d'effet de</w:t>
      </w:r>
      <w:r>
        <w:rPr>
          <w:lang w:eastAsia="fr-FR" w:bidi="fr-FR"/>
        </w:rPr>
        <w:t xml:space="preserve"> levier ou de cliquet, c'est-à-</w:t>
      </w:r>
      <w:r w:rsidRPr="00AD1D78">
        <w:rPr>
          <w:lang w:eastAsia="fr-FR" w:bidi="fr-FR"/>
        </w:rPr>
        <w:t>dire que toute chute des taux d'intérêt entraîne un mouvement plus que proportionnel du taux de change. Pour rétablir le niveau du taux de change, il faut une augmentation du taux d'intérêt de façon telle qu'après réajustement celui-ci se situe à un niveau plus élevé. Le gr</w:t>
      </w:r>
      <w:r w:rsidRPr="00AD1D78">
        <w:rPr>
          <w:lang w:eastAsia="fr-FR" w:bidi="fr-FR"/>
        </w:rPr>
        <w:t>a</w:t>
      </w:r>
      <w:r w:rsidRPr="00AD1D78">
        <w:rPr>
          <w:lang w:eastAsia="fr-FR" w:bidi="fr-FR"/>
        </w:rPr>
        <w:t>phique 2 nous montre bien cette situation. Pour rétablir le taux de change du dollar canadien à un niveau dit non inflationniste, le niveau du taux d’escompte n'a cessé de croître. On le constatera aussi, un deuxième palier se dessine après la baisse du taux de change en mai 1990.</w:t>
      </w:r>
    </w:p>
    <w:p w:rsidR="002F0755" w:rsidRPr="00AD1D78" w:rsidRDefault="002F0755" w:rsidP="002F0755">
      <w:pPr>
        <w:spacing w:before="120" w:after="120"/>
        <w:jc w:val="both"/>
      </w:pPr>
      <w:r w:rsidRPr="00AD1D78">
        <w:rPr>
          <w:lang w:eastAsia="fr-FR" w:bidi="fr-FR"/>
        </w:rPr>
        <w:t>Pour assurer une stabilité du taux de change, la Banque du Canada n’a d'autre choix que d'accepter une augmentation de l'écart avec les taux d'intérêt américains. Cet écart atteindra un niveau record de +5,76</w:t>
      </w:r>
      <w:r>
        <w:rPr>
          <w:lang w:eastAsia="fr-FR" w:bidi="fr-FR"/>
        </w:rPr>
        <w:t> %</w:t>
      </w:r>
      <w:r w:rsidRPr="00AD1D78">
        <w:rPr>
          <w:lang w:eastAsia="fr-FR" w:bidi="fr-FR"/>
        </w:rPr>
        <w:t xml:space="preserve"> contre +3,91</w:t>
      </w:r>
      <w:r>
        <w:rPr>
          <w:lang w:eastAsia="fr-FR" w:bidi="fr-FR"/>
        </w:rPr>
        <w:t> %</w:t>
      </w:r>
      <w:r w:rsidRPr="00AD1D78">
        <w:rPr>
          <w:lang w:eastAsia="fr-FR" w:bidi="fr-FR"/>
        </w:rPr>
        <w:t xml:space="preserve"> en début d'année (graphique 3). En plus d'a</w:t>
      </w:r>
      <w:r w:rsidRPr="00AD1D78">
        <w:rPr>
          <w:lang w:eastAsia="fr-FR" w:bidi="fr-FR"/>
        </w:rPr>
        <w:t>s</w:t>
      </w:r>
      <w:r w:rsidRPr="00AD1D78">
        <w:rPr>
          <w:lang w:eastAsia="fr-FR" w:bidi="fr-FR"/>
        </w:rPr>
        <w:t xml:space="preserve">sister à la soumission des autorités monétaires canadiennes au </w:t>
      </w:r>
      <w:r w:rsidRPr="00AD1D78">
        <w:t>di</w:t>
      </w:r>
      <w:r w:rsidRPr="00AD1D78">
        <w:t>k</w:t>
      </w:r>
      <w:r w:rsidRPr="00AD1D78">
        <w:t>tat</w:t>
      </w:r>
      <w:r w:rsidRPr="00AD1D78">
        <w:rPr>
          <w:lang w:eastAsia="fr-FR" w:bidi="fr-FR"/>
        </w:rPr>
        <w:t xml:space="preserve"> des marchés financiers, qu</w:t>
      </w:r>
      <w:r>
        <w:rPr>
          <w:lang w:eastAsia="fr-FR" w:bidi="fr-FR"/>
        </w:rPr>
        <w:t>’</w:t>
      </w:r>
      <w:r w:rsidRPr="00AD1D78">
        <w:rPr>
          <w:lang w:eastAsia="fr-FR" w:bidi="fr-FR"/>
        </w:rPr>
        <w:t xml:space="preserve">elles peuvent difficilement contourner, ces hausses des taux d'intérêt ont eu le double effet de rendre </w:t>
      </w:r>
      <w:r w:rsidRPr="00AD1D78">
        <w:t>« </w:t>
      </w:r>
      <w:r w:rsidRPr="00AD1D78">
        <w:rPr>
          <w:lang w:eastAsia="fr-FR" w:bidi="fr-FR"/>
        </w:rPr>
        <w:t>les cond</w:t>
      </w:r>
      <w:r w:rsidRPr="00AD1D78">
        <w:rPr>
          <w:lang w:eastAsia="fr-FR" w:bidi="fr-FR"/>
        </w:rPr>
        <w:t>i</w:t>
      </w:r>
      <w:r w:rsidRPr="00AD1D78">
        <w:rPr>
          <w:lang w:eastAsia="fr-FR" w:bidi="fr-FR"/>
        </w:rPr>
        <w:t>tions monétaires</w:t>
      </w:r>
      <w:r w:rsidRPr="00AD1D78">
        <w:t> »</w:t>
      </w:r>
      <w:r w:rsidRPr="00AD1D78">
        <w:rPr>
          <w:lang w:eastAsia="fr-FR" w:bidi="fr-FR"/>
        </w:rPr>
        <w:t xml:space="preserve"> plus restrictives (Banque du Canada, 1990c, 36) et d'opérer une ponction de richesses au profit du secteur fina</w:t>
      </w:r>
      <w:r w:rsidRPr="00AD1D78">
        <w:rPr>
          <w:lang w:eastAsia="fr-FR" w:bidi="fr-FR"/>
        </w:rPr>
        <w:t>n</w:t>
      </w:r>
      <w:r w:rsidRPr="00AD1D78">
        <w:rPr>
          <w:lang w:eastAsia="fr-FR" w:bidi="fr-FR"/>
        </w:rPr>
        <w:t>cier, les taux d'intérêt réels étant plus élevés au Canada qu'aux États-Unis, et ce malgré une inflation relativement semblable</w:t>
      </w:r>
      <w:r w:rsidRPr="00AD1D78">
        <w:t> !</w:t>
      </w:r>
    </w:p>
    <w:p w:rsidR="002F0755" w:rsidRPr="00AD1D78" w:rsidRDefault="002F0755" w:rsidP="002F0755">
      <w:pPr>
        <w:spacing w:before="120" w:after="120"/>
        <w:jc w:val="both"/>
      </w:pPr>
      <w:r w:rsidRPr="00AD1D78">
        <w:rPr>
          <w:lang w:eastAsia="fr-FR" w:bidi="fr-FR"/>
        </w:rPr>
        <w:t>Pourquoi cet écart</w:t>
      </w:r>
      <w:r w:rsidRPr="00AD1D78">
        <w:t> ?</w:t>
      </w:r>
      <w:r w:rsidRPr="00AD1D78">
        <w:rPr>
          <w:lang w:eastAsia="fr-FR" w:bidi="fr-FR"/>
        </w:rPr>
        <w:t xml:space="preserve"> Comme nous l'avons dit, toute tentative pour réduire les taux d'intérêt entraîne une chute du taux de change plus que proportionnelle en raison des ajustements de portefeuille des inst</w:t>
      </w:r>
      <w:r w:rsidRPr="00AD1D78">
        <w:rPr>
          <w:lang w:eastAsia="fr-FR" w:bidi="fr-FR"/>
        </w:rPr>
        <w:t>i</w:t>
      </w:r>
      <w:r w:rsidRPr="00AD1D78">
        <w:rPr>
          <w:lang w:eastAsia="fr-FR" w:bidi="fr-FR"/>
        </w:rPr>
        <w:t>tutions financières. L'effet de levier qui s'ensuit est le produit de la politique anti-inflationniste et du maintien du taux de change qui en résulte, et cela quel que soit le taux d'intérêt. La hausse du taux d'int</w:t>
      </w:r>
      <w:r w:rsidRPr="00AD1D78">
        <w:rPr>
          <w:lang w:eastAsia="fr-FR" w:bidi="fr-FR"/>
        </w:rPr>
        <w:t>é</w:t>
      </w:r>
      <w:r w:rsidRPr="00AD1D78">
        <w:rPr>
          <w:lang w:eastAsia="fr-FR" w:bidi="fr-FR"/>
        </w:rPr>
        <w:t>rêt devient alors durable et ce dernier sera encore plus sujet aux capr</w:t>
      </w:r>
      <w:r w:rsidRPr="00AD1D78">
        <w:rPr>
          <w:lang w:eastAsia="fr-FR" w:bidi="fr-FR"/>
        </w:rPr>
        <w:t>i</w:t>
      </w:r>
      <w:r w:rsidRPr="00AD1D78">
        <w:rPr>
          <w:lang w:eastAsia="fr-FR" w:bidi="fr-FR"/>
        </w:rPr>
        <w:t>ces des marchés financiers.</w:t>
      </w:r>
    </w:p>
    <w:p w:rsidR="002F0755" w:rsidRPr="00AD1D78" w:rsidRDefault="002F0755" w:rsidP="002F0755">
      <w:pPr>
        <w:spacing w:before="120" w:after="120"/>
        <w:jc w:val="both"/>
        <w:rPr>
          <w:szCs w:val="24"/>
          <w:lang w:eastAsia="fr-FR" w:bidi="fr-FR"/>
        </w:rPr>
      </w:pPr>
    </w:p>
    <w:p w:rsidR="002F0755" w:rsidRPr="00AD1D78" w:rsidRDefault="002F0755" w:rsidP="002F0755">
      <w:pPr>
        <w:pStyle w:val="aa"/>
      </w:pPr>
      <w:r w:rsidRPr="00AD1D78">
        <w:t>Conclusion :</w:t>
      </w:r>
      <w:r>
        <w:br/>
      </w:r>
      <w:r w:rsidRPr="00AD1D78">
        <w:t>la nécessité des contrôles</w:t>
      </w:r>
    </w:p>
    <w:p w:rsidR="002F0755" w:rsidRPr="00AD1D78" w:rsidRDefault="002F0755" w:rsidP="002F0755">
      <w:pPr>
        <w:spacing w:before="120" w:after="120"/>
        <w:jc w:val="both"/>
        <w:rPr>
          <w:lang w:eastAsia="fr-FR" w:bidi="fr-FR"/>
        </w:rPr>
      </w:pPr>
    </w:p>
    <w:p w:rsidR="002F0755" w:rsidRPr="00AD1D78" w:rsidRDefault="002F0755" w:rsidP="002F0755">
      <w:pPr>
        <w:spacing w:before="120" w:after="120"/>
        <w:jc w:val="both"/>
      </w:pPr>
      <w:r w:rsidRPr="00AD1D78">
        <w:rPr>
          <w:lang w:eastAsia="fr-FR" w:bidi="fr-FR"/>
        </w:rPr>
        <w:t>L'évolution du système financier international, depuis 30 ans, se caractérise bien sûr par une expansion énorme en volume et en types d'activité, mais surtout par l'imbrication de plus en plus conséquente des acteurs. La fragilisation de l'ensemble vient de la faiblesse du sy</w:t>
      </w:r>
      <w:r w:rsidRPr="00AD1D78">
        <w:rPr>
          <w:lang w:eastAsia="fr-FR" w:bidi="fr-FR"/>
        </w:rPr>
        <w:t>s</w:t>
      </w:r>
      <w:r w:rsidRPr="00AD1D78">
        <w:rPr>
          <w:lang w:eastAsia="fr-FR" w:bidi="fr-FR"/>
        </w:rPr>
        <w:t>tème lorsqu'un de ses maillons cède, un risque qui augmente avec</w:t>
      </w:r>
      <w:r>
        <w:rPr>
          <w:lang w:eastAsia="fr-FR" w:bidi="fr-FR"/>
        </w:rPr>
        <w:t xml:space="preserve"> </w:t>
      </w:r>
      <w:r w:rsidRPr="00AD1D78">
        <w:t>[235]</w:t>
      </w:r>
      <w:r>
        <w:t xml:space="preserve"> </w:t>
      </w:r>
      <w:r w:rsidRPr="00AD1D78">
        <w:rPr>
          <w:lang w:eastAsia="fr-FR" w:bidi="fr-FR"/>
        </w:rPr>
        <w:t>la croissance de l'interdépendance. La volatilité des taux de change et des taux d'intérêt, à la fois cause et effet de la marchéis</w:t>
      </w:r>
      <w:r w:rsidRPr="00AD1D78">
        <w:rPr>
          <w:lang w:eastAsia="fr-FR" w:bidi="fr-FR"/>
        </w:rPr>
        <w:t>a</w:t>
      </w:r>
      <w:r w:rsidRPr="00AD1D78">
        <w:rPr>
          <w:lang w:eastAsia="fr-FR" w:bidi="fr-FR"/>
        </w:rPr>
        <w:t>tion, est révélatrice de cette situation. La politique monétaire, limitée à la seule variation des taux d'intérêt, loin d'atténuer le problème, l'a</w:t>
      </w:r>
      <w:r w:rsidRPr="00AD1D78">
        <w:rPr>
          <w:lang w:eastAsia="fr-FR" w:bidi="fr-FR"/>
        </w:rPr>
        <w:t>c</w:t>
      </w:r>
      <w:r w:rsidRPr="00AD1D78">
        <w:rPr>
          <w:lang w:eastAsia="fr-FR" w:bidi="fr-FR"/>
        </w:rPr>
        <w:t>centue.</w:t>
      </w:r>
    </w:p>
    <w:p w:rsidR="002F0755" w:rsidRPr="00AD1D78" w:rsidRDefault="002F0755" w:rsidP="002F0755">
      <w:pPr>
        <w:spacing w:before="120" w:after="120"/>
        <w:jc w:val="both"/>
      </w:pPr>
      <w:r w:rsidRPr="00AD1D78">
        <w:rPr>
          <w:lang w:eastAsia="fr-FR" w:bidi="fr-FR"/>
        </w:rPr>
        <w:t>L'endettement généralisé, particulièrement dans les pays industri</w:t>
      </w:r>
      <w:r w:rsidRPr="00AD1D78">
        <w:rPr>
          <w:lang w:eastAsia="fr-FR" w:bidi="fr-FR"/>
        </w:rPr>
        <w:t>a</w:t>
      </w:r>
      <w:r w:rsidRPr="00AD1D78">
        <w:rPr>
          <w:lang w:eastAsia="fr-FR" w:bidi="fr-FR"/>
        </w:rPr>
        <w:t xml:space="preserve">lisés, et la fragilité du système financier international nous révèlent une structure financière mondiale très mal en point. Déjà la faillite aux États-Unis des Caisses d'épargne et de crédit </w:t>
      </w:r>
      <w:r w:rsidRPr="00AD1D78">
        <w:t>(</w:t>
      </w:r>
      <w:r w:rsidRPr="00AD1D78">
        <w:rPr>
          <w:i/>
        </w:rPr>
        <w:t>Savings and Loan Ass</w:t>
      </w:r>
      <w:r w:rsidRPr="00AD1D78">
        <w:rPr>
          <w:i/>
        </w:rPr>
        <w:t>o</w:t>
      </w:r>
      <w:r w:rsidRPr="00AD1D78">
        <w:rPr>
          <w:i/>
        </w:rPr>
        <w:t>ciations</w:t>
      </w:r>
      <w:r>
        <w:rPr>
          <w:lang w:eastAsia="fr-FR" w:bidi="fr-FR"/>
        </w:rPr>
        <w:t>), une perte de plus de 1 </w:t>
      </w:r>
      <w:r w:rsidRPr="00AD1D78">
        <w:rPr>
          <w:lang w:eastAsia="fr-FR" w:bidi="fr-FR"/>
        </w:rPr>
        <w:t>300 milliards de dollars, soit l'équiv</w:t>
      </w:r>
      <w:r w:rsidRPr="00AD1D78">
        <w:rPr>
          <w:lang w:eastAsia="fr-FR" w:bidi="fr-FR"/>
        </w:rPr>
        <w:t>a</w:t>
      </w:r>
      <w:r w:rsidRPr="00AD1D78">
        <w:rPr>
          <w:lang w:eastAsia="fr-FR" w:bidi="fr-FR"/>
        </w:rPr>
        <w:t>lent de la dette totale du tiers-monde, aura des conséquences dramat</w:t>
      </w:r>
      <w:r w:rsidRPr="00AD1D78">
        <w:rPr>
          <w:lang w:eastAsia="fr-FR" w:bidi="fr-FR"/>
        </w:rPr>
        <w:t>i</w:t>
      </w:r>
      <w:r w:rsidRPr="00AD1D78">
        <w:rPr>
          <w:lang w:eastAsia="fr-FR" w:bidi="fr-FR"/>
        </w:rPr>
        <w:t>ques pour l'économie américaine et le reste du monde. Très sensibles aux variations des taux d'intérêt, leur bilan reposant sur des plac</w:t>
      </w:r>
      <w:r w:rsidRPr="00AD1D78">
        <w:rPr>
          <w:lang w:eastAsia="fr-FR" w:bidi="fr-FR"/>
        </w:rPr>
        <w:t>e</w:t>
      </w:r>
      <w:r w:rsidRPr="00AD1D78">
        <w:rPr>
          <w:lang w:eastAsia="fr-FR" w:bidi="fr-FR"/>
        </w:rPr>
        <w:t>ments à long terme, ces institutions ont été les victimes de la dérégl</w:t>
      </w:r>
      <w:r w:rsidRPr="00AD1D78">
        <w:rPr>
          <w:lang w:eastAsia="fr-FR" w:bidi="fr-FR"/>
        </w:rPr>
        <w:t>e</w:t>
      </w:r>
      <w:r w:rsidRPr="00AD1D78">
        <w:rPr>
          <w:lang w:eastAsia="fr-FR" w:bidi="fr-FR"/>
        </w:rPr>
        <w:t>mentation des années Reagan qui permit leur mutation d'institutions prudentes qu'elles étaient jusque-là en audacieuses opératrices sur des marchés à hauts risques. Cet exemple est-il annonciateur d'un phén</w:t>
      </w:r>
      <w:r w:rsidRPr="00AD1D78">
        <w:rPr>
          <w:lang w:eastAsia="fr-FR" w:bidi="fr-FR"/>
        </w:rPr>
        <w:t>o</w:t>
      </w:r>
      <w:r w:rsidRPr="00AD1D78">
        <w:rPr>
          <w:lang w:eastAsia="fr-FR" w:bidi="fr-FR"/>
        </w:rPr>
        <w:t>mène plus large</w:t>
      </w:r>
      <w:r w:rsidRPr="00AD1D78">
        <w:t> ?</w:t>
      </w:r>
    </w:p>
    <w:p w:rsidR="002F0755" w:rsidRPr="00AD1D78" w:rsidRDefault="002F0755" w:rsidP="002F0755">
      <w:pPr>
        <w:spacing w:before="120" w:after="120"/>
        <w:jc w:val="both"/>
      </w:pPr>
      <w:r w:rsidRPr="00AD1D78">
        <w:rPr>
          <w:lang w:eastAsia="fr-FR" w:bidi="fr-FR"/>
        </w:rPr>
        <w:t>La nécessité de contrôles s'impose. Contrôle des institutions fina</w:t>
      </w:r>
      <w:r w:rsidRPr="00AD1D78">
        <w:rPr>
          <w:lang w:eastAsia="fr-FR" w:bidi="fr-FR"/>
        </w:rPr>
        <w:t>n</w:t>
      </w:r>
      <w:r w:rsidRPr="00AD1D78">
        <w:rPr>
          <w:lang w:eastAsia="fr-FR" w:bidi="fr-FR"/>
        </w:rPr>
        <w:t>cières, d'abord par une comptabilité adaptée à leurs activités mais au</w:t>
      </w:r>
      <w:r w:rsidRPr="00AD1D78">
        <w:rPr>
          <w:lang w:eastAsia="fr-FR" w:bidi="fr-FR"/>
        </w:rPr>
        <w:t>s</w:t>
      </w:r>
      <w:r w:rsidRPr="00AD1D78">
        <w:rPr>
          <w:lang w:eastAsia="fr-FR" w:bidi="fr-FR"/>
        </w:rPr>
        <w:t>si et surtout par un retour au cloisonnement de leurs champs d'opér</w:t>
      </w:r>
      <w:r w:rsidRPr="00AD1D78">
        <w:rPr>
          <w:lang w:eastAsia="fr-FR" w:bidi="fr-FR"/>
        </w:rPr>
        <w:t>a</w:t>
      </w:r>
      <w:r w:rsidRPr="00AD1D78">
        <w:rPr>
          <w:lang w:eastAsia="fr-FR" w:bidi="fr-FR"/>
        </w:rPr>
        <w:t>tion. Contrôle aussi de la qualité de leurs prêts et de leurs achats de titres, donc également contrôle des flux financiers aussi bien au n</w:t>
      </w:r>
      <w:r w:rsidRPr="00AD1D78">
        <w:rPr>
          <w:lang w:eastAsia="fr-FR" w:bidi="fr-FR"/>
        </w:rPr>
        <w:t>i</w:t>
      </w:r>
      <w:r w:rsidRPr="00AD1D78">
        <w:rPr>
          <w:lang w:eastAsia="fr-FR" w:bidi="fr-FR"/>
        </w:rPr>
        <w:t>veau national qu'au niveau international. Contrôle enfin des activités en devises étrangères. L'absence de contrôle des flux d'investiss</w:t>
      </w:r>
      <w:r w:rsidRPr="00AD1D78">
        <w:rPr>
          <w:lang w:eastAsia="fr-FR" w:bidi="fr-FR"/>
        </w:rPr>
        <w:t>e</w:t>
      </w:r>
      <w:r w:rsidRPr="00AD1D78">
        <w:rPr>
          <w:lang w:eastAsia="fr-FR" w:bidi="fr-FR"/>
        </w:rPr>
        <w:t>ments constitue aujourd'hui un facteur grave d’instabilité pour les pays industrialisés comme cel</w:t>
      </w:r>
      <w:r>
        <w:rPr>
          <w:lang w:eastAsia="fr-FR" w:bidi="fr-FR"/>
        </w:rPr>
        <w:t>a l'est pour les pays du tiers-</w:t>
      </w:r>
      <w:r w:rsidRPr="00AD1D78">
        <w:rPr>
          <w:lang w:eastAsia="fr-FR" w:bidi="fr-FR"/>
        </w:rPr>
        <w:t>monde. Il y a urgence d'agir, quitte à aller à l’encontre des principes libéraux. Un changement radical dans la conception et la gestion du système mon</w:t>
      </w:r>
      <w:r w:rsidRPr="00AD1D78">
        <w:rPr>
          <w:lang w:eastAsia="fr-FR" w:bidi="fr-FR"/>
        </w:rPr>
        <w:t>é</w:t>
      </w:r>
      <w:r w:rsidRPr="00AD1D78">
        <w:rPr>
          <w:lang w:eastAsia="fr-FR" w:bidi="fr-FR"/>
        </w:rPr>
        <w:t>taire et financier international doit intervenir. En fait, il s'agit de tran</w:t>
      </w:r>
      <w:r w:rsidRPr="00AD1D78">
        <w:rPr>
          <w:lang w:eastAsia="fr-FR" w:bidi="fr-FR"/>
        </w:rPr>
        <w:t>s</w:t>
      </w:r>
      <w:r w:rsidRPr="00AD1D78">
        <w:rPr>
          <w:lang w:eastAsia="fr-FR" w:bidi="fr-FR"/>
        </w:rPr>
        <w:t>former un système jusqu'ici fondé sur la bilatéralité en un système qui reposerait sur une multilatéralité des monnaies, comme John Maynard Keynes le proposait à Bretton Woods à la fin de la guerre.</w:t>
      </w:r>
    </w:p>
    <w:p w:rsidR="002F0755" w:rsidRPr="00AD1D78" w:rsidRDefault="002F0755" w:rsidP="002F0755">
      <w:pPr>
        <w:spacing w:before="120" w:after="120"/>
        <w:jc w:val="both"/>
      </w:pPr>
      <w:r w:rsidRPr="00AD1D78">
        <w:rPr>
          <w:lang w:eastAsia="fr-FR" w:bidi="fr-FR"/>
        </w:rPr>
        <w:t>Keynes voulait doter l'économie internationale d'institutions mon</w:t>
      </w:r>
      <w:r w:rsidRPr="00AD1D78">
        <w:rPr>
          <w:lang w:eastAsia="fr-FR" w:bidi="fr-FR"/>
        </w:rPr>
        <w:t>é</w:t>
      </w:r>
      <w:r w:rsidRPr="00AD1D78">
        <w:rPr>
          <w:lang w:eastAsia="fr-FR" w:bidi="fr-FR"/>
        </w:rPr>
        <w:t>taires et financières pour répondre, par une offre de monnaie intern</w:t>
      </w:r>
      <w:r w:rsidRPr="00AD1D78">
        <w:rPr>
          <w:lang w:eastAsia="fr-FR" w:bidi="fr-FR"/>
        </w:rPr>
        <w:t>a</w:t>
      </w:r>
      <w:r w:rsidRPr="00AD1D78">
        <w:rPr>
          <w:lang w:eastAsia="fr-FR" w:bidi="fr-FR"/>
        </w:rPr>
        <w:t>tionale et par un contrôle des flux de capitaux, aux besoins de l’investissement et des encaisses liquides. C'était reconnaître dans l'économie internationale, comme pour les économies nationales, l'e</w:t>
      </w:r>
      <w:r w:rsidRPr="00AD1D78">
        <w:rPr>
          <w:lang w:eastAsia="fr-FR" w:bidi="fr-FR"/>
        </w:rPr>
        <w:t>x</w:t>
      </w:r>
      <w:r w:rsidRPr="00AD1D78">
        <w:rPr>
          <w:lang w:eastAsia="fr-FR" w:bidi="fr-FR"/>
        </w:rPr>
        <w:t>pression des demandes effectives des préférences pour la liquidité. Contrôle de l'offre de monnaie internationale, des prix et des stocks des matières premières, régulation conjoncturelle et aide aux pays en</w:t>
      </w:r>
      <w:r>
        <w:rPr>
          <w:lang w:eastAsia="fr-FR" w:bidi="fr-FR"/>
        </w:rPr>
        <w:t xml:space="preserve"> </w:t>
      </w:r>
      <w:r w:rsidRPr="00AD1D78">
        <w:t>[236]</w:t>
      </w:r>
      <w:r>
        <w:t xml:space="preserve"> </w:t>
      </w:r>
      <w:r w:rsidRPr="00AD1D78">
        <w:rPr>
          <w:lang w:eastAsia="fr-FR" w:bidi="fr-FR"/>
        </w:rPr>
        <w:t xml:space="preserve">développement, voilà tout un programme de </w:t>
      </w:r>
      <w:r w:rsidRPr="00AD1D78">
        <w:t>« </w:t>
      </w:r>
      <w:r w:rsidRPr="00AD1D78">
        <w:rPr>
          <w:lang w:eastAsia="fr-FR" w:bidi="fr-FR"/>
        </w:rPr>
        <w:t>gouvernement mo</w:t>
      </w:r>
      <w:r w:rsidRPr="00AD1D78">
        <w:rPr>
          <w:lang w:eastAsia="fr-FR" w:bidi="fr-FR"/>
        </w:rPr>
        <w:t>n</w:t>
      </w:r>
      <w:r w:rsidRPr="00AD1D78">
        <w:rPr>
          <w:lang w:eastAsia="fr-FR" w:bidi="fr-FR"/>
        </w:rPr>
        <w:t>dial</w:t>
      </w:r>
      <w:r w:rsidRPr="00AD1D78">
        <w:t> »</w:t>
      </w:r>
      <w:r w:rsidRPr="00AD1D78">
        <w:rPr>
          <w:lang w:eastAsia="fr-FR" w:bidi="fr-FR"/>
        </w:rPr>
        <w:t>, comme disait Keynes. (Keynes in Moggridge, 1980, vol. XXV, 168-195)</w:t>
      </w:r>
    </w:p>
    <w:p w:rsidR="002F0755" w:rsidRPr="00AD1D78" w:rsidRDefault="002F0755" w:rsidP="002F0755">
      <w:pPr>
        <w:spacing w:before="120" w:after="120"/>
        <w:jc w:val="both"/>
      </w:pPr>
      <w:r w:rsidRPr="00AD1D78">
        <w:rPr>
          <w:lang w:eastAsia="fr-FR" w:bidi="fr-FR"/>
        </w:rPr>
        <w:t>Le but de tout système monétaire international est d'assurer l'h</w:t>
      </w:r>
      <w:r w:rsidRPr="00AD1D78">
        <w:rPr>
          <w:lang w:eastAsia="fr-FR" w:bidi="fr-FR"/>
        </w:rPr>
        <w:t>o</w:t>
      </w:r>
      <w:r w:rsidRPr="00AD1D78">
        <w:rPr>
          <w:lang w:eastAsia="fr-FR" w:bidi="fr-FR"/>
        </w:rPr>
        <w:t>mogénéité, donc la convertibilité des différentes monnaies nationales entre elles. Au niveau national, la structure de paiement est dominée par le rôle de la monnaie centrale qui assure l'homogénéité des diff</w:t>
      </w:r>
      <w:r w:rsidRPr="00AD1D78">
        <w:rPr>
          <w:lang w:eastAsia="fr-FR" w:bidi="fr-FR"/>
        </w:rPr>
        <w:t>é</w:t>
      </w:r>
      <w:r w:rsidRPr="00AD1D78">
        <w:rPr>
          <w:lang w:eastAsia="fr-FR" w:bidi="fr-FR"/>
        </w:rPr>
        <w:t>rentes monnaies privées entre elles, celle des banques commerciales, en garantissant leur convertibilité et donc leur reconnaissance sociale. De même, au niveau international il doit exister une unité monétaire qui favorise la liberté, la permanence et la stabilité des paiements en permettant l'homogénéisation des devises de chaque pays. Un tel sy</w:t>
      </w:r>
      <w:r w:rsidRPr="00AD1D78">
        <w:rPr>
          <w:lang w:eastAsia="fr-FR" w:bidi="fr-FR"/>
        </w:rPr>
        <w:t>s</w:t>
      </w:r>
      <w:r w:rsidRPr="00AD1D78">
        <w:rPr>
          <w:lang w:eastAsia="fr-FR" w:bidi="fr-FR"/>
        </w:rPr>
        <w:t>tème suppose la multilatéralité des paiements à travers une unité de compte et de paiement différente de celles des acteurs qui doivent ut</w:t>
      </w:r>
      <w:r w:rsidRPr="00AD1D78">
        <w:rPr>
          <w:lang w:eastAsia="fr-FR" w:bidi="fr-FR"/>
        </w:rPr>
        <w:t>i</w:t>
      </w:r>
      <w:r w:rsidRPr="00AD1D78">
        <w:rPr>
          <w:lang w:eastAsia="fr-FR" w:bidi="fr-FR"/>
        </w:rPr>
        <w:t>liser ce processus d'homogénéisation pour garantir leur reconnaissa</w:t>
      </w:r>
      <w:r w:rsidRPr="00AD1D78">
        <w:rPr>
          <w:lang w:eastAsia="fr-FR" w:bidi="fr-FR"/>
        </w:rPr>
        <w:t>n</w:t>
      </w:r>
      <w:r w:rsidRPr="00AD1D78">
        <w:rPr>
          <w:lang w:eastAsia="fr-FR" w:bidi="fr-FR"/>
        </w:rPr>
        <w:t>ce sociale à l'échelle mondiale. La création d'une véritable mo</w:t>
      </w:r>
      <w:r w:rsidRPr="00AD1D78">
        <w:rPr>
          <w:lang w:eastAsia="fr-FR" w:bidi="fr-FR"/>
        </w:rPr>
        <w:t>n</w:t>
      </w:r>
      <w:r w:rsidRPr="00AD1D78">
        <w:rPr>
          <w:lang w:eastAsia="fr-FR" w:bidi="fr-FR"/>
        </w:rPr>
        <w:t>naie internationale distincte de toutes les monnaies nationales s’impose donc pour confirmer la multilatéralisation des règlements.</w:t>
      </w:r>
    </w:p>
    <w:p w:rsidR="002F0755" w:rsidRPr="00AD1D78" w:rsidRDefault="002F0755" w:rsidP="002F0755">
      <w:pPr>
        <w:spacing w:before="120" w:after="120"/>
        <w:jc w:val="both"/>
      </w:pPr>
      <w:r w:rsidRPr="00AD1D78">
        <w:rPr>
          <w:lang w:eastAsia="fr-FR" w:bidi="fr-FR"/>
        </w:rPr>
        <w:t>Le plan Keynes de 1943 se fondait sur cette multilatéralité des paiements, et ce contrairement à l'accord final de la conférence de Bretton Woods qui consacra la bilatéralité des paiements. Le plan v</w:t>
      </w:r>
      <w:r w:rsidRPr="00AD1D78">
        <w:rPr>
          <w:lang w:eastAsia="fr-FR" w:bidi="fr-FR"/>
        </w:rPr>
        <w:t>i</w:t>
      </w:r>
      <w:r w:rsidRPr="00AD1D78">
        <w:rPr>
          <w:lang w:eastAsia="fr-FR" w:bidi="fr-FR"/>
        </w:rPr>
        <w:t>sait précisément à éviter ce scénario, source de déséquilibres futurs (Keynes, 1943). Or, l'Accord de Bretton Woods a mis une monnaie nationale, le dollar américain, au centre du système et obligé ainsi chaque pays à définir la parité de sa monnaie par rapport au dollar des États-Unis, lui-même défini en or. De ce fait, la défense de cette parité ne se faisait que vis-à-vis du seul dollar. Il suffisait d'intervenir sur un marché unique, celui de la monnaie nationale contre le dollar des États-Unis. Le dollar devint la liquidité à détenir aussi bien pour les autorités monétaires que pour les banques commerciales. Le dollar américain, en devenant monnaie internationale, nécessitera la création d'un marché privé des dollars qui, par définition, tentera de se dév</w:t>
      </w:r>
      <w:r w:rsidRPr="00AD1D78">
        <w:rPr>
          <w:lang w:eastAsia="fr-FR" w:bidi="fr-FR"/>
        </w:rPr>
        <w:t>e</w:t>
      </w:r>
      <w:r w:rsidRPr="00AD1D78">
        <w:rPr>
          <w:lang w:eastAsia="fr-FR" w:bidi="fr-FR"/>
        </w:rPr>
        <w:t>lopper hors des contraintes légales de contrôle des liquidités imposées par l’Accord de Bretton Woods. L'euromarché induit par le système de Bretton Woods sera aussi la cause de sa destruction. Les États-Unis, par l'intermédiaire de leur système bancaire, sont devenus la banque centrale du monde. Le problème qui en résulte c'est que la pr</w:t>
      </w:r>
      <w:r w:rsidRPr="00AD1D78">
        <w:rPr>
          <w:lang w:eastAsia="fr-FR" w:bidi="fr-FR"/>
        </w:rPr>
        <w:t>i</w:t>
      </w:r>
      <w:r w:rsidRPr="00AD1D78">
        <w:rPr>
          <w:lang w:eastAsia="fr-FR" w:bidi="fr-FR"/>
        </w:rPr>
        <w:t>vatisation du processus se trouve de fait fondée sur une régulation di</w:t>
      </w:r>
      <w:r w:rsidRPr="00AD1D78">
        <w:rPr>
          <w:lang w:eastAsia="fr-FR" w:bidi="fr-FR"/>
        </w:rPr>
        <w:t>f</w:t>
      </w:r>
      <w:r w:rsidRPr="00AD1D78">
        <w:rPr>
          <w:lang w:eastAsia="fr-FR" w:bidi="fr-FR"/>
        </w:rPr>
        <w:t>férente de celle qui devrait être nécessaire à tout système monétaire, qu'il soit national ou international.</w:t>
      </w:r>
    </w:p>
    <w:p w:rsidR="002F0755" w:rsidRPr="00AD1D78" w:rsidRDefault="002F0755" w:rsidP="002F0755">
      <w:pPr>
        <w:spacing w:before="120" w:after="120"/>
        <w:jc w:val="both"/>
      </w:pPr>
      <w:r w:rsidRPr="00AD1D78">
        <w:t>[237]</w:t>
      </w:r>
    </w:p>
    <w:p w:rsidR="002F0755" w:rsidRPr="00AD1D78" w:rsidRDefault="002F0755" w:rsidP="002F0755">
      <w:pPr>
        <w:spacing w:before="120" w:after="120"/>
        <w:jc w:val="both"/>
      </w:pPr>
      <w:r w:rsidRPr="00AD1D78">
        <w:rPr>
          <w:lang w:eastAsia="fr-FR" w:bidi="fr-FR"/>
        </w:rPr>
        <w:t>La conception de John Maynard Keynes, fondée sur la multilatér</w:t>
      </w:r>
      <w:r w:rsidRPr="00AD1D78">
        <w:rPr>
          <w:lang w:eastAsia="fr-FR" w:bidi="fr-FR"/>
        </w:rPr>
        <w:t>a</w:t>
      </w:r>
      <w:r w:rsidRPr="00AD1D78">
        <w:rPr>
          <w:lang w:eastAsia="fr-FR" w:bidi="fr-FR"/>
        </w:rPr>
        <w:t>lité des paiements, est certain</w:t>
      </w:r>
      <w:r w:rsidRPr="00AD1D78">
        <w:rPr>
          <w:lang w:eastAsia="fr-FR" w:bidi="fr-FR"/>
        </w:rPr>
        <w:t>e</w:t>
      </w:r>
      <w:r w:rsidRPr="00AD1D78">
        <w:rPr>
          <w:lang w:eastAsia="fr-FR" w:bidi="fr-FR"/>
        </w:rPr>
        <w:t>ment toujours d'actualité, même dans un monde que l'on dit de pr</w:t>
      </w:r>
      <w:r w:rsidRPr="00AD1D78">
        <w:rPr>
          <w:lang w:eastAsia="fr-FR" w:bidi="fr-FR"/>
        </w:rPr>
        <w:t>i</w:t>
      </w:r>
      <w:r w:rsidRPr="00AD1D78">
        <w:rPr>
          <w:lang w:eastAsia="fr-FR" w:bidi="fr-FR"/>
        </w:rPr>
        <w:t>vatisation et de déréglementation où la socialisation des monnaies privées doit rester privée.</w:t>
      </w:r>
    </w:p>
    <w:p w:rsidR="002F0755" w:rsidRPr="00AD1D78" w:rsidRDefault="002F0755" w:rsidP="002F0755">
      <w:pPr>
        <w:spacing w:before="120" w:after="120"/>
        <w:jc w:val="both"/>
      </w:pPr>
      <w:r w:rsidRPr="00AD1D78">
        <w:t>[238]</w:t>
      </w:r>
    </w:p>
    <w:p w:rsidR="002F0755" w:rsidRPr="00AD1D78" w:rsidRDefault="002F0755" w:rsidP="002F0755">
      <w:pPr>
        <w:spacing w:before="120" w:after="120"/>
        <w:jc w:val="both"/>
      </w:pPr>
    </w:p>
    <w:p w:rsidR="002F0755" w:rsidRPr="00AD1D78" w:rsidRDefault="002F0755" w:rsidP="002F0755">
      <w:pPr>
        <w:pStyle w:val="aa"/>
      </w:pPr>
      <w:r w:rsidRPr="00AD1D78">
        <w:t>Références bibliographiques</w:t>
      </w:r>
    </w:p>
    <w:p w:rsidR="002F0755" w:rsidRPr="00AD1D78" w:rsidRDefault="002F0755" w:rsidP="002F0755">
      <w:pPr>
        <w:spacing w:before="120" w:after="120"/>
        <w:jc w:val="both"/>
        <w:rPr>
          <w:rStyle w:val="Corpsdutexte7105ptNonItalique"/>
          <w:i w:val="0"/>
          <w:iCs w:val="0"/>
        </w:rPr>
      </w:pPr>
    </w:p>
    <w:p w:rsidR="002F0755" w:rsidRPr="00AD1D78" w:rsidRDefault="002F0755" w:rsidP="002F0755">
      <w:pPr>
        <w:spacing w:before="120" w:after="120"/>
        <w:jc w:val="both"/>
        <w:rPr>
          <w:lang w:eastAsia="fr-FR" w:bidi="fr-FR"/>
        </w:rPr>
      </w:pPr>
      <w:r w:rsidRPr="00E05797">
        <w:t xml:space="preserve">BANQUE DU CANADA (1990a), </w:t>
      </w:r>
      <w:r w:rsidRPr="00E05797">
        <w:rPr>
          <w:i/>
          <w:lang w:eastAsia="fr-FR" w:bidi="fr-FR"/>
        </w:rPr>
        <w:t>Rapport du gouverneur au m</w:t>
      </w:r>
      <w:r w:rsidRPr="00E05797">
        <w:rPr>
          <w:i/>
          <w:lang w:eastAsia="fr-FR" w:bidi="fr-FR"/>
        </w:rPr>
        <w:t>i</w:t>
      </w:r>
      <w:r w:rsidRPr="00E05797">
        <w:rPr>
          <w:i/>
          <w:lang w:eastAsia="fr-FR" w:bidi="fr-FR"/>
        </w:rPr>
        <w:t>nistre des Finances et relevé de comptes pour l'année 1989</w:t>
      </w:r>
      <w:r w:rsidRPr="00AD1D78">
        <w:rPr>
          <w:lang w:eastAsia="fr-FR" w:bidi="fr-FR"/>
        </w:rPr>
        <w:t>,</w:t>
      </w:r>
      <w:r w:rsidRPr="00E05797">
        <w:t xml:space="preserve"> Ottawa.</w:t>
      </w:r>
    </w:p>
    <w:p w:rsidR="002F0755" w:rsidRPr="00AD1D78" w:rsidRDefault="002F0755" w:rsidP="002F0755">
      <w:pPr>
        <w:spacing w:before="120" w:after="120"/>
        <w:jc w:val="both"/>
        <w:rPr>
          <w:lang w:eastAsia="fr-FR" w:bidi="fr-FR"/>
        </w:rPr>
      </w:pPr>
      <w:r w:rsidRPr="00E05797">
        <w:t xml:space="preserve">BANQUE DU CANADA (1990b), </w:t>
      </w:r>
      <w:r w:rsidRPr="00E05797">
        <w:rPr>
          <w:i/>
          <w:lang w:eastAsia="fr-FR" w:bidi="fr-FR"/>
        </w:rPr>
        <w:t>Bulletin hebdomadaire de st</w:t>
      </w:r>
      <w:r w:rsidRPr="00E05797">
        <w:rPr>
          <w:i/>
          <w:lang w:eastAsia="fr-FR" w:bidi="fr-FR"/>
        </w:rPr>
        <w:t>a</w:t>
      </w:r>
      <w:r w:rsidRPr="00E05797">
        <w:rPr>
          <w:i/>
          <w:lang w:eastAsia="fr-FR" w:bidi="fr-FR"/>
        </w:rPr>
        <w:t>tistiques financières</w:t>
      </w:r>
      <w:r w:rsidRPr="00AD1D78">
        <w:rPr>
          <w:lang w:eastAsia="fr-FR" w:bidi="fr-FR"/>
        </w:rPr>
        <w:t>,</w:t>
      </w:r>
      <w:r w:rsidRPr="00E05797">
        <w:t xml:space="preserve"> Ottawa, hebdomadaire.</w:t>
      </w:r>
    </w:p>
    <w:p w:rsidR="002F0755" w:rsidRPr="00AD1D78" w:rsidRDefault="002F0755" w:rsidP="002F0755">
      <w:pPr>
        <w:spacing w:before="120" w:after="120"/>
        <w:jc w:val="both"/>
        <w:rPr>
          <w:lang w:eastAsia="fr-FR" w:bidi="fr-FR"/>
        </w:rPr>
      </w:pPr>
      <w:r w:rsidRPr="00AD1D78">
        <w:rPr>
          <w:lang w:eastAsia="fr-FR" w:bidi="fr-FR"/>
        </w:rPr>
        <w:t xml:space="preserve">BANQUE DU CANADA (1990c), </w:t>
      </w:r>
      <w:r w:rsidRPr="00E05797">
        <w:rPr>
          <w:i/>
          <w:iCs/>
        </w:rPr>
        <w:t>Revue de la Banque du Can</w:t>
      </w:r>
      <w:r w:rsidRPr="00E05797">
        <w:rPr>
          <w:i/>
          <w:iCs/>
        </w:rPr>
        <w:t>a</w:t>
      </w:r>
      <w:r w:rsidRPr="00E05797">
        <w:rPr>
          <w:i/>
          <w:iCs/>
        </w:rPr>
        <w:t>da</w:t>
      </w:r>
      <w:r w:rsidRPr="00AD1D78">
        <w:rPr>
          <w:lang w:eastAsia="fr-FR" w:bidi="fr-FR"/>
        </w:rPr>
        <w:t>, Ottawa, mensuel.</w:t>
      </w:r>
    </w:p>
    <w:p w:rsidR="002F0755" w:rsidRPr="00AD1D78" w:rsidRDefault="002F0755" w:rsidP="002F0755">
      <w:pPr>
        <w:spacing w:before="120" w:after="120"/>
        <w:jc w:val="both"/>
        <w:rPr>
          <w:lang w:eastAsia="fr-FR" w:bidi="fr-FR"/>
        </w:rPr>
      </w:pPr>
      <w:r w:rsidRPr="00E05797">
        <w:t xml:space="preserve">BRI (1986), </w:t>
      </w:r>
      <w:r w:rsidRPr="00E05797">
        <w:rPr>
          <w:i/>
          <w:lang w:eastAsia="fr-FR" w:bidi="fr-FR"/>
        </w:rPr>
        <w:t>Recent Innovations in International Banking</w:t>
      </w:r>
      <w:r w:rsidRPr="00AD1D78">
        <w:rPr>
          <w:lang w:eastAsia="fr-FR" w:bidi="fr-FR"/>
        </w:rPr>
        <w:t>,</w:t>
      </w:r>
      <w:r w:rsidRPr="00E05797">
        <w:t xml:space="preserve"> Bâle, BRI.</w:t>
      </w:r>
    </w:p>
    <w:p w:rsidR="002F0755" w:rsidRPr="00AD1D78" w:rsidRDefault="002F0755" w:rsidP="002F0755">
      <w:pPr>
        <w:spacing w:before="120" w:after="120"/>
        <w:jc w:val="both"/>
        <w:rPr>
          <w:lang w:eastAsia="fr-FR" w:bidi="fr-FR"/>
        </w:rPr>
      </w:pPr>
      <w:r w:rsidRPr="00AD1D78">
        <w:rPr>
          <w:lang w:eastAsia="fr-FR" w:bidi="fr-FR"/>
        </w:rPr>
        <w:t xml:space="preserve">BRI (1990), </w:t>
      </w:r>
      <w:r w:rsidRPr="00E05797">
        <w:rPr>
          <w:lang w:eastAsia="fr-FR" w:bidi="fr-FR"/>
        </w:rPr>
        <w:t>60e</w:t>
      </w:r>
      <w:r w:rsidRPr="00AD1D78">
        <w:rPr>
          <w:lang w:eastAsia="fr-FR" w:bidi="fr-FR"/>
        </w:rPr>
        <w:t xml:space="preserve"> </w:t>
      </w:r>
      <w:r w:rsidRPr="00E05797">
        <w:rPr>
          <w:i/>
          <w:iCs/>
        </w:rPr>
        <w:t>Rapport annuel,</w:t>
      </w:r>
      <w:r w:rsidRPr="00AD1D78">
        <w:rPr>
          <w:lang w:eastAsia="fr-FR" w:bidi="fr-FR"/>
        </w:rPr>
        <w:t xml:space="preserve"> Bâle, BRI.</w:t>
      </w:r>
    </w:p>
    <w:p w:rsidR="002F0755" w:rsidRPr="00AD1D78" w:rsidRDefault="002F0755" w:rsidP="002F0755">
      <w:pPr>
        <w:spacing w:before="120" w:after="120"/>
        <w:jc w:val="both"/>
        <w:rPr>
          <w:lang w:eastAsia="fr-FR" w:bidi="fr-FR"/>
        </w:rPr>
      </w:pPr>
      <w:r w:rsidRPr="00AD1D78">
        <w:rPr>
          <w:lang w:eastAsia="fr-FR" w:bidi="fr-FR"/>
        </w:rPr>
        <w:t xml:space="preserve">ÉLIE, B. (1989), « Le retour du contrôle des flux d'investissements internationaux : l'ombre de John Maynard Keynes », </w:t>
      </w:r>
      <w:r w:rsidRPr="00E05797">
        <w:rPr>
          <w:i/>
          <w:iCs/>
        </w:rPr>
        <w:t xml:space="preserve">Interventions économiques, </w:t>
      </w:r>
      <w:r w:rsidRPr="00AD1D78">
        <w:rPr>
          <w:lang w:eastAsia="fr-FR" w:bidi="fr-FR"/>
        </w:rPr>
        <w:t>automne-hiver, 1989-1990, n° 22-23, 81-98.</w:t>
      </w:r>
    </w:p>
    <w:p w:rsidR="002F0755" w:rsidRPr="00AD1D78" w:rsidRDefault="002F0755" w:rsidP="002F0755">
      <w:pPr>
        <w:spacing w:before="120" w:after="120"/>
        <w:jc w:val="both"/>
        <w:rPr>
          <w:lang w:eastAsia="fr-FR" w:bidi="fr-FR"/>
        </w:rPr>
      </w:pPr>
      <w:r w:rsidRPr="00AD1D78">
        <w:rPr>
          <w:lang w:eastAsia="fr-FR" w:bidi="fr-FR"/>
        </w:rPr>
        <w:t xml:space="preserve">KALECKI, M. (1937), « The Principle of Increasing Risk », </w:t>
      </w:r>
      <w:r w:rsidRPr="00E05797">
        <w:rPr>
          <w:i/>
          <w:iCs/>
        </w:rPr>
        <w:t>Ec</w:t>
      </w:r>
      <w:r w:rsidRPr="00E05797">
        <w:rPr>
          <w:i/>
          <w:iCs/>
        </w:rPr>
        <w:t>o</w:t>
      </w:r>
      <w:r w:rsidRPr="00E05797">
        <w:rPr>
          <w:i/>
          <w:iCs/>
        </w:rPr>
        <w:t xml:space="preserve">nomica, </w:t>
      </w:r>
      <w:r w:rsidRPr="00AD1D78">
        <w:rPr>
          <w:lang w:eastAsia="fr-FR" w:bidi="fr-FR"/>
        </w:rPr>
        <w:t>440-447.</w:t>
      </w:r>
    </w:p>
    <w:p w:rsidR="002F0755" w:rsidRPr="00AD1D78" w:rsidRDefault="002F0755" w:rsidP="002F0755">
      <w:pPr>
        <w:spacing w:before="120" w:after="120"/>
        <w:jc w:val="both"/>
        <w:rPr>
          <w:lang w:eastAsia="fr-FR" w:bidi="fr-FR"/>
        </w:rPr>
      </w:pPr>
      <w:r w:rsidRPr="00AD1D78">
        <w:rPr>
          <w:lang w:eastAsia="fr-FR" w:bidi="fr-FR"/>
        </w:rPr>
        <w:t xml:space="preserve">KEYNES, J. M. (1943), </w:t>
      </w:r>
      <w:r w:rsidRPr="00E05797">
        <w:rPr>
          <w:i/>
          <w:iCs/>
        </w:rPr>
        <w:t>The International Clearing Union,</w:t>
      </w:r>
      <w:r w:rsidRPr="00AD1D78">
        <w:rPr>
          <w:lang w:eastAsia="fr-FR" w:bidi="fr-FR"/>
        </w:rPr>
        <w:t xml:space="preserve"> di</w:t>
      </w:r>
      <w:r w:rsidRPr="00AD1D78">
        <w:rPr>
          <w:lang w:eastAsia="fr-FR" w:bidi="fr-FR"/>
        </w:rPr>
        <w:t>s</w:t>
      </w:r>
      <w:r w:rsidRPr="00AD1D78">
        <w:rPr>
          <w:lang w:eastAsia="fr-FR" w:bidi="fr-FR"/>
        </w:rPr>
        <w:t>cours devant les Lords, 18 mai, reproduit dans HARRIS, S.E. (1949).</w:t>
      </w:r>
    </w:p>
    <w:p w:rsidR="002F0755" w:rsidRPr="00AD1D78" w:rsidRDefault="002F0755" w:rsidP="002F0755">
      <w:pPr>
        <w:spacing w:before="120" w:after="120"/>
        <w:jc w:val="both"/>
        <w:rPr>
          <w:lang w:eastAsia="fr-FR" w:bidi="fr-FR"/>
        </w:rPr>
      </w:pPr>
      <w:r w:rsidRPr="00AD1D78">
        <w:rPr>
          <w:lang w:eastAsia="fr-FR" w:bidi="fr-FR"/>
        </w:rPr>
        <w:t xml:space="preserve">MOGGRIDGE, D. (dir.) (1980), </w:t>
      </w:r>
      <w:r w:rsidRPr="00E05797">
        <w:rPr>
          <w:i/>
          <w:iCs/>
        </w:rPr>
        <w:t>The Collected Writings of John Maynard Keynes : Activities 1940-1944 ; Shaping the Post-War World ; the Clearing Union,</w:t>
      </w:r>
      <w:r w:rsidRPr="00AD1D78">
        <w:rPr>
          <w:lang w:eastAsia="fr-FR" w:bidi="fr-FR"/>
        </w:rPr>
        <w:t xml:space="preserve"> Londres, Royal Economic Society, MacMillan-Cambridge University Press, volumes XXV et XXVI.</w:t>
      </w:r>
    </w:p>
    <w:p w:rsidR="002F0755" w:rsidRPr="00AD1D78" w:rsidRDefault="002F0755" w:rsidP="002F0755">
      <w:pPr>
        <w:spacing w:before="120" w:after="120"/>
        <w:jc w:val="both"/>
        <w:rPr>
          <w:lang w:eastAsia="fr-FR" w:bidi="fr-FR"/>
        </w:rPr>
      </w:pPr>
      <w:r w:rsidRPr="00E05797">
        <w:t xml:space="preserve">OCDE (1985), </w:t>
      </w:r>
      <w:r w:rsidRPr="00E05797">
        <w:rPr>
          <w:lang w:eastAsia="fr-FR" w:bidi="fr-FR"/>
        </w:rPr>
        <w:t>Le secteur bancaire et la politique monétaire</w:t>
      </w:r>
      <w:r w:rsidRPr="00AD1D78">
        <w:rPr>
          <w:lang w:eastAsia="fr-FR" w:bidi="fr-FR"/>
        </w:rPr>
        <w:t>,</w:t>
      </w:r>
      <w:r w:rsidRPr="00E05797">
        <w:t xml:space="preserve"> Paris, OCDE.</w:t>
      </w:r>
    </w:p>
    <w:p w:rsidR="002F0755" w:rsidRPr="00AD1D78" w:rsidRDefault="002F0755" w:rsidP="002F0755">
      <w:pPr>
        <w:spacing w:before="120" w:after="120"/>
        <w:jc w:val="both"/>
        <w:rPr>
          <w:lang w:eastAsia="fr-FR" w:bidi="fr-FR"/>
        </w:rPr>
      </w:pPr>
      <w:r w:rsidRPr="00E05797">
        <w:t xml:space="preserve">OCDE (1988), </w:t>
      </w:r>
      <w:r w:rsidRPr="00E05797">
        <w:rPr>
          <w:lang w:eastAsia="fr-FR" w:bidi="fr-FR"/>
        </w:rPr>
        <w:t>Nouveaux instruments financiers</w:t>
      </w:r>
      <w:r w:rsidRPr="00AD1D78">
        <w:rPr>
          <w:lang w:eastAsia="fr-FR" w:bidi="fr-FR"/>
        </w:rPr>
        <w:t>,</w:t>
      </w:r>
      <w:r w:rsidRPr="00E05797">
        <w:t xml:space="preserve"> Paris, OCDE.</w:t>
      </w:r>
    </w:p>
    <w:p w:rsidR="002F0755" w:rsidRPr="00AD1D78" w:rsidRDefault="002F0755" w:rsidP="002F0755">
      <w:pPr>
        <w:spacing w:before="120" w:after="120"/>
        <w:jc w:val="both"/>
        <w:rPr>
          <w:lang w:eastAsia="fr-FR" w:bidi="fr-FR"/>
        </w:rPr>
      </w:pPr>
      <w:r w:rsidRPr="00AD1D78">
        <w:rPr>
          <w:lang w:eastAsia="fr-FR" w:bidi="fr-FR"/>
        </w:rPr>
        <w:t xml:space="preserve">RÉGNIEZ, J. (1989), </w:t>
      </w:r>
      <w:r w:rsidRPr="00E05797">
        <w:rPr>
          <w:i/>
          <w:iCs/>
        </w:rPr>
        <w:t>Les nouveaux produits financiers,</w:t>
      </w:r>
      <w:r w:rsidRPr="00AD1D78">
        <w:rPr>
          <w:lang w:eastAsia="fr-FR" w:bidi="fr-FR"/>
        </w:rPr>
        <w:t xml:space="preserve"> Paris, La Découve</w:t>
      </w:r>
      <w:r w:rsidRPr="00AD1D78">
        <w:rPr>
          <w:lang w:eastAsia="fr-FR" w:bidi="fr-FR"/>
        </w:rPr>
        <w:t>r</w:t>
      </w:r>
      <w:r w:rsidRPr="00AD1D78">
        <w:rPr>
          <w:lang w:eastAsia="fr-FR" w:bidi="fr-FR"/>
        </w:rPr>
        <w:t>te.</w:t>
      </w:r>
    </w:p>
    <w:p w:rsidR="002F0755" w:rsidRPr="00AD1D78" w:rsidRDefault="002F0755" w:rsidP="002F0755">
      <w:pPr>
        <w:spacing w:before="120" w:after="120"/>
        <w:jc w:val="both"/>
        <w:rPr>
          <w:lang w:eastAsia="fr-FR" w:bidi="fr-FR"/>
        </w:rPr>
      </w:pPr>
      <w:r w:rsidRPr="00AD1D78">
        <w:rPr>
          <w:lang w:eastAsia="fr-FR" w:bidi="fr-FR"/>
        </w:rPr>
        <w:t xml:space="preserve">ROUSSEAU, J. M. (1985), « Risque croissant et endettement », </w:t>
      </w:r>
      <w:r w:rsidRPr="00E05797">
        <w:rPr>
          <w:i/>
          <w:iCs/>
        </w:rPr>
        <w:t>Économies et sociétés,</w:t>
      </w:r>
      <w:r w:rsidRPr="00AD1D78">
        <w:rPr>
          <w:lang w:eastAsia="fr-FR" w:bidi="fr-FR"/>
        </w:rPr>
        <w:t xml:space="preserve"> Paris, Cahiers de l'ISMEA, Série MO, n° 5, 53-79.</w:t>
      </w:r>
    </w:p>
    <w:p w:rsidR="002F0755" w:rsidRPr="00AD1D78" w:rsidRDefault="002F0755" w:rsidP="002F0755">
      <w:pPr>
        <w:pStyle w:val="p"/>
      </w:pPr>
      <w:r w:rsidRPr="00AD1D78">
        <w:br w:type="page"/>
        <w:t>[239]</w:t>
      </w:r>
    </w:p>
    <w:p w:rsidR="002F0755" w:rsidRPr="00AD1D78" w:rsidRDefault="002F0755" w:rsidP="002F0755">
      <w:pPr>
        <w:pStyle w:val="figst"/>
      </w:pPr>
      <w:r w:rsidRPr="00AD1D78">
        <w:t>Tableau 1</w:t>
      </w:r>
      <w:r w:rsidRPr="00AD1D78">
        <w:br/>
        <w:t>Prêts bancaires internationaux dans les années 80</w:t>
      </w:r>
      <w:r w:rsidRPr="00AD1D78">
        <w:br/>
        <w:t xml:space="preserve">(en milliards de </w:t>
      </w:r>
      <w:r>
        <w:t>$ </w:t>
      </w:r>
      <w:r w:rsidRPr="00AD1D78">
        <w:t>US)</w:t>
      </w:r>
    </w:p>
    <w:tbl>
      <w:tblPr>
        <w:tblOverlap w:val="never"/>
        <w:tblW w:w="0" w:type="auto"/>
        <w:tblInd w:w="-1520" w:type="dxa"/>
        <w:tblLayout w:type="fixed"/>
        <w:tblCellMar>
          <w:left w:w="10" w:type="dxa"/>
          <w:right w:w="10" w:type="dxa"/>
        </w:tblCellMar>
        <w:tblLook w:val="0000" w:firstRow="0" w:lastRow="0" w:firstColumn="0" w:lastColumn="0" w:noHBand="0" w:noVBand="0"/>
      </w:tblPr>
      <w:tblGrid>
        <w:gridCol w:w="3402"/>
        <w:gridCol w:w="1008"/>
        <w:gridCol w:w="1008"/>
        <w:gridCol w:w="1009"/>
        <w:gridCol w:w="1008"/>
        <w:gridCol w:w="1008"/>
        <w:gridCol w:w="1009"/>
      </w:tblGrid>
      <w:tr w:rsidR="002F0755" w:rsidRPr="00AD1D78">
        <w:tblPrEx>
          <w:tblCellMar>
            <w:top w:w="0" w:type="dxa"/>
            <w:bottom w:w="0" w:type="dxa"/>
          </w:tblCellMar>
        </w:tblPrEx>
        <w:tc>
          <w:tcPr>
            <w:tcW w:w="3402"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rPr>
                <w:sz w:val="24"/>
              </w:rPr>
            </w:pPr>
            <w:r w:rsidRPr="00AD1D78">
              <w:rPr>
                <w:sz w:val="24"/>
              </w:rPr>
              <w:t>en fin d'année</w:t>
            </w:r>
          </w:p>
        </w:tc>
        <w:tc>
          <w:tcPr>
            <w:tcW w:w="1008"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1989</w:t>
            </w:r>
          </w:p>
        </w:tc>
        <w:tc>
          <w:tcPr>
            <w:tcW w:w="1008"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1988</w:t>
            </w:r>
          </w:p>
        </w:tc>
        <w:tc>
          <w:tcPr>
            <w:tcW w:w="1009"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1986</w:t>
            </w:r>
          </w:p>
        </w:tc>
        <w:tc>
          <w:tcPr>
            <w:tcW w:w="1008"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1984</w:t>
            </w:r>
          </w:p>
        </w:tc>
        <w:tc>
          <w:tcPr>
            <w:tcW w:w="1008"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1981</w:t>
            </w:r>
          </w:p>
        </w:tc>
        <w:tc>
          <w:tcPr>
            <w:tcW w:w="1009"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rPr>
            </w:pPr>
            <w:r w:rsidRPr="00AD1D78">
              <w:rPr>
                <w:sz w:val="24"/>
              </w:rPr>
              <w:t>1980</w:t>
            </w:r>
          </w:p>
        </w:tc>
      </w:tr>
      <w:tr w:rsidR="002F0755" w:rsidRPr="00AD1D78">
        <w:tblPrEx>
          <w:tblCellMar>
            <w:top w:w="0" w:type="dxa"/>
            <w:bottom w:w="0" w:type="dxa"/>
          </w:tblCellMar>
        </w:tblPrEx>
        <w:tc>
          <w:tcPr>
            <w:tcW w:w="3402" w:type="dxa"/>
            <w:tcBorders>
              <w:top w:val="single" w:sz="12" w:space="0" w:color="auto"/>
            </w:tcBorders>
            <w:shd w:val="clear" w:color="auto" w:fill="FFFFFF"/>
            <w:vAlign w:val="center"/>
          </w:tcPr>
          <w:p w:rsidR="002F0755" w:rsidRPr="00AD1D78" w:rsidRDefault="002F0755" w:rsidP="002F0755">
            <w:pPr>
              <w:spacing w:before="60" w:after="60"/>
              <w:ind w:firstLine="0"/>
              <w:rPr>
                <w:b/>
                <w:i/>
                <w:sz w:val="24"/>
              </w:rPr>
            </w:pPr>
            <w:r w:rsidRPr="00AD1D78">
              <w:rPr>
                <w:b/>
                <w:i/>
                <w:sz w:val="24"/>
              </w:rPr>
              <w:t>prêts bancaires</w:t>
            </w:r>
          </w:p>
        </w:tc>
        <w:tc>
          <w:tcPr>
            <w:tcW w:w="1008"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 xml:space="preserve">6 163,6 </w:t>
            </w:r>
          </w:p>
        </w:tc>
        <w:tc>
          <w:tcPr>
            <w:tcW w:w="1008"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 xml:space="preserve">5 505,0 </w:t>
            </w:r>
          </w:p>
        </w:tc>
        <w:tc>
          <w:tcPr>
            <w:tcW w:w="1009"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 xml:space="preserve">3 221,1 </w:t>
            </w:r>
          </w:p>
        </w:tc>
        <w:tc>
          <w:tcPr>
            <w:tcW w:w="1008"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2 629,9</w:t>
            </w:r>
          </w:p>
        </w:tc>
        <w:tc>
          <w:tcPr>
            <w:tcW w:w="1008"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 xml:space="preserve">1 542,0 </w:t>
            </w:r>
          </w:p>
        </w:tc>
        <w:tc>
          <w:tcPr>
            <w:tcW w:w="1009" w:type="dxa"/>
            <w:tcBorders>
              <w:top w:val="single" w:sz="12"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 xml:space="preserve">1 274,4 </w:t>
            </w:r>
          </w:p>
        </w:tc>
      </w:tr>
      <w:tr w:rsidR="002F0755" w:rsidRPr="00AD1D78">
        <w:tblPrEx>
          <w:tblCellMar>
            <w:top w:w="0" w:type="dxa"/>
            <w:bottom w:w="0" w:type="dxa"/>
          </w:tblCellMar>
        </w:tblPrEx>
        <w:tc>
          <w:tcPr>
            <w:tcW w:w="3402" w:type="dxa"/>
            <w:shd w:val="clear" w:color="auto" w:fill="FFFFFF"/>
            <w:vAlign w:val="center"/>
          </w:tcPr>
          <w:p w:rsidR="002F0755" w:rsidRPr="00AD1D78" w:rsidRDefault="002F0755" w:rsidP="002F0755">
            <w:pPr>
              <w:spacing w:before="60" w:after="60"/>
              <w:ind w:firstLine="0"/>
              <w:rPr>
                <w:sz w:val="24"/>
              </w:rPr>
            </w:pPr>
            <w:r w:rsidRPr="00AD1D78">
              <w:rPr>
                <w:sz w:val="24"/>
              </w:rPr>
              <w:t>(indice de croi</w:t>
            </w:r>
            <w:r w:rsidRPr="00AD1D78">
              <w:rPr>
                <w:sz w:val="24"/>
              </w:rPr>
              <w:t>s</w:t>
            </w:r>
            <w:r w:rsidRPr="00AD1D78">
              <w:rPr>
                <w:sz w:val="24"/>
              </w:rPr>
              <w:t>sance, 1980=100)</w:t>
            </w:r>
          </w:p>
        </w:tc>
        <w:tc>
          <w:tcPr>
            <w:tcW w:w="1008" w:type="dxa"/>
            <w:shd w:val="clear" w:color="auto" w:fill="FFFFFF"/>
            <w:vAlign w:val="center"/>
          </w:tcPr>
          <w:p w:rsidR="002F0755" w:rsidRPr="00AD1D78" w:rsidRDefault="002F0755" w:rsidP="002F0755">
            <w:pPr>
              <w:spacing w:before="60" w:after="60"/>
              <w:ind w:firstLine="0"/>
              <w:jc w:val="both"/>
              <w:rPr>
                <w:sz w:val="24"/>
              </w:rPr>
            </w:pPr>
            <w:r w:rsidRPr="00AD1D78">
              <w:rPr>
                <w:sz w:val="24"/>
              </w:rPr>
              <w:t>484</w:t>
            </w:r>
          </w:p>
        </w:tc>
        <w:tc>
          <w:tcPr>
            <w:tcW w:w="1008" w:type="dxa"/>
            <w:shd w:val="clear" w:color="auto" w:fill="FFFFFF"/>
            <w:vAlign w:val="center"/>
          </w:tcPr>
          <w:p w:rsidR="002F0755" w:rsidRPr="00AD1D78" w:rsidRDefault="002F0755" w:rsidP="002F0755">
            <w:pPr>
              <w:spacing w:before="60" w:after="60"/>
              <w:ind w:firstLine="0"/>
              <w:jc w:val="both"/>
              <w:rPr>
                <w:sz w:val="24"/>
              </w:rPr>
            </w:pPr>
            <w:r w:rsidRPr="00AD1D78">
              <w:rPr>
                <w:sz w:val="24"/>
              </w:rPr>
              <w:t>432</w:t>
            </w:r>
          </w:p>
        </w:tc>
        <w:tc>
          <w:tcPr>
            <w:tcW w:w="1009" w:type="dxa"/>
            <w:shd w:val="clear" w:color="auto" w:fill="FFFFFF"/>
            <w:vAlign w:val="center"/>
          </w:tcPr>
          <w:p w:rsidR="002F0755" w:rsidRPr="00AD1D78" w:rsidRDefault="002F0755" w:rsidP="002F0755">
            <w:pPr>
              <w:spacing w:before="60" w:after="60"/>
              <w:ind w:firstLine="0"/>
              <w:jc w:val="both"/>
              <w:rPr>
                <w:sz w:val="24"/>
              </w:rPr>
            </w:pPr>
            <w:r w:rsidRPr="00AD1D78">
              <w:rPr>
                <w:sz w:val="24"/>
              </w:rPr>
              <w:t>253</w:t>
            </w:r>
          </w:p>
        </w:tc>
        <w:tc>
          <w:tcPr>
            <w:tcW w:w="1008" w:type="dxa"/>
            <w:shd w:val="clear" w:color="auto" w:fill="FFFFFF"/>
            <w:vAlign w:val="center"/>
          </w:tcPr>
          <w:p w:rsidR="002F0755" w:rsidRPr="00AD1D78" w:rsidRDefault="002F0755" w:rsidP="002F0755">
            <w:pPr>
              <w:spacing w:before="60" w:after="60"/>
              <w:ind w:firstLine="0"/>
              <w:jc w:val="both"/>
              <w:rPr>
                <w:sz w:val="24"/>
              </w:rPr>
            </w:pPr>
            <w:r w:rsidRPr="00AD1D78">
              <w:rPr>
                <w:sz w:val="24"/>
              </w:rPr>
              <w:t>206</w:t>
            </w:r>
          </w:p>
        </w:tc>
        <w:tc>
          <w:tcPr>
            <w:tcW w:w="1008" w:type="dxa"/>
            <w:shd w:val="clear" w:color="auto" w:fill="FFFFFF"/>
            <w:vAlign w:val="center"/>
          </w:tcPr>
          <w:p w:rsidR="002F0755" w:rsidRPr="00AD1D78" w:rsidRDefault="002F0755" w:rsidP="002F0755">
            <w:pPr>
              <w:spacing w:before="60" w:after="60"/>
              <w:ind w:firstLine="0"/>
              <w:jc w:val="both"/>
              <w:rPr>
                <w:sz w:val="24"/>
              </w:rPr>
            </w:pPr>
            <w:r w:rsidRPr="00AD1D78">
              <w:rPr>
                <w:sz w:val="24"/>
              </w:rPr>
              <w:t>121</w:t>
            </w:r>
          </w:p>
        </w:tc>
        <w:tc>
          <w:tcPr>
            <w:tcW w:w="1009" w:type="dxa"/>
            <w:shd w:val="clear" w:color="auto" w:fill="FFFFFF"/>
            <w:vAlign w:val="center"/>
          </w:tcPr>
          <w:p w:rsidR="002F0755" w:rsidRPr="00AD1D78" w:rsidRDefault="002F0755" w:rsidP="002F0755">
            <w:pPr>
              <w:spacing w:before="60" w:after="60"/>
              <w:ind w:firstLine="0"/>
              <w:jc w:val="both"/>
              <w:rPr>
                <w:sz w:val="24"/>
              </w:rPr>
            </w:pPr>
            <w:r w:rsidRPr="00AD1D78">
              <w:rPr>
                <w:sz w:val="24"/>
              </w:rPr>
              <w:t>100</w:t>
            </w:r>
          </w:p>
        </w:tc>
      </w:tr>
      <w:tr w:rsidR="002F0755" w:rsidRPr="00AD1D78">
        <w:tblPrEx>
          <w:tblCellMar>
            <w:top w:w="0" w:type="dxa"/>
            <w:bottom w:w="0" w:type="dxa"/>
          </w:tblCellMar>
        </w:tblPrEx>
        <w:tc>
          <w:tcPr>
            <w:tcW w:w="3402" w:type="dxa"/>
            <w:shd w:val="clear" w:color="auto" w:fill="FFFFFF"/>
            <w:vAlign w:val="center"/>
          </w:tcPr>
          <w:p w:rsidR="002F0755" w:rsidRPr="00AD1D78" w:rsidRDefault="002F0755" w:rsidP="002F0755">
            <w:pPr>
              <w:spacing w:before="120" w:after="60"/>
              <w:ind w:firstLine="0"/>
              <w:rPr>
                <w:sz w:val="24"/>
              </w:rPr>
            </w:pPr>
            <w:r w:rsidRPr="00AD1D78">
              <w:rPr>
                <w:b/>
                <w:i/>
                <w:sz w:val="24"/>
              </w:rPr>
              <w:t>duplications</w:t>
            </w:r>
          </w:p>
        </w:tc>
        <w:tc>
          <w:tcPr>
            <w:tcW w:w="1008" w:type="dxa"/>
            <w:shd w:val="clear" w:color="auto" w:fill="FFFFFF"/>
            <w:vAlign w:val="center"/>
          </w:tcPr>
          <w:p w:rsidR="002F0755" w:rsidRPr="00AD1D78" w:rsidRDefault="002F0755" w:rsidP="002F0755">
            <w:pPr>
              <w:spacing w:before="120" w:after="60"/>
              <w:ind w:firstLine="0"/>
              <w:jc w:val="both"/>
              <w:rPr>
                <w:sz w:val="24"/>
              </w:rPr>
            </w:pPr>
            <w:r w:rsidRPr="00AD1D78">
              <w:rPr>
                <w:sz w:val="24"/>
              </w:rPr>
              <w:t>3 523,6</w:t>
            </w:r>
          </w:p>
        </w:tc>
        <w:tc>
          <w:tcPr>
            <w:tcW w:w="1008" w:type="dxa"/>
            <w:shd w:val="clear" w:color="auto" w:fill="FFFFFF"/>
            <w:vAlign w:val="center"/>
          </w:tcPr>
          <w:p w:rsidR="002F0755" w:rsidRPr="00AD1D78" w:rsidRDefault="002F0755" w:rsidP="002F0755">
            <w:pPr>
              <w:spacing w:before="120" w:after="60"/>
              <w:ind w:firstLine="0"/>
              <w:jc w:val="both"/>
              <w:rPr>
                <w:sz w:val="24"/>
              </w:rPr>
            </w:pPr>
            <w:r w:rsidRPr="00AD1D78">
              <w:rPr>
                <w:sz w:val="24"/>
              </w:rPr>
              <w:t>3 115,0</w:t>
            </w:r>
          </w:p>
        </w:tc>
        <w:tc>
          <w:tcPr>
            <w:tcW w:w="1009" w:type="dxa"/>
            <w:shd w:val="clear" w:color="auto" w:fill="FFFFFF"/>
            <w:vAlign w:val="center"/>
          </w:tcPr>
          <w:p w:rsidR="002F0755" w:rsidRPr="00AD1D78" w:rsidRDefault="002F0755" w:rsidP="002F0755">
            <w:pPr>
              <w:spacing w:before="120" w:after="60"/>
              <w:ind w:firstLine="0"/>
              <w:jc w:val="both"/>
              <w:rPr>
                <w:sz w:val="24"/>
              </w:rPr>
            </w:pPr>
            <w:r w:rsidRPr="00AD1D78">
              <w:rPr>
                <w:sz w:val="24"/>
              </w:rPr>
              <w:t>1451,1</w:t>
            </w:r>
          </w:p>
        </w:tc>
        <w:tc>
          <w:tcPr>
            <w:tcW w:w="1008" w:type="dxa"/>
            <w:shd w:val="clear" w:color="auto" w:fill="FFFFFF"/>
            <w:vAlign w:val="center"/>
          </w:tcPr>
          <w:p w:rsidR="002F0755" w:rsidRPr="00AD1D78" w:rsidRDefault="002F0755" w:rsidP="002F0755">
            <w:pPr>
              <w:spacing w:before="120" w:after="60"/>
              <w:ind w:firstLine="0"/>
              <w:jc w:val="both"/>
              <w:rPr>
                <w:sz w:val="24"/>
              </w:rPr>
            </w:pPr>
            <w:r w:rsidRPr="00AD1D78">
              <w:rPr>
                <w:sz w:val="24"/>
              </w:rPr>
              <w:t>1344,9</w:t>
            </w:r>
          </w:p>
        </w:tc>
        <w:tc>
          <w:tcPr>
            <w:tcW w:w="1008" w:type="dxa"/>
            <w:shd w:val="clear" w:color="auto" w:fill="FFFFFF"/>
            <w:vAlign w:val="center"/>
          </w:tcPr>
          <w:p w:rsidR="002F0755" w:rsidRPr="00AD1D78" w:rsidRDefault="002F0755" w:rsidP="002F0755">
            <w:pPr>
              <w:spacing w:before="120" w:after="60"/>
              <w:ind w:firstLine="0"/>
              <w:jc w:val="both"/>
              <w:rPr>
                <w:sz w:val="24"/>
              </w:rPr>
            </w:pPr>
            <w:r w:rsidRPr="00AD1D78">
              <w:rPr>
                <w:sz w:val="24"/>
              </w:rPr>
              <w:t>602,0</w:t>
            </w:r>
          </w:p>
        </w:tc>
        <w:tc>
          <w:tcPr>
            <w:tcW w:w="1009" w:type="dxa"/>
            <w:shd w:val="clear" w:color="auto" w:fill="FFFFFF"/>
            <w:vAlign w:val="center"/>
          </w:tcPr>
          <w:p w:rsidR="002F0755" w:rsidRPr="00AD1D78" w:rsidRDefault="002F0755" w:rsidP="002F0755">
            <w:pPr>
              <w:spacing w:before="120" w:after="60"/>
              <w:ind w:firstLine="0"/>
              <w:jc w:val="both"/>
              <w:rPr>
                <w:sz w:val="24"/>
              </w:rPr>
            </w:pPr>
            <w:r w:rsidRPr="00AD1D78">
              <w:rPr>
                <w:sz w:val="24"/>
              </w:rPr>
              <w:t>499,4</w:t>
            </w:r>
          </w:p>
        </w:tc>
      </w:tr>
      <w:tr w:rsidR="002F0755" w:rsidRPr="00AD1D78">
        <w:tblPrEx>
          <w:tblCellMar>
            <w:top w:w="0" w:type="dxa"/>
            <w:bottom w:w="0" w:type="dxa"/>
          </w:tblCellMar>
        </w:tblPrEx>
        <w:tc>
          <w:tcPr>
            <w:tcW w:w="3402" w:type="dxa"/>
            <w:tcBorders>
              <w:bottom w:val="single" w:sz="4" w:space="0" w:color="auto"/>
            </w:tcBorders>
            <w:shd w:val="clear" w:color="auto" w:fill="FFFFFF"/>
            <w:vAlign w:val="center"/>
          </w:tcPr>
          <w:p w:rsidR="002F0755" w:rsidRPr="00AD1D78" w:rsidRDefault="002F0755" w:rsidP="002F0755">
            <w:pPr>
              <w:spacing w:before="60" w:after="60"/>
              <w:ind w:firstLine="0"/>
              <w:rPr>
                <w:sz w:val="24"/>
              </w:rPr>
            </w:pPr>
            <w:r w:rsidRPr="00AD1D78">
              <w:rPr>
                <w:sz w:val="24"/>
              </w:rPr>
              <w:t>(</w:t>
            </w:r>
            <w:r>
              <w:rPr>
                <w:sz w:val="24"/>
              </w:rPr>
              <w:t> %</w:t>
            </w:r>
            <w:r w:rsidRPr="00AD1D78">
              <w:rPr>
                <w:sz w:val="24"/>
              </w:rPr>
              <w:t xml:space="preserve"> des duplic</w:t>
            </w:r>
            <w:r w:rsidRPr="00AD1D78">
              <w:rPr>
                <w:sz w:val="24"/>
              </w:rPr>
              <w:t>a</w:t>
            </w:r>
            <w:r w:rsidRPr="00AD1D78">
              <w:rPr>
                <w:sz w:val="24"/>
              </w:rPr>
              <w:t>tions)</w:t>
            </w:r>
          </w:p>
        </w:tc>
        <w:tc>
          <w:tcPr>
            <w:tcW w:w="1008"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57,17</w:t>
            </w:r>
          </w:p>
        </w:tc>
        <w:tc>
          <w:tcPr>
            <w:tcW w:w="1008"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56,58</w:t>
            </w:r>
          </w:p>
        </w:tc>
        <w:tc>
          <w:tcPr>
            <w:tcW w:w="1009"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45,05</w:t>
            </w:r>
          </w:p>
        </w:tc>
        <w:tc>
          <w:tcPr>
            <w:tcW w:w="1008"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51,14</w:t>
            </w:r>
          </w:p>
        </w:tc>
        <w:tc>
          <w:tcPr>
            <w:tcW w:w="1008"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39,04</w:t>
            </w:r>
          </w:p>
        </w:tc>
        <w:tc>
          <w:tcPr>
            <w:tcW w:w="1009" w:type="dxa"/>
            <w:tcBorders>
              <w:bottom w:val="single" w:sz="4" w:space="0" w:color="auto"/>
            </w:tcBorders>
            <w:shd w:val="clear" w:color="auto" w:fill="FFFFFF"/>
            <w:vAlign w:val="center"/>
          </w:tcPr>
          <w:p w:rsidR="002F0755" w:rsidRPr="00AD1D78" w:rsidRDefault="002F0755" w:rsidP="002F0755">
            <w:pPr>
              <w:spacing w:before="60" w:after="60"/>
              <w:ind w:firstLine="0"/>
              <w:jc w:val="both"/>
              <w:rPr>
                <w:sz w:val="24"/>
              </w:rPr>
            </w:pPr>
            <w:r w:rsidRPr="00AD1D78">
              <w:rPr>
                <w:sz w:val="24"/>
              </w:rPr>
              <w:t>39,19</w:t>
            </w:r>
          </w:p>
        </w:tc>
      </w:tr>
      <w:tr w:rsidR="002F0755" w:rsidRPr="00AD1D78">
        <w:tblPrEx>
          <w:tblCellMar>
            <w:top w:w="0" w:type="dxa"/>
            <w:bottom w:w="0" w:type="dxa"/>
          </w:tblCellMar>
        </w:tblPrEx>
        <w:tc>
          <w:tcPr>
            <w:tcW w:w="3402" w:type="dxa"/>
            <w:tcBorders>
              <w:bottom w:val="single" w:sz="4" w:space="0" w:color="auto"/>
            </w:tcBorders>
            <w:shd w:val="clear" w:color="auto" w:fill="FFFFFF"/>
            <w:vAlign w:val="center"/>
          </w:tcPr>
          <w:p w:rsidR="002F0755" w:rsidRPr="00AD1D78" w:rsidRDefault="002F0755" w:rsidP="002F0755">
            <w:pPr>
              <w:spacing w:before="120" w:after="60"/>
              <w:ind w:firstLine="0"/>
              <w:rPr>
                <w:b/>
                <w:i/>
                <w:sz w:val="24"/>
              </w:rPr>
            </w:pPr>
            <w:r w:rsidRPr="00AD1D78">
              <w:rPr>
                <w:b/>
                <w:i/>
                <w:sz w:val="24"/>
              </w:rPr>
              <w:t>prêts bancaires nets</w:t>
            </w:r>
          </w:p>
        </w:tc>
        <w:tc>
          <w:tcPr>
            <w:tcW w:w="1008"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 xml:space="preserve">2 640,0 </w:t>
            </w:r>
          </w:p>
        </w:tc>
        <w:tc>
          <w:tcPr>
            <w:tcW w:w="1008"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 xml:space="preserve">2 390,0 </w:t>
            </w:r>
          </w:p>
        </w:tc>
        <w:tc>
          <w:tcPr>
            <w:tcW w:w="1009"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 xml:space="preserve">1 770,0 </w:t>
            </w:r>
          </w:p>
        </w:tc>
        <w:tc>
          <w:tcPr>
            <w:tcW w:w="1008"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1285,0</w:t>
            </w:r>
          </w:p>
        </w:tc>
        <w:tc>
          <w:tcPr>
            <w:tcW w:w="1008"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940,0</w:t>
            </w:r>
          </w:p>
        </w:tc>
        <w:tc>
          <w:tcPr>
            <w:tcW w:w="1009" w:type="dxa"/>
            <w:tcBorders>
              <w:bottom w:val="single" w:sz="4" w:space="0" w:color="auto"/>
            </w:tcBorders>
            <w:shd w:val="clear" w:color="auto" w:fill="FFFFFF"/>
            <w:vAlign w:val="center"/>
          </w:tcPr>
          <w:p w:rsidR="002F0755" w:rsidRPr="00AD1D78" w:rsidRDefault="002F0755" w:rsidP="002F0755">
            <w:pPr>
              <w:spacing w:before="120" w:after="60"/>
              <w:ind w:firstLine="0"/>
              <w:jc w:val="both"/>
              <w:rPr>
                <w:sz w:val="24"/>
              </w:rPr>
            </w:pPr>
            <w:r w:rsidRPr="00AD1D78">
              <w:rPr>
                <w:sz w:val="24"/>
              </w:rPr>
              <w:t>775,0</w:t>
            </w:r>
          </w:p>
        </w:tc>
      </w:tr>
      <w:tr w:rsidR="002F0755" w:rsidRPr="00AD1D78">
        <w:tblPrEx>
          <w:tblCellMar>
            <w:top w:w="0" w:type="dxa"/>
            <w:bottom w:w="0" w:type="dxa"/>
          </w:tblCellMar>
        </w:tblPrEx>
        <w:tc>
          <w:tcPr>
            <w:tcW w:w="3402"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(indice de croi</w:t>
            </w:r>
            <w:r w:rsidRPr="00AD1D78">
              <w:rPr>
                <w:sz w:val="24"/>
              </w:rPr>
              <w:t>s</w:t>
            </w:r>
            <w:r w:rsidRPr="00AD1D78">
              <w:rPr>
                <w:sz w:val="24"/>
              </w:rPr>
              <w:t>sance, 1980=100)</w:t>
            </w:r>
          </w:p>
        </w:tc>
        <w:tc>
          <w:tcPr>
            <w:tcW w:w="1008"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341</w:t>
            </w:r>
          </w:p>
        </w:tc>
        <w:tc>
          <w:tcPr>
            <w:tcW w:w="1008"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308</w:t>
            </w:r>
          </w:p>
        </w:tc>
        <w:tc>
          <w:tcPr>
            <w:tcW w:w="1009"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228</w:t>
            </w:r>
          </w:p>
        </w:tc>
        <w:tc>
          <w:tcPr>
            <w:tcW w:w="1008"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166</w:t>
            </w:r>
          </w:p>
        </w:tc>
        <w:tc>
          <w:tcPr>
            <w:tcW w:w="1008"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121</w:t>
            </w:r>
          </w:p>
        </w:tc>
        <w:tc>
          <w:tcPr>
            <w:tcW w:w="1009" w:type="dxa"/>
            <w:tcBorders>
              <w:bottom w:val="single" w:sz="4" w:space="0" w:color="auto"/>
            </w:tcBorders>
            <w:shd w:val="clear" w:color="auto" w:fill="FFFFFF"/>
          </w:tcPr>
          <w:p w:rsidR="002F0755" w:rsidRPr="00AD1D78" w:rsidRDefault="002F0755" w:rsidP="002F0755">
            <w:pPr>
              <w:spacing w:before="60" w:after="60"/>
              <w:ind w:firstLine="0"/>
              <w:rPr>
                <w:sz w:val="24"/>
              </w:rPr>
            </w:pPr>
            <w:r w:rsidRPr="00AD1D78">
              <w:rPr>
                <w:sz w:val="24"/>
              </w:rPr>
              <w:t>100</w:t>
            </w:r>
          </w:p>
        </w:tc>
      </w:tr>
    </w:tbl>
    <w:p w:rsidR="002F0755" w:rsidRPr="00AD1D78" w:rsidRDefault="002F0755" w:rsidP="002F0755">
      <w:pPr>
        <w:spacing w:before="120" w:after="120"/>
        <w:ind w:left="-1530" w:firstLine="0"/>
        <w:jc w:val="both"/>
        <w:rPr>
          <w:sz w:val="24"/>
        </w:rPr>
      </w:pPr>
      <w:r w:rsidRPr="00AD1D78">
        <w:rPr>
          <w:rStyle w:val="LgendedutableauItaliqueEspacement0pt"/>
          <w:sz w:val="24"/>
        </w:rPr>
        <w:t>Sources :</w:t>
      </w:r>
      <w:r w:rsidRPr="00AD1D78">
        <w:rPr>
          <w:sz w:val="24"/>
          <w:lang w:eastAsia="fr-FR" w:bidi="fr-FR"/>
        </w:rPr>
        <w:t xml:space="preserve"> Banque des règlements internationaux, </w:t>
      </w:r>
      <w:r w:rsidRPr="00AD1D78">
        <w:rPr>
          <w:rStyle w:val="LgendedutableauItaliqueEspacement0pt"/>
          <w:sz w:val="24"/>
        </w:rPr>
        <w:t>Rapport annuel,</w:t>
      </w:r>
      <w:r w:rsidRPr="00AD1D78">
        <w:rPr>
          <w:sz w:val="24"/>
          <w:lang w:eastAsia="fr-FR" w:bidi="fr-FR"/>
        </w:rPr>
        <w:t xml:space="preserve"> d</w:t>
      </w:r>
      <w:r w:rsidRPr="00AD1D78">
        <w:rPr>
          <w:sz w:val="24"/>
          <w:lang w:eastAsia="fr-FR" w:bidi="fr-FR"/>
        </w:rPr>
        <w:t>i</w:t>
      </w:r>
      <w:r w:rsidRPr="00AD1D78">
        <w:rPr>
          <w:sz w:val="24"/>
          <w:lang w:eastAsia="fr-FR" w:bidi="fr-FR"/>
        </w:rPr>
        <w:t>verses années.</w:t>
      </w:r>
    </w:p>
    <w:p w:rsidR="002F0755" w:rsidRPr="00AD1D78" w:rsidRDefault="002F0755" w:rsidP="002F0755">
      <w:pPr>
        <w:spacing w:before="120" w:after="120"/>
        <w:jc w:val="both"/>
        <w:rPr>
          <w:sz w:val="24"/>
          <w:szCs w:val="2"/>
        </w:rPr>
      </w:pPr>
    </w:p>
    <w:p w:rsidR="002F0755" w:rsidRPr="00AD1D78" w:rsidRDefault="002F0755" w:rsidP="002F0755">
      <w:pPr>
        <w:pStyle w:val="figst"/>
      </w:pPr>
      <w:r w:rsidRPr="00AD1D78">
        <w:t>Tableau 2</w:t>
      </w:r>
      <w:r w:rsidRPr="00AD1D78">
        <w:br/>
        <w:t>Variations du taux d'escompte et du taux de change</w:t>
      </w:r>
      <w:r w:rsidRPr="00AD1D78">
        <w:br/>
        <w:t>au Canada entre le 10 janvier 1990 et le 30 mai 1990</w:t>
      </w:r>
    </w:p>
    <w:tbl>
      <w:tblPr>
        <w:tblOverlap w:val="never"/>
        <w:tblW w:w="0" w:type="auto"/>
        <w:tblLayout w:type="fixed"/>
        <w:tblCellMar>
          <w:left w:w="10" w:type="dxa"/>
          <w:right w:w="10" w:type="dxa"/>
        </w:tblCellMar>
        <w:tblLook w:val="0000" w:firstRow="0" w:lastRow="0" w:firstColumn="0" w:lastColumn="0" w:noHBand="0" w:noVBand="0"/>
      </w:tblPr>
      <w:tblGrid>
        <w:gridCol w:w="1982"/>
        <w:gridCol w:w="2438"/>
        <w:gridCol w:w="1530"/>
        <w:gridCol w:w="1983"/>
      </w:tblGrid>
      <w:tr w:rsidR="002F0755" w:rsidRPr="00AD1D78">
        <w:tblPrEx>
          <w:tblCellMar>
            <w:top w:w="0" w:type="dxa"/>
            <w:bottom w:w="0" w:type="dxa"/>
          </w:tblCellMar>
        </w:tblPrEx>
        <w:tc>
          <w:tcPr>
            <w:tcW w:w="4420" w:type="dxa"/>
            <w:gridSpan w:val="2"/>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both"/>
              <w:rPr>
                <w:sz w:val="24"/>
                <w:szCs w:val="10"/>
              </w:rPr>
            </w:pPr>
          </w:p>
        </w:tc>
        <w:tc>
          <w:tcPr>
            <w:tcW w:w="1530"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center"/>
              <w:rPr>
                <w:sz w:val="24"/>
                <w:szCs w:val="10"/>
              </w:rPr>
            </w:pPr>
            <w:r w:rsidRPr="00AD1D78">
              <w:rPr>
                <w:sz w:val="24"/>
                <w:szCs w:val="10"/>
              </w:rPr>
              <w:t>Taux</w:t>
            </w:r>
            <w:r w:rsidRPr="00AD1D78">
              <w:rPr>
                <w:sz w:val="24"/>
                <w:szCs w:val="10"/>
              </w:rPr>
              <w:br/>
              <w:t>d’escompte</w:t>
            </w:r>
          </w:p>
        </w:tc>
        <w:tc>
          <w:tcPr>
            <w:tcW w:w="1983" w:type="dxa"/>
            <w:tcBorders>
              <w:top w:val="single" w:sz="12" w:space="0" w:color="auto"/>
              <w:bottom w:val="single" w:sz="12" w:space="0" w:color="auto"/>
            </w:tcBorders>
            <w:shd w:val="clear" w:color="auto" w:fill="DDD9C3"/>
          </w:tcPr>
          <w:p w:rsidR="002F0755" w:rsidRPr="00AD1D78" w:rsidRDefault="002F0755" w:rsidP="002F0755">
            <w:pPr>
              <w:spacing w:before="60" w:after="60"/>
              <w:ind w:firstLine="0"/>
              <w:jc w:val="center"/>
              <w:rPr>
                <w:sz w:val="24"/>
                <w:szCs w:val="10"/>
              </w:rPr>
            </w:pPr>
            <w:r w:rsidRPr="00AD1D78">
              <w:rPr>
                <w:sz w:val="24"/>
                <w:szCs w:val="10"/>
              </w:rPr>
              <w:t>Taux de change</w:t>
            </w:r>
            <w:r w:rsidRPr="00AD1D78">
              <w:rPr>
                <w:sz w:val="24"/>
                <w:szCs w:val="10"/>
              </w:rPr>
              <w:br/>
              <w:t>(dollars canadiens</w:t>
            </w:r>
            <w:r w:rsidRPr="00AD1D78">
              <w:rPr>
                <w:sz w:val="24"/>
                <w:szCs w:val="10"/>
              </w:rPr>
              <w:br/>
              <w:t>pour un dollar US)</w:t>
            </w:r>
          </w:p>
        </w:tc>
      </w:tr>
      <w:tr w:rsidR="002F0755" w:rsidRPr="00AD1D78">
        <w:tblPrEx>
          <w:tblCellMar>
            <w:top w:w="0" w:type="dxa"/>
            <w:bottom w:w="0" w:type="dxa"/>
          </w:tblCellMar>
        </w:tblPrEx>
        <w:tc>
          <w:tcPr>
            <w:tcW w:w="1982" w:type="dxa"/>
            <w:tcBorders>
              <w:top w:val="single" w:sz="12" w:space="0" w:color="auto"/>
            </w:tcBorders>
            <w:shd w:val="clear" w:color="auto" w:fill="FFFFFF"/>
          </w:tcPr>
          <w:p w:rsidR="002F0755" w:rsidRPr="00AD1D78" w:rsidRDefault="002F0755" w:rsidP="002F0755">
            <w:pPr>
              <w:spacing w:before="60" w:after="60"/>
              <w:ind w:firstLine="0"/>
              <w:jc w:val="both"/>
              <w:rPr>
                <w:sz w:val="24"/>
                <w:szCs w:val="10"/>
              </w:rPr>
            </w:pPr>
            <w:r w:rsidRPr="00AD1D78">
              <w:rPr>
                <w:sz w:val="24"/>
                <w:szCs w:val="10"/>
              </w:rPr>
              <w:t>janvier</w:t>
            </w:r>
          </w:p>
        </w:tc>
        <w:tc>
          <w:tcPr>
            <w:tcW w:w="2438" w:type="dxa"/>
            <w:tcBorders>
              <w:top w:val="single" w:sz="12" w:space="0" w:color="auto"/>
            </w:tcBorders>
            <w:shd w:val="clear" w:color="auto" w:fill="FFFFFF"/>
            <w:vAlign w:val="bottom"/>
          </w:tcPr>
          <w:p w:rsidR="002F0755" w:rsidRPr="00AD1D78" w:rsidRDefault="002F0755" w:rsidP="002F0755">
            <w:pPr>
              <w:spacing w:before="60" w:after="60"/>
              <w:ind w:firstLine="0"/>
              <w:jc w:val="center"/>
              <w:rPr>
                <w:sz w:val="24"/>
              </w:rPr>
            </w:pPr>
            <w:r w:rsidRPr="00AD1D78">
              <w:rPr>
                <w:sz w:val="24"/>
              </w:rPr>
              <w:t>10</w:t>
            </w:r>
          </w:p>
        </w:tc>
        <w:tc>
          <w:tcPr>
            <w:tcW w:w="1530" w:type="dxa"/>
            <w:tcBorders>
              <w:top w:val="single" w:sz="12"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12,44</w:t>
            </w:r>
          </w:p>
        </w:tc>
        <w:tc>
          <w:tcPr>
            <w:tcW w:w="1983" w:type="dxa"/>
            <w:tcBorders>
              <w:top w:val="single" w:sz="12"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1,1582</w:t>
            </w:r>
          </w:p>
        </w:tc>
      </w:tr>
      <w:tr w:rsidR="002F0755" w:rsidRPr="00AD1D78">
        <w:tblPrEx>
          <w:tblCellMar>
            <w:top w:w="0" w:type="dxa"/>
            <w:bottom w:w="0" w:type="dxa"/>
          </w:tblCellMar>
        </w:tblPrEx>
        <w:tc>
          <w:tcPr>
            <w:tcW w:w="1982" w:type="dxa"/>
            <w:shd w:val="clear" w:color="auto" w:fill="FFFFFF"/>
          </w:tcPr>
          <w:p w:rsidR="002F0755" w:rsidRPr="00AD1D78" w:rsidRDefault="002F0755" w:rsidP="002F0755">
            <w:pPr>
              <w:spacing w:before="60" w:after="60"/>
              <w:ind w:firstLine="0"/>
              <w:jc w:val="both"/>
              <w:rPr>
                <w:sz w:val="24"/>
                <w:szCs w:val="10"/>
              </w:rPr>
            </w:pPr>
          </w:p>
        </w:tc>
        <w:tc>
          <w:tcPr>
            <w:tcW w:w="2438" w:type="dxa"/>
            <w:shd w:val="clear" w:color="auto" w:fill="FFFFFF"/>
            <w:vAlign w:val="bottom"/>
          </w:tcPr>
          <w:p w:rsidR="002F0755" w:rsidRPr="00AD1D78" w:rsidRDefault="002F0755" w:rsidP="002F0755">
            <w:pPr>
              <w:spacing w:before="60" w:after="60"/>
              <w:ind w:firstLine="0"/>
              <w:jc w:val="center"/>
              <w:rPr>
                <w:sz w:val="24"/>
              </w:rPr>
            </w:pPr>
            <w:r w:rsidRPr="00AD1D78">
              <w:rPr>
                <w:sz w:val="24"/>
              </w:rPr>
              <w:t>17</w:t>
            </w:r>
          </w:p>
        </w:tc>
        <w:tc>
          <w:tcPr>
            <w:tcW w:w="1530" w:type="dxa"/>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12,43</w:t>
            </w:r>
          </w:p>
        </w:tc>
        <w:tc>
          <w:tcPr>
            <w:tcW w:w="1983" w:type="dxa"/>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1,1652</w:t>
            </w:r>
          </w:p>
        </w:tc>
      </w:tr>
      <w:tr w:rsidR="002F0755" w:rsidRPr="00AD1D78">
        <w:tblPrEx>
          <w:tblCellMar>
            <w:top w:w="0" w:type="dxa"/>
            <w:bottom w:w="0" w:type="dxa"/>
          </w:tblCellMar>
        </w:tblPrEx>
        <w:tc>
          <w:tcPr>
            <w:tcW w:w="1982" w:type="dxa"/>
            <w:shd w:val="clear" w:color="auto" w:fill="FFFFFF"/>
          </w:tcPr>
          <w:p w:rsidR="002F0755" w:rsidRPr="00AD1D78" w:rsidRDefault="002F0755" w:rsidP="002F0755">
            <w:pPr>
              <w:spacing w:before="60" w:after="60"/>
              <w:ind w:firstLine="0"/>
              <w:jc w:val="both"/>
              <w:rPr>
                <w:sz w:val="24"/>
                <w:szCs w:val="10"/>
              </w:rPr>
            </w:pPr>
          </w:p>
        </w:tc>
        <w:tc>
          <w:tcPr>
            <w:tcW w:w="2438" w:type="dxa"/>
            <w:shd w:val="clear" w:color="auto" w:fill="FFFFFF"/>
          </w:tcPr>
          <w:p w:rsidR="002F0755" w:rsidRPr="00AD1D78" w:rsidRDefault="002F0755" w:rsidP="002F0755">
            <w:pPr>
              <w:spacing w:before="60" w:after="60"/>
              <w:ind w:firstLine="0"/>
              <w:jc w:val="center"/>
              <w:rPr>
                <w:sz w:val="24"/>
              </w:rPr>
            </w:pPr>
            <w:r w:rsidRPr="00AD1D78">
              <w:rPr>
                <w:sz w:val="24"/>
              </w:rPr>
              <w:t>24</w:t>
            </w:r>
          </w:p>
        </w:tc>
        <w:tc>
          <w:tcPr>
            <w:tcW w:w="1530" w:type="dxa"/>
            <w:shd w:val="clear" w:color="auto" w:fill="FFFFFF"/>
          </w:tcPr>
          <w:p w:rsidR="002F0755" w:rsidRPr="00AD1D78" w:rsidRDefault="002F0755" w:rsidP="002F0755">
            <w:pPr>
              <w:tabs>
                <w:tab w:val="decimal" w:pos="710"/>
              </w:tabs>
              <w:spacing w:before="60" w:after="60"/>
              <w:ind w:firstLine="0"/>
              <w:jc w:val="both"/>
              <w:rPr>
                <w:sz w:val="24"/>
              </w:rPr>
            </w:pPr>
            <w:r w:rsidRPr="00AD1D78">
              <w:rPr>
                <w:sz w:val="24"/>
              </w:rPr>
              <w:t>12,14</w:t>
            </w:r>
          </w:p>
        </w:tc>
        <w:tc>
          <w:tcPr>
            <w:tcW w:w="1983" w:type="dxa"/>
            <w:shd w:val="clear" w:color="auto" w:fill="FFFFFF"/>
          </w:tcPr>
          <w:p w:rsidR="002F0755" w:rsidRPr="00AD1D78" w:rsidRDefault="002F0755" w:rsidP="002F0755">
            <w:pPr>
              <w:tabs>
                <w:tab w:val="decimal" w:pos="710"/>
              </w:tabs>
              <w:spacing w:before="60" w:after="60"/>
              <w:ind w:firstLine="0"/>
              <w:jc w:val="both"/>
              <w:rPr>
                <w:sz w:val="24"/>
              </w:rPr>
            </w:pPr>
            <w:r w:rsidRPr="00AD1D78">
              <w:rPr>
                <w:sz w:val="24"/>
              </w:rPr>
              <w:t>1,1854</w:t>
            </w:r>
          </w:p>
        </w:tc>
      </w:tr>
      <w:tr w:rsidR="002F0755" w:rsidRPr="00AD1D78">
        <w:tblPrEx>
          <w:tblCellMar>
            <w:top w:w="0" w:type="dxa"/>
            <w:bottom w:w="0" w:type="dxa"/>
          </w:tblCellMar>
        </w:tblPrEx>
        <w:tc>
          <w:tcPr>
            <w:tcW w:w="4420" w:type="dxa"/>
            <w:gridSpan w:val="2"/>
            <w:shd w:val="clear" w:color="auto" w:fill="FFFFFF"/>
            <w:vAlign w:val="center"/>
          </w:tcPr>
          <w:p w:rsidR="002F0755" w:rsidRPr="00AD1D78" w:rsidRDefault="002F0755" w:rsidP="002F0755">
            <w:pPr>
              <w:spacing w:before="60" w:after="60"/>
              <w:ind w:firstLine="0"/>
              <w:jc w:val="both"/>
              <w:rPr>
                <w:color w:val="000090"/>
                <w:sz w:val="24"/>
              </w:rPr>
            </w:pPr>
            <w:r w:rsidRPr="00AD1D78">
              <w:rPr>
                <w:color w:val="000090"/>
                <w:sz w:val="24"/>
              </w:rPr>
              <w:t>variation entre le 1</w:t>
            </w:r>
            <w:r w:rsidRPr="00AD1D78">
              <w:rPr>
                <w:color w:val="000090"/>
                <w:sz w:val="24"/>
                <w:vertAlign w:val="superscript"/>
              </w:rPr>
              <w:t>er</w:t>
            </w:r>
            <w:r w:rsidRPr="00AD1D78">
              <w:rPr>
                <w:color w:val="000090"/>
                <w:sz w:val="24"/>
              </w:rPr>
              <w:t xml:space="preserve"> et le 24 ja</w:t>
            </w:r>
            <w:r w:rsidRPr="00AD1D78">
              <w:rPr>
                <w:color w:val="000090"/>
                <w:sz w:val="24"/>
              </w:rPr>
              <w:t>n</w:t>
            </w:r>
            <w:r w:rsidRPr="00AD1D78">
              <w:rPr>
                <w:color w:val="000090"/>
                <w:sz w:val="24"/>
              </w:rPr>
              <w:t>vier</w:t>
            </w:r>
          </w:p>
        </w:tc>
        <w:tc>
          <w:tcPr>
            <w:tcW w:w="1530" w:type="dxa"/>
            <w:shd w:val="clear" w:color="auto" w:fill="FFFFFF"/>
          </w:tcPr>
          <w:p w:rsidR="002F0755" w:rsidRPr="00AD1D78" w:rsidRDefault="002F0755" w:rsidP="002F0755">
            <w:pPr>
              <w:tabs>
                <w:tab w:val="decimal" w:pos="710"/>
              </w:tabs>
              <w:spacing w:before="60" w:after="60"/>
              <w:ind w:firstLine="0"/>
              <w:jc w:val="both"/>
              <w:rPr>
                <w:color w:val="000090"/>
                <w:sz w:val="24"/>
              </w:rPr>
            </w:pPr>
            <w:r w:rsidRPr="00AD1D78">
              <w:rPr>
                <w:color w:val="000090"/>
                <w:sz w:val="24"/>
              </w:rPr>
              <w:t>-0,30</w:t>
            </w:r>
          </w:p>
        </w:tc>
        <w:tc>
          <w:tcPr>
            <w:tcW w:w="1983" w:type="dxa"/>
            <w:shd w:val="clear" w:color="auto" w:fill="FFFFFF"/>
            <w:vAlign w:val="center"/>
          </w:tcPr>
          <w:p w:rsidR="002F0755" w:rsidRPr="00AD1D78" w:rsidRDefault="002F0755" w:rsidP="002F0755">
            <w:pPr>
              <w:tabs>
                <w:tab w:val="decimal" w:pos="710"/>
              </w:tabs>
              <w:spacing w:before="60" w:after="60"/>
              <w:ind w:firstLine="0"/>
              <w:jc w:val="both"/>
              <w:rPr>
                <w:color w:val="000090"/>
                <w:sz w:val="24"/>
              </w:rPr>
            </w:pPr>
            <w:r w:rsidRPr="00AD1D78">
              <w:rPr>
                <w:color w:val="000090"/>
                <w:sz w:val="24"/>
              </w:rPr>
              <w:t>+ 0,0272</w:t>
            </w:r>
          </w:p>
        </w:tc>
      </w:tr>
      <w:tr w:rsidR="002F0755" w:rsidRPr="00AD1D78">
        <w:tblPrEx>
          <w:tblCellMar>
            <w:top w:w="0" w:type="dxa"/>
            <w:bottom w:w="0" w:type="dxa"/>
          </w:tblCellMar>
        </w:tblPrEx>
        <w:tc>
          <w:tcPr>
            <w:tcW w:w="1982" w:type="dxa"/>
            <w:tcBorders>
              <w:top w:val="single" w:sz="4" w:space="0" w:color="auto"/>
            </w:tcBorders>
            <w:shd w:val="clear" w:color="auto" w:fill="FFFFFF"/>
            <w:vAlign w:val="bottom"/>
          </w:tcPr>
          <w:p w:rsidR="002F0755" w:rsidRPr="00AD1D78" w:rsidRDefault="002F0755" w:rsidP="002F0755">
            <w:pPr>
              <w:spacing w:before="60" w:after="60"/>
              <w:ind w:firstLine="0"/>
              <w:jc w:val="both"/>
              <w:rPr>
                <w:sz w:val="24"/>
              </w:rPr>
            </w:pPr>
            <w:r w:rsidRPr="00AD1D78">
              <w:rPr>
                <w:sz w:val="24"/>
              </w:rPr>
              <w:t>f</w:t>
            </w:r>
            <w:r w:rsidRPr="00AD1D78">
              <w:rPr>
                <w:sz w:val="24"/>
              </w:rPr>
              <w:t>é</w:t>
            </w:r>
            <w:r w:rsidRPr="00AD1D78">
              <w:rPr>
                <w:sz w:val="24"/>
              </w:rPr>
              <w:t>vrier</w:t>
            </w:r>
          </w:p>
        </w:tc>
        <w:tc>
          <w:tcPr>
            <w:tcW w:w="2438" w:type="dxa"/>
            <w:tcBorders>
              <w:top w:val="single" w:sz="4" w:space="0" w:color="auto"/>
            </w:tcBorders>
            <w:shd w:val="clear" w:color="auto" w:fill="FFFFFF"/>
            <w:vAlign w:val="bottom"/>
          </w:tcPr>
          <w:p w:rsidR="002F0755" w:rsidRPr="00AD1D78" w:rsidRDefault="002F0755" w:rsidP="002F0755">
            <w:pPr>
              <w:spacing w:before="60" w:after="60"/>
              <w:ind w:firstLine="0"/>
              <w:jc w:val="center"/>
              <w:rPr>
                <w:sz w:val="24"/>
              </w:rPr>
            </w:pPr>
            <w:r w:rsidRPr="00AD1D78">
              <w:rPr>
                <w:sz w:val="24"/>
              </w:rPr>
              <w:t>28</w:t>
            </w:r>
          </w:p>
        </w:tc>
        <w:tc>
          <w:tcPr>
            <w:tcW w:w="1530" w:type="dxa"/>
            <w:tcBorders>
              <w:top w:val="single" w:sz="4"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13,25</w:t>
            </w:r>
          </w:p>
        </w:tc>
        <w:tc>
          <w:tcPr>
            <w:tcW w:w="1983" w:type="dxa"/>
            <w:tcBorders>
              <w:top w:val="single" w:sz="4"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1,1925</w:t>
            </w:r>
          </w:p>
        </w:tc>
      </w:tr>
      <w:tr w:rsidR="002F0755" w:rsidRPr="00AD1D78">
        <w:tblPrEx>
          <w:tblCellMar>
            <w:top w:w="0" w:type="dxa"/>
            <w:bottom w:w="0" w:type="dxa"/>
          </w:tblCellMar>
        </w:tblPrEx>
        <w:tc>
          <w:tcPr>
            <w:tcW w:w="1982" w:type="dxa"/>
            <w:shd w:val="clear" w:color="auto" w:fill="FFFFFF"/>
            <w:vAlign w:val="bottom"/>
          </w:tcPr>
          <w:p w:rsidR="002F0755" w:rsidRPr="00AD1D78" w:rsidRDefault="002F0755" w:rsidP="002F0755">
            <w:pPr>
              <w:spacing w:before="60" w:after="60"/>
              <w:ind w:firstLine="0"/>
              <w:jc w:val="both"/>
              <w:rPr>
                <w:sz w:val="24"/>
              </w:rPr>
            </w:pPr>
            <w:r w:rsidRPr="00AD1D78">
              <w:rPr>
                <w:sz w:val="24"/>
              </w:rPr>
              <w:t>mars</w:t>
            </w:r>
          </w:p>
        </w:tc>
        <w:tc>
          <w:tcPr>
            <w:tcW w:w="2438" w:type="dxa"/>
            <w:shd w:val="clear" w:color="auto" w:fill="FFFFFF"/>
            <w:vAlign w:val="bottom"/>
          </w:tcPr>
          <w:p w:rsidR="002F0755" w:rsidRPr="00AD1D78" w:rsidRDefault="002F0755" w:rsidP="002F0755">
            <w:pPr>
              <w:spacing w:before="60" w:after="60"/>
              <w:ind w:firstLine="0"/>
              <w:jc w:val="center"/>
              <w:rPr>
                <w:sz w:val="24"/>
              </w:rPr>
            </w:pPr>
            <w:r w:rsidRPr="00AD1D78">
              <w:rPr>
                <w:sz w:val="24"/>
              </w:rPr>
              <w:t>28</w:t>
            </w:r>
          </w:p>
        </w:tc>
        <w:tc>
          <w:tcPr>
            <w:tcW w:w="1530" w:type="dxa"/>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13,38</w:t>
            </w:r>
          </w:p>
        </w:tc>
        <w:tc>
          <w:tcPr>
            <w:tcW w:w="1983" w:type="dxa"/>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1,1754</w:t>
            </w:r>
          </w:p>
        </w:tc>
      </w:tr>
      <w:tr w:rsidR="002F0755" w:rsidRPr="00AD1D78">
        <w:tblPrEx>
          <w:tblCellMar>
            <w:top w:w="0" w:type="dxa"/>
            <w:bottom w:w="0" w:type="dxa"/>
          </w:tblCellMar>
        </w:tblPrEx>
        <w:tc>
          <w:tcPr>
            <w:tcW w:w="1982" w:type="dxa"/>
            <w:shd w:val="clear" w:color="auto" w:fill="FFFFFF"/>
          </w:tcPr>
          <w:p w:rsidR="002F0755" w:rsidRPr="00AD1D78" w:rsidRDefault="002F0755" w:rsidP="002F0755">
            <w:pPr>
              <w:spacing w:before="60" w:after="60"/>
              <w:ind w:firstLine="0"/>
              <w:jc w:val="both"/>
              <w:rPr>
                <w:sz w:val="24"/>
              </w:rPr>
            </w:pPr>
            <w:r w:rsidRPr="00AD1D78">
              <w:rPr>
                <w:sz w:val="24"/>
              </w:rPr>
              <w:t>avril</w:t>
            </w:r>
          </w:p>
        </w:tc>
        <w:tc>
          <w:tcPr>
            <w:tcW w:w="2438" w:type="dxa"/>
            <w:shd w:val="clear" w:color="auto" w:fill="FFFFFF"/>
          </w:tcPr>
          <w:p w:rsidR="002F0755" w:rsidRPr="00AD1D78" w:rsidRDefault="002F0755" w:rsidP="002F0755">
            <w:pPr>
              <w:spacing w:before="60" w:after="60"/>
              <w:ind w:firstLine="0"/>
              <w:jc w:val="center"/>
              <w:rPr>
                <w:sz w:val="24"/>
              </w:rPr>
            </w:pPr>
            <w:r w:rsidRPr="00AD1D78">
              <w:rPr>
                <w:sz w:val="24"/>
              </w:rPr>
              <w:t>25</w:t>
            </w:r>
          </w:p>
        </w:tc>
        <w:tc>
          <w:tcPr>
            <w:tcW w:w="1530" w:type="dxa"/>
            <w:shd w:val="clear" w:color="auto" w:fill="FFFFFF"/>
          </w:tcPr>
          <w:p w:rsidR="002F0755" w:rsidRPr="00AD1D78" w:rsidRDefault="002F0755" w:rsidP="002F0755">
            <w:pPr>
              <w:tabs>
                <w:tab w:val="decimal" w:pos="710"/>
              </w:tabs>
              <w:spacing w:before="60" w:after="60"/>
              <w:ind w:firstLine="0"/>
              <w:jc w:val="both"/>
              <w:rPr>
                <w:sz w:val="24"/>
              </w:rPr>
            </w:pPr>
            <w:r w:rsidRPr="00AD1D78">
              <w:rPr>
                <w:sz w:val="24"/>
              </w:rPr>
              <w:t>13,77</w:t>
            </w:r>
          </w:p>
        </w:tc>
        <w:tc>
          <w:tcPr>
            <w:tcW w:w="1983" w:type="dxa"/>
            <w:shd w:val="clear" w:color="auto" w:fill="FFFFFF"/>
            <w:vAlign w:val="center"/>
          </w:tcPr>
          <w:p w:rsidR="002F0755" w:rsidRPr="00AD1D78" w:rsidRDefault="002F0755" w:rsidP="002F0755">
            <w:pPr>
              <w:tabs>
                <w:tab w:val="decimal" w:pos="710"/>
              </w:tabs>
              <w:spacing w:before="60" w:after="60"/>
              <w:ind w:firstLine="0"/>
              <w:jc w:val="both"/>
              <w:rPr>
                <w:sz w:val="24"/>
              </w:rPr>
            </w:pPr>
            <w:r w:rsidRPr="00AD1D78">
              <w:rPr>
                <w:sz w:val="24"/>
              </w:rPr>
              <w:t>1,1610</w:t>
            </w:r>
          </w:p>
        </w:tc>
      </w:tr>
      <w:tr w:rsidR="002F0755" w:rsidRPr="00AD1D78">
        <w:tblPrEx>
          <w:tblCellMar>
            <w:top w:w="0" w:type="dxa"/>
            <w:bottom w:w="0" w:type="dxa"/>
          </w:tblCellMar>
        </w:tblPrEx>
        <w:tc>
          <w:tcPr>
            <w:tcW w:w="4420" w:type="dxa"/>
            <w:gridSpan w:val="2"/>
            <w:shd w:val="clear" w:color="auto" w:fill="FFFFFF"/>
            <w:vAlign w:val="center"/>
          </w:tcPr>
          <w:p w:rsidR="002F0755" w:rsidRPr="00AD1D78" w:rsidRDefault="002F0755" w:rsidP="002F0755">
            <w:pPr>
              <w:spacing w:before="60" w:after="60"/>
              <w:ind w:firstLine="0"/>
              <w:jc w:val="both"/>
              <w:rPr>
                <w:color w:val="000090"/>
                <w:sz w:val="24"/>
              </w:rPr>
            </w:pPr>
            <w:r w:rsidRPr="00AD1D78">
              <w:rPr>
                <w:color w:val="000090"/>
                <w:sz w:val="24"/>
              </w:rPr>
              <w:t>variation entre le 24 ja</w:t>
            </w:r>
            <w:r w:rsidRPr="00AD1D78">
              <w:rPr>
                <w:color w:val="000090"/>
                <w:sz w:val="24"/>
              </w:rPr>
              <w:t>n</w:t>
            </w:r>
            <w:r w:rsidRPr="00AD1D78">
              <w:rPr>
                <w:color w:val="000090"/>
                <w:sz w:val="24"/>
              </w:rPr>
              <w:t>vier et le 25 avril</w:t>
            </w:r>
          </w:p>
        </w:tc>
        <w:tc>
          <w:tcPr>
            <w:tcW w:w="1530" w:type="dxa"/>
            <w:shd w:val="clear" w:color="auto" w:fill="FFFFFF"/>
            <w:vAlign w:val="center"/>
          </w:tcPr>
          <w:p w:rsidR="002F0755" w:rsidRPr="00AD1D78" w:rsidRDefault="002F0755" w:rsidP="002F0755">
            <w:pPr>
              <w:tabs>
                <w:tab w:val="decimal" w:pos="710"/>
              </w:tabs>
              <w:spacing w:before="60" w:after="60"/>
              <w:ind w:firstLine="0"/>
              <w:jc w:val="both"/>
              <w:rPr>
                <w:color w:val="000090"/>
                <w:sz w:val="24"/>
              </w:rPr>
            </w:pPr>
            <w:r w:rsidRPr="00AD1D78">
              <w:rPr>
                <w:color w:val="000090"/>
                <w:sz w:val="24"/>
              </w:rPr>
              <w:t>+ 1,63</w:t>
            </w:r>
          </w:p>
        </w:tc>
        <w:tc>
          <w:tcPr>
            <w:tcW w:w="1983" w:type="dxa"/>
            <w:shd w:val="clear" w:color="auto" w:fill="FFFFFF"/>
            <w:vAlign w:val="center"/>
          </w:tcPr>
          <w:p w:rsidR="002F0755" w:rsidRPr="00AD1D78" w:rsidRDefault="002F0755" w:rsidP="002F0755">
            <w:pPr>
              <w:tabs>
                <w:tab w:val="decimal" w:pos="710"/>
              </w:tabs>
              <w:spacing w:before="60" w:after="60"/>
              <w:ind w:firstLine="0"/>
              <w:jc w:val="both"/>
              <w:rPr>
                <w:color w:val="000090"/>
                <w:sz w:val="24"/>
              </w:rPr>
            </w:pPr>
            <w:r w:rsidRPr="00AD1D78">
              <w:rPr>
                <w:color w:val="000090"/>
                <w:sz w:val="24"/>
              </w:rPr>
              <w:t>-0,0244</w:t>
            </w:r>
          </w:p>
        </w:tc>
      </w:tr>
      <w:tr w:rsidR="002F0755" w:rsidRPr="00AD1D78">
        <w:tblPrEx>
          <w:tblCellMar>
            <w:top w:w="0" w:type="dxa"/>
            <w:bottom w:w="0" w:type="dxa"/>
          </w:tblCellMar>
        </w:tblPrEx>
        <w:tc>
          <w:tcPr>
            <w:tcW w:w="1982" w:type="dxa"/>
            <w:tcBorders>
              <w:top w:val="single" w:sz="4" w:space="0" w:color="auto"/>
            </w:tcBorders>
            <w:shd w:val="clear" w:color="auto" w:fill="FFFFFF"/>
            <w:vAlign w:val="bottom"/>
          </w:tcPr>
          <w:p w:rsidR="002F0755" w:rsidRPr="00AD1D78" w:rsidRDefault="002F0755" w:rsidP="002F0755">
            <w:pPr>
              <w:spacing w:before="60" w:after="60"/>
              <w:ind w:firstLine="0"/>
              <w:jc w:val="both"/>
              <w:rPr>
                <w:sz w:val="24"/>
              </w:rPr>
            </w:pPr>
            <w:r w:rsidRPr="00AD1D78">
              <w:rPr>
                <w:sz w:val="24"/>
              </w:rPr>
              <w:t>mai</w:t>
            </w:r>
          </w:p>
        </w:tc>
        <w:tc>
          <w:tcPr>
            <w:tcW w:w="2438" w:type="dxa"/>
            <w:tcBorders>
              <w:top w:val="single" w:sz="4" w:space="0" w:color="auto"/>
            </w:tcBorders>
            <w:shd w:val="clear" w:color="auto" w:fill="FFFFFF"/>
            <w:vAlign w:val="bottom"/>
          </w:tcPr>
          <w:p w:rsidR="002F0755" w:rsidRPr="00AD1D78" w:rsidRDefault="002F0755" w:rsidP="002F0755">
            <w:pPr>
              <w:spacing w:before="60" w:after="60"/>
              <w:ind w:firstLine="0"/>
              <w:jc w:val="center"/>
              <w:rPr>
                <w:sz w:val="24"/>
              </w:rPr>
            </w:pPr>
            <w:r w:rsidRPr="00AD1D78">
              <w:rPr>
                <w:sz w:val="24"/>
              </w:rPr>
              <w:t>2</w:t>
            </w:r>
          </w:p>
        </w:tc>
        <w:tc>
          <w:tcPr>
            <w:tcW w:w="1530" w:type="dxa"/>
            <w:tcBorders>
              <w:top w:val="single" w:sz="4"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13,80</w:t>
            </w:r>
          </w:p>
        </w:tc>
        <w:tc>
          <w:tcPr>
            <w:tcW w:w="1983" w:type="dxa"/>
            <w:tcBorders>
              <w:top w:val="single" w:sz="4" w:space="0" w:color="auto"/>
            </w:tcBorders>
            <w:shd w:val="clear" w:color="auto" w:fill="FFFFFF"/>
            <w:vAlign w:val="bottom"/>
          </w:tcPr>
          <w:p w:rsidR="002F0755" w:rsidRPr="00AD1D78" w:rsidRDefault="002F0755" w:rsidP="002F0755">
            <w:pPr>
              <w:tabs>
                <w:tab w:val="decimal" w:pos="710"/>
              </w:tabs>
              <w:spacing w:before="60" w:after="60"/>
              <w:ind w:firstLine="0"/>
              <w:jc w:val="both"/>
              <w:rPr>
                <w:sz w:val="24"/>
              </w:rPr>
            </w:pPr>
            <w:r w:rsidRPr="00AD1D78">
              <w:rPr>
                <w:sz w:val="24"/>
              </w:rPr>
              <w:t>1,1675</w:t>
            </w:r>
          </w:p>
        </w:tc>
      </w:tr>
      <w:tr w:rsidR="002F0755" w:rsidRPr="00AD1D78">
        <w:tblPrEx>
          <w:tblCellMar>
            <w:top w:w="0" w:type="dxa"/>
            <w:bottom w:w="0" w:type="dxa"/>
          </w:tblCellMar>
        </w:tblPrEx>
        <w:tc>
          <w:tcPr>
            <w:tcW w:w="1982" w:type="dxa"/>
            <w:tcBorders>
              <w:bottom w:val="single" w:sz="4" w:space="0" w:color="auto"/>
            </w:tcBorders>
            <w:shd w:val="clear" w:color="auto" w:fill="FFFFFF"/>
          </w:tcPr>
          <w:p w:rsidR="002F0755" w:rsidRPr="00AD1D78" w:rsidRDefault="002F0755" w:rsidP="002F0755">
            <w:pPr>
              <w:spacing w:before="60" w:after="60"/>
              <w:ind w:firstLine="0"/>
              <w:jc w:val="both"/>
              <w:rPr>
                <w:sz w:val="24"/>
              </w:rPr>
            </w:pPr>
            <w:r w:rsidRPr="00AD1D78">
              <w:rPr>
                <w:sz w:val="24"/>
              </w:rPr>
              <w:t>mai</w:t>
            </w:r>
          </w:p>
        </w:tc>
        <w:tc>
          <w:tcPr>
            <w:tcW w:w="2438" w:type="dxa"/>
            <w:tcBorders>
              <w:bottom w:val="single" w:sz="4" w:space="0" w:color="auto"/>
            </w:tcBorders>
            <w:shd w:val="clear" w:color="auto" w:fill="FFFFFF"/>
          </w:tcPr>
          <w:p w:rsidR="002F0755" w:rsidRPr="00AD1D78" w:rsidRDefault="002F0755" w:rsidP="002F0755">
            <w:pPr>
              <w:spacing w:before="60" w:after="60"/>
              <w:ind w:firstLine="0"/>
              <w:jc w:val="center"/>
              <w:rPr>
                <w:sz w:val="24"/>
              </w:rPr>
            </w:pPr>
            <w:r w:rsidRPr="00AD1D78">
              <w:rPr>
                <w:sz w:val="24"/>
              </w:rPr>
              <w:t>30</w:t>
            </w:r>
          </w:p>
        </w:tc>
        <w:tc>
          <w:tcPr>
            <w:tcW w:w="1530" w:type="dxa"/>
            <w:tcBorders>
              <w:bottom w:val="single" w:sz="4" w:space="0" w:color="auto"/>
            </w:tcBorders>
            <w:shd w:val="clear" w:color="auto" w:fill="FFFFFF"/>
          </w:tcPr>
          <w:p w:rsidR="002F0755" w:rsidRPr="00AD1D78" w:rsidRDefault="002F0755" w:rsidP="002F0755">
            <w:pPr>
              <w:tabs>
                <w:tab w:val="decimal" w:pos="710"/>
              </w:tabs>
              <w:spacing w:before="60" w:after="60"/>
              <w:ind w:firstLine="0"/>
              <w:jc w:val="both"/>
              <w:rPr>
                <w:sz w:val="24"/>
              </w:rPr>
            </w:pPr>
            <w:r w:rsidRPr="00AD1D78">
              <w:rPr>
                <w:sz w:val="24"/>
              </w:rPr>
              <w:t>14,05</w:t>
            </w:r>
          </w:p>
        </w:tc>
        <w:tc>
          <w:tcPr>
            <w:tcW w:w="1983" w:type="dxa"/>
            <w:tcBorders>
              <w:bottom w:val="single" w:sz="4" w:space="0" w:color="auto"/>
            </w:tcBorders>
            <w:shd w:val="clear" w:color="auto" w:fill="FFFFFF"/>
          </w:tcPr>
          <w:p w:rsidR="002F0755" w:rsidRPr="00AD1D78" w:rsidRDefault="002F0755" w:rsidP="002F0755">
            <w:pPr>
              <w:tabs>
                <w:tab w:val="decimal" w:pos="710"/>
              </w:tabs>
              <w:spacing w:before="60" w:after="60"/>
              <w:ind w:firstLine="0"/>
              <w:jc w:val="both"/>
              <w:rPr>
                <w:sz w:val="24"/>
              </w:rPr>
            </w:pPr>
            <w:r w:rsidRPr="00AD1D78">
              <w:rPr>
                <w:sz w:val="24"/>
              </w:rPr>
              <w:t>1,1765</w:t>
            </w:r>
          </w:p>
        </w:tc>
      </w:tr>
    </w:tbl>
    <w:p w:rsidR="002F0755" w:rsidRPr="00AD1D78" w:rsidRDefault="002F0755" w:rsidP="002F0755">
      <w:pPr>
        <w:spacing w:before="120" w:after="120"/>
        <w:ind w:firstLine="0"/>
        <w:jc w:val="both"/>
        <w:rPr>
          <w:sz w:val="24"/>
        </w:rPr>
      </w:pPr>
      <w:r w:rsidRPr="009820A8">
        <w:rPr>
          <w:rStyle w:val="En-tteoupieddepage36ptNonItaliqueEspacement0pt"/>
          <w:i/>
          <w:sz w:val="24"/>
        </w:rPr>
        <w:t>Source </w:t>
      </w:r>
      <w:r w:rsidRPr="00AD1D78">
        <w:rPr>
          <w:rStyle w:val="En-tteoupieddepage36ptNonItaliqueEspacement0pt"/>
          <w:sz w:val="24"/>
        </w:rPr>
        <w:t xml:space="preserve">: Banque du Canada, </w:t>
      </w:r>
      <w:r w:rsidRPr="009820A8">
        <w:rPr>
          <w:i/>
          <w:sz w:val="24"/>
          <w:lang w:eastAsia="fr-FR" w:bidi="fr-FR"/>
        </w:rPr>
        <w:t>Bulletins hebdomadaires de statistiques financi</w:t>
      </w:r>
      <w:r w:rsidRPr="009820A8">
        <w:rPr>
          <w:i/>
          <w:sz w:val="24"/>
          <w:lang w:eastAsia="fr-FR" w:bidi="fr-FR"/>
        </w:rPr>
        <w:t>è</w:t>
      </w:r>
      <w:r w:rsidRPr="009820A8">
        <w:rPr>
          <w:i/>
          <w:sz w:val="24"/>
          <w:lang w:eastAsia="fr-FR" w:bidi="fr-FR"/>
        </w:rPr>
        <w:t>res</w:t>
      </w:r>
      <w:r w:rsidRPr="00AD1D78">
        <w:rPr>
          <w:sz w:val="24"/>
          <w:lang w:eastAsia="fr-FR" w:bidi="fr-FR"/>
        </w:rPr>
        <w:t>.</w:t>
      </w:r>
    </w:p>
    <w:p w:rsidR="002F0755" w:rsidRPr="00AD1D78" w:rsidRDefault="002F0755" w:rsidP="002F0755">
      <w:pPr>
        <w:pStyle w:val="p"/>
      </w:pPr>
      <w:r w:rsidRPr="00AD1D78">
        <w:br w:type="page"/>
        <w:t>[240]</w:t>
      </w:r>
    </w:p>
    <w:p w:rsidR="002F0755" w:rsidRPr="00AD1D78" w:rsidRDefault="002F0755" w:rsidP="002F0755">
      <w:pPr>
        <w:pStyle w:val="figst"/>
      </w:pPr>
      <w:r w:rsidRPr="00AD1D78">
        <w:t>Graphique 1</w:t>
      </w:r>
      <w:r w:rsidRPr="00AD1D78">
        <w:br/>
        <w:t>Prêts bancaires internationaux et</w:t>
      </w:r>
      <w:r w:rsidRPr="00AD1D78">
        <w:br/>
        <w:t>opérations interbancaires, 1980-1989</w:t>
      </w:r>
    </w:p>
    <w:p w:rsidR="002F0755" w:rsidRPr="00AD1D78" w:rsidRDefault="001973DE" w:rsidP="002F0755">
      <w:pPr>
        <w:pStyle w:val="figst"/>
      </w:pPr>
      <w:r>
        <w:rPr>
          <w:noProof/>
        </w:rPr>
        <w:drawing>
          <wp:inline distT="0" distB="0" distL="0" distR="0">
            <wp:extent cx="4826000" cy="2705100"/>
            <wp:effectExtent l="0" t="0" r="0" b="0"/>
            <wp:docPr id="6" name="Image 6" descr="fig_p_240_graph_1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240_graph_1_st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6000" cy="2705100"/>
                    </a:xfrm>
                    <a:prstGeom prst="rect">
                      <a:avLst/>
                    </a:prstGeom>
                    <a:noFill/>
                    <a:ln>
                      <a:noFill/>
                    </a:ln>
                  </pic:spPr>
                </pic:pic>
              </a:graphicData>
            </a:graphic>
          </wp:inline>
        </w:drawing>
      </w:r>
    </w:p>
    <w:p w:rsidR="002F0755" w:rsidRPr="00AD1D78" w:rsidRDefault="002F0755" w:rsidP="002F0755">
      <w:pPr>
        <w:spacing w:before="120" w:after="120"/>
        <w:jc w:val="both"/>
      </w:pPr>
    </w:p>
    <w:p w:rsidR="002F0755" w:rsidRPr="00AD1D78" w:rsidRDefault="002F0755" w:rsidP="002F0755">
      <w:pPr>
        <w:pStyle w:val="figst"/>
      </w:pPr>
      <w:r w:rsidRPr="00AD1D78">
        <w:t>Graphique 2</w:t>
      </w:r>
      <w:r w:rsidRPr="00AD1D78">
        <w:br/>
        <w:t>Taux d’escompte et taux de change,</w:t>
      </w:r>
      <w:r w:rsidRPr="00AD1D78">
        <w:br/>
        <w:t xml:space="preserve">Canada, </w:t>
      </w:r>
      <w:r>
        <w:t>$ </w:t>
      </w:r>
      <w:r w:rsidRPr="00AD1D78">
        <w:t xml:space="preserve">Can / </w:t>
      </w:r>
      <w:r>
        <w:t>$ </w:t>
      </w:r>
      <w:r w:rsidRPr="00AD1D78">
        <w:t>US, janvier à mai 1990</w:t>
      </w:r>
    </w:p>
    <w:p w:rsidR="002F0755" w:rsidRPr="00AD1D78" w:rsidRDefault="001973DE" w:rsidP="002F0755">
      <w:pPr>
        <w:pStyle w:val="fig"/>
      </w:pPr>
      <w:r>
        <w:rPr>
          <w:noProof/>
        </w:rPr>
        <w:drawing>
          <wp:inline distT="0" distB="0" distL="0" distR="0">
            <wp:extent cx="4800600" cy="2565400"/>
            <wp:effectExtent l="0" t="0" r="0" b="0"/>
            <wp:docPr id="7" name="Image 7" descr="fig_p_240_graph_2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ig_p_240_graph_2_st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0600" cy="2565400"/>
                    </a:xfrm>
                    <a:prstGeom prst="rect">
                      <a:avLst/>
                    </a:prstGeom>
                    <a:noFill/>
                    <a:ln>
                      <a:noFill/>
                    </a:ln>
                  </pic:spPr>
                </pic:pic>
              </a:graphicData>
            </a:graphic>
          </wp:inline>
        </w:drawing>
      </w:r>
    </w:p>
    <w:p w:rsidR="002F0755" w:rsidRPr="00AD1D78" w:rsidRDefault="002F0755" w:rsidP="002F0755">
      <w:pPr>
        <w:spacing w:before="120" w:after="120"/>
        <w:jc w:val="both"/>
      </w:pPr>
      <w:r>
        <w:br w:type="page"/>
      </w:r>
    </w:p>
    <w:p w:rsidR="002F0755" w:rsidRPr="00AD1D78" w:rsidRDefault="002F0755" w:rsidP="002F0755">
      <w:pPr>
        <w:pStyle w:val="figst"/>
      </w:pPr>
      <w:r w:rsidRPr="00AD1D78">
        <w:t>Graphique 3</w:t>
      </w:r>
      <w:r w:rsidRPr="00AD1D78">
        <w:br/>
        <w:t>Taux d'intérêt sur les papiers commerciaux des entreprises différentiel</w:t>
      </w:r>
      <w:r w:rsidRPr="00AD1D78">
        <w:br/>
        <w:t>avec les taux américains, Canada, janvier à mai 1990</w:t>
      </w:r>
    </w:p>
    <w:p w:rsidR="002F0755" w:rsidRPr="00AD1D78" w:rsidRDefault="001973DE" w:rsidP="002F0755">
      <w:pPr>
        <w:pStyle w:val="figst"/>
      </w:pPr>
      <w:r>
        <w:rPr>
          <w:noProof/>
        </w:rPr>
        <w:drawing>
          <wp:inline distT="0" distB="0" distL="0" distR="0">
            <wp:extent cx="5092700" cy="2895600"/>
            <wp:effectExtent l="0" t="0" r="0" b="0"/>
            <wp:docPr id="8" name="Image 8" descr="fig_p_240_graph_3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240_graph_3_st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2700" cy="2895600"/>
                    </a:xfrm>
                    <a:prstGeom prst="rect">
                      <a:avLst/>
                    </a:prstGeom>
                    <a:noFill/>
                    <a:ln>
                      <a:noFill/>
                    </a:ln>
                  </pic:spPr>
                </pic:pic>
              </a:graphicData>
            </a:graphic>
          </wp:inline>
        </w:drawing>
      </w:r>
    </w:p>
    <w:p w:rsidR="002F0755" w:rsidRPr="009820A8" w:rsidRDefault="002F0755" w:rsidP="002F0755">
      <w:pPr>
        <w:pStyle w:val="figstlgende"/>
      </w:pPr>
      <w:r w:rsidRPr="009820A8">
        <w:t>Sources : Graphique 1 : Banque des règlements internationaux ; Graphiques 2 et 3: Banque du Canada</w:t>
      </w:r>
    </w:p>
    <w:p w:rsidR="002F0755" w:rsidRPr="006152E3" w:rsidRDefault="002F0755" w:rsidP="002F0755">
      <w:pPr>
        <w:pStyle w:val="p"/>
      </w:pPr>
      <w:r>
        <w:br w:type="page"/>
      </w:r>
      <w:r w:rsidR="001973DE" w:rsidRPr="006152E3">
        <w:rPr>
          <w:noProof/>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7633970</wp:posOffset>
                </wp:positionV>
                <wp:extent cx="54610" cy="13335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755" w:rsidRDefault="002F0755" w:rsidP="002F0755">
                            <w:pPr>
                              <w:spacing w:line="210" w:lineRule="exact"/>
                            </w:pPr>
                            <w:r>
                              <w:t>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5pt;margin-top:601.1pt;width:4.3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" filled="f" stroked="f">
                <v:path arrowok="t"/>
                <v:textbox style="mso-fit-shape-to-text:t" inset="0,0,0,0">
                  <w:txbxContent>
                    <w:p w:rsidR="002F0755" w:rsidRDefault="002F0755" w:rsidP="002F0755">
                      <w:pPr>
                        <w:spacing w:line="210" w:lineRule="exact"/>
                      </w:pPr>
                      <w:r>
                        <w:t>L</w:t>
                      </w:r>
                    </w:p>
                  </w:txbxContent>
                </v:textbox>
                <w10:wrap anchorx="margin"/>
              </v:shape>
            </w:pict>
          </mc:Fallback>
        </mc:AlternateContent>
      </w:r>
      <w:r>
        <w:t>[385]</w:t>
      </w:r>
    </w:p>
    <w:p w:rsidR="002F0755" w:rsidRPr="00E07116" w:rsidRDefault="002F0755" w:rsidP="002F0755">
      <w:pPr>
        <w:jc w:val="both"/>
      </w:pPr>
    </w:p>
    <w:p w:rsidR="002F0755" w:rsidRPr="00E07116" w:rsidRDefault="002F0755" w:rsidP="002F0755">
      <w:pPr>
        <w:jc w:val="both"/>
      </w:pPr>
    </w:p>
    <w:p w:rsidR="002F0755" w:rsidRPr="00E07116" w:rsidRDefault="002F0755" w:rsidP="002F0755">
      <w:pPr>
        <w:jc w:val="both"/>
      </w:pPr>
    </w:p>
    <w:p w:rsidR="002F0755" w:rsidRPr="00FB1B47" w:rsidRDefault="002F0755" w:rsidP="002F0755">
      <w:pPr>
        <w:spacing w:after="120"/>
        <w:ind w:firstLine="0"/>
        <w:jc w:val="center"/>
        <w:rPr>
          <w:i/>
        </w:rPr>
      </w:pPr>
      <w:bookmarkStart w:id="2" w:name="Mondialisation_notes_auteurs"/>
      <w:r w:rsidRPr="002D55AF">
        <w:rPr>
          <w:b/>
          <w:sz w:val="24"/>
        </w:rPr>
        <w:t>Mondialisation et régionalisation.</w:t>
      </w:r>
      <w:r>
        <w:rPr>
          <w:b/>
          <w:sz w:val="24"/>
        </w:rPr>
        <w:br/>
      </w:r>
      <w:r w:rsidRPr="002D55AF">
        <w:rPr>
          <w:i/>
          <w:sz w:val="24"/>
        </w:rPr>
        <w:t>La coopération économique internationale est-elle encore possible ?</w:t>
      </w:r>
    </w:p>
    <w:p w:rsidR="002F0755" w:rsidRPr="00B6500E" w:rsidRDefault="002F0755" w:rsidP="002F0755">
      <w:pPr>
        <w:pStyle w:val="planchest"/>
      </w:pPr>
      <w:r>
        <w:t>NOTES SUR LES AUTEURS</w:t>
      </w:r>
    </w:p>
    <w:bookmarkEnd w:id="2"/>
    <w:p w:rsidR="002F0755" w:rsidRPr="00E07116" w:rsidRDefault="002F0755" w:rsidP="002F0755">
      <w:pPr>
        <w:jc w:val="both"/>
      </w:pPr>
    </w:p>
    <w:p w:rsidR="002F0755" w:rsidRPr="00E07116" w:rsidRDefault="002F0755" w:rsidP="002F0755">
      <w:pPr>
        <w:jc w:val="both"/>
      </w:pPr>
    </w:p>
    <w:p w:rsidR="002F0755" w:rsidRPr="00E07116" w:rsidRDefault="002F0755" w:rsidP="002F0755">
      <w:pPr>
        <w:jc w:val="both"/>
      </w:pPr>
    </w:p>
    <w:p w:rsidR="002F0755" w:rsidRPr="00E07116" w:rsidRDefault="002F0755" w:rsidP="002F0755">
      <w:pPr>
        <w:jc w:val="both"/>
      </w:pPr>
    </w:p>
    <w:p w:rsidR="002F0755" w:rsidRPr="00E07116" w:rsidRDefault="002F0755" w:rsidP="002F0755">
      <w:pPr>
        <w:jc w:val="both"/>
      </w:pPr>
    </w:p>
    <w:p w:rsidR="002F0755" w:rsidRPr="00384B20" w:rsidRDefault="002F0755" w:rsidP="002F0755">
      <w:pPr>
        <w:ind w:right="90" w:firstLine="0"/>
        <w:jc w:val="both"/>
        <w:rPr>
          <w:sz w:val="20"/>
        </w:rPr>
      </w:pPr>
      <w:hyperlink w:anchor="tdm" w:history="1">
        <w:r w:rsidRPr="00384B20">
          <w:rPr>
            <w:rStyle w:val="Lienhypertexte"/>
            <w:sz w:val="20"/>
          </w:rPr>
          <w:t>Retour à la table des matières</w:t>
        </w:r>
      </w:hyperlink>
    </w:p>
    <w:p w:rsidR="002F0755" w:rsidRPr="006152E3" w:rsidRDefault="002F0755" w:rsidP="002F0755">
      <w:pPr>
        <w:spacing w:before="120" w:after="120"/>
        <w:jc w:val="both"/>
      </w:pPr>
      <w:r w:rsidRPr="00AB54E6">
        <w:rPr>
          <w:b/>
          <w:i/>
        </w:rPr>
        <w:t>Bernard ÉLIE</w:t>
      </w:r>
      <w:r w:rsidRPr="006152E3">
        <w:t xml:space="preserve"> est professeur au département de sciences écon</w:t>
      </w:r>
      <w:r w:rsidRPr="006152E3">
        <w:t>o</w:t>
      </w:r>
      <w:r w:rsidRPr="006152E3">
        <w:t>miques de l'UQAM. Spécialiste des théories monétaires et de l'éc</w:t>
      </w:r>
      <w:r w:rsidRPr="006152E3">
        <w:t>o</w:t>
      </w:r>
      <w:r w:rsidRPr="006152E3">
        <w:t>nomie financière intern</w:t>
      </w:r>
      <w:r w:rsidRPr="006152E3">
        <w:t>a</w:t>
      </w:r>
      <w:r w:rsidRPr="006152E3">
        <w:t>tionale, il est aussi vice-doyen de la Famille sciences humaines de l'UQAM. Ses publications portent sur les tran</w:t>
      </w:r>
      <w:r w:rsidRPr="006152E3">
        <w:t>s</w:t>
      </w:r>
      <w:r w:rsidRPr="006152E3">
        <w:t>formations du système financier international.</w:t>
      </w:r>
    </w:p>
    <w:p w:rsidR="002F0755" w:rsidRPr="0078227C" w:rsidRDefault="002F0755" w:rsidP="002F0755">
      <w:pPr>
        <w:jc w:val="both"/>
      </w:pPr>
    </w:p>
    <w:sectPr w:rsidR="002F0755" w:rsidRPr="0078227C" w:rsidSect="002F0755">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CC5" w:rsidRDefault="00051CC5">
      <w:r>
        <w:separator/>
      </w:r>
    </w:p>
  </w:endnote>
  <w:endnote w:type="continuationSeparator" w:id="0">
    <w:p w:rsidR="00051CC5" w:rsidRDefault="0005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CC5" w:rsidRDefault="00051CC5">
      <w:pPr>
        <w:ind w:firstLine="0"/>
      </w:pPr>
      <w:r>
        <w:separator/>
      </w:r>
    </w:p>
  </w:footnote>
  <w:footnote w:type="continuationSeparator" w:id="0">
    <w:p w:rsidR="00051CC5" w:rsidRDefault="00051CC5">
      <w:pPr>
        <w:ind w:firstLine="0"/>
      </w:pPr>
      <w:r>
        <w:separator/>
      </w:r>
    </w:p>
  </w:footnote>
  <w:footnote w:id="1">
    <w:p w:rsidR="002F0755" w:rsidRPr="00246A60" w:rsidRDefault="002F0755" w:rsidP="002F0755">
      <w:pPr>
        <w:pStyle w:val="Notedebasdepage"/>
        <w:rPr>
          <w:lang w:val="fr-FR"/>
        </w:rPr>
      </w:pPr>
      <w:r>
        <w:rPr>
          <w:rStyle w:val="Appelnotedebasdep"/>
        </w:rPr>
        <w:footnoteRef/>
      </w:r>
      <w:r>
        <w:t xml:space="preserve"> </w:t>
      </w:r>
      <w:r>
        <w:rPr>
          <w:lang w:val="fr-FR"/>
        </w:rPr>
        <w:tab/>
      </w:r>
      <w:r w:rsidRPr="00AD1D78">
        <w:rPr>
          <w:lang w:val="fr-FR" w:eastAsia="fr-FR" w:bidi="fr-FR"/>
        </w:rPr>
        <w:t>Au Canada, les opérations hors bilan ne constituent pas à proprement parler une activité nouvelle pour les banques. Pendant de nombreuses années, ces dernières ont pris divers engagements et contracté des dettes potentielles mais, comme dans plusieurs pays, les normes comptables auxquelles les banques do</w:t>
      </w:r>
      <w:r w:rsidRPr="00AD1D78">
        <w:rPr>
          <w:lang w:val="fr-FR" w:eastAsia="fr-FR" w:bidi="fr-FR"/>
        </w:rPr>
        <w:t>i</w:t>
      </w:r>
      <w:r w:rsidRPr="00AD1D78">
        <w:rPr>
          <w:lang w:val="fr-FR" w:eastAsia="fr-FR" w:bidi="fr-FR"/>
        </w:rPr>
        <w:t>vent se plier (celles de l'Institut c</w:t>
      </w:r>
      <w:r>
        <w:rPr>
          <w:lang w:val="fr-FR" w:eastAsia="fr-FR" w:bidi="fr-FR"/>
        </w:rPr>
        <w:t>anadien des comptables agréés [l’</w:t>
      </w:r>
      <w:r w:rsidRPr="00AD1D78">
        <w:rPr>
          <w:lang w:val="fr-FR" w:eastAsia="fr-FR" w:bidi="fr-FR"/>
        </w:rPr>
        <w:t>ICCA]) ne font pas référence aux opérations hors bilan. Un groupe de tr</w:t>
      </w:r>
      <w:r w:rsidRPr="00AD1D78">
        <w:rPr>
          <w:lang w:val="fr-FR" w:eastAsia="fr-FR" w:bidi="fr-FR"/>
        </w:rPr>
        <w:t>a</w:t>
      </w:r>
      <w:r w:rsidRPr="00AD1D78">
        <w:rPr>
          <w:lang w:val="fr-FR" w:eastAsia="fr-FR" w:bidi="fr-FR"/>
        </w:rPr>
        <w:t>vail se penche actuell</w:t>
      </w:r>
      <w:r w:rsidRPr="00AD1D78">
        <w:rPr>
          <w:lang w:val="fr-FR" w:eastAsia="fr-FR" w:bidi="fr-FR"/>
        </w:rPr>
        <w:t>e</w:t>
      </w:r>
      <w:r w:rsidRPr="00AD1D78">
        <w:rPr>
          <w:lang w:val="fr-FR" w:eastAsia="fr-FR" w:bidi="fr-FR"/>
        </w:rPr>
        <w:t>ment sur la présentation et le traitement comptable de ces opérations (OCDE, 1988,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755" w:rsidRDefault="002F0755" w:rsidP="002F075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036A44">
      <w:rPr>
        <w:rFonts w:ascii="Times New Roman" w:hAnsi="Times New Roman"/>
      </w:rPr>
      <w:t>“L’évolution du système financier international et son impact dans les années ‘90.”</w:t>
    </w:r>
    <w:r>
      <w:rPr>
        <w:rFonts w:ascii="Times New Roman" w:hAnsi="Times New Roman"/>
      </w:rPr>
      <w:t xml:space="preserve"> (1992)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51CC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30</w:t>
    </w:r>
    <w:r>
      <w:rPr>
        <w:rStyle w:val="Numrodepage"/>
        <w:rFonts w:ascii="Times New Roman" w:hAnsi="Times New Roman"/>
      </w:rPr>
      <w:fldChar w:fldCharType="end"/>
    </w:r>
  </w:p>
  <w:p w:rsidR="002F0755" w:rsidRDefault="002F075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0E0899A"/>
    <w:lvl w:ilvl="0">
      <w:numFmt w:val="bullet"/>
      <w:lvlText w:val="*"/>
      <w:lvlJc w:val="left"/>
    </w:lvl>
  </w:abstractNum>
  <w:abstractNum w:abstractNumId="2" w15:restartNumberingAfterBreak="0">
    <w:nsid w:val="00E3344D"/>
    <w:multiLevelType w:val="multilevel"/>
    <w:tmpl w:val="7D6E8C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B6B68"/>
    <w:multiLevelType w:val="multilevel"/>
    <w:tmpl w:val="11901C56"/>
    <w:lvl w:ilvl="0">
      <w:start w:val="19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03E6D"/>
    <w:multiLevelType w:val="singleLevel"/>
    <w:tmpl w:val="52E240C4"/>
    <w:lvl w:ilvl="0">
      <w:start w:val="3"/>
      <w:numFmt w:val="decimal"/>
      <w:lvlText w:val="%1)"/>
      <w:legacy w:legacy="1" w:legacySpace="0" w:legacyIndent="341"/>
      <w:lvlJc w:val="left"/>
      <w:rPr>
        <w:rFonts w:ascii="Times New Roman" w:hAnsi="Times New Roman" w:hint="default"/>
      </w:rPr>
    </w:lvl>
  </w:abstractNum>
  <w:abstractNum w:abstractNumId="5" w15:restartNumberingAfterBreak="0">
    <w:nsid w:val="0C844305"/>
    <w:multiLevelType w:val="multilevel"/>
    <w:tmpl w:val="AEF8E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D56C7B"/>
    <w:multiLevelType w:val="multilevel"/>
    <w:tmpl w:val="EEB65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34D88"/>
    <w:multiLevelType w:val="hybridMultilevel"/>
    <w:tmpl w:val="28B620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574365"/>
    <w:multiLevelType w:val="singleLevel"/>
    <w:tmpl w:val="8280E512"/>
    <w:lvl w:ilvl="0">
      <w:start w:val="3"/>
      <w:numFmt w:val="lowerLetter"/>
      <w:lvlText w:val="%1)"/>
      <w:legacy w:legacy="1" w:legacySpace="0" w:legacyIndent="341"/>
      <w:lvlJc w:val="left"/>
      <w:rPr>
        <w:rFonts w:ascii="Times New Roman" w:hAnsi="Times New Roman" w:hint="default"/>
      </w:rPr>
    </w:lvl>
  </w:abstractNum>
  <w:abstractNum w:abstractNumId="9" w15:restartNumberingAfterBreak="0">
    <w:nsid w:val="16E62273"/>
    <w:multiLevelType w:val="singleLevel"/>
    <w:tmpl w:val="B4F81BCE"/>
    <w:lvl w:ilvl="0">
      <w:start w:val="1"/>
      <w:numFmt w:val="lowerLetter"/>
      <w:lvlText w:val="%1)"/>
      <w:legacy w:legacy="1" w:legacySpace="0" w:legacyIndent="346"/>
      <w:lvlJc w:val="left"/>
      <w:rPr>
        <w:rFonts w:ascii="Times New Roman" w:hAnsi="Times New Roman" w:hint="default"/>
      </w:rPr>
    </w:lvl>
  </w:abstractNum>
  <w:abstractNum w:abstractNumId="10" w15:restartNumberingAfterBreak="0">
    <w:nsid w:val="1C5D47E3"/>
    <w:multiLevelType w:val="hybridMultilevel"/>
    <w:tmpl w:val="FA4AA39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F5F3CC0"/>
    <w:multiLevelType w:val="singleLevel"/>
    <w:tmpl w:val="7E642852"/>
    <w:lvl w:ilvl="0">
      <w:start w:val="1"/>
      <w:numFmt w:val="decimal"/>
      <w:lvlText w:val="%1)"/>
      <w:legacy w:legacy="1" w:legacySpace="0" w:legacyIndent="322"/>
      <w:lvlJc w:val="left"/>
      <w:rPr>
        <w:rFonts w:ascii="Times New Roman" w:hAnsi="Times New Roman" w:hint="default"/>
      </w:rPr>
    </w:lvl>
  </w:abstractNum>
  <w:abstractNum w:abstractNumId="12" w15:restartNumberingAfterBreak="0">
    <w:nsid w:val="20E100A9"/>
    <w:multiLevelType w:val="multilevel"/>
    <w:tmpl w:val="108E8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DE736F"/>
    <w:multiLevelType w:val="multilevel"/>
    <w:tmpl w:val="5A806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A37CB5"/>
    <w:multiLevelType w:val="multilevel"/>
    <w:tmpl w:val="0524A5D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4B0496"/>
    <w:multiLevelType w:val="singleLevel"/>
    <w:tmpl w:val="D64CB7C8"/>
    <w:lvl w:ilvl="0">
      <w:start w:val="1"/>
      <w:numFmt w:val="lowerLetter"/>
      <w:lvlText w:val="%1)"/>
      <w:legacy w:legacy="1" w:legacySpace="0" w:legacyIndent="341"/>
      <w:lvlJc w:val="left"/>
      <w:rPr>
        <w:rFonts w:ascii="Times New Roman" w:hAnsi="Times New Roman" w:hint="default"/>
      </w:rPr>
    </w:lvl>
  </w:abstractNum>
  <w:abstractNum w:abstractNumId="16" w15:restartNumberingAfterBreak="0">
    <w:nsid w:val="279E1FEC"/>
    <w:multiLevelType w:val="multilevel"/>
    <w:tmpl w:val="C37604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8F0DB3"/>
    <w:multiLevelType w:val="singleLevel"/>
    <w:tmpl w:val="96F85306"/>
    <w:lvl w:ilvl="0">
      <w:start w:val="1"/>
      <w:numFmt w:val="decimal"/>
      <w:lvlText w:val="(%1)"/>
      <w:legacy w:legacy="1" w:legacySpace="0" w:legacyIndent="538"/>
      <w:lvlJc w:val="left"/>
      <w:rPr>
        <w:rFonts w:ascii="Times New Roman" w:hAnsi="Times New Roman" w:hint="default"/>
      </w:rPr>
    </w:lvl>
  </w:abstractNum>
  <w:abstractNum w:abstractNumId="18" w15:restartNumberingAfterBreak="0">
    <w:nsid w:val="2AD02C3A"/>
    <w:multiLevelType w:val="singleLevel"/>
    <w:tmpl w:val="C206108A"/>
    <w:lvl w:ilvl="0">
      <w:start w:val="12"/>
      <w:numFmt w:val="decimal"/>
      <w:lvlText w:val="%1"/>
      <w:legacy w:legacy="1" w:legacySpace="0" w:legacyIndent="288"/>
      <w:lvlJc w:val="left"/>
      <w:rPr>
        <w:rFonts w:ascii="Times New Roman" w:hAnsi="Times New Roman" w:hint="default"/>
      </w:rPr>
    </w:lvl>
  </w:abstractNum>
  <w:abstractNum w:abstractNumId="19" w15:restartNumberingAfterBreak="0">
    <w:nsid w:val="2E6D56BB"/>
    <w:multiLevelType w:val="singleLevel"/>
    <w:tmpl w:val="3BEC4FCA"/>
    <w:lvl w:ilvl="0">
      <w:start w:val="3"/>
      <w:numFmt w:val="decimal"/>
      <w:lvlText w:val="(%1)"/>
      <w:legacy w:legacy="1" w:legacySpace="0" w:legacyIndent="538"/>
      <w:lvlJc w:val="left"/>
      <w:rPr>
        <w:rFonts w:ascii="Times New Roman" w:hAnsi="Times New Roman" w:hint="default"/>
      </w:rPr>
    </w:lvl>
  </w:abstractNum>
  <w:abstractNum w:abstractNumId="20" w15:restartNumberingAfterBreak="0">
    <w:nsid w:val="346B2488"/>
    <w:multiLevelType w:val="multilevel"/>
    <w:tmpl w:val="68226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986B7F"/>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22" w15:restartNumberingAfterBreak="0">
    <w:nsid w:val="38F25C6B"/>
    <w:multiLevelType w:val="singleLevel"/>
    <w:tmpl w:val="93AE099A"/>
    <w:lvl w:ilvl="0">
      <w:start w:val="1"/>
      <w:numFmt w:val="lowerLetter"/>
      <w:lvlText w:val="%1)"/>
      <w:legacy w:legacy="1" w:legacySpace="0" w:legacyIndent="408"/>
      <w:lvlJc w:val="left"/>
      <w:rPr>
        <w:rFonts w:ascii="Times New Roman" w:hAnsi="Times New Roman" w:hint="default"/>
      </w:rPr>
    </w:lvl>
  </w:abstractNum>
  <w:abstractNum w:abstractNumId="2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55D23"/>
    <w:multiLevelType w:val="multilevel"/>
    <w:tmpl w:val="9EFE0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82358D"/>
    <w:multiLevelType w:val="multilevel"/>
    <w:tmpl w:val="46E65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7511A"/>
    <w:multiLevelType w:val="multilevel"/>
    <w:tmpl w:val="43F0E1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FA6E9A"/>
    <w:multiLevelType w:val="singleLevel"/>
    <w:tmpl w:val="7F6AA3E8"/>
    <w:lvl w:ilvl="0">
      <w:start w:val="1"/>
      <w:numFmt w:val="decimal"/>
      <w:lvlText w:val="%1."/>
      <w:legacy w:legacy="1" w:legacySpace="0" w:legacyIndent="336"/>
      <w:lvlJc w:val="left"/>
      <w:rPr>
        <w:rFonts w:ascii="Times New Roman" w:hAnsi="Times New Roman" w:hint="default"/>
      </w:rPr>
    </w:lvl>
  </w:abstractNum>
  <w:abstractNum w:abstractNumId="28" w15:restartNumberingAfterBreak="0">
    <w:nsid w:val="5CBA1986"/>
    <w:multiLevelType w:val="multilevel"/>
    <w:tmpl w:val="DEBEAB0E"/>
    <w:lvl w:ilvl="0">
      <w:start w:val="1"/>
      <w:numFmt w:val="bullet"/>
      <w:lvlText w:val=""/>
      <w:lvlJc w:val="left"/>
      <w:pPr>
        <w:tabs>
          <w:tab w:val="num" w:pos="720"/>
        </w:tabs>
        <w:ind w:left="720" w:hanging="360"/>
      </w:pPr>
      <w:rPr>
        <w:rFonts w:ascii="Symbol" w:hAnsi="Symbol" w:hint="default"/>
        <w:sz w:val="20"/>
        <w:lang w:val="fr-C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E4CEC"/>
    <w:multiLevelType w:val="multilevel"/>
    <w:tmpl w:val="8FB69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B53443"/>
    <w:multiLevelType w:val="multilevel"/>
    <w:tmpl w:val="656A1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A160AC"/>
    <w:multiLevelType w:val="multilevel"/>
    <w:tmpl w:val="08B2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A0756"/>
    <w:multiLevelType w:val="singleLevel"/>
    <w:tmpl w:val="56544E6E"/>
    <w:lvl w:ilvl="0">
      <w:start w:val="2"/>
      <w:numFmt w:val="decimal"/>
      <w:lvlText w:val="%1)"/>
      <w:legacy w:legacy="1" w:legacySpace="0" w:legacyIndent="538"/>
      <w:lvlJc w:val="left"/>
      <w:rPr>
        <w:rFonts w:ascii="Times New Roman" w:hAnsi="Times New Roman" w:hint="default"/>
      </w:rPr>
    </w:lvl>
  </w:abstractNum>
  <w:abstractNum w:abstractNumId="33" w15:restartNumberingAfterBreak="0">
    <w:nsid w:val="6B3357DD"/>
    <w:multiLevelType w:val="singleLevel"/>
    <w:tmpl w:val="25F21708"/>
    <w:lvl w:ilvl="0">
      <w:start w:val="6"/>
      <w:numFmt w:val="decimal"/>
      <w:lvlText w:val="%1"/>
      <w:legacy w:legacy="1" w:legacySpace="0" w:legacyIndent="135"/>
      <w:lvlJc w:val="left"/>
      <w:rPr>
        <w:rFonts w:ascii="Times New Roman" w:hAnsi="Times New Roman" w:hint="default"/>
      </w:rPr>
    </w:lvl>
  </w:abstractNum>
  <w:abstractNum w:abstractNumId="34" w15:restartNumberingAfterBreak="0">
    <w:nsid w:val="6D0A6C98"/>
    <w:multiLevelType w:val="singleLevel"/>
    <w:tmpl w:val="7EF063EE"/>
    <w:lvl w:ilvl="0">
      <w:start w:val="1"/>
      <w:numFmt w:val="decimal"/>
      <w:lvlText w:val="%1)"/>
      <w:legacy w:legacy="1" w:legacySpace="0" w:legacyIndent="341"/>
      <w:lvlJc w:val="left"/>
      <w:rPr>
        <w:rFonts w:ascii="Times New Roman" w:hAnsi="Times New Roman" w:hint="default"/>
      </w:rPr>
    </w:lvl>
  </w:abstractNum>
  <w:abstractNum w:abstractNumId="35" w15:restartNumberingAfterBreak="0">
    <w:nsid w:val="772E7A94"/>
    <w:multiLevelType w:val="multilevel"/>
    <w:tmpl w:val="9DEE57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7"/>
  </w:num>
  <w:num w:numId="4">
    <w:abstractNumId w:val="10"/>
  </w:num>
  <w:num w:numId="5">
    <w:abstractNumId w:val="0"/>
  </w:num>
  <w:num w:numId="6">
    <w:abstractNumId w:val="15"/>
  </w:num>
  <w:num w:numId="7">
    <w:abstractNumId w:val="8"/>
  </w:num>
  <w:num w:numId="8">
    <w:abstractNumId w:val="21"/>
  </w:num>
  <w:num w:numId="9">
    <w:abstractNumId w:val="27"/>
  </w:num>
  <w:num w:numId="10">
    <w:abstractNumId w:val="17"/>
  </w:num>
  <w:num w:numId="11">
    <w:abstractNumId w:val="19"/>
  </w:num>
  <w:num w:numId="12">
    <w:abstractNumId w:val="18"/>
  </w:num>
  <w:num w:numId="13">
    <w:abstractNumId w:val="33"/>
  </w:num>
  <w:num w:numId="14">
    <w:abstractNumId w:val="34"/>
  </w:num>
  <w:num w:numId="15">
    <w:abstractNumId w:val="11"/>
  </w:num>
  <w:num w:numId="16">
    <w:abstractNumId w:val="4"/>
  </w:num>
  <w:num w:numId="17">
    <w:abstractNumId w:val="9"/>
  </w:num>
  <w:num w:numId="18">
    <w:abstractNumId w:val="1"/>
    <w:lvlOverride w:ilvl="0">
      <w:lvl w:ilvl="0">
        <w:start w:val="65535"/>
        <w:numFmt w:val="bullet"/>
        <w:lvlText w:val="•"/>
        <w:legacy w:legacy="1" w:legacySpace="0" w:legacyIndent="533"/>
        <w:lvlJc w:val="left"/>
        <w:rPr>
          <w:rFonts w:ascii="Times New Roman" w:hAnsi="Times New Roman" w:hint="default"/>
        </w:rPr>
      </w:lvl>
    </w:lvlOverride>
  </w:num>
  <w:num w:numId="19">
    <w:abstractNumId w:val="1"/>
    <w:lvlOverride w:ilvl="0">
      <w:lvl w:ilvl="0">
        <w:start w:val="65535"/>
        <w:numFmt w:val="bullet"/>
        <w:lvlText w:val="•"/>
        <w:legacy w:legacy="1" w:legacySpace="0" w:legacyIndent="336"/>
        <w:lvlJc w:val="left"/>
        <w:rPr>
          <w:rFonts w:ascii="Times New Roman" w:hAnsi="Times New Roman" w:hint="default"/>
        </w:rPr>
      </w:lvl>
    </w:lvlOverride>
  </w:num>
  <w:num w:numId="20">
    <w:abstractNumId w:val="22"/>
  </w:num>
  <w:num w:numId="21">
    <w:abstractNumId w:val="1"/>
    <w:lvlOverride w:ilvl="0">
      <w:lvl w:ilvl="0">
        <w:start w:val="65535"/>
        <w:numFmt w:val="bullet"/>
        <w:lvlText w:val="Y"/>
        <w:legacy w:legacy="1" w:legacySpace="0" w:legacyIndent="125"/>
        <w:lvlJc w:val="left"/>
        <w:rPr>
          <w:rFonts w:ascii="Times New Roman" w:hAnsi="Times New Roman" w:hint="default"/>
        </w:rPr>
      </w:lvl>
    </w:lvlOverride>
  </w:num>
  <w:num w:numId="22">
    <w:abstractNumId w:val="32"/>
  </w:num>
  <w:num w:numId="23">
    <w:abstractNumId w:val="3"/>
  </w:num>
  <w:num w:numId="24">
    <w:abstractNumId w:val="29"/>
  </w:num>
  <w:num w:numId="25">
    <w:abstractNumId w:val="12"/>
  </w:num>
  <w:num w:numId="26">
    <w:abstractNumId w:val="5"/>
  </w:num>
  <w:num w:numId="27">
    <w:abstractNumId w:val="26"/>
  </w:num>
  <w:num w:numId="28">
    <w:abstractNumId w:val="20"/>
  </w:num>
  <w:num w:numId="29">
    <w:abstractNumId w:val="31"/>
  </w:num>
  <w:num w:numId="30">
    <w:abstractNumId w:val="25"/>
  </w:num>
  <w:num w:numId="31">
    <w:abstractNumId w:val="24"/>
  </w:num>
  <w:num w:numId="32">
    <w:abstractNumId w:val="2"/>
  </w:num>
  <w:num w:numId="33">
    <w:abstractNumId w:val="35"/>
  </w:num>
  <w:num w:numId="34">
    <w:abstractNumId w:val="16"/>
  </w:num>
  <w:num w:numId="35">
    <w:abstractNumId w:val="14"/>
  </w:num>
  <w:num w:numId="36">
    <w:abstractNumId w:val="13"/>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51CC5"/>
    <w:rsid w:val="001973DE"/>
    <w:rsid w:val="002F075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9B8B81E-B18D-D64C-9E49-6D75B61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6B4F09"/>
    <w:pPr>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F96528"/>
    <w:pPr>
      <w:widowControl w:val="0"/>
      <w:pBdr>
        <w:bottom w:val="none" w:sz="0" w:space="0" w:color="auto"/>
      </w:pBdr>
      <w:spacing w:before="120"/>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7A5EF4"/>
    <w:pPr>
      <w:widowControl w:val="0"/>
    </w:pPr>
    <w:rPr>
      <w:rFonts w:ascii="Times New Roman" w:hAnsi="Times New Roman"/>
      <w:b w:val="0"/>
      <w:color w:val="000080"/>
      <w:sz w:val="44"/>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F96528"/>
    <w:pPr>
      <w:tabs>
        <w:tab w:val="right" w:pos="9360"/>
      </w:tabs>
      <w:ind w:firstLine="0"/>
      <w:jc w:val="center"/>
    </w:pPr>
    <w:rPr>
      <w:color w:val="008000"/>
      <w:sz w:val="32"/>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A2C2E"/>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5"/>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9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color w:val="0000FF"/>
      <w:sz w:val="24"/>
    </w:rPr>
  </w:style>
  <w:style w:type="paragraph" w:customStyle="1" w:styleId="c">
    <w:name w:val="c"/>
    <w:basedOn w:val="Normal0"/>
    <w:rsid w:val="00D64698"/>
    <w:pPr>
      <w:ind w:firstLine="0"/>
      <w:jc w:val="center"/>
    </w:p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6B4F09"/>
    <w:rPr>
      <w:rFonts w:ascii="Times New Roman" w:eastAsia="Times New Roman" w:hAnsi="Times New Roman"/>
      <w:color w:val="000080"/>
      <w:sz w:val="24"/>
      <w:lang w:val="fr-CA"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99ptNonItalique">
    <w:name w:val="Corps du texte (19) + 9 pt;Non Italique"/>
    <w:rsid w:val="003C0CB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0">
    <w:name w:val="Note de bas de page_"/>
    <w:link w:val="Notedebasdepage2"/>
    <w:rsid w:val="0078227C"/>
    <w:rPr>
      <w:rFonts w:ascii="Times New Roman" w:eastAsia="Times New Roman" w:hAnsi="Times New Roman"/>
      <w:sz w:val="18"/>
      <w:szCs w:val="18"/>
      <w:shd w:val="clear" w:color="auto" w:fill="FFFFFF"/>
    </w:rPr>
  </w:style>
  <w:style w:type="character" w:customStyle="1" w:styleId="NotedebasdepageItalique">
    <w:name w:val="Note de bas de page + Italique"/>
    <w:rsid w:val="0078227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1">
    <w:name w:val="Note de bas de page1"/>
    <w:rsid w:val="0078227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fr-FR" w:eastAsia="fr-FR" w:bidi="fr-FR"/>
    </w:rPr>
  </w:style>
  <w:style w:type="character" w:customStyle="1" w:styleId="NotedebasdepagePetitesmajuscules">
    <w:name w:val="Note de bas de page + Petites majuscules"/>
    <w:rsid w:val="0078227C"/>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paragraph" w:customStyle="1" w:styleId="aa">
    <w:name w:val="aa"/>
    <w:basedOn w:val="Normal"/>
    <w:autoRedefine/>
    <w:rsid w:val="006A2C2E"/>
    <w:pPr>
      <w:spacing w:before="120" w:after="120"/>
      <w:ind w:firstLine="0"/>
    </w:pPr>
    <w:rPr>
      <w:b/>
      <w:i/>
      <w:caps/>
      <w:color w:val="FF0000"/>
      <w:sz w:val="32"/>
      <w:lang w:eastAsia="fr-FR" w:bidi="fr-FR"/>
    </w:rPr>
  </w:style>
  <w:style w:type="paragraph" w:customStyle="1" w:styleId="b">
    <w:name w:val="b"/>
    <w:basedOn w:val="Normal"/>
    <w:autoRedefine/>
    <w:rsid w:val="00F04E27"/>
    <w:pPr>
      <w:spacing w:before="120" w:after="120"/>
      <w:ind w:left="720" w:firstLine="0"/>
    </w:pPr>
    <w:rPr>
      <w:i/>
      <w:color w:val="0000FF"/>
    </w:rPr>
  </w:style>
  <w:style w:type="paragraph" w:customStyle="1" w:styleId="bb">
    <w:name w:val="bb"/>
    <w:basedOn w:val="Normal"/>
    <w:rsid w:val="0078227C"/>
    <w:pPr>
      <w:spacing w:before="120" w:after="120"/>
      <w:ind w:left="540"/>
    </w:pPr>
    <w:rPr>
      <w:i/>
      <w:color w:val="0000FF"/>
    </w:rPr>
  </w:style>
  <w:style w:type="character" w:customStyle="1" w:styleId="Lgendedelimage2">
    <w:name w:val="Légende de l'image (2)_"/>
    <w:link w:val="Lgendedelimage20"/>
    <w:rsid w:val="0078227C"/>
    <w:rPr>
      <w:rFonts w:ascii="Times New Roman" w:eastAsia="Times New Roman" w:hAnsi="Times New Roman"/>
      <w:b/>
      <w:bCs/>
      <w:sz w:val="32"/>
      <w:szCs w:val="32"/>
      <w:shd w:val="clear" w:color="auto" w:fill="FFFFFF"/>
    </w:rPr>
  </w:style>
  <w:style w:type="character" w:customStyle="1" w:styleId="Lgendedelimage">
    <w:name w:val="Légende de l'image_"/>
    <w:link w:val="Lgendedelimage0"/>
    <w:rsid w:val="0078227C"/>
    <w:rPr>
      <w:rFonts w:ascii="Arial" w:eastAsia="Arial" w:hAnsi="Arial" w:cs="Arial"/>
      <w:sz w:val="21"/>
      <w:szCs w:val="21"/>
      <w:shd w:val="clear" w:color="auto" w:fill="FFFFFF"/>
    </w:rPr>
  </w:style>
  <w:style w:type="character" w:customStyle="1" w:styleId="En-tte4">
    <w:name w:val="En-tête #4_"/>
    <w:link w:val="En-tte40"/>
    <w:rsid w:val="0078227C"/>
    <w:rPr>
      <w:rFonts w:ascii="Times New Roman" w:eastAsia="Times New Roman" w:hAnsi="Times New Roman"/>
      <w:w w:val="80"/>
      <w:sz w:val="30"/>
      <w:szCs w:val="30"/>
      <w:shd w:val="clear" w:color="auto" w:fill="FFFFFF"/>
    </w:rPr>
  </w:style>
  <w:style w:type="character" w:customStyle="1" w:styleId="En-tte416ptGraschelle100">
    <w:name w:val="En-tête #4 + 16 pt;Gras;Échelle 100%"/>
    <w:rsid w:val="0078227C"/>
    <w:rPr>
      <w:rFonts w:ascii="Times New Roman" w:eastAsia="Times New Roman" w:hAnsi="Times New Roman" w:cs="Times New Roman"/>
      <w:b/>
      <w:bCs/>
      <w:i w:val="0"/>
      <w:iCs w:val="0"/>
      <w:smallCaps w:val="0"/>
      <w:strike w:val="0"/>
      <w:color w:val="FFFFFF"/>
      <w:spacing w:val="0"/>
      <w:w w:val="100"/>
      <w:position w:val="0"/>
      <w:sz w:val="32"/>
      <w:szCs w:val="32"/>
      <w:u w:val="none"/>
      <w:lang w:val="fr-FR" w:eastAsia="fr-FR" w:bidi="fr-FR"/>
    </w:rPr>
  </w:style>
  <w:style w:type="paragraph" w:customStyle="1" w:styleId="Citation0">
    <w:name w:val="Citation 0"/>
    <w:basedOn w:val="Grillecouleur-Accent1"/>
    <w:autoRedefine/>
    <w:rsid w:val="00495A5A"/>
    <w:pPr>
      <w:spacing w:before="120" w:after="120"/>
      <w:ind w:firstLine="0"/>
    </w:pPr>
    <w:rPr>
      <w:lang w:eastAsia="fr-FR" w:bidi="fr-FR"/>
    </w:rPr>
  </w:style>
  <w:style w:type="character" w:customStyle="1" w:styleId="contact-emailto">
    <w:name w:val="contact-emailto"/>
    <w:basedOn w:val="Policepardfaut"/>
    <w:rsid w:val="0078227C"/>
  </w:style>
  <w:style w:type="paragraph" w:customStyle="1" w:styleId="dd">
    <w:name w:val="dd"/>
    <w:basedOn w:val="Normal"/>
    <w:autoRedefine/>
    <w:rsid w:val="0078227C"/>
    <w:pPr>
      <w:spacing w:before="120" w:after="120"/>
      <w:ind w:left="1080"/>
    </w:pPr>
    <w:rPr>
      <w:i/>
      <w:color w:val="008000"/>
    </w:rPr>
  </w:style>
  <w:style w:type="character" w:customStyle="1" w:styleId="TM3Car">
    <w:name w:val="TM 3 Car"/>
    <w:link w:val="TM3"/>
    <w:rsid w:val="0078227C"/>
    <w:rPr>
      <w:rFonts w:ascii="Times New Roman" w:eastAsia="Times New Roman" w:hAnsi="Times New Roman"/>
      <w:shd w:val="clear" w:color="auto" w:fill="FFFFFF"/>
    </w:rPr>
  </w:style>
  <w:style w:type="character" w:customStyle="1" w:styleId="Tabledesmatires3">
    <w:name w:val="Table des matières (3)_"/>
    <w:link w:val="Tabledesmatires30"/>
    <w:rsid w:val="0078227C"/>
    <w:rPr>
      <w:rFonts w:ascii="Times New Roman" w:eastAsia="Times New Roman" w:hAnsi="Times New Roman"/>
      <w:b/>
      <w:bCs/>
      <w:shd w:val="clear" w:color="auto" w:fill="FFFFFF"/>
    </w:rPr>
  </w:style>
  <w:style w:type="character" w:customStyle="1" w:styleId="Tabledesmatires">
    <w:name w:val="Table des matières_"/>
    <w:link w:val="Tabledesmatires0"/>
    <w:rsid w:val="0078227C"/>
    <w:rPr>
      <w:rFonts w:ascii="Times New Roman" w:eastAsia="Times New Roman" w:hAnsi="Times New Roman"/>
      <w:i/>
      <w:iCs/>
      <w:shd w:val="clear" w:color="auto" w:fill="FFFFFF"/>
    </w:rPr>
  </w:style>
  <w:style w:type="character" w:customStyle="1" w:styleId="TabledesmatiresNonItalique">
    <w:name w:val="Table des matières + Non Italique"/>
    <w:rsid w:val="0078227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3NonGras">
    <w:name w:val="Table des matières (3) + Non Gras"/>
    <w:rsid w:val="0078227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3">
    <w:name w:val="En-tête #3_"/>
    <w:link w:val="En-tte30"/>
    <w:rsid w:val="0078227C"/>
    <w:rPr>
      <w:rFonts w:ascii="Times New Roman" w:eastAsia="Times New Roman" w:hAnsi="Times New Roman"/>
      <w:b/>
      <w:bCs/>
      <w:spacing w:val="-10"/>
      <w:sz w:val="38"/>
      <w:szCs w:val="38"/>
      <w:shd w:val="clear" w:color="auto" w:fill="FFFFFF"/>
    </w:rPr>
  </w:style>
  <w:style w:type="character" w:customStyle="1" w:styleId="En-tte5">
    <w:name w:val="En-tête #5_"/>
    <w:link w:val="En-tte50"/>
    <w:rsid w:val="0078227C"/>
    <w:rPr>
      <w:rFonts w:ascii="Times New Roman" w:eastAsia="Times New Roman" w:hAnsi="Times New Roman"/>
      <w:b/>
      <w:bCs/>
      <w:i/>
      <w:iCs/>
      <w:shd w:val="clear" w:color="auto" w:fill="FFFFFF"/>
    </w:rPr>
  </w:style>
  <w:style w:type="character" w:customStyle="1" w:styleId="En-tteoupieddepage">
    <w:name w:val="En-tête ou pied de page_"/>
    <w:rsid w:val="0078227C"/>
    <w:rPr>
      <w:rFonts w:ascii="Times New Roman" w:eastAsia="Times New Roman" w:hAnsi="Times New Roman" w:cs="Times New Roman"/>
      <w:b w:val="0"/>
      <w:bCs w:val="0"/>
      <w:i/>
      <w:iCs/>
      <w:smallCaps w:val="0"/>
      <w:strike w:val="0"/>
      <w:sz w:val="19"/>
      <w:szCs w:val="19"/>
      <w:u w:val="none"/>
    </w:rPr>
  </w:style>
  <w:style w:type="character" w:customStyle="1" w:styleId="En-tteoupieddepage105ptGrasNonItalique">
    <w:name w:val="En-tête ou pied de page + 10.5 pt;Gras;Non Italique"/>
    <w:rsid w:val="0078227C"/>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oupieddepage0">
    <w:name w:val="En-tête ou pied de page"/>
    <w:rsid w:val="0078227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figst">
    <w:name w:val="fig st"/>
    <w:basedOn w:val="Normal"/>
    <w:autoRedefine/>
    <w:rsid w:val="0078227C"/>
    <w:pPr>
      <w:spacing w:before="120" w:after="120"/>
      <w:ind w:firstLine="0"/>
      <w:jc w:val="center"/>
    </w:pPr>
    <w:rPr>
      <w:rFonts w:cs="Arial"/>
      <w:color w:val="000090"/>
      <w:sz w:val="24"/>
      <w:szCs w:val="16"/>
    </w:rPr>
  </w:style>
  <w:style w:type="paragraph" w:customStyle="1" w:styleId="figtexte">
    <w:name w:val="fig texte"/>
    <w:basedOn w:val="Normal0"/>
    <w:autoRedefine/>
    <w:rsid w:val="0078227C"/>
    <w:rPr>
      <w:color w:val="000090"/>
      <w:sz w:val="24"/>
      <w:lang w:eastAsia="en-US"/>
    </w:rPr>
  </w:style>
  <w:style w:type="paragraph" w:customStyle="1" w:styleId="figtextec">
    <w:name w:val="fig texte c"/>
    <w:basedOn w:val="figtexte"/>
    <w:autoRedefine/>
    <w:rsid w:val="0078227C"/>
    <w:pPr>
      <w:ind w:firstLine="0"/>
      <w:jc w:val="center"/>
    </w:pPr>
  </w:style>
  <w:style w:type="paragraph" w:customStyle="1" w:styleId="figtitre">
    <w:name w:val="fig titre"/>
    <w:basedOn w:val="Normal"/>
    <w:autoRedefine/>
    <w:rsid w:val="0078227C"/>
    <w:pPr>
      <w:spacing w:before="120" w:after="120"/>
      <w:jc w:val="center"/>
    </w:pPr>
    <w:rPr>
      <w:rFonts w:cs="Arial"/>
      <w:b/>
      <w:bCs/>
      <w:szCs w:val="12"/>
    </w:rPr>
  </w:style>
  <w:style w:type="paragraph" w:customStyle="1" w:styleId="Heading1">
    <w:name w:val="Heading #1"/>
    <w:basedOn w:val="Normal"/>
    <w:rsid w:val="0078227C"/>
    <w:pPr>
      <w:shd w:val="clear" w:color="auto" w:fill="FFFFFF"/>
      <w:spacing w:after="360" w:line="0" w:lineRule="atLeast"/>
      <w:jc w:val="center"/>
      <w:outlineLvl w:val="0"/>
    </w:pPr>
    <w:rPr>
      <w:b/>
      <w:bCs/>
      <w:szCs w:val="28"/>
    </w:rPr>
  </w:style>
  <w:style w:type="character" w:customStyle="1" w:styleId="En-tte2">
    <w:name w:val="En-tête #2_"/>
    <w:link w:val="En-tte20"/>
    <w:rsid w:val="0078227C"/>
    <w:rPr>
      <w:rFonts w:ascii="Times New Roman" w:eastAsia="Times New Roman" w:hAnsi="Times New Roman"/>
      <w:i/>
      <w:iCs/>
      <w:sz w:val="38"/>
      <w:szCs w:val="38"/>
      <w:shd w:val="clear" w:color="auto" w:fill="FFFFFF"/>
    </w:rPr>
  </w:style>
  <w:style w:type="character" w:customStyle="1" w:styleId="Lgendedelimage13Exact">
    <w:name w:val="Légende de l'image (13) Exact"/>
    <w:link w:val="Lgendedelimage13"/>
    <w:rsid w:val="0078227C"/>
    <w:rPr>
      <w:rFonts w:ascii="Times New Roman" w:eastAsia="Times New Roman" w:hAnsi="Times New Roman"/>
      <w:b/>
      <w:bCs/>
      <w:sz w:val="17"/>
      <w:szCs w:val="17"/>
      <w:shd w:val="clear" w:color="auto" w:fill="FFFFFF"/>
    </w:rPr>
  </w:style>
  <w:style w:type="character" w:customStyle="1" w:styleId="Lgendedelimage3Exact">
    <w:name w:val="Légende de l'image (3) Exact"/>
    <w:link w:val="Lgendedelimage3"/>
    <w:rsid w:val="0078227C"/>
    <w:rPr>
      <w:rFonts w:ascii="Times New Roman" w:eastAsia="Times New Roman" w:hAnsi="Times New Roman"/>
      <w:sz w:val="15"/>
      <w:szCs w:val="15"/>
      <w:shd w:val="clear" w:color="auto" w:fill="FFFFFF"/>
    </w:rPr>
  </w:style>
  <w:style w:type="character" w:customStyle="1" w:styleId="Corpsdutexte3585ptGrasNonItaliqueExact">
    <w:name w:val="Corps du texte (35) + 8.5 pt;Gras;Non Italique Exact"/>
    <w:rsid w:val="0078227C"/>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5GrasNonItaliqueExact">
    <w:name w:val="Corps du texte (35) + Gras;Non Italique Exact"/>
    <w:rsid w:val="0078227C"/>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Tabledesmatires4Exact">
    <w:name w:val="Table des matières (4) Exact"/>
    <w:link w:val="Tabledesmatires4"/>
    <w:rsid w:val="0078227C"/>
    <w:rPr>
      <w:rFonts w:ascii="Times New Roman" w:eastAsia="Times New Roman" w:hAnsi="Times New Roman"/>
      <w:sz w:val="15"/>
      <w:szCs w:val="15"/>
      <w:shd w:val="clear" w:color="auto" w:fill="FFFFFF"/>
    </w:rPr>
  </w:style>
  <w:style w:type="character" w:customStyle="1" w:styleId="Tabledesmatires4ItaliqueExact">
    <w:name w:val="Table des matières (4) + Italique Exact"/>
    <w:rsid w:val="0078227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4GrasExact">
    <w:name w:val="Table des matières (4) + Gras Exact"/>
    <w:rsid w:val="0078227C"/>
    <w:rPr>
      <w:rFonts w:ascii="Times New Roman" w:eastAsia="Times New Roman" w:hAnsi="Times New Roman" w:cs="Times New Roman"/>
      <w:b/>
      <w:bCs/>
      <w:i w:val="0"/>
      <w:iCs w:val="0"/>
      <w:smallCaps w:val="0"/>
      <w:strike w:val="0"/>
      <w:color w:val="000000"/>
      <w:spacing w:val="0"/>
      <w:w w:val="100"/>
      <w:position w:val="0"/>
      <w:sz w:val="15"/>
      <w:szCs w:val="15"/>
      <w:u w:val="none"/>
      <w:lang w:val="uz-Cyrl-UZ"/>
    </w:rPr>
  </w:style>
  <w:style w:type="character" w:customStyle="1" w:styleId="Tabledesmatires5Exact">
    <w:name w:val="Table des matières (5) Exact"/>
    <w:link w:val="Tabledesmatires5"/>
    <w:rsid w:val="0078227C"/>
    <w:rPr>
      <w:rFonts w:ascii="Times New Roman" w:eastAsia="Times New Roman" w:hAnsi="Times New Roman"/>
      <w:b/>
      <w:bCs/>
      <w:sz w:val="13"/>
      <w:szCs w:val="13"/>
      <w:shd w:val="clear" w:color="auto" w:fill="FFFFFF"/>
    </w:rPr>
  </w:style>
  <w:style w:type="character" w:customStyle="1" w:styleId="Tabledesmatires575ptNonGrasExact">
    <w:name w:val="Table des matières (5) + 7.5 pt;Non Gras Exact"/>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510ptNonGrasItaliqueExact">
    <w:name w:val="Table des matières (5) + 10 pt;Non Gras;Italique Exact"/>
    <w:rsid w:val="0078227C"/>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6Exact">
    <w:name w:val="Table des matières (6) Exact"/>
    <w:link w:val="Tabledesmatires6"/>
    <w:rsid w:val="0078227C"/>
    <w:rPr>
      <w:rFonts w:ascii="Times New Roman" w:eastAsia="Times New Roman" w:hAnsi="Times New Roman"/>
      <w:i/>
      <w:iCs/>
      <w:spacing w:val="-10"/>
      <w:sz w:val="14"/>
      <w:szCs w:val="14"/>
      <w:shd w:val="clear" w:color="auto" w:fill="FFFFFF"/>
    </w:rPr>
  </w:style>
  <w:style w:type="character" w:customStyle="1" w:styleId="Corpsdutexte49Arial115ptItaliquechelle100">
    <w:name w:val="Corps du texte (49) + Arial;11.5 pt;Italique;Échelle 100%"/>
    <w:rsid w:val="0078227C"/>
    <w:rPr>
      <w:rFonts w:ascii="Arial" w:eastAsia="Arial" w:hAnsi="Arial" w:cs="Arial"/>
      <w:b w:val="0"/>
      <w:bCs w:val="0"/>
      <w:i/>
      <w:iCs/>
      <w:smallCaps w:val="0"/>
      <w:strike w:val="0"/>
      <w:color w:val="000000"/>
      <w:spacing w:val="0"/>
      <w:w w:val="100"/>
      <w:position w:val="0"/>
      <w:sz w:val="23"/>
      <w:szCs w:val="23"/>
      <w:u w:val="single"/>
      <w:lang w:val="fr-FR" w:eastAsia="fr-FR" w:bidi="fr-FR"/>
    </w:rPr>
  </w:style>
  <w:style w:type="character" w:customStyle="1" w:styleId="Tabledesmatires7">
    <w:name w:val="Table des matières (7)_"/>
    <w:rsid w:val="0078227C"/>
    <w:rPr>
      <w:rFonts w:ascii="Times New Roman" w:eastAsia="Times New Roman" w:hAnsi="Times New Roman" w:cs="Times New Roman"/>
      <w:b/>
      <w:bCs/>
      <w:i w:val="0"/>
      <w:iCs w:val="0"/>
      <w:smallCaps w:val="0"/>
      <w:strike w:val="0"/>
      <w:sz w:val="15"/>
      <w:szCs w:val="15"/>
      <w:u w:val="none"/>
    </w:rPr>
  </w:style>
  <w:style w:type="character" w:customStyle="1" w:styleId="Tabledesmatires76pt">
    <w:name w:val="Table des matières (7) + 6 pt"/>
    <w:rsid w:val="0078227C"/>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Tabledesmatires7NonGras">
    <w:name w:val="Table des matières (7) + Non Gras"/>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8">
    <w:name w:val="Table des matières (8)_"/>
    <w:rsid w:val="0078227C"/>
    <w:rPr>
      <w:rFonts w:ascii="Times New Roman" w:eastAsia="Times New Roman" w:hAnsi="Times New Roman" w:cs="Times New Roman"/>
      <w:b w:val="0"/>
      <w:bCs w:val="0"/>
      <w:i w:val="0"/>
      <w:iCs w:val="0"/>
      <w:smallCaps w:val="0"/>
      <w:strike w:val="0"/>
      <w:spacing w:val="0"/>
      <w:w w:val="120"/>
      <w:sz w:val="17"/>
      <w:szCs w:val="17"/>
      <w:u w:val="none"/>
    </w:rPr>
  </w:style>
  <w:style w:type="character" w:customStyle="1" w:styleId="Tabledesmatires80">
    <w:name w:val="Table des matières (8)"/>
    <w:rsid w:val="0078227C"/>
    <w:rPr>
      <w:rFonts w:ascii="Times New Roman" w:eastAsia="Times New Roman" w:hAnsi="Times New Roman" w:cs="Times New Roman"/>
      <w:b w:val="0"/>
      <w:bCs w:val="0"/>
      <w:i w:val="0"/>
      <w:iCs w:val="0"/>
      <w:smallCaps w:val="0"/>
      <w:strike w:val="0"/>
      <w:color w:val="000000"/>
      <w:spacing w:val="0"/>
      <w:w w:val="120"/>
      <w:position w:val="0"/>
      <w:sz w:val="17"/>
      <w:szCs w:val="17"/>
      <w:u w:val="single"/>
      <w:lang w:val="fr-FR" w:eastAsia="fr-FR" w:bidi="fr-FR"/>
    </w:rPr>
  </w:style>
  <w:style w:type="character" w:customStyle="1" w:styleId="Tabledesmatires70">
    <w:name w:val="Table des matières (7)"/>
    <w:rsid w:val="0078227C"/>
    <w:rPr>
      <w:rFonts w:ascii="Times New Roman" w:eastAsia="Times New Roman" w:hAnsi="Times New Roman" w:cs="Times New Roman"/>
      <w:b/>
      <w:bCs/>
      <w:i w:val="0"/>
      <w:iCs w:val="0"/>
      <w:smallCaps w:val="0"/>
      <w:strike w:val="0"/>
      <w:color w:val="000000"/>
      <w:spacing w:val="0"/>
      <w:w w:val="100"/>
      <w:position w:val="0"/>
      <w:sz w:val="15"/>
      <w:szCs w:val="15"/>
      <w:u w:val="single"/>
      <w:lang w:val="fr-FR" w:eastAsia="fr-FR" w:bidi="fr-FR"/>
    </w:rPr>
  </w:style>
  <w:style w:type="character" w:customStyle="1" w:styleId="Tabledesmatires7NonGrasItalique">
    <w:name w:val="Table des matières (7) + Non Gras;Italique"/>
    <w:rsid w:val="0078227C"/>
    <w:rPr>
      <w:rFonts w:ascii="Times New Roman" w:eastAsia="Times New Roman" w:hAnsi="Times New Roman" w:cs="Times New Roman"/>
      <w:b w:val="0"/>
      <w:bCs w:val="0"/>
      <w:i/>
      <w:iCs/>
      <w:smallCaps w:val="0"/>
      <w:strike w:val="0"/>
      <w:color w:val="000000"/>
      <w:spacing w:val="0"/>
      <w:w w:val="100"/>
      <w:position w:val="0"/>
      <w:sz w:val="15"/>
      <w:szCs w:val="15"/>
      <w:u w:val="single"/>
      <w:lang w:val="fr-FR" w:eastAsia="fr-FR" w:bidi="fr-FR"/>
    </w:rPr>
  </w:style>
  <w:style w:type="character" w:customStyle="1" w:styleId="En-tteoupieddepage6pt">
    <w:name w:val="En-tête ou pied de page + 6 pt"/>
    <w:rsid w:val="0078227C"/>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Lgendedutableau5Exact">
    <w:name w:val="Légende du tableau (5) Exact"/>
    <w:link w:val="Lgendedutableau5"/>
    <w:rsid w:val="0078227C"/>
    <w:rPr>
      <w:rFonts w:ascii="Times New Roman" w:eastAsia="Times New Roman" w:hAnsi="Times New Roman"/>
      <w:i/>
      <w:iCs/>
      <w:sz w:val="15"/>
      <w:szCs w:val="15"/>
      <w:shd w:val="clear" w:color="auto" w:fill="FFFFFF"/>
    </w:rPr>
  </w:style>
  <w:style w:type="character" w:customStyle="1" w:styleId="Corpsdutexte275ptGras">
    <w:name w:val="Corps du texte (2) + 7.5 pt;Gras"/>
    <w:rsid w:val="0078227C"/>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75ptItalique">
    <w:name w:val="Corps du texte (2) + 7.5 pt;Italique"/>
    <w:rsid w:val="0078227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Lgendedutableau2Exact">
    <w:name w:val="Légende du tableau (2) Exact"/>
    <w:link w:val="Lgendedutableau2"/>
    <w:rsid w:val="0078227C"/>
    <w:rPr>
      <w:rFonts w:ascii="Times New Roman" w:eastAsia="Times New Roman" w:hAnsi="Times New Roman"/>
      <w:b/>
      <w:bCs/>
      <w:sz w:val="15"/>
      <w:szCs w:val="15"/>
      <w:shd w:val="clear" w:color="auto" w:fill="FFFFFF"/>
    </w:rPr>
  </w:style>
  <w:style w:type="character" w:customStyle="1" w:styleId="Lgendedelimage4Exact">
    <w:name w:val="Légende de l'image (4) Exact"/>
    <w:link w:val="Lgendedelimage4"/>
    <w:rsid w:val="0078227C"/>
    <w:rPr>
      <w:rFonts w:ascii="Times New Roman" w:eastAsia="Times New Roman" w:hAnsi="Times New Roman"/>
      <w:b/>
      <w:bCs/>
      <w:sz w:val="15"/>
      <w:szCs w:val="15"/>
      <w:shd w:val="clear" w:color="auto" w:fill="FFFFFF"/>
    </w:rPr>
  </w:style>
  <w:style w:type="character" w:customStyle="1" w:styleId="Lgendedelimage14Exact">
    <w:name w:val="Légende de l'image (14) Exact"/>
    <w:link w:val="Lgendedelimage14"/>
    <w:rsid w:val="0078227C"/>
    <w:rPr>
      <w:rFonts w:ascii="Times New Roman" w:eastAsia="Times New Roman" w:hAnsi="Times New Roman"/>
      <w:b/>
      <w:bCs/>
      <w:sz w:val="13"/>
      <w:szCs w:val="13"/>
      <w:shd w:val="clear" w:color="auto" w:fill="FFFFFF"/>
    </w:rPr>
  </w:style>
  <w:style w:type="character" w:customStyle="1" w:styleId="En-tteoupieddepage3Exact">
    <w:name w:val="En-tête ou pied de page (3) Exact"/>
    <w:link w:val="En-tteoupieddepage3"/>
    <w:rsid w:val="0078227C"/>
    <w:rPr>
      <w:rFonts w:ascii="Times New Roman" w:eastAsia="Times New Roman" w:hAnsi="Times New Roman"/>
      <w:i/>
      <w:iCs/>
      <w:sz w:val="12"/>
      <w:szCs w:val="12"/>
      <w:shd w:val="clear" w:color="auto" w:fill="FFFFFF"/>
    </w:rPr>
  </w:style>
  <w:style w:type="character" w:customStyle="1" w:styleId="En-tteoupieddepage3NonItaliqueEspacement0ptExact">
    <w:name w:val="En-tête ou pied de page (3) + Non Italique;Espacement 0 pt Exact"/>
    <w:rsid w:val="0078227C"/>
    <w:rPr>
      <w:rFonts w:ascii="Times New Roman" w:eastAsia="Times New Roman" w:hAnsi="Times New Roman" w:cs="Times New Roman"/>
      <w:b w:val="0"/>
      <w:bCs w:val="0"/>
      <w:i w:val="0"/>
      <w:iCs w:val="0"/>
      <w:smallCaps w:val="0"/>
      <w:strike w:val="0"/>
      <w:color w:val="000000"/>
      <w:spacing w:val="-10"/>
      <w:w w:val="100"/>
      <w:position w:val="0"/>
      <w:sz w:val="12"/>
      <w:szCs w:val="12"/>
      <w:u w:val="single"/>
      <w:lang w:val="fr-FR" w:eastAsia="fr-FR" w:bidi="fr-FR"/>
    </w:rPr>
  </w:style>
  <w:style w:type="paragraph" w:customStyle="1" w:styleId="Tableofcontents">
    <w:name w:val="Table of contents"/>
    <w:basedOn w:val="Normal"/>
    <w:rsid w:val="0078227C"/>
    <w:pPr>
      <w:widowControl w:val="0"/>
      <w:shd w:val="clear" w:color="auto" w:fill="FFFFFF"/>
      <w:spacing w:before="360" w:line="360" w:lineRule="exact"/>
      <w:ind w:hanging="6"/>
      <w:jc w:val="both"/>
    </w:pPr>
    <w:rPr>
      <w:sz w:val="21"/>
      <w:szCs w:val="21"/>
      <w:lang w:val="fr-FR" w:eastAsia="fr-FR"/>
    </w:rPr>
  </w:style>
  <w:style w:type="character" w:customStyle="1" w:styleId="Corpsdutexte34AppleGothic55ptNonGrasExact">
    <w:name w:val="Corps du texte (34) + AppleGothic;5.5 pt;Non Gras Exact"/>
    <w:rsid w:val="0078227C"/>
    <w:rPr>
      <w:rFonts w:ascii="AppleGothic" w:eastAsia="AppleGothic" w:hAnsi="AppleGothic" w:cs="AppleGothic"/>
      <w:b/>
      <w:bCs/>
      <w:i w:val="0"/>
      <w:iCs w:val="0"/>
      <w:smallCaps w:val="0"/>
      <w:strike w:val="0"/>
      <w:sz w:val="11"/>
      <w:szCs w:val="11"/>
      <w:u w:val="none"/>
    </w:rPr>
  </w:style>
  <w:style w:type="paragraph" w:customStyle="1" w:styleId="Tableofcontents2">
    <w:name w:val="Table of contents (2)"/>
    <w:basedOn w:val="Normal"/>
    <w:rsid w:val="0078227C"/>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78227C"/>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78227C"/>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Lgendedelimage465ptNonGrasExact">
    <w:name w:val="Légende de l'image (4) + 6.5 pt;Non Gras Exact"/>
    <w:rsid w:val="0078227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Lgendedelimage4NonGrasExact">
    <w:name w:val="Légende de l'image (4) + Non Gras Exact"/>
    <w:rsid w:val="007822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elimage465ptExact">
    <w:name w:val="Légende de l'image (4) + 6.5 pt Exact"/>
    <w:rsid w:val="0078227C"/>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paragraph" w:customStyle="1" w:styleId="Notedebasdepage2">
    <w:name w:val="Note de bas de page2"/>
    <w:basedOn w:val="Normal"/>
    <w:link w:val="Notedebasdepage0"/>
    <w:rsid w:val="0078227C"/>
    <w:pPr>
      <w:widowControl w:val="0"/>
      <w:shd w:val="clear" w:color="auto" w:fill="FFFFFF"/>
      <w:spacing w:line="180" w:lineRule="exact"/>
      <w:ind w:hanging="377"/>
      <w:jc w:val="both"/>
    </w:pPr>
    <w:rPr>
      <w:sz w:val="18"/>
      <w:szCs w:val="18"/>
      <w:lang w:val="x-none" w:eastAsia="x-none"/>
    </w:rPr>
  </w:style>
  <w:style w:type="paragraph" w:customStyle="1" w:styleId="Lgendedelimage20">
    <w:name w:val="Légende de l'image (2)"/>
    <w:basedOn w:val="Normal"/>
    <w:link w:val="Lgendedelimage2"/>
    <w:rsid w:val="0078227C"/>
    <w:pPr>
      <w:widowControl w:val="0"/>
      <w:shd w:val="clear" w:color="auto" w:fill="FFFFFF"/>
      <w:spacing w:line="0" w:lineRule="atLeast"/>
      <w:ind w:firstLine="29"/>
    </w:pPr>
    <w:rPr>
      <w:b/>
      <w:bCs/>
      <w:sz w:val="32"/>
      <w:szCs w:val="32"/>
      <w:lang w:val="x-none" w:eastAsia="x-none"/>
    </w:rPr>
  </w:style>
  <w:style w:type="paragraph" w:customStyle="1" w:styleId="Lgendedelimage0">
    <w:name w:val="Légende de l'image"/>
    <w:basedOn w:val="Normal"/>
    <w:link w:val="Lgendedelimage"/>
    <w:rsid w:val="0078227C"/>
    <w:pPr>
      <w:widowControl w:val="0"/>
      <w:shd w:val="clear" w:color="auto" w:fill="FFFFFF"/>
      <w:spacing w:line="281" w:lineRule="exact"/>
      <w:jc w:val="center"/>
    </w:pPr>
    <w:rPr>
      <w:rFonts w:ascii="Arial" w:eastAsia="Arial" w:hAnsi="Arial"/>
      <w:sz w:val="21"/>
      <w:szCs w:val="21"/>
      <w:lang w:val="x-none" w:eastAsia="x-none"/>
    </w:rPr>
  </w:style>
  <w:style w:type="paragraph" w:customStyle="1" w:styleId="En-tte40">
    <w:name w:val="En-tête #4"/>
    <w:basedOn w:val="Normal"/>
    <w:link w:val="En-tte4"/>
    <w:rsid w:val="0078227C"/>
    <w:pPr>
      <w:widowControl w:val="0"/>
      <w:shd w:val="clear" w:color="auto" w:fill="FFFFFF"/>
      <w:spacing w:before="360" w:after="1560" w:line="338" w:lineRule="exact"/>
      <w:jc w:val="center"/>
      <w:outlineLvl w:val="3"/>
    </w:pPr>
    <w:rPr>
      <w:w w:val="80"/>
      <w:sz w:val="30"/>
      <w:szCs w:val="30"/>
      <w:lang w:val="x-none" w:eastAsia="x-none"/>
    </w:rPr>
  </w:style>
  <w:style w:type="paragraph" w:customStyle="1" w:styleId="Titlesti">
    <w:name w:val="Title_st i"/>
    <w:basedOn w:val="Titlest"/>
    <w:rsid w:val="0078227C"/>
    <w:rPr>
      <w:i/>
      <w:sz w:val="72"/>
    </w:rPr>
  </w:style>
  <w:style w:type="paragraph" w:styleId="TM3">
    <w:name w:val="toc 3"/>
    <w:basedOn w:val="Normal"/>
    <w:link w:val="TM3Car"/>
    <w:autoRedefine/>
    <w:rsid w:val="0078227C"/>
    <w:pPr>
      <w:widowControl w:val="0"/>
      <w:shd w:val="clear" w:color="auto" w:fill="FFFFFF"/>
      <w:spacing w:before="720" w:after="240" w:line="0" w:lineRule="atLeast"/>
      <w:ind w:firstLine="35"/>
      <w:jc w:val="both"/>
    </w:pPr>
    <w:rPr>
      <w:sz w:val="20"/>
      <w:lang w:val="x-none" w:eastAsia="x-none"/>
    </w:rPr>
  </w:style>
  <w:style w:type="paragraph" w:customStyle="1" w:styleId="Tabledesmatires30">
    <w:name w:val="Table des matières (3)"/>
    <w:basedOn w:val="Normal"/>
    <w:link w:val="Tabledesmatires3"/>
    <w:rsid w:val="0078227C"/>
    <w:pPr>
      <w:widowControl w:val="0"/>
      <w:shd w:val="clear" w:color="auto" w:fill="FFFFFF"/>
      <w:spacing w:before="240" w:line="223" w:lineRule="exact"/>
      <w:jc w:val="center"/>
    </w:pPr>
    <w:rPr>
      <w:b/>
      <w:bCs/>
      <w:sz w:val="20"/>
      <w:lang w:val="x-none" w:eastAsia="x-none"/>
    </w:rPr>
  </w:style>
  <w:style w:type="paragraph" w:customStyle="1" w:styleId="Tabledesmatires0">
    <w:name w:val="Table des matières"/>
    <w:basedOn w:val="Normal"/>
    <w:link w:val="Tabledesmatires"/>
    <w:rsid w:val="0078227C"/>
    <w:pPr>
      <w:widowControl w:val="0"/>
      <w:shd w:val="clear" w:color="auto" w:fill="FFFFFF"/>
      <w:spacing w:after="240" w:line="0" w:lineRule="atLeast"/>
      <w:ind w:firstLine="3"/>
      <w:jc w:val="both"/>
    </w:pPr>
    <w:rPr>
      <w:i/>
      <w:iCs/>
      <w:sz w:val="20"/>
      <w:lang w:val="x-none" w:eastAsia="x-none"/>
    </w:rPr>
  </w:style>
  <w:style w:type="paragraph" w:customStyle="1" w:styleId="En-tte30">
    <w:name w:val="En-tête #3"/>
    <w:basedOn w:val="Normal"/>
    <w:link w:val="En-tte3"/>
    <w:rsid w:val="0078227C"/>
    <w:pPr>
      <w:widowControl w:val="0"/>
      <w:shd w:val="clear" w:color="auto" w:fill="FFFFFF"/>
      <w:spacing w:before="600" w:after="1140" w:line="0" w:lineRule="atLeast"/>
      <w:jc w:val="center"/>
      <w:outlineLvl w:val="2"/>
    </w:pPr>
    <w:rPr>
      <w:b/>
      <w:bCs/>
      <w:spacing w:val="-10"/>
      <w:sz w:val="38"/>
      <w:szCs w:val="38"/>
      <w:lang w:val="x-none" w:eastAsia="x-none"/>
    </w:rPr>
  </w:style>
  <w:style w:type="paragraph" w:customStyle="1" w:styleId="En-tte50">
    <w:name w:val="En-tête #5"/>
    <w:basedOn w:val="Normal"/>
    <w:link w:val="En-tte5"/>
    <w:rsid w:val="0078227C"/>
    <w:pPr>
      <w:widowControl w:val="0"/>
      <w:shd w:val="clear" w:color="auto" w:fill="FFFFFF"/>
      <w:spacing w:before="1140" w:after="840" w:line="0" w:lineRule="atLeast"/>
      <w:ind w:hanging="10"/>
      <w:jc w:val="center"/>
      <w:outlineLvl w:val="4"/>
    </w:pPr>
    <w:rPr>
      <w:b/>
      <w:bCs/>
      <w:i/>
      <w:iCs/>
      <w:sz w:val="20"/>
      <w:lang w:val="x-none" w:eastAsia="x-none"/>
    </w:rPr>
  </w:style>
  <w:style w:type="paragraph" w:customStyle="1" w:styleId="En-tte20">
    <w:name w:val="En-tête #2"/>
    <w:basedOn w:val="Normal"/>
    <w:link w:val="En-tte2"/>
    <w:rsid w:val="0078227C"/>
    <w:pPr>
      <w:widowControl w:val="0"/>
      <w:shd w:val="clear" w:color="auto" w:fill="FFFFFF"/>
      <w:spacing w:after="1020" w:line="0" w:lineRule="atLeast"/>
      <w:jc w:val="right"/>
      <w:outlineLvl w:val="1"/>
    </w:pPr>
    <w:rPr>
      <w:i/>
      <w:iCs/>
      <w:sz w:val="38"/>
      <w:szCs w:val="38"/>
      <w:lang w:val="x-none" w:eastAsia="x-none"/>
    </w:rPr>
  </w:style>
  <w:style w:type="paragraph" w:customStyle="1" w:styleId="Lgendedelimage13">
    <w:name w:val="Légende de l'image (13)"/>
    <w:basedOn w:val="Normal"/>
    <w:link w:val="Lgendedelimage13Exact"/>
    <w:rsid w:val="0078227C"/>
    <w:pPr>
      <w:widowControl w:val="0"/>
      <w:shd w:val="clear" w:color="auto" w:fill="FFFFFF"/>
      <w:spacing w:line="198" w:lineRule="exact"/>
      <w:jc w:val="center"/>
    </w:pPr>
    <w:rPr>
      <w:b/>
      <w:bCs/>
      <w:sz w:val="17"/>
      <w:szCs w:val="17"/>
      <w:lang w:val="x-none" w:eastAsia="x-none"/>
    </w:rPr>
  </w:style>
  <w:style w:type="paragraph" w:customStyle="1" w:styleId="Lgendedelimage3">
    <w:name w:val="Légende de l'image (3)"/>
    <w:basedOn w:val="Normal"/>
    <w:link w:val="Lgendedelimage3Exact"/>
    <w:rsid w:val="0078227C"/>
    <w:pPr>
      <w:widowControl w:val="0"/>
      <w:shd w:val="clear" w:color="auto" w:fill="FFFFFF"/>
      <w:spacing w:line="0" w:lineRule="atLeast"/>
      <w:jc w:val="right"/>
    </w:pPr>
    <w:rPr>
      <w:sz w:val="15"/>
      <w:szCs w:val="15"/>
      <w:lang w:val="x-none" w:eastAsia="x-none"/>
    </w:rPr>
  </w:style>
  <w:style w:type="paragraph" w:customStyle="1" w:styleId="Tabledesmatires4">
    <w:name w:val="Table des matières (4)"/>
    <w:basedOn w:val="Normal"/>
    <w:link w:val="Tabledesmatires4Exact"/>
    <w:rsid w:val="0078227C"/>
    <w:pPr>
      <w:widowControl w:val="0"/>
      <w:shd w:val="clear" w:color="auto" w:fill="FFFFFF"/>
      <w:spacing w:before="120" w:line="220" w:lineRule="exact"/>
      <w:ind w:firstLine="91"/>
      <w:jc w:val="both"/>
    </w:pPr>
    <w:rPr>
      <w:sz w:val="15"/>
      <w:szCs w:val="15"/>
      <w:lang w:val="x-none" w:eastAsia="x-none"/>
    </w:rPr>
  </w:style>
  <w:style w:type="paragraph" w:customStyle="1" w:styleId="Tabledesmatires5">
    <w:name w:val="Table des matières (5)"/>
    <w:basedOn w:val="Normal"/>
    <w:link w:val="Tabledesmatires5Exact"/>
    <w:rsid w:val="0078227C"/>
    <w:pPr>
      <w:widowControl w:val="0"/>
      <w:shd w:val="clear" w:color="auto" w:fill="FFFFFF"/>
      <w:spacing w:before="120" w:line="184" w:lineRule="exact"/>
      <w:ind w:hanging="5"/>
      <w:jc w:val="both"/>
    </w:pPr>
    <w:rPr>
      <w:b/>
      <w:bCs/>
      <w:sz w:val="13"/>
      <w:szCs w:val="13"/>
      <w:lang w:val="x-none" w:eastAsia="x-none"/>
    </w:rPr>
  </w:style>
  <w:style w:type="paragraph" w:customStyle="1" w:styleId="Tabledesmatires6">
    <w:name w:val="Table des matières (6)"/>
    <w:basedOn w:val="Normal"/>
    <w:link w:val="Tabledesmatires6Exact"/>
    <w:rsid w:val="0078227C"/>
    <w:pPr>
      <w:widowControl w:val="0"/>
      <w:shd w:val="clear" w:color="auto" w:fill="FFFFFF"/>
      <w:spacing w:before="120" w:line="191" w:lineRule="exact"/>
      <w:ind w:firstLine="8"/>
      <w:jc w:val="both"/>
    </w:pPr>
    <w:rPr>
      <w:i/>
      <w:iCs/>
      <w:spacing w:val="-10"/>
      <w:sz w:val="14"/>
      <w:szCs w:val="14"/>
      <w:lang w:val="x-none" w:eastAsia="x-none"/>
    </w:rPr>
  </w:style>
  <w:style w:type="paragraph" w:customStyle="1" w:styleId="Lgendedutableau5">
    <w:name w:val="Légende du tableau (5)"/>
    <w:basedOn w:val="Normal"/>
    <w:link w:val="Lgendedutableau5Exact"/>
    <w:rsid w:val="0078227C"/>
    <w:pPr>
      <w:widowControl w:val="0"/>
      <w:shd w:val="clear" w:color="auto" w:fill="FFFFFF"/>
      <w:spacing w:line="0" w:lineRule="atLeast"/>
      <w:jc w:val="center"/>
    </w:pPr>
    <w:rPr>
      <w:i/>
      <w:iCs/>
      <w:sz w:val="15"/>
      <w:szCs w:val="15"/>
      <w:lang w:val="x-none" w:eastAsia="x-none"/>
    </w:rPr>
  </w:style>
  <w:style w:type="paragraph" w:customStyle="1" w:styleId="Lgendedutableau2">
    <w:name w:val="Légende du tableau (2)"/>
    <w:basedOn w:val="Normal"/>
    <w:link w:val="Lgendedutableau2Exact"/>
    <w:rsid w:val="0078227C"/>
    <w:pPr>
      <w:widowControl w:val="0"/>
      <w:shd w:val="clear" w:color="auto" w:fill="FFFFFF"/>
      <w:spacing w:line="0" w:lineRule="atLeast"/>
      <w:ind w:firstLine="29"/>
    </w:pPr>
    <w:rPr>
      <w:b/>
      <w:bCs/>
      <w:sz w:val="15"/>
      <w:szCs w:val="15"/>
      <w:lang w:val="x-none" w:eastAsia="x-none"/>
    </w:rPr>
  </w:style>
  <w:style w:type="paragraph" w:customStyle="1" w:styleId="Lgendedelimage4">
    <w:name w:val="Légende de l'image (4)"/>
    <w:basedOn w:val="Normal"/>
    <w:link w:val="Lgendedelimage4Exact"/>
    <w:rsid w:val="0078227C"/>
    <w:pPr>
      <w:widowControl w:val="0"/>
      <w:shd w:val="clear" w:color="auto" w:fill="FFFFFF"/>
      <w:spacing w:line="0" w:lineRule="atLeast"/>
      <w:ind w:firstLine="29"/>
    </w:pPr>
    <w:rPr>
      <w:b/>
      <w:bCs/>
      <w:sz w:val="15"/>
      <w:szCs w:val="15"/>
      <w:lang w:val="x-none" w:eastAsia="x-none"/>
    </w:rPr>
  </w:style>
  <w:style w:type="paragraph" w:customStyle="1" w:styleId="Lgendedelimage14">
    <w:name w:val="Légende de l'image (14)"/>
    <w:basedOn w:val="Normal"/>
    <w:link w:val="Lgendedelimage14Exact"/>
    <w:rsid w:val="0078227C"/>
    <w:pPr>
      <w:widowControl w:val="0"/>
      <w:shd w:val="clear" w:color="auto" w:fill="FFFFFF"/>
      <w:spacing w:line="187" w:lineRule="exact"/>
      <w:ind w:hanging="3"/>
      <w:jc w:val="center"/>
    </w:pPr>
    <w:rPr>
      <w:b/>
      <w:bCs/>
      <w:sz w:val="13"/>
      <w:szCs w:val="13"/>
      <w:lang w:val="x-none" w:eastAsia="x-none"/>
    </w:rPr>
  </w:style>
  <w:style w:type="paragraph" w:customStyle="1" w:styleId="En-tteoupieddepage3">
    <w:name w:val="En-tête ou pied de page (3)"/>
    <w:basedOn w:val="Normal"/>
    <w:link w:val="En-tteoupieddepage3Exact"/>
    <w:rsid w:val="0078227C"/>
    <w:pPr>
      <w:widowControl w:val="0"/>
      <w:shd w:val="clear" w:color="auto" w:fill="FFFFFF"/>
      <w:spacing w:line="0" w:lineRule="atLeast"/>
      <w:ind w:firstLine="25"/>
    </w:pPr>
    <w:rPr>
      <w:i/>
      <w:iCs/>
      <w:sz w:val="12"/>
      <w:szCs w:val="12"/>
      <w:lang w:val="x-none" w:eastAsia="x-none"/>
    </w:rPr>
  </w:style>
  <w:style w:type="character" w:customStyle="1" w:styleId="LgendedelimageExact">
    <w:name w:val="Légende de l'image Exact"/>
    <w:rsid w:val="00573B27"/>
    <w:rPr>
      <w:rFonts w:ascii="Times New Roman" w:eastAsia="Times New Roman" w:hAnsi="Times New Roman" w:cs="Times New Roman"/>
      <w:b/>
      <w:bCs/>
      <w:i w:val="0"/>
      <w:iCs w:val="0"/>
      <w:smallCaps w:val="0"/>
      <w:strike w:val="0"/>
      <w:sz w:val="15"/>
      <w:szCs w:val="15"/>
      <w:u w:val="none"/>
    </w:rPr>
  </w:style>
  <w:style w:type="character" w:customStyle="1" w:styleId="Lgendedelimage6ptExact">
    <w:name w:val="Légende de l'image + 6 pt Exact"/>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1">
    <w:name w:val="En-tête #1_"/>
    <w:link w:val="En-tte10"/>
    <w:rsid w:val="00573B27"/>
    <w:rPr>
      <w:rFonts w:ascii="Times New Roman" w:eastAsia="Times New Roman" w:hAnsi="Times New Roman"/>
      <w:b/>
      <w:bCs/>
      <w:sz w:val="38"/>
      <w:szCs w:val="38"/>
      <w:shd w:val="clear" w:color="auto" w:fill="FFFFFF"/>
    </w:rPr>
  </w:style>
  <w:style w:type="character" w:customStyle="1" w:styleId="En-tteoupieddepage11ptGrasNonItalique">
    <w:name w:val="En-tête ou pied de page + 11 pt;Gras;Non Italique"/>
    <w:rsid w:val="00573B27"/>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NonItalique">
    <w:name w:val="En-tête ou pied de page + Non Italique"/>
    <w:rsid w:val="00573B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9ptGras">
    <w:name w:val="Corps du texte (3) + 9 pt;Gras"/>
    <w:rsid w:val="00573B2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49ptGrasNonItalique">
    <w:name w:val="Corps du texte (4) + 9 pt;Gras;Non Italique"/>
    <w:rsid w:val="00573B2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Espacement0pt">
    <w:name w:val="Corps du texte (2) + 9 pt;Espacement 0 pt"/>
    <w:rsid w:val="00573B2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Corpsdutexte285ptItalique">
    <w:name w:val="Corps du texte (2) + 8.5 pt;Italique"/>
    <w:rsid w:val="00573B2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2">
    <w:name w:val="En-tête ou pied de page (2)"/>
    <w:rsid w:val="00573B27"/>
    <w:rPr>
      <w:rFonts w:ascii="Times New Roman" w:eastAsia="Times New Roman" w:hAnsi="Times New Roman" w:cs="Times New Roman"/>
      <w:b/>
      <w:bCs/>
      <w:i w:val="0"/>
      <w:iCs w:val="0"/>
      <w:smallCaps w:val="0"/>
      <w:strike w:val="0"/>
      <w:sz w:val="22"/>
      <w:szCs w:val="22"/>
      <w:u w:val="none"/>
    </w:rPr>
  </w:style>
  <w:style w:type="character" w:customStyle="1" w:styleId="Corpsdutexte96ptGrasNonItalique">
    <w:name w:val="Corps du texte (9) + 6 pt;Gras;Non Italique"/>
    <w:rsid w:val="00573B27"/>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character" w:customStyle="1" w:styleId="Corpsdutexte865ptNonGrasItalique">
    <w:name w:val="Corps du texte (8) + 6.5 pt;Non Gras;Italique"/>
    <w:rsid w:val="00573B2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0NonGrasItaliqueEspacement1pt">
    <w:name w:val="Corps du texte (10) + Non Gras;Italique;Espacement 1 pt"/>
    <w:rsid w:val="00573B27"/>
    <w:rPr>
      <w:rFonts w:ascii="Times New Roman" w:eastAsia="Times New Roman" w:hAnsi="Times New Roman" w:cs="Times New Roman"/>
      <w:b/>
      <w:bCs/>
      <w:i/>
      <w:iCs/>
      <w:smallCaps w:val="0"/>
      <w:strike w:val="0"/>
      <w:color w:val="000000"/>
      <w:spacing w:val="20"/>
      <w:w w:val="100"/>
      <w:position w:val="0"/>
      <w:sz w:val="19"/>
      <w:szCs w:val="19"/>
      <w:u w:val="none"/>
      <w:lang w:val="fr-FR" w:eastAsia="fr-FR" w:bidi="fr-FR"/>
    </w:rPr>
  </w:style>
  <w:style w:type="character" w:customStyle="1" w:styleId="Corpsdutexte265ptItalique">
    <w:name w:val="Corps du texte (2) + 6.5 pt;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6ptGras">
    <w:name w:val="Corps du texte (2) + 6 pt;Gras"/>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En-tteoupieddepage4">
    <w:name w:val="En-tête ou pied de page (4)_"/>
    <w:link w:val="En-tteoupieddepage40"/>
    <w:rsid w:val="00573B27"/>
    <w:rPr>
      <w:rFonts w:ascii="Times New Roman" w:eastAsia="Times New Roman" w:hAnsi="Times New Roman"/>
      <w:sz w:val="13"/>
      <w:szCs w:val="13"/>
      <w:shd w:val="clear" w:color="auto" w:fill="FFFFFF"/>
    </w:rPr>
  </w:style>
  <w:style w:type="character" w:customStyle="1" w:styleId="En-tteoupieddepage4Italique">
    <w:name w:val="En-tête ou pied de page (4) + 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95ptGras">
    <w:name w:val="Corps du texte (2) + 9.5 pt;Gras"/>
    <w:rsid w:val="00573B27"/>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Exact">
    <w:name w:val="Table des matières Exact"/>
    <w:rsid w:val="00573B27"/>
    <w:rPr>
      <w:rFonts w:ascii="Times New Roman" w:eastAsia="Times New Roman" w:hAnsi="Times New Roman" w:cs="Times New Roman"/>
      <w:b w:val="0"/>
      <w:bCs w:val="0"/>
      <w:i w:val="0"/>
      <w:iCs w:val="0"/>
      <w:smallCaps w:val="0"/>
      <w:strike w:val="0"/>
      <w:sz w:val="18"/>
      <w:szCs w:val="18"/>
      <w:u w:val="none"/>
    </w:rPr>
  </w:style>
  <w:style w:type="character" w:customStyle="1" w:styleId="Tabledesmatires85ptItaliqueExact">
    <w:name w:val="Table des matières + 8.5 pt;Italique Exact"/>
    <w:rsid w:val="00573B27"/>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Tabledesmatires2Exact">
    <w:name w:val="Table des matières (2) Exact"/>
    <w:link w:val="Tabledesmatires2"/>
    <w:rsid w:val="00573B27"/>
    <w:rPr>
      <w:rFonts w:ascii="Times New Roman" w:eastAsia="Times New Roman" w:hAnsi="Times New Roman"/>
      <w:b/>
      <w:bCs/>
      <w:sz w:val="15"/>
      <w:szCs w:val="15"/>
      <w:shd w:val="clear" w:color="auto" w:fill="FFFFFF"/>
    </w:rPr>
  </w:style>
  <w:style w:type="character" w:customStyle="1" w:styleId="Lgendedutableau20">
    <w:name w:val="Légende du tableau (2)_"/>
    <w:rsid w:val="00573B27"/>
    <w:rPr>
      <w:rFonts w:ascii="Times New Roman" w:eastAsia="Times New Roman" w:hAnsi="Times New Roman" w:cs="Times New Roman"/>
      <w:b w:val="0"/>
      <w:bCs w:val="0"/>
      <w:i/>
      <w:iCs/>
      <w:smallCaps w:val="0"/>
      <w:strike w:val="0"/>
      <w:spacing w:val="0"/>
      <w:sz w:val="13"/>
      <w:szCs w:val="13"/>
      <w:u w:val="none"/>
    </w:rPr>
  </w:style>
  <w:style w:type="character" w:customStyle="1" w:styleId="Lgendedutableau26ptGrasNonItalique">
    <w:name w:val="Légende du tableau (2) + 6 pt;Gras;Non Italique"/>
    <w:rsid w:val="00573B27"/>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Lgendedutableau">
    <w:name w:val="Légende du tableau_"/>
    <w:link w:val="Lgendedutableau0"/>
    <w:rsid w:val="00573B27"/>
    <w:rPr>
      <w:rFonts w:ascii="Times New Roman" w:eastAsia="Times New Roman" w:hAnsi="Times New Roman"/>
      <w:b/>
      <w:bCs/>
      <w:sz w:val="12"/>
      <w:szCs w:val="12"/>
      <w:shd w:val="clear" w:color="auto" w:fill="FFFFFF"/>
    </w:rPr>
  </w:style>
  <w:style w:type="character" w:customStyle="1" w:styleId="Lgendedutableau65ptNonGrasItalique">
    <w:name w:val="Légende du tableau + 6.5 pt;Non Gras;Italique"/>
    <w:rsid w:val="00573B2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5ptNonItalique">
    <w:name w:val="En-tête ou pied de page + 5 pt;Non Italique"/>
    <w:rsid w:val="00573B2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Lgendedutableau3">
    <w:name w:val="Légende du tableau (3)_"/>
    <w:link w:val="Lgendedutableau30"/>
    <w:rsid w:val="00573B27"/>
    <w:rPr>
      <w:rFonts w:ascii="Times New Roman" w:eastAsia="Times New Roman" w:hAnsi="Times New Roman"/>
      <w:spacing w:val="-10"/>
      <w:sz w:val="18"/>
      <w:szCs w:val="18"/>
      <w:shd w:val="clear" w:color="auto" w:fill="FFFFFF"/>
    </w:rPr>
  </w:style>
  <w:style w:type="character" w:customStyle="1" w:styleId="Lgendedutableau4">
    <w:name w:val="Légende du tableau (4)_"/>
    <w:link w:val="Lgendedutableau40"/>
    <w:rsid w:val="00573B27"/>
    <w:rPr>
      <w:rFonts w:ascii="Times New Roman" w:eastAsia="Times New Roman" w:hAnsi="Times New Roman"/>
      <w:i/>
      <w:iCs/>
      <w:sz w:val="17"/>
      <w:szCs w:val="17"/>
      <w:shd w:val="clear" w:color="auto" w:fill="FFFFFF"/>
    </w:rPr>
  </w:style>
  <w:style w:type="character" w:customStyle="1" w:styleId="Lgendedutableau49ptNonItaliqueEspacement0pt">
    <w:name w:val="Légende du tableau (4) + 9 pt;Non Italique;Espacement 0 pt"/>
    <w:rsid w:val="00573B27"/>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paragraph" w:customStyle="1" w:styleId="En-tte10">
    <w:name w:val="En-tête #1"/>
    <w:basedOn w:val="Normal"/>
    <w:link w:val="En-tte1"/>
    <w:rsid w:val="00573B27"/>
    <w:pPr>
      <w:widowControl w:val="0"/>
      <w:shd w:val="clear" w:color="auto" w:fill="FFFFFF"/>
      <w:spacing w:after="900" w:line="396" w:lineRule="exact"/>
      <w:jc w:val="center"/>
      <w:outlineLvl w:val="0"/>
    </w:pPr>
    <w:rPr>
      <w:b/>
      <w:bCs/>
      <w:sz w:val="38"/>
      <w:szCs w:val="38"/>
      <w:lang w:val="x-none" w:eastAsia="x-none"/>
    </w:rPr>
  </w:style>
  <w:style w:type="paragraph" w:customStyle="1" w:styleId="En-tteoupieddepage40">
    <w:name w:val="En-tête ou pied de page (4)"/>
    <w:basedOn w:val="Normal"/>
    <w:link w:val="En-tteoupieddepage4"/>
    <w:rsid w:val="00573B27"/>
    <w:pPr>
      <w:widowControl w:val="0"/>
      <w:shd w:val="clear" w:color="auto" w:fill="FFFFFF"/>
      <w:spacing w:line="0" w:lineRule="atLeast"/>
      <w:ind w:firstLine="32"/>
    </w:pPr>
    <w:rPr>
      <w:sz w:val="13"/>
      <w:szCs w:val="13"/>
      <w:lang w:val="x-none" w:eastAsia="x-none"/>
    </w:rPr>
  </w:style>
  <w:style w:type="paragraph" w:customStyle="1" w:styleId="Tabledesmatires2">
    <w:name w:val="Table des matières (2)"/>
    <w:basedOn w:val="Normal"/>
    <w:link w:val="Tabledesmatires2Exact"/>
    <w:rsid w:val="00573B27"/>
    <w:pPr>
      <w:widowControl w:val="0"/>
      <w:shd w:val="clear" w:color="auto" w:fill="FFFFFF"/>
      <w:spacing w:before="120" w:after="180" w:line="0" w:lineRule="atLeast"/>
      <w:ind w:hanging="1"/>
      <w:jc w:val="both"/>
    </w:pPr>
    <w:rPr>
      <w:b/>
      <w:bCs/>
      <w:sz w:val="15"/>
      <w:szCs w:val="15"/>
      <w:lang w:val="x-none" w:eastAsia="x-none"/>
    </w:rPr>
  </w:style>
  <w:style w:type="paragraph" w:customStyle="1" w:styleId="Lgendedutableau0">
    <w:name w:val="Légende du tableau"/>
    <w:basedOn w:val="Normal"/>
    <w:link w:val="Lgendedutableau"/>
    <w:rsid w:val="00573B27"/>
    <w:pPr>
      <w:widowControl w:val="0"/>
      <w:shd w:val="clear" w:color="auto" w:fill="FFFFFF"/>
      <w:spacing w:line="166" w:lineRule="exact"/>
      <w:ind w:firstLine="29"/>
      <w:jc w:val="both"/>
    </w:pPr>
    <w:rPr>
      <w:b/>
      <w:bCs/>
      <w:sz w:val="12"/>
      <w:szCs w:val="12"/>
      <w:lang w:val="x-none" w:eastAsia="x-none"/>
    </w:rPr>
  </w:style>
  <w:style w:type="paragraph" w:customStyle="1" w:styleId="Lgendedutableau30">
    <w:name w:val="Légende du tableau (3)"/>
    <w:basedOn w:val="Normal"/>
    <w:link w:val="Lgendedutableau3"/>
    <w:rsid w:val="00573B27"/>
    <w:pPr>
      <w:widowControl w:val="0"/>
      <w:shd w:val="clear" w:color="auto" w:fill="FFFFFF"/>
      <w:spacing w:line="0" w:lineRule="atLeast"/>
      <w:ind w:firstLine="29"/>
    </w:pPr>
    <w:rPr>
      <w:spacing w:val="-10"/>
      <w:sz w:val="18"/>
      <w:szCs w:val="18"/>
      <w:lang w:val="x-none" w:eastAsia="x-none"/>
    </w:rPr>
  </w:style>
  <w:style w:type="paragraph" w:customStyle="1" w:styleId="Lgendedutableau40">
    <w:name w:val="Légende du tableau (4)"/>
    <w:basedOn w:val="Normal"/>
    <w:link w:val="Lgendedutableau4"/>
    <w:rsid w:val="00573B27"/>
    <w:pPr>
      <w:widowControl w:val="0"/>
      <w:shd w:val="clear" w:color="auto" w:fill="FFFFFF"/>
      <w:spacing w:line="0" w:lineRule="atLeast"/>
      <w:ind w:firstLine="29"/>
    </w:pPr>
    <w:rPr>
      <w:i/>
      <w:iCs/>
      <w:sz w:val="17"/>
      <w:szCs w:val="17"/>
      <w:lang w:val="x-none" w:eastAsia="x-none"/>
    </w:rPr>
  </w:style>
  <w:style w:type="character" w:customStyle="1" w:styleId="Notedebasdepage20">
    <w:name w:val="Note de bas de page (2)_"/>
    <w:link w:val="Notedebasdepage21"/>
    <w:rsid w:val="004E1DDA"/>
    <w:rPr>
      <w:rFonts w:ascii="Times New Roman" w:eastAsia="Times New Roman" w:hAnsi="Times New Roman"/>
      <w:i/>
      <w:iCs/>
      <w:sz w:val="18"/>
      <w:szCs w:val="18"/>
      <w:shd w:val="clear" w:color="auto" w:fill="FFFFFF"/>
    </w:rPr>
  </w:style>
  <w:style w:type="character" w:customStyle="1" w:styleId="Notedebasdepage2NonItalique">
    <w:name w:val="Note de bas de page (2) + Non Italique"/>
    <w:rsid w:val="004E1D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105ptNonItaliqueEspacement0pt">
    <w:name w:val="En-tête ou pied de page + 10.5 pt;Non Italique;Espacement 0 pt"/>
    <w:rsid w:val="004E1DDA"/>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Corpsdutexte9CourierNew12ptGrasNonItaliqueEspacement0pt">
    <w:name w:val="Corps du texte (9) + Courier New;12 pt;Gras;Non Italique;Espacement 0 pt"/>
    <w:rsid w:val="004E1DDA"/>
    <w:rPr>
      <w:rFonts w:ascii="Courier New" w:eastAsia="Courier New" w:hAnsi="Courier New" w:cs="Courier New"/>
      <w:b/>
      <w:bCs/>
      <w:i/>
      <w:iCs/>
      <w:smallCaps w:val="0"/>
      <w:strike w:val="0"/>
      <w:color w:val="000000"/>
      <w:spacing w:val="0"/>
      <w:w w:val="100"/>
      <w:position w:val="0"/>
      <w:sz w:val="24"/>
      <w:szCs w:val="24"/>
      <w:u w:val="none"/>
      <w:lang w:val="fr-FR" w:eastAsia="fr-FR" w:bidi="fr-FR"/>
    </w:rPr>
  </w:style>
  <w:style w:type="character" w:customStyle="1" w:styleId="En-tte1TimesNewRoman19ptGrasNonItaliqueEspacement0pt">
    <w:name w:val="En-tête #1 + Times New Roman;19 pt;Gras;Non Italique;Espacement 0 pt"/>
    <w:rsid w:val="004E1DDA"/>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En-tte312ptItalique">
    <w:name w:val="En-tête #3 + 12 pt;Italique"/>
    <w:rsid w:val="004E1DD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9ptItaliqueEspacement0pt">
    <w:name w:val="Corps du texte (2) + 9 pt;Italique;Espacement 0 pt"/>
    <w:rsid w:val="004E1DDA"/>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Corpsdutexte14TimesNewRoman14ptExact">
    <w:name w:val="Corps du texte (14) + Times New Roman;14 pt Exact"/>
    <w:rsid w:val="004E1DD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518ptEspacement0pt">
    <w:name w:val="Corps du texte (15) + 18 pt;Espacement 0 pt"/>
    <w:rsid w:val="004E1DD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fr-FR" w:eastAsia="fr-FR" w:bidi="fr-FR"/>
    </w:rPr>
  </w:style>
  <w:style w:type="character" w:customStyle="1" w:styleId="En-tteoupieddepage2Espacement0pt">
    <w:name w:val="En-tête ou pied de page (2) + Espacement 0 pt"/>
    <w:rsid w:val="004E1DDA"/>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En-tteoupieddepage105ptNonItalique">
    <w:name w:val="En-tête ou pied de page + 10.5 pt;Non Italique"/>
    <w:rsid w:val="004E1DD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paragraph" w:customStyle="1" w:styleId="Notedebasdepage21">
    <w:name w:val="Note de bas de page (2)"/>
    <w:basedOn w:val="Normal"/>
    <w:link w:val="Notedebasdepage20"/>
    <w:rsid w:val="004E1DDA"/>
    <w:pPr>
      <w:widowControl w:val="0"/>
      <w:shd w:val="clear" w:color="auto" w:fill="FFFFFF"/>
      <w:spacing w:line="0" w:lineRule="atLeast"/>
      <w:ind w:firstLine="47"/>
    </w:pPr>
    <w:rPr>
      <w:i/>
      <w:iCs/>
      <w:sz w:val="18"/>
      <w:szCs w:val="18"/>
      <w:lang w:val="x-none" w:eastAsia="x-none"/>
    </w:rPr>
  </w:style>
  <w:style w:type="character" w:customStyle="1" w:styleId="Notedebasdepage11ptItalique">
    <w:name w:val="Note de bas de page + 11 pt;Italique"/>
    <w:rsid w:val="00EF5659"/>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7pt">
    <w:name w:val="Note de bas de page + 7 pt"/>
    <w:rsid w:val="00EF565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11ptNonItalique">
    <w:name w:val="En-tête ou pied de page + 11 pt;Non Italique"/>
    <w:rsid w:val="00EF56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En-tte4Italique">
    <w:name w:val="En-tête #4 + Italique"/>
    <w:rsid w:val="00EF5659"/>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7105ptNonItalique">
    <w:name w:val="Corps du texte (7) + 10.5 pt;Non Italique"/>
    <w:rsid w:val="00EF5659"/>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510ptItalique">
    <w:name w:val="Corps du texte (5) + 10 pt;Italique"/>
    <w:rsid w:val="00EF5659"/>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LgendedutableauItaliqueEspacement0pt">
    <w:name w:val="Légende du tableau + 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En-tteoupieddepage30">
    <w:name w:val="En-tête ou pied de page (3)_"/>
    <w:rsid w:val="00EF5659"/>
    <w:rPr>
      <w:rFonts w:ascii="Times New Roman" w:eastAsia="Times New Roman" w:hAnsi="Times New Roman" w:cs="Times New Roman"/>
      <w:b w:val="0"/>
      <w:bCs w:val="0"/>
      <w:i/>
      <w:iCs/>
      <w:smallCaps w:val="0"/>
      <w:strike w:val="0"/>
      <w:spacing w:val="-10"/>
      <w:sz w:val="14"/>
      <w:szCs w:val="14"/>
      <w:u w:val="none"/>
    </w:rPr>
  </w:style>
  <w:style w:type="character" w:customStyle="1" w:styleId="En-tteoupieddepage36ptNonItaliqueEspacement0pt">
    <w:name w:val="En-tête ou pied de page (3) + 6 pt;Non Italique;Espacement 0 pt"/>
    <w:rsid w:val="00EF5659"/>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975ptNonGrasExact">
    <w:name w:val="Corps du texte (9) + 7.5 pt;Non Gras Exact"/>
    <w:rsid w:val="00EF5659"/>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En-tteoupieddepage4Exact">
    <w:name w:val="En-tête ou pied de page (4) Exact"/>
    <w:rsid w:val="00EF5659"/>
    <w:rPr>
      <w:rFonts w:ascii="Times New Roman" w:eastAsia="Times New Roman" w:hAnsi="Times New Roman" w:cs="Times New Roman"/>
      <w:b w:val="0"/>
      <w:bCs w:val="0"/>
      <w:i/>
      <w:iCs/>
      <w:smallCaps w:val="0"/>
      <w:strike w:val="0"/>
      <w:sz w:val="12"/>
      <w:szCs w:val="12"/>
      <w:u w:val="none"/>
    </w:rPr>
  </w:style>
  <w:style w:type="character" w:customStyle="1" w:styleId="Corpsdutexte510ptItaliqueEspacement1pt">
    <w:name w:val="Corps du texte (5) + 10 pt;Italique;Espacement 1 pt"/>
    <w:rsid w:val="00EF5659"/>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Lgendedutableau3Italique">
    <w:name w:val="Légende du tableau (3) + Italique"/>
    <w:rsid w:val="00EF565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2ptGras">
    <w:name w:val="Corps du texte (2) + 12 pt;Gras"/>
    <w:rsid w:val="00EF5659"/>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1Espacement0pt">
    <w:name w:val="En-tête #1 + Espacement 0 pt"/>
    <w:rsid w:val="00EF5659"/>
    <w:rPr>
      <w:rFonts w:ascii="Times New Roman" w:eastAsia="Times New Roman" w:hAnsi="Times New Roman" w:cs="Times New Roman"/>
      <w:b/>
      <w:bCs/>
      <w:i w:val="0"/>
      <w:iCs w:val="0"/>
      <w:smallCaps w:val="0"/>
      <w:strike w:val="0"/>
      <w:color w:val="000000"/>
      <w:spacing w:val="-10"/>
      <w:w w:val="100"/>
      <w:position w:val="0"/>
      <w:sz w:val="38"/>
      <w:szCs w:val="38"/>
      <w:u w:val="none"/>
      <w:lang w:val="fr-FR" w:eastAsia="fr-FR" w:bidi="fr-FR"/>
    </w:rPr>
  </w:style>
  <w:style w:type="character" w:customStyle="1" w:styleId="Corpsdutexte27ptGras">
    <w:name w:val="Corps du texte (2) + 7 pt;Gras"/>
    <w:rsid w:val="00EF5659"/>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7ptItaliqueEspacement0pt">
    <w:name w:val="Corps du texte (2) + 7 pt;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12ItaliqueEspacement0pt">
    <w:name w:val="Corps du texte (12) + Italique;Espacement 0 pt"/>
    <w:rsid w:val="00EF5659"/>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77ptPetitesmajuscules">
    <w:name w:val="Corps du texte (7) + 7 pt;Petites majuscules"/>
    <w:rsid w:val="00EF5659"/>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785ptNonItalique">
    <w:name w:val="Corps du texte (7) + 8.5 pt;Non Italique"/>
    <w:rsid w:val="00EF5659"/>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5ptGras">
    <w:name w:val="Corps du texte (2) + 10.5 pt;Gras"/>
    <w:rsid w:val="00EF565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5ptGrasEspacement0pt">
    <w:name w:val="Corps du texte (2) + 10.5 pt;Gras;Espacement 0 pt"/>
    <w:rsid w:val="00EF5659"/>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Corpsdutexte20AppleGothic13ptNonItalique">
    <w:name w:val="Corps du texte (20) + AppleGothic;13 pt;Non Italique"/>
    <w:rsid w:val="00EF5659"/>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paragraph" w:customStyle="1" w:styleId="figstlgende">
    <w:name w:val="fig st légende"/>
    <w:basedOn w:val="figst"/>
    <w:autoRedefine/>
    <w:rsid w:val="00EF5659"/>
    <w:pPr>
      <w:jc w:val="both"/>
    </w:pPr>
    <w:rPr>
      <w:i/>
      <w:lang w:eastAsia="fr-FR" w:bidi="fr-FR"/>
    </w:rPr>
  </w:style>
  <w:style w:type="character" w:customStyle="1" w:styleId="Notedebasdepage10ptItalique">
    <w:name w:val="Note de bas de page + 10 pt;Italique"/>
    <w:rsid w:val="00125A7B"/>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10pt">
    <w:name w:val="Note de bas de page + 10 pt"/>
    <w:rsid w:val="00125A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Notedebasdepage7ptPetitesmajuscules">
    <w:name w:val="Note de bas de page + 7 pt;Petites majuscules"/>
    <w:rsid w:val="00125A7B"/>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Notedebasdepage29pt">
    <w:name w:val="Note de bas de page (2) + 9 pt"/>
    <w:rsid w:val="00125A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413ptNonItalique">
    <w:name w:val="Corps du texte (4) + 13 pt;Non Italique"/>
    <w:rsid w:val="00125A7B"/>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oupieddepage11ptNonItaliqueEspacement0pt">
    <w:name w:val="En-tête ou pied de page + 11 pt;Non Italique;Espacement 0 pt"/>
    <w:rsid w:val="00125A7B"/>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fr-FR" w:eastAsia="fr-FR" w:bidi="fr-FR"/>
    </w:rPr>
  </w:style>
  <w:style w:type="character" w:customStyle="1" w:styleId="LgendedutableauItalique">
    <w:name w:val="Légende du tableau + Italique"/>
    <w:rsid w:val="00125A7B"/>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75ptEspacement0pt">
    <w:name w:val="Corps du texte (2) + 7.5 pt;Espacement 0 pt"/>
    <w:rsid w:val="00125A7B"/>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character" w:customStyle="1" w:styleId="Corpsdutexte1018ptEspacement0pt">
    <w:name w:val="Corps du texte (10) + 18 pt;Espacement 0 pt"/>
    <w:rsid w:val="00125A7B"/>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Corpsdutexte611ptItalique">
    <w:name w:val="Corps du texte (6) + 11 pt;Italique"/>
    <w:rsid w:val="00125A7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Ethier@umontreal.c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block.christian@uqam.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7234</Words>
  <Characters>40660</Characters>
  <Application>Microsoft Office Word</Application>
  <DocSecurity>0</DocSecurity>
  <Lines>991</Lines>
  <Paragraphs>189</Paragraphs>
  <ScaleCrop>false</ScaleCrop>
  <HeadingPairs>
    <vt:vector size="2" baseType="variant">
      <vt:variant>
        <vt:lpstr>Title</vt:lpstr>
      </vt:variant>
      <vt:variant>
        <vt:i4>1</vt:i4>
      </vt:variant>
    </vt:vector>
  </HeadingPairs>
  <TitlesOfParts>
    <vt:vector size="1" baseType="lpstr">
      <vt:lpstr>“L’évolution du système financier international et son impact dans les années ‘90.”</vt:lpstr>
    </vt:vector>
  </TitlesOfParts>
  <Manager>par Pierre Patenaude, bénévole, Lac St-Jean, Qc., 2021</Manager>
  <Company>Les Classiques des sciences sociales</Company>
  <LinksUpToDate>false</LinksUpToDate>
  <CharactersWithSpaces>47705</CharactersWithSpaces>
  <SharedDoc>false</SharedDoc>
  <HyperlinkBase/>
  <HLinks>
    <vt:vector size="96" baseType="variant">
      <vt:variant>
        <vt:i4>6553625</vt:i4>
      </vt:variant>
      <vt:variant>
        <vt:i4>21</vt:i4>
      </vt:variant>
      <vt:variant>
        <vt:i4>0</vt:i4>
      </vt:variant>
      <vt:variant>
        <vt:i4>5</vt:i4>
      </vt:variant>
      <vt:variant>
        <vt:lpwstr/>
      </vt:variant>
      <vt:variant>
        <vt:lpwstr>tdm</vt:lpwstr>
      </vt:variant>
      <vt:variant>
        <vt:i4>7667720</vt:i4>
      </vt:variant>
      <vt:variant>
        <vt:i4>18</vt:i4>
      </vt:variant>
      <vt:variant>
        <vt:i4>0</vt:i4>
      </vt:variant>
      <vt:variant>
        <vt:i4>5</vt:i4>
      </vt:variant>
      <vt:variant>
        <vt:lpwstr>mailto:Diane.Ethier@umontreal.ca</vt:lpwstr>
      </vt:variant>
      <vt:variant>
        <vt:lpwstr/>
      </vt:variant>
      <vt:variant>
        <vt:i4>6160421</vt:i4>
      </vt:variant>
      <vt:variant>
        <vt:i4>15</vt:i4>
      </vt:variant>
      <vt:variant>
        <vt:i4>0</vt:i4>
      </vt:variant>
      <vt:variant>
        <vt:i4>5</vt:i4>
      </vt:variant>
      <vt:variant>
        <vt:lpwstr>mailto:deblock.christian@uqam.ca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2362</vt:i4>
      </vt:variant>
      <vt:variant>
        <vt:i4>1025</vt:i4>
      </vt:variant>
      <vt:variant>
        <vt:i4>1</vt:i4>
      </vt:variant>
      <vt:variant>
        <vt:lpwstr>css_logo_gris</vt:lpwstr>
      </vt:variant>
      <vt:variant>
        <vt:lpwstr/>
      </vt:variant>
      <vt:variant>
        <vt:i4>5111880</vt:i4>
      </vt:variant>
      <vt:variant>
        <vt:i4>2651</vt:i4>
      </vt:variant>
      <vt:variant>
        <vt:i4>1026</vt:i4>
      </vt:variant>
      <vt:variant>
        <vt:i4>1</vt:i4>
      </vt:variant>
      <vt:variant>
        <vt:lpwstr>UQAC_logo_2018</vt:lpwstr>
      </vt:variant>
      <vt:variant>
        <vt:lpwstr/>
      </vt:variant>
      <vt:variant>
        <vt:i4>4194334</vt:i4>
      </vt:variant>
      <vt:variant>
        <vt:i4>5182</vt:i4>
      </vt:variant>
      <vt:variant>
        <vt:i4>1027</vt:i4>
      </vt:variant>
      <vt:variant>
        <vt:i4>1</vt:i4>
      </vt:variant>
      <vt:variant>
        <vt:lpwstr>Boite_aux_lettres_clair</vt:lpwstr>
      </vt:variant>
      <vt:variant>
        <vt:lpwstr/>
      </vt:variant>
      <vt:variant>
        <vt:i4>1703963</vt:i4>
      </vt:variant>
      <vt:variant>
        <vt:i4>5793</vt:i4>
      </vt:variant>
      <vt:variant>
        <vt:i4>1028</vt:i4>
      </vt:variant>
      <vt:variant>
        <vt:i4>1</vt:i4>
      </vt:variant>
      <vt:variant>
        <vt:lpwstr>fait_sur_mac</vt:lpwstr>
      </vt:variant>
      <vt:variant>
        <vt:lpwstr/>
      </vt:variant>
      <vt:variant>
        <vt:i4>8061026</vt:i4>
      </vt:variant>
      <vt:variant>
        <vt:i4>5948</vt:i4>
      </vt:variant>
      <vt:variant>
        <vt:i4>1029</vt:i4>
      </vt:variant>
      <vt:variant>
        <vt:i4>1</vt:i4>
      </vt:variant>
      <vt:variant>
        <vt:lpwstr>Mondialisation_et_regionalisatio_L25_low</vt:lpwstr>
      </vt:variant>
      <vt:variant>
        <vt:lpwstr/>
      </vt:variant>
      <vt:variant>
        <vt:i4>7274607</vt:i4>
      </vt:variant>
      <vt:variant>
        <vt:i4>49101</vt:i4>
      </vt:variant>
      <vt:variant>
        <vt:i4>1030</vt:i4>
      </vt:variant>
      <vt:variant>
        <vt:i4>1</vt:i4>
      </vt:variant>
      <vt:variant>
        <vt:lpwstr>fig_p_240_graph_1_st_low</vt:lpwstr>
      </vt:variant>
      <vt:variant>
        <vt:lpwstr/>
      </vt:variant>
      <vt:variant>
        <vt:i4>7274604</vt:i4>
      </vt:variant>
      <vt:variant>
        <vt:i4>49192</vt:i4>
      </vt:variant>
      <vt:variant>
        <vt:i4>1031</vt:i4>
      </vt:variant>
      <vt:variant>
        <vt:i4>1</vt:i4>
      </vt:variant>
      <vt:variant>
        <vt:lpwstr>fig_p_240_graph_2_st_low</vt:lpwstr>
      </vt:variant>
      <vt:variant>
        <vt:lpwstr/>
      </vt:variant>
      <vt:variant>
        <vt:i4>7274605</vt:i4>
      </vt:variant>
      <vt:variant>
        <vt:i4>49333</vt:i4>
      </vt:variant>
      <vt:variant>
        <vt:i4>1032</vt:i4>
      </vt:variant>
      <vt:variant>
        <vt:i4>1</vt:i4>
      </vt:variant>
      <vt:variant>
        <vt:lpwstr>fig_p_240_graph_3_st_low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“L’évolution du système financier international et son impact dans les années ‘90.”</dc:title>
  <dc:subject/>
  <dc:creator>Bernard Élie, économiste, UQAM, 1992.</dc:creator>
  <cp:keywords>classiques.sc.soc@gmail.com</cp:keywords>
  <dc:description>http://classiques.uqac.ca/</dc:description>
  <cp:lastModifiedBy>Microsoft Office User</cp:lastModifiedBy>
  <cp:revision>2</cp:revision>
  <cp:lastPrinted>2001-08-26T19:33:00Z</cp:lastPrinted>
  <dcterms:created xsi:type="dcterms:W3CDTF">2021-01-18T23:59:00Z</dcterms:created>
  <dcterms:modified xsi:type="dcterms:W3CDTF">2021-01-18T23:59:00Z</dcterms:modified>
  <cp:category>par jean-marie tremblay, fondateur, 1993</cp:category>
</cp:coreProperties>
</file>